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40"/>
        </w:rPr>
        <w:t>分布式新能源高渗透地区县级 110 kV 电网容载比弹性的多目标进化优化</w:t>
      </w:r>
    </w:p>
    <w:p>
      <w:pPr>
        <w:spacing w:before="0" w:after="6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22"/>
        </w:rPr>
        <w:t>Multi-Objective Evolutionary Optimization of Capacity-Load-Ratio Elasticity for County-Level 110 kV Grids with High-Penetration Distributed Renewables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［作者、单位、邮箱待填（IEEE 作者块：Given Name Surname / dept. / org. / city, country / email）］</w:t>
      </w:r>
    </w:p>
    <w:p>
      <w:pPr>
        <w:sectPr>
          <w:pgSz w:w="12240" w:h="15840"/>
          <w:pgMar w:top="1080" w:right="893" w:bottom="1440" w:left="893" w:header="720" w:footer="720" w:gutter="0"/>
          <w:cols w:space="360" w:num="1" w:equalWidth="1"/>
          <w:docGrid w:linePitch="360"/>
        </w:sectPr>
      </w:pPr>
    </w:p>
    <w:p>
      <w:pPr>
        <w:spacing w:before="0" w:after="0" w:line="254" w:lineRule="auto"/>
        <w:jc w:val="both"/>
      </w:pPr>
      <w:r>
        <w:rPr>
          <w:rFonts w:ascii="Times New Roman" w:hAnsi="Times New Roman" w:eastAsia="宋体"/>
          <w:b/>
          <w:i w:val="0"/>
          <w:smallCaps w:val="0"/>
          <w:sz w:val="18"/>
        </w:rPr>
        <w:t>摘要 Abstract—</w:t>
      </w:r>
      <w:r>
        <w:rPr>
          <w:rFonts w:ascii="Times New Roman" w:hAnsi="Times New Roman" w:eastAsia="宋体"/>
          <w:b w:val="0"/>
          <w:i w:val="0"/>
          <w:smallCaps w:val="0"/>
          <w:sz w:val="18"/>
        </w:rPr>
        <w:t xml:space="preserve">分布式光伏高渗透使县域主变在午间净反送下逼近反向重载；现行全县统一容载比 2.0 要么过度投资，要么留下隐患。本文提出容载比“向下弹性”，并把它形式化为县级多站联合的成本↔N-1 风险多目标优化——决策为每站容载比与储能，约束含逐站反送闸、县聚合容载比带与上级系统潮流。可行域随站数骤缩、经典 NSGA-II 前期收敛慢；为此提出可行性引导的 </w:t>
      </w:r>
      <w:r>
        <w:rPr>
          <w:rFonts w:ascii="Times New Roman" w:hAnsi="Times New Roman" w:eastAsia="宋体"/>
          <w:b/>
          <w:i w:val="0"/>
          <w:smallCaps w:val="0"/>
          <w:sz w:val="18"/>
        </w:rPr>
        <w:t>FG-NSGA-II</w:t>
      </w:r>
      <w:r>
        <w:rPr>
          <w:rFonts w:ascii="Times New Roman" w:hAnsi="Times New Roman" w:eastAsia="宋体"/>
          <w:b w:val="0"/>
          <w:i w:val="0"/>
          <w:smallCaps w:val="0"/>
          <w:sz w:val="18"/>
        </w:rPr>
        <w:t xml:space="preserve">，以可行性修复算子为主驱动、启发式热启动为早期加速。在公开数据合成的县级基准（K=20）上，方案相对统一容载比 2.0 在同风险下节省 </w:t>
      </w:r>
      <w:r>
        <w:rPr>
          <w:rFonts w:ascii="Times New Roman" w:hAnsi="Times New Roman" w:eastAsia="宋体"/>
          <w:b/>
          <w:i w:val="0"/>
          <w:smallCaps w:val="0"/>
          <w:sz w:val="18"/>
        </w:rPr>
        <w:t>13.1%</w:t>
      </w:r>
      <w:r>
        <w:rPr>
          <w:rFonts w:ascii="Times New Roman" w:hAnsi="Times New Roman" w:eastAsia="宋体"/>
          <w:b w:val="0"/>
          <w:i w:val="0"/>
          <w:smallCaps w:val="0"/>
          <w:sz w:val="18"/>
        </w:rPr>
        <w:t xml:space="preserve"> 并给出一站一策；FG-NSGA-II 用约一半预算即达两条基线跑满预算的收敛质量，等价 </w:t>
      </w:r>
      <w:r>
        <w:rPr>
          <w:rFonts w:ascii="Times New Roman" w:hAnsi="Times New Roman" w:eastAsia="宋体"/>
          <w:b/>
          <w:i w:val="0"/>
          <w:smallCaps w:val="0"/>
          <w:sz w:val="18"/>
        </w:rPr>
        <w:t>4.8–11.8×</w:t>
      </w:r>
      <w:r>
        <w:rPr>
          <w:rFonts w:ascii="Times New Roman" w:hAnsi="Times New Roman" w:eastAsia="宋体"/>
          <w:b w:val="0"/>
          <w:i w:val="0"/>
          <w:smallCaps w:val="0"/>
          <w:sz w:val="18"/>
        </w:rPr>
        <w:t xml:space="preserve"> 更少代数（充分收敛后基线大体追平，如实交代）。</w:t>
      </w:r>
    </w:p>
    <w:p>
      <w:r>
        <w:rPr>
          <w:rFonts w:ascii="Times New Roman" w:hAnsi="Times New Roman" w:eastAsia="宋体"/>
          <w:b/>
          <w:i/>
          <w:smallCaps w:val="0"/>
          <w:sz w:val="18"/>
        </w:rPr>
        <w:t>关键词 Keywords—</w:t>
      </w:r>
      <w:r>
        <w:rPr>
          <w:rFonts w:ascii="Times New Roman" w:hAnsi="Times New Roman" w:eastAsia="宋体"/>
          <w:b w:val="0"/>
          <w:i/>
          <w:smallCaps w:val="0"/>
          <w:sz w:val="18"/>
        </w:rPr>
        <w:t>容载比弹性；分布式光伏高渗透；多目标进化优化；NSGA-II；可行性修复算子；一站一策。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>I.  引言 Introduction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［逻辑线：抛出问题与缺口——引出“把弹性建模成县级约束多目标优化 + 用 FG-NSGA-II 求解”这条主线的起点］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分布式光伏高渗透正在改变配电网的潮流方向：午间净反送把 110 kV 主变推向反向重载，容载比这一规划核心指标随之面临新的取舍。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［文献综述待补（编年体、密集引用 [n]）：一线为反送承载力与容载比导则，另一线为进化多目标优化在电网规划的应用］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现有做法多对全县取同一容载比，未利用站间异质与同时率；已有进化多目标优化的电网规划应用多为小规模、弱约束；经典算法的约束处理依赖惩罚与随机初始化，在强约束、可行域稀疏、随站数膨胀的问题上前期收敛慢、可行解稀。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本文把“容载比向下弹性”形式化为县级多站联合的约束多目标优化，并针对其问题结构提出 FG-NSGA-II。主要贡献：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/>
          <w:i w:val="0"/>
          <w:smallCaps w:val="0"/>
          <w:sz w:val="20"/>
        </w:rPr>
        <w:t>1)</w:t>
      </w:r>
      <w:r>
        <w:rPr>
          <w:rFonts w:ascii="Times New Roman" w:hAnsi="Times New Roman" w:eastAsia="宋体"/>
          <w:b w:val="0"/>
          <w:i w:val="0"/>
          <w:smallCaps w:val="0"/>
          <w:sz w:val="20"/>
        </w:rPr>
        <w:t xml:space="preserve"> 将容载比弹性建模为县级多站“成本↔N-1 风险”约束多目标优化，并诊断出“带与系统约束耦合、可行域随 K 稀疏化”正是通用 MOEA 在此失效之因；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/>
          <w:i w:val="0"/>
          <w:smallCaps w:val="0"/>
          <w:sz w:val="20"/>
        </w:rPr>
        <w:t>2)</w:t>
      </w:r>
      <w:r>
        <w:rPr>
          <w:rFonts w:ascii="Times New Roman" w:hAnsi="Times New Roman" w:eastAsia="宋体"/>
          <w:b w:val="0"/>
          <w:i w:val="0"/>
          <w:smallCaps w:val="0"/>
          <w:sz w:val="20"/>
        </w:rPr>
        <w:t xml:space="preserve"> 针对该结构提出 FG-NSGA-II——以可行性修复为主驱动、启发式热启动为早期加速，使县级大规模寻优可解；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/>
          <w:i w:val="0"/>
          <w:smallCaps w:val="0"/>
          <w:sz w:val="20"/>
        </w:rPr>
        <w:t>3)</w:t>
      </w:r>
      <w:r>
        <w:rPr>
          <w:rFonts w:ascii="Times New Roman" w:hAnsi="Times New Roman" w:eastAsia="宋体"/>
          <w:b w:val="0"/>
          <w:i w:val="0"/>
          <w:smallCaps w:val="0"/>
          <w:sz w:val="20"/>
        </w:rPr>
        <w:t xml:space="preserve"> 在公开数据合成的县级基准上给出双层证据：应用层相对统一容载比 2.0 省 13.1% 且一站一策，算法层以约一半预算胜过两条基线、等价 4.8–11.8× 更少代数。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本文组织如下：第 II 节给出问题形式化与算例，第 III 节提出 FG-NSGA-II 及其伪代码，第 IV 节报告实验，第 V 节总结。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>II.  问题形式化 Problem Formulation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［逻辑线：把“弹性”落成可计算的约束多目标优化，并暴露“带+系统约束→不可分、强约束、随 K 膨胀”——为 III 的算法必要性铺垫］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A. 决策变量与容载比弹性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决策向量 x=[R₁..R_K, P₁..P_K]：每站容载比 R_j 与储能功率 P_j（储能容量 E=2h×P，从属）；“向下弹性”指在合规带内能降尽降。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［式 (1) 决策空间待填］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B. 目标函数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min f₁ = 县总年化成本（资本年金 + 双向网损 + 储能 + 运维 − 残值）；min f₂ = 县 N-1 缺供 ΣEENS（按未来峰荷）。并说明为何取“成本↔风险”而非“成本↔弃光”（后者在可行集内退化）。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［式 (2)(3) 目标待填；随后以 “the symbols have the following meaning:” 破折号符号表定义］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C. 约束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① 逐站过反向承载力硬闸；② 县聚合容载比带 [1.8,2.2]（同时率 0.85，核心耦合、使问题不可分）；③ 上级系统潮流（聚合反送 ≤ 上级反向限额，R₂₂₀=1.8）。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［式 (4)–(6) 约束待填］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D. 合成基准算例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以缩放 IEEE33 馈线为载体、PVGIS 三地辐照锚定，按四元组抽样合成县；主算例 K=20。声明：公开数据合成、非实测。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>III.  所提方法：FG-NSGA-II  Proposed Method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［逻辑线：回应 II 暴露的结构——可行性由构造保证（修复为主、热启动为辅），这既是应用可解之钥，也是算法效率之源］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FG-NSGA-II 把确定性物理评价器与 NSGA-II 搜索器耦合，并把约束当作“处理”而非“求解”：物理模型只判定越限，修复算子把不可行解就近构造回可行域，进化只施加可行性优先的选择压力。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360" w:num="2" w:equalWidth="1"/>
          <w:docGrid w:linePitch="360"/>
        </w:sectPr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263999" cy="382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82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图 1  FG-NSGA-II 融合框架与可行性修复流程</w:t>
      </w:r>
    </w:p>
    <w:p>
      <w:pPr>
        <w:spacing w:before="0" w:after="8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Fig. 1.  Overview of the FG-NSGA-II framework and the feasibility-repair procedure.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720" w:num="1" w:equalWidth="1"/>
          <w:docGrid w:linePitch="360"/>
        </w:sectPr>
      </w:pP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A. 融合框架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物理评价器（双向 Z4-LCC，约 4 ms/次，无需代理模型）+ NSGA-II 搜索器；判定 / 修复 / 选择三分。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B. 可行性修复算子（主驱动）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一次前向、闭式地把不可行解投影到近似可行：缩放 R 入带 → 逐站补储或必要时升 R 过反送闸 → 补储满足系统约束。修复不调用目标函数，因而不占评估预算。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C. 启发式热启动（早期加速器）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以拉丁超立方保多样性、注入“低 R + 零储”种子并全部经修复，令初始种群即近似可行。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D. 为何有效，又为何仍需进化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大 K 下可行域骤缩，随机初始化难以命中；修复直接构造可行解绕过瓶颈，使 FG 用一半预算即追平基线满预算。但修复只给可行、给不出前沿，成本↔风险的权衡仍靠进化搜索。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［Algorithm 1（FG-NSGA-II 主循环伪代码）待填］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>IV.  实验研究 Experimental Study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［逻辑线：两层证据：B 证方案好用（省 13.1%、一站一策），C 证使能方法为何快且随规模仍快——共同回扣“结构即失效之因、亦即 FG 之用”］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A. 实验设置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规模 K∈{10,20,30,40}；基线为经典 NSGA-II 与 NSGA-III（种群严格相等），另含 repair-only / warm-start-only 两消融变体；指标以 HV 为主、小 K 用 IGD 对 Minkowski 真前沿；逐代记 HV（基线 gen800、FG 类 gen400），3 seed 取 mean±std，每 K 共同参考点。种群 pop=100 固定，故代数与目标函数评价次数（NFE=pop×gen）及墙钟时间成正比。</w:t>
      </w:r>
    </w:p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B. 县级应用结果（K=20）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拐点方案相对统一容载比 2.0 在同风险下省 13.1%，并给出一站一策：高发电荷比站配储为主、低者取低容载比配强联络，无站需 R&gt;2.0。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024000" cy="2563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nty_par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56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图 2(a)  县级成本–N-1 风险 Pareto 前沿与拐点</w:t>
      </w:r>
    </w:p>
    <w:p>
      <w:pPr>
        <w:spacing w:before="0" w:after="8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Fig. 2(a).  Cost–N-1 risk Pareto front and the knee point.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024000" cy="2684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684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图 2(b)  拐点处逐站“一站一策”</w:t>
      </w:r>
    </w:p>
    <w:p>
      <w:pPr>
        <w:spacing w:before="0" w:after="8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Fig. 2(b).  Per-substation strategy at the knee point.</w:t>
      </w:r>
    </w:p>
    <w:p>
      <w:pPr>
        <w:spacing w:before="12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表 II  应用结果汇总（FG-NSGA-II，K=20）</w:t>
      </w:r>
    </w:p>
    <w:p>
      <w:pPr>
        <w:spacing w:before="0" w:after="2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TABLE II.  SUMMARY OF APPLICATION RESULTS (K=20)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项目</w:t>
            </w:r>
          </w:p>
        </w:tc>
        <w:tc>
          <w:tcPr>
            <w:tcW w:type="dxa" w:w="5227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结果</w:t>
            </w:r>
          </w:p>
        </w:tc>
      </w:tr>
      <w:tr>
        <w:tc>
          <w:tcPr>
            <w:tcW w:type="dxa" w:w="522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相对全县统一容载比 2.0（同风险）</w:t>
            </w:r>
          </w:p>
        </w:tc>
        <w:tc>
          <w:tcPr>
            <w:tcW w:type="dxa" w:w="522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21836 → 18986 万/年，省 13.1%</w:t>
            </w:r>
          </w:p>
        </w:tc>
      </w:tr>
      <w:tr>
        <w:tc>
          <w:tcPr>
            <w:tcW w:type="dxa" w:w="522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拐点方案（K=20）</w:t>
            </w:r>
          </w:p>
        </w:tc>
        <w:tc>
          <w:tcPr>
            <w:tcW w:type="dxa" w:w="522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成本 18882 万/年、N-1 风险 114 MWh、聚合容载比 1.80（&lt;2.0）</w:t>
            </w:r>
          </w:p>
        </w:tc>
      </w:tr>
      <w:tr>
        <w:tc>
          <w:tcPr>
            <w:tcW w:type="dxa" w:w="522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一站一策路线</w:t>
            </w:r>
          </w:p>
        </w:tc>
        <w:tc>
          <w:tcPr>
            <w:tcW w:type="dxa" w:w="522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11 站配储 / 9 站低容载比+强联络 / 0 站增容（最大 R*≈1.96）</w:t>
            </w:r>
          </w:p>
        </w:tc>
      </w:tr>
      <w:tr>
        <w:tc>
          <w:tcPr>
            <w:tcW w:type="dxa" w:w="522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容载比带效应（成本下限, EENS=0）</w:t>
            </w:r>
          </w:p>
        </w:tc>
        <w:tc>
          <w:tcPr>
            <w:tcW w:type="dxa" w:w="522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[1.6,1.9]:18480 / [1.8,2.1]:18793 / [2.0,2.3]:19043 / [2.2,2.5]:19267（单调↑）</w:t>
            </w:r>
          </w:p>
        </w:tc>
      </w:tr>
      <w:tr>
        <w:tc>
          <w:tcPr>
            <w:tcW w:type="dxa" w:w="522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多县鲁棒（6 县重采样）</w:t>
            </w:r>
          </w:p>
        </w:tc>
        <w:tc>
          <w:tcPr>
            <w:tcW w:type="dxa" w:w="522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省 12.3%±1.3%（10.1–13.7%，全为正）</w:t>
            </w:r>
          </w:p>
        </w:tc>
      </w:tr>
      <w:tr>
        <w:tc>
          <w:tcPr>
            <w:tcW w:type="dxa" w:w="5227"/>
            <w:tcBorders>
              <w:bottom w:val="single" w:sz="12" w:space="0" w:color="000000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上级系统潮流约束</w:t>
            </w:r>
          </w:p>
        </w:tc>
        <w:tc>
          <w:tcPr>
            <w:tcW w:type="dxa" w:w="5227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加约束成本 Δ≈+25 万（&lt;0.3%），近乎不绑定</w:t>
            </w:r>
          </w:p>
        </w:tc>
      </w:tr>
    </w:tbl>
    <w:p>
      <w:pPr>
        <w:spacing w:before="80" w:after="20"/>
        <w:jc w:val="left"/>
      </w:pPr>
      <w:r>
        <w:rPr>
          <w:rFonts w:ascii="Times New Roman" w:hAnsi="Times New Roman" w:eastAsia="宋体"/>
          <w:b w:val="0"/>
          <w:i/>
          <w:smallCaps w:val="0"/>
          <w:sz w:val="20"/>
        </w:rPr>
        <w:t>C. 算法效率与组件消融（核心）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FG-NSGA-II 以约一半预算即达两条基线跑满预算的收敛质量，等价 4.8–11.8× 更少代数（预算无关）。收敛质量差距小且如实披露：收敛 HV 比在 K≤30 时不足 1%、K=40 才 4.8%——本文主张的是效率，而非收敛质量更高。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360" w:num="2" w:equalWidth="1"/>
          <w:docGrid w:linePitch="360"/>
        </w:sectPr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263999" cy="4464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hance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46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图 3（核心）  各规模逐代 HV 收敛（4 个 K、5 变体 mean±std）</w:t>
      </w:r>
    </w:p>
    <w:p>
      <w:pPr>
        <w:spacing w:before="0" w:after="8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Fig. 3.  Per-generation hypervolume (mean±std, 3 seeds) for K in {10,20,30,40}.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720" w:num="1" w:equalWidth="1"/>
          <w:docGrid w:linePitch="360"/>
        </w:sectPr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024000" cy="24970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ling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图 4  iso-quality 加速比随规模 K</w:t>
      </w:r>
    </w:p>
    <w:p>
      <w:pPr>
        <w:spacing w:before="0" w:after="8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Fig. 4.  Iso-quality speedup versus scale K.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两组件消融：repair-only 的收敛 HV 与完整 FG 几乎重合（比值 0.997–1.000），说明修复算子是主驱动；warm-start-only 在早期超过经典（gen100 至 +6.3%）但收敛后被洗掉，说明热启动只提前收敛、不改终值。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360" w:num="2" w:equalWidth="1"/>
          <w:docGrid w:linePitch="360"/>
        </w:sectPr>
      </w:pPr>
    </w:p>
    <w:p>
      <w:pPr>
        <w:spacing w:before="120" w:after="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表 I  5 变体收敛 HV、加速比与消融归因（K∈{10,20,30,40}）</w:t>
      </w:r>
    </w:p>
    <w:p>
      <w:pPr>
        <w:spacing w:before="0" w:after="20" w:line="254" w:lineRule="auto"/>
        <w:jc w:val="center"/>
      </w:pPr>
      <w:r>
        <w:rPr>
          <w:rFonts w:ascii="Times New Roman" w:hAnsi="Times New Roman" w:eastAsia="宋体"/>
          <w:b/>
          <w:i w:val="0"/>
          <w:smallCaps w:val="0"/>
          <w:sz w:val="17"/>
        </w:rPr>
        <w:t>TABLE I.  CONVERGED HYPERVOLUME, ISO-QUALITY SPEEDUP AND ABLATION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K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Classic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NSGA-III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Repair-only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Warm-start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FG (ours)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FG/Cls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FG/N3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加速×Cls</w:t>
            </w:r>
          </w:p>
        </w:tc>
        <w:tc>
          <w:tcPr>
            <w:tcW w:type="dxa" w:w="104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mallCaps w:val="0"/>
                <w:sz w:val="16"/>
              </w:rPr>
              <w:t>加速×N3</w:t>
            </w:r>
          </w:p>
        </w:tc>
      </w:tr>
      <w:tr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10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1.72e+05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1.72e+05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1.73e+05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1.72e+05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1.74e+05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1.007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1.009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6.6×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7.5×</w:t>
            </w:r>
          </w:p>
        </w:tc>
      </w:tr>
      <w:tr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20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7.53e+05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7.46e+05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7.58e+05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7.46e+05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7.59e+05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1.007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1.016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4.8×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9.1×</w:t>
            </w:r>
          </w:p>
        </w:tc>
      </w:tr>
      <w:tr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30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1.67e+06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1.63e+06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1.68e+06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1.65e+06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1.68e+06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1.009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1.030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5.3×</w:t>
            </w:r>
          </w:p>
        </w:tc>
        <w:tc>
          <w:tcPr>
            <w:tcW w:type="dxa" w:w="1045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11.1×</w:t>
            </w:r>
          </w:p>
        </w:tc>
      </w:tr>
      <w:tr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40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5.03e+06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4.96e+06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5.27e+06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5.02e+06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5.27e+06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1.048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1.064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9.5×</w:t>
            </w:r>
          </w:p>
        </w:tc>
        <w:tc>
          <w:tcPr>
            <w:tcW w:type="dxa" w:w="1045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mallCaps w:val="0"/>
                <w:sz w:val="16"/>
              </w:rPr>
              <w:t>11.8×</w:t>
            </w:r>
          </w:p>
        </w:tc>
      </w:tr>
    </w:tbl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6"/>
        </w:rPr>
        <w:t>注：离散性以 3 seed 的 mean±std 报告；正式显著性检验（Wilcoxon）列为扩展版工作。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space="720" w:num="1" w:equalWidth="1"/>
          <w:docGrid w:linePitch="360"/>
        </w:sectPr>
      </w:pP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>V.  结论 Conclusion</w:t>
      </w:r>
    </w:p>
    <w:p>
      <w:pPr>
        <w:spacing w:before="0" w:after="4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［逻辑线：收束主线：弹性建模 → FG-NSGA-II → 双层证据；再指向实测标定等未来工作］</w:t>
      </w:r>
    </w:p>
    <w:p>
      <w:pPr>
        <w:spacing w:before="0" w:after="60" w:line="254" w:lineRule="auto"/>
        <w:ind w:firstLineChars="200"/>
        <w:jc w:val="both"/>
      </w:pPr>
      <w:r>
        <w:rPr>
          <w:rFonts w:ascii="Times New Roman" w:hAnsi="Times New Roman" w:eastAsia="宋体"/>
          <w:b w:val="0"/>
          <w:i w:val="0"/>
          <w:smallCaps w:val="0"/>
          <w:sz w:val="20"/>
        </w:rPr>
        <w:t>本文把容载比“向下弹性”建模为县级多站约束多目标优化，提出 FG-NSGA-II 使其可解，并给出双层证据：应用层相对统一容载比 2.0 省 13.1% 且一站一策，算法层以约一半预算、4.8–11.8× 更少代数达同等收敛质量。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［future work 待补：实测标定、储能能量约束、区域×规模真·跨县、上级约束更强绑定情形、更大规模与统计检验］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 w:val="0"/>
          <w:i w:val="0"/>
          <w:smallCaps/>
          <w:sz w:val="20"/>
        </w:rPr>
        <w:t xml:space="preserve">  参考文献 References</w:t>
      </w:r>
    </w:p>
    <w:p>
      <w:pPr>
        <w:spacing w:before="0" w:after="60" w:line="254" w:lineRule="auto"/>
        <w:jc w:val="both"/>
      </w:pPr>
      <w:r>
        <w:rPr>
          <w:rFonts w:ascii="Times New Roman" w:hAnsi="Times New Roman" w:eastAsia="宋体"/>
          <w:b w:val="0"/>
          <w:i/>
          <w:smallCaps w:val="0"/>
          <w:color w:val="8A939E"/>
          <w:sz w:val="17"/>
        </w:rPr>
        <w:t>［约 24 条 IEEE 格式待补：容载比/反送承载力导则、分布式光伏并网、NSGA-II 原文、NSGA-III、约束处理/修复算子 EMO、HV/IGD 指标、进化多目标在电网规划应用、pymoo；可复用无EA版 [14]–[30]］</w:t>
      </w:r>
    </w:p>
    <w:sectPr w:rsidR="00FC693F" w:rsidRPr="0006063C" w:rsidSect="00034616">
      <w:type w:val="continuous"/>
      <w:pgSz w:w="12240" w:h="15840"/>
      <w:pgMar w:top="1080" w:right="893" w:bottom="1440" w:left="893" w:header="720" w:footer="720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县级110kV容载比弹性 FG-NSGA-II —— 论文骨架（IEEE 会议模版格式）</dc:title>
  <dc:subject/>
  <dc:creator>XH</dc:creator>
  <cp:keywords/>
  <dc:description>generated by python-docx</dc:description>
  <cp:lastModifiedBy>XH</cp:lastModifiedBy>
  <cp:revision>1</cp:revision>
  <dcterms:created xsi:type="dcterms:W3CDTF">2013-12-23T23:15:00Z</dcterms:created>
  <dcterms:modified xsi:type="dcterms:W3CDTF">2013-12-23T23:15:00Z</dcterms:modified>
  <cp:category/>
</cp:coreProperties>
</file>