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F487">
      <w:pPr>
        <w:spacing w:before="0" w:after="60" w:line="23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48"/>
        </w:rPr>
        <w:t xml:space="preserve">Engineering-Prior-Guided NSGA-II for Differentiated Capacity-Load Ratio Optimization in County 110-kV Grids under High Distributed PV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48"/>
        </w:rPr>
        <w:t>Penetration</w:t>
      </w:r>
    </w:p>
    <w:p w14:paraId="383D8B4B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2"/>
        </w:rPr>
        <w:t>Heng Xu</w:t>
      </w:r>
    </w:p>
    <w:p w14:paraId="29884621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School of Electrical Engineering</w:t>
      </w:r>
    </w:p>
    <w:p w14:paraId="06C61D16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China University of Mining and Technology</w:t>
      </w:r>
    </w:p>
    <w:p w14:paraId="56E37532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Xuzhou, Jiangsu, China</w:t>
      </w:r>
    </w:p>
    <w:p w14:paraId="212ECB0E">
      <w:pPr>
        <w:spacing w:before="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ts24230188p31@cumt.edu.cn</w:t>
      </w:r>
    </w:p>
    <w:p w14:paraId="0ECFC848">
      <w:pPr>
        <w:rPr>
          <w:rFonts w:hint="default" w:ascii="Times New Roman" w:hAnsi="Times New Roman" w:cs="Times New Roman"/>
        </w:rPr>
        <w:sectPr>
          <w:pgSz w:w="12240" w:h="15840"/>
          <w:pgMar w:top="1080" w:right="893" w:bottom="1440" w:left="893" w:header="720" w:footer="720" w:gutter="0"/>
          <w:cols w:space="720" w:num="1"/>
          <w:docGrid w:linePitch="360" w:charSpace="0"/>
        </w:sectPr>
      </w:pPr>
    </w:p>
    <w:p w14:paraId="5EB4C81E">
      <w:pPr>
        <w:spacing w:before="0" w:after="6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  <w:t>Abstract—High penetration of distributed photovoltaic (PV) generation makes county-level 110-kV grids bidirectional, causing reverse power flow and affecting supply adequacy under N-1 contingencies. This study formulates a multiobjective model that coordinates a county's 110-kV substations and optimizes differentiated capacity-load ratios (CLRs) and storage power ratings under a load-weighted aggregate CLR band and reverse-power-flow constraints, minimizing annualized cost and expected energy not supplied (EENS). Engineering-Prior-Guided NSGA-II (EPG-NSGA-II) adds feasibility-preserving warm-start sampling and a repair projection. On a public-data-informed synthetic county test system, it cuts annualized cost by 13.1% versus the uniform R=2.0 baseline at the same EENS level; across K=10–40 its converged hypervolume reaches +4.8% over standard NSGA-II at K=40.</w:t>
      </w:r>
      <w:r>
        <w:rPr>
          <w:rFonts w:hint="eastAsia" w:ascii="Times New Roman" w:hAnsi="Times New Roman" w:eastAsia="宋体" w:cs="Times New Roman"/>
          <w:b/>
          <w:i/>
          <w:smallCaps w:val="0"/>
          <w:sz w:val="18"/>
          <w:lang w:eastAsia="zh-CN"/>
        </w:rPr>
      </w: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</w:r>
    </w:p>
    <w:p w14:paraId="1D7C4C76">
      <w:pPr>
        <w:spacing w:before="0" w:after="8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  <w:t>Index Terms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z w:val="18"/>
        </w:rPr>
        <w:t>—Capacity-load ratio, distributed photovoltaic generation, multiobjective optimization, reverse power flow, substation planning.</w:t>
      </w:r>
    </w:p>
    <w:p w14:paraId="3E05E10F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I.  INTRODUCTION</w:t>
      </w:r>
    </w:p>
    <w:p w14:paraId="0C07D510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High penetration of distributed PV generation is turning county-level 110-kV grids bidirectional: midday PV can exceed local demand, causing reverse power flow and shifting supply adequacy under N-1 contingencies [1]. A uniform capacity-load ratio over-invests at moderate-PV stations and under-constrains reverse power flow at substations with high distributed-PV penetration [2], [3]. Existing planning uses fixed or empirical rules, while evolutionary optimization searches the cost-risk trade-off directly [2], [3], [4], [5], with knowledge transfer further improving search efficiency [6]. Random initialization and variation then yield many infeasible individuals.</w:t>
      </w:r>
    </w:p>
    <w:p w14:paraId="666B67A2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>This study proposes EPG-NSGA-II, which keeps nondominated sorting unchanged and adds two engineering-prior operators: warm-start sampling within engineering bounds and repair projection after variation. Contributions: a multiobjective model with differentiated capacity-load ratios under an aggregate-CLR band, reverse-power-flow constraints, and an EENS-based supply-adequacy objective; the EPG-NSGA-II strategy; and a public-data-informed synthetic county test system with ablation.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r>
    </w:p>
    <w:p w14:paraId="78E08A46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II.  ENGINEERING-PRIOR-GUIDED NSGA-II</w:t>
      </w:r>
    </w:p>
    <w:p w14:paraId="28DE3553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A.  Planning Model</w:t>
      </w:r>
    </w:p>
    <w:p w14:paraId="5BF3FA44">
      <w:pPr>
        <w:spacing w:before="0" w:after="0" w:line="240" w:lineRule="auto"/>
        <w:ind w:firstLineChars="15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model considers a set of 110 kV substations. Each station is assigned two planning variables: a capacity-load ratio and a storage power rating for absorbing reverse power flow.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Current peak loads are projected to the planning year with a 5% annual growth rate over a five-year horizon. The projected load of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, denoted by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, is used consistently in the capacity, reverse-power, and N-1 risk terms.</w:t>
      </w:r>
    </w:p>
    <w:p w14:paraId="3094BF51">
      <w:pPr>
        <w:spacing w:before="0" w:after="0" w:line="240" w:lineRule="auto"/>
        <w:ind w:firstLineChars="15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The pre-storage midday reverse injection at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denoted by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. After storage absorption, the residual reverse power flow</w:t>
      </w:r>
      <w:r>
        <m:rPr/>
        <w:rPr>
          <w:rFonts w:hint="eastAsia" w:hAnsi="Cambria Math" w:eastAsia="宋体"/>
          <w:i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is given by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0652E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" w:type="dxa"/>
            <w:vAlign w:val="center"/>
          </w:tcPr>
          <w:p w14:paraId="4DA754B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1C680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eastAsia="宋体"/>
                            <w:b w:val="0"/>
                            <w:bCs w:val="0"/>
                            <w:sz w:val="2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b w:val="0"/>
                            <w:bCs w:val="0"/>
                            <w:sz w:val="2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)=max{0,</m:t>
                </m:r>
                <m:sSubSup>
                  <m:sSubSup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}</m:t>
                </m:r>
                <m:r>
                  <m:rPr/>
                  <w:rPr>
                    <w:rFonts w:hint="default" w:ascii="Cambria Math" w:hAnsi="Cambria Math" w:eastAsia="宋体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0FF3E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(1)</w:t>
            </w:r>
          </w:p>
        </w:tc>
      </w:tr>
    </w:tbl>
    <w:p w14:paraId="460A97CE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Here,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denotes the storage power rating assigned to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m:rPr/>
        <w:rPr>
          <w:rFonts w:hint="eastAsia" w:hAnsi="Times New Roman" w:eastAsia="宋体" w:cs="Times New Roman"/>
          <w:b w:val="0"/>
          <w:bCs w:val="0"/>
          <w:i w:val="0"/>
          <w:sz w:val="20"/>
          <w:lang w:val="en-US" w:eastAsia="zh-CN"/>
        </w:rPr>
        <w:t xml:space="preserve"> .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Times New Roman" w:cs="Times New Roman"/>
                    <w:b w:val="0"/>
                    <w:i w:val="0"/>
                    <w:smallCaps w:val="0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smallCaps w:val="0"/>
                    <w:sz w:val="20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b w:val="0"/>
                    <w:i w:val="0"/>
                    <w:smallCaps w:val="0"/>
                    <w:sz w:val="20"/>
                  </w:rPr>
                </m:ctrlPr>
              </m:e>
            </m:acc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j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Times New Roman" w:cs="Times New Roman"/>
            <w:smallCaps w:val="0"/>
            <w:sz w:val="20"/>
          </w:rPr>
          <m:t>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j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Times New Roman" w:cs="Times New Roman"/>
            <w:smallCaps w:val="0"/>
            <w:sz w:val="20"/>
          </w:rPr>
          <m:t>)</m:t>
        </m:r>
      </m:oMath>
      <w:r>
        <m:rPr/>
        <w:rPr>
          <w:rFonts w:hint="eastAsia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is the residual reverse power after storage absorption.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The capacity-load ratio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R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  <w:vertAlign w:val="subscript"/>
        </w:rPr>
        <w:t>j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bounded within [1.2, 3.0], and the storage power rating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P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  <w:vertAlign w:val="subscript"/>
        </w:rPr>
        <w:t>j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bounded within [0, 6] MW. The load-weighted aggregate capacity-load ratio is constrained by the planning band in (2)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32F09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13" w:type="dxa"/>
            <w:vAlign w:val="center"/>
          </w:tcPr>
          <w:p w14:paraId="1128050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2F6EF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1.8≤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/(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)≤2.2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CB62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(2)</w:t>
            </w:r>
          </w:p>
        </w:tc>
      </w:tr>
    </w:tbl>
    <w:p w14:paraId="4AD47D07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Residual reverse power flow is constrained at both station and upstream levels,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44EB5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13" w:type="dxa"/>
            <w:vAlign w:val="center"/>
          </w:tcPr>
          <w:p w14:paraId="2BE5931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2" w:type="dxa"/>
            <w:vAlign w:val="center"/>
          </w:tcPr>
          <w:p w14:paraId="45A2F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Times New Roman"/>
                    <w:b w:val="0"/>
                    <w:bCs w:val="0"/>
                    <w:i w:val="0"/>
                    <w:iCs/>
                    <w:sz w:val="20"/>
                  </w:rPr>
                  <m:t>≤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β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p>
                </m:sSubSup>
              </m:oMath>
            </m:oMathPara>
          </w:p>
          <w:p w14:paraId="1A569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η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sz w:val="20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i/>
                                <w:sz w:val="20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sz w:val="20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Times New Roman"/>
                    <w:b w:val="0"/>
                    <w:bCs w:val="0"/>
                    <w:i w:val="0"/>
                    <w:iCs w:val="0"/>
                    <w:sz w:val="20"/>
                  </w:rPr>
                  <m:t>≤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β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220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δ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A15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  <w:szCs w:val="20"/>
              </w:rPr>
              <w:t>(3)</w:t>
            </w:r>
          </w:p>
        </w:tc>
      </w:tr>
    </w:tbl>
    <w:p w14:paraId="6E74987E">
      <w:pPr>
        <w:spacing w:before="0" w:after="40" w:line="240" w:lineRule="auto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where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β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0.85 is the transformer reverse-loading limit,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220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1.8 the upper-level capacity-load ratio,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δ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0.85 the upstream coincidence factor, and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η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1.0 the reverse coincidence factor.</w:t>
      </w:r>
    </w:p>
    <w:p w14:paraId="329A7E21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optimization minimizes two conflicting objectives: annualized cost and N-1 supply risk,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53445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113" w:type="dxa"/>
            <w:vAlign w:val="center"/>
          </w:tcPr>
          <w:p w14:paraId="2D21151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65AFC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min (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0"/>
                    <w:szCs w:val="20"/>
                    <w:lang w:val="en-US" w:eastAsia="zh-CN"/>
                  </w:rPr>
                  <m:t>,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 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)</m:t>
                </m:r>
              </m:oMath>
            </m:oMathPara>
          </w:p>
          <w:p w14:paraId="4D390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loss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om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</m:t>
                </m:r>
              </m:oMath>
            </m:oMathPara>
          </w:p>
          <w:p w14:paraId="16015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 w:line="6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​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0"/>
                            <w:szCs w:val="20"/>
                          </w:rPr>
                          <m:t>EENS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0"/>
                            <w:szCs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0"/>
                    <w:szCs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9C0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(4)</w:t>
            </w:r>
          </w:p>
        </w:tc>
      </w:tr>
    </w:tbl>
    <w:p w14:paraId="19DBD709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Here,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annualized cost objective and </w:t>
      </w:r>
      <m:oMath>
        <m:sSub>
          <m:sSubP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0"/>
                <w:szCs w:val="20"/>
              </w:rPr>
              <m:t>f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0"/>
                <w:szCs w:val="20"/>
              </w:rPr>
              <m:t>2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N-1 risk objective. The parameters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are annualized unit costs, while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loss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om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denote annualized loss and O&amp;M costs. The N-1 risk </w:t>
      </w:r>
      <m:oMath>
        <m:sSub>
          <m:sSubP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0"/>
                <w:szCs w:val="20"/>
              </w:rPr>
              <m:t>f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0"/>
                <w:szCs w:val="20"/>
              </w:rPr>
              <m:t>2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total EENS,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7D77E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113" w:type="dxa"/>
            <w:vAlign w:val="center"/>
          </w:tcPr>
          <w:p w14:paraId="2E4B256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60BC9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EENS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∈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0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max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{0,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}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EE0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(5)</w:t>
            </w:r>
          </w:p>
        </w:tc>
      </w:tr>
    </w:tbl>
    <w:p w14:paraId="782DE444">
      <w:pPr>
        <w:spacing w:before="0" w:after="40" w:line="240" w:lineRule="auto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In (5),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/>
              <w:rPr>
                <w:rFonts w:ascii="Cambria Math" w:hAnsi="Cambria Math" w:cs="Times New Roman"/>
                <w:sz w:val="20"/>
              </w:rPr>
              <m:t>Ω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outage-state set,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are the probability and duration of state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s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,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available supply determined by transformer capacity and fixed tie-line support.</w:t>
      </w:r>
    </w:p>
    <w:p w14:paraId="0E2F1F8D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Storage only absorbs reverse power flow, not credited as firm N-1 backup. The optimization is subject to the variable bounds, the aggregate-ratio band, and the reverse-power-flow constraints.</w:t>
      </w:r>
    </w:p>
    <w:p w14:paraId="231AA41C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B.  EPG-NSGA-II Procedure</w:t>
      </w:r>
    </w:p>
    <w:p w14:paraId="3E1649FF">
      <w:pPr>
        <w:spacing w:before="0" w:after="0" w:line="240" w:lineRule="auto"/>
        <w:ind w:firstLineChars="15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EPG-NSGA-II retains the NSGA-II backbone [5] and applies warm-start sampling and repair projection before objective evaluation: the warm start seeds a near-feasible population, repair follows every variation step.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r>
    </w:p>
    <w:tbl>
      <w:tblPr>
        <w:tblStyle w:val="32"/>
        <w:tblW w:w="50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</w:tblGrid>
      <w:tr w14:paraId="5CC1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46" w:type="dxa"/>
            <w:tcBorders>
              <w:top w:val="single" w:color="000000" w:sz="12" w:space="0"/>
              <w:bottom w:val="single" w:color="000000" w:sz="4" w:space="0"/>
            </w:tcBorders>
            <w:vAlign w:val="center"/>
          </w:tcPr>
          <w:p w14:paraId="40F8AFD9">
            <w:pPr>
              <w:keepNext/>
              <w:spacing w:before="20" w:after="2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 xml:space="preserve">Algorithm 1 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smallCaps w:val="0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EPG-NSGA-II</w:t>
            </w:r>
          </w:p>
        </w:tc>
      </w:tr>
      <w:tr w14:paraId="7F096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46" w:type="dxa"/>
            <w:tcBorders>
              <w:bottom w:val="single" w:color="000000" w:sz="12" w:space="0"/>
            </w:tcBorders>
          </w:tcPr>
          <w:p w14:paraId="4F6625A4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Input: D, bounds, ratio band, reverse-power parameters, N, G.</w:t>
            </w:r>
          </w:p>
          <w:p w14:paraId="5B51D7F6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Output: feasible nondominated set A.</w:t>
            </w:r>
          </w:p>
          <w:p w14:paraId="201A411E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1: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Warm-start sampling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9E0DA40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2: P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Repair projection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8A0777D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3: Evaluate f1 and f2 for all individuals in P</w:t>
            </w:r>
          </w:p>
          <w:p w14:paraId="2C79067A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4: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 xml:space="preserve">for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= 1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to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G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do</w:t>
            </w:r>
          </w:p>
          <w:p w14:paraId="06DBB06D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5:  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Q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← Variation(P)</w:t>
            </w:r>
          </w:p>
          <w:p w14:paraId="7DDC27AF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6:   Q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Repair projection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Q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AFDC8D4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7:   Evaluate f1 and f2 for all individuals in Q</w:t>
            </w:r>
          </w:p>
          <w:p w14:paraId="44BD3F01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8:   U ← P ∪ Q</w:t>
            </w:r>
          </w:p>
          <w:p w14:paraId="15908170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9:   P ← nondominated sort + crowding select (U, N)</w:t>
            </w:r>
          </w:p>
          <w:p w14:paraId="3B9B3512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10: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end for</w:t>
            </w:r>
          </w:p>
          <w:p w14:paraId="596FADCB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11: A ← feasible nondominated individuals in P</w:t>
            </w:r>
          </w:p>
          <w:p w14:paraId="0572A888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12: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return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A</w:t>
            </w:r>
          </w:p>
        </w:tc>
      </w:tr>
    </w:tbl>
    <w:p w14:paraId="26EF5E70">
      <w:pPr>
        <w:spacing w:before="0" w:after="4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eastAsia="zh-CN"/>
        </w:rPr>
        <w:t>WarmStartSampling draws each ratio Rj in [1.2, 3.0], projects the aggregate into band (2), and allocates storage by descending residual reverse-power-flow pressure.</w:t>
      </w:r>
    </w:p>
    <w:p w14:paraId="12C735AB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eastAsia="zh-CN"/>
        </w:rPr>
        <w:t>RepairProjection clips Rj to [1.2, 3.0] and Pj to [0, 6] MW, rescales the aggregate into band (2), enforces the station and upstream reverse-power-flow constraints (3), and runs a final feasibility check.</w:t>
      </w:r>
    </w:p>
    <w:p w14:paraId="518BC8D3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III.  EXPERIMENTS</w:t>
      </w:r>
    </w:p>
    <w:p w14:paraId="2AFCB149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A.  Setup</w:t>
      </w:r>
    </w:p>
    <w:p w14:paraId="1CB58E56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benchmark is a public-data-informed synthetic county test system constructed from scaled IEEE 33-bus feeders [7] and PVGIS irradiance [8], with county sizes K=10, 20, 30, 40, population 100, and three seeds per setting. The baselines, standard NSGA-II and NSGA-III [9], run 800 generations as a longer-budget reference; EPG-NSGA-II runs 400.</w:t>
      </w:r>
    </w:p>
    <w:p w14:paraId="2DA06172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B.  Efficiency and Ablation</w:t>
      </w:r>
    </w:p>
    <w:p w14:paraId="38917C51">
      <w:pPr>
        <w:keepNext/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6"/>
        </w:rPr>
        <w:t>TABLE I. NORMALIZED HYPERVOLUME RESULTS</w:t>
      </w:r>
    </w:p>
    <w:tbl>
      <w:tblPr>
        <w:tblStyle w:val="32"/>
        <w:tblW w:w="464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822"/>
        <w:gridCol w:w="822"/>
        <w:gridCol w:w="822"/>
        <w:gridCol w:w="822"/>
      </w:tblGrid>
      <w:tr w14:paraId="46014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sz="10" w:space="0" w:color="000000"/>
              <w:bottom w:val="single" w:sz="10" w:space="0" w:color="000000"/>
            </w:tcBorders>
          </w:tcPr>
          <w:p w14:paraId="4BE05F4C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Method</w:t>
            </w:r>
          </w:p>
        </w:tc>
        <w:tc>
          <w:tcPr>
            <w:tcW w:w="822" w:type="dxa"/>
            <w:tcBorders>
              <w:top w:val="single" w:sz="10" w:space="0" w:color="000000"/>
              <w:bottom w:val="single" w:sz="10" w:space="0" w:color="000000"/>
            </w:tcBorders>
          </w:tcPr>
          <w:p w14:paraId="67F445C8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K=10</w:t>
            </w:r>
          </w:p>
        </w:tc>
        <w:tc>
          <w:tcPr>
            <w:tcW w:w="822" w:type="dxa"/>
            <w:tcBorders>
              <w:top w:val="single" w:sz="10" w:space="0" w:color="000000"/>
              <w:bottom w:val="single" w:sz="10" w:space="0" w:color="000000"/>
            </w:tcBorders>
          </w:tcPr>
          <w:p w14:paraId="28C5C413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K=20</w:t>
            </w:r>
          </w:p>
        </w:tc>
        <w:tc>
          <w:tcPr>
            <w:tcW w:w="822" w:type="dxa"/>
            <w:tcBorders>
              <w:top w:val="single" w:sz="10" w:space="0" w:color="000000"/>
              <w:bottom w:val="single" w:sz="10" w:space="0" w:color="000000"/>
            </w:tcBorders>
          </w:tcPr>
          <w:p w14:paraId="6634DCD1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K=30</w:t>
            </w:r>
          </w:p>
        </w:tc>
        <w:tc>
          <w:tcPr>
            <w:tcW w:w="822" w:type="dxa"/>
            <w:tcBorders>
              <w:top w:val="single" w:sz="10" w:space="0" w:color="000000"/>
              <w:bottom w:val="single" w:sz="10" w:space="0" w:color="000000"/>
            </w:tcBorders>
          </w:tcPr>
          <w:p w14:paraId="4B4C256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K=40</w:t>
            </w:r>
          </w:p>
        </w:tc>
      </w:tr>
      <w:tr w14:paraId="52C68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/>
          </w:tcPr>
          <w:p w14:paraId="20454840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NSGA-II</w:t>
            </w:r>
          </w:p>
        </w:tc>
        <w:tc>
          <w:tcPr>
            <w:tcW w:w="822" w:type="dxa"/>
            <w:tcBorders/>
          </w:tcPr>
          <w:p w14:paraId="49F83D2B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/>
          </w:tcPr>
          <w:p w14:paraId="07968ADB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/>
          </w:tcPr>
          <w:p w14:paraId="70828118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/>
          </w:tcPr>
          <w:p w14:paraId="43BEA6E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</w:tr>
      <w:tr w14:paraId="1A1E4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/>
          </w:tcPr>
          <w:p w14:paraId="05BC051E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NSGA-III</w:t>
            </w:r>
          </w:p>
        </w:tc>
        <w:tc>
          <w:tcPr>
            <w:tcW w:w="822" w:type="dxa"/>
            <w:tcBorders/>
          </w:tcPr>
          <w:p w14:paraId="3A956929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0.998</w:t>
            </w:r>
          </w:p>
        </w:tc>
        <w:tc>
          <w:tcPr>
            <w:tcW w:w="822" w:type="dxa"/>
            <w:tcBorders/>
          </w:tcPr>
          <w:p w14:paraId="497217A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0.991</w:t>
            </w:r>
          </w:p>
        </w:tc>
        <w:tc>
          <w:tcPr>
            <w:tcW w:w="822" w:type="dxa"/>
            <w:tcBorders/>
          </w:tcPr>
          <w:p w14:paraId="2AE159DC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0.979</w:t>
            </w:r>
          </w:p>
        </w:tc>
        <w:tc>
          <w:tcPr>
            <w:tcW w:w="822" w:type="dxa"/>
            <w:tcBorders/>
          </w:tcPr>
          <w:p w14:paraId="1FD99E4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0.985</w:t>
            </w:r>
          </w:p>
        </w:tc>
      </w:tr>
      <w:tr w14:paraId="3AF0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/>
          </w:tcPr>
          <w:p w14:paraId="4029E835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Warm-start-only</w:t>
            </w:r>
          </w:p>
        </w:tc>
        <w:tc>
          <w:tcPr>
            <w:tcW w:w="822" w:type="dxa"/>
            <w:tcBorders/>
          </w:tcPr>
          <w:p w14:paraId="5AF64CD9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0.996</w:t>
            </w:r>
          </w:p>
        </w:tc>
        <w:tc>
          <w:tcPr>
            <w:tcW w:w="822" w:type="dxa"/>
            <w:tcBorders/>
          </w:tcPr>
          <w:p w14:paraId="140DD98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0.991</w:t>
            </w:r>
          </w:p>
        </w:tc>
        <w:tc>
          <w:tcPr>
            <w:tcW w:w="822" w:type="dxa"/>
            <w:tcBorders/>
          </w:tcPr>
          <w:p w14:paraId="476F131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0.988</w:t>
            </w:r>
          </w:p>
        </w:tc>
        <w:tc>
          <w:tcPr>
            <w:tcW w:w="822" w:type="dxa"/>
            <w:tcBorders/>
          </w:tcPr>
          <w:p w14:paraId="330F1F15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0.998</w:t>
            </w:r>
          </w:p>
        </w:tc>
      </w:tr>
      <w:tr>
        <w:tc>
          <w:tcPr>
            <w:tcW w:type="dxa" w:w="1360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Repair-only</w:t>
            </w:r>
          </w:p>
        </w:tc>
        <w:tc>
          <w:tcPr>
            <w:tcW w:type="dxa" w:w="822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1.004</w:t>
            </w:r>
          </w:p>
        </w:tc>
        <w:tc>
          <w:tcPr>
            <w:tcW w:type="dxa" w:w="822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1.006</w:t>
            </w:r>
          </w:p>
        </w:tc>
        <w:tc>
          <w:tcPr>
            <w:tcW w:type="dxa" w:w="822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1.008</w:t>
            </w:r>
          </w:p>
        </w:tc>
        <w:tc>
          <w:tcPr>
            <w:tcW w:type="dxa" w:w="822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1.048</w:t>
            </w:r>
          </w:p>
        </w:tc>
      </w:tr>
      <w:tr>
        <w:tc>
          <w:tcPr>
            <w:tcW w:type="dxa" w:w="1360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EPG-NSGA-II</w:t>
            </w:r>
          </w:p>
        </w:tc>
        <w:tc>
          <w:tcPr>
            <w:tcW w:type="dxa" w:w="822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1.007</w:t>
            </w:r>
          </w:p>
        </w:tc>
        <w:tc>
          <w:tcPr>
            <w:tcW w:type="dxa" w:w="822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1.007</w:t>
            </w:r>
          </w:p>
        </w:tc>
        <w:tc>
          <w:tcPr>
            <w:tcW w:type="dxa" w:w="822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1.009</w:t>
            </w:r>
          </w:p>
        </w:tc>
        <w:tc>
          <w:tcPr>
            <w:tcW w:type="dxa" w:w="822"/>
            <w:tcBorders>
              <w:bottom w:val="single" w:sz="10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1.048</w:t>
            </w:r>
          </w:p>
        </w:tc>
      </w:tr>
    </w:tbl>
    <w:p w14:paraId="53CBB6D4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Table I reports converged HV normalized to standard NSGA-II = 1.000. EPG-NSGA-II is at or above the baseline for every K, widening to +4.8% at K=40; Repair-only tracks it almost exactly (repair drives most of the converged gain), Warm-start-only stays near the baseline (early acceleration), and NSGA-III stays below on this bi-objective problem.</w:t>
      </w:r>
    </w:p>
    <w:p w14:paraId="07DB874B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At K=40, EPG-NSGA-II reaches standard NSGA-II's converged HV in about 84 generations, roughly 9.5× fewer evaluations.</w:t>
      </w:r>
    </w:p>
    <w:p w14:paraId="676D17A6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C.  County-Level Application at K=20</w:t>
      </w:r>
    </w:p>
    <w:p w14:paraId="70FB2EFE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K=20 is a representative county size. Its knee solution has a load-weighted aggregate capacity-load ratio of 1.80, an annualized cost of 188.82 million CNY/yr, and EENS of 114 MWh/yr. High generation-to-load substations receive storage, low-ratio ones rely on tie-line support (Fig. 1). Versus the uniform R=2.0 baseline, the differentiated design cuts annualized cost by 13.1% at the same EENS level.</w:t>
      </w:r>
    </w:p>
    <w:p w14:paraId="349CA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60000" cy="181029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AE72">
      <w:pPr>
        <w:keepNext w:val="0"/>
        <w:spacing w:before="4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6"/>
        </w:rPr>
        <w:t>Fig. 1.  Differentiated planning configuration on the synthetic county test system (K=20).</w:t>
      </w:r>
    </w:p>
    <w:p w14:paraId="462261DF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IV.  CONCLUSION</w:t>
      </w:r>
    </w:p>
    <w:p w14:paraId="11151D04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EPG-NSGA-II's feasibility-preserving warm-start sampling and repair projection enable differentiated capacity-load ratio optimization under high distributed-PV penetration. It lowers annualized cost at the same EENS level and improves converged hypervolume over standard NSGA-II, widening to +4.8% at K=40. Future work: real-grid calibration, energy-limited storage, and statistical testing.</w:t>
      </w:r>
    </w:p>
    <w:p w14:paraId="4F4C6825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REFERENCES</w:t>
      </w:r>
    </w:p>
    <w:p w14:paraId="3E1EA821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[1]  </w:t>
      </w:r>
      <w:r>
        <w:rPr>
          <w:rFonts w:ascii="Times New Roman" w:hAnsi="Times New Roman"/>
          <w:i w:val="0"/>
          <w:sz w:val="15"/>
        </w:rPr>
        <w:t>Q. Hou, N. Zhang, E. Du, M. Miao, F. Peng, and C. Kang, "Probabilistic duck curve in high PV penetration power system," Applied Energy, 2019.</w:t>
      </w:r>
    </w:p>
    <w:p w14:paraId="5D02A849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[2]  </w:t>
      </w:r>
      <w:r>
        <w:rPr>
          <w:rFonts w:ascii="Times New Roman" w:hAnsi="Times New Roman"/>
          <w:i w:val="0"/>
          <w:sz w:val="15"/>
        </w:rPr>
        <w:t>J. Xiao, R. Liu, and M. Long, "Relationship between substation capacity-load ratio and the next-level medium-voltage distribution network," Electric Power Construction, vol. 36, no. 11, pp. 45-50, 2015 (in Chinese).</w:t>
      </w:r>
    </w:p>
    <w:p w14:paraId="5AE8D19D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[3]  </w:t>
      </w:r>
      <w:r>
        <w:rPr>
          <w:rFonts w:ascii="Times New Roman" w:hAnsi="Times New Roman"/>
          <w:i w:val="0"/>
          <w:sz w:val="15"/>
        </w:rPr>
        <w:t>K. Wang, Z. He, J. Ye, Y. Lin, and Y. Ma, "Capacity-load-ratio optimal configuration for coordinated planning of multi-voltage-level grids," Southern Power System Technology, vol. 19, no. 7, pp. 131-139, 2025 (in Chinese).</w:t>
      </w:r>
    </w:p>
    <w:p w14:paraId="0B8826BD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[4]  </w:t>
      </w:r>
      <w:r>
        <w:rPr>
          <w:rFonts w:ascii="Times New Roman" w:hAnsi="Times New Roman"/>
          <w:i w:val="0"/>
          <w:sz w:val="15"/>
        </w:rPr>
        <w:t>M. Nicolini, "Multi-objective genetic algorithms in designing redundant water distribution systems," in Proc. 2025 IEEE Int. Conf. MIND, 2025.</w:t>
      </w:r>
    </w:p>
    <w:p w14:paraId="2A66ED7F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[5]  </w:t>
      </w:r>
      <w:r>
        <w:rPr>
          <w:rFonts w:ascii="Times New Roman" w:hAnsi="Times New Roman"/>
          <w:i w:val="0"/>
          <w:sz w:val="15"/>
        </w:rPr>
        <w:t xml:space="preserve">K. Deb, A. Pratap, S. Agarwal, and T. Meyarivan, "A fast and elitist multiobjective genetic algorithm: NSGA-II," </w:t>
      </w:r>
      <w:r>
        <w:rPr>
          <w:rFonts w:ascii="Times New Roman" w:hAnsi="Times New Roman"/>
          <w:i/>
          <w:sz w:val="15"/>
        </w:rPr>
        <w:t>IEEE Trans. Evol. Comput.</w:t>
      </w:r>
      <w:r>
        <w:rPr>
          <w:rFonts w:ascii="Times New Roman" w:hAnsi="Times New Roman"/>
          <w:i w:val="0"/>
          <w:sz w:val="15"/>
        </w:rPr>
        <w:t>, vol. 6, no. 2, pp. 182-197, 2002.</w:t>
      </w:r>
    </w:p>
    <w:p w14:paraId="5B1B87D5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[6]  </w:t>
      </w:r>
      <w:r>
        <w:rPr>
          <w:rFonts w:ascii="Times New Roman" w:hAnsi="Times New Roman"/>
          <w:i w:val="0"/>
          <w:sz w:val="15"/>
        </w:rPr>
        <w:t xml:space="preserve">X. Xue, C. Yang, Y. Hu, et al., “Evolutionary sequential transfer optimization for objective-heterogeneous problems,” </w:t>
      </w:r>
      <w:r>
        <w:rPr>
          <w:rFonts w:ascii="Times New Roman" w:hAnsi="Times New Roman"/>
          <w:i/>
          <w:sz w:val="15"/>
        </w:rPr>
        <w:t>IEEE Trans. Evol. Comput.</w:t>
      </w:r>
      <w:r>
        <w:rPr>
          <w:rFonts w:ascii="Times New Roman" w:hAnsi="Times New Roman"/>
          <w:i w:val="0"/>
          <w:sz w:val="15"/>
        </w:rPr>
        <w:t>, vol. 26, no. 6, pp. 1424-1438, 2022.</w:t>
      </w:r>
    </w:p>
    <w:p w14:paraId="459A92FB">
      <w:pPr>
        <w:spacing w:before="0" w:after="0" w:line="182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[7]  </w:t>
      </w:r>
      <w:r>
        <w:rPr>
          <w:rFonts w:ascii="Times New Roman" w:hAnsi="Times New Roman"/>
          <w:i w:val="0"/>
          <w:sz w:val="15"/>
        </w:rPr>
        <w:t>M. E. Baran and F. F. Wu, "Network reconfiguration in distribution systems for loss reduction and load balancing," IEEE Trans. Power Del., vol. 4, no. 2, pp. 1401-1407, 1989.</w:t>
      </w:r>
    </w:p>
    <w:p w14:paraId="1DDB20F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182" w:lineRule="auto"/>
        <w:ind w:hanging="147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ascii="Times New Roman" w:hAnsi="Times New Roman"/>
          <w:sz w:val="15"/>
        </w:rPr>
        <w:t xml:space="preserve">[8]  </w:t>
      </w:r>
      <w:r>
        <w:rPr>
          <w:rFonts w:ascii="Times New Roman" w:hAnsi="Times New Roman"/>
          <w:i w:val="0"/>
          <w:sz w:val="15"/>
        </w:rPr>
        <w:t>European Commission, Joint Research Centre, “JRC Photovoltaic Geographical Information System (PVGIS),” [Online]. Available: https://re.jrc.ec.europa.eu/pvg_tools/en/. [Accessed: Jul. 6, 2026].</w:t>
      </w:r>
    </w:p>
    <w:p>
      <w:pPr>
        <w:spacing w:before="0" w:after="0" w:line="182" w:lineRule="auto"/>
        <w:ind w:hanging="150"/>
        <w:jc w:val="both"/>
      </w:pPr>
      <w:r>
        <w:rPr>
          <w:rFonts w:ascii="Times New Roman" w:hAnsi="Times New Roman"/>
          <w:sz w:val="15"/>
        </w:rPr>
        <w:t xml:space="preserve">[9]  </w:t>
      </w:r>
      <w:r>
        <w:rPr>
          <w:rFonts w:ascii="Times New Roman" w:hAnsi="Times New Roman"/>
          <w:i w:val="0"/>
          <w:sz w:val="15"/>
        </w:rPr>
        <w:t xml:space="preserve">K. Deb and H. Jain, "An evolutionary many-objective optimization algorithm using reference-point-based nondominated sorting approach, part I: solving problems with box constraints," </w:t>
      </w:r>
      <w:r>
        <w:rPr>
          <w:rFonts w:ascii="Times New Roman" w:hAnsi="Times New Roman"/>
          <w:i/>
          <w:sz w:val="15"/>
        </w:rPr>
        <w:t>IEEE Trans. Evol. Comput.</w:t>
      </w:r>
      <w:r>
        <w:rPr>
          <w:rFonts w:ascii="Times New Roman" w:hAnsi="Times New Roman"/>
          <w:i w:val="0"/>
          <w:sz w:val="15"/>
        </w:rPr>
        <w:t>, vol. 18, no. 4, pp. 577-601, 2014.</w:t>
      </w:r>
    </w:p>
    <w:sectPr>
      <w:type w:val="continuous"/>
      <w:pgSz w:w="12240" w:h="15840"/>
      <w:pgMar w:top="1080" w:right="893" w:bottom="1440" w:left="893" w:header="720" w:footer="720" w:gutter="0"/>
      <w:cols w:space="36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293"/>
    <w:rsid w:val="00AA1D8D"/>
    <w:rsid w:val="00B47730"/>
    <w:rsid w:val="00CB0664"/>
    <w:rsid w:val="00CE4840"/>
    <w:rsid w:val="00CF3752"/>
    <w:rsid w:val="00FC693F"/>
    <w:rsid w:val="01260F37"/>
    <w:rsid w:val="01AE12BB"/>
    <w:rsid w:val="01CA3F1A"/>
    <w:rsid w:val="02C70E81"/>
    <w:rsid w:val="03392E47"/>
    <w:rsid w:val="034877EC"/>
    <w:rsid w:val="034D4E02"/>
    <w:rsid w:val="03546962"/>
    <w:rsid w:val="036A7762"/>
    <w:rsid w:val="03716088"/>
    <w:rsid w:val="03F82FC0"/>
    <w:rsid w:val="04952304"/>
    <w:rsid w:val="04966335"/>
    <w:rsid w:val="04A4119D"/>
    <w:rsid w:val="04E36F17"/>
    <w:rsid w:val="04E46248"/>
    <w:rsid w:val="050D2A9B"/>
    <w:rsid w:val="05432019"/>
    <w:rsid w:val="05EF2F96"/>
    <w:rsid w:val="061211BE"/>
    <w:rsid w:val="061B11E8"/>
    <w:rsid w:val="065344DE"/>
    <w:rsid w:val="06565D7C"/>
    <w:rsid w:val="06A42F8B"/>
    <w:rsid w:val="07097292"/>
    <w:rsid w:val="072F4F4B"/>
    <w:rsid w:val="077D49D8"/>
    <w:rsid w:val="07C37441"/>
    <w:rsid w:val="081E6EFC"/>
    <w:rsid w:val="082814CF"/>
    <w:rsid w:val="08FB2C0B"/>
    <w:rsid w:val="09A6011A"/>
    <w:rsid w:val="09BB6966"/>
    <w:rsid w:val="0A226E29"/>
    <w:rsid w:val="0ABD461B"/>
    <w:rsid w:val="0AD41965"/>
    <w:rsid w:val="0B161F7E"/>
    <w:rsid w:val="0B640E1B"/>
    <w:rsid w:val="0B7F5D75"/>
    <w:rsid w:val="0BDB744F"/>
    <w:rsid w:val="0C4572E3"/>
    <w:rsid w:val="0C5C7E64"/>
    <w:rsid w:val="0C7E427E"/>
    <w:rsid w:val="0D1D1AC4"/>
    <w:rsid w:val="0D566567"/>
    <w:rsid w:val="0DB77A48"/>
    <w:rsid w:val="0DBF68FD"/>
    <w:rsid w:val="0DCD1AD5"/>
    <w:rsid w:val="0E1A4D56"/>
    <w:rsid w:val="0EDE2DB2"/>
    <w:rsid w:val="0F024CF3"/>
    <w:rsid w:val="0F67724C"/>
    <w:rsid w:val="0F7C24AA"/>
    <w:rsid w:val="0F8C280E"/>
    <w:rsid w:val="0F9F69E6"/>
    <w:rsid w:val="106775C3"/>
    <w:rsid w:val="108300B5"/>
    <w:rsid w:val="120435CD"/>
    <w:rsid w:val="12C86253"/>
    <w:rsid w:val="12D14D6A"/>
    <w:rsid w:val="13122ABD"/>
    <w:rsid w:val="145F228C"/>
    <w:rsid w:val="14AD5701"/>
    <w:rsid w:val="14C64A14"/>
    <w:rsid w:val="15536B51"/>
    <w:rsid w:val="156758B0"/>
    <w:rsid w:val="156D4E90"/>
    <w:rsid w:val="15FA06DC"/>
    <w:rsid w:val="1633712C"/>
    <w:rsid w:val="172C59B5"/>
    <w:rsid w:val="17A4103D"/>
    <w:rsid w:val="18511F7B"/>
    <w:rsid w:val="185D2F9A"/>
    <w:rsid w:val="18C257E8"/>
    <w:rsid w:val="19816DB3"/>
    <w:rsid w:val="1A626F8D"/>
    <w:rsid w:val="1AF44089"/>
    <w:rsid w:val="1B1C5ADB"/>
    <w:rsid w:val="1B702014"/>
    <w:rsid w:val="1BAA0BEC"/>
    <w:rsid w:val="1BBD7433"/>
    <w:rsid w:val="1C2B6096"/>
    <w:rsid w:val="1C5B1EE6"/>
    <w:rsid w:val="1C6A081D"/>
    <w:rsid w:val="1CA70C88"/>
    <w:rsid w:val="1D01483C"/>
    <w:rsid w:val="1D22539B"/>
    <w:rsid w:val="1E2E1F24"/>
    <w:rsid w:val="1E36026B"/>
    <w:rsid w:val="1F9C0A65"/>
    <w:rsid w:val="1FE0357D"/>
    <w:rsid w:val="1FE30229"/>
    <w:rsid w:val="20A57B28"/>
    <w:rsid w:val="20DF30E6"/>
    <w:rsid w:val="216C51F8"/>
    <w:rsid w:val="21B07753"/>
    <w:rsid w:val="21B856E5"/>
    <w:rsid w:val="21C77D00"/>
    <w:rsid w:val="221F7512"/>
    <w:rsid w:val="22EA18E2"/>
    <w:rsid w:val="23297026"/>
    <w:rsid w:val="23953F30"/>
    <w:rsid w:val="242A477B"/>
    <w:rsid w:val="24961D0D"/>
    <w:rsid w:val="24975A86"/>
    <w:rsid w:val="25525847"/>
    <w:rsid w:val="256D4B57"/>
    <w:rsid w:val="25761B3F"/>
    <w:rsid w:val="264F486A"/>
    <w:rsid w:val="26672348"/>
    <w:rsid w:val="26A65805"/>
    <w:rsid w:val="26DD78FA"/>
    <w:rsid w:val="271433BD"/>
    <w:rsid w:val="271909D4"/>
    <w:rsid w:val="2830143E"/>
    <w:rsid w:val="28EC2844"/>
    <w:rsid w:val="28F575CF"/>
    <w:rsid w:val="2973261D"/>
    <w:rsid w:val="29736AC1"/>
    <w:rsid w:val="298712CF"/>
    <w:rsid w:val="2A385615"/>
    <w:rsid w:val="2ABB4FF3"/>
    <w:rsid w:val="2AD27734"/>
    <w:rsid w:val="2B2B5A49"/>
    <w:rsid w:val="2B763FCF"/>
    <w:rsid w:val="2BF13CCD"/>
    <w:rsid w:val="2C004054"/>
    <w:rsid w:val="2D773D38"/>
    <w:rsid w:val="2D8755B3"/>
    <w:rsid w:val="2E5D734C"/>
    <w:rsid w:val="2EC87616"/>
    <w:rsid w:val="2EDA6C9B"/>
    <w:rsid w:val="2F397E65"/>
    <w:rsid w:val="2F6550C0"/>
    <w:rsid w:val="2FD302BA"/>
    <w:rsid w:val="300206D5"/>
    <w:rsid w:val="30E16A06"/>
    <w:rsid w:val="3126266B"/>
    <w:rsid w:val="316A69FC"/>
    <w:rsid w:val="3173175F"/>
    <w:rsid w:val="319D5437"/>
    <w:rsid w:val="31A94CC1"/>
    <w:rsid w:val="31CF15AD"/>
    <w:rsid w:val="322102F2"/>
    <w:rsid w:val="331D7A9E"/>
    <w:rsid w:val="33437E6D"/>
    <w:rsid w:val="33443479"/>
    <w:rsid w:val="33444B2C"/>
    <w:rsid w:val="337467D7"/>
    <w:rsid w:val="33850849"/>
    <w:rsid w:val="35481835"/>
    <w:rsid w:val="358D4A67"/>
    <w:rsid w:val="35D07049"/>
    <w:rsid w:val="36BF5E38"/>
    <w:rsid w:val="36FD79CA"/>
    <w:rsid w:val="374C0952"/>
    <w:rsid w:val="37E22DB7"/>
    <w:rsid w:val="38375C06"/>
    <w:rsid w:val="39495149"/>
    <w:rsid w:val="39C2500F"/>
    <w:rsid w:val="39C26CA9"/>
    <w:rsid w:val="39D61D44"/>
    <w:rsid w:val="3AC30B19"/>
    <w:rsid w:val="3BB840E2"/>
    <w:rsid w:val="3BC46D08"/>
    <w:rsid w:val="3BDF7FE6"/>
    <w:rsid w:val="3C723457"/>
    <w:rsid w:val="3CD84C49"/>
    <w:rsid w:val="3E974BA8"/>
    <w:rsid w:val="3EEF6CC1"/>
    <w:rsid w:val="3EF5367D"/>
    <w:rsid w:val="3F4C14EF"/>
    <w:rsid w:val="3F68494B"/>
    <w:rsid w:val="3FBA0B4E"/>
    <w:rsid w:val="3FF454DB"/>
    <w:rsid w:val="402978A4"/>
    <w:rsid w:val="405F16F6"/>
    <w:rsid w:val="40AF10F4"/>
    <w:rsid w:val="40DF6392"/>
    <w:rsid w:val="40E37C31"/>
    <w:rsid w:val="41DA7286"/>
    <w:rsid w:val="420F4A55"/>
    <w:rsid w:val="42A709DB"/>
    <w:rsid w:val="42B3131D"/>
    <w:rsid w:val="435832D1"/>
    <w:rsid w:val="446612A5"/>
    <w:rsid w:val="446D7F8E"/>
    <w:rsid w:val="4594599D"/>
    <w:rsid w:val="46027693"/>
    <w:rsid w:val="461D1E37"/>
    <w:rsid w:val="462976F5"/>
    <w:rsid w:val="46342C88"/>
    <w:rsid w:val="469C5EE4"/>
    <w:rsid w:val="469D2F78"/>
    <w:rsid w:val="46ED7799"/>
    <w:rsid w:val="47680E90"/>
    <w:rsid w:val="4780267D"/>
    <w:rsid w:val="47853361"/>
    <w:rsid w:val="48903ED5"/>
    <w:rsid w:val="48D96607"/>
    <w:rsid w:val="48DD4703"/>
    <w:rsid w:val="4A171C9D"/>
    <w:rsid w:val="4A3E05CE"/>
    <w:rsid w:val="4A89557F"/>
    <w:rsid w:val="4AEC1DD8"/>
    <w:rsid w:val="4CDA2830"/>
    <w:rsid w:val="4D471547"/>
    <w:rsid w:val="4D550108"/>
    <w:rsid w:val="4D5E2ED5"/>
    <w:rsid w:val="4D6420F9"/>
    <w:rsid w:val="4EAF3848"/>
    <w:rsid w:val="4F0771E0"/>
    <w:rsid w:val="4F870321"/>
    <w:rsid w:val="50010F5D"/>
    <w:rsid w:val="50770396"/>
    <w:rsid w:val="5099030C"/>
    <w:rsid w:val="51493AE0"/>
    <w:rsid w:val="514C5F8F"/>
    <w:rsid w:val="51AD7AEB"/>
    <w:rsid w:val="52350508"/>
    <w:rsid w:val="529A65BD"/>
    <w:rsid w:val="52E723A3"/>
    <w:rsid w:val="53F12DDC"/>
    <w:rsid w:val="541F6689"/>
    <w:rsid w:val="54216F96"/>
    <w:rsid w:val="54D264E2"/>
    <w:rsid w:val="551268DF"/>
    <w:rsid w:val="55712811"/>
    <w:rsid w:val="55CA71B9"/>
    <w:rsid w:val="5706321F"/>
    <w:rsid w:val="572F19CA"/>
    <w:rsid w:val="57347DAF"/>
    <w:rsid w:val="574014E1"/>
    <w:rsid w:val="57862D9C"/>
    <w:rsid w:val="57AD4DFB"/>
    <w:rsid w:val="583A23D4"/>
    <w:rsid w:val="58CB5722"/>
    <w:rsid w:val="58F22CAF"/>
    <w:rsid w:val="5903310E"/>
    <w:rsid w:val="593A51BD"/>
    <w:rsid w:val="59441762"/>
    <w:rsid w:val="59C745E5"/>
    <w:rsid w:val="59ED3476"/>
    <w:rsid w:val="5AFC1BC3"/>
    <w:rsid w:val="5B2C37D5"/>
    <w:rsid w:val="5B7420A1"/>
    <w:rsid w:val="5C845FBE"/>
    <w:rsid w:val="5CD97003"/>
    <w:rsid w:val="5D053910"/>
    <w:rsid w:val="5D495CFE"/>
    <w:rsid w:val="5DA65EFA"/>
    <w:rsid w:val="5DE84681"/>
    <w:rsid w:val="5DF66859"/>
    <w:rsid w:val="5E39312E"/>
    <w:rsid w:val="5EC94A7D"/>
    <w:rsid w:val="5ECF3E31"/>
    <w:rsid w:val="5ED20EA4"/>
    <w:rsid w:val="5F094E5B"/>
    <w:rsid w:val="5F49114F"/>
    <w:rsid w:val="5F9F1531"/>
    <w:rsid w:val="5FFE018B"/>
    <w:rsid w:val="60003F04"/>
    <w:rsid w:val="60454C9A"/>
    <w:rsid w:val="60936074"/>
    <w:rsid w:val="60CC028A"/>
    <w:rsid w:val="61005930"/>
    <w:rsid w:val="610B0DB2"/>
    <w:rsid w:val="613921C4"/>
    <w:rsid w:val="613B0F6B"/>
    <w:rsid w:val="625422E5"/>
    <w:rsid w:val="62F942A3"/>
    <w:rsid w:val="63190CCD"/>
    <w:rsid w:val="635B76A3"/>
    <w:rsid w:val="63C67883"/>
    <w:rsid w:val="63C74D38"/>
    <w:rsid w:val="63CE3967"/>
    <w:rsid w:val="64025D70"/>
    <w:rsid w:val="644545DB"/>
    <w:rsid w:val="645C36D2"/>
    <w:rsid w:val="64607667"/>
    <w:rsid w:val="64C327E2"/>
    <w:rsid w:val="64C33FAD"/>
    <w:rsid w:val="65297A59"/>
    <w:rsid w:val="65744A4C"/>
    <w:rsid w:val="657B5DDA"/>
    <w:rsid w:val="65BC08CD"/>
    <w:rsid w:val="65D82A9D"/>
    <w:rsid w:val="66083B12"/>
    <w:rsid w:val="666B5609"/>
    <w:rsid w:val="669C06FE"/>
    <w:rsid w:val="669E0497"/>
    <w:rsid w:val="66B0537C"/>
    <w:rsid w:val="687F5BE1"/>
    <w:rsid w:val="68CF0917"/>
    <w:rsid w:val="699670B1"/>
    <w:rsid w:val="69A91168"/>
    <w:rsid w:val="6A1327BB"/>
    <w:rsid w:val="6A9E4112"/>
    <w:rsid w:val="6B2C2704"/>
    <w:rsid w:val="6B3C600C"/>
    <w:rsid w:val="6B737C7F"/>
    <w:rsid w:val="6BD33AB4"/>
    <w:rsid w:val="6BF863D7"/>
    <w:rsid w:val="6C8859AD"/>
    <w:rsid w:val="6D4C314B"/>
    <w:rsid w:val="6D8B6DD7"/>
    <w:rsid w:val="6DA31C56"/>
    <w:rsid w:val="6E993D43"/>
    <w:rsid w:val="6EEB2223"/>
    <w:rsid w:val="6FCF6FF9"/>
    <w:rsid w:val="70310109"/>
    <w:rsid w:val="705D0EFE"/>
    <w:rsid w:val="726C5429"/>
    <w:rsid w:val="72916C3D"/>
    <w:rsid w:val="72C93C83"/>
    <w:rsid w:val="73104006"/>
    <w:rsid w:val="73223D39"/>
    <w:rsid w:val="73C84DFA"/>
    <w:rsid w:val="74321150"/>
    <w:rsid w:val="746C7A2D"/>
    <w:rsid w:val="74F636CF"/>
    <w:rsid w:val="75CA019C"/>
    <w:rsid w:val="75F53987"/>
    <w:rsid w:val="75F66D43"/>
    <w:rsid w:val="76D4359C"/>
    <w:rsid w:val="771A3308"/>
    <w:rsid w:val="77534E09"/>
    <w:rsid w:val="77AF0A7E"/>
    <w:rsid w:val="77B07B65"/>
    <w:rsid w:val="77F008AA"/>
    <w:rsid w:val="78D15FE5"/>
    <w:rsid w:val="796E3958"/>
    <w:rsid w:val="798B3EC4"/>
    <w:rsid w:val="798E2128"/>
    <w:rsid w:val="79CB0C87"/>
    <w:rsid w:val="7A97325F"/>
    <w:rsid w:val="7A9F774F"/>
    <w:rsid w:val="7AB114DA"/>
    <w:rsid w:val="7AC31DEF"/>
    <w:rsid w:val="7AFE508C"/>
    <w:rsid w:val="7BAD61AB"/>
    <w:rsid w:val="7BB0282A"/>
    <w:rsid w:val="7C831CEC"/>
    <w:rsid w:val="7D0D7808"/>
    <w:rsid w:val="7F032DB7"/>
    <w:rsid w:val="7F1A633B"/>
    <w:rsid w:val="7F923FF5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1344</Words>
  <Characters>7824</Characters>
  <Lines>0</Lines>
  <Paragraphs>0</Paragraphs>
  <TotalTime>6</TotalTime>
  <ScaleCrop>false</ScaleCrop>
  <LinksUpToDate>false</LinksUpToDate>
  <CharactersWithSpaces>9081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许恒</cp:lastModifiedBy>
  <dcterms:modified xsi:type="dcterms:W3CDTF">2026-07-06T10:33:23Z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eyJoZGlkIjoiODViY2JkMjU3NGYzZTEwMzZmMGFkZWViYmNkYWU3NDIiLCJ1c2VySWQiOiIxMzk5MjQ5MDE5In0=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D23589F5BD274E27BCFA64728C649897_12</vt:lpwstr>
  </property>
</Properties>
</file>