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60" w:after="60"/>
        <w:jc w:val="both"/>
      </w:pPr>
      <w:r>
        <w:rPr>
          <w:rFonts w:ascii="Times New Roman" w:hAnsi="Times New Roman" w:eastAsia="Times New Roman"/>
          <w:b w:val="0"/>
          <w:i w:val="0"/>
          <w:smallCaps w:val="0"/>
          <w:sz w:val="16"/>
        </w:rPr>
        <w:t>TABLE I.  Converged hypervolume by algorithm and county size K, normalized to plain NSGA-II = 1.000 per K (higher is better). Warm-start-only and Repair-only are the warm-start and repair-projection ablations; NSGA-III is a second evolutionary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5102"/>
      </w:tblPr>
      <w:tblGrid>
        <w:gridCol w:w="1474"/>
        <w:gridCol w:w="907"/>
        <w:gridCol w:w="907"/>
        <w:gridCol w:w="907"/>
        <w:gridCol w:w="907"/>
      </w:tblGrid>
      <w:tr>
        <w:trPr>
          <w:cantSplit/>
        </w:trPr>
        <w:tc>
          <w:tcPr>
            <w:tcW w:type="dxa" w:w="1474"/>
            <w:tcBorders>
              <w:top w:val="single" w:sz="10" w:space="0" w:color="000000"/>
              <w:bottom w:val="single" w:sz="10" w:space="0" w:color="000000"/>
            </w:tcBorders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8"/>
              </w:rPr>
              <w:t>Method</w:t>
            </w:r>
          </w:p>
        </w:tc>
        <w:tc>
          <w:tcPr>
            <w:tcW w:type="dxa" w:w="907"/>
            <w:tcBorders>
              <w:top w:val="single" w:sz="10" w:space="0" w:color="000000"/>
              <w:bottom w:val="single" w:sz="10" w:space="0" w:color="000000"/>
            </w:tcBorders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8"/>
              </w:rPr>
              <w:t>K=10</w:t>
            </w:r>
          </w:p>
        </w:tc>
        <w:tc>
          <w:tcPr>
            <w:tcW w:type="dxa" w:w="907"/>
            <w:tcBorders>
              <w:top w:val="single" w:sz="10" w:space="0" w:color="000000"/>
              <w:bottom w:val="single" w:sz="10" w:space="0" w:color="000000"/>
            </w:tcBorders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8"/>
              </w:rPr>
              <w:t>K=20</w:t>
            </w:r>
          </w:p>
        </w:tc>
        <w:tc>
          <w:tcPr>
            <w:tcW w:type="dxa" w:w="907"/>
            <w:tcBorders>
              <w:top w:val="single" w:sz="10" w:space="0" w:color="000000"/>
              <w:bottom w:val="single" w:sz="10" w:space="0" w:color="000000"/>
            </w:tcBorders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8"/>
              </w:rPr>
              <w:t>K=30</w:t>
            </w:r>
          </w:p>
        </w:tc>
        <w:tc>
          <w:tcPr>
            <w:tcW w:type="dxa" w:w="907"/>
            <w:tcBorders>
              <w:top w:val="single" w:sz="10" w:space="0" w:color="000000"/>
              <w:bottom w:val="single" w:sz="10" w:space="0" w:color="000000"/>
            </w:tcBorders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18"/>
              </w:rPr>
              <w:t>K=40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NSGA-II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1.000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1.000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1.000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NSGA-III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0.998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0.991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0.979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0.985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Warm-start-only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0.996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0.991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0.988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0.998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Repair-only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1.004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1.006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1.008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1.048</w:t>
            </w:r>
          </w:p>
        </w:tc>
      </w:tr>
      <w:tr>
        <w:trPr>
          <w:cantSplit/>
        </w:trPr>
        <w:tc>
          <w:tcPr>
            <w:tcW w:type="dxa" w:w="1474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EPG-NSGA-II</w:t>
            </w:r>
          </w:p>
        </w:tc>
        <w:tc>
          <w:tcPr>
            <w:tcW w:type="dxa" w:w="907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1.007</w:t>
            </w:r>
          </w:p>
        </w:tc>
        <w:tc>
          <w:tcPr>
            <w:tcW w:type="dxa" w:w="907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1.007</w:t>
            </w:r>
          </w:p>
        </w:tc>
        <w:tc>
          <w:tcPr>
            <w:tcW w:type="dxa" w:w="907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1.009</w:t>
            </w:r>
          </w:p>
        </w:tc>
        <w:tc>
          <w:tcPr>
            <w:tcW w:type="dxa" w:w="907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mallCaps w:val="0"/>
                <w:sz w:val="18"/>
              </w:rPr>
              <w:t>1.048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 w:val="0"/>
          <w:i w:val="0"/>
          <w:smallCaps w:val="0"/>
          <w:sz w:val="19"/>
        </w:rPr>
        <w:t>Table I reports converged hypervolume normalized to plain NSGA-II = 1.000 at each county size K. EPG-NSGA-II is at or above the baseline for every K, and the margin widens with scale, from +0.7% at K=10 to +4.8% at K=40. The repair-only variant tracks the full method almost exactly (+0.4% to +4.8%), so the repair projection accounts for most of the converged-quality gain; warm-start-only instead stays at or slightly below the baseline at convergence (-0.4% to -0.2%), since its benefit is early acceleration rather than final quality (below). NSGA-III stays below plain NSGA-II throughout (-0.2% to -2.1%), consistent with its reference-point machinery giving little benefit on this bi-objective problem; it is included only as a second evolutionary reference.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smallCaps w:val="0"/>
          <w:sz w:val="18"/>
        </w:rPr>
        <w:t>Reference to add (cite for NSGA-III):</w:t>
      </w:r>
    </w:p>
    <w:p>
      <w:pPr>
        <w:spacing w:before="40"/>
      </w:pPr>
      <w:r>
        <w:rPr>
          <w:rFonts w:ascii="Times New Roman" w:hAnsi="Times New Roman" w:eastAsia="Times New Roman"/>
          <w:b w:val="0"/>
          <w:i w:val="0"/>
          <w:smallCaps w:val="0"/>
          <w:sz w:val="18"/>
        </w:rPr>
        <w:t xml:space="preserve">K. Deb and H. Jain, "An evolutionary many-objective optimization algorithm using reference-point-based nondominated sorting approach, part I: solving problems with box constraints," </w:t>
      </w:r>
      <w:r>
        <w:rPr>
          <w:rFonts w:ascii="Times New Roman" w:hAnsi="Times New Roman" w:eastAsia="Times New Roman"/>
          <w:b w:val="0"/>
          <w:i/>
          <w:smallCaps w:val="0"/>
          <w:sz w:val="18"/>
        </w:rPr>
        <w:t>IEEE Trans. Evol. Comput.</w:t>
      </w:r>
      <w:r>
        <w:rPr>
          <w:rFonts w:ascii="Times New Roman" w:hAnsi="Times New Roman" w:eastAsia="Times New Roman"/>
          <w:b w:val="0"/>
          <w:i w:val="0"/>
          <w:smallCaps w:val="0"/>
          <w:sz w:val="18"/>
        </w:rPr>
        <w:t>, vol. 18, no. 4, pp. 577-601, 2014.</w:t>
      </w:r>
    </w:p>
    <w:sectPr w:rsidR="00FC693F" w:rsidRPr="0006063C" w:rsidSect="00034616">
      <w:pgSz w:w="12240" w:h="15840"/>
      <w:pgMar w:top="1080" w:right="893" w:bottom="14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