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
      <w:pPr>
        <w:spacing w:before="0" w:after="360" w:line="640" w:lineRule="exact"/>
        <w:jc w:val="center"/>
        <w:ind w:firstLine="0" w:firstLineChars="0"/>
      </w:pPr>
      <w:r>
        <w:rPr>
          <w:rFonts w:ascii="Times New Roman" w:hAnsi="Times New Roman" w:eastAsia="黑体"/>
          <w:b/>
          <w:sz w:val="44"/>
        </w:rPr>
        <w:t>国网徐州公司徐州地区分布式新能源高渗透率地区110kV电网容载比弹性指标优化研究</w:t>
      </w:r>
    </w:p>
    <w:p>
      <w:pPr>
        <w:spacing w:before="0" w:after="0" w:line="640" w:lineRule="exact"/>
        <w:jc w:val="center"/>
        <w:ind w:firstLine="0" w:firstLineChars="0"/>
      </w:pPr>
      <w:r>
        <w:rPr>
          <w:rFonts w:ascii="Times New Roman" w:hAnsi="Times New Roman" w:eastAsia="黑体"/>
          <w:b/>
          <w:sz w:val="44"/>
        </w:rPr>
        <w:t>研究报告</w:t>
      </w:r>
    </w:p>
    <w:p>
      <w:pPr>
        <w:spacing w:before="5000" w:after="0" w:line="580" w:lineRule="exact"/>
        <w:jc w:val="center"/>
        <w:ind w:firstLine="0" w:firstLineChars="0"/>
      </w:pPr>
      <w:r>
        <w:rPr>
          <w:rFonts w:ascii="Times New Roman" w:hAnsi="Times New Roman" w:eastAsia="宋体"/>
          <w:b/>
          <w:sz w:val="32"/>
        </w:rPr>
        <w:t>国网江苏省电力有限公司徐州供电分公司</w:t>
      </w:r>
    </w:p>
    <w:p>
      <w:pPr>
        <w:spacing w:before="0" w:after="0" w:line="580" w:lineRule="exact"/>
        <w:jc w:val="center"/>
        <w:ind w:firstLine="0" w:firstLineChars="0"/>
      </w:pPr>
      <w:r>
        <w:rPr>
          <w:rFonts w:ascii="Times New Roman" w:hAnsi="Times New Roman" w:eastAsia="宋体"/>
          <w:b/>
          <w:sz w:val="32"/>
        </w:rPr>
        <w:t>2026年9月</w:t>
      </w:r>
    </w:p>
    <w:p>
      <w:r>
        <w:br w:type="page"/>
      </w:r>
    </w:p>
    <w:p>
      <w:pPr>
        <w:spacing w:before="0" w:after="360" w:line="560" w:lineRule="exact"/>
        <w:jc w:val="center"/>
        <w:ind w:firstLine="0" w:firstLineChars="0"/>
      </w:pPr>
      <w:r>
        <w:rPr>
          <w:rFonts w:ascii="Times New Roman" w:hAnsi="Times New Roman" w:eastAsia="黑体"/>
          <w:b/>
          <w:sz w:val="36"/>
        </w:rPr>
        <w:t>目  录</w:t>
      </w:r>
    </w:p>
    <w:p>
      <w:pPr>
        <w:pStyle w:val="19"/>
        <w:jc w:val="left"/>
        <w:spacing w:before="0" w:after="0" w:line="560" w:lineRule="exact"/>
        <w:ind w:firstLine="0" w:firstLineChars="0" w:left="0"/>
        <w:tabs>
          <w:tab w:val="right" w:leader="dot" w:pos="8200"/>
        </w:tabs>
      </w:pPr>
      <w:r>
        <w:rPr>
          <w:rFonts w:ascii="Times New Roman" w:hAnsi="Times New Roman" w:eastAsia="仿宋_GB2312"/>
          <w:b/>
          <w:sz w:val="28"/>
        </w:rPr>
        <w:t>第一章 绪论</w:t>
      </w:r>
      <w:r>
        <w:rPr>
          <w:rFonts w:ascii="Times New Roman" w:hAnsi="Times New Roman" w:eastAsia="仿宋_GB2312"/>
          <w:b w:val="0"/>
          <w:sz w:val="28"/>
        </w:rPr>
        <w:tab/>
      </w:r>
      <w:r>
        <w:fldChar w:fldCharType="begin" w:dirty="true"/>
        <w:instrText xml:space="preserve"> PAGEREF _TocReport0001 \h </w:instrText>
        <w:fldChar w:fldCharType="separate"/>
      </w:r>
      <w:r>
        <w:rPr>
          <w:rFonts w:ascii="Times New Roman" w:hAnsi="Times New Roman" w:eastAsia="仿宋_GB2312"/>
          <w:b w:val="0"/>
          <w:sz w:val="28"/>
        </w:rPr>
        <w:t>1</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1.1 研究背景与意义</w:t>
      </w:r>
      <w:r>
        <w:rPr>
          <w:rFonts w:ascii="Times New Roman" w:hAnsi="Times New Roman" w:eastAsia="仿宋_GB2312"/>
          <w:b w:val="0"/>
          <w:sz w:val="28"/>
        </w:rPr>
        <w:tab/>
      </w:r>
      <w:r>
        <w:fldChar w:fldCharType="begin" w:dirty="true"/>
        <w:instrText xml:space="preserve"> PAGEREF _TocReport0002 \h </w:instrText>
        <w:fldChar w:fldCharType="separate"/>
      </w:r>
      <w:r>
        <w:rPr>
          <w:rFonts w:ascii="Times New Roman" w:hAnsi="Times New Roman" w:eastAsia="仿宋_GB2312"/>
          <w:b w:val="0"/>
          <w:sz w:val="28"/>
        </w:rPr>
        <w:t>1</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1.2 研究范围与对象</w:t>
      </w:r>
      <w:r>
        <w:rPr>
          <w:rFonts w:ascii="Times New Roman" w:hAnsi="Times New Roman" w:eastAsia="仿宋_GB2312"/>
          <w:b w:val="0"/>
          <w:sz w:val="28"/>
        </w:rPr>
        <w:tab/>
      </w:r>
      <w:r>
        <w:fldChar w:fldCharType="begin" w:dirty="true"/>
        <w:instrText xml:space="preserve"> PAGEREF _TocReport0003 \h </w:instrText>
        <w:fldChar w:fldCharType="separate"/>
      </w:r>
      <w:r>
        <w:rPr>
          <w:rFonts w:ascii="Times New Roman" w:hAnsi="Times New Roman" w:eastAsia="仿宋_GB2312"/>
          <w:b w:val="0"/>
          <w:sz w:val="28"/>
        </w:rPr>
        <w:t>2</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1.3 研究目标与内容</w:t>
      </w:r>
      <w:r>
        <w:rPr>
          <w:rFonts w:ascii="Times New Roman" w:hAnsi="Times New Roman" w:eastAsia="仿宋_GB2312"/>
          <w:b w:val="0"/>
          <w:sz w:val="28"/>
        </w:rPr>
        <w:tab/>
      </w:r>
      <w:r>
        <w:fldChar w:fldCharType="begin" w:dirty="true"/>
        <w:instrText xml:space="preserve"> PAGEREF _TocReport0004 \h </w:instrText>
        <w:fldChar w:fldCharType="separate"/>
      </w:r>
      <w:r>
        <w:rPr>
          <w:rFonts w:ascii="Times New Roman" w:hAnsi="Times New Roman" w:eastAsia="仿宋_GB2312"/>
          <w:b w:val="0"/>
          <w:sz w:val="28"/>
        </w:rPr>
        <w:t>2</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1.4 研究方法与技术路线</w:t>
      </w:r>
      <w:r>
        <w:rPr>
          <w:rFonts w:ascii="Times New Roman" w:hAnsi="Times New Roman" w:eastAsia="仿宋_GB2312"/>
          <w:b w:val="0"/>
          <w:sz w:val="28"/>
        </w:rPr>
        <w:tab/>
      </w:r>
      <w:r>
        <w:fldChar w:fldCharType="begin" w:dirty="true"/>
        <w:instrText xml:space="preserve"> PAGEREF _TocReport0005 \h </w:instrText>
        <w:fldChar w:fldCharType="separate"/>
      </w:r>
      <w:r>
        <w:rPr>
          <w:rFonts w:ascii="Times New Roman" w:hAnsi="Times New Roman" w:eastAsia="仿宋_GB2312"/>
          <w:b w:val="0"/>
          <w:sz w:val="28"/>
        </w:rPr>
        <w:t>4</w:t>
      </w:r>
      <w:r>
        <w:fldChar w:fldCharType="end"/>
      </w:r>
    </w:p>
    <w:p>
      <w:pPr>
        <w:pStyle w:val="19"/>
        <w:jc w:val="left"/>
        <w:spacing w:before="0" w:after="0" w:line="560" w:lineRule="exact"/>
        <w:ind w:firstLine="0" w:firstLineChars="0" w:left="0"/>
        <w:tabs>
          <w:tab w:val="right" w:leader="dot" w:pos="8200"/>
        </w:tabs>
      </w:pPr>
      <w:r>
        <w:rPr>
          <w:rFonts w:ascii="Times New Roman" w:hAnsi="Times New Roman" w:eastAsia="仿宋_GB2312"/>
          <w:b/>
          <w:sz w:val="28"/>
        </w:rPr>
        <w:t>第二章 文献综述与理论基础</w:t>
      </w:r>
      <w:r>
        <w:rPr>
          <w:rFonts w:ascii="Times New Roman" w:hAnsi="Times New Roman" w:eastAsia="仿宋_GB2312"/>
          <w:b w:val="0"/>
          <w:sz w:val="28"/>
        </w:rPr>
        <w:tab/>
      </w:r>
      <w:r>
        <w:fldChar w:fldCharType="begin" w:dirty="true"/>
        <w:instrText xml:space="preserve"> PAGEREF _TocReport0006 \h </w:instrText>
        <w:fldChar w:fldCharType="separate"/>
      </w:r>
      <w:r>
        <w:rPr>
          <w:rFonts w:ascii="Times New Roman" w:hAnsi="Times New Roman" w:eastAsia="仿宋_GB2312"/>
          <w:b w:val="0"/>
          <w:sz w:val="28"/>
        </w:rPr>
        <w:t>7</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2.1 国内外研究现状</w:t>
      </w:r>
      <w:r>
        <w:rPr>
          <w:rFonts w:ascii="Times New Roman" w:hAnsi="Times New Roman" w:eastAsia="仿宋_GB2312"/>
          <w:b w:val="0"/>
          <w:sz w:val="28"/>
        </w:rPr>
        <w:tab/>
      </w:r>
      <w:r>
        <w:fldChar w:fldCharType="begin" w:dirty="true"/>
        <w:instrText xml:space="preserve"> PAGEREF _TocReport0007 \h </w:instrText>
        <w:fldChar w:fldCharType="separate"/>
      </w:r>
      <w:r>
        <w:rPr>
          <w:rFonts w:ascii="Times New Roman" w:hAnsi="Times New Roman" w:eastAsia="仿宋_GB2312"/>
          <w:b w:val="0"/>
          <w:sz w:val="28"/>
        </w:rPr>
        <w:t>7</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2.2 核心概念与理论基础</w:t>
      </w:r>
      <w:r>
        <w:rPr>
          <w:rFonts w:ascii="Times New Roman" w:hAnsi="Times New Roman" w:eastAsia="仿宋_GB2312"/>
          <w:b w:val="0"/>
          <w:sz w:val="28"/>
        </w:rPr>
        <w:tab/>
      </w:r>
      <w:r>
        <w:fldChar w:fldCharType="begin" w:dirty="true"/>
        <w:instrText xml:space="preserve"> PAGEREF _TocReport0008 \h </w:instrText>
        <w:fldChar w:fldCharType="separate"/>
      </w:r>
      <w:r>
        <w:rPr>
          <w:rFonts w:ascii="Times New Roman" w:hAnsi="Times New Roman" w:eastAsia="仿宋_GB2312"/>
          <w:b w:val="0"/>
          <w:sz w:val="28"/>
        </w:rPr>
        <w:t>8</w:t>
      </w:r>
      <w:r>
        <w:fldChar w:fldCharType="end"/>
      </w:r>
    </w:p>
    <w:p>
      <w:pPr>
        <w:pStyle w:val="19"/>
        <w:jc w:val="left"/>
        <w:spacing w:before="0" w:after="0" w:line="560" w:lineRule="exact"/>
        <w:ind w:firstLine="0" w:firstLineChars="0" w:left="0"/>
        <w:tabs>
          <w:tab w:val="right" w:leader="dot" w:pos="8200"/>
        </w:tabs>
      </w:pPr>
      <w:r>
        <w:rPr>
          <w:rFonts w:ascii="Times New Roman" w:hAnsi="Times New Roman" w:eastAsia="仿宋_GB2312"/>
          <w:b/>
          <w:sz w:val="28"/>
        </w:rPr>
        <w:t>第三章 徐州典型地区“新能源—电网”运行特征分析</w:t>
      </w:r>
      <w:r>
        <w:rPr>
          <w:rFonts w:ascii="Times New Roman" w:hAnsi="Times New Roman" w:eastAsia="仿宋_GB2312"/>
          <w:b w:val="0"/>
          <w:sz w:val="28"/>
        </w:rPr>
        <w:tab/>
      </w:r>
      <w:r>
        <w:fldChar w:fldCharType="begin" w:dirty="true"/>
        <w:instrText xml:space="preserve"> PAGEREF _TocReport0009 \h </w:instrText>
        <w:fldChar w:fldCharType="separate"/>
      </w:r>
      <w:r>
        <w:rPr>
          <w:rFonts w:ascii="Times New Roman" w:hAnsi="Times New Roman" w:eastAsia="仿宋_GB2312"/>
          <w:b w:val="0"/>
          <w:sz w:val="28"/>
        </w:rPr>
        <w:t>11</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3.1 徐州新能源发展与电力负荷概况</w:t>
      </w:r>
      <w:r>
        <w:rPr>
          <w:rFonts w:ascii="Times New Roman" w:hAnsi="Times New Roman" w:eastAsia="仿宋_GB2312"/>
          <w:b w:val="0"/>
          <w:sz w:val="28"/>
        </w:rPr>
        <w:tab/>
      </w:r>
      <w:r>
        <w:fldChar w:fldCharType="begin" w:dirty="true"/>
        <w:instrText xml:space="preserve"> PAGEREF _TocReport0010 \h </w:instrText>
        <w:fldChar w:fldCharType="separate"/>
      </w:r>
      <w:r>
        <w:rPr>
          <w:rFonts w:ascii="Times New Roman" w:hAnsi="Times New Roman" w:eastAsia="仿宋_GB2312"/>
          <w:b w:val="0"/>
          <w:sz w:val="28"/>
        </w:rPr>
        <w:t>11</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3.2 主变负载率多工况统计分析</w:t>
      </w:r>
      <w:r>
        <w:rPr>
          <w:rFonts w:ascii="Times New Roman" w:hAnsi="Times New Roman" w:eastAsia="仿宋_GB2312"/>
          <w:b w:val="0"/>
          <w:sz w:val="28"/>
        </w:rPr>
        <w:tab/>
      </w:r>
      <w:r>
        <w:fldChar w:fldCharType="begin" w:dirty="true"/>
        <w:instrText xml:space="preserve"> PAGEREF _TocReport0011 \h </w:instrText>
        <w:fldChar w:fldCharType="separate"/>
      </w:r>
      <w:r>
        <w:rPr>
          <w:rFonts w:ascii="Times New Roman" w:hAnsi="Times New Roman" w:eastAsia="仿宋_GB2312"/>
          <w:b w:val="0"/>
          <w:sz w:val="28"/>
        </w:rPr>
        <w:t>12</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3.3 源荷比、电量渗透率与容载比的关联规律</w:t>
      </w:r>
      <w:r>
        <w:rPr>
          <w:rFonts w:ascii="Times New Roman" w:hAnsi="Times New Roman" w:eastAsia="仿宋_GB2312"/>
          <w:b w:val="0"/>
          <w:sz w:val="28"/>
        </w:rPr>
        <w:tab/>
      </w:r>
      <w:r>
        <w:fldChar w:fldCharType="begin" w:dirty="true"/>
        <w:instrText xml:space="preserve"> PAGEREF _TocReport0012 \h </w:instrText>
        <w:fldChar w:fldCharType="separate"/>
      </w:r>
      <w:r>
        <w:rPr>
          <w:rFonts w:ascii="Times New Roman" w:hAnsi="Times New Roman" w:eastAsia="仿宋_GB2312"/>
          <w:b w:val="0"/>
          <w:sz w:val="28"/>
        </w:rPr>
        <w:t>12</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3.4 “新能源渗透水平—电网运行状态”数据库的构建</w:t>
      </w:r>
      <w:r>
        <w:rPr>
          <w:rFonts w:ascii="Times New Roman" w:hAnsi="Times New Roman" w:eastAsia="仿宋_GB2312"/>
          <w:b w:val="0"/>
          <w:sz w:val="28"/>
        </w:rPr>
        <w:tab/>
      </w:r>
      <w:r>
        <w:fldChar w:fldCharType="begin" w:dirty="true"/>
        <w:instrText xml:space="preserve"> PAGEREF _TocReport0013 \h </w:instrText>
        <w:fldChar w:fldCharType="separate"/>
      </w:r>
      <w:r>
        <w:rPr>
          <w:rFonts w:ascii="Times New Roman" w:hAnsi="Times New Roman" w:eastAsia="仿宋_GB2312"/>
          <w:b w:val="0"/>
          <w:sz w:val="28"/>
        </w:rPr>
        <w:t>14</w:t>
      </w:r>
      <w:r>
        <w:fldChar w:fldCharType="end"/>
      </w:r>
    </w:p>
    <w:p>
      <w:pPr>
        <w:pStyle w:val="19"/>
        <w:jc w:val="left"/>
        <w:spacing w:before="0" w:after="0" w:line="560" w:lineRule="exact"/>
        <w:ind w:firstLine="0" w:firstLineChars="0" w:left="0"/>
        <w:tabs>
          <w:tab w:val="right" w:leader="dot" w:pos="8200"/>
        </w:tabs>
      </w:pPr>
      <w:r>
        <w:rPr>
          <w:rFonts w:ascii="Times New Roman" w:hAnsi="Times New Roman" w:eastAsia="仿宋_GB2312"/>
          <w:b/>
          <w:sz w:val="28"/>
        </w:rPr>
        <w:t>第四章 基于实际工程的电网建设成本模型</w:t>
      </w:r>
      <w:r>
        <w:rPr>
          <w:rFonts w:ascii="Times New Roman" w:hAnsi="Times New Roman" w:eastAsia="仿宋_GB2312"/>
          <w:b w:val="0"/>
          <w:sz w:val="28"/>
        </w:rPr>
        <w:tab/>
      </w:r>
      <w:r>
        <w:fldChar w:fldCharType="begin" w:dirty="true"/>
        <w:instrText xml:space="preserve"> PAGEREF _TocReport0014 \h </w:instrText>
        <w:fldChar w:fldCharType="separate"/>
      </w:r>
      <w:r>
        <w:rPr>
          <w:rFonts w:ascii="Times New Roman" w:hAnsi="Times New Roman" w:eastAsia="仿宋_GB2312"/>
          <w:b w:val="0"/>
          <w:sz w:val="28"/>
        </w:rPr>
        <w:t>18</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4.1 分布式新能源配套工程成本数据收集与处理</w:t>
      </w:r>
      <w:r>
        <w:rPr>
          <w:rFonts w:ascii="Times New Roman" w:hAnsi="Times New Roman" w:eastAsia="仿宋_GB2312"/>
          <w:b w:val="0"/>
          <w:sz w:val="28"/>
        </w:rPr>
        <w:tab/>
      </w:r>
      <w:r>
        <w:fldChar w:fldCharType="begin" w:dirty="true"/>
        <w:instrText xml:space="preserve"> PAGEREF _TocReport0015 \h </w:instrText>
        <w:fldChar w:fldCharType="separate"/>
      </w:r>
      <w:r>
        <w:rPr>
          <w:rFonts w:ascii="Times New Roman" w:hAnsi="Times New Roman" w:eastAsia="仿宋_GB2312"/>
          <w:b w:val="0"/>
          <w:sz w:val="28"/>
        </w:rPr>
        <w:t>18</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4.2 成本驱动因子识别与参数化模型建立</w:t>
      </w:r>
      <w:r>
        <w:rPr>
          <w:rFonts w:ascii="Times New Roman" w:hAnsi="Times New Roman" w:eastAsia="仿宋_GB2312"/>
          <w:b w:val="0"/>
          <w:sz w:val="28"/>
        </w:rPr>
        <w:tab/>
      </w:r>
      <w:r>
        <w:fldChar w:fldCharType="begin" w:dirty="true"/>
        <w:instrText xml:space="preserve"> PAGEREF _TocReport0016 \h </w:instrText>
        <w:fldChar w:fldCharType="separate"/>
      </w:r>
      <w:r>
        <w:rPr>
          <w:rFonts w:ascii="Times New Roman" w:hAnsi="Times New Roman" w:eastAsia="仿宋_GB2312"/>
          <w:b w:val="0"/>
          <w:sz w:val="28"/>
        </w:rPr>
        <w:t>18</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4.3 刚性容载比场景全寿命周期成本测算</w:t>
      </w:r>
      <w:r>
        <w:rPr>
          <w:rFonts w:ascii="Times New Roman" w:hAnsi="Times New Roman" w:eastAsia="仿宋_GB2312"/>
          <w:b w:val="0"/>
          <w:sz w:val="28"/>
        </w:rPr>
        <w:tab/>
      </w:r>
      <w:r>
        <w:fldChar w:fldCharType="begin" w:dirty="true"/>
        <w:instrText xml:space="preserve"> PAGEREF _TocReport0017 \h </w:instrText>
        <w:fldChar w:fldCharType="separate"/>
      </w:r>
      <w:r>
        <w:rPr>
          <w:rFonts w:ascii="Times New Roman" w:hAnsi="Times New Roman" w:eastAsia="仿宋_GB2312"/>
          <w:b w:val="0"/>
          <w:sz w:val="28"/>
        </w:rPr>
        <w:t>19</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4.4 弹性容载比场景全寿命周期成本测算</w:t>
      </w:r>
      <w:r>
        <w:rPr>
          <w:rFonts w:ascii="Times New Roman" w:hAnsi="Times New Roman" w:eastAsia="仿宋_GB2312"/>
          <w:b w:val="0"/>
          <w:sz w:val="28"/>
        </w:rPr>
        <w:tab/>
      </w:r>
      <w:r>
        <w:fldChar w:fldCharType="begin" w:dirty="true"/>
        <w:instrText xml:space="preserve"> PAGEREF _TocReport0018 \h </w:instrText>
        <w:fldChar w:fldCharType="separate"/>
      </w:r>
      <w:r>
        <w:rPr>
          <w:rFonts w:ascii="Times New Roman" w:hAnsi="Times New Roman" w:eastAsia="仿宋_GB2312"/>
          <w:b w:val="0"/>
          <w:sz w:val="28"/>
        </w:rPr>
        <w:t>20</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4.5 两场景经济技术对比与决策案例库形成</w:t>
      </w:r>
      <w:r>
        <w:rPr>
          <w:rFonts w:ascii="Times New Roman" w:hAnsi="Times New Roman" w:eastAsia="仿宋_GB2312"/>
          <w:b w:val="0"/>
          <w:sz w:val="28"/>
        </w:rPr>
        <w:tab/>
      </w:r>
      <w:r>
        <w:fldChar w:fldCharType="begin" w:dirty="true"/>
        <w:instrText xml:space="preserve"> PAGEREF _TocReport0019 \h </w:instrText>
        <w:fldChar w:fldCharType="separate"/>
      </w:r>
      <w:r>
        <w:rPr>
          <w:rFonts w:ascii="Times New Roman" w:hAnsi="Times New Roman" w:eastAsia="仿宋_GB2312"/>
          <w:b w:val="0"/>
          <w:sz w:val="28"/>
        </w:rPr>
        <w:t>22</w:t>
      </w:r>
      <w:r>
        <w:fldChar w:fldCharType="end"/>
      </w:r>
    </w:p>
    <w:p>
      <w:pPr>
        <w:pStyle w:val="19"/>
        <w:jc w:val="left"/>
        <w:spacing w:before="0" w:after="0" w:line="560" w:lineRule="exact"/>
        <w:ind w:firstLine="0" w:firstLineChars="0" w:left="0"/>
        <w:tabs>
          <w:tab w:val="right" w:leader="dot" w:pos="8200"/>
        </w:tabs>
      </w:pPr>
      <w:r>
        <w:rPr>
          <w:rFonts w:ascii="Times New Roman" w:hAnsi="Times New Roman" w:eastAsia="仿宋_GB2312"/>
          <w:b/>
          <w:sz w:val="28"/>
        </w:rPr>
        <w:t>第五章 “一片一策”弹性容载比规划建议</w:t>
      </w:r>
      <w:r>
        <w:rPr>
          <w:rFonts w:ascii="Times New Roman" w:hAnsi="Times New Roman" w:eastAsia="仿宋_GB2312"/>
          <w:b w:val="0"/>
          <w:sz w:val="28"/>
        </w:rPr>
        <w:tab/>
      </w:r>
      <w:r>
        <w:fldChar w:fldCharType="begin" w:dirty="true"/>
        <w:instrText xml:space="preserve"> PAGEREF _TocReport0020 \h </w:instrText>
        <w:fldChar w:fldCharType="separate"/>
      </w:r>
      <w:r>
        <w:rPr>
          <w:rFonts w:ascii="Times New Roman" w:hAnsi="Times New Roman" w:eastAsia="仿宋_GB2312"/>
          <w:b w:val="0"/>
          <w:sz w:val="28"/>
        </w:rPr>
        <w:t>24</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5.1 历史负荷与分布式光伏接入特征分析典型片区负荷与分布式光伏预测</w:t>
      </w:r>
      <w:r>
        <w:rPr>
          <w:rFonts w:ascii="Times New Roman" w:hAnsi="Times New Roman" w:eastAsia="仿宋_GB2312"/>
          <w:b w:val="0"/>
          <w:sz w:val="28"/>
        </w:rPr>
        <w:tab/>
      </w:r>
      <w:r>
        <w:fldChar w:fldCharType="begin" w:dirty="true"/>
        <w:instrText xml:space="preserve"> PAGEREF _TocReport0021 \h </w:instrText>
        <w:fldChar w:fldCharType="separate"/>
      </w:r>
      <w:r>
        <w:rPr>
          <w:rFonts w:ascii="Times New Roman" w:hAnsi="Times New Roman" w:eastAsia="仿宋_GB2312"/>
          <w:b w:val="0"/>
          <w:sz w:val="28"/>
        </w:rPr>
        <w:t>24</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5.2 含正向容载比与反向承载力协同约束的弹性规划评价指标体系设计</w:t>
      </w:r>
      <w:r>
        <w:rPr>
          <w:rFonts w:ascii="Times New Roman" w:hAnsi="Times New Roman" w:eastAsia="仿宋_GB2312"/>
          <w:b w:val="0"/>
          <w:sz w:val="28"/>
        </w:rPr>
        <w:tab/>
      </w:r>
      <w:r>
        <w:fldChar w:fldCharType="begin" w:dirty="true"/>
        <w:instrText xml:space="preserve"> PAGEREF _TocReport0022 \h </w:instrText>
        <w:fldChar w:fldCharType="separate"/>
      </w:r>
      <w:r>
        <w:rPr>
          <w:rFonts w:ascii="Times New Roman" w:hAnsi="Times New Roman" w:eastAsia="仿宋_GB2312"/>
          <w:b w:val="0"/>
          <w:sz w:val="28"/>
        </w:rPr>
        <w:t>24</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5.3 基于层次分析法的指标赋权</w:t>
      </w:r>
      <w:r>
        <w:rPr>
          <w:rFonts w:ascii="Times New Roman" w:hAnsi="Times New Roman" w:eastAsia="仿宋_GB2312"/>
          <w:b w:val="0"/>
          <w:sz w:val="28"/>
        </w:rPr>
        <w:tab/>
      </w:r>
      <w:r>
        <w:fldChar w:fldCharType="begin" w:dirty="true"/>
        <w:instrText xml:space="preserve"> PAGEREF _TocReport0023 \h </w:instrText>
        <w:fldChar w:fldCharType="separate"/>
      </w:r>
      <w:r>
        <w:rPr>
          <w:rFonts w:ascii="Times New Roman" w:hAnsi="Times New Roman" w:eastAsia="仿宋_GB2312"/>
          <w:b w:val="0"/>
          <w:sz w:val="28"/>
        </w:rPr>
        <w:t>28</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5.4 不同片区类型的容载比推荐区间及技术方案组合</w:t>
      </w:r>
      <w:r>
        <w:rPr>
          <w:rFonts w:ascii="Times New Roman" w:hAnsi="Times New Roman" w:eastAsia="仿宋_GB2312"/>
          <w:b w:val="0"/>
          <w:sz w:val="28"/>
        </w:rPr>
        <w:tab/>
      </w:r>
      <w:r>
        <w:fldChar w:fldCharType="begin" w:dirty="true"/>
        <w:instrText xml:space="preserve"> PAGEREF _TocReport0024 \h </w:instrText>
        <w:fldChar w:fldCharType="separate"/>
      </w:r>
      <w:r>
        <w:rPr>
          <w:rFonts w:ascii="Times New Roman" w:hAnsi="Times New Roman" w:eastAsia="仿宋_GB2312"/>
          <w:b w:val="0"/>
          <w:sz w:val="28"/>
        </w:rPr>
        <w:t>29</w:t>
      </w:r>
      <w:r>
        <w:fldChar w:fldCharType="end"/>
      </w:r>
    </w:p>
    <w:p>
      <w:pPr>
        <w:pStyle w:val="19"/>
        <w:jc w:val="left"/>
        <w:spacing w:before="0" w:after="0" w:line="560" w:lineRule="exact"/>
        <w:ind w:firstLine="0" w:firstLineChars="0" w:left="0"/>
        <w:tabs>
          <w:tab w:val="right" w:leader="dot" w:pos="8200"/>
        </w:tabs>
      </w:pPr>
      <w:r>
        <w:rPr>
          <w:rFonts w:ascii="Times New Roman" w:hAnsi="Times New Roman" w:eastAsia="仿宋_GB2312"/>
          <w:b/>
          <w:sz w:val="28"/>
        </w:rPr>
        <w:t>第六章 典型案例验证</w:t>
      </w:r>
      <w:r>
        <w:rPr>
          <w:rFonts w:ascii="Times New Roman" w:hAnsi="Times New Roman" w:eastAsia="仿宋_GB2312"/>
          <w:b w:val="0"/>
          <w:sz w:val="28"/>
        </w:rPr>
        <w:tab/>
      </w:r>
      <w:r>
        <w:fldChar w:fldCharType="begin" w:dirty="true"/>
        <w:instrText xml:space="preserve"> PAGEREF _TocReport0025 \h </w:instrText>
        <w:fldChar w:fldCharType="separate"/>
      </w:r>
      <w:r>
        <w:rPr>
          <w:rFonts w:ascii="Times New Roman" w:hAnsi="Times New Roman" w:eastAsia="仿宋_GB2312"/>
          <w:b w:val="0"/>
          <w:sz w:val="28"/>
        </w:rPr>
        <w:t>32</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6.1 刚性规划方案复盘（以某高渗透率片区为例）</w:t>
      </w:r>
      <w:r>
        <w:rPr>
          <w:rFonts w:ascii="Times New Roman" w:hAnsi="Times New Roman" w:eastAsia="仿宋_GB2312"/>
          <w:b w:val="0"/>
          <w:sz w:val="28"/>
        </w:rPr>
        <w:tab/>
      </w:r>
      <w:r>
        <w:fldChar w:fldCharType="begin" w:dirty="true"/>
        <w:instrText xml:space="preserve"> PAGEREF _TocReport0026 \h </w:instrText>
        <w:fldChar w:fldCharType="separate"/>
      </w:r>
      <w:r>
        <w:rPr>
          <w:rFonts w:ascii="Times New Roman" w:hAnsi="Times New Roman" w:eastAsia="仿宋_GB2312"/>
          <w:b w:val="0"/>
          <w:sz w:val="28"/>
        </w:rPr>
        <w:t>32</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6.2 含反向承载力校核的弹性容载比方案设计与对比</w:t>
      </w:r>
      <w:r>
        <w:rPr>
          <w:rFonts w:ascii="Times New Roman" w:hAnsi="Times New Roman" w:eastAsia="仿宋_GB2312"/>
          <w:b w:val="0"/>
          <w:sz w:val="28"/>
        </w:rPr>
        <w:tab/>
      </w:r>
      <w:r>
        <w:fldChar w:fldCharType="begin" w:dirty="true"/>
        <w:instrText xml:space="preserve"> PAGEREF _TocReport0027 \h </w:instrText>
        <w:fldChar w:fldCharType="separate"/>
      </w:r>
      <w:r>
        <w:rPr>
          <w:rFonts w:ascii="Times New Roman" w:hAnsi="Times New Roman" w:eastAsia="仿宋_GB2312"/>
          <w:b w:val="0"/>
          <w:sz w:val="28"/>
        </w:rPr>
        <w:t>32</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6.3 效果评估与方法有效性验证</w:t>
      </w:r>
      <w:r>
        <w:rPr>
          <w:rFonts w:ascii="Times New Roman" w:hAnsi="Times New Roman" w:eastAsia="仿宋_GB2312"/>
          <w:b w:val="0"/>
          <w:sz w:val="28"/>
        </w:rPr>
        <w:tab/>
      </w:r>
      <w:r>
        <w:fldChar w:fldCharType="begin" w:dirty="true"/>
        <w:instrText xml:space="preserve"> PAGEREF _TocReport0028 \h </w:instrText>
        <w:fldChar w:fldCharType="separate"/>
      </w:r>
      <w:r>
        <w:rPr>
          <w:rFonts w:ascii="Times New Roman" w:hAnsi="Times New Roman" w:eastAsia="仿宋_GB2312"/>
          <w:b w:val="0"/>
          <w:sz w:val="28"/>
        </w:rPr>
        <w:t>33</w:t>
      </w:r>
      <w:r>
        <w:fldChar w:fldCharType="end"/>
      </w:r>
    </w:p>
    <w:p>
      <w:pPr>
        <w:pStyle w:val="19"/>
        <w:jc w:val="left"/>
        <w:spacing w:before="0" w:after="0" w:line="560" w:lineRule="exact"/>
        <w:ind w:firstLine="0" w:firstLineChars="0" w:left="0"/>
        <w:tabs>
          <w:tab w:val="right" w:leader="dot" w:pos="8200"/>
        </w:tabs>
      </w:pPr>
      <w:r>
        <w:rPr>
          <w:rFonts w:ascii="Times New Roman" w:hAnsi="Times New Roman" w:eastAsia="仿宋_GB2312"/>
          <w:b/>
          <w:sz w:val="28"/>
        </w:rPr>
        <w:t>第七章 结论与展望</w:t>
      </w:r>
      <w:r>
        <w:rPr>
          <w:rFonts w:ascii="Times New Roman" w:hAnsi="Times New Roman" w:eastAsia="仿宋_GB2312"/>
          <w:b w:val="0"/>
          <w:sz w:val="28"/>
        </w:rPr>
        <w:tab/>
      </w:r>
      <w:r>
        <w:fldChar w:fldCharType="begin" w:dirty="true"/>
        <w:instrText xml:space="preserve"> PAGEREF _TocReport0029 \h </w:instrText>
        <w:fldChar w:fldCharType="separate"/>
      </w:r>
      <w:r>
        <w:rPr>
          <w:rFonts w:ascii="Times New Roman" w:hAnsi="Times New Roman" w:eastAsia="仿宋_GB2312"/>
          <w:b w:val="0"/>
          <w:sz w:val="28"/>
        </w:rPr>
        <w:t>39</w:t>
      </w:r>
      <w:r>
        <w:fldChar w:fldCharType="end"/>
      </w:r>
    </w:p>
    <w:p>
      <w:pPr>
        <w:pStyle w:val="19"/>
        <w:jc w:val="left"/>
        <w:spacing w:before="0" w:after="0" w:line="560" w:lineRule="exact"/>
        <w:ind w:firstLine="0" w:firstLineChars="0" w:left="0"/>
        <w:tabs>
          <w:tab w:val="right" w:leader="dot" w:pos="8200"/>
        </w:tabs>
      </w:pPr>
      <w:r>
        <w:rPr>
          <w:rFonts w:ascii="Times New Roman" w:hAnsi="Times New Roman" w:eastAsia="仿宋_GB2312"/>
          <w:b/>
          <w:sz w:val="28"/>
        </w:rPr>
        <w:t>参考文献</w:t>
      </w:r>
      <w:r>
        <w:rPr>
          <w:rFonts w:ascii="Times New Roman" w:hAnsi="Times New Roman" w:eastAsia="仿宋_GB2312"/>
          <w:b w:val="0"/>
          <w:sz w:val="28"/>
        </w:rPr>
        <w:tab/>
      </w:r>
      <w:r>
        <w:fldChar w:fldCharType="begin" w:dirty="true"/>
        <w:instrText xml:space="preserve"> PAGEREF _TocReport0030 \h </w:instrText>
        <w:fldChar w:fldCharType="separate"/>
      </w:r>
      <w:r>
        <w:rPr>
          <w:rFonts w:ascii="Times New Roman" w:hAnsi="Times New Roman" w:eastAsia="仿宋_GB2312"/>
          <w:b w:val="0"/>
          <w:sz w:val="28"/>
        </w:rPr>
        <w:t>42</w:t>
      </w:r>
      <w:r>
        <w:fldChar w:fldCharType="end"/>
      </w:r>
    </w:p>
    <w:p>
      <w:pPr>
        <w:sectPr>
          <w:footerReference w:type="default" r:id="rId20"/>
          <w:pgSz w:w="11906" w:h="16838"/>
          <w:pgMar w:top="1440" w:right="1797" w:bottom="1440" w:left="1797" w:header="851" w:footer="992" w:gutter="0"/>
          <w:pgNumType w:fmt="numberInDash" w:start="1"/>
          <w:cols w:space="425" w:num="1"/>
          <w:docGrid w:linePitch="435" w:charSpace="0"/>
        </w:sectPr>
      </w:pPr>
    </w:p>
    <w:p>
      <w:pPr>
        <w:pStyle w:val="2"/>
        <w:pageBreakBefore w:val="0"/>
        <w:jc w:val="left"/>
      </w:pPr>
      <w:bookmarkStart w:id="1" w:name="_TocReport0001"/>
      <w:r>
        <w:rPr>
          <w:rFonts w:ascii="Times New Roman" w:hAnsi="Times New Roman" w:eastAsia="仿宋_GB2312"/>
          <w:b/>
          <w:sz w:val="36"/>
        </w:rPr>
        <w:t>第一章 绪论</w:t>
      </w:r>
      <w:bookmarkEnd w:id="1"/>
    </w:p>
    <w:p>
      <w:pPr>
        <w:pStyle w:val="3"/>
        <w:pageBreakBefore w:val="0"/>
        <w:jc w:val="left"/>
      </w:pPr>
      <w:bookmarkStart w:id="2" w:name="_TocReport0002"/>
      <w:r>
        <w:rPr>
          <w:rFonts w:ascii="Times New Roman" w:hAnsi="Times New Roman" w:eastAsia="仿宋_GB2312"/>
          <w:b/>
          <w:sz w:val="28"/>
        </w:rPr>
        <w:t>1.1 研究背景与意义</w:t>
      </w:r>
      <w:bookmarkEnd w:id="2"/>
    </w:p>
    <w:p>
      <w:pPr>
        <w:spacing w:before="0" w:after="0" w:line="560" w:lineRule="exact"/>
        <w:jc w:val="both"/>
        <w:ind w:firstLineChars="200" w:firstLine="200"/>
      </w:pPr>
      <w:r>
        <w:rPr>
          <w:rFonts w:ascii="Times New Roman" w:hAnsi="Times New Roman" w:eastAsia="仿宋_GB2312"/>
          <w:b w:val="0"/>
          <w:sz w:val="28"/>
        </w:rPr>
        <w:t>随着分布式光伏等新能源持续接入，110 kV电网的运行特征正在由单向供电逐步转变为“负荷供电、新能源汇集和双向功率交换”并存。典型高渗透片区在光伏高出力、低负荷时段可能出现反向潮流，而在晚峰或连续高负荷时段仍承担较大的正向供电需求。由于正向峰值与反向功率通常不在同一时刻出现，仅依靠单一容载比数值，已难以完整描述变电容量、储能配置、局部网络互济与新能源接入之间的关系[1-4]。</w:t>
      </w:r>
    </w:p>
    <w:p>
      <w:pPr>
        <w:spacing w:before="0" w:after="0" w:line="560" w:lineRule="exact"/>
        <w:jc w:val="both"/>
        <w:ind w:firstLineChars="200" w:firstLine="200"/>
      </w:pPr>
      <w:r>
        <w:rPr>
          <w:rFonts w:ascii="Times New Roman" w:hAnsi="Times New Roman" w:eastAsia="仿宋_GB2312"/>
          <w:b w:val="0"/>
          <w:sz w:val="28"/>
        </w:rPr>
        <w:t>容载比仍是衡量区域变电容量与负荷需求关系的重要规划指标，其物理含义清晰、工程应用基础成熟[5-6,13-16]。但在高比例分布式新能源条件下，如果把统一容载比控制值直接视为既有容量和新增容量共同适用的刚性上限，容易产生两类偏差：一是既有设备容量高于控制值时被误解为需要压减存量容量；二是控制值过紧时，合理的新增变电容量受到限制，规划方案被迫更多依赖储能或局部网络措施承担调节任务，从而改变工程措施组合及规划经济性。</w:t>
      </w:r>
    </w:p>
    <w:p>
      <w:pPr>
        <w:spacing w:before="0" w:after="0" w:line="560" w:lineRule="exact"/>
        <w:jc w:val="both"/>
        <w:ind w:firstLineChars="200" w:firstLine="200"/>
      </w:pPr>
      <w:r>
        <w:rPr>
          <w:rFonts w:ascii="Times New Roman" w:hAnsi="Times New Roman" w:eastAsia="仿宋_GB2312"/>
          <w:b w:val="0"/>
          <w:sz w:val="28"/>
        </w:rPr>
        <w:t>基于上述问题，本研究保留传统容载比的物理定义，将弹性容载比规划控制值（以下简称Rcap）定位为规划期新增变电容量的约束参数，并以2021年实际在役资产为各方案的共同起点。在此基础上，将正向容量需求、局部反向承载、储能时序约束和10 kV局部互济条件纳入统一分析框架，识别不同片区中容载比约束的作用类型、经济释放位置及工程适用边界。研究目的不是简单提高或降低容载比，而是在满足技术可行性的前提下，使变电扩建、储能和网络互济措施与片区主要矛盾相匹配，为徐州高渗透率地区形成差异化、“一片一策”的规划方法提供依据。</w:t>
      </w:r>
    </w:p>
    <w:p>
      <w:pPr>
        <w:pStyle w:val="3"/>
        <w:pageBreakBefore w:val="0"/>
        <w:jc w:val="left"/>
      </w:pPr>
      <w:bookmarkStart w:id="3" w:name="_TocReport0003"/>
      <w:r>
        <w:rPr>
          <w:rFonts w:ascii="Times New Roman" w:hAnsi="Times New Roman" w:eastAsia="仿宋_GB2312"/>
          <w:b/>
          <w:sz w:val="28"/>
        </w:rPr>
        <w:t>1.2 研究范围与对象</w:t>
      </w:r>
      <w:bookmarkEnd w:id="3"/>
    </w:p>
    <w:p>
      <w:pPr>
        <w:spacing w:before="0" w:after="0" w:line="560" w:lineRule="exact"/>
        <w:jc w:val="both"/>
        <w:ind w:firstLineChars="200" w:firstLine="200"/>
      </w:pPr>
      <w:r>
        <w:rPr>
          <w:rFonts w:ascii="Times New Roman" w:hAnsi="Times New Roman" w:eastAsia="仿宋_GB2312"/>
          <w:b w:val="0"/>
          <w:sz w:val="28"/>
        </w:rPr>
        <w:t>研究对象为徐州地区8个110 kV典型片区，片区名称统一采用QX编号。规划期为2021—2025年，其中2021年实际在役变电容量作为各规划方案的共同资产起点，2022—2025年开展增量规划比较。研究重点包括110 kV变电容量配置、储能规模、实际物理容载比、规划控制值以及2022—2025年规划期累计在役等年成本。</w:t>
      </w:r>
    </w:p>
    <w:p>
      <w:pPr>
        <w:spacing w:before="0" w:after="0" w:line="560" w:lineRule="exact"/>
        <w:jc w:val="both"/>
        <w:ind w:firstLineChars="200" w:firstLine="200"/>
      </w:pPr>
      <w:r>
        <w:rPr>
          <w:rFonts w:ascii="Times New Roman" w:hAnsi="Times New Roman" w:eastAsia="仿宋_GB2312"/>
          <w:b w:val="0"/>
          <w:sz w:val="28"/>
        </w:rPr>
        <w:t>为进一步解释110 kV片区内部反向承载压力的空间调节能力，本研究同步开展10 kV高光伏跨站供电边界重构分析。专题范围聚焦墩集变与河湾变所带六条目标馈线，研究在局部变电站反向承载压力较高、相邻变电站仍有承接空间时，如何优先利用既有联络、必要时配置新增联络，将光伏富余供电单元调整至相邻站供电范围。其中，墩南线PZXL-00092与河炮线PZXL-00161之间的TIE-002作为典型案例，用于验证“反向压力识别—既有联络利用—供电边界重构—受端承载校核—新增联络容量定型”的规划分析流程。</w:t>
      </w:r>
    </w:p>
    <w:p>
      <w:pPr>
        <w:spacing w:before="0" w:after="0" w:line="560" w:lineRule="exact"/>
        <w:jc w:val="both"/>
        <w:ind w:firstLineChars="200" w:firstLine="200"/>
      </w:pPr>
      <w:r>
        <w:rPr>
          <w:rFonts w:ascii="Times New Roman" w:hAnsi="Times New Roman" w:eastAsia="仿宋_GB2312"/>
          <w:b w:val="0"/>
          <w:sz w:val="28"/>
        </w:rPr>
        <w:t>本研究的10 kV分析定位为规划级拓扑与容量评估，用于判断局部互济的可实施条件和能力边界，不替代完整交流潮流、短路电流计算、继电保护定值校核和现场倒闸操作设计。对于缺少同步源荷时序、完整阻抗或现场开关属性的数据项，报告按照已有证据能力给出相应边界，不将规划级结果扩大解释为运行控制结论。</w:t>
      </w:r>
    </w:p>
    <w:p>
      <w:pPr>
        <w:pStyle w:val="3"/>
        <w:pageBreakBefore w:val="0"/>
        <w:jc w:val="left"/>
      </w:pPr>
      <w:bookmarkStart w:id="4" w:name="_TocReport0004"/>
      <w:r>
        <w:rPr>
          <w:rFonts w:ascii="Times New Roman" w:hAnsi="Times New Roman" w:eastAsia="仿宋_GB2312"/>
          <w:b/>
          <w:sz w:val="28"/>
        </w:rPr>
        <w:t>1.3 研究目标与内容</w:t>
      </w:r>
      <w:bookmarkEnd w:id="4"/>
    </w:p>
    <w:p>
      <w:pPr>
        <w:spacing w:before="0" w:after="0" w:line="560" w:lineRule="exact"/>
        <w:jc w:val="both"/>
        <w:ind w:firstLineChars="200" w:firstLine="200"/>
      </w:pPr>
      <w:r>
        <w:rPr>
          <w:rFonts w:ascii="Times New Roman" w:hAnsi="Times New Roman" w:eastAsia="仿宋_GB2312"/>
          <w:b w:val="0"/>
          <w:sz w:val="28"/>
        </w:rPr>
        <w:t>研究目标是在保留既有资产、尊重实际运行边界的条件下，建立适用于高比例分布式新能源片区的弹性容载比分析方法，并形成可用于工程规划的差异化建议。围绕这一目标，主要开展以下工作：</w:t>
      </w:r>
    </w:p>
    <w:p>
      <w:pPr>
        <w:spacing w:before="0" w:after="0" w:line="560" w:lineRule="exact"/>
        <w:jc w:val="both"/>
        <w:ind w:firstLineChars="200" w:firstLine="200"/>
      </w:pPr>
      <w:r>
        <w:rPr>
          <w:rFonts w:ascii="Times New Roman" w:hAnsi="Times New Roman" w:eastAsia="仿宋_GB2312"/>
          <w:b w:val="0"/>
          <w:sz w:val="28"/>
        </w:rPr>
        <w:t>（1）整理2021—2025年片区负荷、主变容量、反向潮流、线路负载及新能源装机等资料，统一数据口径，分析典型片区在正向高负荷、低负荷和反向送电等工况下的运行特征，形成“新能源渗透水平—电网运行状态”基础数据库。</w:t>
      </w:r>
    </w:p>
    <w:p>
      <w:pPr>
        <w:spacing w:before="0" w:after="0" w:line="560" w:lineRule="exact"/>
        <w:jc w:val="both"/>
        <w:ind w:firstLineChars="200" w:firstLine="200"/>
      </w:pPr>
      <w:r>
        <w:rPr>
          <w:rFonts w:ascii="Times New Roman" w:hAnsi="Times New Roman" w:eastAsia="仿宋_GB2312"/>
          <w:b w:val="0"/>
          <w:sz w:val="28"/>
        </w:rPr>
        <w:t>（2）建立以实际工程措施为基础的经济模型。对变电扩建和储能等不同寿命的投资采用等年值方法折算，并在共同资产起点上比较2022—2025年各年度在役措施形成的累计成本，使不同技术方案具备可比的经济口径。</w:t>
      </w:r>
    </w:p>
    <w:p>
      <w:pPr>
        <w:spacing w:before="0" w:after="0" w:line="560" w:lineRule="exact"/>
        <w:jc w:val="both"/>
        <w:ind w:firstLineChars="200" w:firstLine="200"/>
      </w:pPr>
      <w:r>
        <w:rPr>
          <w:rFonts w:ascii="Times New Roman" w:hAnsi="Times New Roman" w:eastAsia="仿宋_GB2312"/>
          <w:b w:val="0"/>
          <w:sz w:val="28"/>
        </w:rPr>
        <w:t>（3）建立存量容量豁免条件下的弹性容载比规划约束。将实际物理容载比与规划控制值分开定义，反向潮流不并入传统容载比分母，而通过独立指标、设备能力和储能功率平衡进行处理。</w:t>
      </w:r>
    </w:p>
    <w:p>
      <w:pPr>
        <w:spacing w:before="0" w:after="0" w:line="560" w:lineRule="exact"/>
        <w:jc w:val="both"/>
        <w:ind w:firstLineChars="200" w:firstLine="200"/>
      </w:pPr>
      <w:r>
        <w:rPr>
          <w:rFonts w:ascii="Times New Roman" w:hAnsi="Times New Roman" w:eastAsia="仿宋_GB2312"/>
          <w:b w:val="0"/>
          <w:sz w:val="28"/>
        </w:rPr>
        <w:t>（4）开展Rcap控制值扫描、局部阈值细化及多参数敏感性分析，识别经济释放阈值、稳健近优下限、容载比非主导和技术约束优先等不同规划响应，避免对所有片区采用同一数值结论。</w:t>
      </w:r>
    </w:p>
    <w:p>
      <w:pPr>
        <w:spacing w:before="0" w:after="0" w:line="560" w:lineRule="exact"/>
        <w:jc w:val="both"/>
        <w:ind w:firstLineChars="200" w:firstLine="200"/>
      </w:pPr>
      <w:r>
        <w:rPr>
          <w:rFonts w:ascii="Times New Roman" w:hAnsi="Times New Roman" w:eastAsia="仿宋_GB2312"/>
          <w:b w:val="0"/>
          <w:sz w:val="28"/>
        </w:rPr>
        <w:t>（5）构建以现状源荷规模、局部反向潮流、110 kV线路统计负载余度和正向峰值负荷变化为核心的片区特征体系，形成弹性容载比样本支持参考矩阵，并明确其适用范围和数据边界。</w:t>
      </w:r>
    </w:p>
    <w:p>
      <w:pPr>
        <w:spacing w:before="0" w:after="0" w:line="560" w:lineRule="exact"/>
        <w:jc w:val="both"/>
        <w:ind w:firstLineChars="200" w:firstLine="200"/>
      </w:pPr>
      <w:r>
        <w:rPr>
          <w:rFonts w:ascii="Times New Roman" w:hAnsi="Times New Roman" w:eastAsia="仿宋_GB2312"/>
          <w:b w:val="0"/>
          <w:sz w:val="28"/>
        </w:rPr>
        <w:t>（6）建立10 kV高光伏跨站供电边界重构规划模型，以TIE-002为案例识别局部光伏净外送需求，量化既有联络可转移能力，并在既有通道不足时计算新增联络容量需求和候选受端馈线，使10 kV层面的反向功率空间转移能力与110 kV弹性容载比规划形成工程衔接。</w:t>
      </w:r>
    </w:p>
    <w:p>
      <w:pPr>
        <w:spacing w:before="0" w:after="0" w:line="560" w:lineRule="exact"/>
        <w:jc w:val="both"/>
        <w:ind w:firstLineChars="200" w:firstLine="200"/>
      </w:pPr>
      <w:r>
        <w:rPr>
          <w:rFonts w:ascii="Times New Roman" w:hAnsi="Times New Roman" w:eastAsia="仿宋_GB2312"/>
          <w:b w:val="0"/>
          <w:sz w:val="28"/>
        </w:rPr>
        <w:t>按照开题报告确定的研究框架，本研究报告分为七章：第一章绪论；第二章文献综述与理论基础；第三章徐州典型地区“新能源—电网”运行特征分析；第四章基于实际工程的电网建设成本模型；第五章“一片一策”弹性容载比规划建议；第六章典型案例验证；第七章结论与展望。</w:t>
      </w:r>
    </w:p>
    <w:p>
      <w:pPr>
        <w:pStyle w:val="3"/>
        <w:pageBreakBefore w:val="0"/>
        <w:jc w:val="left"/>
      </w:pPr>
      <w:bookmarkStart w:id="5" w:name="_TocReport0005"/>
      <w:r>
        <w:rPr>
          <w:rFonts w:ascii="Times New Roman" w:hAnsi="Times New Roman" w:eastAsia="仿宋_GB2312"/>
          <w:b/>
          <w:sz w:val="28"/>
        </w:rPr>
        <w:t>1.4 研究方法与技术路线</w:t>
      </w:r>
      <w:bookmarkEnd w:id="5"/>
    </w:p>
    <w:p>
      <w:pPr>
        <w:spacing w:before="0" w:after="0" w:line="560" w:lineRule="exact"/>
        <w:jc w:val="both"/>
        <w:ind w:firstLineChars="200" w:firstLine="200"/>
      </w:pPr>
      <w:r>
        <w:rPr>
          <w:rFonts w:ascii="Times New Roman" w:hAnsi="Times New Roman" w:eastAsia="仿宋_GB2312"/>
          <w:b w:val="0"/>
          <w:sz w:val="28"/>
        </w:rPr>
        <w:t>本研究综合采用规范分析、数据标准化、运行特征统计、物理约束校核、多年度路径优化、工程经济评价、敏感性分析和案例验证等方法。整体技术路线遵循“数据整理与口径统一—运行特征识别—工程措施建模—规划方案优化—差异化建议—典型案例验证”的顺序展开。</w:t>
      </w:r>
    </w:p>
    <w:p>
      <w:pPr>
        <w:pStyle w:val="38"/>
        <w:jc w:val="center"/>
        <w:keepNext/>
        <w:keepLines/>
        <w:ind w:firstLine="0" w:firstLineChars="0"/>
      </w:pPr>
      <w:r>
        <w:drawing>
          <wp:inline xmlns:a="http://schemas.openxmlformats.org/drawingml/2006/main" xmlns:pic="http://schemas.openxmlformats.org/drawingml/2006/picture">
            <wp:extent cx="4968000" cy="5313726"/>
            <wp:docPr id="1" name="Picture 1"/>
            <wp:cNvGraphicFramePr>
              <a:graphicFrameLocks noChangeAspect="1"/>
            </wp:cNvGraphicFramePr>
            <a:graphic>
              <a:graphicData uri="http://schemas.openxmlformats.org/drawingml/2006/picture">
                <pic:pic>
                  <pic:nvPicPr>
                    <pic:cNvPr id="0" name="图1-1_研究技术路线.png"/>
                    <pic:cNvPicPr/>
                  </pic:nvPicPr>
                  <pic:blipFill>
                    <a:blip r:embed="rId13"/>
                    <a:stretch>
                      <a:fillRect/>
                    </a:stretch>
                  </pic:blipFill>
                  <pic:spPr>
                    <a:xfrm>
                      <a:off x="0" y="0"/>
                      <a:ext cx="4968000" cy="5313726"/>
                    </a:xfrm>
                    <a:prstGeom prst="rect"/>
                  </pic:spPr>
                </pic:pic>
              </a:graphicData>
            </a:graphic>
          </wp:inline>
        </w:drawing>
      </w:r>
    </w:p>
    <w:p>
      <w:pPr>
        <w:pStyle w:val="12"/>
        <w:keepNext w:val="0"/>
        <w:spacing w:before="0" w:after="120" w:line="400" w:lineRule="exact"/>
        <w:jc w:val="center"/>
        <w:ind w:firstLine="0" w:firstLineChars="0"/>
      </w:pPr>
      <w:r>
        <w:rPr>
          <w:rFonts w:ascii="Times New Roman" w:hAnsi="Times New Roman" w:eastAsia="仿宋_GB2312"/>
          <w:b w:val="0"/>
          <w:sz w:val="24"/>
        </w:rPr>
        <w:t>图 1-1 研究技术路线</w:t>
      </w:r>
    </w:p>
    <w:p>
      <w:pPr>
        <w:spacing w:before="0" w:after="0" w:line="560" w:lineRule="exact"/>
        <w:jc w:val="both"/>
        <w:ind w:firstLineChars="200" w:firstLine="200"/>
      </w:pPr>
      <w:r>
        <w:rPr>
          <w:rFonts w:ascii="Times New Roman" w:hAnsi="Times New Roman" w:eastAsia="仿宋_GB2312"/>
          <w:b w:val="0"/>
          <w:sz w:val="28"/>
        </w:rPr>
        <w:t>如图1-1所示，首先以真实资产、负荷、新能源和线路资料建立研究基础，分别识别正向供电压力与反向承载压力；随后在统一的规划期经济口径下，对变电扩建、储能和局部网络互济措施进行组合比较，并通过Rcap扫描及敏感性分析识别经济释放阈值与稳健建议下限。对于10 kV层面的局部问题，则进一步通过供电边界重构分析高光伏净外送功率能否经既有或新增联络向相邻站转移，并同步校核受端通道和变电站反向承接能力。整个分析过程中，技术可行性始终先于数值推荐，避免以单一比例指标替代设备能力、接入位置和网络结构等工程约束。</w:t>
      </w:r>
    </w:p>
    <w:p>
      <w:pPr>
        <w:pStyle w:val="2"/>
        <w:pageBreakBefore/>
        <w:jc w:val="left"/>
      </w:pPr>
      <w:bookmarkStart w:id="6" w:name="_TocReport0006"/>
      <w:r>
        <w:rPr>
          <w:rFonts w:ascii="Times New Roman" w:hAnsi="Times New Roman" w:eastAsia="仿宋_GB2312"/>
          <w:b/>
          <w:sz w:val="36"/>
        </w:rPr>
        <w:t>第二章 文献综述与理论基础</w:t>
      </w:r>
      <w:bookmarkEnd w:id="6"/>
    </w:p>
    <w:p>
      <w:pPr>
        <w:pStyle w:val="3"/>
        <w:pageBreakBefore w:val="0"/>
        <w:jc w:val="left"/>
      </w:pPr>
      <w:bookmarkStart w:id="7" w:name="_TocReport0007"/>
      <w:r>
        <w:rPr>
          <w:rFonts w:ascii="Times New Roman" w:hAnsi="Times New Roman" w:eastAsia="仿宋_GB2312"/>
          <w:b/>
          <w:sz w:val="28"/>
        </w:rPr>
        <w:t>2.1 国内外研究现状</w:t>
      </w:r>
      <w:bookmarkEnd w:id="7"/>
    </w:p>
    <w:p>
      <w:pPr>
        <w:spacing w:before="0" w:after="0" w:line="560" w:lineRule="exact"/>
        <w:jc w:val="both"/>
        <w:ind w:firstLineChars="200" w:firstLine="200"/>
      </w:pPr>
      <w:r>
        <w:rPr>
          <w:rFonts w:ascii="Times New Roman" w:hAnsi="Times New Roman" w:eastAsia="仿宋_GB2312"/>
          <w:b w:val="0"/>
          <w:sz w:val="28"/>
        </w:rPr>
        <w:t>现行电网规划标准仍以供电能力、负荷增长和设备利用效率为重要基础，容载比作为区域变电容量配置水平的统计指标，长期用于指导电网规划与投资安排[5-6]。国内关于多电压等级电网容载比、精细化规划参数和主配协同规划的研究表明，容载比适合反映区域容量储备水平，但其合理取值需要与网络结构、供电可靠性、负荷增长和规划颗粒度共同分析[13-16]。</w:t>
      </w:r>
    </w:p>
    <w:p>
      <w:pPr>
        <w:spacing w:before="0" w:after="0" w:line="560" w:lineRule="exact"/>
        <w:jc w:val="both"/>
        <w:ind w:firstLineChars="200" w:firstLine="200"/>
      </w:pPr>
      <w:r>
        <w:rPr>
          <w:rFonts w:ascii="Times New Roman" w:hAnsi="Times New Roman" w:eastAsia="仿宋_GB2312"/>
          <w:b w:val="0"/>
          <w:sz w:val="28"/>
        </w:rPr>
        <w:t>随着分布式光伏渗透率提高，配电网承载力研究逐步从静态装机比例扩展到源荷不确定性、时序潮流、主动管理和主配协同。已有研究指出，新能源接入对电网的影响不仅取决于装机规模，还与源荷同步性、接入位置、局部网络结构及反向潮流密切相关[7-10,17,19]。因此，单纯以新能源装机与负荷之比判断承载能力，难以反映设备和网络在不同方向功率下的真实压力。</w:t>
      </w:r>
    </w:p>
    <w:p>
      <w:pPr>
        <w:spacing w:before="0" w:after="0" w:line="560" w:lineRule="exact"/>
        <w:jc w:val="both"/>
        <w:ind w:firstLineChars="200" w:firstLine="200"/>
      </w:pPr>
      <w:r>
        <w:rPr>
          <w:rFonts w:ascii="Times New Roman" w:hAnsi="Times New Roman" w:eastAsia="仿宋_GB2312"/>
          <w:b w:val="0"/>
          <w:sz w:val="28"/>
        </w:rPr>
        <w:t>储能及其他柔性资源能够在一定程度上缓解局部反向送电、削减正向峰值或推迟网络扩建，但其经济性高度依赖负荷增长、功率持续时间、设备成本和网络约束[11-12,18,20]。在实际工程中，储能并非变电扩建的简单替代物：当正向负荷持续增长且扩建条件具备时，过度限制新增变电容量可能导致储能规模快速增加；而当局部反向潮流或接入位置成为主要矛盾时，仅增加主变容量也未必能够解决问题。</w:t>
      </w:r>
    </w:p>
    <w:p>
      <w:pPr>
        <w:spacing w:before="0" w:after="0" w:line="560" w:lineRule="exact"/>
        <w:jc w:val="both"/>
        <w:ind w:firstLineChars="200" w:firstLine="200"/>
      </w:pPr>
      <w:r>
        <w:rPr>
          <w:rFonts w:ascii="Times New Roman" w:hAnsi="Times New Roman" w:eastAsia="仿宋_GB2312"/>
          <w:b w:val="0"/>
          <w:sz w:val="28"/>
        </w:rPr>
        <w:t>综合现有研究可以看出，高比例分布式新能源条件下的容量规划需要同时回答三个问题：一是正向供电需要多少变电容量；二是新能源反送对局部设备和网络形成多大压力；三是扩建、储能和网络互济三类措施如何组合更为合理。本研究据此不重新定义传统容载比的物理分母，而是区分“实际物理容载比”和“规划控制参数”，并将反向承载、储能和10 kV局部互济条件作为独立约束纳入规划比较。</w:t>
      </w:r>
    </w:p>
    <w:p>
      <w:pPr>
        <w:pStyle w:val="3"/>
        <w:pageBreakBefore w:val="0"/>
        <w:jc w:val="left"/>
      </w:pPr>
      <w:bookmarkStart w:id="8" w:name="_TocReport0008"/>
      <w:r>
        <w:rPr>
          <w:rFonts w:ascii="Times New Roman" w:hAnsi="Times New Roman" w:eastAsia="仿宋_GB2312"/>
          <w:b/>
          <w:sz w:val="28"/>
        </w:rPr>
        <w:t>2.2 核心概念与理论基础</w:t>
      </w:r>
      <w:bookmarkEnd w:id="8"/>
    </w:p>
    <w:p>
      <w:pPr>
        <w:pStyle w:val="4"/>
        <w:pageBreakBefore w:val="0"/>
        <w:jc w:val="left"/>
      </w:pPr>
      <w:r>
        <w:rPr>
          <w:rFonts w:ascii="Times New Roman" w:hAnsi="Times New Roman" w:eastAsia="仿宋_GB2312"/>
          <w:b/>
          <w:sz w:val="28"/>
        </w:rPr>
        <w:t>2.2.1 实际物理容载比与规划控制值</w:t>
      </w:r>
    </w:p>
    <w:p>
      <w:pPr>
        <w:spacing w:before="0" w:after="0" w:line="560" w:lineRule="exact"/>
        <w:jc w:val="both"/>
        <w:ind w:firstLineChars="200" w:firstLine="200"/>
      </w:pPr>
      <w:r>
        <w:rPr>
          <w:rFonts w:ascii="Times New Roman" w:hAnsi="Times New Roman" w:eastAsia="仿宋_GB2312"/>
          <w:b w:val="0"/>
          <w:sz w:val="28"/>
        </w:rPr>
        <w:t>第y年实际物理容载比定义为该规划路径下在役变电总容量与同期正向年最大供电负荷之比：</w:t>
      </w:r>
    </w:p>
    <w:p>
      <w:pPr>
        <w:keepLines/>
        <w:jc w:val="left"/>
        <w:ind w:firstLine="0" w:firstLineChars="0"/>
        <w:spacing w:line="440" w:lineRule="exact"/>
        <w:tabs>
          <w:tab w:val="center" w:pos="4100"/>
          <w:tab w:val="right" w:pos="8200"/>
        </w:tabs>
      </w:pPr>
      <w:r>
        <w:tab/>
      </w:r>
      <m:oMath>
        <m:sSub>
          <m:e>
            <m:r>
              <m:t>R</m:t>
            </m:r>
          </m:e>
          <m:sub>
            <m:r>
              <m:rPr>
                <m:sty m:val="p"/>
              </m:rPr>
              <m:t>C</m:t>
            </m:r>
            <m:r>
              <m:rPr>
                <m:sty m:val="p"/>
              </m:rPr>
              <m:t>L</m:t>
            </m:r>
            <m:r>
              <m:rPr>
                <m:sty m:val="p"/>
              </m:rPr>
              <m:t>R</m:t>
            </m:r>
            <m:r>
              <m:rPr>
                <m:sty m:val="p"/>
              </m:rPr>
              <m:t>,</m:t>
            </m:r>
            <m:r>
              <m:t>y</m:t>
            </m:r>
          </m:sub>
        </m:sSub>
        <m:r>
          <m:rPr>
            <m:sty m:val="p"/>
          </m:rPr>
          <m:t>=</m:t>
        </m:r>
        <m:f>
          <m:fPr>
            <m:type m:val="bar"/>
          </m:fPr>
          <m:num>
            <m:sSub>
              <m:e>
                <m:r>
                  <m:t>S</m:t>
                </m:r>
              </m:e>
              <m:sub>
                <m:r>
                  <m:t>y</m:t>
                </m:r>
              </m:sub>
            </m:sSub>
          </m:num>
          <m:den>
            <m:sSubSup>
              <m:e>
                <m:r>
                  <m:t>P</m:t>
                </m:r>
              </m:e>
              <m:sub>
                <m:r>
                  <m:t>y</m:t>
                </m:r>
              </m:sub>
              <m:sup>
                <m:r>
                  <m:rPr>
                    <m:sty m:val="p"/>
                  </m:rPr>
                  <m:t>+</m:t>
                </m:r>
              </m:sup>
            </m:sSubSup>
          </m:den>
        </m:f>
      </m:oMath>
      <w:r>
        <w:rPr>
          <w:rFonts w:ascii="Times New Roman" w:hAnsi="Times New Roman" w:eastAsia="仿宋_GB2312"/>
          <w:b w:val="0"/>
          <w:sz w:val="28"/>
        </w:rPr>
        <w:tab/>
        <w:t>（2-1）</w:t>
      </w:r>
    </w:p>
    <w:p>
      <w:pPr>
        <w:spacing w:before="0" w:after="0" w:line="560" w:lineRule="exact"/>
        <w:jc w:val="both"/>
        <w:ind w:firstLineChars="200" w:firstLine="200"/>
      </w:pPr>
      <w:r>
        <w:rPr>
          <w:rFonts w:ascii="Times New Roman" w:hAnsi="Times New Roman" w:eastAsia="仿宋_GB2312"/>
          <w:b w:val="0"/>
          <w:sz w:val="28"/>
        </w:rPr>
        <w:t>式中，S_y为第y年在役变电总容量；P_y^+为同一规划路径下重新计算的正向年最大供电负荷。考虑储能充放电和局部互济后，P_y^+由净负荷序列确定：</w:t>
      </w:r>
    </w:p>
    <w:p>
      <w:pPr>
        <w:keepLines/>
        <w:jc w:val="left"/>
        <w:ind w:firstLine="0" w:firstLineChars="0"/>
        <w:spacing w:line="440" w:lineRule="exact"/>
        <w:tabs>
          <w:tab w:val="center" w:pos="4100"/>
          <w:tab w:val="right" w:pos="8200"/>
        </w:tabs>
      </w:pPr>
      <w:r>
        <w:tab/>
      </w:r>
      <m:oMath>
        <m:sSubSup>
          <m:e>
            <m:r>
              <m:t>P</m:t>
            </m:r>
          </m:e>
          <m:sub>
            <m:r>
              <m:t>y</m:t>
            </m:r>
          </m:sub>
          <m:sup>
            <m:r>
              <m:rPr>
                <m:sty m:val="p"/>
              </m:rPr>
              <m:t>+</m:t>
            </m:r>
          </m:sup>
        </m:sSubSup>
        <m:r>
          <m:rPr>
            <m:sty m:val="p"/>
          </m:rPr>
          <m:t>=</m:t>
        </m:r>
        <m:limLow>
          <m:e>
            <m:r>
              <m:rPr>
                <m:sty m:val="p"/>
              </m:rPr>
              <m:t>max</m:t>
            </m:r>
          </m:e>
          <m:lim>
            <m:r>
              <m:t>t</m:t>
            </m:r>
          </m:lim>
        </m:limLow>
        <m:d>
          <m:dPr>
            <m:begChr m:val="{"/>
            <m:endChr m:val="}"/>
            <m:sepChr m:val=""/>
            <m:grow/>
          </m:dPr>
          <m:e>
            <m:r>
              <m:rPr>
                <m:sty m:val="p"/>
              </m:rPr>
              <m:t>max</m:t>
            </m:r>
            <m:d>
              <m:dPr>
                <m:begChr m:val="["/>
                <m:endChr m:val="]"/>
                <m:sepChr m:val=""/>
                <m:grow/>
              </m:dPr>
              <m:e>
                <m:nary>
                  <m:naryPr>
                    <m:chr m:val="∑"/>
                    <m:limLoc m:val="undOvr"/>
                    <m:subHide m:val="off"/>
                    <m:supHide m:val="on"/>
                  </m:naryPr>
                  <m:sub>
                    <m:r>
                      <m:t>i</m:t>
                    </m:r>
                  </m:sub>
                  <m:sup>
                    <m:r>
                      <m:t>​</m:t>
                    </m:r>
                  </m:sup>
                  <m:e>
                    <m:d>
                      <m:dPr>
                        <m:begChr m:val="("/>
                        <m:endChr m:val=")"/>
                        <m:sepChr m:val=""/>
                        <m:grow/>
                      </m:dPr>
                      <m:e>
                        <m:sSub>
                          <m:e>
                            <m:r>
                              <m:t>P</m:t>
                            </m:r>
                          </m:e>
                          <m:sub>
                            <m:r>
                              <m:rPr>
                                <m:sty m:val="p"/>
                              </m:rPr>
                              <m:t>a</m:t>
                            </m:r>
                            <m:r>
                              <m:rPr>
                                <m:sty m:val="p"/>
                              </m:rPr>
                              <m:t>c</m:t>
                            </m:r>
                            <m:r>
                              <m:rPr>
                                <m:sty m:val="p"/>
                              </m:rPr>
                              <m:t>t</m:t>
                            </m:r>
                            <m:r>
                              <m:rPr>
                                <m:sty m:val="p"/>
                              </m:rPr>
                              <m:t>u</m:t>
                            </m:r>
                            <m:r>
                              <m:rPr>
                                <m:sty m:val="p"/>
                              </m:rPr>
                              <m:t>a</m:t>
                            </m:r>
                            <m:r>
                              <m:rPr>
                                <m:sty m:val="p"/>
                              </m:rPr>
                              <m:t>l</m:t>
                            </m:r>
                            <m:r>
                              <m:rPr>
                                <m:sty m:val="p"/>
                              </m:rPr>
                              <m:t>,</m:t>
                            </m:r>
                            <m:r>
                              <m:t>i</m:t>
                            </m:r>
                            <m:r>
                              <m:rPr>
                                <m:sty m:val="p"/>
                              </m:rPr>
                              <m:t>,</m:t>
                            </m:r>
                            <m:r>
                              <m:t>t</m:t>
                            </m:r>
                          </m:sub>
                        </m:sSub>
                        <m:r>
                          <m:rPr>
                            <m:sty m:val="p"/>
                          </m:rPr>
                          <m:t>+</m:t>
                        </m:r>
                        <m:sSub>
                          <m:e>
                            <m:r>
                              <m:t>P</m:t>
                            </m:r>
                          </m:e>
                          <m:sub>
                            <m:r>
                              <m:rPr>
                                <m:sty m:val="p"/>
                              </m:rPr>
                              <m:t>c</m:t>
                            </m:r>
                            <m:r>
                              <m:rPr>
                                <m:sty m:val="p"/>
                              </m:rPr>
                              <m:t>,</m:t>
                            </m:r>
                            <m:r>
                              <m:t>i</m:t>
                            </m:r>
                            <m:r>
                              <m:rPr>
                                <m:sty m:val="p"/>
                              </m:rPr>
                              <m:t>,</m:t>
                            </m:r>
                            <m:r>
                              <m:t>t</m:t>
                            </m:r>
                          </m:sub>
                        </m:sSub>
                        <m:r>
                          <m:rPr>
                            <m:sty m:val="p"/>
                          </m:rPr>
                          <m:t>−</m:t>
                        </m:r>
                        <m:sSub>
                          <m:e>
                            <m:r>
                              <m:t>P</m:t>
                            </m:r>
                          </m:e>
                          <m:sub>
                            <m:r>
                              <m:rPr>
                                <m:sty m:val="p"/>
                              </m:rPr>
                              <m:t>d</m:t>
                            </m:r>
                            <m:r>
                              <m:rPr>
                                <m:sty m:val="p"/>
                              </m:rPr>
                              <m:t>,</m:t>
                            </m:r>
                            <m:r>
                              <m:t>i</m:t>
                            </m:r>
                            <m:r>
                              <m:rPr>
                                <m:sty m:val="p"/>
                              </m:rPr>
                              <m:t>,</m:t>
                            </m:r>
                            <m:r>
                              <m:t>t</m:t>
                            </m:r>
                          </m:sub>
                        </m:sSub>
                        <m:r>
                          <m:rPr>
                            <m:sty m:val="p"/>
                          </m:rPr>
                          <m:t>+</m:t>
                        </m:r>
                        <m:sSub>
                          <m:e>
                            <m:r>
                              <m:t>P</m:t>
                            </m:r>
                          </m:e>
                          <m:sub>
                            <m:r>
                              <m:rPr>
                                <m:sty m:val="p"/>
                              </m:rPr>
                              <m:t>t</m:t>
                            </m:r>
                            <m:r>
                              <m:rPr>
                                <m:sty m:val="p"/>
                              </m:rPr>
                              <m:t>i</m:t>
                            </m:r>
                            <m:r>
                              <m:rPr>
                                <m:sty m:val="p"/>
                              </m:rPr>
                              <m:t>e</m:t>
                            </m:r>
                            <m:r>
                              <m:rPr>
                                <m:sty m:val="p"/>
                              </m:rPr>
                              <m:t>,</m:t>
                            </m:r>
                            <m:r>
                              <m:t>i</m:t>
                            </m:r>
                            <m:r>
                              <m:rPr>
                                <m:sty m:val="p"/>
                              </m:rPr>
                              <m:t>,</m:t>
                            </m:r>
                            <m:r>
                              <m:t>t</m:t>
                            </m:r>
                          </m:sub>
                        </m:sSub>
                      </m:e>
                    </m:d>
                  </m:e>
                </m:nary>
                <m:r>
                  <m:rPr>
                    <m:sty m:val="p"/>
                  </m:rPr>
                  <m:t>,</m:t>
                </m:r>
                <m:r>
                  <m:t>0</m:t>
                </m:r>
              </m:e>
            </m:d>
          </m:e>
        </m:d>
      </m:oMath>
      <w:r>
        <w:rPr>
          <w:rFonts w:ascii="Times New Roman" w:hAnsi="Times New Roman" w:eastAsia="仿宋_GB2312"/>
          <w:b w:val="0"/>
          <w:sz w:val="28"/>
        </w:rPr>
        <w:tab/>
        <w:t>（2-2）</w:t>
      </w:r>
    </w:p>
    <w:p>
      <w:pPr>
        <w:spacing w:before="0" w:after="0" w:line="560" w:lineRule="exact"/>
        <w:jc w:val="both"/>
        <w:ind w:firstLineChars="200" w:firstLine="200"/>
      </w:pPr>
      <w:r>
        <w:rPr>
          <w:rFonts w:ascii="Times New Roman" w:hAnsi="Times New Roman" w:eastAsia="仿宋_GB2312"/>
          <w:b w:val="0"/>
          <w:sz w:val="28"/>
        </w:rPr>
        <w:t>该定义保留了传统容载比“容量/正向峰值负荷”的物理含义。反向潮流不进入容载比分母，而通过独立指标和设备约束处理。因此，实际物理容载比是规划方案形成后的结果指标，不等同于限制新增容量的Rcap。</w:t>
      </w:r>
    </w:p>
    <w:p>
      <w:pPr>
        <w:spacing w:before="0" w:after="0" w:line="560" w:lineRule="exact"/>
        <w:jc w:val="both"/>
        <w:ind w:firstLineChars="200" w:firstLine="200"/>
      </w:pPr>
      <w:r>
        <w:rPr>
          <w:rFonts w:ascii="Times New Roman" w:hAnsi="Times New Roman" w:eastAsia="仿宋_GB2312"/>
          <w:b w:val="0"/>
          <w:sz w:val="28"/>
        </w:rPr>
        <w:t>各规划方案均以2021年实际在役变电容量为共同起点。既有容量保持在役，不因控制值变化假设退役或拆除；Rcap只约束规划期新增容量：</w:t>
      </w:r>
    </w:p>
    <w:p>
      <w:pPr>
        <w:keepLines/>
        <w:jc w:val="left"/>
        <w:ind w:firstLine="0" w:firstLineChars="0"/>
        <w:spacing w:line="440" w:lineRule="exact"/>
        <w:tabs>
          <w:tab w:val="center" w:pos="4100"/>
          <w:tab w:val="right" w:pos="8200"/>
        </w:tabs>
      </w:pPr>
      <w:r>
        <w:tab/>
      </w:r>
      <m:oMath>
        <m:r>
          <m:t>Δ</m:t>
        </m:r>
        <m:sSub>
          <m:e>
            <m:r>
              <m:t>S</m:t>
            </m:r>
          </m:e>
          <m:sub>
            <m:r>
              <m:t>y</m:t>
            </m:r>
          </m:sub>
        </m:sSub>
        <m:r>
          <m:rPr>
            <m:sty m:val="p"/>
          </m:rPr>
          <m:t>≤</m:t>
        </m:r>
        <m:r>
          <m:rPr>
            <m:sty m:val="p"/>
          </m:rPr>
          <m:t>max</m:t>
        </m:r>
        <m:d>
          <m:dPr>
            <m:begChr m:val="("/>
            <m:endChr m:val=")"/>
            <m:sepChr m:val=""/>
            <m:grow/>
          </m:dPr>
          <m:e>
            <m:sSub>
              <m:e>
                <m:r>
                  <m:t>R</m:t>
                </m:r>
              </m:e>
              <m:sub>
                <m:r>
                  <m:rPr>
                    <m:sty m:val="p"/>
                  </m:rPr>
                  <m:t>c</m:t>
                </m:r>
                <m:r>
                  <m:rPr>
                    <m:sty m:val="p"/>
                  </m:rPr>
                  <m:t>a</m:t>
                </m:r>
                <m:r>
                  <m:rPr>
                    <m:sty m:val="p"/>
                  </m:rPr>
                  <m:t>p</m:t>
                </m:r>
              </m:sub>
            </m:sSub>
            <m:sSubSup>
              <m:e>
                <m:r>
                  <m:t>P</m:t>
                </m:r>
              </m:e>
              <m:sub>
                <m:r>
                  <m:t>y</m:t>
                </m:r>
              </m:sub>
              <m:sup>
                <m:r>
                  <m:rPr>
                    <m:sty m:val="p"/>
                  </m:rPr>
                  <m:t>+</m:t>
                </m:r>
              </m:sup>
            </m:sSubSup>
            <m:r>
              <m:rPr>
                <m:sty m:val="p"/>
              </m:rPr>
              <m:t>−</m:t>
            </m:r>
            <m:sSub>
              <m:e>
                <m:r>
                  <m:t>S</m:t>
                </m:r>
              </m:e>
              <m:sub>
                <m:r>
                  <m:t>2021</m:t>
                </m:r>
              </m:sub>
            </m:sSub>
            <m:r>
              <m:rPr>
                <m:sty m:val="p"/>
              </m:rPr>
              <m:t>,</m:t>
            </m:r>
            <m:r>
              <m:t>0</m:t>
            </m:r>
          </m:e>
        </m:d>
      </m:oMath>
      <w:r>
        <w:rPr>
          <w:rFonts w:ascii="Times New Roman" w:hAnsi="Times New Roman" w:eastAsia="仿宋_GB2312"/>
          <w:b w:val="0"/>
          <w:sz w:val="28"/>
        </w:rPr>
        <w:tab/>
        <w:t>（2-3）</w:t>
      </w:r>
    </w:p>
    <w:p>
      <w:pPr>
        <w:spacing w:before="0" w:after="0" w:line="560" w:lineRule="exact"/>
        <w:jc w:val="both"/>
        <w:ind w:firstLineChars="200" w:firstLine="200"/>
      </w:pPr>
      <w:r>
        <w:rPr>
          <w:rFonts w:ascii="Times New Roman" w:hAnsi="Times New Roman" w:eastAsia="仿宋_GB2312"/>
          <w:b w:val="0"/>
          <w:sz w:val="28"/>
        </w:rPr>
        <w:t>当既有容量已经高于控制值对应的容量水平时，式（2-3）右端取零，表示该控制值下不再允许新增变电容量，而不是要求压减既有容量。由此形成存量容量豁免机制，也解释了为什么某些规划路径的实际物理容载比可以高于Rcap而不构成约束违反。</w:t>
      </w:r>
    </w:p>
    <w:p>
      <w:pPr>
        <w:pStyle w:val="38"/>
        <w:jc w:val="center"/>
        <w:keepNext/>
        <w:keepLines/>
        <w:ind w:firstLine="0" w:firstLineChars="0"/>
      </w:pPr>
      <w:r>
        <w:drawing>
          <wp:inline xmlns:a="http://schemas.openxmlformats.org/drawingml/2006/main" xmlns:pic="http://schemas.openxmlformats.org/drawingml/2006/picture">
            <wp:extent cx="4968000" cy="3157512"/>
            <wp:docPr id="2" name="Picture 2"/>
            <wp:cNvGraphicFramePr>
              <a:graphicFrameLocks noChangeAspect="1"/>
            </wp:cNvGraphicFramePr>
            <a:graphic>
              <a:graphicData uri="http://schemas.openxmlformats.org/drawingml/2006/picture">
                <pic:pic>
                  <pic:nvPicPr>
                    <pic:cNvPr id="0" name="图3-1_物理容载比与规划控制值.png"/>
                    <pic:cNvPicPr/>
                  </pic:nvPicPr>
                  <pic:blipFill>
                    <a:blip r:embed="rId14"/>
                    <a:stretch>
                      <a:fillRect/>
                    </a:stretch>
                  </pic:blipFill>
                  <pic:spPr>
                    <a:xfrm>
                      <a:off x="0" y="0"/>
                      <a:ext cx="4968000" cy="3157512"/>
                    </a:xfrm>
                    <a:prstGeom prst="rect"/>
                  </pic:spPr>
                </pic:pic>
              </a:graphicData>
            </a:graphic>
          </wp:inline>
        </w:drawing>
      </w:r>
    </w:p>
    <w:p>
      <w:pPr>
        <w:pStyle w:val="12"/>
        <w:keepNext w:val="0"/>
        <w:spacing w:before="0" w:after="120" w:line="400" w:lineRule="exact"/>
        <w:jc w:val="center"/>
        <w:ind w:firstLine="0" w:firstLineChars="0"/>
      </w:pPr>
      <w:r>
        <w:rPr>
          <w:rFonts w:ascii="Times New Roman" w:hAnsi="Times New Roman" w:eastAsia="仿宋_GB2312"/>
          <w:b w:val="0"/>
          <w:sz w:val="24"/>
        </w:rPr>
        <w:t>图 2-1 实际物理容载比与规划控制值的关系</w:t>
      </w:r>
    </w:p>
    <w:p>
      <w:pPr>
        <w:spacing w:before="0" w:after="0" w:line="560" w:lineRule="exact"/>
        <w:jc w:val="both"/>
        <w:ind w:firstLineChars="200" w:firstLine="200"/>
      </w:pPr>
      <w:r>
        <w:rPr>
          <w:rFonts w:ascii="Times New Roman" w:hAnsi="Times New Roman" w:eastAsia="仿宋_GB2312"/>
          <w:b w:val="0"/>
          <w:sz w:val="28"/>
        </w:rPr>
        <w:t>图2-1给出了两类指标的关系：实际物理容载比用于描述最终容量配置状态，Rcap用于控制规划期新增容量空间。将两者分开，是避免存量资产被错误纳入刚性上限的关键。</w:t>
      </w:r>
    </w:p>
    <w:p>
      <w:pPr>
        <w:pStyle w:val="4"/>
        <w:pageBreakBefore w:val="0"/>
        <w:jc w:val="left"/>
      </w:pPr>
      <w:r>
        <w:rPr>
          <w:rFonts w:ascii="Times New Roman" w:hAnsi="Times New Roman" w:eastAsia="仿宋_GB2312"/>
          <w:b/>
          <w:sz w:val="28"/>
        </w:rPr>
        <w:t>2.2.2 储能运行约束</w:t>
      </w:r>
    </w:p>
    <w:p>
      <w:pPr>
        <w:spacing w:before="0" w:after="0" w:line="560" w:lineRule="exact"/>
        <w:jc w:val="both"/>
        <w:ind w:firstLineChars="200" w:firstLine="200"/>
      </w:pPr>
      <w:r>
        <w:rPr>
          <w:rFonts w:ascii="Times New Roman" w:hAnsi="Times New Roman" w:eastAsia="仿宋_GB2312"/>
          <w:b w:val="0"/>
          <w:sz w:val="28"/>
        </w:rPr>
        <w:t>储能作为本地功率调节资源参与规划。单个模块额定功率为0.1 MW、额定容量为0.215 MWh，SOC运行范围为10%～90%，基准充电效率和放电效率均取0.95。储能充电仅吸收本地反向或剩余功率，不通过充电人为改变潮流方向；储能放电仅服务本地正向负荷，不通过放电形成新的外送功率。能量状态满足：</w:t>
      </w:r>
    </w:p>
    <w:p>
      <w:pPr>
        <w:keepLines/>
        <w:jc w:val="left"/>
        <w:ind w:firstLine="0" w:firstLineChars="0"/>
        <w:spacing w:line="440" w:lineRule="exact"/>
        <w:tabs>
          <w:tab w:val="center" w:pos="4100"/>
          <w:tab w:val="right" w:pos="8200"/>
        </w:tabs>
      </w:pPr>
      <w:r>
        <w:tab/>
      </w:r>
      <m:oMath>
        <m:sSub>
          <m:e>
            <m:r>
              <m:t>E</m:t>
            </m:r>
          </m:e>
          <m:sub>
            <m:r>
              <m:t>t</m:t>
            </m:r>
          </m:sub>
        </m:sSub>
        <m:r>
          <m:rPr>
            <m:sty m:val="p"/>
          </m:rPr>
          <m:t>=</m:t>
        </m:r>
        <m:sSub>
          <m:e>
            <m:r>
              <m:t>E</m:t>
            </m:r>
          </m:e>
          <m:sub>
            <m:r>
              <m:t>t</m:t>
            </m:r>
            <m:r>
              <m:rPr>
                <m:sty m:val="p"/>
              </m:rPr>
              <m:t>−</m:t>
            </m:r>
            <m:r>
              <m:t>1</m:t>
            </m:r>
          </m:sub>
        </m:sSub>
        <m:r>
          <m:rPr>
            <m:sty m:val="p"/>
          </m:rPr>
          <m:t>+</m:t>
        </m:r>
        <m:sSub>
          <m:e>
            <m:r>
              <m:t>η</m:t>
            </m:r>
          </m:e>
          <m:sub>
            <m:r>
              <m:rPr>
                <m:sty m:val="p"/>
              </m:rPr>
              <m:t>c</m:t>
            </m:r>
          </m:sub>
        </m:sSub>
        <m:sSub>
          <m:e>
            <m:r>
              <m:t>P</m:t>
            </m:r>
          </m:e>
          <m:sub>
            <m:r>
              <m:rPr>
                <m:sty m:val="p"/>
              </m:rPr>
              <m:t>c</m:t>
            </m:r>
            <m:r>
              <m:rPr>
                <m:sty m:val="p"/>
              </m:rPr>
              <m:t>,</m:t>
            </m:r>
            <m:r>
              <m:t>t</m:t>
            </m:r>
          </m:sub>
        </m:sSub>
        <m:r>
          <m:t>Δ</m:t>
        </m:r>
        <m:r>
          <m:t>t</m:t>
        </m:r>
        <m:r>
          <m:rPr>
            <m:sty m:val="p"/>
          </m:rPr>
          <m:t>−</m:t>
        </m:r>
        <m:f>
          <m:fPr>
            <m:type m:val="bar"/>
          </m:fPr>
          <m:num>
            <m:sSub>
              <m:e>
                <m:r>
                  <m:t>P</m:t>
                </m:r>
              </m:e>
              <m:sub>
                <m:r>
                  <m:rPr>
                    <m:sty m:val="p"/>
                  </m:rPr>
                  <m:t>d</m:t>
                </m:r>
                <m:r>
                  <m:rPr>
                    <m:sty m:val="p"/>
                  </m:rPr>
                  <m:t>,</m:t>
                </m:r>
                <m:r>
                  <m:t>t</m:t>
                </m:r>
              </m:sub>
            </m:sSub>
            <m:r>
              <m:t>Δ</m:t>
            </m:r>
            <m:r>
              <m:t>t</m:t>
            </m:r>
          </m:num>
          <m:den>
            <m:sSub>
              <m:e>
                <m:r>
                  <m:t>η</m:t>
                </m:r>
              </m:e>
              <m:sub>
                <m:r>
                  <m:rPr>
                    <m:sty m:val="p"/>
                  </m:rPr>
                  <m:t>d</m:t>
                </m:r>
              </m:sub>
            </m:sSub>
          </m:den>
        </m:f>
      </m:oMath>
      <w:r>
        <w:rPr>
          <w:rFonts w:ascii="Times New Roman" w:hAnsi="Times New Roman" w:eastAsia="仿宋_GB2312"/>
          <w:b w:val="0"/>
          <w:sz w:val="28"/>
        </w:rPr>
        <w:tab/>
        <w:t>（2-4）</w:t>
      </w:r>
    </w:p>
    <w:p>
      <w:pPr>
        <w:keepLines/>
        <w:jc w:val="left"/>
        <w:ind w:firstLine="0" w:firstLineChars="0"/>
        <w:spacing w:line="440" w:lineRule="exact"/>
        <w:tabs>
          <w:tab w:val="center" w:pos="4100"/>
          <w:tab w:val="right" w:pos="8200"/>
        </w:tabs>
      </w:pPr>
      <w:r>
        <w:tab/>
      </w:r>
      <m:oMath>
        <m:r>
          <m:t>0.10</m:t>
        </m:r>
        <m:sSub>
          <m:e>
            <m:r>
              <m:t>E</m:t>
            </m:r>
          </m:e>
          <m:sub>
            <m:r>
              <m:rPr>
                <m:sty m:val="p"/>
              </m:rPr>
              <m:t>r</m:t>
            </m:r>
            <m:r>
              <m:rPr>
                <m:sty m:val="p"/>
              </m:rPr>
              <m:t>a</m:t>
            </m:r>
            <m:r>
              <m:rPr>
                <m:sty m:val="p"/>
              </m:rPr>
              <m:t>t</m:t>
            </m:r>
            <m:r>
              <m:rPr>
                <m:sty m:val="p"/>
              </m:rPr>
              <m:t>e</m:t>
            </m:r>
            <m:r>
              <m:rPr>
                <m:sty m:val="p"/>
              </m:rPr>
              <m:t>d</m:t>
            </m:r>
          </m:sub>
        </m:sSub>
        <m:r>
          <m:rPr>
            <m:sty m:val="p"/>
          </m:rPr>
          <m:t>≤</m:t>
        </m:r>
        <m:sSub>
          <m:e>
            <m:r>
              <m:t>E</m:t>
            </m:r>
          </m:e>
          <m:sub>
            <m:r>
              <m:t>t</m:t>
            </m:r>
          </m:sub>
        </m:sSub>
        <m:r>
          <m:rPr>
            <m:sty m:val="p"/>
          </m:rPr>
          <m:t>≤</m:t>
        </m:r>
        <m:r>
          <m:t>0.90</m:t>
        </m:r>
        <m:sSub>
          <m:e>
            <m:r>
              <m:t>E</m:t>
            </m:r>
          </m:e>
          <m:sub>
            <m:r>
              <m:rPr>
                <m:sty m:val="p"/>
              </m:rPr>
              <m:t>r</m:t>
            </m:r>
            <m:r>
              <m:rPr>
                <m:sty m:val="p"/>
              </m:rPr>
              <m:t>a</m:t>
            </m:r>
            <m:r>
              <m:rPr>
                <m:sty m:val="p"/>
              </m:rPr>
              <m:t>t</m:t>
            </m:r>
            <m:r>
              <m:rPr>
                <m:sty m:val="p"/>
              </m:rPr>
              <m:t>e</m:t>
            </m:r>
            <m:r>
              <m:rPr>
                <m:sty m:val="p"/>
              </m:rPr>
              <m:t>d</m:t>
            </m:r>
          </m:sub>
        </m:sSub>
      </m:oMath>
      <w:r>
        <w:rPr>
          <w:rFonts w:ascii="Times New Roman" w:hAnsi="Times New Roman" w:eastAsia="仿宋_GB2312"/>
          <w:b w:val="0"/>
          <w:sz w:val="28"/>
        </w:rPr>
        <w:tab/>
        <w:t>（2-5）</w:t>
      </w:r>
    </w:p>
    <w:p>
      <w:pPr>
        <w:spacing w:before="0" w:after="0" w:line="560" w:lineRule="exact"/>
        <w:jc w:val="both"/>
        <w:ind w:firstLineChars="200" w:firstLine="200"/>
      </w:pPr>
      <w:r>
        <w:rPr>
          <w:rFonts w:ascii="Times New Roman" w:hAnsi="Times New Roman" w:eastAsia="仿宋_GB2312"/>
          <w:b w:val="0"/>
          <w:sz w:val="28"/>
        </w:rPr>
        <w:t>其中，E_t为时刻t的储能电量，P_c,t和P_d,t分别为充电功率和放电功率。QX-00005具备2025年8760小时连续运行时序，储能SOC按全年序列连续传递；其余片区采用静态真实数据并结合短、中、长持续时间场景进行可行性校核。由于数据完整度不同，各片区关于储能时序可行性的结论应按相应证据能力解释。</w:t>
      </w:r>
    </w:p>
    <w:p>
      <w:pPr>
        <w:pStyle w:val="2"/>
        <w:pageBreakBefore/>
        <w:jc w:val="left"/>
      </w:pPr>
      <w:bookmarkStart w:id="9" w:name="_TocReport0009"/>
      <w:r>
        <w:rPr>
          <w:rFonts w:ascii="Times New Roman" w:hAnsi="Times New Roman" w:eastAsia="仿宋_GB2312"/>
          <w:b/>
          <w:sz w:val="36"/>
        </w:rPr>
        <w:t>第三章 徐州典型地区“新能源—电网”运行特征分析</w:t>
      </w:r>
      <w:bookmarkEnd w:id="9"/>
    </w:p>
    <w:p>
      <w:pPr>
        <w:pStyle w:val="3"/>
        <w:pageBreakBefore w:val="0"/>
        <w:jc w:val="left"/>
      </w:pPr>
      <w:bookmarkStart w:id="10" w:name="_TocReport0010"/>
      <w:r>
        <w:rPr>
          <w:rFonts w:ascii="Times New Roman" w:hAnsi="Times New Roman" w:eastAsia="仿宋_GB2312"/>
          <w:b/>
          <w:sz w:val="28"/>
        </w:rPr>
        <w:t>3.1 徐州新能源发展与电力负荷概况</w:t>
      </w:r>
      <w:bookmarkEnd w:id="10"/>
    </w:p>
    <w:p>
      <w:pPr>
        <w:spacing w:before="0" w:after="0" w:line="560" w:lineRule="exact"/>
        <w:jc w:val="both"/>
        <w:ind w:firstLineChars="200" w:firstLine="200"/>
      </w:pPr>
      <w:r>
        <w:rPr>
          <w:rFonts w:ascii="Times New Roman" w:hAnsi="Times New Roman" w:eastAsia="仿宋_GB2312"/>
          <w:b w:val="0"/>
          <w:sz w:val="28"/>
        </w:rPr>
        <w:t>本研究使用2021—2025年片区正向最大供电负荷、2021年和2025年在役变电容量、变电站年度最大及最小净负荷、110 kV线路负载水平以及新能源装机资料。新能源规模采用现有2026年装机快照，与2025年最近完整年度负荷进行横向比较，主要用于识别片区的现状源荷规模特征。由于两类数据不属于严格同期量，因此不将该比值解释为某一时刻的实际潮流状态。主要数据及用途见表3-1。</w:t>
      </w:r>
    </w:p>
    <w:p>
      <w:pPr>
        <w:pStyle w:val="12"/>
        <w:keepNext/>
        <w:spacing w:before="120" w:after="60" w:line="400" w:lineRule="exact"/>
        <w:jc w:val="center"/>
        <w:ind w:firstLine="0" w:firstLineChars="0"/>
      </w:pPr>
      <w:r>
        <w:rPr>
          <w:rFonts w:ascii="Times New Roman" w:hAnsi="Times New Roman" w:eastAsia="仿宋_GB2312"/>
          <w:b w:val="0"/>
          <w:sz w:val="24"/>
        </w:rPr>
        <w:t>表 3-1 主要数据及用途</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rPr>
          <w:cantSplit/>
          <w:tblHeader w:val="true"/>
        </w:trPr>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数据类别</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时间范围</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主要用途</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使用限制</w:t>
            </w:r>
          </w:p>
        </w:tc>
      </w:tr>
      <w:tr>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片区正向最大供电负荷</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2021—2025年</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容载比、负荷变化率、规划需求</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年度峰值不反映全年同步波动</w:t>
            </w:r>
          </w:p>
        </w:tc>
      </w:tr>
      <w:tr>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在役变电容量</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2021年、2025年</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共同资产起点与容量核验</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按现有台账统计</w:t>
            </w:r>
          </w:p>
        </w:tc>
      </w:tr>
      <w:tr>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变电站年度净负荷极值</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现有统计年度</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局部反向潮流分析</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各站极值不一定同时发生</w:t>
            </w:r>
          </w:p>
        </w:tc>
      </w:tr>
      <w:tr>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110 kV线路负载水平</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现状资料</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线路统计负载余度</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不等同完整交流潮流结果</w:t>
            </w:r>
          </w:p>
        </w:tc>
      </w:tr>
      <w:tr>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新能源装机快照</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2026年</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源荷规模横向比较</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与2025年负荷不属于严格同期量</w:t>
            </w:r>
          </w:p>
        </w:tc>
      </w:tr>
      <w:tr>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连续运行时序</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2025年</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连续SOC与时序可行性</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目前QX-00005具备8760小时连续数据</w:t>
            </w:r>
          </w:p>
        </w:tc>
      </w:tr>
    </w:tbl>
    <w:p>
      <w:pPr>
        <w:spacing w:before="0" w:after="0" w:line="560" w:lineRule="exact"/>
        <w:jc w:val="both"/>
        <w:ind w:firstLineChars="200" w:firstLine="200"/>
      </w:pPr>
      <w:r>
        <w:rPr>
          <w:rFonts w:ascii="Times New Roman" w:hAnsi="Times New Roman" w:eastAsia="仿宋_GB2312"/>
          <w:b w:val="0"/>
          <w:sz w:val="28"/>
        </w:rPr>
        <w:t>从样本整体看，8个典型片区在新能源规模、正向负荷、局部反向功率、线路负载和负荷变化方面存在明显差异。部分片区新能源装机已接近或超过近期正向峰值负荷，部分片区110 kV线路统计最大负载率达到或超过100%。这说明高渗透片区面临的主要矛盾并不一致，既可能表现为正向容量增长压力，也可能表现为局部反向承载或线路容量压力，因而需要进一步开展分类型分析。</w:t>
      </w:r>
    </w:p>
    <w:p>
      <w:pPr>
        <w:pStyle w:val="3"/>
        <w:pageBreakBefore w:val="0"/>
        <w:jc w:val="left"/>
      </w:pPr>
      <w:bookmarkStart w:id="11" w:name="_TocReport0011"/>
      <w:r>
        <w:rPr>
          <w:rFonts w:ascii="Times New Roman" w:hAnsi="Times New Roman" w:eastAsia="仿宋_GB2312"/>
          <w:b/>
          <w:sz w:val="28"/>
        </w:rPr>
        <w:t>3.2 主变负载率多工况统计分析</w:t>
      </w:r>
      <w:bookmarkEnd w:id="11"/>
    </w:p>
    <w:p>
      <w:pPr>
        <w:spacing w:before="0" w:after="0" w:line="560" w:lineRule="exact"/>
        <w:jc w:val="both"/>
        <w:ind w:firstLineChars="200" w:firstLine="200"/>
      </w:pPr>
      <w:r>
        <w:rPr>
          <w:rFonts w:ascii="Times New Roman" w:hAnsi="Times New Roman" w:eastAsia="仿宋_GB2312"/>
          <w:b w:val="0"/>
          <w:sz w:val="28"/>
        </w:rPr>
        <w:t>在正向供电、低负荷和反向送电等不同工况下，主变及相关线路承担的功率方向不同。年度最大正向净负荷用于描述传统供电峰值；当年度最小净负荷小于零时，其绝对值用于表征该站统计年度内出现的最大反向潮流功率。对于不具备完整同步时序的片区，不将不同变电站在不同时刻发生的年度极值直接相加，以避免把非同期事件误认为片区同步反向峰值。</w:t>
      </w:r>
    </w:p>
    <w:p>
      <w:pPr>
        <w:spacing w:before="0" w:after="0" w:line="560" w:lineRule="exact"/>
        <w:jc w:val="both"/>
        <w:ind w:firstLineChars="200" w:firstLine="200"/>
      </w:pPr>
      <w:r>
        <w:rPr>
          <w:rFonts w:ascii="Times New Roman" w:hAnsi="Times New Roman" w:eastAsia="仿宋_GB2312"/>
          <w:b w:val="0"/>
          <w:sz w:val="28"/>
        </w:rPr>
        <w:t>线路负载水平同样用于识别容量压力，而不是直接替代潮流安全结论。当统计最大负载率接近或超过100%时，说明相关线路应进一步核查设备允许负载、实际运行方式、负荷转供条件和必要的网络改造措施；该统计值本身不能直接推导节点电压、无功分布或热稳定裕度。</w:t>
      </w:r>
    </w:p>
    <w:p>
      <w:pPr>
        <w:spacing w:before="0" w:after="0" w:line="560" w:lineRule="exact"/>
        <w:jc w:val="both"/>
        <w:ind w:firstLineChars="200" w:firstLine="200"/>
      </w:pPr>
      <w:r>
        <w:rPr>
          <w:rFonts w:ascii="Times New Roman" w:hAnsi="Times New Roman" w:eastAsia="仿宋_GB2312"/>
          <w:b w:val="0"/>
          <w:sz w:val="28"/>
        </w:rPr>
        <w:t>因此，本研究将主变和线路的统计运行特征作为片区分类与约束识别的基础信息，并在后续规划中把正向容量需求、局部反向承载和线路压力分别处理，避免将性质不同的问题压缩为单一容载比指标。</w:t>
      </w:r>
    </w:p>
    <w:p>
      <w:pPr>
        <w:pStyle w:val="3"/>
        <w:pageBreakBefore w:val="0"/>
        <w:jc w:val="left"/>
      </w:pPr>
      <w:bookmarkStart w:id="12" w:name="_TocReport0012"/>
      <w:r>
        <w:rPr>
          <w:rFonts w:ascii="Times New Roman" w:hAnsi="Times New Roman" w:eastAsia="仿宋_GB2312"/>
          <w:b/>
          <w:sz w:val="28"/>
        </w:rPr>
        <w:t>3.3 源荷比、电量渗透率与容载比的关联规律</w:t>
      </w:r>
      <w:bookmarkEnd w:id="12"/>
    </w:p>
    <w:p>
      <w:pPr>
        <w:spacing w:before="0" w:after="0" w:line="560" w:lineRule="exact"/>
        <w:jc w:val="both"/>
        <w:ind w:firstLineChars="200" w:firstLine="200"/>
      </w:pPr>
      <w:r>
        <w:rPr>
          <w:rFonts w:ascii="Times New Roman" w:hAnsi="Times New Roman" w:eastAsia="仿宋_GB2312"/>
          <w:b w:val="0"/>
          <w:sz w:val="28"/>
        </w:rPr>
        <w:t>为从现有资料中提取能够稳定横向比较的片区特征，本研究从新能源相对规模、反向潮流、线路压力和负荷增长四个方面构造核心指标。由于现有片区资料尚缺统一基准年的全年新能源发电量与用电量，电量渗透率暂不作为正式横向指标，而作为理解新能源电量占比的辅助概念；本节正式比较采用能够在各片区统一计算的源荷规模比等指标。</w:t>
      </w:r>
    </w:p>
    <w:p>
      <w:pPr>
        <w:spacing w:before="0" w:after="0" w:line="560" w:lineRule="exact"/>
        <w:jc w:val="both"/>
        <w:ind w:firstLineChars="200" w:firstLine="200"/>
      </w:pPr>
      <w:r>
        <w:rPr>
          <w:rFonts w:ascii="Times New Roman" w:hAnsi="Times New Roman" w:eastAsia="仿宋_GB2312"/>
          <w:b w:val="0"/>
          <w:sz w:val="28"/>
        </w:rPr>
        <w:t>现状源荷规模比采用“最新新能源装机快照/最近完整年度正向最大负荷”计算：</w:t>
      </w:r>
    </w:p>
    <w:p>
      <w:pPr>
        <w:keepLines/>
        <w:jc w:val="left"/>
        <w:ind w:firstLine="0" w:firstLineChars="0"/>
        <w:spacing w:line="440" w:lineRule="exact"/>
        <w:tabs>
          <w:tab w:val="center" w:pos="4100"/>
          <w:tab w:val="right" w:pos="8200"/>
        </w:tabs>
      </w:pPr>
      <w:r>
        <w:tab/>
      </w:r>
      <m:oMath>
        <m:sSubSup>
          <m:e>
            <m:r>
              <m:t>R</m:t>
            </m:r>
          </m:e>
          <m:sub>
            <m:r>
              <m:rPr>
                <m:sty m:val="p"/>
              </m:rPr>
              <m:t>S</m:t>
            </m:r>
            <m:r>
              <m:rPr>
                <m:sty m:val="p"/>
              </m:rPr>
              <m:t>L</m:t>
            </m:r>
          </m:sub>
          <m:sup>
            <m:r>
              <m:rPr>
                <m:sty m:val="p"/>
              </m:rPr>
              <m:t>*</m:t>
            </m:r>
          </m:sup>
        </m:sSubSup>
        <m:r>
          <m:rPr>
            <m:sty m:val="p"/>
          </m:rPr>
          <m:t>=</m:t>
        </m:r>
        <m:f>
          <m:fPr>
            <m:type m:val="bar"/>
          </m:fPr>
          <m:num>
            <m:sSub>
              <m:e>
                <m:r>
                  <m:t>C</m:t>
                </m:r>
              </m:e>
              <m:sub>
                <m:r>
                  <m:rPr>
                    <m:sty m:val="p"/>
                  </m:rPr>
                  <m:t>R</m:t>
                </m:r>
                <m:r>
                  <m:rPr>
                    <m:sty m:val="p"/>
                  </m:rPr>
                  <m:t>E</m:t>
                </m:r>
                <m:r>
                  <m:rPr>
                    <m:sty m:val="p"/>
                  </m:rPr>
                  <m:t>,</m:t>
                </m:r>
                <m:r>
                  <m:rPr>
                    <m:sty m:val="p"/>
                  </m:rPr>
                  <m:t>s</m:t>
                </m:r>
                <m:r>
                  <m:rPr>
                    <m:sty m:val="p"/>
                  </m:rPr>
                  <m:t>n</m:t>
                </m:r>
                <m:r>
                  <m:rPr>
                    <m:sty m:val="p"/>
                  </m:rPr>
                  <m:t>a</m:t>
                </m:r>
                <m:r>
                  <m:rPr>
                    <m:sty m:val="p"/>
                  </m:rPr>
                  <m:t>p</m:t>
                </m:r>
              </m:sub>
            </m:sSub>
          </m:num>
          <m:den>
            <m:sSubSup>
              <m:e>
                <m:r>
                  <m:t>P</m:t>
                </m:r>
              </m:e>
              <m:sub>
                <m:r>
                  <m:rPr>
                    <m:sty m:val="p"/>
                  </m:rPr>
                  <m:t>l</m:t>
                </m:r>
                <m:r>
                  <m:rPr>
                    <m:sty m:val="p"/>
                  </m:rPr>
                  <m:t>o</m:t>
                </m:r>
                <m:r>
                  <m:rPr>
                    <m:sty m:val="p"/>
                  </m:rPr>
                  <m:t>a</m:t>
                </m:r>
                <m:r>
                  <m:rPr>
                    <m:sty m:val="p"/>
                  </m:rPr>
                  <m:t>d</m:t>
                </m:r>
                <m:r>
                  <m:rPr>
                    <m:sty m:val="p"/>
                  </m:rPr>
                  <m:t>,</m:t>
                </m:r>
                <m:r>
                  <m:rPr>
                    <m:sty m:val="p"/>
                  </m:rPr>
                  <m:t>m</m:t>
                </m:r>
                <m:r>
                  <m:rPr>
                    <m:sty m:val="p"/>
                  </m:rPr>
                  <m:t>a</m:t>
                </m:r>
                <m:r>
                  <m:rPr>
                    <m:sty m:val="p"/>
                  </m:rPr>
                  <m:t>x</m:t>
                </m:r>
                <m:r>
                  <m:rPr>
                    <m:sty m:val="p"/>
                  </m:rPr>
                  <m:t>,</m:t>
                </m:r>
                <m:r>
                  <m:rPr>
                    <m:sty m:val="p"/>
                  </m:rPr>
                  <m:t>b</m:t>
                </m:r>
                <m:r>
                  <m:rPr>
                    <m:sty m:val="p"/>
                  </m:rPr>
                  <m:t>a</m:t>
                </m:r>
                <m:r>
                  <m:rPr>
                    <m:sty m:val="p"/>
                  </m:rPr>
                  <m:t>s</m:t>
                </m:r>
                <m:r>
                  <m:rPr>
                    <m:sty m:val="p"/>
                  </m:rPr>
                  <m:t>e</m:t>
                </m:r>
              </m:sub>
              <m:sup>
                <m:r>
                  <m:rPr>
                    <m:sty m:val="p"/>
                  </m:rPr>
                  <m:t>+</m:t>
                </m:r>
              </m:sup>
            </m:sSubSup>
          </m:den>
        </m:f>
      </m:oMath>
      <w:r>
        <w:rPr>
          <w:rFonts w:ascii="Times New Roman" w:hAnsi="Times New Roman" w:eastAsia="仿宋_GB2312"/>
          <w:b w:val="0"/>
          <w:sz w:val="28"/>
        </w:rPr>
        <w:tab/>
        <w:t>（3-1）</w:t>
      </w:r>
    </w:p>
    <w:p>
      <w:pPr>
        <w:spacing w:before="0" w:after="0" w:line="560" w:lineRule="exact"/>
        <w:jc w:val="both"/>
        <w:ind w:firstLineChars="200" w:firstLine="200"/>
      </w:pPr>
      <w:r>
        <w:rPr>
          <w:rFonts w:ascii="Times New Roman" w:hAnsi="Times New Roman" w:eastAsia="仿宋_GB2312"/>
          <w:b w:val="0"/>
          <w:sz w:val="28"/>
        </w:rPr>
        <w:t>该指标反映新能源装机相对于片区正向峰值负荷的规模关系，用于横向比较，不代表严格同期的功率平衡。</w:t>
      </w:r>
    </w:p>
    <w:p>
      <w:pPr>
        <w:spacing w:before="0" w:after="0" w:line="560" w:lineRule="exact"/>
        <w:jc w:val="both"/>
        <w:ind w:firstLineChars="200" w:firstLine="200"/>
      </w:pPr>
      <w:r>
        <w:rPr>
          <w:rFonts w:ascii="Times New Roman" w:hAnsi="Times New Roman" w:eastAsia="仿宋_GB2312"/>
          <w:b w:val="0"/>
          <w:sz w:val="28"/>
        </w:rPr>
        <w:t>局部最大反向潮流比例定义为片区内各变电站年度最大反向潮流功率的最大值与片区正向最大负荷之比：</w:t>
      </w:r>
    </w:p>
    <w:p>
      <w:pPr>
        <w:keepLines/>
        <w:jc w:val="left"/>
        <w:ind w:firstLine="0" w:firstLineChars="0"/>
        <w:spacing w:line="440" w:lineRule="exact"/>
        <w:tabs>
          <w:tab w:val="center" w:pos="4100"/>
          <w:tab w:val="right" w:pos="8200"/>
        </w:tabs>
      </w:pPr>
      <w:r>
        <w:tab/>
      </w:r>
      <m:oMath>
        <m:sSub>
          <m:e>
            <m:r>
              <m:t>R</m:t>
            </m:r>
          </m:e>
          <m:sub>
            <m:r>
              <m:rPr>
                <m:sty m:val="p"/>
              </m:rPr>
              <m:t>r</m:t>
            </m:r>
            <m:r>
              <m:rPr>
                <m:sty m:val="p"/>
              </m:rPr>
              <m:t>e</m:t>
            </m:r>
            <m:r>
              <m:rPr>
                <m:sty m:val="p"/>
              </m:rPr>
              <m:t>v</m:t>
            </m:r>
          </m:sub>
        </m:sSub>
        <m:r>
          <m:rPr>
            <m:sty m:val="p"/>
          </m:rPr>
          <m:t>=</m:t>
        </m:r>
        <m:f>
          <m:fPr>
            <m:type m:val="bar"/>
          </m:fPr>
          <m:num>
            <m:limLow>
              <m:e>
                <m:r>
                  <m:rPr>
                    <m:sty m:val="p"/>
                  </m:rPr>
                  <m:t>max</m:t>
                </m:r>
              </m:e>
              <m:lim>
                <m:r>
                  <m:t>i</m:t>
                </m:r>
              </m:lim>
            </m:limLow>
            <m:d>
              <m:dPr>
                <m:begChr m:val="("/>
                <m:endChr m:val=")"/>
                <m:sepChr m:val=""/>
                <m:grow/>
              </m:dPr>
              <m:e>
                <m:sSub>
                  <m:e>
                    <m:r>
                      <m:t>P</m:t>
                    </m:r>
                  </m:e>
                  <m:sub>
                    <m:r>
                      <m:rPr>
                        <m:sty m:val="p"/>
                      </m:rPr>
                      <m:t>r</m:t>
                    </m:r>
                    <m:r>
                      <m:rPr>
                        <m:sty m:val="p"/>
                      </m:rPr>
                      <m:t>e</m:t>
                    </m:r>
                    <m:r>
                      <m:rPr>
                        <m:sty m:val="p"/>
                      </m:rPr>
                      <m:t>v</m:t>
                    </m:r>
                    <m:r>
                      <m:rPr>
                        <m:sty m:val="p"/>
                      </m:rPr>
                      <m:t>,</m:t>
                    </m:r>
                    <m:r>
                      <m:rPr>
                        <m:sty m:val="p"/>
                      </m:rPr>
                      <m:t>m</m:t>
                    </m:r>
                    <m:r>
                      <m:rPr>
                        <m:sty m:val="p"/>
                      </m:rPr>
                      <m:t>a</m:t>
                    </m:r>
                    <m:r>
                      <m:rPr>
                        <m:sty m:val="p"/>
                      </m:rPr>
                      <m:t>x</m:t>
                    </m:r>
                    <m:r>
                      <m:rPr>
                        <m:sty m:val="p"/>
                      </m:rPr>
                      <m:t>,</m:t>
                    </m:r>
                    <m:r>
                      <m:t>i</m:t>
                    </m:r>
                  </m:sub>
                </m:sSub>
              </m:e>
            </m:d>
          </m:num>
          <m:den>
            <m:sSubSup>
              <m:e>
                <m:r>
                  <m:t>P</m:t>
                </m:r>
              </m:e>
              <m:sub>
                <m:r>
                  <m:rPr>
                    <m:sty m:val="p"/>
                  </m:rPr>
                  <m:t>l</m:t>
                </m:r>
                <m:r>
                  <m:rPr>
                    <m:sty m:val="p"/>
                  </m:rPr>
                  <m:t>o</m:t>
                </m:r>
                <m:r>
                  <m:rPr>
                    <m:sty m:val="p"/>
                  </m:rPr>
                  <m:t>a</m:t>
                </m:r>
                <m:r>
                  <m:rPr>
                    <m:sty m:val="p"/>
                  </m:rPr>
                  <m:t>d</m:t>
                </m:r>
                <m:r>
                  <m:rPr>
                    <m:sty m:val="p"/>
                  </m:rPr>
                  <m:t>,</m:t>
                </m:r>
                <m:r>
                  <m:rPr>
                    <m:sty m:val="p"/>
                  </m:rPr>
                  <m:t>m</m:t>
                </m:r>
                <m:r>
                  <m:rPr>
                    <m:sty m:val="p"/>
                  </m:rPr>
                  <m:t>a</m:t>
                </m:r>
                <m:r>
                  <m:rPr>
                    <m:sty m:val="p"/>
                  </m:rPr>
                  <m:t>x</m:t>
                </m:r>
              </m:sub>
              <m:sup>
                <m:r>
                  <m:rPr>
                    <m:sty m:val="p"/>
                  </m:rPr>
                  <m:t>+</m:t>
                </m:r>
              </m:sup>
            </m:sSubSup>
          </m:den>
        </m:f>
      </m:oMath>
      <w:r>
        <w:rPr>
          <w:rFonts w:ascii="Times New Roman" w:hAnsi="Times New Roman" w:eastAsia="仿宋_GB2312"/>
          <w:b w:val="0"/>
          <w:sz w:val="28"/>
        </w:rPr>
        <w:tab/>
        <w:t>（3-2）</w:t>
      </w:r>
    </w:p>
    <w:p>
      <w:pPr>
        <w:spacing w:before="0" w:after="0" w:line="560" w:lineRule="exact"/>
        <w:jc w:val="both"/>
        <w:ind w:firstLineChars="200" w:firstLine="200"/>
      </w:pPr>
      <w:r>
        <w:rPr>
          <w:rFonts w:ascii="Times New Roman" w:hAnsi="Times New Roman" w:eastAsia="仿宋_GB2312"/>
          <w:b w:val="0"/>
          <w:sz w:val="28"/>
        </w:rPr>
        <w:t>该指标突出片区内最受反向潮流影响的局部接入点，避免将不同时间发生的各站极值简单叠加。</w:t>
      </w:r>
    </w:p>
    <w:p>
      <w:pPr>
        <w:spacing w:before="0" w:after="0" w:line="560" w:lineRule="exact"/>
        <w:jc w:val="both"/>
        <w:ind w:firstLineChars="200" w:firstLine="200"/>
      </w:pPr>
      <w:r>
        <w:rPr>
          <w:rFonts w:ascii="Times New Roman" w:hAnsi="Times New Roman" w:eastAsia="仿宋_GB2312"/>
          <w:b w:val="0"/>
          <w:sz w:val="28"/>
        </w:rPr>
        <w:t>110 kV线路统计负载余度定义为：</w:t>
      </w:r>
    </w:p>
    <w:p>
      <w:pPr>
        <w:keepLines/>
        <w:jc w:val="left"/>
        <w:ind w:firstLine="0" w:firstLineChars="0"/>
        <w:spacing w:line="440" w:lineRule="exact"/>
        <w:tabs>
          <w:tab w:val="center" w:pos="4100"/>
          <w:tab w:val="right" w:pos="8200"/>
        </w:tabs>
      </w:pPr>
      <w:r>
        <w:tab/>
      </w:r>
      <m:oMath>
        <m:sSub>
          <m:e>
            <m:r>
              <m:t>K</m:t>
            </m:r>
          </m:e>
          <m:sub>
            <m:r>
              <m:rPr>
                <m:sty m:val="p"/>
              </m:rPr>
              <m:t>l</m:t>
            </m:r>
            <m:r>
              <m:rPr>
                <m:sty m:val="p"/>
              </m:rPr>
              <m:t>i</m:t>
            </m:r>
            <m:r>
              <m:rPr>
                <m:sty m:val="p"/>
              </m:rPr>
              <m:t>n</m:t>
            </m:r>
            <m:r>
              <m:rPr>
                <m:sty m:val="p"/>
              </m:rPr>
              <m:t>e</m:t>
            </m:r>
          </m:sub>
        </m:sSub>
        <m:r>
          <m:rPr>
            <m:sty m:val="p"/>
          </m:rPr>
          <m:t>=</m:t>
        </m:r>
        <m:r>
          <m:t>1</m:t>
        </m:r>
        <m:r>
          <m:rPr>
            <m:sty m:val="p"/>
          </m:rPr>
          <m:t>−</m:t>
        </m:r>
        <m:limLow>
          <m:e>
            <m:r>
              <m:rPr>
                <m:sty m:val="p"/>
              </m:rPr>
              <m:t>max</m:t>
            </m:r>
          </m:e>
          <m:lim>
            <m:r>
              <m:t>l</m:t>
            </m:r>
          </m:lim>
        </m:limLow>
        <m:d>
          <m:dPr>
            <m:begChr m:val="("/>
            <m:endChr m:val=")"/>
            <m:sepChr m:val=""/>
            <m:grow/>
          </m:dPr>
          <m:e>
            <m:sSub>
              <m:e>
                <m:r>
                  <m:t>λ</m:t>
                </m:r>
              </m:e>
              <m:sub>
                <m:r>
                  <m:t>l</m:t>
                </m:r>
              </m:sub>
            </m:sSub>
          </m:e>
        </m:d>
      </m:oMath>
      <w:r>
        <w:rPr>
          <w:rFonts w:ascii="Times New Roman" w:hAnsi="Times New Roman" w:eastAsia="仿宋_GB2312"/>
          <w:b w:val="0"/>
          <w:sz w:val="28"/>
        </w:rPr>
        <w:tab/>
        <w:t>（3-3）</w:t>
      </w:r>
    </w:p>
    <w:p>
      <w:pPr>
        <w:spacing w:before="0" w:after="0" w:line="560" w:lineRule="exact"/>
        <w:jc w:val="both"/>
        <w:ind w:firstLineChars="200" w:firstLine="200"/>
      </w:pPr>
      <w:r>
        <w:rPr>
          <w:rFonts w:ascii="Times New Roman" w:hAnsi="Times New Roman" w:eastAsia="仿宋_GB2312"/>
          <w:b w:val="0"/>
          <w:sz w:val="28"/>
        </w:rPr>
        <w:t>当K_line为负时，表示现有统计资料中至少有一条110 kV线路的最大负载率超过100%，需进一步核查运行方式和设备允许负载。该指标用于容量压力筛查，不作为完整交流潮流安全裕度。</w:t>
      </w:r>
    </w:p>
    <w:p>
      <w:pPr>
        <w:spacing w:before="0" w:after="0" w:line="560" w:lineRule="exact"/>
        <w:jc w:val="both"/>
        <w:ind w:firstLineChars="200" w:firstLine="200"/>
      </w:pPr>
      <w:r>
        <w:rPr>
          <w:rFonts w:ascii="Times New Roman" w:hAnsi="Times New Roman" w:eastAsia="仿宋_GB2312"/>
          <w:b w:val="0"/>
          <w:sz w:val="28"/>
        </w:rPr>
        <w:t>正向峰值负荷年均变化率采用2021年和2025年片区正向最大供电负荷计算：</w:t>
      </w:r>
    </w:p>
    <w:p>
      <w:pPr>
        <w:keepLines/>
        <w:jc w:val="left"/>
        <w:ind w:firstLine="0" w:firstLineChars="0"/>
        <w:spacing w:line="440" w:lineRule="exact"/>
        <w:tabs>
          <w:tab w:val="center" w:pos="4100"/>
          <w:tab w:val="right" w:pos="8200"/>
        </w:tabs>
      </w:pPr>
      <w:r>
        <w:tab/>
      </w:r>
      <m:oMath>
        <m:sSub>
          <m:e>
            <m:r>
              <m:t>g</m:t>
            </m:r>
          </m:e>
          <m:sub>
            <m:r>
              <m:t>P</m:t>
            </m:r>
          </m:sub>
        </m:sSub>
        <m:r>
          <m:rPr>
            <m:sty m:val="p"/>
          </m:rPr>
          <m:t>=</m:t>
        </m:r>
        <m:sSup>
          <m:e>
            <m:d>
              <m:dPr>
                <m:begChr m:val="("/>
                <m:endChr m:val=")"/>
                <m:sepChr m:val=""/>
                <m:grow/>
              </m:dPr>
              <m:e>
                <m:f>
                  <m:fPr>
                    <m:type m:val="bar"/>
                  </m:fPr>
                  <m:num>
                    <m:sSubSup>
                      <m:e>
                        <m:r>
                          <m:t>P</m:t>
                        </m:r>
                      </m:e>
                      <m:sub>
                        <m:r>
                          <m:t>2025</m:t>
                        </m:r>
                      </m:sub>
                      <m:sup>
                        <m:r>
                          <m:rPr>
                            <m:sty m:val="p"/>
                          </m:rPr>
                          <m:t>+</m:t>
                        </m:r>
                      </m:sup>
                    </m:sSubSup>
                  </m:num>
                  <m:den>
                    <m:sSubSup>
                      <m:e>
                        <m:r>
                          <m:t>P</m:t>
                        </m:r>
                      </m:e>
                      <m:sub>
                        <m:r>
                          <m:t>2021</m:t>
                        </m:r>
                      </m:sub>
                      <m:sup>
                        <m:r>
                          <m:rPr>
                            <m:sty m:val="p"/>
                          </m:rPr>
                          <m:t>+</m:t>
                        </m:r>
                      </m:sup>
                    </m:sSubSup>
                  </m:den>
                </m:f>
              </m:e>
            </m:d>
          </m:e>
          <m:sup>
            <m:r>
              <m:t>1</m:t>
            </m:r>
            <m:r>
              <m:rPr>
                <m:sty m:val="p"/>
              </m:rPr>
              <m:t>/</m:t>
            </m:r>
            <m:r>
              <m:t>4</m:t>
            </m:r>
          </m:sup>
        </m:sSup>
        <m:r>
          <m:rPr>
            <m:sty m:val="p"/>
          </m:rPr>
          <m:t>−</m:t>
        </m:r>
        <m:r>
          <m:t>1</m:t>
        </m:r>
      </m:oMath>
      <w:r>
        <w:rPr>
          <w:rFonts w:ascii="Times New Roman" w:hAnsi="Times New Roman" w:eastAsia="仿宋_GB2312"/>
          <w:b w:val="0"/>
          <w:sz w:val="28"/>
        </w:rPr>
        <w:tab/>
        <w:t>（3-4）</w:t>
      </w:r>
    </w:p>
    <w:p>
      <w:pPr>
        <w:pStyle w:val="38"/>
        <w:jc w:val="center"/>
        <w:keepNext/>
        <w:keepLines/>
        <w:ind w:firstLine="0" w:firstLineChars="0"/>
      </w:pPr>
      <w:r>
        <w:drawing>
          <wp:inline xmlns:a="http://schemas.openxmlformats.org/drawingml/2006/main" xmlns:pic="http://schemas.openxmlformats.org/drawingml/2006/picture">
            <wp:extent cx="4968000" cy="4355675"/>
            <wp:docPr id="3" name="Picture 3"/>
            <wp:cNvGraphicFramePr>
              <a:graphicFrameLocks noChangeAspect="1"/>
            </wp:cNvGraphicFramePr>
            <a:graphic>
              <a:graphicData uri="http://schemas.openxmlformats.org/drawingml/2006/picture">
                <pic:pic>
                  <pic:nvPicPr>
                    <pic:cNvPr id="0" name="图4-1_典型片区核心指标.png"/>
                    <pic:cNvPicPr/>
                  </pic:nvPicPr>
                  <pic:blipFill>
                    <a:blip r:embed="rId15"/>
                    <a:stretch>
                      <a:fillRect/>
                    </a:stretch>
                  </pic:blipFill>
                  <pic:spPr>
                    <a:xfrm>
                      <a:off x="0" y="0"/>
                      <a:ext cx="4968000" cy="4355675"/>
                    </a:xfrm>
                    <a:prstGeom prst="rect"/>
                  </pic:spPr>
                </pic:pic>
              </a:graphicData>
            </a:graphic>
          </wp:inline>
        </w:drawing>
      </w:r>
    </w:p>
    <w:p>
      <w:pPr>
        <w:pStyle w:val="12"/>
        <w:keepNext w:val="0"/>
        <w:spacing w:before="0" w:after="120" w:line="400" w:lineRule="exact"/>
        <w:jc w:val="center"/>
        <w:ind w:firstLine="0" w:firstLineChars="0"/>
      </w:pPr>
      <w:r>
        <w:rPr>
          <w:rFonts w:ascii="Times New Roman" w:hAnsi="Times New Roman" w:eastAsia="仿宋_GB2312"/>
          <w:b w:val="0"/>
          <w:sz w:val="24"/>
        </w:rPr>
        <w:t>图 3-1 典型片区四项核心运行指标</w:t>
      </w:r>
    </w:p>
    <w:p>
      <w:pPr>
        <w:spacing w:before="0" w:after="0" w:line="560" w:lineRule="exact"/>
        <w:jc w:val="both"/>
        <w:ind w:firstLineChars="200" w:firstLine="200"/>
      </w:pPr>
      <w:r>
        <w:rPr>
          <w:rFonts w:ascii="Times New Roman" w:hAnsi="Times New Roman" w:eastAsia="仿宋_GB2312"/>
          <w:b w:val="0"/>
          <w:sz w:val="28"/>
        </w:rPr>
        <w:t>图3-1显示，不同片区的规划响应不能由某一项指标单独划分。例如，QX-00003和QX-00004具有较高的源荷规模比或局部反向潮流比例，但在Rcap扫描范围内规划方案并未发生变化；QX-00010的线路统计负载余度仍为正，但局部设备与接入条件使其在放开Rcap后仍未形成完整可行路径。因此，源荷规模、反向潮流、线路压力与容载比之间存在关联，但不足以建立“一项指标对应一个Rcap值”的简单映射。</w:t>
      </w:r>
    </w:p>
    <w:p>
      <w:pPr>
        <w:pStyle w:val="3"/>
        <w:pageBreakBefore w:val="0"/>
        <w:jc w:val="left"/>
      </w:pPr>
      <w:bookmarkStart w:id="13" w:name="_TocReport0013"/>
      <w:r>
        <w:rPr>
          <w:rFonts w:ascii="Times New Roman" w:hAnsi="Times New Roman" w:eastAsia="仿宋_GB2312"/>
          <w:b/>
          <w:sz w:val="28"/>
        </w:rPr>
        <w:t>3.4 “新能源渗透水平—电网运行状态”数据库的构建</w:t>
      </w:r>
      <w:bookmarkEnd w:id="13"/>
    </w:p>
    <w:p>
      <w:pPr>
        <w:spacing w:before="0" w:after="0" w:line="560" w:lineRule="exact"/>
        <w:jc w:val="both"/>
        <w:ind w:firstLineChars="200" w:firstLine="200"/>
      </w:pPr>
      <w:r>
        <w:rPr>
          <w:rFonts w:ascii="Times New Roman" w:hAnsi="Times New Roman" w:eastAsia="仿宋_GB2312"/>
          <w:b w:val="0"/>
          <w:sz w:val="28"/>
        </w:rPr>
        <w:t>数据库按片区统一组织负荷、容量、反向潮流、线路负载、新能源装机、储能参数和经济参数。净负荷统一采用正向供电为正、反向送电为负；变电容量采用MVA，功率采用MW，储能电量采用MWh。对于无法从现有资料确认的数据项保持缺失状态，不以零值替代，避免在后续分类和模型计算中形成虚假信息。</w:t>
      </w:r>
    </w:p>
    <w:p>
      <w:pPr>
        <w:spacing w:before="0" w:after="0" w:line="560" w:lineRule="exact"/>
        <w:jc w:val="both"/>
        <w:ind w:firstLineChars="200" w:firstLine="200"/>
      </w:pPr>
      <w:r>
        <w:rPr>
          <w:rFonts w:ascii="Times New Roman" w:hAnsi="Times New Roman" w:eastAsia="仿宋_GB2312"/>
          <w:b w:val="0"/>
          <w:sz w:val="28"/>
        </w:rPr>
        <w:t>候选指标筛选综合考虑数据覆盖率、物理含义、信息重复程度以及对规划响应的解释能力，结果见表3-2。</w:t>
      </w:r>
    </w:p>
    <w:p>
      <w:pPr>
        <w:pStyle w:val="12"/>
        <w:keepNext/>
        <w:spacing w:before="120" w:after="60" w:line="400" w:lineRule="exact"/>
        <w:jc w:val="center"/>
        <w:ind w:firstLine="0" w:firstLineChars="0"/>
      </w:pPr>
      <w:r>
        <w:rPr>
          <w:rFonts w:ascii="Times New Roman" w:hAnsi="Times New Roman" w:eastAsia="仿宋_GB2312"/>
          <w:b w:val="0"/>
          <w:sz w:val="24"/>
        </w:rPr>
        <w:t>表 3-2 候选指标筛选结果</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rPr>
          <w:cantSplit/>
          <w:tblHeader w:val="true"/>
        </w:trPr>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候选指标</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数据可得性</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规划解释作用</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处理结果</w:t>
            </w:r>
          </w:p>
        </w:tc>
      </w:tr>
      <w:tr>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现状源荷规模比</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7个片区可计算</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反映新能源相对规模</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保留</w:t>
            </w:r>
          </w:p>
        </w:tc>
      </w:tr>
      <w:tr>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局部最大反向潮流比例</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8个片区可计算</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反映最突出接入点反向压力</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保留</w:t>
            </w:r>
          </w:p>
        </w:tc>
      </w:tr>
      <w:tr>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110 kV线路统计负载余度</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8个片区可计算</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反映线路统计容量压力</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保留</w:t>
            </w:r>
          </w:p>
        </w:tc>
      </w:tr>
      <w:tr>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正向峰值负荷年均变化率</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8个片区可计算</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反映持续增长需求</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保留</w:t>
            </w:r>
          </w:p>
        </w:tc>
      </w:tr>
      <w:tr>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反向承载缺口比例</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8个片区可计算</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与源荷规模比信息重复较高</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辅助诊断</w:t>
            </w:r>
          </w:p>
        </w:tc>
      </w:tr>
      <w:tr>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反向潮流站点比例</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8个片区可计算</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反映反向潮流空间覆盖面</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辅助诊断</w:t>
            </w:r>
          </w:p>
        </w:tc>
      </w:tr>
      <w:tr>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年负荷率、峰谷差率</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资料不完整</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无法统一横向计算</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暂不进入主体指标体系</w:t>
            </w:r>
          </w:p>
        </w:tc>
      </w:tr>
      <w:tr>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储能需求</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优化后可得</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属于规划响应而非前置指标</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用于结果解释</w:t>
            </w:r>
          </w:p>
        </w:tc>
      </w:tr>
    </w:tbl>
    <w:p>
      <w:pPr>
        <w:spacing w:before="0" w:after="0" w:line="560" w:lineRule="exact"/>
        <w:jc w:val="both"/>
        <w:ind w:firstLineChars="200" w:firstLine="200"/>
      </w:pPr>
      <w:r>
        <w:rPr>
          <w:rFonts w:ascii="Times New Roman" w:hAnsi="Times New Roman" w:eastAsia="仿宋_GB2312"/>
          <w:b w:val="0"/>
          <w:sz w:val="28"/>
        </w:rPr>
        <w:t>在7个源荷规模比完整样本中，源荷规模比与反向承载缺口比例的Spearman秩相关约为0.86。由于样本数量有限，该结果仅用于识别指标之间的信息重叠程度，不用于统计显著性检验或因果推断。综合数据完整性和工程解释性，后续规划建议采用现状源荷规模比、局部最大反向潮流比例、110 kV线路统计负载余度和正向峰值负荷年均变化率4项核心指标。</w:t>
      </w:r>
    </w:p>
    <w:p>
      <w:pPr>
        <w:pStyle w:val="4"/>
        <w:pageBreakBefore w:val="0"/>
        <w:jc w:val="left"/>
      </w:pPr>
      <w:r>
        <w:rPr>
          <w:rFonts w:ascii="Times New Roman" w:hAnsi="Times New Roman" w:eastAsia="仿宋_GB2312"/>
          <w:b/>
          <w:sz w:val="28"/>
        </w:rPr>
        <w:t>3.4.1 10 kV高光伏跨站供电边界重构表达</w:t>
      </w:r>
    </w:p>
    <w:p>
      <w:pPr>
        <w:spacing w:before="0" w:after="0" w:line="560" w:lineRule="exact"/>
        <w:jc w:val="both"/>
        <w:ind w:firstLineChars="200" w:firstLine="200"/>
      </w:pPr>
      <w:r>
        <w:rPr>
          <w:rFonts w:ascii="Times New Roman" w:hAnsi="Times New Roman" w:eastAsia="仿宋_GB2312"/>
          <w:b w:val="0"/>
          <w:sz w:val="28"/>
        </w:rPr>
        <w:t>110 kV层面的反向承载压力具有明显的空间不均衡性。同一片区内，不同变电站及其下辖10 kV馈线的负荷水平、分布式光伏规模和反向潮流强度并不一致。当局部110 kV变电站在高光伏、低负荷时段出现较强反向送电，而相邻变电站仍具有承接空间时，可通过调整10 kV供电边界，将部分净发电供电单元转移至相邻站供电范围，从而改变光伏富余功率向上级电网反送的路径。该过程并不减少光伏实际出力，而是对反向功率进行空间重分配。</w:t>
      </w:r>
    </w:p>
    <w:p>
      <w:pPr>
        <w:spacing w:before="0" w:after="0" w:line="560" w:lineRule="exact"/>
        <w:jc w:val="both"/>
        <w:ind w:firstLineChars="200" w:firstLine="200"/>
      </w:pPr>
      <w:r>
        <w:rPr>
          <w:rFonts w:ascii="Times New Roman" w:hAnsi="Times New Roman" w:eastAsia="仿宋_GB2312"/>
          <w:b w:val="0"/>
          <w:sz w:val="28"/>
        </w:rPr>
        <w:t>为描述这一过程，本研究将10 kV网络抽象为由馈线、物理支路、联络关系和可调整供电单元组成的拓扑图。分段、联络等开关设备统一视为供电边界控制资源，模型关注其是否能够支撑供电归属调整，而不以实时分合状态识别或现场倒闸顺序为研究对象。规划重构后必须保持单电源辐射运行，禁止两个110 kV电源通过10 kV网络直接并列。实时开关状态、遥控属性、保护定值和具体操作步骤属于工程实施阶段的专项校核内容。</w:t>
      </w:r>
    </w:p>
    <w:p>
      <w:pPr>
        <w:spacing w:before="0" w:after="0" w:line="560" w:lineRule="exact"/>
        <w:jc w:val="both"/>
        <w:ind w:firstLineChars="200" w:firstLine="200"/>
      </w:pPr>
      <w:r>
        <w:rPr>
          <w:rFonts w:ascii="Times New Roman" w:hAnsi="Times New Roman" w:eastAsia="仿宋_GB2312"/>
          <w:b w:val="0"/>
          <w:sz w:val="28"/>
        </w:rPr>
        <w:t>对任一可调整供电归属的供电单元k，定义净有功功率为：</w:t>
      </w:r>
    </w:p>
    <w:p>
      <w:pPr>
        <w:keepLines/>
        <w:jc w:val="left"/>
        <w:ind w:firstLine="0" w:firstLineChars="0"/>
        <w:spacing w:line="440" w:lineRule="exact"/>
        <w:tabs>
          <w:tab w:val="center" w:pos="4100"/>
          <w:tab w:val="right" w:pos="8200"/>
        </w:tabs>
      </w:pPr>
      <w:r>
        <w:tab/>
      </w:r>
      <m:oMath>
        <m:sSub>
          <m:e>
            <m:r>
              <m:t>P</m:t>
            </m:r>
          </m:e>
          <m:sub>
            <m:r>
              <m:t>k</m:t>
            </m:r>
          </m:sub>
        </m:sSub>
        <m:r>
          <m:rPr>
            <m:sty m:val="p"/>
          </m:rPr>
          <m:t>=</m:t>
        </m:r>
        <m:sSub>
          <m:e>
            <m:r>
              <m:t>P</m:t>
            </m:r>
          </m:e>
          <m:sub>
            <m:r>
              <m:t>L</m:t>
            </m:r>
            <m:r>
              <m:rPr>
                <m:sty m:val="p"/>
              </m:rPr>
              <m:t>,</m:t>
            </m:r>
            <m:r>
              <m:t>k</m:t>
            </m:r>
          </m:sub>
        </m:sSub>
        <m:r>
          <m:rPr>
            <m:sty m:val="p"/>
          </m:rPr>
          <m:t>−</m:t>
        </m:r>
        <m:sSub>
          <m:e>
            <m:r>
              <m:t>P</m:t>
            </m:r>
          </m:e>
          <m:sub>
            <m:r>
              <m:t>P</m:t>
            </m:r>
            <m:r>
              <m:t>V</m:t>
            </m:r>
            <m:r>
              <m:rPr>
                <m:sty m:val="p"/>
              </m:rPr>
              <m:t>,</m:t>
            </m:r>
            <m:r>
              <m:t>k</m:t>
            </m:r>
          </m:sub>
        </m:sSub>
      </m:oMath>
      <w:r>
        <w:rPr>
          <w:rFonts w:ascii="Times New Roman" w:hAnsi="Times New Roman" w:eastAsia="仿宋_GB2312"/>
          <w:b w:val="0"/>
          <w:sz w:val="28"/>
        </w:rPr>
        <w:tab/>
        <w:t>（3-5）</w:t>
      </w:r>
    </w:p>
    <w:p>
      <w:pPr>
        <w:spacing w:before="0" w:after="0" w:line="560" w:lineRule="exact"/>
        <w:jc w:val="both"/>
        <w:ind w:firstLineChars="200" w:firstLine="200"/>
      </w:pPr>
      <w:r>
        <w:rPr>
          <w:rFonts w:ascii="Times New Roman" w:hAnsi="Times New Roman" w:eastAsia="仿宋_GB2312"/>
          <w:b w:val="0"/>
          <w:sz w:val="28"/>
        </w:rPr>
        <w:t>当净有功功率小于0时，该单元为净发电单元，可用于跨站转移的光伏富余功率为：</w:t>
      </w:r>
    </w:p>
    <w:p>
      <w:pPr>
        <w:keepLines/>
        <w:jc w:val="left"/>
        <w:ind w:firstLine="0" w:firstLineChars="0"/>
        <w:spacing w:line="440" w:lineRule="exact"/>
        <w:tabs>
          <w:tab w:val="center" w:pos="4100"/>
          <w:tab w:val="right" w:pos="8200"/>
        </w:tabs>
      </w:pPr>
      <w:r>
        <w:tab/>
      </w:r>
      <m:oMath>
        <m:sSub>
          <m:e>
            <m:r>
              <m:t>G</m:t>
            </m:r>
          </m:e>
          <m:sub>
            <m:r>
              <m:t>k</m:t>
            </m:r>
          </m:sub>
        </m:sSub>
        <m:r>
          <m:rPr>
            <m:sty m:val="p"/>
          </m:rPr>
          <m:t>=</m:t>
        </m:r>
        <m:r>
          <m:rPr>
            <m:sty m:val="p"/>
          </m:rPr>
          <m:t>max</m:t>
        </m:r>
        <m:d>
          <m:dPr>
            <m:begChr m:val="("/>
            <m:endChr m:val=")"/>
            <m:sepChr m:val=""/>
            <m:grow/>
          </m:dPr>
          <m:e>
            <m:sSub>
              <m:e>
                <m:r>
                  <m:t>P</m:t>
                </m:r>
              </m:e>
              <m:sub>
                <m:r>
                  <m:t>P</m:t>
                </m:r>
                <m:r>
                  <m:t>V</m:t>
                </m:r>
                <m:r>
                  <m:rPr>
                    <m:sty m:val="p"/>
                  </m:rPr>
                  <m:t>,</m:t>
                </m:r>
                <m:r>
                  <m:t>k</m:t>
                </m:r>
              </m:sub>
            </m:sSub>
            <m:r>
              <m:rPr>
                <m:sty m:val="p"/>
              </m:rPr>
              <m:t>−</m:t>
            </m:r>
            <m:sSub>
              <m:e>
                <m:r>
                  <m:t>P</m:t>
                </m:r>
              </m:e>
              <m:sub>
                <m:r>
                  <m:t>L</m:t>
                </m:r>
                <m:r>
                  <m:rPr>
                    <m:sty m:val="p"/>
                  </m:rPr>
                  <m:t>,</m:t>
                </m:r>
                <m:r>
                  <m:t>k</m:t>
                </m:r>
              </m:sub>
            </m:sSub>
            <m:r>
              <m:rPr>
                <m:sty m:val="p"/>
              </m:rPr>
              <m:t>,</m:t>
            </m:r>
            <m:r>
              <m:t>0</m:t>
            </m:r>
          </m:e>
        </m:d>
      </m:oMath>
      <w:r>
        <w:rPr>
          <w:rFonts w:ascii="Times New Roman" w:hAnsi="Times New Roman" w:eastAsia="仿宋_GB2312"/>
          <w:b w:val="0"/>
          <w:sz w:val="28"/>
        </w:rPr>
        <w:tab/>
        <w:t>（3-6）</w:t>
      </w:r>
    </w:p>
    <w:p>
      <w:pPr>
        <w:spacing w:before="0" w:after="0" w:line="560" w:lineRule="exact"/>
        <w:jc w:val="both"/>
        <w:ind w:firstLineChars="200" w:firstLine="200"/>
      </w:pPr>
      <w:r>
        <w:rPr>
          <w:rFonts w:ascii="Times New Roman" w:hAnsi="Times New Roman" w:eastAsia="仿宋_GB2312"/>
          <w:b w:val="0"/>
          <w:sz w:val="28"/>
        </w:rPr>
        <w:t>定义二元供电归属变量：取0表示仍由原110 kV变电站供电，取1表示通过供电边界重构调整至相邻变电站供电范围，则跨站转移功率为：</w:t>
      </w:r>
    </w:p>
    <w:p>
      <w:pPr>
        <w:keepLines/>
        <w:jc w:val="left"/>
        <w:ind w:firstLine="0" w:firstLineChars="0"/>
        <w:spacing w:line="440" w:lineRule="exact"/>
        <w:tabs>
          <w:tab w:val="center" w:pos="4100"/>
          <w:tab w:val="right" w:pos="8200"/>
        </w:tabs>
      </w:pPr>
      <w:r>
        <w:tab/>
      </w:r>
      <m:oMath>
        <m:sSub>
          <m:e>
            <m:r>
              <m:t>P</m:t>
            </m:r>
          </m:e>
          <m:sub>
            <m:r>
              <m:rPr>
                <m:sty m:val="p"/>
              </m:rPr>
              <m:t>t</m:t>
            </m:r>
            <m:r>
              <m:rPr>
                <m:sty m:val="p"/>
              </m:rPr>
              <m:t>r</m:t>
            </m:r>
          </m:sub>
        </m:sSub>
        <m:r>
          <m:rPr>
            <m:sty m:val="p"/>
          </m:rPr>
          <m:t>=</m:t>
        </m:r>
        <m:nary>
          <m:naryPr>
            <m:chr m:val="∑"/>
            <m:limLoc m:val="undOvr"/>
            <m:subHide m:val="off"/>
            <m:supHide m:val="on"/>
          </m:naryPr>
          <m:sub>
            <m:r>
              <m:t>k</m:t>
            </m:r>
          </m:sub>
          <m:sup>
            <m:r>
              <m:t>​</m:t>
            </m:r>
          </m:sup>
          <m:e>
            <m:sSub>
              <m:e>
                <m:r>
                  <m:t>x</m:t>
                </m:r>
              </m:e>
              <m:sub>
                <m:r>
                  <m:t>k</m:t>
                </m:r>
              </m:sub>
            </m:sSub>
          </m:e>
        </m:nary>
        <m:sSub>
          <m:e>
            <m:r>
              <m:t>G</m:t>
            </m:r>
          </m:e>
          <m:sub>
            <m:r>
              <m:t>k</m:t>
            </m:r>
          </m:sub>
        </m:sSub>
      </m:oMath>
      <w:r>
        <w:rPr>
          <w:rFonts w:ascii="Times New Roman" w:hAnsi="Times New Roman" w:eastAsia="仿宋_GB2312"/>
          <w:b w:val="0"/>
          <w:sz w:val="28"/>
        </w:rPr>
        <w:tab/>
        <w:t>（3-7）</w:t>
      </w:r>
    </w:p>
    <w:p>
      <w:pPr>
        <w:spacing w:before="0" w:after="0" w:line="560" w:lineRule="exact"/>
        <w:jc w:val="both"/>
        <w:ind w:firstLineChars="200" w:firstLine="200"/>
      </w:pPr>
      <w:r>
        <w:rPr>
          <w:rFonts w:ascii="Times New Roman" w:hAnsi="Times New Roman" w:eastAsia="仿宋_GB2312"/>
          <w:b w:val="0"/>
          <w:sz w:val="28"/>
        </w:rPr>
        <w:t>当前六条目标馈线已完成馈线—变电站映射、关键物理支路、规划级线路参数、负荷/光伏边界和主要联络关系整理。墩集变对应墩振线PZXL-00099、墩西线PZXL-00097和墩南线PZXL-00092；河湾变对应河东线PZXL-00154、河炮线PZXL-00161和河镇线PZXL-00173。其中，TIE-002连接墩南线与河炮线，两侧端点和关键路径均已达到规划计算所需的数据质量，可作为首个跨站供电边界重构案例。</w:t>
      </w:r>
    </w:p>
    <w:p>
      <w:pPr>
        <w:spacing w:before="0" w:after="0" w:line="560" w:lineRule="exact"/>
        <w:jc w:val="both"/>
        <w:ind w:firstLineChars="200" w:firstLine="200"/>
      </w:pPr>
      <w:r>
        <w:rPr>
          <w:rFonts w:ascii="Times New Roman" w:hAnsi="Times New Roman" w:eastAsia="仿宋_GB2312"/>
          <w:b w:val="0"/>
          <w:sz w:val="28"/>
        </w:rPr>
        <w:t>受现有数据粒度限制，墩南线7.34 MW为馈线级实际光伏峰值出力锚点，尚不能完整还原各局部区段在同一时刻的负荷—光伏空间分布。因此，正式数值算例以馈线级作为当前最小可验证单元；供电归属变量用于建立可扩展的局部优化框架。后续如补充节点级光伏分布或同步量测，可直接将馈线级单元细化为多个局部供电单元，而无需改变模型结构。</w:t>
      </w:r>
    </w:p>
    <w:p>
      <w:pPr>
        <w:pStyle w:val="2"/>
        <w:pageBreakBefore/>
        <w:jc w:val="left"/>
      </w:pPr>
      <w:bookmarkStart w:id="14" w:name="_TocReport0014"/>
      <w:r>
        <w:rPr>
          <w:rFonts w:ascii="Times New Roman" w:hAnsi="Times New Roman" w:eastAsia="仿宋_GB2312"/>
          <w:b/>
          <w:sz w:val="36"/>
        </w:rPr>
        <w:t>第四章 基于实际工程的电网建设成本模型</w:t>
      </w:r>
      <w:bookmarkEnd w:id="14"/>
    </w:p>
    <w:p>
      <w:pPr>
        <w:pStyle w:val="3"/>
        <w:pageBreakBefore w:val="0"/>
        <w:jc w:val="left"/>
      </w:pPr>
      <w:bookmarkStart w:id="15" w:name="_TocReport0015"/>
      <w:r>
        <w:rPr>
          <w:rFonts w:ascii="Times New Roman" w:hAnsi="Times New Roman" w:eastAsia="仿宋_GB2312"/>
          <w:b/>
          <w:sz w:val="28"/>
        </w:rPr>
        <w:t>4.1 分布式新能源配套工程成本数据收集与处理</w:t>
      </w:r>
      <w:bookmarkEnd w:id="15"/>
    </w:p>
    <w:p>
      <w:pPr>
        <w:spacing w:before="0" w:after="0" w:line="560" w:lineRule="exact"/>
        <w:jc w:val="both"/>
        <w:ind w:firstLineChars="200" w:firstLine="200"/>
      </w:pPr>
      <w:r>
        <w:rPr>
          <w:rFonts w:ascii="Times New Roman" w:hAnsi="Times New Roman" w:eastAsia="仿宋_GB2312"/>
          <w:b w:val="0"/>
          <w:sz w:val="28"/>
        </w:rPr>
        <w:t>高渗透率片区的规划方案通常由多类工程措施共同构成，不同措施的投资规模、使用寿命和运维方式存在明显差异。若直接比较一次性投资额，难以反映不同寿命设备在规划期内的经济占用。因此，本研究以可实施工程措施为对象，重点考虑变电扩建、储能配置及已具备数据基础的网络措施，并通过等年值方法统一经济评价口径。</w:t>
      </w:r>
    </w:p>
    <w:p>
      <w:pPr>
        <w:spacing w:before="0" w:after="0" w:line="560" w:lineRule="exact"/>
        <w:jc w:val="both"/>
        <w:ind w:firstLineChars="200" w:firstLine="200"/>
      </w:pPr>
      <w:r>
        <w:rPr>
          <w:rFonts w:ascii="Times New Roman" w:hAnsi="Times New Roman" w:eastAsia="仿宋_GB2312"/>
          <w:b w:val="0"/>
          <w:sz w:val="28"/>
        </w:rPr>
        <w:t>资本回收系数为：</w:t>
      </w:r>
    </w:p>
    <w:p>
      <w:pPr>
        <w:keepLines/>
        <w:jc w:val="left"/>
        <w:ind w:firstLine="0" w:firstLineChars="0"/>
        <w:spacing w:line="440" w:lineRule="exact"/>
        <w:tabs>
          <w:tab w:val="center" w:pos="4100"/>
          <w:tab w:val="right" w:pos="8200"/>
        </w:tabs>
      </w:pPr>
      <w:r>
        <w:tab/>
      </w:r>
      <m:oMath>
        <m:r>
          <m:rPr>
            <m:sty m:val="p"/>
          </m:rPr>
          <m:t>C</m:t>
        </m:r>
        <m:r>
          <m:rPr>
            <m:sty m:val="p"/>
          </m:rPr>
          <m:t>R</m:t>
        </m:r>
        <m:r>
          <m:rPr>
            <m:sty m:val="p"/>
          </m:rPr>
          <m:t>F</m:t>
        </m:r>
        <m:d>
          <m:dPr>
            <m:begChr m:val="("/>
            <m:endChr m:val=")"/>
            <m:sepChr m:val=""/>
            <m:grow/>
          </m:dPr>
          <m:e>
            <m:r>
              <m:t>r</m:t>
            </m:r>
            <m:r>
              <m:rPr>
                <m:sty m:val="p"/>
              </m:rPr>
              <m:t>,</m:t>
            </m:r>
            <m:r>
              <m:t>n</m:t>
            </m:r>
          </m:e>
        </m:d>
        <m:r>
          <m:rPr>
            <m:sty m:val="p"/>
          </m:rPr>
          <m:t>=</m:t>
        </m:r>
        <m:f>
          <m:fPr>
            <m:type m:val="bar"/>
          </m:fPr>
          <m:num>
            <m:r>
              <m:t>r</m:t>
            </m:r>
            <m:sSup>
              <m:e>
                <m:d>
                  <m:dPr>
                    <m:begChr m:val="("/>
                    <m:endChr m:val=")"/>
                    <m:sepChr m:val=""/>
                    <m:grow/>
                  </m:dPr>
                  <m:e>
                    <m:r>
                      <m:t>1</m:t>
                    </m:r>
                    <m:r>
                      <m:rPr>
                        <m:sty m:val="p"/>
                      </m:rPr>
                      <m:t>+</m:t>
                    </m:r>
                    <m:r>
                      <m:t>r</m:t>
                    </m:r>
                  </m:e>
                </m:d>
              </m:e>
              <m:sup>
                <m:r>
                  <m:t>n</m:t>
                </m:r>
              </m:sup>
            </m:sSup>
          </m:num>
          <m:den>
            <m:sSup>
              <m:e>
                <m:d>
                  <m:dPr>
                    <m:begChr m:val="("/>
                    <m:endChr m:val=")"/>
                    <m:sepChr m:val=""/>
                    <m:grow/>
                  </m:dPr>
                  <m:e>
                    <m:r>
                      <m:t>1</m:t>
                    </m:r>
                    <m:r>
                      <m:rPr>
                        <m:sty m:val="p"/>
                      </m:rPr>
                      <m:t>+</m:t>
                    </m:r>
                    <m:r>
                      <m:t>r</m:t>
                    </m:r>
                  </m:e>
                </m:d>
              </m:e>
              <m:sup>
                <m:r>
                  <m:t>n</m:t>
                </m:r>
              </m:sup>
            </m:sSup>
            <m:r>
              <m:rPr>
                <m:sty m:val="p"/>
              </m:rPr>
              <m:t>−</m:t>
            </m:r>
            <m:r>
              <m:t>1</m:t>
            </m:r>
          </m:den>
        </m:f>
      </m:oMath>
      <w:r>
        <w:rPr>
          <w:rFonts w:ascii="Times New Roman" w:hAnsi="Times New Roman" w:eastAsia="仿宋_GB2312"/>
          <w:b w:val="0"/>
          <w:sz w:val="28"/>
        </w:rPr>
        <w:tab/>
        <w:t>（4-1）</w:t>
      </w:r>
    </w:p>
    <w:p>
      <w:pPr>
        <w:spacing w:before="0" w:after="0" w:line="560" w:lineRule="exact"/>
        <w:jc w:val="both"/>
        <w:ind w:firstLineChars="200" w:firstLine="200"/>
      </w:pPr>
      <w:r>
        <w:rPr>
          <w:rFonts w:ascii="Times New Roman" w:hAnsi="Times New Roman" w:eastAsia="仿宋_GB2312"/>
          <w:b w:val="0"/>
          <w:sz w:val="28"/>
        </w:rPr>
        <w:t>其中，r为折现率，n为设备经济寿命。单项在役措施的等年成本为：</w:t>
      </w:r>
    </w:p>
    <w:p>
      <w:pPr>
        <w:keepLines/>
        <w:jc w:val="left"/>
        <w:ind w:firstLine="0" w:firstLineChars="0"/>
        <w:spacing w:line="440" w:lineRule="exact"/>
        <w:tabs>
          <w:tab w:val="center" w:pos="4100"/>
          <w:tab w:val="right" w:pos="8200"/>
        </w:tabs>
      </w:pPr>
      <w:r>
        <w:tab/>
      </w:r>
      <m:oMath>
        <m:sSub>
          <m:e>
            <m:r>
              <m:t>C</m:t>
            </m:r>
          </m:e>
          <m:sub>
            <m:r>
              <m:rPr>
                <m:sty m:val="p"/>
              </m:rPr>
              <m:t>E</m:t>
            </m:r>
            <m:r>
              <m:rPr>
                <m:sty m:val="p"/>
              </m:rPr>
              <m:t>A</m:t>
            </m:r>
            <m:r>
              <m:rPr>
                <m:sty m:val="p"/>
              </m:rPr>
              <m:t>C</m:t>
            </m:r>
          </m:sub>
        </m:sSub>
        <m:r>
          <m:rPr>
            <m:sty m:val="p"/>
          </m:rPr>
          <m:t>=</m:t>
        </m:r>
        <m:sSub>
          <m:e>
            <m:r>
              <m:t>C</m:t>
            </m:r>
          </m:e>
          <m:sub>
            <m:r>
              <m:rPr>
                <m:sty m:val="p"/>
              </m:rPr>
              <m:t>i</m:t>
            </m:r>
            <m:r>
              <m:rPr>
                <m:sty m:val="p"/>
              </m:rPr>
              <m:t>n</m:t>
            </m:r>
            <m:r>
              <m:rPr>
                <m:sty m:val="p"/>
              </m:rPr>
              <m:t>v</m:t>
            </m:r>
          </m:sub>
        </m:sSub>
        <m:r>
          <m:rPr>
            <m:sty m:val="p"/>
          </m:rPr>
          <m:t>C</m:t>
        </m:r>
        <m:r>
          <m:rPr>
            <m:sty m:val="p"/>
          </m:rPr>
          <m:t>R</m:t>
        </m:r>
        <m:r>
          <m:rPr>
            <m:sty m:val="p"/>
          </m:rPr>
          <m:t>F</m:t>
        </m:r>
        <m:d>
          <m:dPr>
            <m:begChr m:val="("/>
            <m:endChr m:val=")"/>
            <m:sepChr m:val=""/>
            <m:grow/>
          </m:dPr>
          <m:e>
            <m:r>
              <m:t>r</m:t>
            </m:r>
            <m:r>
              <m:rPr>
                <m:sty m:val="p"/>
              </m:rPr>
              <m:t>,</m:t>
            </m:r>
            <m:r>
              <m:t>n</m:t>
            </m:r>
          </m:e>
        </m:d>
        <m:r>
          <m:rPr>
            <m:sty m:val="p"/>
          </m:rPr>
          <m:t>+</m:t>
        </m:r>
        <m:sSub>
          <m:e>
            <m:r>
              <m:t>C</m:t>
            </m:r>
          </m:e>
          <m:sub>
            <m:r>
              <m:rPr>
                <m:sty m:val="p"/>
              </m:rPr>
              <m:t>o</m:t>
            </m:r>
            <m:r>
              <m:rPr>
                <m:sty m:val="p"/>
              </m:rPr>
              <m:t>m</m:t>
            </m:r>
          </m:sub>
        </m:sSub>
      </m:oMath>
      <w:r>
        <w:rPr>
          <w:rFonts w:ascii="Times New Roman" w:hAnsi="Times New Roman" w:eastAsia="仿宋_GB2312"/>
          <w:b w:val="0"/>
          <w:sz w:val="28"/>
        </w:rPr>
        <w:tab/>
        <w:t>（4-2）</w:t>
      </w:r>
    </w:p>
    <w:p>
      <w:pPr>
        <w:spacing w:before="0" w:after="0" w:line="560" w:lineRule="exact"/>
        <w:jc w:val="both"/>
        <w:ind w:firstLineChars="200" w:firstLine="200"/>
      </w:pPr>
      <w:r>
        <w:rPr>
          <w:rFonts w:ascii="Times New Roman" w:hAnsi="Times New Roman" w:eastAsia="仿宋_GB2312"/>
          <w:b w:val="0"/>
          <w:sz w:val="28"/>
        </w:rPr>
        <w:t>式中，C_inv为初始投资，C_om为年固定运维成本。单项措施等年成本的单位为万元/年。设备价格、经济寿命和固定运维费率作为规划参数参与计算，并在敏感性分析中检验其变化对Rcap建议和措施组合的影响。</w:t>
      </w:r>
    </w:p>
    <w:p>
      <w:pPr>
        <w:pStyle w:val="3"/>
        <w:pageBreakBefore w:val="0"/>
        <w:jc w:val="left"/>
      </w:pPr>
      <w:bookmarkStart w:id="16" w:name="_TocReport0016"/>
      <w:r>
        <w:rPr>
          <w:rFonts w:ascii="Times New Roman" w:hAnsi="Times New Roman" w:eastAsia="仿宋_GB2312"/>
          <w:b/>
          <w:sz w:val="28"/>
        </w:rPr>
        <w:t>4.2 成本驱动因子识别与参数化模型建立</w:t>
      </w:r>
      <w:bookmarkEnd w:id="16"/>
    </w:p>
    <w:p>
      <w:pPr>
        <w:spacing w:before="0" w:after="0" w:line="560" w:lineRule="exact"/>
        <w:jc w:val="both"/>
        <w:ind w:firstLineChars="200" w:firstLine="200"/>
      </w:pPr>
      <w:r>
        <w:rPr>
          <w:rFonts w:ascii="Times New Roman" w:hAnsi="Times New Roman" w:eastAsia="仿宋_GB2312"/>
          <w:b w:val="0"/>
          <w:sz w:val="28"/>
        </w:rPr>
        <w:t>在统一等年成本口径后，规划目标进一步考虑措施的投运年份。各方案以2021年实际在役资产为共同起点，对2022—2025年每一年已经投入运行的新增措施计算等年成本，并在规划期内累计：</w:t>
      </w:r>
    </w:p>
    <w:p>
      <w:pPr>
        <w:keepLines/>
        <w:jc w:val="left"/>
        <w:ind w:firstLine="0" w:firstLineChars="0"/>
        <w:spacing w:line="440" w:lineRule="exact"/>
        <w:tabs>
          <w:tab w:val="center" w:pos="4100"/>
          <w:tab w:val="right" w:pos="8200"/>
        </w:tabs>
      </w:pPr>
      <w:r>
        <w:tab/>
      </w:r>
      <m:oMath>
        <m:r>
          <m:rPr>
            <m:sty m:val="p"/>
          </m:rPr>
          <m:t>min</m:t>
        </m:r>
        <m:r>
          <m:t>J</m:t>
        </m:r>
        <m:r>
          <m:rPr>
            <m:sty m:val="p"/>
          </m:rPr>
          <m:t>=</m:t>
        </m:r>
        <m:nary>
          <m:naryPr>
            <m:chr m:val="∑"/>
            <m:limLoc m:val="undOvr"/>
            <m:subHide m:val="off"/>
            <m:supHide m:val="off"/>
          </m:naryPr>
          <m:sub>
            <m:r>
              <m:t>y</m:t>
            </m:r>
            <m:r>
              <m:rPr>
                <m:sty m:val="p"/>
              </m:rPr>
              <m:t>=</m:t>
            </m:r>
            <m:r>
              <m:t>2022</m:t>
            </m:r>
          </m:sub>
          <m:sup>
            <m:r>
              <m:t>2025</m:t>
            </m:r>
          </m:sup>
          <m:e>
            <m:sSubSup>
              <m:e>
                <m:r>
                  <m:t>C</m:t>
                </m:r>
              </m:e>
              <m:sub>
                <m:r>
                  <m:rPr>
                    <m:sty m:val="p"/>
                  </m:rPr>
                  <m:t>E</m:t>
                </m:r>
                <m:r>
                  <m:rPr>
                    <m:sty m:val="p"/>
                  </m:rPr>
                  <m:t>A</m:t>
                </m:r>
                <m:r>
                  <m:rPr>
                    <m:sty m:val="p"/>
                  </m:rPr>
                  <m:t>C</m:t>
                </m:r>
                <m:r>
                  <m:rPr>
                    <m:sty m:val="p"/>
                  </m:rPr>
                  <m:t>,</m:t>
                </m:r>
                <m:r>
                  <m:t>y</m:t>
                </m:r>
              </m:sub>
              <m:sup>
                <m:r>
                  <m:rPr>
                    <m:sty m:val="p"/>
                  </m:rPr>
                  <m:t>i</m:t>
                </m:r>
                <m:r>
                  <m:rPr>
                    <m:sty m:val="p"/>
                  </m:rPr>
                  <m:t>n</m:t>
                </m:r>
                <m:r>
                  <m:rPr>
                    <m:nor/>
                    <m:sty m:val="p"/>
                  </m:rPr>
                  <m:t>-</m:t>
                </m:r>
                <m:r>
                  <m:rPr>
                    <m:sty m:val="p"/>
                  </m:rPr>
                  <m:t>s</m:t>
                </m:r>
                <m:r>
                  <m:rPr>
                    <m:sty m:val="p"/>
                  </m:rPr>
                  <m:t>e</m:t>
                </m:r>
                <m:r>
                  <m:rPr>
                    <m:sty m:val="p"/>
                  </m:rPr>
                  <m:t>r</m:t>
                </m:r>
                <m:r>
                  <m:rPr>
                    <m:sty m:val="p"/>
                  </m:rPr>
                  <m:t>v</m:t>
                </m:r>
                <m:r>
                  <m:rPr>
                    <m:sty m:val="p"/>
                  </m:rPr>
                  <m:t>i</m:t>
                </m:r>
                <m:r>
                  <m:rPr>
                    <m:sty m:val="p"/>
                  </m:rPr>
                  <m:t>c</m:t>
                </m:r>
                <m:r>
                  <m:rPr>
                    <m:sty m:val="p"/>
                  </m:rPr>
                  <m:t>e</m:t>
                </m:r>
              </m:sup>
            </m:sSubSup>
          </m:e>
        </m:nary>
      </m:oMath>
      <w:r>
        <w:rPr>
          <w:rFonts w:ascii="Times New Roman" w:hAnsi="Times New Roman" w:eastAsia="仿宋_GB2312"/>
          <w:b w:val="0"/>
          <w:sz w:val="28"/>
        </w:rPr>
        <w:tab/>
        <w:t>（4-3）</w:t>
      </w:r>
    </w:p>
    <w:p>
      <w:pPr>
        <w:spacing w:before="0" w:after="0" w:line="560" w:lineRule="exact"/>
        <w:jc w:val="both"/>
        <w:ind w:firstLineChars="200" w:firstLine="200"/>
      </w:pPr>
      <w:r>
        <w:rPr>
          <w:rFonts w:ascii="Times New Roman" w:hAnsi="Times New Roman" w:eastAsia="仿宋_GB2312"/>
          <w:b w:val="0"/>
          <w:sz w:val="28"/>
        </w:rPr>
        <w:t>因此，本文将目标函数统一称为“2022—2025年规划期累计在役等年成本”，单位为万元。该指标既不是一次性总投资，也不是某一个单独年度的万元/年费用，而是反映不同投运时点和不同工程措施在规划期内持续占用成本的累计量。</w:t>
      </w:r>
    </w:p>
    <w:p>
      <w:pPr>
        <w:spacing w:before="0" w:after="0" w:line="560" w:lineRule="exact"/>
        <w:jc w:val="both"/>
        <w:ind w:firstLineChars="200" w:firstLine="200"/>
      </w:pPr>
      <w:r>
        <w:rPr>
          <w:rFonts w:ascii="Times New Roman" w:hAnsi="Times New Roman" w:eastAsia="仿宋_GB2312"/>
          <w:b w:val="0"/>
          <w:sz w:val="28"/>
        </w:rPr>
        <w:t>成本变化主要由三类因素共同驱动：一是新增变电容量是否受到Rcap约束；二是储能为满足正向容量、反向承载及时序约束所需的规模；三是工程措施投运年份。模型以年度为离散步长，对候选扩建和储能状态进行确定性枚举与动态筛选；涉及连续时序的储能可行性问题采用线性约束求解。由于求解过程不依赖随机搜索，相同输入条件下可获得一致的规划结果。</w:t>
      </w:r>
    </w:p>
    <w:p>
      <w:pPr>
        <w:pStyle w:val="3"/>
        <w:pageBreakBefore w:val="0"/>
        <w:jc w:val="left"/>
      </w:pPr>
      <w:bookmarkStart w:id="17" w:name="_TocReport0017"/>
      <w:r>
        <w:rPr>
          <w:rFonts w:ascii="Times New Roman" w:hAnsi="Times New Roman" w:eastAsia="仿宋_GB2312"/>
          <w:b/>
          <w:sz w:val="28"/>
        </w:rPr>
        <w:t>4.3 刚性容载比场景全寿命周期成本测算</w:t>
      </w:r>
      <w:bookmarkEnd w:id="17"/>
    </w:p>
    <w:p>
      <w:pPr>
        <w:spacing w:before="0" w:after="0" w:line="560" w:lineRule="exact"/>
        <w:jc w:val="both"/>
        <w:ind w:firstLineChars="200" w:firstLine="200"/>
      </w:pPr>
      <w:r>
        <w:rPr>
          <w:rFonts w:ascii="Times New Roman" w:hAnsi="Times New Roman" w:eastAsia="仿宋_GB2312"/>
          <w:b w:val="0"/>
          <w:sz w:val="28"/>
        </w:rPr>
        <w:t>本节所称“全寿命周期成本”通过设备经济寿命进入等年成本折算，方案之间的比较口径仍统一为2022—2025年规划期累计在役等年成本。为分析统一较紧控制值对规划方案的影响，刚性比较场景取Rcap=2.0，并继续执行存量容量豁免。也就是说，2021年已经在役的主变容量保持不变，Rcap只限制2022—2025年能够新增的变电容量。当新增主变受到限制但片区仍需满足正向容量和反向承载要求时，模型通过储能或其他可用措施补足相应调节需求。</w:t>
      </w:r>
    </w:p>
    <w:p>
      <w:pPr>
        <w:spacing w:before="0" w:after="0" w:line="560" w:lineRule="exact"/>
        <w:jc w:val="both"/>
        <w:ind w:firstLineChars="200" w:firstLine="200"/>
      </w:pPr>
      <w:r>
        <w:rPr>
          <w:rFonts w:ascii="Times New Roman" w:hAnsi="Times New Roman" w:eastAsia="仿宋_GB2312"/>
          <w:b w:val="0"/>
          <w:sz w:val="28"/>
        </w:rPr>
        <w:t>QX-00001在Rcap=2.0时不新增变电容量，2025年需配置138个储能模块，对应13.8 MW/29.670 MWh，2022—2025年规划期累计在役等年成本为481.9566万元。QX-00005在同一控制条件下不能采用50 MVA扩建措施，2025年需配置962个储能模块，对应96.2 MW/206.830 MWh，规划期累计在役等年成本为3359.0522万元。</w:t>
      </w:r>
    </w:p>
    <w:p>
      <w:pPr>
        <w:spacing w:before="0" w:after="0" w:line="560" w:lineRule="exact"/>
        <w:jc w:val="both"/>
        <w:ind w:firstLineChars="200" w:firstLine="200"/>
      </w:pPr>
      <w:r>
        <w:rPr>
          <w:rFonts w:ascii="Times New Roman" w:hAnsi="Times New Roman" w:eastAsia="仿宋_GB2312"/>
          <w:b w:val="0"/>
          <w:sz w:val="28"/>
        </w:rPr>
        <w:t>这两个片区共同表明，较紧的新增容量控制并不一定降低总体规划成本。当片区正向峰值负荷持续增长、且新增变电容量具备工程可行性时，限制扩建会将更多调节任务转移给储能，从而显著改变措施组合。</w:t>
      </w:r>
    </w:p>
    <w:p>
      <w:pPr>
        <w:pStyle w:val="3"/>
        <w:pageBreakBefore w:val="0"/>
        <w:jc w:val="left"/>
      </w:pPr>
      <w:bookmarkStart w:id="18" w:name="_TocReport0018"/>
      <w:r>
        <w:rPr>
          <w:rFonts w:ascii="Times New Roman" w:hAnsi="Times New Roman" w:eastAsia="仿宋_GB2312"/>
          <w:b/>
          <w:sz w:val="28"/>
        </w:rPr>
        <w:t>4.4 弹性容载比场景全寿命周期成本测算</w:t>
      </w:r>
      <w:bookmarkEnd w:id="18"/>
    </w:p>
    <w:p>
      <w:pPr>
        <w:spacing w:before="0" w:after="0" w:line="560" w:lineRule="exact"/>
        <w:jc w:val="both"/>
        <w:ind w:firstLineChars="200" w:firstLine="200"/>
      </w:pPr>
      <w:r>
        <w:rPr>
          <w:rFonts w:ascii="Times New Roman" w:hAnsi="Times New Roman" w:eastAsia="仿宋_GB2312"/>
          <w:b w:val="0"/>
          <w:sz w:val="28"/>
        </w:rPr>
        <w:t>弹性场景沿用上述经济评价口径，在1.5～3.0范围内以0.1步长扫描Rcap，同时设置不施加Rcap上限的对照方案；在经济响应发生变化的位置附近，再以0.001步长进行局部细化。为避免单一参数条件下的局部最优直接被作为规划建议，本研究进一步以不施加Rcap上限方案的成本为基准，将成本上浮5%以内定义为近优集合，并在多组敏感性情景中寻找共同满足条件的Rcap范围。</w:t>
      </w:r>
    </w:p>
    <w:p>
      <w:pPr>
        <w:pStyle w:val="38"/>
        <w:jc w:val="center"/>
        <w:keepNext/>
        <w:keepLines/>
        <w:ind w:firstLine="0" w:firstLineChars="0"/>
      </w:pPr>
      <w:r>
        <w:drawing>
          <wp:inline xmlns:a="http://schemas.openxmlformats.org/drawingml/2006/main" xmlns:pic="http://schemas.openxmlformats.org/drawingml/2006/picture">
            <wp:extent cx="4968000" cy="4184953"/>
            <wp:docPr id="4" name="Picture 4"/>
            <wp:cNvGraphicFramePr>
              <a:graphicFrameLocks noChangeAspect="1"/>
            </wp:cNvGraphicFramePr>
            <a:graphic>
              <a:graphicData uri="http://schemas.openxmlformats.org/drawingml/2006/picture">
                <pic:pic>
                  <pic:nvPicPr>
                    <pic:cNvPr id="0" name="图5-1_弹性控制值成本前沿.png"/>
                    <pic:cNvPicPr/>
                  </pic:nvPicPr>
                  <pic:blipFill>
                    <a:blip r:embed="rId16"/>
                    <a:stretch>
                      <a:fillRect/>
                    </a:stretch>
                  </pic:blipFill>
                  <pic:spPr>
                    <a:xfrm>
                      <a:off x="0" y="0"/>
                      <a:ext cx="4968000" cy="4184953"/>
                    </a:xfrm>
                    <a:prstGeom prst="rect"/>
                  </pic:spPr>
                </pic:pic>
              </a:graphicData>
            </a:graphic>
          </wp:inline>
        </w:drawing>
      </w:r>
    </w:p>
    <w:p>
      <w:pPr>
        <w:pStyle w:val="12"/>
        <w:keepNext w:val="0"/>
        <w:spacing w:before="0" w:after="120" w:line="400" w:lineRule="exact"/>
        <w:jc w:val="center"/>
        <w:ind w:firstLine="0" w:firstLineChars="0"/>
      </w:pPr>
      <w:r>
        <w:rPr>
          <w:rFonts w:ascii="Times New Roman" w:hAnsi="Times New Roman" w:eastAsia="仿宋_GB2312"/>
          <w:b w:val="0"/>
          <w:sz w:val="24"/>
        </w:rPr>
        <w:t>图 4-1 弹性容载比控制值与规划期累计在役等年成本</w:t>
      </w:r>
    </w:p>
    <w:p>
      <w:pPr>
        <w:pStyle w:val="38"/>
        <w:jc w:val="center"/>
        <w:keepNext/>
        <w:keepLines/>
        <w:ind w:firstLine="0" w:firstLineChars="0"/>
      </w:pPr>
      <w:r>
        <w:drawing>
          <wp:inline xmlns:a="http://schemas.openxmlformats.org/drawingml/2006/main" xmlns:pic="http://schemas.openxmlformats.org/drawingml/2006/picture">
            <wp:extent cx="4968000" cy="3988279"/>
            <wp:docPr id="5" name="Picture 5"/>
            <wp:cNvGraphicFramePr>
              <a:graphicFrameLocks noChangeAspect="1"/>
            </wp:cNvGraphicFramePr>
            <a:graphic>
              <a:graphicData uri="http://schemas.openxmlformats.org/drawingml/2006/picture">
                <pic:pic>
                  <pic:nvPicPr>
                    <pic:cNvPr id="0" name="图5-2_弹性控制值规划响应.png"/>
                    <pic:cNvPicPr/>
                  </pic:nvPicPr>
                  <pic:blipFill>
                    <a:blip r:embed="rId17"/>
                    <a:stretch>
                      <a:fillRect/>
                    </a:stretch>
                  </pic:blipFill>
                  <pic:spPr>
                    <a:xfrm>
                      <a:off x="0" y="0"/>
                      <a:ext cx="4968000" cy="3988279"/>
                    </a:xfrm>
                    <a:prstGeom prst="rect"/>
                  </pic:spPr>
                </pic:pic>
              </a:graphicData>
            </a:graphic>
          </wp:inline>
        </w:drawing>
      </w:r>
    </w:p>
    <w:p>
      <w:pPr>
        <w:pStyle w:val="12"/>
        <w:keepNext w:val="0"/>
        <w:spacing w:before="0" w:after="120" w:line="400" w:lineRule="exact"/>
        <w:jc w:val="center"/>
        <w:ind w:firstLine="0" w:firstLineChars="0"/>
      </w:pPr>
      <w:r>
        <w:rPr>
          <w:rFonts w:ascii="Times New Roman" w:hAnsi="Times New Roman" w:eastAsia="仿宋_GB2312"/>
          <w:b w:val="0"/>
          <w:sz w:val="24"/>
        </w:rPr>
        <w:t>图 4-2 弹性容载比控制值与规划措施</w:t>
      </w:r>
    </w:p>
    <w:p>
      <w:pPr>
        <w:spacing w:before="0" w:after="0" w:line="560" w:lineRule="exact"/>
        <w:jc w:val="both"/>
        <w:ind w:firstLineChars="200" w:firstLine="200"/>
      </w:pPr>
      <w:r>
        <w:rPr>
          <w:rFonts w:ascii="Times New Roman" w:hAnsi="Times New Roman" w:eastAsia="仿宋_GB2312"/>
          <w:b w:val="0"/>
          <w:sz w:val="28"/>
        </w:rPr>
        <w:t>图4-1给出了QX-00001和QX-00005随Rcap变化的规划期累计在役等年成本，图4-2进一步展示新增变电容量和储能规模的变化。两个片区均存在明显的“措施转换”现象：当Rcap低于一定水平时，新增变电容量受到约束，储能需求显著增加；当Rcap放宽至经济释放位置后，扩建与储能重新形成成本更低的组合。</w:t>
      </w:r>
    </w:p>
    <w:p>
      <w:pPr>
        <w:spacing w:before="0" w:after="0" w:line="560" w:lineRule="exact"/>
        <w:jc w:val="both"/>
        <w:ind w:firstLineChars="200" w:firstLine="200"/>
      </w:pPr>
      <w:r>
        <w:rPr>
          <w:rFonts w:ascii="Times New Roman" w:hAnsi="Times New Roman" w:eastAsia="仿宋_GB2312"/>
          <w:b w:val="0"/>
          <w:sz w:val="28"/>
        </w:rPr>
        <w:t>QX-00001的局部经济释放阈值为2.359～2.360，敏感性分析得到的5%稳健近优下限为2.50；QX-00005的局部经济释放阈值为2.171～2.172，稳健近优下限为2.30。两者的近优集合均延伸至本研究扫描上界3.0，因此当前只能识别建议下限，不能把3.0解释为推荐上限。</w:t>
      </w:r>
    </w:p>
    <w:p>
      <w:pPr>
        <w:pStyle w:val="3"/>
        <w:pageBreakBefore w:val="0"/>
        <w:jc w:val="left"/>
      </w:pPr>
      <w:bookmarkStart w:id="19" w:name="_TocReport0019"/>
      <w:r>
        <w:rPr>
          <w:rFonts w:ascii="Times New Roman" w:hAnsi="Times New Roman" w:eastAsia="仿宋_GB2312"/>
          <w:b/>
          <w:sz w:val="28"/>
        </w:rPr>
        <w:t>4.5 两场景经济技术对比与决策案例库形成</w:t>
      </w:r>
      <w:bookmarkEnd w:id="19"/>
    </w:p>
    <w:p>
      <w:pPr>
        <w:spacing w:before="0" w:after="0" w:line="560" w:lineRule="exact"/>
        <w:jc w:val="both"/>
        <w:ind w:firstLineChars="200" w:firstLine="200"/>
      </w:pPr>
      <w:r>
        <w:rPr>
          <w:rFonts w:ascii="Times New Roman" w:hAnsi="Times New Roman" w:eastAsia="仿宋_GB2312"/>
          <w:b w:val="0"/>
          <w:sz w:val="28"/>
        </w:rPr>
        <w:t>两个具有明显经济释放阈值的片区，其刚性与弹性方案对比见表4-1。</w:t>
      </w:r>
    </w:p>
    <w:p>
      <w:pPr>
        <w:pStyle w:val="12"/>
        <w:keepNext/>
        <w:spacing w:before="120" w:after="60" w:line="400" w:lineRule="exact"/>
        <w:jc w:val="center"/>
        <w:ind w:firstLine="0" w:firstLineChars="0"/>
      </w:pPr>
      <w:r>
        <w:rPr>
          <w:rFonts w:ascii="Times New Roman" w:hAnsi="Times New Roman" w:eastAsia="仿宋_GB2312"/>
          <w:b w:val="0"/>
          <w:sz w:val="24"/>
        </w:rPr>
        <w:t>表 4-1 两个阈值型片区刚性与弹性场景对比</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39"/>
        <w:gridCol w:w="1039"/>
        <w:gridCol w:w="1039"/>
        <w:gridCol w:w="1039"/>
        <w:gridCol w:w="1039"/>
        <w:gridCol w:w="1039"/>
        <w:gridCol w:w="1039"/>
        <w:gridCol w:w="1039"/>
      </w:tblGrid>
      <w:tr>
        <w:trPr>
          <w:cantSplit/>
          <w:tblHeader w:val="true"/>
        </w:trPr>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片区</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场景</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2025年实际物理容载比</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新增容量/MVA</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2025年储能模块/个</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储能功率/MW</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储能容量/MWh</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2022—2025年累计在役等年成本/万元</w:t>
            </w:r>
          </w:p>
        </w:tc>
      </w:tr>
      <w:tr>
        <w:trPr/>
        <w:tc>
          <w:tcPr>
            <w:tcW w:type="dxa" w:w="1039"/>
            <w:vAlign w:val="center"/>
          </w:tcPr>
          <w:p>
            <w:pPr>
              <w:pStyle w:val="97"/>
              <w:jc w:val="left"/>
              <w:spacing w:before="0" w:after="0" w:line="360" w:lineRule="exact"/>
              <w:ind w:firstLine="0" w:firstLineChars="0"/>
            </w:pPr>
            <w:r>
              <w:rPr>
                <w:rFonts w:ascii="Times New Roman" w:hAnsi="Times New Roman" w:eastAsia="仿宋_GB2312"/>
                <w:b w:val="0"/>
                <w:sz w:val="24"/>
              </w:rPr>
              <w:t>QX-00001</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不施加Rcap上限</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2.3597466</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50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19</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1.9</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4.085</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188.1800</w:t>
            </w:r>
          </w:p>
        </w:tc>
      </w:tr>
      <w:tr>
        <w:trPr/>
        <w:tc>
          <w:tcPr>
            <w:tcW w:type="dxa" w:w="1039"/>
            <w:vAlign w:val="center"/>
          </w:tcPr>
          <w:p>
            <w:pPr>
              <w:pStyle w:val="97"/>
              <w:jc w:val="left"/>
              <w:spacing w:before="0" w:after="0" w:line="360" w:lineRule="exact"/>
              <w:ind w:firstLine="0" w:firstLineChars="0"/>
            </w:pPr>
            <w:r>
              <w:rPr>
                <w:rFonts w:ascii="Times New Roman" w:hAnsi="Times New Roman" w:eastAsia="仿宋_GB2312"/>
                <w:b w:val="0"/>
                <w:sz w:val="24"/>
              </w:rPr>
              <w:t>QX-00001</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Rcap=2.0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2.2679276</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138</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13.8</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29.670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481.9566</w:t>
            </w:r>
          </w:p>
        </w:tc>
      </w:tr>
      <w:tr>
        <w:trPr/>
        <w:tc>
          <w:tcPr>
            <w:tcW w:type="dxa" w:w="1039"/>
            <w:vAlign w:val="center"/>
          </w:tcPr>
          <w:p>
            <w:pPr>
              <w:pStyle w:val="97"/>
              <w:jc w:val="left"/>
              <w:spacing w:before="0" w:after="0" w:line="360" w:lineRule="exact"/>
              <w:ind w:firstLine="0" w:firstLineChars="0"/>
            </w:pPr>
            <w:r>
              <w:rPr>
                <w:rFonts w:ascii="Times New Roman" w:hAnsi="Times New Roman" w:eastAsia="仿宋_GB2312"/>
                <w:b w:val="0"/>
                <w:sz w:val="24"/>
              </w:rPr>
              <w:t>QX-00005</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不施加Rcap上限</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2.1715720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50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465</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46.5</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99.975</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1745.5283</w:t>
            </w:r>
          </w:p>
        </w:tc>
      </w:tr>
      <w:tr>
        <w:trPr/>
        <w:tc>
          <w:tcPr>
            <w:tcW w:type="dxa" w:w="1039"/>
            <w:vAlign w:val="center"/>
          </w:tcPr>
          <w:p>
            <w:pPr>
              <w:pStyle w:val="97"/>
              <w:jc w:val="left"/>
              <w:spacing w:before="0" w:after="0" w:line="360" w:lineRule="exact"/>
              <w:ind w:firstLine="0" w:firstLineChars="0"/>
            </w:pPr>
            <w:r>
              <w:rPr>
                <w:rFonts w:ascii="Times New Roman" w:hAnsi="Times New Roman" w:eastAsia="仿宋_GB2312"/>
                <w:b w:val="0"/>
                <w:sz w:val="24"/>
              </w:rPr>
              <w:t>QX-00005</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Rcap=2.0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2.1192953</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962</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96.2</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206.830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3359.0522</w:t>
            </w:r>
          </w:p>
        </w:tc>
      </w:tr>
    </w:tbl>
    <w:p>
      <w:pPr>
        <w:spacing w:before="0" w:after="0" w:line="560" w:lineRule="exact"/>
        <w:jc w:val="both"/>
        <w:ind w:firstLineChars="200" w:firstLine="200"/>
      </w:pPr>
      <w:r>
        <w:rPr>
          <w:rFonts w:ascii="Times New Roman" w:hAnsi="Times New Roman" w:eastAsia="仿宋_GB2312"/>
          <w:b w:val="0"/>
          <w:sz w:val="28"/>
        </w:rPr>
        <w:t>QX-00001在Rcap=2.0条件下的规划期累计在役等年成本比不施加上限方案增加293.7765万元；QX-00005增加1613.5239万元。成本差异主要来自扩建受限后储能规模的大幅增加，说明弹性容载比的经济意义体现在工程措施之间的替代关系，而不是单纯追求更高的实际物理容载比。</w:t>
      </w:r>
    </w:p>
    <w:p>
      <w:pPr>
        <w:spacing w:before="0" w:after="0" w:line="560" w:lineRule="exact"/>
        <w:jc w:val="both"/>
        <w:ind w:firstLineChars="200" w:firstLine="200"/>
      </w:pPr>
      <w:r>
        <w:rPr>
          <w:rFonts w:ascii="Times New Roman" w:hAnsi="Times New Roman" w:eastAsia="仿宋_GB2312"/>
          <w:b w:val="0"/>
          <w:sz w:val="28"/>
        </w:rPr>
        <w:t>其他片区的规划响应见表4-2。</w:t>
      </w:r>
    </w:p>
    <w:p>
      <w:pPr>
        <w:pStyle w:val="12"/>
        <w:keepNext/>
        <w:spacing w:before="120" w:after="60" w:line="400" w:lineRule="exact"/>
        <w:jc w:val="center"/>
        <w:ind w:firstLine="0" w:firstLineChars="0"/>
      </w:pPr>
      <w:r>
        <w:rPr>
          <w:rFonts w:ascii="Times New Roman" w:hAnsi="Times New Roman" w:eastAsia="仿宋_GB2312"/>
          <w:b w:val="0"/>
          <w:sz w:val="24"/>
        </w:rPr>
        <w:t>表 4-2 其他片区规划响应及决策类型</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cantSplit/>
          <w:tblHeader w:val="true"/>
        </w:trPr>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片区</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规划响应</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2025年储能模块/个</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2022—2025年累计在役等年成本/万元</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决策类型</w:t>
            </w:r>
          </w:p>
        </w:tc>
      </w:tr>
      <w:tr>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QX-00003</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扫描范围内方案不变</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173</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604.7015</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容载比非主导</w:t>
            </w:r>
          </w:p>
        </w:tc>
      </w:tr>
      <w:tr>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QX-00004</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扫描范围内方案不变</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124</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433.5391</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容载比非主导</w:t>
            </w:r>
          </w:p>
        </w:tc>
      </w:tr>
      <w:tr>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QX-00007</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无明显新增措施</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容载比非主导</w:t>
            </w:r>
          </w:p>
        </w:tc>
      </w:tr>
      <w:tr>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QX-00008</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放开Rcap后仍未形成完整可行路径</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技术约束优先</w:t>
            </w:r>
          </w:p>
        </w:tc>
      </w:tr>
      <w:tr>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QX-00009</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放开Rcap后仍未形成完整可行路径</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技术约束优先</w:t>
            </w:r>
          </w:p>
        </w:tc>
      </w:tr>
      <w:tr>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QX-00010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放开Rcap后仍未形成完整可行路径</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技术约束优先</w:t>
            </w:r>
          </w:p>
        </w:tc>
      </w:tr>
    </w:tbl>
    <w:p>
      <w:pPr>
        <w:spacing w:before="0" w:after="0" w:line="560" w:lineRule="exact"/>
        <w:jc w:val="both"/>
        <w:ind w:firstLineChars="200" w:firstLine="200"/>
      </w:pPr>
      <w:r>
        <w:rPr>
          <w:rFonts w:ascii="Times New Roman" w:hAnsi="Times New Roman" w:eastAsia="仿宋_GB2312"/>
          <w:b w:val="0"/>
          <w:sz w:val="28"/>
        </w:rPr>
        <w:t>由此可以形成三类具有不同规划含义的案例：QX-00001和QX-00005属于经济释放阈值型；QX-00003、QX-00004和QX-00007属于容载比非主导型；QX-00008～QX-00010属于技术约束优先型。三类结果共同构成后续“一片一策”建议的案例基础，也说明既不能对所有高渗透片区统一放宽Rcap，也不能机械采用相同的刚性上限。</w:t>
      </w:r>
    </w:p>
    <w:p>
      <w:pPr>
        <w:pStyle w:val="2"/>
        <w:pageBreakBefore/>
        <w:jc w:val="left"/>
      </w:pPr>
      <w:bookmarkStart w:id="20" w:name="_TocReport0020"/>
      <w:r>
        <w:rPr>
          <w:rFonts w:ascii="Times New Roman" w:hAnsi="Times New Roman" w:eastAsia="仿宋_GB2312"/>
          <w:b/>
          <w:sz w:val="36"/>
        </w:rPr>
        <w:t>第五章 “一片一策”弹性容载比规划建议</w:t>
      </w:r>
      <w:bookmarkEnd w:id="20"/>
    </w:p>
    <w:p>
      <w:pPr>
        <w:pStyle w:val="3"/>
        <w:pageBreakBefore w:val="0"/>
        <w:jc w:val="left"/>
      </w:pPr>
      <w:bookmarkStart w:id="21" w:name="_TocReport0021"/>
      <w:r>
        <w:rPr>
          <w:rFonts w:ascii="Times New Roman" w:hAnsi="Times New Roman" w:eastAsia="仿宋_GB2312"/>
          <w:b/>
          <w:sz w:val="28"/>
        </w:rPr>
        <w:t>5.1 历史负荷与分布式光伏接入特征分析典型片区负荷与分布式光伏预测</w:t>
      </w:r>
      <w:bookmarkEnd w:id="21"/>
    </w:p>
    <w:p>
      <w:pPr>
        <w:spacing w:before="0" w:after="0" w:line="560" w:lineRule="exact"/>
        <w:jc w:val="both"/>
        <w:ind w:firstLineChars="200" w:firstLine="200"/>
      </w:pPr>
      <w:r>
        <w:rPr>
          <w:rFonts w:ascii="Times New Roman" w:hAnsi="Times New Roman" w:eastAsia="仿宋_GB2312"/>
          <w:b w:val="0"/>
          <w:sz w:val="28"/>
        </w:rPr>
        <w:t>本节按照既定研究内容，从历史负荷变化和分布式光伏接入特征两个方面判断典型片区未来规划压力。现阶段以2021—2025年正向最大供电负荷描述负荷变化趋势，以2026年新能源装机快照描述最新接入规模。由于尚缺少所有片区统一基准年的完整光伏出力—负荷同步预测，本研究不将跨年度源荷规模比解释为严格的未来功率预测，而将其作为片区分类和滚动规划的现状背景量。</w:t>
      </w:r>
    </w:p>
    <w:p>
      <w:pPr>
        <w:spacing w:before="0" w:after="0" w:line="560" w:lineRule="exact"/>
        <w:jc w:val="both"/>
        <w:ind w:firstLineChars="200" w:firstLine="200"/>
      </w:pPr>
      <w:r>
        <w:rPr>
          <w:rFonts w:ascii="Times New Roman" w:hAnsi="Times New Roman" w:eastAsia="仿宋_GB2312"/>
          <w:b w:val="0"/>
          <w:sz w:val="28"/>
        </w:rPr>
        <w:t>典型片区中，QX-00001和QX-00005的正向峰值负荷年均变化率分别为6.22%和6.92%，均表现出较明确的正向容量增长需求；QX-00004为-0.51%，其Rcap扫描结果也表现为容载比非主导。该对比说明，新能源规模较高并不意味着容载比一定需要放宽，负荷增长、局部反向潮流、线路压力和设备条件必须结合分析。</w:t>
      </w:r>
    </w:p>
    <w:p>
      <w:pPr>
        <w:spacing w:before="0" w:after="0" w:line="560" w:lineRule="exact"/>
        <w:jc w:val="both"/>
        <w:ind w:firstLineChars="200" w:firstLine="200"/>
      </w:pPr>
      <w:r>
        <w:rPr>
          <w:rFonts w:ascii="Times New Roman" w:hAnsi="Times New Roman" w:eastAsia="仿宋_GB2312"/>
          <w:b w:val="0"/>
          <w:sz w:val="28"/>
        </w:rPr>
        <w:t>在后续滚动规划中，应使用最新负荷预测、已明确的新能源接入计划以及可获得的同步时序重新计算核心指标。当片区新增大型负荷、新能源项目或网络结构发生明显变化时，不宜长期沿用当前历史增长率和现状源荷规模比。</w:t>
      </w:r>
    </w:p>
    <w:p>
      <w:pPr>
        <w:pStyle w:val="3"/>
        <w:pageBreakBefore w:val="0"/>
        <w:jc w:val="left"/>
      </w:pPr>
      <w:bookmarkStart w:id="22" w:name="_TocReport0022"/>
      <w:r>
        <w:rPr>
          <w:rFonts w:ascii="Times New Roman" w:hAnsi="Times New Roman" w:eastAsia="仿宋_GB2312"/>
          <w:b/>
          <w:sz w:val="28"/>
        </w:rPr>
        <w:t>5.2 含正向容载比与反向承载力协同约束的弹性规划评价指标体系设计</w:t>
      </w:r>
      <w:bookmarkEnd w:id="22"/>
    </w:p>
    <w:p>
      <w:pPr>
        <w:spacing w:before="0" w:after="0" w:line="560" w:lineRule="exact"/>
        <w:jc w:val="both"/>
        <w:ind w:firstLineChars="200" w:firstLine="200"/>
      </w:pPr>
      <w:r>
        <w:rPr>
          <w:rFonts w:ascii="Times New Roman" w:hAnsi="Times New Roman" w:eastAsia="仿宋_GB2312"/>
          <w:b w:val="0"/>
          <w:sz w:val="28"/>
        </w:rPr>
        <w:t>弹性规划评价采用“技术可行性底线+片区特征指标”两层结构。第一层为必须满足的技术可行性条件，包括设备容量、接入位置、储能接入条件、局部网络互济以及必要的时序运行约束。该层属于刚性条件，不能通过指标加权相互抵消；任何关键技术条件不满足时，都应优先解决设备、网络或接入问题。</w:t>
      </w:r>
    </w:p>
    <w:p>
      <w:pPr>
        <w:spacing w:before="0" w:after="0" w:line="560" w:lineRule="exact"/>
        <w:jc w:val="both"/>
        <w:ind w:firstLineChars="200" w:firstLine="200"/>
      </w:pPr>
      <w:r>
        <w:rPr>
          <w:rFonts w:ascii="Times New Roman" w:hAnsi="Times New Roman" w:eastAsia="仿宋_GB2312"/>
          <w:b w:val="0"/>
          <w:sz w:val="28"/>
        </w:rPr>
        <w:t>第二层用于描述片区特征并辅助检索规划经验，包含4项核心指标：现状源荷规模比、局部最大反向潮流比例、110 kV线路统计负载余度和正向峰值负荷年均变化率。各典型片区的指标与规划响应见表5-1。</w:t>
      </w:r>
    </w:p>
    <w:p>
      <w:pPr>
        <w:pStyle w:val="12"/>
        <w:keepNext/>
        <w:spacing w:before="120" w:after="60" w:line="400" w:lineRule="exact"/>
        <w:jc w:val="center"/>
        <w:ind w:firstLine="0" w:firstLineChars="0"/>
      </w:pPr>
      <w:r>
        <w:rPr>
          <w:rFonts w:ascii="Times New Roman" w:hAnsi="Times New Roman" w:eastAsia="仿宋_GB2312"/>
          <w:b w:val="0"/>
          <w:sz w:val="24"/>
        </w:rPr>
        <w:t>表 5-1 典型片区关键指标及规划建议</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5"/>
        <w:gridCol w:w="1385"/>
        <w:gridCol w:w="1385"/>
        <w:gridCol w:w="1385"/>
        <w:gridCol w:w="1385"/>
        <w:gridCol w:w="1385"/>
      </w:tblGrid>
      <w:tr>
        <w:trPr>
          <w:cantSplit/>
          <w:tblHeader w:val="true"/>
        </w:trPr>
        <w:tc>
          <w:tcPr>
            <w:tcW w:type="dxa" w:w="1385"/>
            <w:vAlign w:val="center"/>
          </w:tcPr>
          <w:p>
            <w:pPr>
              <w:pStyle w:val="97"/>
              <w:jc w:val="center"/>
              <w:spacing w:before="0" w:after="0" w:line="360" w:lineRule="exact"/>
              <w:ind w:firstLine="0" w:firstLineChars="0"/>
            </w:pPr>
            <w:r>
              <w:rPr>
                <w:rFonts w:ascii="Times New Roman" w:hAnsi="Times New Roman" w:eastAsia="仿宋_GB2312"/>
                <w:b/>
                <w:sz w:val="24"/>
              </w:rPr>
              <w:t>片区</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sz w:val="24"/>
              </w:rPr>
              <w:t>现状源荷规模比</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sz w:val="24"/>
              </w:rPr>
              <w:t>局部最大反向潮流比例</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sz w:val="24"/>
              </w:rPr>
              <w:t>110 kV线路统计负载余度</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sz w:val="24"/>
              </w:rPr>
              <w:t>正向峰值负荷年均变化率</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sz w:val="24"/>
              </w:rPr>
              <w:t>规划建议</w:t>
            </w:r>
          </w:p>
        </w:tc>
      </w:tr>
      <w:tr>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QX-00001</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0.973</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0.088</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11.36%</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6.22%</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Rcap建议不低于2.50</w:t>
            </w:r>
          </w:p>
        </w:tc>
      </w:tr>
      <w:tr>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QX-00003</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1.523</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0.126</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-2.26%</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4.19%</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容载比非主导</w:t>
            </w:r>
          </w:p>
        </w:tc>
      </w:tr>
      <w:tr>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QX-00004</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1.161</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0.079</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24.43%</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-0.51%</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容载比非主导</w:t>
            </w:r>
          </w:p>
        </w:tc>
      </w:tr>
      <w:tr>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QX-00005</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1.527</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0.063</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4.21%</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6.92%</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Rcap建议不低于2.30</w:t>
            </w:r>
          </w:p>
        </w:tc>
      </w:tr>
      <w:tr>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QX-00007</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缺失</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0.021</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-5.06%</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1.34%</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容载比非主导；不作外推</w:t>
            </w:r>
          </w:p>
        </w:tc>
      </w:tr>
      <w:tr>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QX-00008</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0.673</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0.067</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-15.67%</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5.48%</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技术约束优先</w:t>
            </w:r>
          </w:p>
        </w:tc>
      </w:tr>
      <w:tr>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QX-00009</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1.003</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0.071</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-0.39%</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3.78%</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技术约束优先</w:t>
            </w:r>
          </w:p>
        </w:tc>
      </w:tr>
      <w:tr>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QX-00010</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1.599</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0.109</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17.59%</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8.76%</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技术约束优先</w:t>
            </w:r>
          </w:p>
        </w:tc>
      </w:tr>
    </w:tbl>
    <w:p>
      <w:pPr>
        <w:spacing w:before="0" w:after="0" w:line="560" w:lineRule="exact"/>
        <w:jc w:val="both"/>
        <w:ind w:firstLineChars="200" w:firstLine="200"/>
      </w:pPr>
      <w:r>
        <w:rPr>
          <w:rFonts w:ascii="Times New Roman" w:hAnsi="Times New Roman" w:eastAsia="仿宋_GB2312"/>
          <w:b w:val="0"/>
          <w:sz w:val="28"/>
        </w:rPr>
        <w:t>该体系保持正向容载比与反向承载力的概念边界：Rcap控制规划期新增变电容量，局部反向潮流通过独立指标、储能和设备条件处理；110 kV线路统计负载余度用于识别线路容量压力，不替代完整交流潮流校核。通过这种分层方式，可以先判断“技术上能否实施”，再讨论“Rcap取值是否需要调整”。</w:t>
      </w:r>
    </w:p>
    <w:p>
      <w:pPr>
        <w:pStyle w:val="4"/>
        <w:pageBreakBefore w:val="0"/>
        <w:jc w:val="left"/>
      </w:pPr>
      <w:r>
        <w:rPr>
          <w:rFonts w:ascii="Times New Roman" w:hAnsi="Times New Roman" w:eastAsia="仿宋_GB2312"/>
          <w:b/>
          <w:sz w:val="28"/>
        </w:rPr>
        <w:t>5.2.1 10 kV跨站反向功率转移约束</w:t>
      </w:r>
    </w:p>
    <w:p>
      <w:pPr>
        <w:spacing w:before="0" w:after="0" w:line="560" w:lineRule="exact"/>
        <w:jc w:val="both"/>
        <w:ind w:firstLineChars="200" w:firstLine="200"/>
      </w:pPr>
      <w:r>
        <w:rPr>
          <w:rFonts w:ascii="Times New Roman" w:hAnsi="Times New Roman" w:eastAsia="仿宋_GB2312"/>
          <w:b w:val="0"/>
          <w:sz w:val="28"/>
        </w:rPr>
        <w:t>10 kV局部互济在本研究中主要服务于高光伏条件下的反向承载压力再分配。规划决策遵循“既有联络优先、既有能力不足后再考虑新增联络”的两级逻辑：第一层优先利用已经形成物理联络条件的通道调整供电边界；第二层仅对既有联络无法承接的剩余反向功率，计算新增联络所需的最小有效容量，并筛选具备受端容量条件的相邻馈线。在约束满足的前提下，模型采用分层目标：首先最大化送端反向功率削减量，其次优先利用既有联络以减少新增工程，最后对仍需转移的剩余功率最小化新增联络有效容量。在约束满足的前提下，模型采用分层目标：首先最大化送端反向功率削减量，其次优先利用既有联络以减少新增工程，最后对仍需转移的剩余功率最小化新增联络有效容量。</w:t>
      </w:r>
    </w:p>
    <w:p>
      <w:pPr>
        <w:spacing w:before="0" w:after="0" w:line="560" w:lineRule="exact"/>
        <w:jc w:val="both"/>
        <w:ind w:firstLineChars="200" w:firstLine="200"/>
      </w:pPr>
      <w:r>
        <w:rPr>
          <w:rFonts w:ascii="Times New Roman" w:hAnsi="Times New Roman" w:eastAsia="仿宋_GB2312"/>
          <w:b w:val="0"/>
          <w:sz w:val="28"/>
        </w:rPr>
        <w:t>对既有联络e，其可用于反向功率转移的能力同时受到送端路径、受端路径和受端变电站承接能力限制。设送端、受端路径规划有效容量分别为S_e,D^eff和S_e,R^eff，受端站剩余反向承接能力为H_R，则既有联络可转移有功功率满足：</w:t>
      </w:r>
    </w:p>
    <w:p>
      <w:pPr>
        <w:keepLines/>
        <w:jc w:val="left"/>
        <w:ind w:firstLine="0" w:firstLineChars="0"/>
        <w:spacing w:line="440" w:lineRule="exact"/>
        <w:tabs>
          <w:tab w:val="center" w:pos="4100"/>
          <w:tab w:val="right" w:pos="8200"/>
        </w:tabs>
      </w:pPr>
      <w:r>
        <w:tab/>
      </w:r>
      <m:oMath>
        <m:r>
          <m:t>0</m:t>
        </m:r>
        <m:r>
          <m:rPr>
            <m:sty m:val="p"/>
          </m:rPr>
          <m:t>≤</m:t>
        </m:r>
        <m:sSub>
          <m:e>
            <m:r>
              <m:t>P</m:t>
            </m:r>
          </m:e>
          <m:sub>
            <m:r>
              <m:t>e</m:t>
            </m:r>
            <m:r>
              <m:rPr>
                <m:sty m:val="p"/>
              </m:rPr>
              <m:t>,</m:t>
            </m:r>
            <m:r>
              <m:rPr>
                <m:sty m:val="p"/>
              </m:rPr>
              <m:t>t</m:t>
            </m:r>
            <m:r>
              <m:rPr>
                <m:sty m:val="p"/>
              </m:rPr>
              <m:t>r</m:t>
            </m:r>
          </m:sub>
        </m:sSub>
        <m:r>
          <m:rPr>
            <m:sty m:val="p"/>
          </m:rPr>
          <m:t>≤</m:t>
        </m:r>
        <m:r>
          <m:rPr>
            <m:sty m:val="p"/>
          </m:rPr>
          <m:t>min</m:t>
        </m:r>
        <m:d>
          <m:dPr>
            <m:begChr m:val="("/>
            <m:endChr m:val=")"/>
            <m:sepChr m:val=""/>
            <m:grow/>
          </m:dPr>
          <m:e>
            <m:sSubSup>
              <m:e>
                <m:r>
                  <m:t>S</m:t>
                </m:r>
              </m:e>
              <m:sub>
                <m:r>
                  <m:t>e</m:t>
                </m:r>
                <m:r>
                  <m:rPr>
                    <m:sty m:val="p"/>
                  </m:rPr>
                  <m:t>,</m:t>
                </m:r>
                <m:r>
                  <m:t>D</m:t>
                </m:r>
              </m:sub>
              <m:sup>
                <m:r>
                  <m:rPr>
                    <m:sty m:val="p"/>
                  </m:rPr>
                  <m:t>e</m:t>
                </m:r>
                <m:r>
                  <m:rPr>
                    <m:sty m:val="p"/>
                  </m:rPr>
                  <m:t>f</m:t>
                </m:r>
                <m:r>
                  <m:rPr>
                    <m:sty m:val="p"/>
                  </m:rPr>
                  <m:t>f</m:t>
                </m:r>
              </m:sup>
            </m:sSubSup>
            <m:r>
              <m:rPr>
                <m:sty m:val="p"/>
              </m:rPr>
              <m:t>cos</m:t>
            </m:r>
            <m:sSub>
              <m:e>
                <m:r>
                  <m:t>φ</m:t>
                </m:r>
              </m:e>
              <m:sub>
                <m:r>
                  <m:rPr>
                    <m:sty m:val="p"/>
                  </m:rPr>
                  <m:t>t</m:t>
                </m:r>
                <m:r>
                  <m:rPr>
                    <m:sty m:val="p"/>
                  </m:rPr>
                  <m:t>r</m:t>
                </m:r>
              </m:sub>
            </m:sSub>
            <m:r>
              <m:rPr>
                <m:sty m:val="p"/>
              </m:rPr>
              <m:t>,</m:t>
            </m:r>
            <m:r>
              <m:t>β</m:t>
            </m:r>
            <m:sSubSup>
              <m:e>
                <m:r>
                  <m:t>S</m:t>
                </m:r>
              </m:e>
              <m:sub>
                <m:r>
                  <m:t>e</m:t>
                </m:r>
                <m:r>
                  <m:rPr>
                    <m:sty m:val="p"/>
                  </m:rPr>
                  <m:t>,</m:t>
                </m:r>
                <m:r>
                  <m:t>R</m:t>
                </m:r>
              </m:sub>
              <m:sup>
                <m:r>
                  <m:rPr>
                    <m:sty m:val="p"/>
                  </m:rPr>
                  <m:t>e</m:t>
                </m:r>
                <m:r>
                  <m:rPr>
                    <m:sty m:val="p"/>
                  </m:rPr>
                  <m:t>f</m:t>
                </m:r>
                <m:r>
                  <m:rPr>
                    <m:sty m:val="p"/>
                  </m:rPr>
                  <m:t>f</m:t>
                </m:r>
              </m:sup>
            </m:sSubSup>
            <m:r>
              <m:rPr>
                <m:sty m:val="p"/>
              </m:rPr>
              <m:t>cos</m:t>
            </m:r>
            <m:sSub>
              <m:e>
                <m:r>
                  <m:t>φ</m:t>
                </m:r>
              </m:e>
              <m:sub>
                <m:r>
                  <m:rPr>
                    <m:sty m:val="p"/>
                  </m:rPr>
                  <m:t>t</m:t>
                </m:r>
                <m:r>
                  <m:rPr>
                    <m:sty m:val="p"/>
                  </m:rPr>
                  <m:t>r</m:t>
                </m:r>
              </m:sub>
            </m:sSub>
            <m:r>
              <m:rPr>
                <m:sty m:val="p"/>
              </m:rPr>
              <m:t>,</m:t>
            </m:r>
            <m:sSub>
              <m:e>
                <m:r>
                  <m:t>H</m:t>
                </m:r>
              </m:e>
              <m:sub>
                <m:r>
                  <m:t>R</m:t>
                </m:r>
              </m:sub>
            </m:sSub>
          </m:e>
        </m:d>
      </m:oMath>
      <w:r>
        <w:rPr>
          <w:rFonts w:ascii="Times New Roman" w:hAnsi="Times New Roman" w:eastAsia="仿宋_GB2312"/>
          <w:b w:val="0"/>
          <w:sz w:val="28"/>
        </w:rPr>
        <w:tab/>
        <w:t>（5-1）</w:t>
      </w:r>
    </w:p>
    <w:p>
      <w:pPr>
        <w:spacing w:before="0" w:after="0" w:line="560" w:lineRule="exact"/>
        <w:jc w:val="both"/>
        <w:ind w:firstLineChars="200" w:firstLine="200"/>
      </w:pPr>
      <w:r>
        <w:rPr>
          <w:rFonts w:ascii="Times New Roman" w:hAnsi="Times New Roman" w:eastAsia="仿宋_GB2312"/>
          <w:b w:val="0"/>
          <w:sz w:val="28"/>
        </w:rPr>
        <w:t>式中，cosφtr为跨站反向功率转移的功率因数；β为反向功率通道控制系数。依据本项目专题分析采用的反向潮流控制条件，β取0.80。当前高光伏规划案例按cosφtr≈1.0进行容量换算。该80%控制线仅用于受端反向功率通道的规划筛查，不作为普通正向负荷转供的统一负载率上限，也不解释为国家或行业通用标准。</w:t>
      </w:r>
    </w:p>
    <w:p>
      <w:pPr>
        <w:spacing w:before="0" w:after="0" w:line="560" w:lineRule="exact"/>
        <w:jc w:val="both"/>
        <w:ind w:firstLineChars="200" w:firstLine="200"/>
      </w:pPr>
      <w:r>
        <w:rPr>
          <w:rFonts w:ascii="Times New Roman" w:hAnsi="Times New Roman" w:eastAsia="仿宋_GB2312"/>
          <w:b w:val="0"/>
          <w:sz w:val="28"/>
        </w:rPr>
        <w:t>供电边界重构后，送端站和受端站的净功率分别更新为：</w:t>
      </w:r>
    </w:p>
    <w:p>
      <w:pPr>
        <w:keepLines/>
        <w:jc w:val="left"/>
        <w:ind w:firstLine="0" w:firstLineChars="0"/>
        <w:spacing w:line="440" w:lineRule="exact"/>
        <w:tabs>
          <w:tab w:val="center" w:pos="4100"/>
          <w:tab w:val="right" w:pos="8200"/>
        </w:tabs>
      </w:pPr>
      <w:r>
        <w:tab/>
      </w:r>
      <m:oMath>
        <m:sSub>
          <m:e>
            <m:r>
              <m:t>P</m:t>
            </m:r>
          </m:e>
          <m:sub>
            <m:r>
              <m:t>D</m:t>
            </m:r>
          </m:sub>
        </m:sSub>
        <m:r>
          <m:rPr>
            <m:sty m:val="p"/>
          </m:rPr>
          <m:t>′</m:t>
        </m:r>
        <m:r>
          <m:rPr>
            <m:sty m:val="p"/>
          </m:rPr>
          <m:t>=</m:t>
        </m:r>
        <m:sSubSup>
          <m:e>
            <m:r>
              <m:t>P</m:t>
            </m:r>
          </m:e>
          <m:sub>
            <m:r>
              <m:t>D</m:t>
            </m:r>
          </m:sub>
          <m:sup>
            <m:r>
              <m:t>0</m:t>
            </m:r>
          </m:sup>
        </m:sSubSup>
        <m:r>
          <m:rPr>
            <m:sty m:val="p"/>
          </m:rPr>
          <m:t>+</m:t>
        </m:r>
        <m:sSub>
          <m:e>
            <m:r>
              <m:t>P</m:t>
            </m:r>
          </m:e>
          <m:sub>
            <m:r>
              <m:rPr>
                <m:sty m:val="p"/>
              </m:rPr>
              <m:t>t</m:t>
            </m:r>
            <m:r>
              <m:rPr>
                <m:sty m:val="p"/>
              </m:rPr>
              <m:t>r</m:t>
            </m:r>
          </m:sub>
        </m:sSub>
        <m:r>
          <m:rPr>
            <m:sty m:val="p"/>
          </m:rPr>
          <m:t>,</m:t>
        </m:r>
        <m:r>
          <m:t>  </m:t>
        </m:r>
        <m:sSub>
          <m:e>
            <m:r>
              <m:t>P</m:t>
            </m:r>
          </m:e>
          <m:sub>
            <m:r>
              <m:t>R</m:t>
            </m:r>
          </m:sub>
        </m:sSub>
        <m:r>
          <m:rPr>
            <m:sty m:val="p"/>
          </m:rPr>
          <m:t>′</m:t>
        </m:r>
        <m:r>
          <m:rPr>
            <m:sty m:val="p"/>
          </m:rPr>
          <m:t>=</m:t>
        </m:r>
        <m:sSubSup>
          <m:e>
            <m:r>
              <m:t>P</m:t>
            </m:r>
          </m:e>
          <m:sub>
            <m:r>
              <m:t>R</m:t>
            </m:r>
          </m:sub>
          <m:sup>
            <m:r>
              <m:t>0</m:t>
            </m:r>
          </m:sup>
        </m:sSubSup>
        <m:r>
          <m:rPr>
            <m:sty m:val="p"/>
          </m:rPr>
          <m:t>−</m:t>
        </m:r>
        <m:sSub>
          <m:e>
            <m:r>
              <m:t>P</m:t>
            </m:r>
          </m:e>
          <m:sub>
            <m:r>
              <m:rPr>
                <m:sty m:val="p"/>
              </m:rPr>
              <m:t>t</m:t>
            </m:r>
            <m:r>
              <m:rPr>
                <m:sty m:val="p"/>
              </m:rPr>
              <m:t>r</m:t>
            </m:r>
          </m:sub>
        </m:sSub>
      </m:oMath>
      <w:r>
        <w:rPr>
          <w:rFonts w:ascii="Times New Roman" w:hAnsi="Times New Roman" w:eastAsia="仿宋_GB2312"/>
          <w:b w:val="0"/>
          <w:sz w:val="28"/>
        </w:rPr>
        <w:tab/>
        <w:t>（5-2）</w:t>
      </w:r>
    </w:p>
    <w:p>
      <w:pPr>
        <w:spacing w:before="0" w:after="0" w:line="560" w:lineRule="exact"/>
        <w:jc w:val="both"/>
        <w:ind w:firstLineChars="200" w:firstLine="200"/>
      </w:pPr>
      <w:r>
        <w:rPr>
          <w:rFonts w:ascii="Times New Roman" w:hAnsi="Times New Roman" w:eastAsia="仿宋_GB2312"/>
          <w:b w:val="0"/>
          <w:sz w:val="28"/>
        </w:rPr>
        <w:t>其中规定正值为净负荷、负值为反向送电。由式（5-2）可见，跨站转移会降低送端站反向功率绝对值，同时增加受端站反向功率，因此必须同时校核“送端减压”和“受端承载”，不能将跨站转移等同于光伏消纳量增加。</w:t>
      </w:r>
    </w:p>
    <w:p>
      <w:pPr>
        <w:spacing w:before="0" w:after="0" w:line="560" w:lineRule="exact"/>
        <w:jc w:val="both"/>
        <w:ind w:firstLineChars="200" w:firstLine="200"/>
      </w:pPr>
      <w:r>
        <w:rPr>
          <w:rFonts w:ascii="Times New Roman" w:hAnsi="Times New Roman" w:eastAsia="仿宋_GB2312"/>
          <w:b w:val="0"/>
          <w:sz w:val="28"/>
        </w:rPr>
        <w:t>若高光伏场景下的净富余功率超过既有联络可承接能力，则剩余需求为：</w:t>
      </w:r>
    </w:p>
    <w:p>
      <w:pPr>
        <w:keepLines/>
        <w:jc w:val="left"/>
        <w:ind w:firstLine="0" w:firstLineChars="0"/>
        <w:spacing w:line="440" w:lineRule="exact"/>
        <w:tabs>
          <w:tab w:val="center" w:pos="4100"/>
          <w:tab w:val="right" w:pos="8200"/>
        </w:tabs>
      </w:pPr>
      <w:r>
        <w:tab/>
      </w:r>
      <m:oMath>
        <m:sSub>
          <m:e>
            <m:r>
              <m:t>G</m:t>
            </m:r>
          </m:e>
          <m:sub>
            <m:r>
              <m:rPr>
                <m:sty m:val="p"/>
              </m:rPr>
              <m:t>r</m:t>
            </m:r>
            <m:r>
              <m:rPr>
                <m:sty m:val="p"/>
              </m:rPr>
              <m:t>e</m:t>
            </m:r>
            <m:r>
              <m:rPr>
                <m:sty m:val="p"/>
              </m:rPr>
              <m:t>s</m:t>
            </m:r>
          </m:sub>
        </m:sSub>
        <m:r>
          <m:rPr>
            <m:sty m:val="p"/>
          </m:rPr>
          <m:t>=</m:t>
        </m:r>
        <m:r>
          <m:rPr>
            <m:sty m:val="p"/>
          </m:rPr>
          <m:t>max</m:t>
        </m:r>
        <m:d>
          <m:dPr>
            <m:begChr m:val="("/>
            <m:endChr m:val=")"/>
            <m:sepChr m:val=""/>
            <m:grow/>
          </m:dPr>
          <m:e>
            <m:r>
              <m:t>G</m:t>
            </m:r>
            <m:r>
              <m:rPr>
                <m:sty m:val="p"/>
              </m:rPr>
              <m:t>−</m:t>
            </m:r>
            <m:sSub>
              <m:e>
                <m:r>
                  <m:t>P</m:t>
                </m:r>
              </m:e>
              <m:sub>
                <m:r>
                  <m:t>e</m:t>
                </m:r>
                <m:r>
                  <m:rPr>
                    <m:sty m:val="p"/>
                  </m:rPr>
                  <m:t>,</m:t>
                </m:r>
                <m:r>
                  <m:rPr>
                    <m:sty m:val="p"/>
                  </m:rPr>
                  <m:t>t</m:t>
                </m:r>
                <m:r>
                  <m:rPr>
                    <m:sty m:val="p"/>
                  </m:rPr>
                  <m:t>r</m:t>
                </m:r>
              </m:sub>
            </m:sSub>
            <m:r>
              <m:rPr>
                <m:sty m:val="p"/>
              </m:rPr>
              <m:t>,</m:t>
            </m:r>
            <m:r>
              <m:t>0</m:t>
            </m:r>
          </m:e>
        </m:d>
      </m:oMath>
      <w:r>
        <w:rPr>
          <w:rFonts w:ascii="Times New Roman" w:hAnsi="Times New Roman" w:eastAsia="仿宋_GB2312"/>
          <w:b w:val="0"/>
          <w:sz w:val="28"/>
        </w:rPr>
        <w:tab/>
        <w:t>（5-3）</w:t>
      </w:r>
    </w:p>
    <w:p>
      <w:pPr>
        <w:spacing w:before="0" w:after="0" w:line="560" w:lineRule="exact"/>
        <w:jc w:val="both"/>
        <w:ind w:firstLineChars="200" w:firstLine="200"/>
      </w:pPr>
      <w:r>
        <w:rPr>
          <w:rFonts w:ascii="Times New Roman" w:hAnsi="Times New Roman" w:eastAsia="仿宋_GB2312"/>
          <w:b w:val="0"/>
          <w:sz w:val="28"/>
        </w:rPr>
        <w:t>当仍存在正的剩余转移需求且相邻站仍有承接空间时，进入新增联络层。按相同反向通道控制口径，新联络所需的最小规划有效容量为：</w:t>
      </w:r>
    </w:p>
    <w:p>
      <w:pPr>
        <w:keepLines/>
        <w:jc w:val="left"/>
        <w:ind w:firstLine="0" w:firstLineChars="0"/>
        <w:spacing w:line="440" w:lineRule="exact"/>
        <w:tabs>
          <w:tab w:val="center" w:pos="4100"/>
          <w:tab w:val="right" w:pos="8200"/>
        </w:tabs>
      </w:pPr>
      <w:r>
        <w:tab/>
      </w:r>
      <m:oMath>
        <m:sSubSup>
          <m:e>
            <m:r>
              <m:t>S</m:t>
            </m:r>
          </m:e>
          <m:sub>
            <m:r>
              <m:rPr>
                <m:sty m:val="p"/>
              </m:rPr>
              <m:t>n</m:t>
            </m:r>
            <m:r>
              <m:rPr>
                <m:sty m:val="p"/>
              </m:rPr>
              <m:t>e</m:t>
            </m:r>
            <m:r>
              <m:rPr>
                <m:sty m:val="p"/>
              </m:rPr>
              <m:t>w</m:t>
            </m:r>
          </m:sub>
          <m:sup>
            <m:r>
              <m:rPr>
                <m:sty m:val="p"/>
              </m:rPr>
              <m:t>min</m:t>
            </m:r>
          </m:sup>
        </m:sSubSup>
        <m:r>
          <m:rPr>
            <m:sty m:val="p"/>
          </m:rPr>
          <m:t>=</m:t>
        </m:r>
        <m:f>
          <m:fPr>
            <m:type m:val="bar"/>
          </m:fPr>
          <m:num>
            <m:sSub>
              <m:e>
                <m:r>
                  <m:t>G</m:t>
                </m:r>
              </m:e>
              <m:sub>
                <m:r>
                  <m:rPr>
                    <m:sty m:val="p"/>
                  </m:rPr>
                  <m:t>r</m:t>
                </m:r>
                <m:r>
                  <m:rPr>
                    <m:sty m:val="p"/>
                  </m:rPr>
                  <m:t>e</m:t>
                </m:r>
                <m:r>
                  <m:rPr>
                    <m:sty m:val="p"/>
                  </m:rPr>
                  <m:t>s</m:t>
                </m:r>
              </m:sub>
            </m:sSub>
          </m:num>
          <m:den>
            <m:r>
              <m:t>β</m:t>
            </m:r>
            <m:r>
              <m:rPr>
                <m:sty m:val="p"/>
              </m:rPr>
              <m:t>cos</m:t>
            </m:r>
            <m:sSub>
              <m:e>
                <m:r>
                  <m:t>φ</m:t>
                </m:r>
              </m:e>
              <m:sub>
                <m:r>
                  <m:rPr>
                    <m:sty m:val="p"/>
                  </m:rPr>
                  <m:t>t</m:t>
                </m:r>
                <m:r>
                  <m:rPr>
                    <m:sty m:val="p"/>
                  </m:rPr>
                  <m:t>r</m:t>
                </m:r>
              </m:sub>
            </m:sSub>
          </m:den>
        </m:f>
      </m:oMath>
      <w:r>
        <w:rPr>
          <w:rFonts w:ascii="Times New Roman" w:hAnsi="Times New Roman" w:eastAsia="仿宋_GB2312"/>
          <w:b w:val="0"/>
          <w:sz w:val="28"/>
        </w:rPr>
        <w:tab/>
        <w:t>（5-4）</w:t>
      </w:r>
    </w:p>
    <w:p>
      <w:pPr>
        <w:spacing w:before="0" w:after="0" w:line="560" w:lineRule="exact"/>
        <w:jc w:val="both"/>
        <w:ind w:firstLineChars="200" w:firstLine="200"/>
      </w:pPr>
      <w:r>
        <w:rPr>
          <w:rFonts w:ascii="Times New Roman" w:hAnsi="Times New Roman" w:eastAsia="仿宋_GB2312"/>
          <w:b w:val="0"/>
          <w:sz w:val="28"/>
        </w:rPr>
        <w:t>式（5-4）给出了由剩余有功转移需求反推新增联络容量的统一换算关系；当前案例取cosφtr≈1.0，因此所得MVA值可近似作为相应MW有功转移需求在80%控制条件下的有效容量下限。式（5-5）按高光伏反向功率功率因数近似1.0进行规划级容量换算，因此所得MVA值可作为相应有功转移需求的有效容量下限。该结果用于确定新增联络的容量等级和候选受端馈线，不直接等同于具体线路型号、线路长度或工程投资。由于当前缺少候选接入点GIS坐标和线路廊道，本研究不虚构新建线路的最短路径和工程长度；若后续进入工程选线阶段，应进一步结合接入点—站端全过程径、电压偏差、短路电流、保护配置和建设条件开展专项设计。</w:t>
      </w:r>
    </w:p>
    <w:p>
      <w:pPr>
        <w:spacing w:before="0" w:after="0" w:line="560" w:lineRule="exact"/>
        <w:jc w:val="both"/>
        <w:ind w:firstLineChars="200" w:firstLine="200"/>
      </w:pPr>
      <w:r>
        <w:rPr>
          <w:rFonts w:ascii="Times New Roman" w:hAnsi="Times New Roman" w:eastAsia="仿宋_GB2312"/>
          <w:b w:val="0"/>
          <w:sz w:val="28"/>
        </w:rPr>
        <w:t>拓扑方面，模型只要求重构后保持单电源辐射运行，不允许两个110 kV电源经10 kV网络直接并列。分段开关、联络开关的实时状态以及具体倒闸顺序不作为规划模型的阻塞输入；其工程作用统一抽象为“具备或可通过工程措施形成必要的供电边界切换能力”。故障后的负荷转供仍是联络网架的附加可靠性价值，但不作为本专题的主要优化目标。</w:t>
      </w:r>
    </w:p>
    <w:p>
      <w:pPr>
        <w:pStyle w:val="3"/>
        <w:pageBreakBefore w:val="0"/>
        <w:jc w:val="left"/>
      </w:pPr>
      <w:bookmarkStart w:id="23" w:name="_TocReport0023"/>
      <w:r>
        <w:rPr>
          <w:rFonts w:ascii="Times New Roman" w:hAnsi="Times New Roman" w:eastAsia="仿宋_GB2312"/>
          <w:b/>
          <w:sz w:val="28"/>
        </w:rPr>
        <w:t>5.3 基于层次分析法的指标赋权</w:t>
      </w:r>
      <w:bookmarkEnd w:id="23"/>
    </w:p>
    <w:p>
      <w:pPr>
        <w:spacing w:before="0" w:after="0" w:line="560" w:lineRule="exact"/>
        <w:jc w:val="both"/>
        <w:ind w:firstLineChars="200" w:firstLine="200"/>
      </w:pPr>
      <w:r>
        <w:rPr>
          <w:rFonts w:ascii="Times New Roman" w:hAnsi="Times New Roman" w:eastAsia="仿宋_GB2312"/>
          <w:b w:val="0"/>
          <w:sz w:val="28"/>
        </w:rPr>
        <w:t>层次分析法用于组织多指标决策时，通常需要由具有实际工程经验的专家对指标重要性进行两两比较，形成判断矩阵，再通过最大特征根法计算权重并进行一致性检验。对n阶判断矩阵，其一致性指标和一致性比率分别为：</w:t>
      </w:r>
    </w:p>
    <w:p>
      <w:pPr>
        <w:keepLines/>
        <w:jc w:val="left"/>
        <w:ind w:firstLine="0" w:firstLineChars="0"/>
        <w:spacing w:line="440" w:lineRule="exact"/>
        <w:tabs>
          <w:tab w:val="center" w:pos="4100"/>
          <w:tab w:val="right" w:pos="8200"/>
        </w:tabs>
      </w:pPr>
      <w:r>
        <w:tab/>
      </w:r>
      <m:oMath>
        <m:r>
          <m:t>C</m:t>
        </m:r>
        <m:r>
          <m:t>I</m:t>
        </m:r>
        <m:r>
          <m:rPr>
            <m:sty m:val="p"/>
          </m:rPr>
          <m:t>=</m:t>
        </m:r>
        <m:f>
          <m:fPr>
            <m:type m:val="bar"/>
          </m:fPr>
          <m:num>
            <m:sSub>
              <m:e>
                <m:r>
                  <m:t>λ</m:t>
                </m:r>
              </m:e>
              <m:sub>
                <m:r>
                  <m:rPr>
                    <m:sty m:val="p"/>
                  </m:rPr>
                  <m:t>max</m:t>
                </m:r>
              </m:sub>
            </m:sSub>
            <m:r>
              <m:rPr>
                <m:sty m:val="p"/>
              </m:rPr>
              <m:t>−</m:t>
            </m:r>
            <m:r>
              <m:t>n</m:t>
            </m:r>
          </m:num>
          <m:den>
            <m:r>
              <m:t>n</m:t>
            </m:r>
            <m:r>
              <m:rPr>
                <m:sty m:val="p"/>
              </m:rPr>
              <m:t>−</m:t>
            </m:r>
            <m:r>
              <m:t>1</m:t>
            </m:r>
          </m:den>
        </m:f>
        <m:r>
          <m:rPr>
            <m:sty m:val="p"/>
          </m:rPr>
          <m:t>,</m:t>
        </m:r>
        <m:r>
          <m:t>  </m:t>
        </m:r>
        <m:r>
          <m:t>C</m:t>
        </m:r>
        <m:r>
          <m:t>R</m:t>
        </m:r>
        <m:r>
          <m:rPr>
            <m:sty m:val="p"/>
          </m:rPr>
          <m:t>=</m:t>
        </m:r>
        <m:f>
          <m:fPr>
            <m:type m:val="bar"/>
          </m:fPr>
          <m:num>
            <m:r>
              <m:t>C</m:t>
            </m:r>
            <m:r>
              <m:t>I</m:t>
            </m:r>
          </m:num>
          <m:den>
            <m:r>
              <m:t>R</m:t>
            </m:r>
            <m:r>
              <m:t>I</m:t>
            </m:r>
          </m:den>
        </m:f>
      </m:oMath>
      <w:r>
        <w:rPr>
          <w:rFonts w:ascii="Times New Roman" w:hAnsi="Times New Roman" w:eastAsia="仿宋_GB2312"/>
          <w:b w:val="0"/>
          <w:sz w:val="28"/>
        </w:rPr>
        <w:tab/>
        <w:t>（5-5）</w:t>
      </w:r>
    </w:p>
    <w:p>
      <w:pPr>
        <w:spacing w:before="0" w:after="0" w:line="560" w:lineRule="exact"/>
        <w:jc w:val="both"/>
        <w:ind w:firstLineChars="200" w:firstLine="200"/>
      </w:pPr>
      <w:r>
        <w:rPr>
          <w:rFonts w:ascii="Times New Roman" w:hAnsi="Times New Roman" w:eastAsia="仿宋_GB2312"/>
          <w:b w:val="0"/>
          <w:sz w:val="28"/>
        </w:rPr>
        <w:t>当CR小于0.10时，通常认为判断矩阵的一致性可以接受。</w:t>
      </w:r>
    </w:p>
    <w:p>
      <w:pPr>
        <w:spacing w:before="0" w:after="0" w:line="560" w:lineRule="exact"/>
        <w:jc w:val="both"/>
        <w:ind w:firstLineChars="200" w:firstLine="200"/>
      </w:pPr>
      <w:r>
        <w:rPr>
          <w:rFonts w:ascii="Times New Roman" w:hAnsi="Times New Roman" w:eastAsia="仿宋_GB2312"/>
          <w:b w:val="0"/>
          <w:sz w:val="28"/>
        </w:rPr>
        <w:t>结合本项目的实际数据与优化结果，AHP更适合作为片区特征组织和工程人员辅助判断的工具，而不宜直接替代Rcap专项优化。原因在于，QX-00001和QX-00005的2.50、2.30建议下限来自工程约束下的Rcap扫描、局部阈值细化和敏感性分析，并不是由4项指标加权求和得到。若在缺少专家确认的情况下直接设置权重，再反推Rcap数值，会改变原有的工程因果关系。</w:t>
      </w:r>
    </w:p>
    <w:p>
      <w:pPr>
        <w:spacing w:before="0" w:after="0" w:line="560" w:lineRule="exact"/>
        <w:jc w:val="both"/>
        <w:ind w:firstLineChars="200" w:firstLine="200"/>
      </w:pPr>
      <w:r>
        <w:rPr>
          <w:rFonts w:ascii="Times New Roman" w:hAnsi="Times New Roman" w:eastAsia="仿宋_GB2312"/>
          <w:b w:val="0"/>
          <w:sz w:val="28"/>
        </w:rPr>
        <w:t>目前尚未形成由规划、运行和设计专业共同确认的AHP判断矩阵。因此，本报告不虚构具体AHP权重值，也不以未经专家确认的权重修改现有Rcap结果。后续如组织专家赋权，可将目标层设为“片区弹性容载比规划适用性”，准则层对应源荷规模、局部反向压力、线路统计负载余度和正向负荷增长四类信息。AHP结果可用于相似片区筛选、信息采集优先级和规划人员辅助判断，最终Rcap仍应通过专项优化确认。</w:t>
      </w:r>
    </w:p>
    <w:p>
      <w:pPr>
        <w:pStyle w:val="3"/>
        <w:pageBreakBefore w:val="0"/>
        <w:jc w:val="left"/>
      </w:pPr>
      <w:bookmarkStart w:id="24" w:name="_TocReport0024"/>
      <w:r>
        <w:rPr>
          <w:rFonts w:ascii="Times New Roman" w:hAnsi="Times New Roman" w:eastAsia="仿宋_GB2312"/>
          <w:b/>
          <w:sz w:val="28"/>
        </w:rPr>
        <w:t>5.4 不同片区类型的容载比推荐区间及技术方案组合</w:t>
      </w:r>
      <w:bookmarkEnd w:id="24"/>
    </w:p>
    <w:p>
      <w:pPr>
        <w:spacing w:before="0" w:after="0" w:line="560" w:lineRule="exact"/>
        <w:jc w:val="both"/>
        <w:ind w:firstLineChars="200" w:firstLine="200"/>
      </w:pPr>
      <w:r>
        <w:rPr>
          <w:rFonts w:ascii="Times New Roman" w:hAnsi="Times New Roman" w:eastAsia="仿宋_GB2312"/>
          <w:b w:val="0"/>
          <w:sz w:val="28"/>
        </w:rPr>
        <w:t>敏感性分析共覆盖17个情景，其中包含6个联合压力角点。对各情景5%近优Rcap集合求共同区间后，QX-00001的稳健近优下限为2.50，QX-00005为2.30；两者的近优集合均延伸至扫描上界3.0，因此现有结果只能识别建议下限，尚不能确定推荐上限。</w:t>
      </w:r>
    </w:p>
    <w:p>
      <w:pPr>
        <w:spacing w:before="0" w:after="0" w:line="560" w:lineRule="exact"/>
        <w:jc w:val="both"/>
        <w:ind w:firstLineChars="200" w:firstLine="200"/>
      </w:pPr>
      <w:r>
        <w:rPr>
          <w:rFonts w:ascii="Times New Roman" w:hAnsi="Times New Roman" w:eastAsia="仿宋_GB2312"/>
          <w:b w:val="0"/>
          <w:sz w:val="28"/>
        </w:rPr>
        <w:t>结合规划响应，典型片区可划分为三类。第一类为经济释放阈值型，Rcap变化会显著改变变电扩建与储能之间的措施组合；第二类为容载比非主导型，在研究范围内调整Rcap并不改变主要规划方案；第三类为技术约束优先型，即使放开Rcap，仍需先解决设备、网络、接入或时序条件。由于当前只有QX-00001和QX-00005两个片区形成数值型Rcap建议，现有样本不能形成具有外推能力的连续四维区间。因此，表5-2定位为弹性容载比样本支持参考矩阵，而不是可直接套用的通用分区标准。</w:t>
      </w:r>
    </w:p>
    <w:p>
      <w:pPr>
        <w:pStyle w:val="12"/>
        <w:keepNext/>
        <w:spacing w:before="120" w:after="60" w:line="400" w:lineRule="exact"/>
        <w:jc w:val="center"/>
        <w:ind w:firstLine="0" w:firstLineChars="0"/>
      </w:pPr>
      <w:r>
        <w:rPr>
          <w:rFonts w:ascii="Times New Roman" w:hAnsi="Times New Roman" w:eastAsia="仿宋_GB2312"/>
          <w:b w:val="0"/>
          <w:sz w:val="24"/>
        </w:rPr>
        <w:t>表 5-2 弹性容载比样本支持参考矩阵</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87"/>
        <w:gridCol w:w="1187"/>
        <w:gridCol w:w="1187"/>
        <w:gridCol w:w="1187"/>
        <w:gridCol w:w="1187"/>
        <w:gridCol w:w="1187"/>
        <w:gridCol w:w="1187"/>
      </w:tblGrid>
      <w:tr>
        <w:trPr>
          <w:cantSplit/>
          <w:tblHeader w:val="true"/>
        </w:trPr>
        <w:tc>
          <w:tcPr>
            <w:tcW w:type="dxa" w:w="1187"/>
            <w:vAlign w:val="center"/>
          </w:tcPr>
          <w:p>
            <w:pPr>
              <w:pStyle w:val="97"/>
              <w:jc w:val="center"/>
              <w:spacing w:before="0" w:after="0" w:line="360" w:lineRule="exact"/>
              <w:ind w:firstLine="0" w:firstLineChars="0"/>
            </w:pPr>
            <w:r>
              <w:rPr>
                <w:rFonts w:ascii="Times New Roman" w:hAnsi="Times New Roman" w:eastAsia="仿宋_GB2312"/>
                <w:b/>
                <w:sz w:val="24"/>
              </w:rPr>
              <w:t>应用条件</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sz w:val="24"/>
              </w:rPr>
              <w:t>现状源荷规模比</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sz w:val="24"/>
              </w:rPr>
              <w:t>局部最大反向潮流比例</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sz w:val="24"/>
              </w:rPr>
              <w:t>线路统计负载余度</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sz w:val="24"/>
              </w:rPr>
              <w:t>正向峰值负荷年均变化率</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sz w:val="24"/>
              </w:rPr>
              <w:t>建议与技术方案</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sz w:val="24"/>
              </w:rPr>
              <w:t>当前样本</w:t>
            </w:r>
          </w:p>
        </w:tc>
      </w:tr>
      <w:tr>
        <w:trPr/>
        <w:tc>
          <w:tcPr>
            <w:tcW w:type="dxa" w:w="1187"/>
            <w:vAlign w:val="center"/>
          </w:tcPr>
          <w:p>
            <w:pPr>
              <w:pStyle w:val="97"/>
              <w:jc w:val="left"/>
              <w:spacing w:before="0" w:after="0" w:line="360" w:lineRule="exact"/>
              <w:ind w:firstLine="0" w:firstLineChars="0"/>
            </w:pPr>
            <w:r>
              <w:rPr>
                <w:rFonts w:ascii="Times New Roman" w:hAnsi="Times New Roman" w:eastAsia="仿宋_GB2312"/>
                <w:b w:val="0"/>
                <w:sz w:val="24"/>
              </w:rPr>
              <w:t>技术可行；当前样本点</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0.973</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0.088</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11.36%</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6.22%</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Rcap建议不低于2.50；扩建与储能协同</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QX-00001</w:t>
            </w:r>
          </w:p>
        </w:tc>
      </w:tr>
      <w:tr>
        <w:trPr/>
        <w:tc>
          <w:tcPr>
            <w:tcW w:type="dxa" w:w="1187"/>
            <w:vAlign w:val="center"/>
          </w:tcPr>
          <w:p>
            <w:pPr>
              <w:pStyle w:val="97"/>
              <w:jc w:val="left"/>
              <w:spacing w:before="0" w:after="0" w:line="360" w:lineRule="exact"/>
              <w:ind w:firstLine="0" w:firstLineChars="0"/>
            </w:pPr>
            <w:r>
              <w:rPr>
                <w:rFonts w:ascii="Times New Roman" w:hAnsi="Times New Roman" w:eastAsia="仿宋_GB2312"/>
                <w:b w:val="0"/>
                <w:sz w:val="24"/>
              </w:rPr>
              <w:t>技术可行；当前样本点</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1.527</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0.063</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4.21%</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6.92%</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Rcap建议不低于2.30；扩建与储能协同</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QX-00005</w:t>
            </w:r>
          </w:p>
        </w:tc>
      </w:tr>
      <w:tr>
        <w:trPr/>
        <w:tc>
          <w:tcPr>
            <w:tcW w:type="dxa" w:w="1187"/>
            <w:vAlign w:val="center"/>
          </w:tcPr>
          <w:p>
            <w:pPr>
              <w:pStyle w:val="97"/>
              <w:jc w:val="left"/>
              <w:spacing w:before="0" w:after="0" w:line="360" w:lineRule="exact"/>
              <w:ind w:firstLine="0" w:firstLineChars="0"/>
            </w:pPr>
            <w:r>
              <w:rPr>
                <w:rFonts w:ascii="Times New Roman" w:hAnsi="Times New Roman" w:eastAsia="仿宋_GB2312"/>
                <w:b w:val="0"/>
                <w:sz w:val="24"/>
              </w:rPr>
              <w:t>技术可行；当前样本点</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1.523</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0.126</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-2.26%</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4.19%</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Rcap非主导；按常规规划及局部技术条件处理</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QX-00003</w:t>
            </w:r>
          </w:p>
        </w:tc>
      </w:tr>
      <w:tr>
        <w:trPr/>
        <w:tc>
          <w:tcPr>
            <w:tcW w:type="dxa" w:w="1187"/>
            <w:vAlign w:val="center"/>
          </w:tcPr>
          <w:p>
            <w:pPr>
              <w:pStyle w:val="97"/>
              <w:jc w:val="left"/>
              <w:spacing w:before="0" w:after="0" w:line="360" w:lineRule="exact"/>
              <w:ind w:firstLine="0" w:firstLineChars="0"/>
            </w:pPr>
            <w:r>
              <w:rPr>
                <w:rFonts w:ascii="Times New Roman" w:hAnsi="Times New Roman" w:eastAsia="仿宋_GB2312"/>
                <w:b w:val="0"/>
                <w:sz w:val="24"/>
              </w:rPr>
              <w:t>技术可行；当前样本点</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1.161</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0.079</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24.43%</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-0.51%</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Rcap非主导；按常规规划处理</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QX-00004</w:t>
            </w:r>
          </w:p>
        </w:tc>
      </w:tr>
      <w:tr>
        <w:trPr/>
        <w:tc>
          <w:tcPr>
            <w:tcW w:type="dxa" w:w="1187"/>
            <w:vAlign w:val="center"/>
          </w:tcPr>
          <w:p>
            <w:pPr>
              <w:pStyle w:val="97"/>
              <w:jc w:val="left"/>
              <w:spacing w:before="0" w:after="0" w:line="360" w:lineRule="exact"/>
              <w:ind w:firstLine="0" w:firstLineChars="0"/>
            </w:pPr>
            <w:r>
              <w:rPr>
                <w:rFonts w:ascii="Times New Roman" w:hAnsi="Times New Roman" w:eastAsia="仿宋_GB2312"/>
                <w:b w:val="0"/>
                <w:sz w:val="24"/>
              </w:rPr>
              <w:t>核心指标缺失</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缺失</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补充数据后开展专项优化</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QX-00007</w:t>
            </w:r>
          </w:p>
        </w:tc>
      </w:tr>
      <w:tr>
        <w:trPr/>
        <w:tc>
          <w:tcPr>
            <w:tcW w:type="dxa" w:w="1187"/>
            <w:vAlign w:val="center"/>
          </w:tcPr>
          <w:p>
            <w:pPr>
              <w:pStyle w:val="97"/>
              <w:jc w:val="left"/>
              <w:spacing w:before="0" w:after="0" w:line="360" w:lineRule="exact"/>
              <w:ind w:firstLine="0" w:firstLineChars="0"/>
            </w:pPr>
            <w:r>
              <w:rPr>
                <w:rFonts w:ascii="Times New Roman" w:hAnsi="Times New Roman" w:eastAsia="仿宋_GB2312"/>
                <w:b w:val="0"/>
                <w:sz w:val="24"/>
              </w:rPr>
              <w:t>完整技术可行性未满足</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不作为判定条件</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不作为判定条件</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专项校核</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不作为判定条件</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技术约束优先，先解决设备、接入或网络问题</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QX-00008、QX-00009、QX-00010</w:t>
            </w:r>
          </w:p>
        </w:tc>
      </w:tr>
      <w:tr>
        <w:trPr/>
        <w:tc>
          <w:tcPr>
            <w:tcW w:type="dxa" w:w="1187"/>
            <w:vAlign w:val="center"/>
          </w:tcPr>
          <w:p>
            <w:pPr>
              <w:pStyle w:val="97"/>
              <w:jc w:val="left"/>
              <w:spacing w:before="0" w:after="0" w:line="360" w:lineRule="exact"/>
              <w:ind w:firstLine="0" w:firstLineChars="0"/>
            </w:pPr>
            <w:r>
              <w:rPr>
                <w:rFonts w:ascii="Times New Roman" w:hAnsi="Times New Roman" w:eastAsia="仿宋_GB2312"/>
                <w:b w:val="0"/>
                <w:sz w:val="24"/>
              </w:rPr>
              <w:t>未覆盖组合</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其他</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其他</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其他</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其他</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开展专项Rcap扫描与工程优化</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当前无样本</w:t>
            </w:r>
          </w:p>
        </w:tc>
      </w:tr>
    </w:tbl>
    <w:p>
      <w:pPr>
        <w:pStyle w:val="38"/>
        <w:jc w:val="center"/>
        <w:keepNext/>
        <w:keepLines/>
        <w:ind w:firstLine="0" w:firstLineChars="0"/>
      </w:pPr>
      <w:r>
        <w:drawing>
          <wp:inline xmlns:a="http://schemas.openxmlformats.org/drawingml/2006/main" xmlns:pic="http://schemas.openxmlformats.org/drawingml/2006/picture">
            <wp:extent cx="4968000" cy="5851200"/>
            <wp:docPr id="6" name="Picture 6"/>
            <wp:cNvGraphicFramePr>
              <a:graphicFrameLocks noChangeAspect="1"/>
            </wp:cNvGraphicFramePr>
            <a:graphic>
              <a:graphicData uri="http://schemas.openxmlformats.org/drawingml/2006/picture">
                <pic:pic>
                  <pic:nvPicPr>
                    <pic:cNvPr id="0" name="图8-1_工程应用流程.png"/>
                    <pic:cNvPicPr/>
                  </pic:nvPicPr>
                  <pic:blipFill>
                    <a:blip r:embed="rId18"/>
                    <a:stretch>
                      <a:fillRect/>
                    </a:stretch>
                  </pic:blipFill>
                  <pic:spPr>
                    <a:xfrm>
                      <a:off x="0" y="0"/>
                      <a:ext cx="4968000" cy="5851200"/>
                    </a:xfrm>
                    <a:prstGeom prst="rect"/>
                  </pic:spPr>
                </pic:pic>
              </a:graphicData>
            </a:graphic>
          </wp:inline>
        </w:drawing>
      </w:r>
    </w:p>
    <w:p>
      <w:pPr>
        <w:pStyle w:val="12"/>
        <w:keepNext w:val="0"/>
        <w:spacing w:before="0" w:after="120" w:line="400" w:lineRule="exact"/>
        <w:jc w:val="center"/>
        <w:ind w:firstLine="0" w:firstLineChars="0"/>
      </w:pPr>
      <w:r>
        <w:rPr>
          <w:rFonts w:ascii="Times New Roman" w:hAnsi="Times New Roman" w:eastAsia="仿宋_GB2312"/>
          <w:b w:val="0"/>
          <w:sz w:val="24"/>
        </w:rPr>
        <w:t>图 5-1 弹性容载比工程应用流程</w:t>
      </w:r>
    </w:p>
    <w:p>
      <w:pPr>
        <w:spacing w:before="0" w:after="0" w:line="560" w:lineRule="exact"/>
        <w:jc w:val="both"/>
        <w:ind w:firstLineChars="200" w:firstLine="200"/>
      </w:pPr>
      <w:r>
        <w:rPr>
          <w:rFonts w:ascii="Times New Roman" w:hAnsi="Times New Roman" w:eastAsia="仿宋_GB2312"/>
          <w:b w:val="0"/>
          <w:sz w:val="28"/>
        </w:rPr>
        <w:t>图5-1给出了工程应用顺序。新片区应先完成技术可行性校核，再计算4项核心指标并查找可比样本。与QX-00001或QX-00005特征相近时，2.50或2.30仅作为Rcap专项扫描起点，不能直接作为最终控制值。变电扩建、储能及10 kV供电边界重构等措施应针对片区主导矛盾组合配置；故障转供仅作为联络网架的附加可靠性价值。</w:t>
      </w:r>
    </w:p>
    <w:p>
      <w:pPr>
        <w:pStyle w:val="2"/>
        <w:pageBreakBefore/>
        <w:jc w:val="left"/>
      </w:pPr>
      <w:bookmarkStart w:id="25" w:name="_TocReport0025"/>
      <w:r>
        <w:rPr>
          <w:rFonts w:ascii="Times New Roman" w:hAnsi="Times New Roman" w:eastAsia="仿宋_GB2312"/>
          <w:b/>
          <w:sz w:val="36"/>
        </w:rPr>
        <w:t>第六章 典型案例验证</w:t>
      </w:r>
      <w:bookmarkEnd w:id="25"/>
    </w:p>
    <w:p>
      <w:pPr>
        <w:pStyle w:val="3"/>
        <w:pageBreakBefore w:val="0"/>
        <w:jc w:val="left"/>
      </w:pPr>
      <w:bookmarkStart w:id="26" w:name="_TocReport0026"/>
      <w:r>
        <w:rPr>
          <w:rFonts w:ascii="Times New Roman" w:hAnsi="Times New Roman" w:eastAsia="仿宋_GB2312"/>
          <w:b/>
          <w:sz w:val="28"/>
        </w:rPr>
        <w:t>6.1 刚性规划方案复盘（以某高渗透率片区为例）</w:t>
      </w:r>
      <w:bookmarkEnd w:id="26"/>
    </w:p>
    <w:p>
      <w:pPr>
        <w:spacing w:before="0" w:after="0" w:line="560" w:lineRule="exact"/>
        <w:jc w:val="both"/>
        <w:ind w:firstLineChars="200" w:firstLine="200"/>
      </w:pPr>
      <w:r>
        <w:rPr>
          <w:rFonts w:ascii="Times New Roman" w:hAnsi="Times New Roman" w:eastAsia="仿宋_GB2312"/>
          <w:b w:val="0"/>
          <w:sz w:val="28"/>
        </w:rPr>
        <w:t>选取QX-00005作为110 kV层面的主要验证案例。该片区现状源荷规模比为1.527，正向峰值负荷年均变化率为6.92%，同时具备2025年8760小时连续运行时序，是当前样本中储能时序证据最完整的高渗透片区。</w:t>
      </w:r>
    </w:p>
    <w:p>
      <w:pPr>
        <w:spacing w:before="0" w:after="0" w:line="560" w:lineRule="exact"/>
        <w:jc w:val="both"/>
        <w:ind w:firstLineChars="200" w:firstLine="200"/>
      </w:pPr>
      <w:r>
        <w:rPr>
          <w:rFonts w:ascii="Times New Roman" w:hAnsi="Times New Roman" w:eastAsia="仿宋_GB2312"/>
          <w:b w:val="0"/>
          <w:sz w:val="28"/>
        </w:rPr>
        <w:t>在Rcap=2.0条件下，存量容量豁免后允许新增的变电容量不足以支持50 MVA扩建方案。为满足正向容量、局部功率调节及时序运行约束，2025年需配置962个储能模块，对应96.2 MW/206.830 MWh，2022—2025年规划期累计在役等年成本达到3359.0522万元。</w:t>
      </w:r>
    </w:p>
    <w:p>
      <w:pPr>
        <w:spacing w:before="0" w:after="0" w:line="560" w:lineRule="exact"/>
        <w:jc w:val="both"/>
        <w:ind w:firstLineChars="200" w:firstLine="200"/>
      </w:pPr>
      <w:r>
        <w:rPr>
          <w:rFonts w:ascii="Times New Roman" w:hAnsi="Times New Roman" w:eastAsia="仿宋_GB2312"/>
          <w:b w:val="0"/>
          <w:sz w:val="28"/>
        </w:rPr>
        <w:t>该结果说明，刚性控制的主要影响并不是简单降低实际物理容载比，而是限制了规划期新增变电容量的选择空间，并将更多调节任务转移给储能。对于正向负荷持续增长且具备扩建条件的片区，这种措施替代可能带来较高的经济代价。</w:t>
      </w:r>
    </w:p>
    <w:p>
      <w:pPr>
        <w:pStyle w:val="3"/>
        <w:pageBreakBefore w:val="0"/>
        <w:jc w:val="left"/>
      </w:pPr>
      <w:bookmarkStart w:id="27" w:name="_TocReport0027"/>
      <w:r>
        <w:rPr>
          <w:rFonts w:ascii="Times New Roman" w:hAnsi="Times New Roman" w:eastAsia="仿宋_GB2312"/>
          <w:b/>
          <w:sz w:val="28"/>
        </w:rPr>
        <w:t>6.2 含反向承载力校核的弹性容载比方案设计与对比</w:t>
      </w:r>
      <w:bookmarkEnd w:id="27"/>
    </w:p>
    <w:p>
      <w:pPr>
        <w:spacing w:before="0" w:after="0" w:line="560" w:lineRule="exact"/>
        <w:jc w:val="both"/>
        <w:ind w:firstLineChars="200" w:firstLine="200"/>
      </w:pPr>
      <w:r>
        <w:rPr>
          <w:rFonts w:ascii="Times New Roman" w:hAnsi="Times New Roman" w:eastAsia="仿宋_GB2312"/>
          <w:b w:val="0"/>
          <w:sz w:val="28"/>
        </w:rPr>
        <w:t>在不施加Rcap上限的对照方案中，QX-00005新增50 MVA变电容量，2025年储能规模降至465个模块，对应46.5 MW/99.975 MWh，实际物理容载比为2.1715720，规划期累计在役等年成本为1745.5283万元。与Rcap=2.0方案相比，储能减少497个模块，功率减少49.7 MW，容量减少106.855 MWh，规划期累计在役等年成本减少1613.5239万元。</w:t>
      </w:r>
    </w:p>
    <w:p>
      <w:pPr>
        <w:spacing w:before="0" w:after="0" w:line="560" w:lineRule="exact"/>
        <w:jc w:val="both"/>
        <w:ind w:firstLineChars="200" w:firstLine="200"/>
      </w:pPr>
      <w:r>
        <w:rPr>
          <w:rFonts w:ascii="Times New Roman" w:hAnsi="Times New Roman" w:eastAsia="仿宋_GB2312"/>
          <w:b w:val="0"/>
          <w:sz w:val="28"/>
        </w:rPr>
        <w:t>局部细化计算表明，QX-00005的经济释放阈值为2.171～2.172；进一步考虑经济参数、功率因数、反向潮流允许水平、净负荷尺度和工程成本变化后，5%近优集合的稳健下限为2.30。该下限高于单一基准情景的局部释放位置，为多参数变化预留了规划余量。两种方案的主要结果见表6-1。</w:t>
      </w:r>
    </w:p>
    <w:p>
      <w:pPr>
        <w:pStyle w:val="12"/>
        <w:keepNext/>
        <w:spacing w:before="120" w:after="60" w:line="400" w:lineRule="exact"/>
        <w:jc w:val="center"/>
        <w:ind w:firstLine="0" w:firstLineChars="0"/>
      </w:pPr>
      <w:r>
        <w:rPr>
          <w:rFonts w:ascii="Times New Roman" w:hAnsi="Times New Roman" w:eastAsia="仿宋_GB2312"/>
          <w:b w:val="0"/>
          <w:sz w:val="24"/>
        </w:rPr>
        <w:t>表 6-1 QX-00005刚性与弹性方案验证结果</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rPr>
          <w:cantSplit/>
          <w:tblHeader w:val="true"/>
        </w:trPr>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指标</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Rcap=2.0刚性方案</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不施加Rcap上限方案</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对比结果</w:t>
            </w:r>
          </w:p>
        </w:tc>
      </w:tr>
      <w:tr>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2025年实际物理容载比</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2.1192953</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2.1715720</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弹性方案允许合理新增容量</w:t>
            </w:r>
          </w:p>
        </w:tc>
      </w:tr>
      <w:tr>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新增变电容量/MVA</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50</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增加50</w:t>
            </w:r>
          </w:p>
        </w:tc>
      </w:tr>
      <w:tr>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储能模块/个</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962</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465</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减少497</w:t>
            </w:r>
          </w:p>
        </w:tc>
      </w:tr>
      <w:tr>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储能功率/MW</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96.2</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46.5</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减少49.7</w:t>
            </w:r>
          </w:p>
        </w:tc>
      </w:tr>
      <w:tr>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储能容量/MWh</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206.830</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99.975</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减少106.855</w:t>
            </w:r>
          </w:p>
        </w:tc>
      </w:tr>
      <w:tr>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2022—2025年累计在役等年成本/万元</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3359.0522</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1745.5283</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减少1613.5239</w:t>
            </w:r>
          </w:p>
        </w:tc>
      </w:tr>
    </w:tbl>
    <w:p>
      <w:pPr>
        <w:spacing w:before="0" w:after="0" w:line="560" w:lineRule="exact"/>
        <w:jc w:val="both"/>
        <w:ind w:firstLineChars="200" w:firstLine="200"/>
      </w:pPr>
      <w:r>
        <w:rPr>
          <w:rFonts w:ascii="Times New Roman" w:hAnsi="Times New Roman" w:eastAsia="仿宋_GB2312"/>
          <w:b w:val="0"/>
          <w:sz w:val="28"/>
        </w:rPr>
        <w:t>从工程含义看，QX-00005并不是“容载比越高越好”，而是存在一个能够释放合理扩建空间的区间。超过经济释放位置后，继续提高Rcap并不会必然产生新的经济收益；因此，规划建议以稳健下限表达更为合理。</w:t>
      </w:r>
    </w:p>
    <w:p>
      <w:pPr>
        <w:pStyle w:val="3"/>
        <w:pageBreakBefore w:val="0"/>
        <w:jc w:val="left"/>
      </w:pPr>
      <w:bookmarkStart w:id="28" w:name="_TocReport0028"/>
      <w:r>
        <w:rPr>
          <w:rFonts w:ascii="Times New Roman" w:hAnsi="Times New Roman" w:eastAsia="仿宋_GB2312"/>
          <w:b/>
          <w:sz w:val="28"/>
        </w:rPr>
        <w:t>6.3 效果评估与方法有效性验证</w:t>
      </w:r>
      <w:bookmarkEnd w:id="28"/>
    </w:p>
    <w:p>
      <w:pPr>
        <w:spacing w:before="0" w:after="0" w:line="560" w:lineRule="exact"/>
        <w:jc w:val="both"/>
        <w:ind w:firstLineChars="200" w:firstLine="200"/>
      </w:pPr>
      <w:r>
        <w:rPr>
          <w:rFonts w:ascii="Times New Roman" w:hAnsi="Times New Roman" w:eastAsia="仿宋_GB2312"/>
          <w:b w:val="0"/>
          <w:sz w:val="28"/>
        </w:rPr>
        <w:t>除QX-00005外，QX-00001形成相同类型的经济释放响应：Rcap=2.0时，2025年储能由不施加上限方案的19个模块增加至138个，规划期累计在役等年成本由188.1800万元增加至481.9566万元；其局部经济释放阈值为2.359～2.360，稳健近优下限为2.50。两个片区共同表明，当正向负荷持续增长且变电扩建技术条件具备时，过紧的新增容量控制可能导致较高的储能替代成本。</w:t>
      </w:r>
    </w:p>
    <w:p>
      <w:pPr>
        <w:spacing w:before="0" w:after="0" w:line="560" w:lineRule="exact"/>
        <w:jc w:val="both"/>
        <w:ind w:firstLineChars="200" w:firstLine="200"/>
      </w:pPr>
      <w:r>
        <w:rPr>
          <w:rFonts w:ascii="Times New Roman" w:hAnsi="Times New Roman" w:eastAsia="仿宋_GB2312"/>
          <w:b w:val="0"/>
          <w:sz w:val="28"/>
        </w:rPr>
        <w:t>另一方面，QX-00003、QX-00004和QX-00007在Rcap扫描范围内规划方案基本不变，QX-00008～QX-00010则在放开Rcap后仍存在技术可行性问题。这些结果说明，本方法并不预设“高渗透片区均应放宽容载比”，而是首先识别Rcap是否为主导约束，再决定是否需要提出数值建议。</w:t>
      </w:r>
    </w:p>
    <w:p>
      <w:pPr>
        <w:spacing w:before="0" w:after="0" w:line="560" w:lineRule="exact"/>
        <w:jc w:val="both"/>
        <w:ind w:firstLineChars="200" w:firstLine="200"/>
      </w:pPr>
      <w:r>
        <w:rPr>
          <w:rFonts w:ascii="Times New Roman" w:hAnsi="Times New Roman" w:eastAsia="仿宋_GB2312"/>
          <w:b w:val="0"/>
          <w:sz w:val="28"/>
        </w:rPr>
        <w:t>为检查参考矩阵与既有规划结果的对应关系，将当前8个片区重新代入表5-2进行样本内一致性检查，结果见表6-2。由于参考矩阵和检查样本来自同一批片区，该过程只能用于检查分类规则是否与已有结果自洽，不能作为独立验证、交叉验证或外部验证。</w:t>
      </w:r>
    </w:p>
    <w:p>
      <w:pPr>
        <w:pStyle w:val="12"/>
        <w:keepNext/>
        <w:spacing w:before="120" w:after="60" w:line="400" w:lineRule="exact"/>
        <w:jc w:val="center"/>
        <w:ind w:firstLine="0" w:firstLineChars="0"/>
      </w:pPr>
      <w:r>
        <w:rPr>
          <w:rFonts w:ascii="Times New Roman" w:hAnsi="Times New Roman" w:eastAsia="仿宋_GB2312"/>
          <w:b w:val="0"/>
          <w:sz w:val="24"/>
        </w:rPr>
        <w:t>表 6-2 样本回代一致性检查</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rPr>
          <w:cantSplit/>
          <w:tblHeader w:val="true"/>
        </w:trPr>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片区</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参考矩阵输出</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规划优化结论</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状态</w:t>
            </w:r>
          </w:p>
        </w:tc>
      </w:tr>
      <w:tr>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QX-00001</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Rcap不低于2.50</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稳健近优下限2.50</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一致</w:t>
            </w:r>
          </w:p>
        </w:tc>
      </w:tr>
      <w:tr>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QX-00003</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容载比非主导</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扫描范围内方案不变</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一致</w:t>
            </w:r>
          </w:p>
        </w:tc>
      </w:tr>
      <w:tr>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QX-00004</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容载比非主导</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扫描范围内方案不变</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一致</w:t>
            </w:r>
          </w:p>
        </w:tc>
      </w:tr>
      <w:tr>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QX-00005</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Rcap不低于2.30</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稳健近优下限2.30</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一致</w:t>
            </w:r>
          </w:p>
        </w:tc>
      </w:tr>
      <w:tr>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QX-00007</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数据不足，转专项分析</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个案结果为容载比非主导</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数据例外</w:t>
            </w:r>
          </w:p>
        </w:tc>
      </w:tr>
      <w:tr>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QX-00008</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技术约束优先</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放开Rcap后未形成完整可行路径</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一致</w:t>
            </w:r>
          </w:p>
        </w:tc>
      </w:tr>
      <w:tr>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QX-00009</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技术约束优先</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放开Rcap后未形成完整可行路径</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一致</w:t>
            </w:r>
          </w:p>
        </w:tc>
      </w:tr>
      <w:tr>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QX-00010</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技术约束优先</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放开Rcap后未形成完整可行路径</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一致</w:t>
            </w:r>
          </w:p>
        </w:tc>
      </w:tr>
    </w:tbl>
    <w:p>
      <w:pPr>
        <w:spacing w:before="0" w:after="0" w:line="560" w:lineRule="exact"/>
        <w:jc w:val="both"/>
        <w:ind w:firstLineChars="200" w:firstLine="200"/>
      </w:pPr>
      <w:r>
        <w:rPr>
          <w:rFonts w:ascii="Times New Roman" w:hAnsi="Times New Roman" w:eastAsia="仿宋_GB2312"/>
          <w:b w:val="0"/>
          <w:sz w:val="28"/>
        </w:rPr>
        <w:t>当前样本能够支持“先识别约束类型、再确定Rcap是否需要数值优化”的工程逻辑，但尚不能证明4项指标与Rcap建议之间已经形成可直接外推的连续边界。后续应通过新增独立片区、同步源荷时序和年度滚动数据进一步检验其推广能力。</w:t>
      </w:r>
    </w:p>
    <w:p>
      <w:pPr>
        <w:pStyle w:val="4"/>
        <w:pageBreakBefore w:val="0"/>
        <w:jc w:val="left"/>
      </w:pPr>
      <w:r>
        <w:rPr>
          <w:rFonts w:ascii="Times New Roman" w:hAnsi="Times New Roman" w:eastAsia="仿宋_GB2312"/>
          <w:b/>
          <w:sz w:val="28"/>
        </w:rPr>
        <w:t>6.3.1 TIE-002高光伏跨站供电边界重构案例验证</w:t>
      </w:r>
    </w:p>
    <w:p>
      <w:pPr>
        <w:spacing w:before="0" w:after="0" w:line="560" w:lineRule="exact"/>
        <w:jc w:val="both"/>
        <w:ind w:firstLineChars="200" w:firstLine="200"/>
      </w:pPr>
      <w:r>
        <w:rPr>
          <w:rFonts w:ascii="Times New Roman" w:hAnsi="Times New Roman" w:eastAsia="仿宋_GB2312"/>
          <w:b w:val="0"/>
          <w:sz w:val="28"/>
        </w:rPr>
        <w:t>为验证10 kV层面的跨站反向功率转移方法，选取墩集变墩南线PZXL-00092与河湾变河炮线PZXL-00161之间的TIE-002作为典型案例。墩南侧源端至联络点的规划路径约2.25 km，导线基准热限为8.6603 MVA；考虑馈线485 A运行允许值后，规划有效容量取较严的8.4004 MVA。河炮侧联络点至站端路径约2.75 km，导线基准热限为9.5263 MVA，低于馈线运行允许上限10.3057 MVA，因此受端路径规划有效容量取9.5263 MVA。河炮线现有光伏汇总为0 kVA；同时，由于缺少与墩南线光伏峰值严格同步的受端负荷断面，容量筛查不利用河炮线本地负荷抵消转移功率，而按跨站转移功率单独占用受端通道处理，属于偏保守口径。高光伏反向转移按功率因数近似1.0进行规划级容量换算，因此本案例中MVA通道限值可近似映射为MW有功转移上限。河炮线现有光伏汇总为0 kVA；同时，由于缺少与墩南线光伏峰值严格同步的受端负荷断面，容量筛查不利用河炮线本地负荷抵消转移功率，而按跨站转移功率单独占用受端通道处理，属于偏保守口径。高光伏反向转移按功率因数近似1.0进行规划级容量换算，因此本案例中MVA通道限值可近似映射为MW有功转移上限。</w:t>
      </w:r>
    </w:p>
    <w:p>
      <w:pPr>
        <w:spacing w:before="0" w:after="0" w:line="560" w:lineRule="exact"/>
        <w:jc w:val="both"/>
        <w:ind w:firstLineChars="200" w:firstLine="200"/>
      </w:pPr>
      <w:r>
        <w:rPr>
          <w:rFonts w:ascii="Times New Roman" w:hAnsi="Times New Roman" w:eastAsia="仿宋_GB2312"/>
          <w:b w:val="0"/>
          <w:sz w:val="28"/>
        </w:rPr>
        <w:t>墩集变与河湾变2025年年度最小净负荷分别为-37.27 MW和-5.22 MW，表明墩集侧反向送电压力明显高于河湾侧。该组数据用于识别跨站功率再分配的工程方向，但两个年度最小值并非同一时间戳，不能直接解释为某一历史同步断面的双站潮流。按河湾变最大主变退出后剩余50 MVA容量进行简单N-1热容量筛查，并扣除5.22 MW反向功率锚点后，站级反向承接余量约44.78 MW，高于TIE-002通道上限，因此当前案例的主导容量约束来自10 kV受端通道而非站级容量。该余量仅用于规划级热容量筛查，不替代实际N-1潮流、母线电压和保护校核。墩南线另具有7.34 MW实际光伏峰值出力锚点，该数值用于构造高光伏规划场景，不解释为完整装机容量。</w:t>
      </w:r>
    </w:p>
    <w:p>
      <w:pPr>
        <w:pStyle w:val="38"/>
        <w:jc w:val="center"/>
        <w:keepNext/>
        <w:keepLines/>
        <w:ind w:firstLine="0" w:firstLineChars="0"/>
      </w:pPr>
      <w:r>
        <w:drawing>
          <wp:inline xmlns:a="http://schemas.openxmlformats.org/drawingml/2006/main" xmlns:pic="http://schemas.openxmlformats.org/drawingml/2006/picture">
            <wp:extent cx="4968000" cy="2900415"/>
            <wp:docPr id="7" name="Picture 7"/>
            <wp:cNvGraphicFramePr>
              <a:graphicFrameLocks noChangeAspect="1"/>
            </wp:cNvGraphicFramePr>
            <a:graphic>
              <a:graphicData uri="http://schemas.openxmlformats.org/drawingml/2006/picture">
                <pic:pic>
                  <pic:nvPicPr>
                    <pic:cNvPr id="0" name="图6-1_TIE002分段联络示意.png"/>
                    <pic:cNvPicPr/>
                  </pic:nvPicPr>
                  <pic:blipFill>
                    <a:blip r:embed="rId19"/>
                    <a:stretch>
                      <a:fillRect/>
                    </a:stretch>
                  </pic:blipFill>
                  <pic:spPr>
                    <a:xfrm>
                      <a:off x="0" y="0"/>
                      <a:ext cx="4968000" cy="2900415"/>
                    </a:xfrm>
                    <a:prstGeom prst="rect"/>
                  </pic:spPr>
                </pic:pic>
              </a:graphicData>
            </a:graphic>
          </wp:inline>
        </w:drawing>
      </w:r>
    </w:p>
    <w:p>
      <w:pPr>
        <w:pStyle w:val="12"/>
        <w:keepNext w:val="0"/>
        <w:spacing w:before="0" w:after="120" w:line="400" w:lineRule="exact"/>
        <w:jc w:val="center"/>
        <w:ind w:firstLine="0" w:firstLineChars="0"/>
      </w:pPr>
      <w:r>
        <w:rPr>
          <w:rFonts w:ascii="Times New Roman" w:hAnsi="Times New Roman" w:eastAsia="仿宋_GB2312"/>
          <w:b w:val="0"/>
          <w:sz w:val="24"/>
        </w:rPr>
        <w:t>图 6-1 TIE-002高光伏跨站供电边界重构示意</w:t>
      </w:r>
    </w:p>
    <w:p>
      <w:pPr>
        <w:spacing w:before="0" w:after="0" w:line="560" w:lineRule="exact"/>
        <w:jc w:val="both"/>
        <w:ind w:firstLineChars="200" w:firstLine="200"/>
      </w:pPr>
      <w:r>
        <w:rPr>
          <w:rFonts w:ascii="Times New Roman" w:hAnsi="Times New Roman" w:eastAsia="仿宋_GB2312"/>
          <w:b w:val="0"/>
          <w:sz w:val="28"/>
        </w:rPr>
        <w:t>图6-1所示的研究逻辑不是故障后的负荷恢复，而是高光伏时段的供电边界调整。规划模型先识别墩南线净外送富余功率，再判断TIE-002能否作为既有跨站通道承接该功率。重构时通过退出原供电边界并投入站间联络，使相应供电单元转入河湾变供电范围，同时保持10 kV网络单电源辐射运行。具体采用哪一台现场开关、开关当前状态及倒闸顺序不在本研究中逐项模拟，而在工程实施阶段复核。</w:t>
      </w:r>
    </w:p>
    <w:p>
      <w:pPr>
        <w:spacing w:before="0" w:after="0" w:line="560" w:lineRule="exact"/>
        <w:jc w:val="both"/>
        <w:ind w:firstLineChars="200" w:firstLine="200"/>
      </w:pPr>
      <w:r>
        <w:rPr>
          <w:rFonts w:ascii="Times New Roman" w:hAnsi="Times New Roman" w:eastAsia="仿宋_GB2312"/>
          <w:b w:val="0"/>
          <w:sz w:val="28"/>
        </w:rPr>
        <w:t>TIE-002在反向功率场景下的保守转移能力为：</w:t>
      </w:r>
    </w:p>
    <w:p>
      <w:pPr>
        <w:keepLines/>
        <w:jc w:val="left"/>
        <w:ind w:firstLine="0" w:firstLineChars="0"/>
        <w:spacing w:line="440" w:lineRule="exact"/>
        <w:tabs>
          <w:tab w:val="center" w:pos="4100"/>
          <w:tab w:val="right" w:pos="8200"/>
        </w:tabs>
      </w:pPr>
      <w:r>
        <w:tab/>
      </w:r>
      <m:oMath>
        <m:sSubSup>
          <m:e>
            <m:r>
              <m:t>P</m:t>
            </m:r>
          </m:e>
          <m:sub>
            <m:r>
              <m:rPr>
                <m:sty m:val="p"/>
              </m:rPr>
              <m:t>T</m:t>
            </m:r>
            <m:r>
              <m:rPr>
                <m:sty m:val="p"/>
              </m:rPr>
              <m:t>I</m:t>
            </m:r>
            <m:r>
              <m:rPr>
                <m:sty m:val="p"/>
              </m:rPr>
              <m:t>E</m:t>
            </m:r>
            <m:r>
              <m:rPr>
                <m:sty m:val="p"/>
              </m:rPr>
              <m:t>002</m:t>
            </m:r>
            <m:r>
              <m:rPr>
                <m:sty m:val="p"/>
              </m:rPr>
              <m:t>,</m:t>
            </m:r>
            <m:r>
              <m:rPr>
                <m:sty m:val="p"/>
              </m:rPr>
              <m:t>t</m:t>
            </m:r>
            <m:r>
              <m:rPr>
                <m:sty m:val="p"/>
              </m:rPr>
              <m:t>r</m:t>
            </m:r>
          </m:sub>
          <m:sup>
            <m:r>
              <m:rPr>
                <m:sty m:val="p"/>
              </m:rPr>
              <m:t>max</m:t>
            </m:r>
          </m:sup>
        </m:sSubSup>
        <m:r>
          <m:rPr>
            <m:sty m:val="p"/>
          </m:rPr>
          <m:t>=</m:t>
        </m:r>
        <m:r>
          <m:rPr>
            <m:sty m:val="p"/>
          </m:rPr>
          <m:t>min</m:t>
        </m:r>
        <m:d>
          <m:dPr>
            <m:begChr m:val="("/>
            <m:endChr m:val=")"/>
            <m:sepChr m:val=""/>
            <m:grow/>
          </m:dPr>
          <m:e>
            <m:r>
              <m:t>8.4004</m:t>
            </m:r>
            <m:r>
              <m:rPr>
                <m:sty m:val="p"/>
              </m:rPr>
              <m:t>×</m:t>
            </m:r>
            <m:r>
              <m:t>1.0</m:t>
            </m:r>
            <m:r>
              <m:rPr>
                <m:sty m:val="p"/>
              </m:rPr>
              <m:t>,</m:t>
            </m:r>
            <m:r>
              <m:t>0.8</m:t>
            </m:r>
            <m:r>
              <m:rPr>
                <m:sty m:val="p"/>
              </m:rPr>
              <m:t>×</m:t>
            </m:r>
            <m:r>
              <m:t>9.5263</m:t>
            </m:r>
            <m:r>
              <m:rPr>
                <m:sty m:val="p"/>
              </m:rPr>
              <m:t>×</m:t>
            </m:r>
            <m:r>
              <m:t>1.0</m:t>
            </m:r>
            <m:r>
              <m:rPr>
                <m:sty m:val="p"/>
              </m:rPr>
              <m:t>,</m:t>
            </m:r>
            <m:r>
              <m:t>44.78</m:t>
            </m:r>
          </m:e>
        </m:d>
        <m:r>
          <m:rPr>
            <m:sty m:val="p"/>
          </m:rPr>
          <m:t>=</m:t>
        </m:r>
        <m:r>
          <m:t>7.62104</m:t>
        </m:r>
        <m:r>
          <m:t> </m:t>
        </m:r>
        <m:r>
          <m:rPr>
            <m:sty m:val="p"/>
          </m:rPr>
          <m:t>M</m:t>
        </m:r>
        <m:r>
          <m:rPr>
            <m:sty m:val="p"/>
          </m:rPr>
          <m:t>W</m:t>
        </m:r>
      </m:oMath>
      <w:r>
        <w:rPr>
          <w:rFonts w:ascii="Times New Roman" w:hAnsi="Times New Roman" w:eastAsia="仿宋_GB2312"/>
          <w:b w:val="0"/>
          <w:sz w:val="28"/>
        </w:rPr>
        <w:tab/>
        <w:t>（6-1）</w:t>
      </w:r>
    </w:p>
    <w:p>
      <w:pPr>
        <w:spacing w:before="0" w:after="0" w:line="560" w:lineRule="exact"/>
        <w:jc w:val="both"/>
        <w:ind w:firstLineChars="200" w:firstLine="200"/>
      </w:pPr>
      <w:r>
        <w:rPr>
          <w:rFonts w:ascii="Times New Roman" w:hAnsi="Times New Roman" w:eastAsia="仿宋_GB2312"/>
          <w:b w:val="0"/>
          <w:sz w:val="28"/>
        </w:rPr>
        <w:t>在最保守的“本地负荷为0”包络下，当前7.34 MW光伏峰值锚点可全部作为净外送功率。此时河炮侧路径反向利用率为77.05%，低于本项目80%反向通道控制线，因此既有TIE-002从容量尺度上能够承接当前光伏峰值锚点对应的保守外送上界，无需因当前锚点立即新增联络容量。</w:t>
      </w:r>
    </w:p>
    <w:p>
      <w:pPr>
        <w:spacing w:before="0" w:after="0" w:line="560" w:lineRule="exact"/>
        <w:jc w:val="both"/>
        <w:ind w:firstLineChars="200" w:firstLine="200"/>
      </w:pPr>
      <w:r>
        <w:rPr>
          <w:rFonts w:ascii="Times New Roman" w:hAnsi="Times New Roman" w:eastAsia="仿宋_GB2312"/>
          <w:b w:val="0"/>
          <w:sz w:val="28"/>
        </w:rPr>
        <w:t>若采用高光伏规划场景中30%负荷系数，即以墩南线年度最大有功6.529596 MW的30%作为本地负荷代理，则当前光伏锚点下净富余功率为：</w:t>
      </w:r>
    </w:p>
    <w:p>
      <w:pPr>
        <w:keepLines/>
        <w:jc w:val="left"/>
        <w:ind w:firstLine="0" w:firstLineChars="0"/>
        <w:spacing w:line="440" w:lineRule="exact"/>
        <w:tabs>
          <w:tab w:val="center" w:pos="4100"/>
          <w:tab w:val="right" w:pos="8200"/>
        </w:tabs>
      </w:pPr>
      <w:r>
        <w:tab/>
      </w:r>
      <m:oMath>
        <m:r>
          <m:t>G</m:t>
        </m:r>
        <m:r>
          <m:rPr>
            <m:sty m:val="p"/>
          </m:rPr>
          <m:t>=</m:t>
        </m:r>
        <m:r>
          <m:t>7.34</m:t>
        </m:r>
        <m:r>
          <m:rPr>
            <m:sty m:val="p"/>
          </m:rPr>
          <m:t>−</m:t>
        </m:r>
        <m:r>
          <m:t>0.3</m:t>
        </m:r>
        <m:r>
          <m:rPr>
            <m:sty m:val="p"/>
          </m:rPr>
          <m:t>×</m:t>
        </m:r>
        <m:r>
          <m:t>6.529596</m:t>
        </m:r>
        <m:r>
          <m:rPr>
            <m:sty m:val="p"/>
          </m:rPr>
          <m:t>=</m:t>
        </m:r>
        <m:r>
          <m:t>5.3811212</m:t>
        </m:r>
        <m:r>
          <m:t> </m:t>
        </m:r>
        <m:r>
          <m:rPr>
            <m:sty m:val="p"/>
          </m:rPr>
          <m:t>M</m:t>
        </m:r>
        <m:r>
          <m:rPr>
            <m:sty m:val="p"/>
          </m:rPr>
          <m:t>W</m:t>
        </m:r>
      </m:oMath>
      <w:r>
        <w:rPr>
          <w:rFonts w:ascii="Times New Roman" w:hAnsi="Times New Roman" w:eastAsia="仿宋_GB2312"/>
          <w:b w:val="0"/>
          <w:sz w:val="28"/>
        </w:rPr>
        <w:tab/>
        <w:t>（6-2）</w:t>
      </w:r>
    </w:p>
    <w:p>
      <w:pPr>
        <w:spacing w:before="0" w:after="0" w:line="560" w:lineRule="exact"/>
        <w:jc w:val="both"/>
        <w:ind w:firstLineChars="200" w:firstLine="200"/>
      </w:pPr>
      <w:r>
        <w:rPr>
          <w:rFonts w:ascii="Times New Roman" w:hAnsi="Times New Roman" w:eastAsia="仿宋_GB2312"/>
          <w:b w:val="0"/>
          <w:sz w:val="28"/>
        </w:rPr>
        <w:t>对应河炮侧路径利用率约56.49%，既有联络具有更充足的容量余度。该结果属于规划应力场景，不解释为历史同步潮流。</w:t>
      </w:r>
    </w:p>
    <w:p>
      <w:pPr>
        <w:spacing w:before="0" w:after="0" w:line="560" w:lineRule="exact"/>
        <w:jc w:val="both"/>
        <w:ind w:firstLineChars="200" w:firstLine="200"/>
      </w:pPr>
      <w:r>
        <w:rPr>
          <w:rFonts w:ascii="Times New Roman" w:hAnsi="Times New Roman" w:eastAsia="仿宋_GB2312"/>
          <w:b w:val="0"/>
          <w:sz w:val="28"/>
        </w:rPr>
        <w:t>为评估新能源继续增长后的边界，进一步设置光伏倍率场景。当本地负荷取0、光伏达到当前峰值锚点的1.2倍时，净外送功率为8.808 MW，TIE-002按80%控制可承担7.62104 MW，剩余1.18696 MW需由新增联络或其他措施承担，对应新增联络最小规划有效容量约1.4837 MVA。当负荷系数取0.3、光伏达到1.5倍时，净外送功率约9.0511 MW，既有联络之后仍有约1.4301 MW剩余需求，对应新增联络最小规划有效容量约1.7876 MVA。</w:t>
      </w:r>
    </w:p>
    <w:p>
      <w:pPr>
        <w:spacing w:before="0" w:after="0" w:line="560" w:lineRule="exact"/>
        <w:jc w:val="both"/>
        <w:ind w:firstLineChars="200" w:firstLine="200"/>
      </w:pPr>
      <w:r>
        <w:rPr>
          <w:rFonts w:ascii="Times New Roman" w:hAnsi="Times New Roman" w:eastAsia="仿宋_GB2312"/>
          <w:b w:val="0"/>
          <w:sz w:val="28"/>
        </w:rPr>
        <w:t>河湾变下辖河东线、河炮线和河镇线的馈线级容量筛查表明，在上述未来压力场景中，河东线和河镇线从站端容量尺度上均具备承接剩余转移需求的条件，可作为新增联络进一步勘察的候选受端馈线。该筛查仅用于确定“是否值得进入工程选线”，不表示已经形成具体线路路径。由于当前缺少候选接入点GIS坐标和廊道距离，本研究不进一步给出新建线路长度或投资额。</w:t>
      </w:r>
    </w:p>
    <w:p>
      <w:pPr>
        <w:spacing w:before="0" w:after="0" w:line="560" w:lineRule="exact"/>
        <w:jc w:val="both"/>
        <w:ind w:firstLineChars="200" w:firstLine="200"/>
      </w:pPr>
      <w:r>
        <w:rPr>
          <w:rFonts w:ascii="Times New Roman" w:hAnsi="Times New Roman" w:eastAsia="仿宋_GB2312"/>
          <w:b w:val="0"/>
          <w:sz w:val="28"/>
        </w:rPr>
        <w:t>上述场景的容量对比结果汇总见表6-3。</w:t>
      </w:r>
    </w:p>
    <w:p>
      <w:pPr>
        <w:pStyle w:val="12"/>
        <w:keepNext/>
        <w:spacing w:before="120" w:after="60" w:line="400" w:lineRule="exact"/>
        <w:jc w:val="center"/>
        <w:ind w:firstLine="0" w:firstLineChars="0"/>
      </w:pPr>
      <w:r>
        <w:rPr>
          <w:rFonts w:ascii="Times New Roman" w:hAnsi="Times New Roman" w:eastAsia="仿宋_GB2312"/>
          <w:b w:val="0"/>
          <w:sz w:val="24"/>
        </w:rPr>
        <w:t>表 6-3 TIE-002高光伏跨站反向功率转移规划结果</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cantSplit/>
          <w:tblHeader w:val="true"/>
        </w:trPr>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规划场景</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净外送/需转移功率</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既有TIE-002利用</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剩余新增转移需求</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规划判断</w:t>
            </w:r>
          </w:p>
        </w:tc>
      </w:tr>
      <w:tr>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当前PV锚点、零本地负荷</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7.3400 MW</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7.3400 MW，受端利用率77.05%</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既有联络可完整承接</w:t>
            </w:r>
          </w:p>
        </w:tc>
      </w:tr>
      <w:tr>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当前PV锚点、30%负荷</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5.3811 MW</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5.3811 MW，受端利用率56.49%</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既有联络余度较充足</w:t>
            </w:r>
          </w:p>
        </w:tc>
      </w:tr>
      <w:tr>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1.2倍PV、零本地负荷</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8.8080 MW</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7.6210 MW</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1.1870 MW</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进入新增联络层；最小有效容量约1.4837 MVA</w:t>
            </w:r>
          </w:p>
        </w:tc>
      </w:tr>
      <w:tr>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1.5倍PV、30%负荷</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9.0511 MW</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7.6210 MW</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1.4301 MW</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进入新增联络层；最小有效容量约1.7876 MVA</w:t>
            </w:r>
          </w:p>
        </w:tc>
      </w:tr>
    </w:tbl>
    <w:p>
      <w:pPr>
        <w:spacing w:before="0" w:after="0" w:line="560" w:lineRule="exact"/>
        <w:jc w:val="both"/>
        <w:ind w:firstLineChars="200" w:firstLine="200"/>
      </w:pPr>
      <w:r>
        <w:rPr>
          <w:rFonts w:ascii="Times New Roman" w:hAnsi="Times New Roman" w:eastAsia="仿宋_GB2312"/>
          <w:b w:val="0"/>
          <w:sz w:val="28"/>
        </w:rPr>
        <w:t>该案例说明，10 kV联络在110 kV弹性规划中的核心作用，是为局部反向功率提供可重构的空间转移通道。其价值不能用联络开关数量简单表征，而应由光伏富余功率、既有通道有效容量、相邻站反向承接能力以及重构后的辐射运行条件共同决定。故障转供可作为同一联络网架的附加可靠性收益，但不是本案例的主要规划结论。</w:t>
      </w:r>
    </w:p>
    <w:p>
      <w:pPr>
        <w:pStyle w:val="2"/>
        <w:pageBreakBefore/>
        <w:jc w:val="left"/>
      </w:pPr>
      <w:bookmarkStart w:id="29" w:name="_TocReport0029"/>
      <w:r>
        <w:rPr>
          <w:rFonts w:ascii="Times New Roman" w:hAnsi="Times New Roman" w:eastAsia="仿宋_GB2312"/>
          <w:b/>
          <w:sz w:val="36"/>
        </w:rPr>
        <w:t>第七章 结论与展望</w:t>
      </w:r>
      <w:bookmarkEnd w:id="29"/>
    </w:p>
    <w:p>
      <w:pPr>
        <w:spacing w:before="0" w:after="0" w:line="560" w:lineRule="exact"/>
        <w:jc w:val="both"/>
        <w:ind w:firstLineChars="200" w:firstLine="200"/>
      </w:pPr>
      <w:r>
        <w:rPr>
          <w:rFonts w:ascii="Times New Roman" w:hAnsi="Times New Roman" w:eastAsia="仿宋_GB2312"/>
          <w:b w:val="0"/>
          <w:sz w:val="28"/>
        </w:rPr>
        <w:t>本研究围绕高比例分布式新能源条件下110 kV电网容载比的差异化规划问题，在2021年实际在役资产共同起点上，将正向容量需求、局部反向承载、储能时序和10 kV局部互济纳入统一分析框架。主要结论如下。</w:t>
      </w:r>
    </w:p>
    <w:p>
      <w:pPr>
        <w:spacing w:before="0" w:after="0" w:line="560" w:lineRule="exact"/>
        <w:jc w:val="both"/>
        <w:ind w:firstLineChars="200" w:firstLine="200"/>
      </w:pPr>
      <w:r>
        <w:rPr>
          <w:rFonts w:ascii="Times New Roman" w:hAnsi="Times New Roman" w:eastAsia="仿宋_GB2312"/>
          <w:b w:val="0"/>
          <w:sz w:val="28"/>
        </w:rPr>
        <w:t>（1）实际物理容载比与弹性规划控制值需要分开定义。实际物理容载比采用在役变电总容量除以规划路径内重新计算的正向年最大供电负荷，是方案形成后的结果指标；Rcap只约束规划期新增变电容量，既有资产执行存量容量豁免。反向潮流不并入传统容载比分母，而通过独立指标、设备条件和储能功率平衡进行处理。</w:t>
      </w:r>
    </w:p>
    <w:p>
      <w:pPr>
        <w:spacing w:before="0" w:after="0" w:line="560" w:lineRule="exact"/>
        <w:jc w:val="both"/>
        <w:ind w:firstLineChars="200" w:firstLine="200"/>
      </w:pPr>
      <w:r>
        <w:rPr>
          <w:rFonts w:ascii="Times New Roman" w:hAnsi="Times New Roman" w:eastAsia="仿宋_GB2312"/>
          <w:b w:val="0"/>
          <w:sz w:val="28"/>
        </w:rPr>
        <w:t>（2）规划经济评价应反映工程措施的寿命和投运时点。本研究将不同措施折算为等年成本，并统一采用2022—2025年规划期累计在役等年成本作为比较目标。QX-00001和QX-00005在Rcap较紧时均因合理扩建受到限制而显著增加储能配置，说明容载比控制会通过扩建与储能之间的措施替代关系影响规划经济性。</w:t>
      </w:r>
    </w:p>
    <w:p>
      <w:pPr>
        <w:spacing w:before="0" w:after="0" w:line="560" w:lineRule="exact"/>
        <w:jc w:val="both"/>
        <w:ind w:firstLineChars="200" w:firstLine="200"/>
      </w:pPr>
      <w:r>
        <w:rPr>
          <w:rFonts w:ascii="Times New Roman" w:hAnsi="Times New Roman" w:eastAsia="仿宋_GB2312"/>
          <w:b w:val="0"/>
          <w:sz w:val="28"/>
        </w:rPr>
        <w:t>（3）QX-00001的局部经济释放阈值为2.359～2.360，敏感性分析得到的5%稳健近优下限为2.50；QX-00005的局部经济释放阈值为2.171～2.172，稳健下限为2.30。两者扫描至3.0均未识别推荐上限，因此现阶段只给出建议下限，不人为构造闭区间。</w:t>
      </w:r>
    </w:p>
    <w:p>
      <w:pPr>
        <w:spacing w:before="0" w:after="0" w:line="560" w:lineRule="exact"/>
        <w:jc w:val="both"/>
        <w:ind w:firstLineChars="200" w:firstLine="200"/>
      </w:pPr>
      <w:r>
        <w:rPr>
          <w:rFonts w:ascii="Times New Roman" w:hAnsi="Times New Roman" w:eastAsia="仿宋_GB2312"/>
          <w:b w:val="0"/>
          <w:sz w:val="28"/>
        </w:rPr>
        <w:t>（4）不同片区对Rcap的敏感程度明显不同。QX-00003、QX-00004和QX-00007在当前研究范围内容载比控制不是主导约束；QX-00008、QX-00009和QX-00010即使放开Rcap，仍需优先解决设备、网络、接入位置或时序技术条件。因此，“一片一策”的核心不是为每个片区简单配置一个不同数值，而是先识别约束类型，再确定是否需要数值型Rcap建议及相应工程措施。</w:t>
      </w:r>
    </w:p>
    <w:p>
      <w:pPr>
        <w:spacing w:before="0" w:after="0" w:line="560" w:lineRule="exact"/>
        <w:jc w:val="both"/>
        <w:ind w:firstLineChars="200" w:firstLine="200"/>
      </w:pPr>
      <w:r>
        <w:rPr>
          <w:rFonts w:ascii="Times New Roman" w:hAnsi="Times New Roman" w:eastAsia="仿宋_GB2312"/>
          <w:b w:val="0"/>
          <w:sz w:val="28"/>
        </w:rPr>
        <w:t>（5）现状源荷规模比、局部最大反向潮流比例、110 kV线路统计负载余度和正向峰值负荷年均变化率可作为当前片区特征描述的4项核心指标。由于现有数值型推荐样本仅有QX-00001和QX-00005，当前数据不能形成具有外推能力的连续四维区间。弹性容载比样本支持参考矩阵适合用于相似样本检索和专项优化入口，不应被作为新片区直接套用的固定标准。</w:t>
      </w:r>
    </w:p>
    <w:p>
      <w:pPr>
        <w:spacing w:before="0" w:after="0" w:line="560" w:lineRule="exact"/>
        <w:jc w:val="both"/>
        <w:ind w:firstLineChars="200" w:firstLine="200"/>
      </w:pPr>
      <w:r>
        <w:rPr>
          <w:rFonts w:ascii="Times New Roman" w:hAnsi="Times New Roman" w:eastAsia="仿宋_GB2312"/>
          <w:b w:val="0"/>
          <w:sz w:val="28"/>
        </w:rPr>
        <w:t>（6）10 kV局部互济的主要规划价值之一，是利用供电边界重构在相邻110 kV变电站之间重新分配高光伏反向功率。TIE-002案例表明，在零本地负荷的保守包络下，墩南线7.34 MW实际光伏峰值出力锚点可由既有联络完整承接，河炮侧路径反向利用率约77.05%，低于本项目80%反向通道控制线；当光伏升至1.2倍且本地负荷取零时，既有联络后仍有约1.187 MW剩余需求，对应新增联络最小有效容量约1.484 MVA。由此可见，10 kV联络方案应采用“既有联络优先、能力不足再新增”的分层规划逻辑，并同时校核送端减压、受端反向承载、通道容量和辐射运行条件。</w:t>
      </w:r>
    </w:p>
    <w:p>
      <w:pPr>
        <w:spacing w:before="0" w:after="0" w:line="560" w:lineRule="exact"/>
        <w:jc w:val="both"/>
        <w:ind w:firstLineChars="200" w:firstLine="200"/>
      </w:pPr>
      <w:r>
        <w:rPr>
          <w:rFonts w:ascii="Times New Roman" w:hAnsi="Times New Roman" w:eastAsia="仿宋_GB2312"/>
          <w:b w:val="0"/>
          <w:sz w:val="28"/>
        </w:rPr>
        <w:t>后续研究应重点补充统一基准年的源荷同步时序和更多片区8760小时连续数据，完善10 kV节点级光伏空间分布、候选新联络接入点GIS坐标和线路廊道信息，并在工程实施阶段对关键联络方案开展交流潮流、短路电流、保护适应性和具体运行方式专项校核。在样本规模扩大后，可重新识别4项核心指标与Rcap建议之间的适用边界，并通过独立片区、留出样本和年度滚动规划持续检验方法的工程推广性。对于AHP部分，后续可组织规划、运行和设计专业专家形成正式判断矩阵并开展一致性检验，但其定位仍应是辅助决策，不替代专项规划优化。</w:t>
      </w:r>
    </w:p>
    <w:p>
      <w:pPr>
        <w:pStyle w:val="2"/>
        <w:pageBreakBefore w:val="0"/>
        <w:jc w:val="left"/>
      </w:pPr>
      <w:bookmarkStart w:id="30" w:name="_TocReport0030"/>
      <w:r>
        <w:rPr>
          <w:rFonts w:ascii="Times New Roman" w:hAnsi="Times New Roman" w:eastAsia="仿宋_GB2312"/>
          <w:b/>
          <w:sz w:val="36"/>
        </w:rPr>
        <w:t>参考文献</w:t>
      </w:r>
      <w:bookmarkEnd w:id="30"/>
    </w:p>
    <w:p>
      <w:pPr>
        <w:spacing w:before="0" w:after="0" w:line="560" w:lineRule="exact"/>
        <w:jc w:val="both"/>
        <w:ind w:leftChars="200" w:hangingChars="200" w:left="560" w:hanging="560"/>
      </w:pPr>
      <w:r>
        <w:rPr>
          <w:rFonts w:ascii="Times New Roman" w:hAnsi="Times New Roman" w:eastAsia="仿宋_GB2312"/>
          <w:b w:val="0"/>
          <w:sz w:val="28"/>
        </w:rPr>
        <w:t>[1] 国家能源局. 2025年可再生能源并网运行情况[EB/OL]. 2026-02-12.</w:t>
      </w:r>
    </w:p>
    <w:p>
      <w:pPr>
        <w:spacing w:before="0" w:after="0" w:line="560" w:lineRule="exact"/>
        <w:jc w:val="both"/>
        <w:ind w:leftChars="200" w:hangingChars="200" w:left="560" w:hanging="560"/>
      </w:pPr>
      <w:r>
        <w:rPr>
          <w:rFonts w:ascii="Times New Roman" w:hAnsi="Times New Roman" w:eastAsia="仿宋_GB2312"/>
          <w:b w:val="0"/>
          <w:sz w:val="28"/>
        </w:rPr>
        <w:t>[2] 国家发展改革委, 国家能源局. 关于新形势下配电网高质量发展的指导意见：发改能源〔2024〕187号[Z]. 2024.</w:t>
      </w:r>
    </w:p>
    <w:p>
      <w:pPr>
        <w:spacing w:before="0" w:after="0" w:line="560" w:lineRule="exact"/>
        <w:jc w:val="both"/>
        <w:ind w:leftChars="200" w:hangingChars="200" w:left="560" w:hanging="560"/>
      </w:pPr>
      <w:r>
        <w:rPr>
          <w:rFonts w:ascii="Times New Roman" w:hAnsi="Times New Roman" w:eastAsia="仿宋_GB2312"/>
          <w:b w:val="0"/>
          <w:sz w:val="28"/>
        </w:rPr>
        <w:t>[3] 国家发展改革委, 国家能源局. 加快构建新型电力系统行动方案（2024—2027年）[Z]. 2024.</w:t>
      </w:r>
    </w:p>
    <w:p>
      <w:pPr>
        <w:spacing w:before="0" w:after="0" w:line="560" w:lineRule="exact"/>
        <w:jc w:val="both"/>
        <w:ind w:leftChars="200" w:hangingChars="200" w:left="560" w:hanging="560"/>
      </w:pPr>
      <w:r>
        <w:rPr>
          <w:rFonts w:ascii="Times New Roman" w:hAnsi="Times New Roman" w:eastAsia="仿宋_GB2312"/>
          <w:b w:val="0"/>
          <w:sz w:val="28"/>
        </w:rPr>
        <w:t>[4] 国家能源局. 配电网高质量发展行动实施方案（2024—2027年）[Z]. 2024.</w:t>
      </w:r>
    </w:p>
    <w:p>
      <w:pPr>
        <w:spacing w:before="0" w:after="0" w:line="560" w:lineRule="exact"/>
        <w:jc w:val="both"/>
        <w:ind w:leftChars="200" w:hangingChars="200" w:left="560" w:hanging="560"/>
      </w:pPr>
      <w:r>
        <w:rPr>
          <w:rFonts w:ascii="Times New Roman" w:hAnsi="Times New Roman" w:eastAsia="仿宋_GB2312"/>
          <w:b w:val="0"/>
          <w:sz w:val="28"/>
        </w:rPr>
        <w:t>[5] DL/T 5729—2023 配电网规划设计技术导则[S].</w:t>
      </w:r>
    </w:p>
    <w:p>
      <w:pPr>
        <w:spacing w:before="0" w:after="0" w:line="560" w:lineRule="exact"/>
        <w:jc w:val="both"/>
        <w:ind w:leftChars="200" w:hangingChars="200" w:left="560" w:hanging="560"/>
      </w:pPr>
      <w:r>
        <w:rPr>
          <w:rFonts w:ascii="Times New Roman" w:hAnsi="Times New Roman" w:eastAsia="仿宋_GB2312"/>
          <w:b w:val="0"/>
          <w:sz w:val="28"/>
        </w:rPr>
        <w:t>[6] DL/T 2041—2025 分布式电源接入电力系统承载力评估导则[S].</w:t>
      </w:r>
    </w:p>
    <w:p>
      <w:pPr>
        <w:spacing w:before="0" w:after="0" w:line="560" w:lineRule="exact"/>
        <w:jc w:val="both"/>
        <w:ind w:leftChars="200" w:hangingChars="200" w:left="560" w:hanging="560"/>
      </w:pPr>
      <w:r>
        <w:rPr>
          <w:rFonts w:ascii="Times New Roman" w:hAnsi="Times New Roman" w:eastAsia="仿宋_GB2312"/>
          <w:b w:val="0"/>
          <w:sz w:val="28"/>
        </w:rPr>
        <w:t>[7] LIN T, WU G, LAI S, et al. Calculation of distribution network PV hosting capacity considering source-load uncertainty and active management[J]. Electronics, 2024, 13(20): 4048.</w:t>
      </w:r>
    </w:p>
    <w:p>
      <w:pPr>
        <w:spacing w:before="0" w:after="0" w:line="560" w:lineRule="exact"/>
        <w:jc w:val="both"/>
        <w:ind w:leftChars="200" w:hangingChars="200" w:left="560" w:hanging="560"/>
      </w:pPr>
      <w:r>
        <w:rPr>
          <w:rFonts w:ascii="Times New Roman" w:hAnsi="Times New Roman" w:eastAsia="仿宋_GB2312"/>
          <w:b w:val="0"/>
          <w:sz w:val="28"/>
        </w:rPr>
        <w:t>[8] CHEN C, PENG W, XIE C, et al. Photovoltaic hosting capacity assessment of distribution networks considering source-load uncertainty[J]. Energies, 2025, 18(8): 2134.</w:t>
      </w:r>
    </w:p>
    <w:p>
      <w:pPr>
        <w:spacing w:before="0" w:after="0" w:line="560" w:lineRule="exact"/>
        <w:jc w:val="both"/>
        <w:ind w:leftChars="200" w:hangingChars="200" w:left="560" w:hanging="560"/>
      </w:pPr>
      <w:r>
        <w:rPr>
          <w:rFonts w:ascii="Times New Roman" w:hAnsi="Times New Roman" w:eastAsia="仿宋_GB2312"/>
          <w:b w:val="0"/>
          <w:sz w:val="28"/>
        </w:rPr>
        <w:t>[9] MAJEED I B, NWULU N I. Impact of reverse power flow on distributed transformers in a solar-photovoltaic-integrated low-voltage network[J]. Energies, 2022, 15(23): 9238.</w:t>
      </w:r>
    </w:p>
    <w:p>
      <w:pPr>
        <w:spacing w:before="0" w:after="0" w:line="560" w:lineRule="exact"/>
        <w:jc w:val="both"/>
        <w:ind w:leftChars="200" w:hangingChars="200" w:left="560" w:hanging="560"/>
      </w:pPr>
      <w:r>
        <w:rPr>
          <w:rFonts w:ascii="Times New Roman" w:hAnsi="Times New Roman" w:eastAsia="仿宋_GB2312"/>
          <w:b w:val="0"/>
          <w:sz w:val="28"/>
        </w:rPr>
        <w:t>[10] HOU Q, ZHANG N, DU E, et al. Probabilistic duck curve in high PV penetration power system: concept, modeling, and empirical analysis in China[J]. Applied Energy, 2019, 242: 205-215.</w:t>
      </w:r>
    </w:p>
    <w:p>
      <w:pPr>
        <w:spacing w:before="0" w:after="0" w:line="560" w:lineRule="exact"/>
        <w:jc w:val="both"/>
        <w:ind w:leftChars="200" w:hangingChars="200" w:left="560" w:hanging="560"/>
      </w:pPr>
      <w:r>
        <w:rPr>
          <w:rFonts w:ascii="Times New Roman" w:hAnsi="Times New Roman" w:eastAsia="仿宋_GB2312"/>
          <w:b w:val="0"/>
          <w:sz w:val="28"/>
        </w:rPr>
        <w:t>[11] WANG R, JI H, LI P, et al. Multi-resource dynamic coordinated planning of flexible distribution network[J]. Nature Communications, 2024, 15: 4576.</w:t>
      </w:r>
    </w:p>
    <w:p>
      <w:pPr>
        <w:spacing w:before="0" w:after="0" w:line="560" w:lineRule="exact"/>
        <w:jc w:val="both"/>
        <w:ind w:leftChars="200" w:hangingChars="200" w:left="560" w:hanging="560"/>
      </w:pPr>
      <w:r>
        <w:rPr>
          <w:rFonts w:ascii="Times New Roman" w:hAnsi="Times New Roman" w:eastAsia="仿宋_GB2312"/>
          <w:b w:val="0"/>
          <w:sz w:val="28"/>
        </w:rPr>
        <w:t>[12] MARTÍNEZ M, MATEO C, GÓMEZ T, et al. Distributed battery energy storage systems for deferring distribution network reinforcements under sustained load growth scenarios[J]. Journal of Energy Storage, 2024, 100: 113404.</w:t>
      </w:r>
    </w:p>
    <w:p>
      <w:pPr>
        <w:spacing w:before="0" w:after="0" w:line="560" w:lineRule="exact"/>
        <w:jc w:val="both"/>
        <w:ind w:leftChars="200" w:hangingChars="200" w:left="560" w:hanging="560"/>
      </w:pPr>
      <w:r>
        <w:rPr>
          <w:rFonts w:ascii="Times New Roman" w:hAnsi="Times New Roman" w:eastAsia="仿宋_GB2312"/>
          <w:b w:val="0"/>
          <w:sz w:val="28"/>
        </w:rPr>
        <w:t>[13] 肖峻, 刘柔嘉, 龙梦皓. 变电容载比与下一级中压配电网络关系的量化分析[J]. 电力建设, 2015, 36(11): 45-50.</w:t>
      </w:r>
    </w:p>
    <w:p>
      <w:pPr>
        <w:spacing w:before="0" w:after="0" w:line="560" w:lineRule="exact"/>
        <w:jc w:val="both"/>
        <w:ind w:leftChars="200" w:hangingChars="200" w:left="560" w:hanging="560"/>
      </w:pPr>
      <w:r>
        <w:rPr>
          <w:rFonts w:ascii="Times New Roman" w:hAnsi="Times New Roman" w:eastAsia="仿宋_GB2312"/>
          <w:b w:val="0"/>
          <w:sz w:val="28"/>
        </w:rPr>
        <w:t>[14] 陈浩, 张焰, 俞国勤, 等. 多电压等级配电网最优容载比的计算方法[J]. 电气应用, 2011, 30(1): 25-29.</w:t>
      </w:r>
    </w:p>
    <w:p>
      <w:pPr>
        <w:spacing w:before="0" w:after="0" w:line="560" w:lineRule="exact"/>
        <w:jc w:val="both"/>
        <w:ind w:leftChars="200" w:hangingChars="200" w:left="560" w:hanging="560"/>
      </w:pPr>
      <w:r>
        <w:rPr>
          <w:rFonts w:ascii="Times New Roman" w:hAnsi="Times New Roman" w:eastAsia="仿宋_GB2312"/>
          <w:b w:val="0"/>
          <w:sz w:val="28"/>
        </w:rPr>
        <w:t>[15] 王凯亮, 何卓怡, 叶健鹏, 等. 多电压等级电网协同规划的容载比优化配置方法[J]. 南方电网技术, 2025, 19(7): 131-139.</w:t>
      </w:r>
    </w:p>
    <w:p>
      <w:pPr>
        <w:spacing w:before="0" w:after="0" w:line="560" w:lineRule="exact"/>
        <w:jc w:val="both"/>
        <w:ind w:leftChars="200" w:hangingChars="200" w:left="560" w:hanging="560"/>
      </w:pPr>
      <w:r>
        <w:rPr>
          <w:rFonts w:ascii="Times New Roman" w:hAnsi="Times New Roman" w:eastAsia="仿宋_GB2312"/>
          <w:b w:val="0"/>
          <w:sz w:val="28"/>
        </w:rPr>
        <w:t>[16] 刘炜彬, 梁咏秋, 李锡刚, 等. 面向精细化规划的容载比参数优化方法研究[J]. 电气工程学报, 2025, 20(1): 208-217.</w:t>
      </w:r>
    </w:p>
    <w:p>
      <w:pPr>
        <w:spacing w:before="0" w:after="0" w:line="560" w:lineRule="exact"/>
        <w:jc w:val="both"/>
        <w:ind w:leftChars="200" w:hangingChars="200" w:left="560" w:hanging="560"/>
      </w:pPr>
      <w:r>
        <w:rPr>
          <w:rFonts w:ascii="Times New Roman" w:hAnsi="Times New Roman" w:eastAsia="仿宋_GB2312"/>
          <w:b w:val="0"/>
          <w:sz w:val="28"/>
        </w:rPr>
        <w:t>[17] 王守相, 尹孜阳, 赵倩宇. 考虑多供电层级耦合的中低压配电网分布式光伏承载力一体化精细评估方法[J]. 电工技术学报, 2025, 40(6): 1930-1944.</w:t>
      </w:r>
    </w:p>
    <w:p>
      <w:pPr>
        <w:spacing w:before="0" w:after="0" w:line="560" w:lineRule="exact"/>
        <w:jc w:val="both"/>
        <w:ind w:leftChars="200" w:hangingChars="200" w:left="560" w:hanging="560"/>
      </w:pPr>
      <w:r>
        <w:rPr>
          <w:rFonts w:ascii="Times New Roman" w:hAnsi="Times New Roman" w:eastAsia="仿宋_GB2312"/>
          <w:b w:val="0"/>
          <w:sz w:val="28"/>
        </w:rPr>
        <w:t>[18] 龚锐, 李华强, 许立雄. 面向配电网综合承载力提升的储能优化配置方法[J]. 电网技术, 2025, 49(9): 3860-3869.</w:t>
      </w:r>
    </w:p>
    <w:p>
      <w:pPr>
        <w:spacing w:before="0" w:after="0" w:line="560" w:lineRule="exact"/>
        <w:jc w:val="both"/>
        <w:ind w:leftChars="200" w:hangingChars="200" w:left="560" w:hanging="560"/>
      </w:pPr>
      <w:r>
        <w:rPr>
          <w:rFonts w:ascii="Times New Roman" w:hAnsi="Times New Roman" w:eastAsia="仿宋_GB2312"/>
          <w:b w:val="0"/>
          <w:sz w:val="28"/>
        </w:rPr>
        <w:t>[19] 梁志峰, 康重庆, 隋凌峰, 等. 含高比例分布式光伏的主配网运行风险评估与防控策略研究[J]. 清华大学学报（自然科学版）, 2024, 64(11): 1964-1978.</w:t>
      </w:r>
    </w:p>
    <w:p>
      <w:pPr>
        <w:spacing w:before="0" w:after="0" w:line="560" w:lineRule="exact"/>
        <w:jc w:val="both"/>
        <w:ind w:leftChars="200" w:hangingChars="200" w:left="560" w:hanging="560"/>
      </w:pPr>
      <w:r>
        <w:rPr>
          <w:rFonts w:ascii="Times New Roman" w:hAnsi="Times New Roman" w:eastAsia="仿宋_GB2312"/>
          <w:b w:val="0"/>
          <w:sz w:val="28"/>
        </w:rPr>
        <w:t>[20] 徐峰亮, 王克谦, 等. 计及运行灵活性的中压配电系统源—网—储协同扩展规划[J]. 中国电力, 2024, 57(7): 98-108.</w:t>
      </w:r>
    </w:p>
    <w:sectPr>
      <w:headerReference w:type="default" r:id="rId11"/>
      <w:footerReference w:type="default" r:id="rId12"/>
      <w:pgSz w:w="11906" w:h="16838"/>
      <w:pgMar w:top="1440" w:right="1797" w:bottom="1440" w:left="1797" w:header="851" w:footer="992" w:gutter="0"/>
      <w:pgNumType w:fmt="numberInDash" w:start="1"/>
      <w:cols w:space="425" w:num="1"/>
      <w:docGrid w:linePitch="435"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Times">
    <w:altName w:val="Sylfaen"/>
    <w:panose1 w:val="02020603050405020304"/>
    <w:charset w:val="00"/>
    <w:family w:val="roman"/>
    <w:pitch w:val="default"/>
    <w:sig w:usb0="00000000" w:usb1="00000000" w:usb2="00000009" w:usb3="00000000" w:csb0="000001FF" w:csb1="00000000"/>
  </w:font>
  <w:font w:name="方正仿宋_GBK">
    <w:panose1 w:val="03000509000000000000"/>
    <w:charset w:val="86"/>
    <w:family w:val="script"/>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lfaen">
    <w:panose1 w:val="010A0502050306030303"/>
    <w:charset w:val="00"/>
    <w:family w:val="auto"/>
    <w:pitch w:val="default"/>
    <w:sig w:usb0="040006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61619583"/>
      <w:docPartObj>
        <w:docPartGallery w:val="autotext"/>
      </w:docPartObj>
    </w:sdtPr>
    <w:sdtContent>
      <w:p>
        <w:pPr>
          <w:pStyle w:val="17"/>
          <w:ind w:firstLine="360"/>
          <w:jc w:val="center"/>
        </w:pPr>
        <w:r>
          <w:fldChar w:fldCharType="begin"/>
        </w:r>
        <w:r>
          <w:instrText xml:space="preserve">PAGE   \* MERGEFORMAT</w:instrText>
        </w:r>
        <w:r>
          <w:fldChar w:fldCharType="separate"/>
        </w:r>
        <w:r>
          <w:rPr>
            <w:lang w:val="zh-CN"/>
          </w:rPr>
          <w:t>i</w:t>
        </w:r>
        <w:r>
          <w:fldChar w:fldCharType="end"/>
        </w:r>
      </w:p>
    </w:sdtContent>
  </w:sdt>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ind w:firstLine="0" w:firstLineChars="0"/>
    </w:pPr>
    <w:r>
      <w:fldChar w:fldCharType="begin" w:dirty="true"/>
      <w:instrText xml:space="preserve"> PAGE </w:instrText>
      <w:fldChar w:fldCharType="separate"/>
    </w:r>
    <w:r>
      <w:rPr>
        <w:rFonts w:ascii="Times New Roman" w:hAnsi="Times New Roman" w:eastAsia="仿宋_GB2312"/>
        <w:b w:val="0"/>
        <w:sz w:val="18"/>
      </w:rP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ind w:firstLine="0" w:firstLineChars="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rPr>
        <w:rFonts w:hint="default" w:eastAsia="仿宋_GB2312"/>
        <w:bCs/>
        <w:sz w:val="2"/>
        <w:szCs w:val="2"/>
        <w:lang w:val="en-US" w:eastAsia="zh-CN"/>
      </w:rPr>
    </w:pPr>
    <w:r>
      <w:rPr>
        <w:rFonts w:hint="eastAsia" w:ascii="仿宋_GB2312" w:hAnsi="黑体"/>
        <w:bCs/>
        <w:lang w:val="en-US" w:eastAsia="zh-CN"/>
      </w:rPr>
      <w:t>XX项目</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5D4B73"/>
    <w:multiLevelType w:val="multilevel"/>
    <w:tmpl w:val="4C5D4B73"/>
    <w:lvl w:ilvl="0" w:tentative="0">
      <w:start w:val="1"/>
      <w:numFmt w:val="decimal"/>
      <w:pStyle w:val="2"/>
      <w:lvlText w:val="%1"/>
      <w:lvlJc w:val="left"/>
      <w:pPr>
        <w:ind w:left="420" w:hanging="420"/>
      </w:pPr>
      <w:rPr>
        <w:rFonts w:hint="default" w:ascii="Times New Roman" w:hAnsi="Times New Roman" w:cs="Times New Roman"/>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440" w:hanging="144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2160" w:hanging="2160"/>
      </w:pPr>
      <w:rPr>
        <w:rFonts w:hint="default"/>
      </w:rPr>
    </w:lvl>
    <w:lvl w:ilvl="8" w:tentative="0">
      <w:start w:val="1"/>
      <w:numFmt w:val="decimal"/>
      <w:isLgl/>
      <w:lvlText w:val="%1.%2.%3.%4.%5.%6.%7.%8.%9"/>
      <w:lvlJc w:val="left"/>
      <w:pPr>
        <w:ind w:left="216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1"/>
  <w:bordersDoNotSurroundFooter w:val="1"/>
  <w:hideSpellingErrors/>
  <w:documentProtection w:enforcement="0"/>
  <w:defaultTabStop w:val="420"/>
  <w:drawingGridHorizontalSpacing w:val="140"/>
  <w:drawingGridVerticalSpacing w:val="381"/>
  <w:displayHorizontalDrawingGridEvery w:val="0"/>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24E8"/>
    <w:rsid w:val="00000B54"/>
    <w:rsid w:val="000014BC"/>
    <w:rsid w:val="000038EF"/>
    <w:rsid w:val="0000541D"/>
    <w:rsid w:val="00005AA3"/>
    <w:rsid w:val="00005F1B"/>
    <w:rsid w:val="0000600D"/>
    <w:rsid w:val="000063C4"/>
    <w:rsid w:val="00007D9B"/>
    <w:rsid w:val="00007EF1"/>
    <w:rsid w:val="00013BF7"/>
    <w:rsid w:val="00015938"/>
    <w:rsid w:val="000166BC"/>
    <w:rsid w:val="00016810"/>
    <w:rsid w:val="0002367D"/>
    <w:rsid w:val="000237D3"/>
    <w:rsid w:val="000248E9"/>
    <w:rsid w:val="00025DA3"/>
    <w:rsid w:val="000262BA"/>
    <w:rsid w:val="00026585"/>
    <w:rsid w:val="000266D4"/>
    <w:rsid w:val="00027288"/>
    <w:rsid w:val="00030431"/>
    <w:rsid w:val="0003061F"/>
    <w:rsid w:val="00031D8A"/>
    <w:rsid w:val="00033CBD"/>
    <w:rsid w:val="00034D73"/>
    <w:rsid w:val="000351E9"/>
    <w:rsid w:val="00035491"/>
    <w:rsid w:val="000356B0"/>
    <w:rsid w:val="000357B8"/>
    <w:rsid w:val="000371DB"/>
    <w:rsid w:val="00037EB7"/>
    <w:rsid w:val="0004167B"/>
    <w:rsid w:val="00042F31"/>
    <w:rsid w:val="00043404"/>
    <w:rsid w:val="00043E52"/>
    <w:rsid w:val="00045CB4"/>
    <w:rsid w:val="00046559"/>
    <w:rsid w:val="0004741B"/>
    <w:rsid w:val="00047B2A"/>
    <w:rsid w:val="00047BDF"/>
    <w:rsid w:val="000507EF"/>
    <w:rsid w:val="00051411"/>
    <w:rsid w:val="00051A97"/>
    <w:rsid w:val="000523EF"/>
    <w:rsid w:val="00052C80"/>
    <w:rsid w:val="00053042"/>
    <w:rsid w:val="000533BA"/>
    <w:rsid w:val="000541E4"/>
    <w:rsid w:val="00056F8A"/>
    <w:rsid w:val="000572C3"/>
    <w:rsid w:val="000573C4"/>
    <w:rsid w:val="00057405"/>
    <w:rsid w:val="00057899"/>
    <w:rsid w:val="00060EAF"/>
    <w:rsid w:val="00060F99"/>
    <w:rsid w:val="00061615"/>
    <w:rsid w:val="00061FA9"/>
    <w:rsid w:val="0006266A"/>
    <w:rsid w:val="00063E91"/>
    <w:rsid w:val="00064062"/>
    <w:rsid w:val="00064CAC"/>
    <w:rsid w:val="000659F1"/>
    <w:rsid w:val="000677F1"/>
    <w:rsid w:val="0007082D"/>
    <w:rsid w:val="0007135E"/>
    <w:rsid w:val="00072063"/>
    <w:rsid w:val="00072ADB"/>
    <w:rsid w:val="00073DDA"/>
    <w:rsid w:val="00076830"/>
    <w:rsid w:val="000817EE"/>
    <w:rsid w:val="00082508"/>
    <w:rsid w:val="00083982"/>
    <w:rsid w:val="00085046"/>
    <w:rsid w:val="000868B9"/>
    <w:rsid w:val="00086A8C"/>
    <w:rsid w:val="00087134"/>
    <w:rsid w:val="0009174E"/>
    <w:rsid w:val="00093C5C"/>
    <w:rsid w:val="00095685"/>
    <w:rsid w:val="00095B2F"/>
    <w:rsid w:val="000969E2"/>
    <w:rsid w:val="00097867"/>
    <w:rsid w:val="000A2045"/>
    <w:rsid w:val="000A2714"/>
    <w:rsid w:val="000A34D5"/>
    <w:rsid w:val="000A5114"/>
    <w:rsid w:val="000A5A5B"/>
    <w:rsid w:val="000A61EF"/>
    <w:rsid w:val="000A63A1"/>
    <w:rsid w:val="000A6B47"/>
    <w:rsid w:val="000A73F3"/>
    <w:rsid w:val="000A7F86"/>
    <w:rsid w:val="000B02FC"/>
    <w:rsid w:val="000B0507"/>
    <w:rsid w:val="000B0CAA"/>
    <w:rsid w:val="000B0FFE"/>
    <w:rsid w:val="000B113F"/>
    <w:rsid w:val="000B1218"/>
    <w:rsid w:val="000B4063"/>
    <w:rsid w:val="000B4A18"/>
    <w:rsid w:val="000B6C9F"/>
    <w:rsid w:val="000C0878"/>
    <w:rsid w:val="000C2991"/>
    <w:rsid w:val="000C2F51"/>
    <w:rsid w:val="000C4556"/>
    <w:rsid w:val="000C54CF"/>
    <w:rsid w:val="000C5C38"/>
    <w:rsid w:val="000C7AFC"/>
    <w:rsid w:val="000D08B0"/>
    <w:rsid w:val="000D0B68"/>
    <w:rsid w:val="000D1AAC"/>
    <w:rsid w:val="000D23E2"/>
    <w:rsid w:val="000D4918"/>
    <w:rsid w:val="000D51CB"/>
    <w:rsid w:val="000D631E"/>
    <w:rsid w:val="000D6605"/>
    <w:rsid w:val="000D770F"/>
    <w:rsid w:val="000D7A26"/>
    <w:rsid w:val="000D7EB8"/>
    <w:rsid w:val="000E00FD"/>
    <w:rsid w:val="000E5501"/>
    <w:rsid w:val="000E5AE7"/>
    <w:rsid w:val="000E7527"/>
    <w:rsid w:val="000F2264"/>
    <w:rsid w:val="000F2763"/>
    <w:rsid w:val="000F4822"/>
    <w:rsid w:val="000F4A9E"/>
    <w:rsid w:val="000F4DC0"/>
    <w:rsid w:val="000F6026"/>
    <w:rsid w:val="000F635C"/>
    <w:rsid w:val="000F6896"/>
    <w:rsid w:val="000F6C61"/>
    <w:rsid w:val="000F7062"/>
    <w:rsid w:val="0010112D"/>
    <w:rsid w:val="00101ADD"/>
    <w:rsid w:val="00101B3D"/>
    <w:rsid w:val="00104A4A"/>
    <w:rsid w:val="001058BB"/>
    <w:rsid w:val="0011017D"/>
    <w:rsid w:val="00111008"/>
    <w:rsid w:val="00111686"/>
    <w:rsid w:val="001118F4"/>
    <w:rsid w:val="00113EE3"/>
    <w:rsid w:val="001160E7"/>
    <w:rsid w:val="0011687B"/>
    <w:rsid w:val="00122B8E"/>
    <w:rsid w:val="00125069"/>
    <w:rsid w:val="00126811"/>
    <w:rsid w:val="001300F6"/>
    <w:rsid w:val="00131E14"/>
    <w:rsid w:val="0013234A"/>
    <w:rsid w:val="00132675"/>
    <w:rsid w:val="00133298"/>
    <w:rsid w:val="001357E9"/>
    <w:rsid w:val="00135CA5"/>
    <w:rsid w:val="001413DA"/>
    <w:rsid w:val="0014280C"/>
    <w:rsid w:val="00143586"/>
    <w:rsid w:val="00143608"/>
    <w:rsid w:val="00143ECD"/>
    <w:rsid w:val="00144D04"/>
    <w:rsid w:val="001454AC"/>
    <w:rsid w:val="00145F65"/>
    <w:rsid w:val="001462F2"/>
    <w:rsid w:val="0014759D"/>
    <w:rsid w:val="00147EB2"/>
    <w:rsid w:val="001508AA"/>
    <w:rsid w:val="00150FB4"/>
    <w:rsid w:val="00151261"/>
    <w:rsid w:val="00151272"/>
    <w:rsid w:val="00153E40"/>
    <w:rsid w:val="00154484"/>
    <w:rsid w:val="0015499A"/>
    <w:rsid w:val="00154B34"/>
    <w:rsid w:val="0015563D"/>
    <w:rsid w:val="00155C96"/>
    <w:rsid w:val="00160C0A"/>
    <w:rsid w:val="001627E7"/>
    <w:rsid w:val="00162BF2"/>
    <w:rsid w:val="00163250"/>
    <w:rsid w:val="001634A5"/>
    <w:rsid w:val="001650C8"/>
    <w:rsid w:val="00167AC3"/>
    <w:rsid w:val="00170775"/>
    <w:rsid w:val="001712A3"/>
    <w:rsid w:val="001712E8"/>
    <w:rsid w:val="001730E4"/>
    <w:rsid w:val="00174F44"/>
    <w:rsid w:val="00174FEA"/>
    <w:rsid w:val="00176A34"/>
    <w:rsid w:val="001801D0"/>
    <w:rsid w:val="00180BD6"/>
    <w:rsid w:val="001820A9"/>
    <w:rsid w:val="001840CB"/>
    <w:rsid w:val="0018643C"/>
    <w:rsid w:val="00187D63"/>
    <w:rsid w:val="00191D1E"/>
    <w:rsid w:val="00191DA7"/>
    <w:rsid w:val="0019202B"/>
    <w:rsid w:val="00192230"/>
    <w:rsid w:val="00194833"/>
    <w:rsid w:val="0019565C"/>
    <w:rsid w:val="00195E72"/>
    <w:rsid w:val="00196855"/>
    <w:rsid w:val="001971F3"/>
    <w:rsid w:val="001977C4"/>
    <w:rsid w:val="00197CDA"/>
    <w:rsid w:val="001A0836"/>
    <w:rsid w:val="001A1B3A"/>
    <w:rsid w:val="001A1B46"/>
    <w:rsid w:val="001A1E11"/>
    <w:rsid w:val="001A1E62"/>
    <w:rsid w:val="001A2114"/>
    <w:rsid w:val="001A3245"/>
    <w:rsid w:val="001A6A12"/>
    <w:rsid w:val="001A6ADE"/>
    <w:rsid w:val="001A74AA"/>
    <w:rsid w:val="001B0FA3"/>
    <w:rsid w:val="001B1A31"/>
    <w:rsid w:val="001B31AA"/>
    <w:rsid w:val="001B3D67"/>
    <w:rsid w:val="001B5671"/>
    <w:rsid w:val="001B5BC7"/>
    <w:rsid w:val="001C01FF"/>
    <w:rsid w:val="001C06B1"/>
    <w:rsid w:val="001C0797"/>
    <w:rsid w:val="001C0B02"/>
    <w:rsid w:val="001C1129"/>
    <w:rsid w:val="001C167A"/>
    <w:rsid w:val="001C1C02"/>
    <w:rsid w:val="001C1F06"/>
    <w:rsid w:val="001C2459"/>
    <w:rsid w:val="001C2EA6"/>
    <w:rsid w:val="001C3D48"/>
    <w:rsid w:val="001C6026"/>
    <w:rsid w:val="001C60D6"/>
    <w:rsid w:val="001C649A"/>
    <w:rsid w:val="001C6697"/>
    <w:rsid w:val="001C7ACC"/>
    <w:rsid w:val="001D08E1"/>
    <w:rsid w:val="001D0E52"/>
    <w:rsid w:val="001D2291"/>
    <w:rsid w:val="001D41C1"/>
    <w:rsid w:val="001D6232"/>
    <w:rsid w:val="001D673B"/>
    <w:rsid w:val="001D6B8A"/>
    <w:rsid w:val="001D6CB1"/>
    <w:rsid w:val="001D7BCC"/>
    <w:rsid w:val="001E0FC6"/>
    <w:rsid w:val="001E18C3"/>
    <w:rsid w:val="001E314D"/>
    <w:rsid w:val="001E5AA0"/>
    <w:rsid w:val="001E67C4"/>
    <w:rsid w:val="001E6EB4"/>
    <w:rsid w:val="001E711A"/>
    <w:rsid w:val="001E7480"/>
    <w:rsid w:val="001E7F65"/>
    <w:rsid w:val="001F0D30"/>
    <w:rsid w:val="001F1D25"/>
    <w:rsid w:val="001F2668"/>
    <w:rsid w:val="001F530A"/>
    <w:rsid w:val="001F5BE4"/>
    <w:rsid w:val="001F5F73"/>
    <w:rsid w:val="001F7D4C"/>
    <w:rsid w:val="00200630"/>
    <w:rsid w:val="00200E72"/>
    <w:rsid w:val="002036B9"/>
    <w:rsid w:val="00203D60"/>
    <w:rsid w:val="002043AD"/>
    <w:rsid w:val="00205D83"/>
    <w:rsid w:val="00205EB3"/>
    <w:rsid w:val="00206F99"/>
    <w:rsid w:val="002110FA"/>
    <w:rsid w:val="002111A8"/>
    <w:rsid w:val="00211323"/>
    <w:rsid w:val="002116B2"/>
    <w:rsid w:val="00213875"/>
    <w:rsid w:val="00215611"/>
    <w:rsid w:val="0022016C"/>
    <w:rsid w:val="002203DA"/>
    <w:rsid w:val="0022048E"/>
    <w:rsid w:val="002205B9"/>
    <w:rsid w:val="00220BB9"/>
    <w:rsid w:val="002225DB"/>
    <w:rsid w:val="0022272C"/>
    <w:rsid w:val="00222751"/>
    <w:rsid w:val="0022478D"/>
    <w:rsid w:val="00227083"/>
    <w:rsid w:val="00230599"/>
    <w:rsid w:val="00230BBC"/>
    <w:rsid w:val="00231665"/>
    <w:rsid w:val="00233ECB"/>
    <w:rsid w:val="00233F2F"/>
    <w:rsid w:val="002413A1"/>
    <w:rsid w:val="00241ED5"/>
    <w:rsid w:val="0024387B"/>
    <w:rsid w:val="002451F9"/>
    <w:rsid w:val="00246E2D"/>
    <w:rsid w:val="002511C6"/>
    <w:rsid w:val="00251E6D"/>
    <w:rsid w:val="002520B1"/>
    <w:rsid w:val="00252DFB"/>
    <w:rsid w:val="002548EE"/>
    <w:rsid w:val="002549B8"/>
    <w:rsid w:val="0025628A"/>
    <w:rsid w:val="00256754"/>
    <w:rsid w:val="00260D3D"/>
    <w:rsid w:val="00260ED2"/>
    <w:rsid w:val="0026191E"/>
    <w:rsid w:val="002621ED"/>
    <w:rsid w:val="002631F0"/>
    <w:rsid w:val="0026658D"/>
    <w:rsid w:val="00266CE8"/>
    <w:rsid w:val="00270D0F"/>
    <w:rsid w:val="00271644"/>
    <w:rsid w:val="00271A4D"/>
    <w:rsid w:val="00271CEC"/>
    <w:rsid w:val="002722D9"/>
    <w:rsid w:val="00272335"/>
    <w:rsid w:val="002729F9"/>
    <w:rsid w:val="00273A54"/>
    <w:rsid w:val="00274649"/>
    <w:rsid w:val="002770FF"/>
    <w:rsid w:val="002771E1"/>
    <w:rsid w:val="00280BA9"/>
    <w:rsid w:val="00281893"/>
    <w:rsid w:val="00283727"/>
    <w:rsid w:val="00283993"/>
    <w:rsid w:val="0028407C"/>
    <w:rsid w:val="00284185"/>
    <w:rsid w:val="00285AF1"/>
    <w:rsid w:val="00286762"/>
    <w:rsid w:val="00287868"/>
    <w:rsid w:val="0029349D"/>
    <w:rsid w:val="0029457B"/>
    <w:rsid w:val="00294908"/>
    <w:rsid w:val="00294E0B"/>
    <w:rsid w:val="00295135"/>
    <w:rsid w:val="002958CA"/>
    <w:rsid w:val="00295CA3"/>
    <w:rsid w:val="002968B7"/>
    <w:rsid w:val="0029789F"/>
    <w:rsid w:val="0029795C"/>
    <w:rsid w:val="002A08E1"/>
    <w:rsid w:val="002A204A"/>
    <w:rsid w:val="002A2834"/>
    <w:rsid w:val="002A2EA9"/>
    <w:rsid w:val="002A34EE"/>
    <w:rsid w:val="002A38AB"/>
    <w:rsid w:val="002A4852"/>
    <w:rsid w:val="002A4F80"/>
    <w:rsid w:val="002A600D"/>
    <w:rsid w:val="002A6328"/>
    <w:rsid w:val="002A76E1"/>
    <w:rsid w:val="002A7BB2"/>
    <w:rsid w:val="002B044A"/>
    <w:rsid w:val="002B0EB1"/>
    <w:rsid w:val="002B2DB6"/>
    <w:rsid w:val="002B3029"/>
    <w:rsid w:val="002B30BB"/>
    <w:rsid w:val="002B41D2"/>
    <w:rsid w:val="002B4D7B"/>
    <w:rsid w:val="002B744D"/>
    <w:rsid w:val="002B7A00"/>
    <w:rsid w:val="002B7B20"/>
    <w:rsid w:val="002B7D92"/>
    <w:rsid w:val="002C2A94"/>
    <w:rsid w:val="002C4F7F"/>
    <w:rsid w:val="002D0EBD"/>
    <w:rsid w:val="002D0FCB"/>
    <w:rsid w:val="002D15D3"/>
    <w:rsid w:val="002D1CD1"/>
    <w:rsid w:val="002D250B"/>
    <w:rsid w:val="002D4164"/>
    <w:rsid w:val="002D4E4C"/>
    <w:rsid w:val="002D6213"/>
    <w:rsid w:val="002E1897"/>
    <w:rsid w:val="002E23F4"/>
    <w:rsid w:val="002E2BAE"/>
    <w:rsid w:val="002E3943"/>
    <w:rsid w:val="002E4AE0"/>
    <w:rsid w:val="002E4CB6"/>
    <w:rsid w:val="002E4D72"/>
    <w:rsid w:val="002E55AF"/>
    <w:rsid w:val="002E5DD4"/>
    <w:rsid w:val="002E6097"/>
    <w:rsid w:val="002E6A9D"/>
    <w:rsid w:val="002F0265"/>
    <w:rsid w:val="002F05A2"/>
    <w:rsid w:val="002F11E5"/>
    <w:rsid w:val="002F19FE"/>
    <w:rsid w:val="002F2186"/>
    <w:rsid w:val="002F638E"/>
    <w:rsid w:val="002F64EF"/>
    <w:rsid w:val="002F6579"/>
    <w:rsid w:val="002F67A9"/>
    <w:rsid w:val="002F6C2C"/>
    <w:rsid w:val="002F6D15"/>
    <w:rsid w:val="002F6EBE"/>
    <w:rsid w:val="002F6FC6"/>
    <w:rsid w:val="002F7EEB"/>
    <w:rsid w:val="002F7F44"/>
    <w:rsid w:val="0030139F"/>
    <w:rsid w:val="0030160B"/>
    <w:rsid w:val="0030172A"/>
    <w:rsid w:val="003019ED"/>
    <w:rsid w:val="003025A7"/>
    <w:rsid w:val="00302624"/>
    <w:rsid w:val="00304B26"/>
    <w:rsid w:val="00305061"/>
    <w:rsid w:val="0030727D"/>
    <w:rsid w:val="0030728B"/>
    <w:rsid w:val="003079B0"/>
    <w:rsid w:val="00307CB4"/>
    <w:rsid w:val="00307E70"/>
    <w:rsid w:val="00307EA4"/>
    <w:rsid w:val="00311AFE"/>
    <w:rsid w:val="0031233E"/>
    <w:rsid w:val="003127E2"/>
    <w:rsid w:val="00312B00"/>
    <w:rsid w:val="00313CBC"/>
    <w:rsid w:val="00314263"/>
    <w:rsid w:val="003156E2"/>
    <w:rsid w:val="00315813"/>
    <w:rsid w:val="003164E1"/>
    <w:rsid w:val="0031699D"/>
    <w:rsid w:val="00317DA9"/>
    <w:rsid w:val="003200AD"/>
    <w:rsid w:val="00320F5E"/>
    <w:rsid w:val="0032186D"/>
    <w:rsid w:val="00322321"/>
    <w:rsid w:val="003251B7"/>
    <w:rsid w:val="00325865"/>
    <w:rsid w:val="00325D5B"/>
    <w:rsid w:val="00326118"/>
    <w:rsid w:val="00326441"/>
    <w:rsid w:val="00326AE8"/>
    <w:rsid w:val="00327493"/>
    <w:rsid w:val="00327A1D"/>
    <w:rsid w:val="003307A3"/>
    <w:rsid w:val="00330D62"/>
    <w:rsid w:val="00332CD0"/>
    <w:rsid w:val="00334A83"/>
    <w:rsid w:val="00334F18"/>
    <w:rsid w:val="003374EE"/>
    <w:rsid w:val="003402EA"/>
    <w:rsid w:val="00340950"/>
    <w:rsid w:val="003409C8"/>
    <w:rsid w:val="003417CA"/>
    <w:rsid w:val="003421E9"/>
    <w:rsid w:val="00342BB3"/>
    <w:rsid w:val="00343B5D"/>
    <w:rsid w:val="00343CD3"/>
    <w:rsid w:val="00344279"/>
    <w:rsid w:val="00350A82"/>
    <w:rsid w:val="00350F4B"/>
    <w:rsid w:val="0035126F"/>
    <w:rsid w:val="003540A2"/>
    <w:rsid w:val="003551A9"/>
    <w:rsid w:val="00355CDD"/>
    <w:rsid w:val="003567CF"/>
    <w:rsid w:val="00357EE1"/>
    <w:rsid w:val="00360236"/>
    <w:rsid w:val="003613C6"/>
    <w:rsid w:val="003624CF"/>
    <w:rsid w:val="003629AC"/>
    <w:rsid w:val="00362E46"/>
    <w:rsid w:val="00363A36"/>
    <w:rsid w:val="0036449B"/>
    <w:rsid w:val="00364630"/>
    <w:rsid w:val="003646FF"/>
    <w:rsid w:val="0036563D"/>
    <w:rsid w:val="00366022"/>
    <w:rsid w:val="00367682"/>
    <w:rsid w:val="003678BB"/>
    <w:rsid w:val="00367F50"/>
    <w:rsid w:val="0037028E"/>
    <w:rsid w:val="00371656"/>
    <w:rsid w:val="00372392"/>
    <w:rsid w:val="0037471D"/>
    <w:rsid w:val="00374D6B"/>
    <w:rsid w:val="00374E77"/>
    <w:rsid w:val="0037687E"/>
    <w:rsid w:val="0037760D"/>
    <w:rsid w:val="00377A3B"/>
    <w:rsid w:val="00377ED4"/>
    <w:rsid w:val="00380014"/>
    <w:rsid w:val="003830FF"/>
    <w:rsid w:val="003834C1"/>
    <w:rsid w:val="0038386B"/>
    <w:rsid w:val="00383873"/>
    <w:rsid w:val="00383A73"/>
    <w:rsid w:val="00384561"/>
    <w:rsid w:val="003878EE"/>
    <w:rsid w:val="00390967"/>
    <w:rsid w:val="00390D3F"/>
    <w:rsid w:val="00391D9C"/>
    <w:rsid w:val="003947BC"/>
    <w:rsid w:val="00396001"/>
    <w:rsid w:val="00396F7E"/>
    <w:rsid w:val="0039740E"/>
    <w:rsid w:val="003A0E9C"/>
    <w:rsid w:val="003A18B3"/>
    <w:rsid w:val="003A198F"/>
    <w:rsid w:val="003A22BA"/>
    <w:rsid w:val="003A338F"/>
    <w:rsid w:val="003A3E60"/>
    <w:rsid w:val="003A5510"/>
    <w:rsid w:val="003A561A"/>
    <w:rsid w:val="003A59C8"/>
    <w:rsid w:val="003A65C3"/>
    <w:rsid w:val="003A7090"/>
    <w:rsid w:val="003B0A5B"/>
    <w:rsid w:val="003B143B"/>
    <w:rsid w:val="003B3BAA"/>
    <w:rsid w:val="003B3D20"/>
    <w:rsid w:val="003B3DCF"/>
    <w:rsid w:val="003B56D7"/>
    <w:rsid w:val="003B6112"/>
    <w:rsid w:val="003B7C5C"/>
    <w:rsid w:val="003B7C99"/>
    <w:rsid w:val="003C01CD"/>
    <w:rsid w:val="003C1B12"/>
    <w:rsid w:val="003C27B2"/>
    <w:rsid w:val="003C2ADC"/>
    <w:rsid w:val="003C33C2"/>
    <w:rsid w:val="003C5894"/>
    <w:rsid w:val="003C65C1"/>
    <w:rsid w:val="003C6E18"/>
    <w:rsid w:val="003C7358"/>
    <w:rsid w:val="003C74A3"/>
    <w:rsid w:val="003D54AF"/>
    <w:rsid w:val="003D62CD"/>
    <w:rsid w:val="003E0865"/>
    <w:rsid w:val="003E0917"/>
    <w:rsid w:val="003E0D09"/>
    <w:rsid w:val="003E19AE"/>
    <w:rsid w:val="003E2338"/>
    <w:rsid w:val="003E3A77"/>
    <w:rsid w:val="003E4B3C"/>
    <w:rsid w:val="003E5BFF"/>
    <w:rsid w:val="003E6790"/>
    <w:rsid w:val="003E6E98"/>
    <w:rsid w:val="003F0926"/>
    <w:rsid w:val="003F0B85"/>
    <w:rsid w:val="003F25C7"/>
    <w:rsid w:val="003F2AF5"/>
    <w:rsid w:val="003F2BD7"/>
    <w:rsid w:val="003F2FA1"/>
    <w:rsid w:val="003F3DA6"/>
    <w:rsid w:val="003F598A"/>
    <w:rsid w:val="003F63FE"/>
    <w:rsid w:val="003F7BF0"/>
    <w:rsid w:val="00400F13"/>
    <w:rsid w:val="0040178D"/>
    <w:rsid w:val="00402B45"/>
    <w:rsid w:val="00402E7F"/>
    <w:rsid w:val="00403299"/>
    <w:rsid w:val="00403B75"/>
    <w:rsid w:val="00404F04"/>
    <w:rsid w:val="00404F19"/>
    <w:rsid w:val="00404FCD"/>
    <w:rsid w:val="0040516B"/>
    <w:rsid w:val="00405235"/>
    <w:rsid w:val="00405476"/>
    <w:rsid w:val="00406D6A"/>
    <w:rsid w:val="00406FCB"/>
    <w:rsid w:val="00407C04"/>
    <w:rsid w:val="00410AB9"/>
    <w:rsid w:val="00410B16"/>
    <w:rsid w:val="004113EC"/>
    <w:rsid w:val="00411C1B"/>
    <w:rsid w:val="00412944"/>
    <w:rsid w:val="004136A7"/>
    <w:rsid w:val="00414AE9"/>
    <w:rsid w:val="00415693"/>
    <w:rsid w:val="00415EDE"/>
    <w:rsid w:val="00416F66"/>
    <w:rsid w:val="00417299"/>
    <w:rsid w:val="00417C4B"/>
    <w:rsid w:val="00420B37"/>
    <w:rsid w:val="004225CE"/>
    <w:rsid w:val="004231CC"/>
    <w:rsid w:val="00426181"/>
    <w:rsid w:val="00426189"/>
    <w:rsid w:val="00426FA8"/>
    <w:rsid w:val="00427F12"/>
    <w:rsid w:val="0043360D"/>
    <w:rsid w:val="00433E21"/>
    <w:rsid w:val="004341C8"/>
    <w:rsid w:val="004347FA"/>
    <w:rsid w:val="00434D40"/>
    <w:rsid w:val="00435172"/>
    <w:rsid w:val="00435CDC"/>
    <w:rsid w:val="0044402E"/>
    <w:rsid w:val="00445530"/>
    <w:rsid w:val="004467DE"/>
    <w:rsid w:val="00447D27"/>
    <w:rsid w:val="0045077D"/>
    <w:rsid w:val="00450FD8"/>
    <w:rsid w:val="00451DCE"/>
    <w:rsid w:val="00453E5C"/>
    <w:rsid w:val="004552CB"/>
    <w:rsid w:val="00455338"/>
    <w:rsid w:val="0045593D"/>
    <w:rsid w:val="00456170"/>
    <w:rsid w:val="00456B99"/>
    <w:rsid w:val="00456EE0"/>
    <w:rsid w:val="00461266"/>
    <w:rsid w:val="00461C5F"/>
    <w:rsid w:val="00461D85"/>
    <w:rsid w:val="00461E94"/>
    <w:rsid w:val="00463BD6"/>
    <w:rsid w:val="00465F5C"/>
    <w:rsid w:val="00466F92"/>
    <w:rsid w:val="004672C7"/>
    <w:rsid w:val="004673C1"/>
    <w:rsid w:val="004673DB"/>
    <w:rsid w:val="00467ACF"/>
    <w:rsid w:val="00470A08"/>
    <w:rsid w:val="004711AC"/>
    <w:rsid w:val="00472EFA"/>
    <w:rsid w:val="004746BE"/>
    <w:rsid w:val="00475B8A"/>
    <w:rsid w:val="004760A1"/>
    <w:rsid w:val="0048012D"/>
    <w:rsid w:val="0048038C"/>
    <w:rsid w:val="0048287F"/>
    <w:rsid w:val="004841A3"/>
    <w:rsid w:val="00486054"/>
    <w:rsid w:val="00487D38"/>
    <w:rsid w:val="00490733"/>
    <w:rsid w:val="0049304E"/>
    <w:rsid w:val="00494088"/>
    <w:rsid w:val="004941B0"/>
    <w:rsid w:val="00495746"/>
    <w:rsid w:val="00495787"/>
    <w:rsid w:val="00496D54"/>
    <w:rsid w:val="004A0756"/>
    <w:rsid w:val="004A1C15"/>
    <w:rsid w:val="004A39E2"/>
    <w:rsid w:val="004A3BF6"/>
    <w:rsid w:val="004A4DC3"/>
    <w:rsid w:val="004A50EF"/>
    <w:rsid w:val="004A613E"/>
    <w:rsid w:val="004A6EF3"/>
    <w:rsid w:val="004A75C3"/>
    <w:rsid w:val="004B080E"/>
    <w:rsid w:val="004B0BAF"/>
    <w:rsid w:val="004B0E29"/>
    <w:rsid w:val="004B1274"/>
    <w:rsid w:val="004B43BA"/>
    <w:rsid w:val="004B6488"/>
    <w:rsid w:val="004C00F9"/>
    <w:rsid w:val="004C113C"/>
    <w:rsid w:val="004C3014"/>
    <w:rsid w:val="004C340C"/>
    <w:rsid w:val="004C411C"/>
    <w:rsid w:val="004C5E89"/>
    <w:rsid w:val="004C62CC"/>
    <w:rsid w:val="004C6ECE"/>
    <w:rsid w:val="004C7018"/>
    <w:rsid w:val="004D0E53"/>
    <w:rsid w:val="004D27B6"/>
    <w:rsid w:val="004D2B1E"/>
    <w:rsid w:val="004D2DCB"/>
    <w:rsid w:val="004D375F"/>
    <w:rsid w:val="004D3F82"/>
    <w:rsid w:val="004D41E2"/>
    <w:rsid w:val="004D57CF"/>
    <w:rsid w:val="004D6B49"/>
    <w:rsid w:val="004D6D50"/>
    <w:rsid w:val="004D7BFB"/>
    <w:rsid w:val="004E1E24"/>
    <w:rsid w:val="004E2A66"/>
    <w:rsid w:val="004E387D"/>
    <w:rsid w:val="004E3C29"/>
    <w:rsid w:val="004E3D74"/>
    <w:rsid w:val="004E6FA3"/>
    <w:rsid w:val="004E72A9"/>
    <w:rsid w:val="004F220E"/>
    <w:rsid w:val="004F2D32"/>
    <w:rsid w:val="004F3766"/>
    <w:rsid w:val="004F62AD"/>
    <w:rsid w:val="004F6B6B"/>
    <w:rsid w:val="004F6BCF"/>
    <w:rsid w:val="004F6F6C"/>
    <w:rsid w:val="004F72A5"/>
    <w:rsid w:val="00500729"/>
    <w:rsid w:val="00503B03"/>
    <w:rsid w:val="00504202"/>
    <w:rsid w:val="00505311"/>
    <w:rsid w:val="00506CAB"/>
    <w:rsid w:val="005114B1"/>
    <w:rsid w:val="00512528"/>
    <w:rsid w:val="00513664"/>
    <w:rsid w:val="00513673"/>
    <w:rsid w:val="005142EA"/>
    <w:rsid w:val="00514BC8"/>
    <w:rsid w:val="005156AA"/>
    <w:rsid w:val="00516B56"/>
    <w:rsid w:val="00517AC0"/>
    <w:rsid w:val="0052122D"/>
    <w:rsid w:val="0052142E"/>
    <w:rsid w:val="00521CBA"/>
    <w:rsid w:val="00522D17"/>
    <w:rsid w:val="00523B82"/>
    <w:rsid w:val="00524675"/>
    <w:rsid w:val="005259CA"/>
    <w:rsid w:val="00526363"/>
    <w:rsid w:val="00527BC4"/>
    <w:rsid w:val="0053197B"/>
    <w:rsid w:val="0053257D"/>
    <w:rsid w:val="005348E6"/>
    <w:rsid w:val="00534C3F"/>
    <w:rsid w:val="005360B0"/>
    <w:rsid w:val="00537545"/>
    <w:rsid w:val="005377AF"/>
    <w:rsid w:val="00537804"/>
    <w:rsid w:val="00541C90"/>
    <w:rsid w:val="00543B87"/>
    <w:rsid w:val="00544A58"/>
    <w:rsid w:val="005451BA"/>
    <w:rsid w:val="005466AD"/>
    <w:rsid w:val="00546C3D"/>
    <w:rsid w:val="00547783"/>
    <w:rsid w:val="005505A5"/>
    <w:rsid w:val="00552E92"/>
    <w:rsid w:val="00553570"/>
    <w:rsid w:val="00553DC3"/>
    <w:rsid w:val="005548C9"/>
    <w:rsid w:val="00554A14"/>
    <w:rsid w:val="005558FC"/>
    <w:rsid w:val="00555A01"/>
    <w:rsid w:val="005562EB"/>
    <w:rsid w:val="00556BE0"/>
    <w:rsid w:val="00560332"/>
    <w:rsid w:val="00560ED6"/>
    <w:rsid w:val="00561B87"/>
    <w:rsid w:val="00561FE7"/>
    <w:rsid w:val="00562339"/>
    <w:rsid w:val="00563138"/>
    <w:rsid w:val="00563401"/>
    <w:rsid w:val="00564227"/>
    <w:rsid w:val="00566C78"/>
    <w:rsid w:val="00567DF6"/>
    <w:rsid w:val="00570030"/>
    <w:rsid w:val="00571150"/>
    <w:rsid w:val="0057137A"/>
    <w:rsid w:val="00573106"/>
    <w:rsid w:val="00573D26"/>
    <w:rsid w:val="00574A15"/>
    <w:rsid w:val="0057549E"/>
    <w:rsid w:val="00576046"/>
    <w:rsid w:val="005762AC"/>
    <w:rsid w:val="005804B9"/>
    <w:rsid w:val="00580DB1"/>
    <w:rsid w:val="005816E1"/>
    <w:rsid w:val="0058269B"/>
    <w:rsid w:val="005847C0"/>
    <w:rsid w:val="005853A5"/>
    <w:rsid w:val="00586845"/>
    <w:rsid w:val="00586951"/>
    <w:rsid w:val="005874E2"/>
    <w:rsid w:val="00590690"/>
    <w:rsid w:val="0059101C"/>
    <w:rsid w:val="00591375"/>
    <w:rsid w:val="00594A80"/>
    <w:rsid w:val="00594DEE"/>
    <w:rsid w:val="00595183"/>
    <w:rsid w:val="0059651D"/>
    <w:rsid w:val="0059759A"/>
    <w:rsid w:val="00597954"/>
    <w:rsid w:val="00597CD7"/>
    <w:rsid w:val="005A048C"/>
    <w:rsid w:val="005A068E"/>
    <w:rsid w:val="005A15C8"/>
    <w:rsid w:val="005A2082"/>
    <w:rsid w:val="005A29F4"/>
    <w:rsid w:val="005A3547"/>
    <w:rsid w:val="005A39BD"/>
    <w:rsid w:val="005A40EA"/>
    <w:rsid w:val="005A5848"/>
    <w:rsid w:val="005A7E4D"/>
    <w:rsid w:val="005B0270"/>
    <w:rsid w:val="005B03AC"/>
    <w:rsid w:val="005B5CAA"/>
    <w:rsid w:val="005B7B3A"/>
    <w:rsid w:val="005B7DB1"/>
    <w:rsid w:val="005C0133"/>
    <w:rsid w:val="005C0488"/>
    <w:rsid w:val="005C1F97"/>
    <w:rsid w:val="005C2424"/>
    <w:rsid w:val="005C2683"/>
    <w:rsid w:val="005C3ECF"/>
    <w:rsid w:val="005C4278"/>
    <w:rsid w:val="005C6B55"/>
    <w:rsid w:val="005C7132"/>
    <w:rsid w:val="005C7B13"/>
    <w:rsid w:val="005D0913"/>
    <w:rsid w:val="005D2B79"/>
    <w:rsid w:val="005D3E0A"/>
    <w:rsid w:val="005D4793"/>
    <w:rsid w:val="005D4E17"/>
    <w:rsid w:val="005D647C"/>
    <w:rsid w:val="005D71C9"/>
    <w:rsid w:val="005E0450"/>
    <w:rsid w:val="005E0F44"/>
    <w:rsid w:val="005E1061"/>
    <w:rsid w:val="005E1450"/>
    <w:rsid w:val="005E14A9"/>
    <w:rsid w:val="005E1EB9"/>
    <w:rsid w:val="005E31F1"/>
    <w:rsid w:val="005E3C9C"/>
    <w:rsid w:val="005E3CCE"/>
    <w:rsid w:val="005E46E9"/>
    <w:rsid w:val="005E4A34"/>
    <w:rsid w:val="005E70BE"/>
    <w:rsid w:val="005F0048"/>
    <w:rsid w:val="005F030D"/>
    <w:rsid w:val="005F0996"/>
    <w:rsid w:val="005F140D"/>
    <w:rsid w:val="005F1E50"/>
    <w:rsid w:val="005F35BC"/>
    <w:rsid w:val="005F4CBF"/>
    <w:rsid w:val="005F50C8"/>
    <w:rsid w:val="005F58C4"/>
    <w:rsid w:val="005F623D"/>
    <w:rsid w:val="005F649D"/>
    <w:rsid w:val="005F6FA7"/>
    <w:rsid w:val="00600BDD"/>
    <w:rsid w:val="00600C39"/>
    <w:rsid w:val="00602824"/>
    <w:rsid w:val="00602CFE"/>
    <w:rsid w:val="0060361C"/>
    <w:rsid w:val="00605D27"/>
    <w:rsid w:val="006062D8"/>
    <w:rsid w:val="0060711D"/>
    <w:rsid w:val="006073E6"/>
    <w:rsid w:val="006102C6"/>
    <w:rsid w:val="00610329"/>
    <w:rsid w:val="00611056"/>
    <w:rsid w:val="0061298B"/>
    <w:rsid w:val="00613800"/>
    <w:rsid w:val="006166E0"/>
    <w:rsid w:val="00620C2D"/>
    <w:rsid w:val="00622277"/>
    <w:rsid w:val="0062262B"/>
    <w:rsid w:val="006228C1"/>
    <w:rsid w:val="00623973"/>
    <w:rsid w:val="00623BA0"/>
    <w:rsid w:val="006249D3"/>
    <w:rsid w:val="00624B38"/>
    <w:rsid w:val="00624CA7"/>
    <w:rsid w:val="00625811"/>
    <w:rsid w:val="006279F1"/>
    <w:rsid w:val="00627B97"/>
    <w:rsid w:val="00630003"/>
    <w:rsid w:val="00631640"/>
    <w:rsid w:val="006335D6"/>
    <w:rsid w:val="00634004"/>
    <w:rsid w:val="00634070"/>
    <w:rsid w:val="006342E8"/>
    <w:rsid w:val="0063583E"/>
    <w:rsid w:val="006365B8"/>
    <w:rsid w:val="0063662D"/>
    <w:rsid w:val="006378F9"/>
    <w:rsid w:val="006402B4"/>
    <w:rsid w:val="00640962"/>
    <w:rsid w:val="0064159B"/>
    <w:rsid w:val="006419D9"/>
    <w:rsid w:val="00642588"/>
    <w:rsid w:val="006426D4"/>
    <w:rsid w:val="006456FC"/>
    <w:rsid w:val="00645E53"/>
    <w:rsid w:val="0064632A"/>
    <w:rsid w:val="00646EAC"/>
    <w:rsid w:val="006479F2"/>
    <w:rsid w:val="00647BC6"/>
    <w:rsid w:val="00647F4A"/>
    <w:rsid w:val="006503D6"/>
    <w:rsid w:val="0065096D"/>
    <w:rsid w:val="00650DAC"/>
    <w:rsid w:val="00652874"/>
    <w:rsid w:val="006535E1"/>
    <w:rsid w:val="00655EB8"/>
    <w:rsid w:val="00656419"/>
    <w:rsid w:val="006568FB"/>
    <w:rsid w:val="00660517"/>
    <w:rsid w:val="00661CDE"/>
    <w:rsid w:val="00664B12"/>
    <w:rsid w:val="006656D4"/>
    <w:rsid w:val="00667D51"/>
    <w:rsid w:val="00667EC1"/>
    <w:rsid w:val="0067055C"/>
    <w:rsid w:val="00670BE5"/>
    <w:rsid w:val="00670DB7"/>
    <w:rsid w:val="006729E7"/>
    <w:rsid w:val="00673F6B"/>
    <w:rsid w:val="0067425F"/>
    <w:rsid w:val="00675E10"/>
    <w:rsid w:val="00676158"/>
    <w:rsid w:val="00681322"/>
    <w:rsid w:val="006825EC"/>
    <w:rsid w:val="00683C23"/>
    <w:rsid w:val="006842D9"/>
    <w:rsid w:val="00684E99"/>
    <w:rsid w:val="00685790"/>
    <w:rsid w:val="00685A87"/>
    <w:rsid w:val="00687FFA"/>
    <w:rsid w:val="006907FB"/>
    <w:rsid w:val="0069125F"/>
    <w:rsid w:val="00692C77"/>
    <w:rsid w:val="00693709"/>
    <w:rsid w:val="0069462E"/>
    <w:rsid w:val="00695889"/>
    <w:rsid w:val="0069591C"/>
    <w:rsid w:val="00695FD1"/>
    <w:rsid w:val="00696E75"/>
    <w:rsid w:val="00697108"/>
    <w:rsid w:val="00697DA6"/>
    <w:rsid w:val="006A0663"/>
    <w:rsid w:val="006A216F"/>
    <w:rsid w:val="006A2B4B"/>
    <w:rsid w:val="006A3AFD"/>
    <w:rsid w:val="006A4F57"/>
    <w:rsid w:val="006A64CF"/>
    <w:rsid w:val="006A74D0"/>
    <w:rsid w:val="006B1A29"/>
    <w:rsid w:val="006B1A6D"/>
    <w:rsid w:val="006B2A31"/>
    <w:rsid w:val="006B679A"/>
    <w:rsid w:val="006B67CC"/>
    <w:rsid w:val="006B7BEA"/>
    <w:rsid w:val="006C0514"/>
    <w:rsid w:val="006C15F9"/>
    <w:rsid w:val="006C2C32"/>
    <w:rsid w:val="006C2F48"/>
    <w:rsid w:val="006C2FD3"/>
    <w:rsid w:val="006C46AB"/>
    <w:rsid w:val="006C62AF"/>
    <w:rsid w:val="006D0965"/>
    <w:rsid w:val="006D31C8"/>
    <w:rsid w:val="006D3D6E"/>
    <w:rsid w:val="006D57FB"/>
    <w:rsid w:val="006D651F"/>
    <w:rsid w:val="006D7F93"/>
    <w:rsid w:val="006E047B"/>
    <w:rsid w:val="006E21A5"/>
    <w:rsid w:val="006E414B"/>
    <w:rsid w:val="006E5E95"/>
    <w:rsid w:val="006E782F"/>
    <w:rsid w:val="006E7C67"/>
    <w:rsid w:val="006F0F1B"/>
    <w:rsid w:val="006F154A"/>
    <w:rsid w:val="006F2EA8"/>
    <w:rsid w:val="006F3011"/>
    <w:rsid w:val="006F5980"/>
    <w:rsid w:val="006F6C5E"/>
    <w:rsid w:val="00700483"/>
    <w:rsid w:val="00700E8C"/>
    <w:rsid w:val="007014D4"/>
    <w:rsid w:val="00702769"/>
    <w:rsid w:val="00702873"/>
    <w:rsid w:val="00702C82"/>
    <w:rsid w:val="007032BA"/>
    <w:rsid w:val="0070333D"/>
    <w:rsid w:val="00703C29"/>
    <w:rsid w:val="007110D0"/>
    <w:rsid w:val="0071318E"/>
    <w:rsid w:val="0071495E"/>
    <w:rsid w:val="00715273"/>
    <w:rsid w:val="00717D7C"/>
    <w:rsid w:val="00720AA0"/>
    <w:rsid w:val="00724007"/>
    <w:rsid w:val="00724435"/>
    <w:rsid w:val="00724ECE"/>
    <w:rsid w:val="0072558B"/>
    <w:rsid w:val="00725936"/>
    <w:rsid w:val="00726198"/>
    <w:rsid w:val="00730291"/>
    <w:rsid w:val="00730AC3"/>
    <w:rsid w:val="0073117D"/>
    <w:rsid w:val="0073354D"/>
    <w:rsid w:val="007348F1"/>
    <w:rsid w:val="0073504E"/>
    <w:rsid w:val="0073539B"/>
    <w:rsid w:val="007355D2"/>
    <w:rsid w:val="00736CD0"/>
    <w:rsid w:val="00736E91"/>
    <w:rsid w:val="0073749D"/>
    <w:rsid w:val="00741417"/>
    <w:rsid w:val="007426B0"/>
    <w:rsid w:val="00743B88"/>
    <w:rsid w:val="007452AD"/>
    <w:rsid w:val="007507D4"/>
    <w:rsid w:val="00751B83"/>
    <w:rsid w:val="00751C0F"/>
    <w:rsid w:val="00751C6A"/>
    <w:rsid w:val="00751FC6"/>
    <w:rsid w:val="00752211"/>
    <w:rsid w:val="00752A34"/>
    <w:rsid w:val="00752B59"/>
    <w:rsid w:val="00753096"/>
    <w:rsid w:val="007543C4"/>
    <w:rsid w:val="00755F84"/>
    <w:rsid w:val="00757B59"/>
    <w:rsid w:val="00760011"/>
    <w:rsid w:val="00760468"/>
    <w:rsid w:val="0076125C"/>
    <w:rsid w:val="007621BA"/>
    <w:rsid w:val="0076376C"/>
    <w:rsid w:val="00764A70"/>
    <w:rsid w:val="00765136"/>
    <w:rsid w:val="0076643C"/>
    <w:rsid w:val="0076696F"/>
    <w:rsid w:val="007670A9"/>
    <w:rsid w:val="007673B1"/>
    <w:rsid w:val="00770B88"/>
    <w:rsid w:val="00773701"/>
    <w:rsid w:val="0077436D"/>
    <w:rsid w:val="0077606C"/>
    <w:rsid w:val="00776979"/>
    <w:rsid w:val="00777208"/>
    <w:rsid w:val="00777609"/>
    <w:rsid w:val="00780C6D"/>
    <w:rsid w:val="0078176B"/>
    <w:rsid w:val="00782E1A"/>
    <w:rsid w:val="00783091"/>
    <w:rsid w:val="00784D18"/>
    <w:rsid w:val="00785DB7"/>
    <w:rsid w:val="0078651E"/>
    <w:rsid w:val="007867EA"/>
    <w:rsid w:val="00786DC5"/>
    <w:rsid w:val="0078788A"/>
    <w:rsid w:val="00790D61"/>
    <w:rsid w:val="00791F6A"/>
    <w:rsid w:val="007932C5"/>
    <w:rsid w:val="0079468B"/>
    <w:rsid w:val="007955D0"/>
    <w:rsid w:val="00797F3F"/>
    <w:rsid w:val="007A1516"/>
    <w:rsid w:val="007A1E57"/>
    <w:rsid w:val="007A258F"/>
    <w:rsid w:val="007A4010"/>
    <w:rsid w:val="007A4575"/>
    <w:rsid w:val="007A5218"/>
    <w:rsid w:val="007A7409"/>
    <w:rsid w:val="007A7DFD"/>
    <w:rsid w:val="007B0AA3"/>
    <w:rsid w:val="007B1830"/>
    <w:rsid w:val="007B26F2"/>
    <w:rsid w:val="007B4F82"/>
    <w:rsid w:val="007B6AC2"/>
    <w:rsid w:val="007C0B97"/>
    <w:rsid w:val="007C0C91"/>
    <w:rsid w:val="007C2931"/>
    <w:rsid w:val="007C4939"/>
    <w:rsid w:val="007C5741"/>
    <w:rsid w:val="007C754E"/>
    <w:rsid w:val="007D0564"/>
    <w:rsid w:val="007D063E"/>
    <w:rsid w:val="007D240F"/>
    <w:rsid w:val="007D27AD"/>
    <w:rsid w:val="007D47E5"/>
    <w:rsid w:val="007D51BE"/>
    <w:rsid w:val="007D5360"/>
    <w:rsid w:val="007E0757"/>
    <w:rsid w:val="007E107E"/>
    <w:rsid w:val="007E27FF"/>
    <w:rsid w:val="007E334D"/>
    <w:rsid w:val="007E38E7"/>
    <w:rsid w:val="007E4399"/>
    <w:rsid w:val="007E4513"/>
    <w:rsid w:val="007E520D"/>
    <w:rsid w:val="007E63A5"/>
    <w:rsid w:val="007E64D9"/>
    <w:rsid w:val="007E6A7C"/>
    <w:rsid w:val="007E6E5A"/>
    <w:rsid w:val="007F0F6C"/>
    <w:rsid w:val="007F175A"/>
    <w:rsid w:val="007F2FD9"/>
    <w:rsid w:val="007F3226"/>
    <w:rsid w:val="007F331C"/>
    <w:rsid w:val="007F3493"/>
    <w:rsid w:val="007F34ED"/>
    <w:rsid w:val="007F3C0A"/>
    <w:rsid w:val="007F479A"/>
    <w:rsid w:val="007F5798"/>
    <w:rsid w:val="007F6BB8"/>
    <w:rsid w:val="007F71AE"/>
    <w:rsid w:val="00800EC5"/>
    <w:rsid w:val="008027B5"/>
    <w:rsid w:val="00802A8C"/>
    <w:rsid w:val="008036BB"/>
    <w:rsid w:val="008039AD"/>
    <w:rsid w:val="0080452D"/>
    <w:rsid w:val="00807D40"/>
    <w:rsid w:val="008103AF"/>
    <w:rsid w:val="008126D6"/>
    <w:rsid w:val="00812CBC"/>
    <w:rsid w:val="0081374B"/>
    <w:rsid w:val="0081552C"/>
    <w:rsid w:val="008155FC"/>
    <w:rsid w:val="008169E5"/>
    <w:rsid w:val="00816DEE"/>
    <w:rsid w:val="0081715C"/>
    <w:rsid w:val="008217FD"/>
    <w:rsid w:val="0082269D"/>
    <w:rsid w:val="008229EF"/>
    <w:rsid w:val="0082480A"/>
    <w:rsid w:val="0082551E"/>
    <w:rsid w:val="00827788"/>
    <w:rsid w:val="00827795"/>
    <w:rsid w:val="00830027"/>
    <w:rsid w:val="00831F0A"/>
    <w:rsid w:val="008330EE"/>
    <w:rsid w:val="00837DC1"/>
    <w:rsid w:val="008411D1"/>
    <w:rsid w:val="00841B03"/>
    <w:rsid w:val="0084346C"/>
    <w:rsid w:val="00844DEE"/>
    <w:rsid w:val="00845797"/>
    <w:rsid w:val="0084630D"/>
    <w:rsid w:val="00846E62"/>
    <w:rsid w:val="008473A7"/>
    <w:rsid w:val="008517C0"/>
    <w:rsid w:val="00852A22"/>
    <w:rsid w:val="008532E2"/>
    <w:rsid w:val="0085367E"/>
    <w:rsid w:val="00853F28"/>
    <w:rsid w:val="0085421A"/>
    <w:rsid w:val="0085506C"/>
    <w:rsid w:val="008555FB"/>
    <w:rsid w:val="00856C8E"/>
    <w:rsid w:val="00857169"/>
    <w:rsid w:val="008579D6"/>
    <w:rsid w:val="008624E8"/>
    <w:rsid w:val="008633C6"/>
    <w:rsid w:val="00863F01"/>
    <w:rsid w:val="00865F6F"/>
    <w:rsid w:val="00872767"/>
    <w:rsid w:val="0087405C"/>
    <w:rsid w:val="00875C6E"/>
    <w:rsid w:val="00876BB7"/>
    <w:rsid w:val="00877164"/>
    <w:rsid w:val="00877757"/>
    <w:rsid w:val="008778C6"/>
    <w:rsid w:val="00882617"/>
    <w:rsid w:val="00884422"/>
    <w:rsid w:val="00884D17"/>
    <w:rsid w:val="0088537E"/>
    <w:rsid w:val="00885B5F"/>
    <w:rsid w:val="00887794"/>
    <w:rsid w:val="0089203E"/>
    <w:rsid w:val="00892173"/>
    <w:rsid w:val="00892D65"/>
    <w:rsid w:val="008930A5"/>
    <w:rsid w:val="008940E0"/>
    <w:rsid w:val="008947EE"/>
    <w:rsid w:val="00894A61"/>
    <w:rsid w:val="00896138"/>
    <w:rsid w:val="00896311"/>
    <w:rsid w:val="008977F2"/>
    <w:rsid w:val="00897BBE"/>
    <w:rsid w:val="008A0391"/>
    <w:rsid w:val="008A2478"/>
    <w:rsid w:val="008A5A7B"/>
    <w:rsid w:val="008A6BAA"/>
    <w:rsid w:val="008B271F"/>
    <w:rsid w:val="008B3429"/>
    <w:rsid w:val="008B5D44"/>
    <w:rsid w:val="008B700D"/>
    <w:rsid w:val="008B72C9"/>
    <w:rsid w:val="008B78DF"/>
    <w:rsid w:val="008C05EC"/>
    <w:rsid w:val="008C1CAB"/>
    <w:rsid w:val="008C319E"/>
    <w:rsid w:val="008C364F"/>
    <w:rsid w:val="008C4072"/>
    <w:rsid w:val="008C516D"/>
    <w:rsid w:val="008C53A1"/>
    <w:rsid w:val="008C5443"/>
    <w:rsid w:val="008C6200"/>
    <w:rsid w:val="008C74C6"/>
    <w:rsid w:val="008D3047"/>
    <w:rsid w:val="008D36C0"/>
    <w:rsid w:val="008D557F"/>
    <w:rsid w:val="008D6EC3"/>
    <w:rsid w:val="008D7AEF"/>
    <w:rsid w:val="008E0031"/>
    <w:rsid w:val="008E0C9D"/>
    <w:rsid w:val="008E4AAF"/>
    <w:rsid w:val="008E6FA6"/>
    <w:rsid w:val="008F51F9"/>
    <w:rsid w:val="008F592E"/>
    <w:rsid w:val="008F69F5"/>
    <w:rsid w:val="008F6EAD"/>
    <w:rsid w:val="00900CFD"/>
    <w:rsid w:val="00901DEF"/>
    <w:rsid w:val="0090353B"/>
    <w:rsid w:val="009043F9"/>
    <w:rsid w:val="009056CF"/>
    <w:rsid w:val="00906630"/>
    <w:rsid w:val="0090749A"/>
    <w:rsid w:val="009077D9"/>
    <w:rsid w:val="009103F4"/>
    <w:rsid w:val="00910572"/>
    <w:rsid w:val="00913110"/>
    <w:rsid w:val="009154C9"/>
    <w:rsid w:val="00915C7C"/>
    <w:rsid w:val="00917154"/>
    <w:rsid w:val="009209FF"/>
    <w:rsid w:val="00923149"/>
    <w:rsid w:val="00923173"/>
    <w:rsid w:val="009240DE"/>
    <w:rsid w:val="009242D5"/>
    <w:rsid w:val="009251A0"/>
    <w:rsid w:val="0092654A"/>
    <w:rsid w:val="00927AA1"/>
    <w:rsid w:val="00927C26"/>
    <w:rsid w:val="0093029B"/>
    <w:rsid w:val="00930F39"/>
    <w:rsid w:val="00933FFB"/>
    <w:rsid w:val="00934098"/>
    <w:rsid w:val="00934251"/>
    <w:rsid w:val="00934DA2"/>
    <w:rsid w:val="009352A5"/>
    <w:rsid w:val="0093697E"/>
    <w:rsid w:val="00937035"/>
    <w:rsid w:val="00941567"/>
    <w:rsid w:val="00942089"/>
    <w:rsid w:val="00944182"/>
    <w:rsid w:val="00944384"/>
    <w:rsid w:val="00944741"/>
    <w:rsid w:val="00945BE5"/>
    <w:rsid w:val="00946236"/>
    <w:rsid w:val="00946532"/>
    <w:rsid w:val="00950045"/>
    <w:rsid w:val="00950B3C"/>
    <w:rsid w:val="0095277B"/>
    <w:rsid w:val="00953119"/>
    <w:rsid w:val="00954254"/>
    <w:rsid w:val="00954D81"/>
    <w:rsid w:val="00955669"/>
    <w:rsid w:val="00955FFB"/>
    <w:rsid w:val="00957586"/>
    <w:rsid w:val="0095763D"/>
    <w:rsid w:val="009579D2"/>
    <w:rsid w:val="00957ABD"/>
    <w:rsid w:val="009613DC"/>
    <w:rsid w:val="00961E9F"/>
    <w:rsid w:val="00962F28"/>
    <w:rsid w:val="0096428B"/>
    <w:rsid w:val="009657C5"/>
    <w:rsid w:val="00965D0F"/>
    <w:rsid w:val="00966A1A"/>
    <w:rsid w:val="00967694"/>
    <w:rsid w:val="009679B7"/>
    <w:rsid w:val="00967CD0"/>
    <w:rsid w:val="00971874"/>
    <w:rsid w:val="00971F20"/>
    <w:rsid w:val="00972D99"/>
    <w:rsid w:val="00975DBD"/>
    <w:rsid w:val="009762FE"/>
    <w:rsid w:val="00976EC8"/>
    <w:rsid w:val="009813EA"/>
    <w:rsid w:val="00984A5B"/>
    <w:rsid w:val="00985399"/>
    <w:rsid w:val="00986EAC"/>
    <w:rsid w:val="009872D4"/>
    <w:rsid w:val="00987386"/>
    <w:rsid w:val="00987BBC"/>
    <w:rsid w:val="009917E1"/>
    <w:rsid w:val="0099274E"/>
    <w:rsid w:val="0099543E"/>
    <w:rsid w:val="00995ED7"/>
    <w:rsid w:val="00996D43"/>
    <w:rsid w:val="0099730A"/>
    <w:rsid w:val="0099744D"/>
    <w:rsid w:val="00997745"/>
    <w:rsid w:val="009A15A0"/>
    <w:rsid w:val="009A2D26"/>
    <w:rsid w:val="009A2FEE"/>
    <w:rsid w:val="009A41DB"/>
    <w:rsid w:val="009A503B"/>
    <w:rsid w:val="009B0114"/>
    <w:rsid w:val="009B2461"/>
    <w:rsid w:val="009B4E06"/>
    <w:rsid w:val="009B517A"/>
    <w:rsid w:val="009B6E39"/>
    <w:rsid w:val="009B7272"/>
    <w:rsid w:val="009B72C2"/>
    <w:rsid w:val="009B7965"/>
    <w:rsid w:val="009C08F1"/>
    <w:rsid w:val="009C222F"/>
    <w:rsid w:val="009C4FCA"/>
    <w:rsid w:val="009D2176"/>
    <w:rsid w:val="009D237B"/>
    <w:rsid w:val="009D34ED"/>
    <w:rsid w:val="009D359D"/>
    <w:rsid w:val="009D3C2A"/>
    <w:rsid w:val="009D53A4"/>
    <w:rsid w:val="009D67DB"/>
    <w:rsid w:val="009E0D25"/>
    <w:rsid w:val="009E1A90"/>
    <w:rsid w:val="009E1C21"/>
    <w:rsid w:val="009E2185"/>
    <w:rsid w:val="009E2CBA"/>
    <w:rsid w:val="009E3ADC"/>
    <w:rsid w:val="009E3DCB"/>
    <w:rsid w:val="009E4983"/>
    <w:rsid w:val="009E4EF9"/>
    <w:rsid w:val="009E6E30"/>
    <w:rsid w:val="009E74B4"/>
    <w:rsid w:val="009F13FB"/>
    <w:rsid w:val="009F3904"/>
    <w:rsid w:val="009F3A40"/>
    <w:rsid w:val="009F4880"/>
    <w:rsid w:val="009F5EA1"/>
    <w:rsid w:val="009F664C"/>
    <w:rsid w:val="009F7E21"/>
    <w:rsid w:val="00A026CA"/>
    <w:rsid w:val="00A02C90"/>
    <w:rsid w:val="00A03009"/>
    <w:rsid w:val="00A03824"/>
    <w:rsid w:val="00A047DF"/>
    <w:rsid w:val="00A04AAA"/>
    <w:rsid w:val="00A06314"/>
    <w:rsid w:val="00A0734C"/>
    <w:rsid w:val="00A10B11"/>
    <w:rsid w:val="00A10D5F"/>
    <w:rsid w:val="00A1186B"/>
    <w:rsid w:val="00A12C63"/>
    <w:rsid w:val="00A14EED"/>
    <w:rsid w:val="00A15468"/>
    <w:rsid w:val="00A16B99"/>
    <w:rsid w:val="00A20C79"/>
    <w:rsid w:val="00A20CCD"/>
    <w:rsid w:val="00A23083"/>
    <w:rsid w:val="00A23551"/>
    <w:rsid w:val="00A23FEE"/>
    <w:rsid w:val="00A24BF0"/>
    <w:rsid w:val="00A256F2"/>
    <w:rsid w:val="00A260D5"/>
    <w:rsid w:val="00A31B68"/>
    <w:rsid w:val="00A32124"/>
    <w:rsid w:val="00A323CC"/>
    <w:rsid w:val="00A32739"/>
    <w:rsid w:val="00A3275C"/>
    <w:rsid w:val="00A348E6"/>
    <w:rsid w:val="00A35E3C"/>
    <w:rsid w:val="00A362D5"/>
    <w:rsid w:val="00A36AEF"/>
    <w:rsid w:val="00A37D8F"/>
    <w:rsid w:val="00A4013F"/>
    <w:rsid w:val="00A40940"/>
    <w:rsid w:val="00A4152D"/>
    <w:rsid w:val="00A41F71"/>
    <w:rsid w:val="00A437E4"/>
    <w:rsid w:val="00A44192"/>
    <w:rsid w:val="00A4474E"/>
    <w:rsid w:val="00A447AC"/>
    <w:rsid w:val="00A4618F"/>
    <w:rsid w:val="00A46B79"/>
    <w:rsid w:val="00A515BF"/>
    <w:rsid w:val="00A517A4"/>
    <w:rsid w:val="00A52423"/>
    <w:rsid w:val="00A52C7A"/>
    <w:rsid w:val="00A531EE"/>
    <w:rsid w:val="00A53775"/>
    <w:rsid w:val="00A53C03"/>
    <w:rsid w:val="00A55E79"/>
    <w:rsid w:val="00A565FC"/>
    <w:rsid w:val="00A56F83"/>
    <w:rsid w:val="00A57A97"/>
    <w:rsid w:val="00A602DB"/>
    <w:rsid w:val="00A60351"/>
    <w:rsid w:val="00A610DB"/>
    <w:rsid w:val="00A6179A"/>
    <w:rsid w:val="00A6185D"/>
    <w:rsid w:val="00A62649"/>
    <w:rsid w:val="00A62A4F"/>
    <w:rsid w:val="00A64B8F"/>
    <w:rsid w:val="00A65853"/>
    <w:rsid w:val="00A67E2F"/>
    <w:rsid w:val="00A706E0"/>
    <w:rsid w:val="00A70933"/>
    <w:rsid w:val="00A719C9"/>
    <w:rsid w:val="00A71B8F"/>
    <w:rsid w:val="00A72334"/>
    <w:rsid w:val="00A72738"/>
    <w:rsid w:val="00A750A4"/>
    <w:rsid w:val="00A76843"/>
    <w:rsid w:val="00A777B3"/>
    <w:rsid w:val="00A77A53"/>
    <w:rsid w:val="00A80089"/>
    <w:rsid w:val="00A848FD"/>
    <w:rsid w:val="00A854C4"/>
    <w:rsid w:val="00A90289"/>
    <w:rsid w:val="00A91717"/>
    <w:rsid w:val="00A9314D"/>
    <w:rsid w:val="00A93647"/>
    <w:rsid w:val="00A93A2F"/>
    <w:rsid w:val="00A95189"/>
    <w:rsid w:val="00A9563D"/>
    <w:rsid w:val="00A95754"/>
    <w:rsid w:val="00A9712A"/>
    <w:rsid w:val="00A97C9E"/>
    <w:rsid w:val="00AA000B"/>
    <w:rsid w:val="00AA0946"/>
    <w:rsid w:val="00AA0FE1"/>
    <w:rsid w:val="00AA13C9"/>
    <w:rsid w:val="00AA2679"/>
    <w:rsid w:val="00AA3ABF"/>
    <w:rsid w:val="00AA53AA"/>
    <w:rsid w:val="00AA54FD"/>
    <w:rsid w:val="00AA5E36"/>
    <w:rsid w:val="00AA5E5C"/>
    <w:rsid w:val="00AA65D5"/>
    <w:rsid w:val="00AA66E3"/>
    <w:rsid w:val="00AA6D79"/>
    <w:rsid w:val="00AA76A1"/>
    <w:rsid w:val="00AA7996"/>
    <w:rsid w:val="00AA79F0"/>
    <w:rsid w:val="00AB0218"/>
    <w:rsid w:val="00AB0DAD"/>
    <w:rsid w:val="00AB2D5C"/>
    <w:rsid w:val="00AB331D"/>
    <w:rsid w:val="00AB3E51"/>
    <w:rsid w:val="00AB4488"/>
    <w:rsid w:val="00AB4DEF"/>
    <w:rsid w:val="00AB646D"/>
    <w:rsid w:val="00AB7CC2"/>
    <w:rsid w:val="00AC00F7"/>
    <w:rsid w:val="00AC1DC2"/>
    <w:rsid w:val="00AC584F"/>
    <w:rsid w:val="00AC693C"/>
    <w:rsid w:val="00AD24A7"/>
    <w:rsid w:val="00AD25E8"/>
    <w:rsid w:val="00AD369D"/>
    <w:rsid w:val="00AD540E"/>
    <w:rsid w:val="00AE2BAC"/>
    <w:rsid w:val="00AE3EF9"/>
    <w:rsid w:val="00AE4252"/>
    <w:rsid w:val="00AE666A"/>
    <w:rsid w:val="00AE7685"/>
    <w:rsid w:val="00AF4A97"/>
    <w:rsid w:val="00AF5BDF"/>
    <w:rsid w:val="00AF636E"/>
    <w:rsid w:val="00AF6E1E"/>
    <w:rsid w:val="00B01173"/>
    <w:rsid w:val="00B013D0"/>
    <w:rsid w:val="00B01FA2"/>
    <w:rsid w:val="00B02BFF"/>
    <w:rsid w:val="00B0304D"/>
    <w:rsid w:val="00B076D5"/>
    <w:rsid w:val="00B14F0A"/>
    <w:rsid w:val="00B15F14"/>
    <w:rsid w:val="00B160B2"/>
    <w:rsid w:val="00B179A3"/>
    <w:rsid w:val="00B21B32"/>
    <w:rsid w:val="00B22E66"/>
    <w:rsid w:val="00B23C4D"/>
    <w:rsid w:val="00B23F1F"/>
    <w:rsid w:val="00B23F57"/>
    <w:rsid w:val="00B24FB5"/>
    <w:rsid w:val="00B260B6"/>
    <w:rsid w:val="00B26132"/>
    <w:rsid w:val="00B351FC"/>
    <w:rsid w:val="00B4082A"/>
    <w:rsid w:val="00B41C23"/>
    <w:rsid w:val="00B4205E"/>
    <w:rsid w:val="00B43406"/>
    <w:rsid w:val="00B435AA"/>
    <w:rsid w:val="00B43810"/>
    <w:rsid w:val="00B45452"/>
    <w:rsid w:val="00B46F78"/>
    <w:rsid w:val="00B46F94"/>
    <w:rsid w:val="00B47614"/>
    <w:rsid w:val="00B503A9"/>
    <w:rsid w:val="00B50DAA"/>
    <w:rsid w:val="00B52048"/>
    <w:rsid w:val="00B525E0"/>
    <w:rsid w:val="00B528D1"/>
    <w:rsid w:val="00B53413"/>
    <w:rsid w:val="00B54444"/>
    <w:rsid w:val="00B5575D"/>
    <w:rsid w:val="00B55FFB"/>
    <w:rsid w:val="00B5681E"/>
    <w:rsid w:val="00B56E60"/>
    <w:rsid w:val="00B57E72"/>
    <w:rsid w:val="00B60B83"/>
    <w:rsid w:val="00B610AC"/>
    <w:rsid w:val="00B620F3"/>
    <w:rsid w:val="00B62117"/>
    <w:rsid w:val="00B63A01"/>
    <w:rsid w:val="00B64F37"/>
    <w:rsid w:val="00B65012"/>
    <w:rsid w:val="00B65913"/>
    <w:rsid w:val="00B6678D"/>
    <w:rsid w:val="00B709FC"/>
    <w:rsid w:val="00B7238A"/>
    <w:rsid w:val="00B72483"/>
    <w:rsid w:val="00B7540B"/>
    <w:rsid w:val="00B77068"/>
    <w:rsid w:val="00B7751C"/>
    <w:rsid w:val="00B77910"/>
    <w:rsid w:val="00B77F62"/>
    <w:rsid w:val="00B81480"/>
    <w:rsid w:val="00B81515"/>
    <w:rsid w:val="00B81BDA"/>
    <w:rsid w:val="00B83967"/>
    <w:rsid w:val="00B844D7"/>
    <w:rsid w:val="00B86421"/>
    <w:rsid w:val="00B90F4E"/>
    <w:rsid w:val="00B94778"/>
    <w:rsid w:val="00B96A30"/>
    <w:rsid w:val="00B96DA2"/>
    <w:rsid w:val="00B97CEC"/>
    <w:rsid w:val="00BA184E"/>
    <w:rsid w:val="00BA1CD9"/>
    <w:rsid w:val="00BA1DDC"/>
    <w:rsid w:val="00BA4A7A"/>
    <w:rsid w:val="00BA4AB3"/>
    <w:rsid w:val="00BA5F8A"/>
    <w:rsid w:val="00BA613A"/>
    <w:rsid w:val="00BB0C26"/>
    <w:rsid w:val="00BB1157"/>
    <w:rsid w:val="00BB14BD"/>
    <w:rsid w:val="00BB1E6D"/>
    <w:rsid w:val="00BB2907"/>
    <w:rsid w:val="00BC1429"/>
    <w:rsid w:val="00BC1BD4"/>
    <w:rsid w:val="00BC1EFF"/>
    <w:rsid w:val="00BC2DC5"/>
    <w:rsid w:val="00BC4145"/>
    <w:rsid w:val="00BC4867"/>
    <w:rsid w:val="00BC4ABD"/>
    <w:rsid w:val="00BC4CE9"/>
    <w:rsid w:val="00BC646B"/>
    <w:rsid w:val="00BD07C9"/>
    <w:rsid w:val="00BD159A"/>
    <w:rsid w:val="00BD2F42"/>
    <w:rsid w:val="00BD4609"/>
    <w:rsid w:val="00BD568C"/>
    <w:rsid w:val="00BD59EE"/>
    <w:rsid w:val="00BD7C42"/>
    <w:rsid w:val="00BE0BF0"/>
    <w:rsid w:val="00BE22A5"/>
    <w:rsid w:val="00BE3523"/>
    <w:rsid w:val="00BE399A"/>
    <w:rsid w:val="00BE4A85"/>
    <w:rsid w:val="00BE7B94"/>
    <w:rsid w:val="00BF10D1"/>
    <w:rsid w:val="00BF15C9"/>
    <w:rsid w:val="00BF248D"/>
    <w:rsid w:val="00BF2A45"/>
    <w:rsid w:val="00BF355C"/>
    <w:rsid w:val="00BF3CA3"/>
    <w:rsid w:val="00BF4844"/>
    <w:rsid w:val="00BF5704"/>
    <w:rsid w:val="00BF596D"/>
    <w:rsid w:val="00BF66FC"/>
    <w:rsid w:val="00BF6738"/>
    <w:rsid w:val="00BF7F5D"/>
    <w:rsid w:val="00C00725"/>
    <w:rsid w:val="00C03DF2"/>
    <w:rsid w:val="00C04876"/>
    <w:rsid w:val="00C070B5"/>
    <w:rsid w:val="00C10387"/>
    <w:rsid w:val="00C1124B"/>
    <w:rsid w:val="00C11705"/>
    <w:rsid w:val="00C12444"/>
    <w:rsid w:val="00C147FE"/>
    <w:rsid w:val="00C151C5"/>
    <w:rsid w:val="00C154C1"/>
    <w:rsid w:val="00C15ED4"/>
    <w:rsid w:val="00C2040C"/>
    <w:rsid w:val="00C20C20"/>
    <w:rsid w:val="00C223A9"/>
    <w:rsid w:val="00C23296"/>
    <w:rsid w:val="00C23590"/>
    <w:rsid w:val="00C23BB0"/>
    <w:rsid w:val="00C23F90"/>
    <w:rsid w:val="00C24040"/>
    <w:rsid w:val="00C24235"/>
    <w:rsid w:val="00C24DBC"/>
    <w:rsid w:val="00C254E0"/>
    <w:rsid w:val="00C25B06"/>
    <w:rsid w:val="00C26A8C"/>
    <w:rsid w:val="00C26B14"/>
    <w:rsid w:val="00C3008E"/>
    <w:rsid w:val="00C307DA"/>
    <w:rsid w:val="00C314AC"/>
    <w:rsid w:val="00C322CF"/>
    <w:rsid w:val="00C32B3C"/>
    <w:rsid w:val="00C36207"/>
    <w:rsid w:val="00C36F8F"/>
    <w:rsid w:val="00C370E4"/>
    <w:rsid w:val="00C40644"/>
    <w:rsid w:val="00C4068E"/>
    <w:rsid w:val="00C40F9C"/>
    <w:rsid w:val="00C41F20"/>
    <w:rsid w:val="00C43DE7"/>
    <w:rsid w:val="00C448A6"/>
    <w:rsid w:val="00C44D24"/>
    <w:rsid w:val="00C452D3"/>
    <w:rsid w:val="00C45BDC"/>
    <w:rsid w:val="00C466D9"/>
    <w:rsid w:val="00C46D1C"/>
    <w:rsid w:val="00C46E6A"/>
    <w:rsid w:val="00C513F3"/>
    <w:rsid w:val="00C52143"/>
    <w:rsid w:val="00C52873"/>
    <w:rsid w:val="00C54B06"/>
    <w:rsid w:val="00C558CA"/>
    <w:rsid w:val="00C55A4E"/>
    <w:rsid w:val="00C57CF3"/>
    <w:rsid w:val="00C6019E"/>
    <w:rsid w:val="00C60713"/>
    <w:rsid w:val="00C62927"/>
    <w:rsid w:val="00C6319E"/>
    <w:rsid w:val="00C6406D"/>
    <w:rsid w:val="00C642CB"/>
    <w:rsid w:val="00C66A05"/>
    <w:rsid w:val="00C6708F"/>
    <w:rsid w:val="00C67659"/>
    <w:rsid w:val="00C678C2"/>
    <w:rsid w:val="00C70AC5"/>
    <w:rsid w:val="00C71A94"/>
    <w:rsid w:val="00C71ECE"/>
    <w:rsid w:val="00C71FD9"/>
    <w:rsid w:val="00C72203"/>
    <w:rsid w:val="00C725C5"/>
    <w:rsid w:val="00C73B8A"/>
    <w:rsid w:val="00C74251"/>
    <w:rsid w:val="00C80607"/>
    <w:rsid w:val="00C80B22"/>
    <w:rsid w:val="00C80EA6"/>
    <w:rsid w:val="00C81C11"/>
    <w:rsid w:val="00C83F46"/>
    <w:rsid w:val="00C84BBE"/>
    <w:rsid w:val="00C913EF"/>
    <w:rsid w:val="00C91854"/>
    <w:rsid w:val="00C9309E"/>
    <w:rsid w:val="00C943CB"/>
    <w:rsid w:val="00C95249"/>
    <w:rsid w:val="00C9532B"/>
    <w:rsid w:val="00C95CF9"/>
    <w:rsid w:val="00C95DE0"/>
    <w:rsid w:val="00C9617E"/>
    <w:rsid w:val="00C96414"/>
    <w:rsid w:val="00CA0401"/>
    <w:rsid w:val="00CA0C5B"/>
    <w:rsid w:val="00CA17AF"/>
    <w:rsid w:val="00CA1CA9"/>
    <w:rsid w:val="00CA3446"/>
    <w:rsid w:val="00CA482C"/>
    <w:rsid w:val="00CA4A62"/>
    <w:rsid w:val="00CA4BD5"/>
    <w:rsid w:val="00CA5495"/>
    <w:rsid w:val="00CA6BBC"/>
    <w:rsid w:val="00CB00AA"/>
    <w:rsid w:val="00CB2530"/>
    <w:rsid w:val="00CB2604"/>
    <w:rsid w:val="00CB3482"/>
    <w:rsid w:val="00CB35C8"/>
    <w:rsid w:val="00CB3D99"/>
    <w:rsid w:val="00CB528D"/>
    <w:rsid w:val="00CB6D1D"/>
    <w:rsid w:val="00CB73C7"/>
    <w:rsid w:val="00CC13FE"/>
    <w:rsid w:val="00CC21E6"/>
    <w:rsid w:val="00CC2B24"/>
    <w:rsid w:val="00CC2CA2"/>
    <w:rsid w:val="00CC3AE8"/>
    <w:rsid w:val="00CC4143"/>
    <w:rsid w:val="00CC4A61"/>
    <w:rsid w:val="00CC4E9C"/>
    <w:rsid w:val="00CC514F"/>
    <w:rsid w:val="00CC52ED"/>
    <w:rsid w:val="00CC53AE"/>
    <w:rsid w:val="00CC7720"/>
    <w:rsid w:val="00CC7A0C"/>
    <w:rsid w:val="00CC7B82"/>
    <w:rsid w:val="00CD0771"/>
    <w:rsid w:val="00CD0E00"/>
    <w:rsid w:val="00CD272B"/>
    <w:rsid w:val="00CD2B50"/>
    <w:rsid w:val="00CD2E25"/>
    <w:rsid w:val="00CD4021"/>
    <w:rsid w:val="00CD57EA"/>
    <w:rsid w:val="00CD6C76"/>
    <w:rsid w:val="00CD6FB3"/>
    <w:rsid w:val="00CE11AD"/>
    <w:rsid w:val="00CE131F"/>
    <w:rsid w:val="00CE1537"/>
    <w:rsid w:val="00CE1546"/>
    <w:rsid w:val="00CE1FEA"/>
    <w:rsid w:val="00CE28C7"/>
    <w:rsid w:val="00CE30CA"/>
    <w:rsid w:val="00CE3A48"/>
    <w:rsid w:val="00CE5A23"/>
    <w:rsid w:val="00CE63DC"/>
    <w:rsid w:val="00CE7026"/>
    <w:rsid w:val="00CE7424"/>
    <w:rsid w:val="00CE767E"/>
    <w:rsid w:val="00CE7CAB"/>
    <w:rsid w:val="00CF02E8"/>
    <w:rsid w:val="00CF13FF"/>
    <w:rsid w:val="00CF1C57"/>
    <w:rsid w:val="00CF2405"/>
    <w:rsid w:val="00CF27B6"/>
    <w:rsid w:val="00CF391A"/>
    <w:rsid w:val="00CF3D65"/>
    <w:rsid w:val="00CF4B6D"/>
    <w:rsid w:val="00CF5B58"/>
    <w:rsid w:val="00CF750A"/>
    <w:rsid w:val="00D004A0"/>
    <w:rsid w:val="00D03034"/>
    <w:rsid w:val="00D03C3F"/>
    <w:rsid w:val="00D0627D"/>
    <w:rsid w:val="00D109CB"/>
    <w:rsid w:val="00D11CF6"/>
    <w:rsid w:val="00D11D8B"/>
    <w:rsid w:val="00D11EB6"/>
    <w:rsid w:val="00D20808"/>
    <w:rsid w:val="00D21225"/>
    <w:rsid w:val="00D2155F"/>
    <w:rsid w:val="00D21FE4"/>
    <w:rsid w:val="00D235C3"/>
    <w:rsid w:val="00D25519"/>
    <w:rsid w:val="00D263C6"/>
    <w:rsid w:val="00D32985"/>
    <w:rsid w:val="00D33199"/>
    <w:rsid w:val="00D33454"/>
    <w:rsid w:val="00D34BB2"/>
    <w:rsid w:val="00D3529F"/>
    <w:rsid w:val="00D361A9"/>
    <w:rsid w:val="00D41741"/>
    <w:rsid w:val="00D4185A"/>
    <w:rsid w:val="00D42736"/>
    <w:rsid w:val="00D4418A"/>
    <w:rsid w:val="00D452E3"/>
    <w:rsid w:val="00D457A5"/>
    <w:rsid w:val="00D45FFA"/>
    <w:rsid w:val="00D470C9"/>
    <w:rsid w:val="00D4733E"/>
    <w:rsid w:val="00D47570"/>
    <w:rsid w:val="00D4781C"/>
    <w:rsid w:val="00D52010"/>
    <w:rsid w:val="00D52398"/>
    <w:rsid w:val="00D5348C"/>
    <w:rsid w:val="00D54B0E"/>
    <w:rsid w:val="00D555E4"/>
    <w:rsid w:val="00D555FE"/>
    <w:rsid w:val="00D633E0"/>
    <w:rsid w:val="00D636F3"/>
    <w:rsid w:val="00D65C65"/>
    <w:rsid w:val="00D65EC4"/>
    <w:rsid w:val="00D66295"/>
    <w:rsid w:val="00D66993"/>
    <w:rsid w:val="00D66FB6"/>
    <w:rsid w:val="00D672F5"/>
    <w:rsid w:val="00D6785A"/>
    <w:rsid w:val="00D67C26"/>
    <w:rsid w:val="00D72728"/>
    <w:rsid w:val="00D72BED"/>
    <w:rsid w:val="00D75AD9"/>
    <w:rsid w:val="00D77369"/>
    <w:rsid w:val="00D77767"/>
    <w:rsid w:val="00D803AB"/>
    <w:rsid w:val="00D8260D"/>
    <w:rsid w:val="00D82D71"/>
    <w:rsid w:val="00D841D0"/>
    <w:rsid w:val="00D8488C"/>
    <w:rsid w:val="00D84A85"/>
    <w:rsid w:val="00D84E1A"/>
    <w:rsid w:val="00D8757D"/>
    <w:rsid w:val="00D875D5"/>
    <w:rsid w:val="00D87821"/>
    <w:rsid w:val="00D90503"/>
    <w:rsid w:val="00D90C8F"/>
    <w:rsid w:val="00D90EEF"/>
    <w:rsid w:val="00D91433"/>
    <w:rsid w:val="00D91B2B"/>
    <w:rsid w:val="00D91E73"/>
    <w:rsid w:val="00D9217E"/>
    <w:rsid w:val="00D9288D"/>
    <w:rsid w:val="00D9646F"/>
    <w:rsid w:val="00D96C0A"/>
    <w:rsid w:val="00D979A9"/>
    <w:rsid w:val="00DA0A1C"/>
    <w:rsid w:val="00DA2B2E"/>
    <w:rsid w:val="00DA31A8"/>
    <w:rsid w:val="00DA3537"/>
    <w:rsid w:val="00DA45B8"/>
    <w:rsid w:val="00DA4AAA"/>
    <w:rsid w:val="00DA51DB"/>
    <w:rsid w:val="00DA662C"/>
    <w:rsid w:val="00DA762E"/>
    <w:rsid w:val="00DA76D3"/>
    <w:rsid w:val="00DB01B2"/>
    <w:rsid w:val="00DB1614"/>
    <w:rsid w:val="00DB25F9"/>
    <w:rsid w:val="00DB3931"/>
    <w:rsid w:val="00DB609F"/>
    <w:rsid w:val="00DB6264"/>
    <w:rsid w:val="00DB6A0C"/>
    <w:rsid w:val="00DB6A79"/>
    <w:rsid w:val="00DB7808"/>
    <w:rsid w:val="00DB7E3F"/>
    <w:rsid w:val="00DC16D2"/>
    <w:rsid w:val="00DC1C32"/>
    <w:rsid w:val="00DC2432"/>
    <w:rsid w:val="00DC34C7"/>
    <w:rsid w:val="00DC4135"/>
    <w:rsid w:val="00DC4198"/>
    <w:rsid w:val="00DC4A16"/>
    <w:rsid w:val="00DC53A0"/>
    <w:rsid w:val="00DC6648"/>
    <w:rsid w:val="00DD0FC1"/>
    <w:rsid w:val="00DD116B"/>
    <w:rsid w:val="00DD37CA"/>
    <w:rsid w:val="00DD3B90"/>
    <w:rsid w:val="00DD3BE7"/>
    <w:rsid w:val="00DD432E"/>
    <w:rsid w:val="00DD44E1"/>
    <w:rsid w:val="00DD6DDC"/>
    <w:rsid w:val="00DD7AC9"/>
    <w:rsid w:val="00DE0125"/>
    <w:rsid w:val="00DE02DE"/>
    <w:rsid w:val="00DE093E"/>
    <w:rsid w:val="00DE15A9"/>
    <w:rsid w:val="00DE1C1A"/>
    <w:rsid w:val="00DE2618"/>
    <w:rsid w:val="00DE3CF2"/>
    <w:rsid w:val="00DE400A"/>
    <w:rsid w:val="00DE4BE6"/>
    <w:rsid w:val="00DE78CF"/>
    <w:rsid w:val="00DF077D"/>
    <w:rsid w:val="00DF0CFB"/>
    <w:rsid w:val="00DF3AEA"/>
    <w:rsid w:val="00DF45A8"/>
    <w:rsid w:val="00DF54E2"/>
    <w:rsid w:val="00DF5DE6"/>
    <w:rsid w:val="00DF620F"/>
    <w:rsid w:val="00DF7D5A"/>
    <w:rsid w:val="00E000D2"/>
    <w:rsid w:val="00E003A4"/>
    <w:rsid w:val="00E0119A"/>
    <w:rsid w:val="00E02B87"/>
    <w:rsid w:val="00E02BAC"/>
    <w:rsid w:val="00E02E22"/>
    <w:rsid w:val="00E06B55"/>
    <w:rsid w:val="00E06E97"/>
    <w:rsid w:val="00E07198"/>
    <w:rsid w:val="00E0728B"/>
    <w:rsid w:val="00E1068C"/>
    <w:rsid w:val="00E1292C"/>
    <w:rsid w:val="00E13723"/>
    <w:rsid w:val="00E1394C"/>
    <w:rsid w:val="00E145C3"/>
    <w:rsid w:val="00E155FE"/>
    <w:rsid w:val="00E165BA"/>
    <w:rsid w:val="00E170EC"/>
    <w:rsid w:val="00E17244"/>
    <w:rsid w:val="00E17A39"/>
    <w:rsid w:val="00E22EA2"/>
    <w:rsid w:val="00E259BA"/>
    <w:rsid w:val="00E25C27"/>
    <w:rsid w:val="00E26DE7"/>
    <w:rsid w:val="00E31954"/>
    <w:rsid w:val="00E31A49"/>
    <w:rsid w:val="00E31BB7"/>
    <w:rsid w:val="00E32BC7"/>
    <w:rsid w:val="00E33058"/>
    <w:rsid w:val="00E3387F"/>
    <w:rsid w:val="00E3394C"/>
    <w:rsid w:val="00E346B5"/>
    <w:rsid w:val="00E35C30"/>
    <w:rsid w:val="00E35CB2"/>
    <w:rsid w:val="00E4011E"/>
    <w:rsid w:val="00E40896"/>
    <w:rsid w:val="00E40F34"/>
    <w:rsid w:val="00E41558"/>
    <w:rsid w:val="00E41682"/>
    <w:rsid w:val="00E42B67"/>
    <w:rsid w:val="00E439F2"/>
    <w:rsid w:val="00E43C8E"/>
    <w:rsid w:val="00E44505"/>
    <w:rsid w:val="00E459CA"/>
    <w:rsid w:val="00E45DF2"/>
    <w:rsid w:val="00E46380"/>
    <w:rsid w:val="00E4795A"/>
    <w:rsid w:val="00E47D11"/>
    <w:rsid w:val="00E50472"/>
    <w:rsid w:val="00E519B7"/>
    <w:rsid w:val="00E52AED"/>
    <w:rsid w:val="00E54417"/>
    <w:rsid w:val="00E5543E"/>
    <w:rsid w:val="00E55737"/>
    <w:rsid w:val="00E55A31"/>
    <w:rsid w:val="00E57363"/>
    <w:rsid w:val="00E57F50"/>
    <w:rsid w:val="00E606DD"/>
    <w:rsid w:val="00E60778"/>
    <w:rsid w:val="00E611AA"/>
    <w:rsid w:val="00E612C2"/>
    <w:rsid w:val="00E627BB"/>
    <w:rsid w:val="00E62D14"/>
    <w:rsid w:val="00E643EB"/>
    <w:rsid w:val="00E67984"/>
    <w:rsid w:val="00E67AF7"/>
    <w:rsid w:val="00E67D9A"/>
    <w:rsid w:val="00E70B1D"/>
    <w:rsid w:val="00E71A0F"/>
    <w:rsid w:val="00E72336"/>
    <w:rsid w:val="00E72376"/>
    <w:rsid w:val="00E72CB5"/>
    <w:rsid w:val="00E75D06"/>
    <w:rsid w:val="00E76192"/>
    <w:rsid w:val="00E76259"/>
    <w:rsid w:val="00E76305"/>
    <w:rsid w:val="00E76838"/>
    <w:rsid w:val="00E773E7"/>
    <w:rsid w:val="00E82658"/>
    <w:rsid w:val="00E83E16"/>
    <w:rsid w:val="00E84B23"/>
    <w:rsid w:val="00E84DD8"/>
    <w:rsid w:val="00E857C9"/>
    <w:rsid w:val="00E85D6B"/>
    <w:rsid w:val="00E861F0"/>
    <w:rsid w:val="00E86286"/>
    <w:rsid w:val="00E86AED"/>
    <w:rsid w:val="00E8761D"/>
    <w:rsid w:val="00E902D7"/>
    <w:rsid w:val="00E91008"/>
    <w:rsid w:val="00E926CE"/>
    <w:rsid w:val="00E92846"/>
    <w:rsid w:val="00E92F88"/>
    <w:rsid w:val="00E935EA"/>
    <w:rsid w:val="00E93D9A"/>
    <w:rsid w:val="00E94E9B"/>
    <w:rsid w:val="00E95F03"/>
    <w:rsid w:val="00E96847"/>
    <w:rsid w:val="00E96C61"/>
    <w:rsid w:val="00E96D78"/>
    <w:rsid w:val="00E971AA"/>
    <w:rsid w:val="00E97AF0"/>
    <w:rsid w:val="00EA1006"/>
    <w:rsid w:val="00EA2D4E"/>
    <w:rsid w:val="00EA2F70"/>
    <w:rsid w:val="00EA43A1"/>
    <w:rsid w:val="00EA4968"/>
    <w:rsid w:val="00EA50AC"/>
    <w:rsid w:val="00EA599D"/>
    <w:rsid w:val="00EA645C"/>
    <w:rsid w:val="00EB09F0"/>
    <w:rsid w:val="00EB17D2"/>
    <w:rsid w:val="00EB1D84"/>
    <w:rsid w:val="00EB2007"/>
    <w:rsid w:val="00EB3227"/>
    <w:rsid w:val="00EB34DC"/>
    <w:rsid w:val="00EB49DB"/>
    <w:rsid w:val="00EB4CB9"/>
    <w:rsid w:val="00EB61D0"/>
    <w:rsid w:val="00EC0012"/>
    <w:rsid w:val="00EC19C0"/>
    <w:rsid w:val="00EC2331"/>
    <w:rsid w:val="00EC2CAE"/>
    <w:rsid w:val="00EC4441"/>
    <w:rsid w:val="00EC44E5"/>
    <w:rsid w:val="00EC55C3"/>
    <w:rsid w:val="00EC5AB5"/>
    <w:rsid w:val="00EC73A0"/>
    <w:rsid w:val="00ED0424"/>
    <w:rsid w:val="00ED06A4"/>
    <w:rsid w:val="00ED2C60"/>
    <w:rsid w:val="00ED2E5C"/>
    <w:rsid w:val="00ED340C"/>
    <w:rsid w:val="00ED401F"/>
    <w:rsid w:val="00ED403D"/>
    <w:rsid w:val="00ED416C"/>
    <w:rsid w:val="00ED4F37"/>
    <w:rsid w:val="00ED6133"/>
    <w:rsid w:val="00ED6AFD"/>
    <w:rsid w:val="00ED6EA1"/>
    <w:rsid w:val="00ED7ECE"/>
    <w:rsid w:val="00EE26FC"/>
    <w:rsid w:val="00EE3276"/>
    <w:rsid w:val="00EE387A"/>
    <w:rsid w:val="00EE3B0B"/>
    <w:rsid w:val="00EE4E8A"/>
    <w:rsid w:val="00EE564A"/>
    <w:rsid w:val="00EE7FDF"/>
    <w:rsid w:val="00EF0007"/>
    <w:rsid w:val="00EF04FA"/>
    <w:rsid w:val="00EF1F6A"/>
    <w:rsid w:val="00EF2957"/>
    <w:rsid w:val="00EF2BEE"/>
    <w:rsid w:val="00EF3300"/>
    <w:rsid w:val="00EF41DF"/>
    <w:rsid w:val="00EF465C"/>
    <w:rsid w:val="00EF523C"/>
    <w:rsid w:val="00EF6119"/>
    <w:rsid w:val="00EF65AD"/>
    <w:rsid w:val="00EF6D43"/>
    <w:rsid w:val="00EF6F5D"/>
    <w:rsid w:val="00EF7435"/>
    <w:rsid w:val="00EF7617"/>
    <w:rsid w:val="00F0310E"/>
    <w:rsid w:val="00F03381"/>
    <w:rsid w:val="00F03605"/>
    <w:rsid w:val="00F04ECE"/>
    <w:rsid w:val="00F05383"/>
    <w:rsid w:val="00F06472"/>
    <w:rsid w:val="00F06570"/>
    <w:rsid w:val="00F0695A"/>
    <w:rsid w:val="00F07A51"/>
    <w:rsid w:val="00F1102B"/>
    <w:rsid w:val="00F1190A"/>
    <w:rsid w:val="00F147D1"/>
    <w:rsid w:val="00F14820"/>
    <w:rsid w:val="00F15178"/>
    <w:rsid w:val="00F210CB"/>
    <w:rsid w:val="00F21813"/>
    <w:rsid w:val="00F227E1"/>
    <w:rsid w:val="00F24D2E"/>
    <w:rsid w:val="00F25A62"/>
    <w:rsid w:val="00F26D36"/>
    <w:rsid w:val="00F273B5"/>
    <w:rsid w:val="00F3025D"/>
    <w:rsid w:val="00F3058D"/>
    <w:rsid w:val="00F30FDB"/>
    <w:rsid w:val="00F330C6"/>
    <w:rsid w:val="00F3359F"/>
    <w:rsid w:val="00F342AE"/>
    <w:rsid w:val="00F3665B"/>
    <w:rsid w:val="00F37305"/>
    <w:rsid w:val="00F37822"/>
    <w:rsid w:val="00F40177"/>
    <w:rsid w:val="00F40CE7"/>
    <w:rsid w:val="00F40D87"/>
    <w:rsid w:val="00F40EE3"/>
    <w:rsid w:val="00F44507"/>
    <w:rsid w:val="00F4521A"/>
    <w:rsid w:val="00F45F36"/>
    <w:rsid w:val="00F4677A"/>
    <w:rsid w:val="00F46C50"/>
    <w:rsid w:val="00F475F7"/>
    <w:rsid w:val="00F5050E"/>
    <w:rsid w:val="00F53702"/>
    <w:rsid w:val="00F53AF1"/>
    <w:rsid w:val="00F555F4"/>
    <w:rsid w:val="00F556B1"/>
    <w:rsid w:val="00F57D80"/>
    <w:rsid w:val="00F57F2C"/>
    <w:rsid w:val="00F6035B"/>
    <w:rsid w:val="00F60964"/>
    <w:rsid w:val="00F60ACC"/>
    <w:rsid w:val="00F63651"/>
    <w:rsid w:val="00F63C9E"/>
    <w:rsid w:val="00F64C21"/>
    <w:rsid w:val="00F65405"/>
    <w:rsid w:val="00F67811"/>
    <w:rsid w:val="00F71071"/>
    <w:rsid w:val="00F7149A"/>
    <w:rsid w:val="00F71CEC"/>
    <w:rsid w:val="00F7493B"/>
    <w:rsid w:val="00F772AE"/>
    <w:rsid w:val="00F80950"/>
    <w:rsid w:val="00F81354"/>
    <w:rsid w:val="00F81D16"/>
    <w:rsid w:val="00F83438"/>
    <w:rsid w:val="00F87904"/>
    <w:rsid w:val="00F91E63"/>
    <w:rsid w:val="00F932A4"/>
    <w:rsid w:val="00F939B0"/>
    <w:rsid w:val="00F940A5"/>
    <w:rsid w:val="00F9534E"/>
    <w:rsid w:val="00F95FD1"/>
    <w:rsid w:val="00F976DD"/>
    <w:rsid w:val="00F9776D"/>
    <w:rsid w:val="00F97C42"/>
    <w:rsid w:val="00FA0383"/>
    <w:rsid w:val="00FA11E0"/>
    <w:rsid w:val="00FA2FC9"/>
    <w:rsid w:val="00FA5F9A"/>
    <w:rsid w:val="00FA643E"/>
    <w:rsid w:val="00FA7C24"/>
    <w:rsid w:val="00FB08DF"/>
    <w:rsid w:val="00FB09B8"/>
    <w:rsid w:val="00FB1B08"/>
    <w:rsid w:val="00FB2F77"/>
    <w:rsid w:val="00FB38DF"/>
    <w:rsid w:val="00FB3F92"/>
    <w:rsid w:val="00FB3FD3"/>
    <w:rsid w:val="00FB47A6"/>
    <w:rsid w:val="00FB4F4E"/>
    <w:rsid w:val="00FB5031"/>
    <w:rsid w:val="00FB5721"/>
    <w:rsid w:val="00FB687D"/>
    <w:rsid w:val="00FB6A02"/>
    <w:rsid w:val="00FB7421"/>
    <w:rsid w:val="00FB7543"/>
    <w:rsid w:val="00FC0DAD"/>
    <w:rsid w:val="00FC100E"/>
    <w:rsid w:val="00FC25A3"/>
    <w:rsid w:val="00FC2F76"/>
    <w:rsid w:val="00FC40C7"/>
    <w:rsid w:val="00FC5E73"/>
    <w:rsid w:val="00FC64D6"/>
    <w:rsid w:val="00FC746B"/>
    <w:rsid w:val="00FD05B8"/>
    <w:rsid w:val="00FD0A55"/>
    <w:rsid w:val="00FD16E3"/>
    <w:rsid w:val="00FD179E"/>
    <w:rsid w:val="00FD2B19"/>
    <w:rsid w:val="00FD3261"/>
    <w:rsid w:val="00FD4D8C"/>
    <w:rsid w:val="00FD6032"/>
    <w:rsid w:val="00FD64F9"/>
    <w:rsid w:val="00FD742C"/>
    <w:rsid w:val="00FE2268"/>
    <w:rsid w:val="00FE69A2"/>
    <w:rsid w:val="00FE6DE5"/>
    <w:rsid w:val="00FE701A"/>
    <w:rsid w:val="00FF0C07"/>
    <w:rsid w:val="00FF2CED"/>
    <w:rsid w:val="00FF3639"/>
    <w:rsid w:val="00FF44AD"/>
    <w:rsid w:val="00FF4E0E"/>
    <w:rsid w:val="00FF521E"/>
    <w:rsid w:val="00FF5238"/>
    <w:rsid w:val="3F8B0EFB"/>
    <w:rsid w:val="4BCE2788"/>
    <w:rsid w:val="78E409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560" w:lineRule="exact" w:before="0" w:after="0"/>
      <w:ind w:firstLine="200" w:firstLineChars="200"/>
      <w:jc w:val="both"/>
    </w:pPr>
    <w:rPr>
      <w:rFonts w:ascii="Times New Roman" w:hAnsi="Times New Roman" w:eastAsia="仿宋_GB2312" w:cstheme="minorBidi"/>
      <w:b w:val="0"/>
      <w:kern w:val="2"/>
      <w:sz w:val="28"/>
      <w:szCs w:val="22"/>
      <w:lang w:val="en-US" w:eastAsia="zh-CN" w:bidi="ar-SA"/>
    </w:rPr>
  </w:style>
  <w:style w:type="paragraph" w:styleId="2">
    <w:name w:val="heading 1"/>
    <w:next w:val="1"/>
    <w:link w:val="28"/>
    <w:qFormat/>
    <w:uiPriority w:val="9"/>
    <w:pPr>
      <w:keepNext/>
      <w:keepLines/>
      <w:spacing w:before="120" w:beforeLines="50" w:after="120" w:afterLines="50" w:line="560" w:lineRule="exact"/>
      <w:outlineLvl w:val="0"/>
    </w:pPr>
    <w:rPr>
      <w:rFonts w:ascii="Times New Roman" w:hAnsi="Times New Roman" w:eastAsia="仿宋_GB2312" w:cstheme="minorBidi"/>
      <w:b/>
      <w:bCs/>
      <w:kern w:val="44"/>
      <w:sz w:val="36"/>
      <w:szCs w:val="44"/>
      <w:lang w:val="en-US" w:eastAsia="zh-CN" w:bidi="ar-SA"/>
    </w:rPr>
  </w:style>
  <w:style w:type="paragraph" w:styleId="3">
    <w:name w:val="heading 2"/>
    <w:next w:val="2"/>
    <w:link w:val="29"/>
    <w:unhideWhenUsed/>
    <w:qFormat/>
    <w:uiPriority w:val="9"/>
    <w:pPr>
      <w:keepNext/>
      <w:keepLines/>
      <w:spacing w:before="120" w:after="120" w:line="560" w:lineRule="exact"/>
      <w:outlineLvl w:val="1"/>
    </w:pPr>
    <w:rPr>
      <w:rFonts w:ascii="Times New Roman" w:hAnsi="Times New Roman" w:eastAsia="仿宋_GB2312" w:cstheme="majorBidi"/>
      <w:b/>
      <w:bCs/>
      <w:kern w:val="2"/>
      <w:sz w:val="28"/>
      <w:szCs w:val="32"/>
      <w:lang w:val="en-US" w:eastAsia="zh-CN" w:bidi="ar-SA"/>
    </w:rPr>
  </w:style>
  <w:style w:type="paragraph" w:styleId="4">
    <w:name w:val="heading 3"/>
    <w:basedOn w:val="1"/>
    <w:next w:val="5"/>
    <w:link w:val="30"/>
    <w:unhideWhenUsed/>
    <w:qFormat/>
    <w:uiPriority w:val="9"/>
    <w:pPr>
      <w:keepNext/>
      <w:keepLines/>
      <w:spacing w:before="50" w:beforeLines="50" w:after="50" w:afterLines="50" w:line="560" w:lineRule="exact"/>
      <w:jc w:val="left"/>
      <w:outlineLvl w:val="2"/>
    </w:pPr>
    <w:rPr>
      <w:rFonts w:ascii="Times New Roman" w:hAnsi="Times New Roman" w:eastAsia="仿宋_GB2312"/>
      <w:b/>
      <w:bCs/>
      <w:sz w:val="28"/>
      <w:szCs w:val="32"/>
    </w:rPr>
  </w:style>
  <w:style w:type="paragraph" w:styleId="6">
    <w:name w:val="heading 4"/>
    <w:basedOn w:val="1"/>
    <w:next w:val="1"/>
    <w:link w:val="31"/>
    <w:unhideWhenUsed/>
    <w:qFormat/>
    <w:uiPriority w:val="9"/>
    <w:pPr>
      <w:keepNext/>
      <w:keepLines/>
      <w:spacing w:before="120" w:after="120"/>
      <w:ind w:firstLine="0" w:firstLineChars="0"/>
      <w:outlineLvl w:val="3"/>
    </w:pPr>
    <w:rPr>
      <w:rFonts w:cstheme="majorBidi"/>
      <w:b/>
      <w:bCs/>
      <w:szCs w:val="28"/>
    </w:rPr>
  </w:style>
  <w:style w:type="paragraph" w:styleId="7">
    <w:name w:val="heading 5"/>
    <w:basedOn w:val="1"/>
    <w:next w:val="1"/>
    <w:link w:val="32"/>
    <w:unhideWhenUsed/>
    <w:qFormat/>
    <w:uiPriority w:val="9"/>
    <w:pPr>
      <w:keepNext/>
      <w:keepLines/>
      <w:spacing w:before="280" w:after="290" w:line="376" w:lineRule="auto"/>
      <w:outlineLvl w:val="4"/>
    </w:pPr>
    <w:rPr>
      <w:b/>
      <w:bCs/>
      <w:szCs w:val="28"/>
    </w:rPr>
  </w:style>
  <w:style w:type="paragraph" w:styleId="8">
    <w:name w:val="heading 6"/>
    <w:basedOn w:val="1"/>
    <w:next w:val="1"/>
    <w:link w:val="93"/>
    <w:unhideWhenUsed/>
    <w:qFormat/>
    <w:uiPriority w:val="9"/>
    <w:pPr>
      <w:keepNext/>
      <w:keepLines/>
      <w:adjustRightInd/>
      <w:snapToGrid/>
      <w:spacing w:before="240" w:after="64" w:line="320" w:lineRule="auto"/>
      <w:outlineLvl w:val="5"/>
    </w:pPr>
    <w:rPr>
      <w:rFonts w:asciiTheme="majorHAnsi" w:hAnsiTheme="majorHAnsi" w:eastAsiaTheme="majorEastAsia" w:cstheme="majorBidi"/>
      <w:b/>
      <w:bCs/>
      <w:sz w:val="24"/>
      <w:szCs w:val="24"/>
    </w:rPr>
  </w:style>
  <w:style w:type="paragraph" w:styleId="9">
    <w:name w:val="heading 7"/>
    <w:basedOn w:val="1"/>
    <w:next w:val="1"/>
    <w:link w:val="100"/>
    <w:semiHidden/>
    <w:unhideWhenUsed/>
    <w:qFormat/>
    <w:uiPriority w:val="9"/>
    <w:pPr>
      <w:keepNext/>
      <w:keepLines/>
      <w:spacing w:before="240" w:after="64" w:line="320" w:lineRule="auto"/>
      <w:outlineLvl w:val="6"/>
    </w:pPr>
    <w:rPr>
      <w:b/>
      <w:bCs/>
      <w:sz w:val="24"/>
      <w:szCs w:val="24"/>
    </w:rPr>
  </w:style>
  <w:style w:type="paragraph" w:styleId="10">
    <w:name w:val="heading 8"/>
    <w:basedOn w:val="1"/>
    <w:next w:val="1"/>
    <w:link w:val="101"/>
    <w:semiHidden/>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paragraph" w:styleId="11">
    <w:name w:val="heading 9"/>
    <w:basedOn w:val="1"/>
    <w:next w:val="1"/>
    <w:link w:val="102"/>
    <w:semiHidden/>
    <w:unhideWhenUsed/>
    <w:qFormat/>
    <w:uiPriority w:val="9"/>
    <w:pPr>
      <w:keepNext/>
      <w:keepLines/>
      <w:spacing w:before="240" w:after="64" w:line="320" w:lineRule="auto"/>
      <w:outlineLvl w:val="8"/>
    </w:pPr>
    <w:rPr>
      <w:rFonts w:asciiTheme="majorHAnsi" w:hAnsiTheme="majorHAnsi" w:eastAsiaTheme="majorEastAsia" w:cstheme="majorBidi"/>
      <w:sz w:val="21"/>
      <w:szCs w:val="21"/>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customStyle="1" w:styleId="5">
    <w:name w:val="正文 缩进"/>
    <w:basedOn w:val="1"/>
    <w:qFormat/>
    <w:uiPriority w:val="0"/>
    <w:rPr>
      <w:sz w:val="24"/>
    </w:rPr>
  </w:style>
  <w:style w:type="paragraph" w:styleId="12">
    <w:name w:val="caption"/>
    <w:next w:val="1"/>
    <w:unhideWhenUsed/>
    <w:qFormat/>
    <w:uiPriority w:val="35"/>
    <w:pPr>
      <w:jc w:val="center"/>
    </w:pPr>
    <w:rPr>
      <w:rFonts w:ascii="Times New Roman" w:hAnsi="Times New Roman" w:eastAsia="仿宋_GB2312" w:cs="Times New Roman"/>
      <w:b w:val="0"/>
      <w:kern w:val="2"/>
      <w:sz w:val="24"/>
      <w:szCs w:val="32"/>
      <w:lang w:val="en" w:eastAsia="zh-CN" w:bidi="ar-SA"/>
    </w:rPr>
  </w:style>
  <w:style w:type="paragraph" w:styleId="13">
    <w:name w:val="Document Map"/>
    <w:basedOn w:val="1"/>
    <w:link w:val="94"/>
    <w:semiHidden/>
    <w:unhideWhenUsed/>
    <w:uiPriority w:val="99"/>
    <w:pPr>
      <w:adjustRightInd/>
      <w:snapToGrid/>
    </w:pPr>
    <w:rPr>
      <w:rFonts w:ascii="宋体" w:eastAsia="宋体" w:hAnsiTheme="minorHAnsi"/>
      <w:sz w:val="18"/>
      <w:szCs w:val="18"/>
    </w:rPr>
  </w:style>
  <w:style w:type="paragraph" w:styleId="14">
    <w:name w:val="toc 3"/>
    <w:basedOn w:val="1"/>
    <w:next w:val="1"/>
    <w:unhideWhenUsed/>
    <w:qFormat/>
    <w:uiPriority w:val="39"/>
    <w:pPr>
      <w:ind w:left="840" w:leftChars="400"/>
    </w:pPr>
  </w:style>
  <w:style w:type="paragraph" w:styleId="15">
    <w:name w:val="Date"/>
    <w:basedOn w:val="1"/>
    <w:next w:val="1"/>
    <w:link w:val="34"/>
    <w:semiHidden/>
    <w:unhideWhenUsed/>
    <w:qFormat/>
    <w:uiPriority w:val="99"/>
    <w:pPr>
      <w:ind w:left="100" w:leftChars="2500"/>
    </w:pPr>
  </w:style>
  <w:style w:type="paragraph" w:styleId="16">
    <w:name w:val="Balloon Text"/>
    <w:basedOn w:val="1"/>
    <w:link w:val="43"/>
    <w:unhideWhenUsed/>
    <w:qFormat/>
    <w:uiPriority w:val="99"/>
    <w:rPr>
      <w:sz w:val="18"/>
      <w:szCs w:val="18"/>
    </w:rPr>
  </w:style>
  <w:style w:type="paragraph" w:styleId="17">
    <w:name w:val="footer"/>
    <w:basedOn w:val="1"/>
    <w:link w:val="36"/>
    <w:unhideWhenUsed/>
    <w:qFormat/>
    <w:uiPriority w:val="99"/>
    <w:pPr>
      <w:tabs>
        <w:tab w:val="center" w:pos="4153"/>
        <w:tab w:val="right" w:pos="8306"/>
      </w:tabs>
      <w:spacing w:line="240" w:lineRule="atLeast"/>
      <w:jc w:val="left"/>
    </w:pPr>
    <w:rPr>
      <w:sz w:val="18"/>
      <w:szCs w:val="18"/>
    </w:rPr>
  </w:style>
  <w:style w:type="paragraph" w:styleId="18">
    <w:name w:val="header"/>
    <w:basedOn w:val="1"/>
    <w:link w:val="35"/>
    <w:unhideWhenUsed/>
    <w:qFormat/>
    <w:uiPriority w:val="99"/>
    <w:pPr>
      <w:pBdr>
        <w:bottom w:val="single" w:color="auto" w:sz="6" w:space="1"/>
      </w:pBdr>
      <w:tabs>
        <w:tab w:val="center" w:pos="4153"/>
        <w:tab w:val="right" w:pos="8306"/>
      </w:tabs>
      <w:spacing w:line="240" w:lineRule="atLeast"/>
      <w:jc w:val="center"/>
    </w:pPr>
    <w:rPr>
      <w:sz w:val="18"/>
      <w:szCs w:val="18"/>
    </w:rPr>
  </w:style>
  <w:style w:type="paragraph" w:styleId="19">
    <w:name w:val="toc 1"/>
    <w:basedOn w:val="1"/>
    <w:next w:val="1"/>
    <w:unhideWhenUsed/>
    <w:qFormat/>
    <w:uiPriority w:val="39"/>
    <w:pPr>
      <w:tabs>
        <w:tab w:val="left" w:pos="0"/>
        <w:tab w:val="right" w:leader="dot" w:pos="8302"/>
      </w:tabs>
      <w:spacing w:line="560" w:lineRule="exact" w:before="0" w:after="0"/>
      <w:ind w:firstLine="0" w:firstLineChars="0"/>
    </w:pPr>
    <w:rPr>
      <w:rFonts w:eastAsia="仿宋_GB2312" w:cs="Times New Roman" w:ascii="Times New Roman" w:hAnsi="Times New Roman"/>
      <w:b/>
      <w:sz w:val="28"/>
    </w:rPr>
  </w:style>
  <w:style w:type="paragraph" w:styleId="20">
    <w:name w:val="toc 2"/>
    <w:basedOn w:val="1"/>
    <w:next w:val="1"/>
    <w:unhideWhenUsed/>
    <w:qFormat/>
    <w:uiPriority w:val="39"/>
    <w:pPr>
      <w:tabs>
        <w:tab w:val="left" w:pos="1120"/>
        <w:tab w:val="right" w:leader="dot" w:pos="8296"/>
      </w:tabs>
      <w:spacing w:line="560" w:lineRule="exact" w:before="0" w:after="0"/>
      <w:ind w:left="640" w:leftChars="200" w:firstLine="0" w:firstLineChars="0"/>
    </w:pPr>
    <w:rPr>
      <w:rFonts w:ascii="Times New Roman" w:hAnsi="Times New Roman" w:eastAsia="仿宋_GB2312"/>
      <w:b w:val="0"/>
      <w:sz w:val="28"/>
    </w:rPr>
  </w:style>
  <w:style w:type="paragraph" w:styleId="21">
    <w:name w:val="Normal (Web)"/>
    <w:basedOn w:val="1"/>
    <w:unhideWhenUsed/>
    <w:qFormat/>
    <w:uiPriority w:val="99"/>
    <w:pPr>
      <w:widowControl/>
      <w:adjustRightInd/>
      <w:snapToGrid/>
      <w:spacing w:before="100" w:beforeAutospacing="1" w:after="100" w:afterAutospacing="1"/>
      <w:jc w:val="left"/>
    </w:pPr>
    <w:rPr>
      <w:rFonts w:ascii="宋体" w:hAnsi="宋体" w:eastAsia="宋体" w:cs="宋体"/>
      <w:kern w:val="0"/>
      <w:sz w:val="24"/>
      <w:szCs w:val="24"/>
    </w:rPr>
  </w:style>
  <w:style w:type="table" w:styleId="23">
    <w:name w:val="Table Grid"/>
    <w:basedOn w:val="22"/>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22"/>
    <w:rPr>
      <w:b/>
      <w:bCs/>
    </w:rPr>
  </w:style>
  <w:style w:type="character" w:styleId="26">
    <w:name w:val="FollowedHyperlink"/>
    <w:basedOn w:val="24"/>
    <w:semiHidden/>
    <w:unhideWhenUsed/>
    <w:qFormat/>
    <w:uiPriority w:val="99"/>
    <w:rPr>
      <w:color w:val="800080"/>
      <w:u w:val="single"/>
    </w:rPr>
  </w:style>
  <w:style w:type="character" w:styleId="27">
    <w:name w:val="Hyperlink"/>
    <w:basedOn w:val="24"/>
    <w:unhideWhenUsed/>
    <w:qFormat/>
    <w:uiPriority w:val="99"/>
    <w:rPr>
      <w:color w:val="0000FF" w:themeColor="hyperlink"/>
      <w:u w:val="single"/>
      <w14:textFill>
        <w14:solidFill>
          <w14:schemeClr w14:val="hlink"/>
        </w14:solidFill>
      </w14:textFill>
    </w:rPr>
  </w:style>
  <w:style w:type="character" w:customStyle="1" w:styleId="28">
    <w:name w:val="标题 1 字符"/>
    <w:basedOn w:val="24"/>
    <w:link w:val="2"/>
    <w:qFormat/>
    <w:uiPriority w:val="9"/>
    <w:rPr>
      <w:rFonts w:ascii="仿宋_GB2312" w:hAnsi="仿宋" w:eastAsia="仿宋_GB2312"/>
      <w:b/>
      <w:bCs/>
      <w:kern w:val="44"/>
      <w:sz w:val="36"/>
      <w:szCs w:val="44"/>
    </w:rPr>
  </w:style>
  <w:style w:type="character" w:customStyle="1" w:styleId="29">
    <w:name w:val="标题 2 字符"/>
    <w:basedOn w:val="24"/>
    <w:link w:val="3"/>
    <w:qFormat/>
    <w:uiPriority w:val="9"/>
    <w:rPr>
      <w:rFonts w:ascii="Times New Roman" w:hAnsi="Times New Roman" w:eastAsia="仿宋_GB2312" w:cstheme="majorBidi"/>
      <w:b/>
      <w:bCs/>
      <w:sz w:val="32"/>
      <w:szCs w:val="32"/>
    </w:rPr>
  </w:style>
  <w:style w:type="character" w:customStyle="1" w:styleId="30">
    <w:name w:val="标题 3 字符"/>
    <w:basedOn w:val="24"/>
    <w:link w:val="4"/>
    <w:qFormat/>
    <w:uiPriority w:val="9"/>
    <w:rPr>
      <w:rFonts w:ascii="Times New Roman" w:hAnsi="Times New Roman" w:eastAsia="仿宋_GB2312"/>
      <w:b/>
      <w:bCs/>
      <w:sz w:val="32"/>
      <w:szCs w:val="32"/>
    </w:rPr>
  </w:style>
  <w:style w:type="character" w:customStyle="1" w:styleId="31">
    <w:name w:val="标题 4 字符"/>
    <w:basedOn w:val="24"/>
    <w:link w:val="6"/>
    <w:qFormat/>
    <w:uiPriority w:val="9"/>
    <w:rPr>
      <w:rFonts w:ascii="Times New Roman" w:hAnsi="Times New Roman" w:eastAsia="仿宋_GB2312" w:cstheme="majorBidi"/>
      <w:b/>
      <w:bCs/>
      <w:sz w:val="32"/>
      <w:szCs w:val="28"/>
    </w:rPr>
  </w:style>
  <w:style w:type="character" w:customStyle="1" w:styleId="32">
    <w:name w:val="标题 5 字符"/>
    <w:basedOn w:val="24"/>
    <w:link w:val="7"/>
    <w:qFormat/>
    <w:uiPriority w:val="9"/>
    <w:rPr>
      <w:rFonts w:ascii="Times New Roman" w:hAnsi="Times New Roman" w:eastAsia="仿宋_GB2312"/>
      <w:b/>
      <w:bCs/>
      <w:sz w:val="28"/>
      <w:szCs w:val="28"/>
    </w:rPr>
  </w:style>
  <w:style w:type="paragraph" w:styleId="33">
    <w:name w:val="No Spacing"/>
    <w:qFormat/>
    <w:uiPriority w:val="1"/>
    <w:pPr>
      <w:widowControl w:val="0"/>
      <w:jc w:val="both"/>
    </w:pPr>
    <w:rPr>
      <w:rFonts w:eastAsia="仿宋" w:asciiTheme="minorHAnsi" w:hAnsiTheme="minorHAnsi" w:cstheme="minorBidi"/>
      <w:kern w:val="2"/>
      <w:sz w:val="21"/>
      <w:szCs w:val="22"/>
      <w:lang w:val="en-US" w:eastAsia="zh-CN" w:bidi="ar-SA"/>
    </w:rPr>
  </w:style>
  <w:style w:type="character" w:customStyle="1" w:styleId="34">
    <w:name w:val="日期 字符"/>
    <w:basedOn w:val="24"/>
    <w:link w:val="15"/>
    <w:semiHidden/>
    <w:qFormat/>
    <w:uiPriority w:val="99"/>
    <w:rPr>
      <w:rFonts w:ascii="Times New Roman" w:hAnsi="Times New Roman" w:eastAsia="仿宋_GB2312"/>
      <w:sz w:val="28"/>
    </w:rPr>
  </w:style>
  <w:style w:type="character" w:customStyle="1" w:styleId="35">
    <w:name w:val="页眉 字符"/>
    <w:basedOn w:val="24"/>
    <w:link w:val="18"/>
    <w:qFormat/>
    <w:uiPriority w:val="99"/>
    <w:rPr>
      <w:rFonts w:ascii="Times New Roman" w:hAnsi="Times New Roman" w:eastAsia="仿宋_GB2312"/>
      <w:sz w:val="18"/>
      <w:szCs w:val="18"/>
    </w:rPr>
  </w:style>
  <w:style w:type="character" w:customStyle="1" w:styleId="36">
    <w:name w:val="页脚 字符"/>
    <w:basedOn w:val="24"/>
    <w:link w:val="17"/>
    <w:qFormat/>
    <w:uiPriority w:val="99"/>
    <w:rPr>
      <w:rFonts w:ascii="Times New Roman" w:hAnsi="Times New Roman" w:eastAsia="仿宋_GB2312"/>
      <w:sz w:val="18"/>
      <w:szCs w:val="18"/>
    </w:rPr>
  </w:style>
  <w:style w:type="paragraph" w:styleId="37">
    <w:name w:val="List Paragraph"/>
    <w:link w:val="95"/>
    <w:qFormat/>
    <w:uiPriority w:val="34"/>
    <w:pPr>
      <w:spacing w:line="580" w:lineRule="exact"/>
      <w:ind w:firstLine="643" w:firstLineChars="200"/>
    </w:pPr>
    <w:rPr>
      <w:rFonts w:ascii="仿宋_GB2312" w:hAnsi="Times New Roman" w:eastAsia="仿宋_GB2312" w:cstheme="minorBidi"/>
      <w:kern w:val="2"/>
      <w:sz w:val="32"/>
      <w:szCs w:val="32"/>
      <w:lang w:val="en-US" w:eastAsia="zh-CN" w:bidi="ar-SA"/>
    </w:rPr>
  </w:style>
  <w:style w:type="paragraph" w:customStyle="1" w:styleId="38">
    <w:name w:val="图片"/>
    <w:link w:val="96"/>
    <w:qFormat/>
    <w:uiPriority w:val="0"/>
    <w:pPr>
      <w:jc w:val="center"/>
    </w:pPr>
    <w:rPr>
      <w:rFonts w:ascii="Times New Roman" w:hAnsi="Times New Roman" w:eastAsia="仿宋_GB2312" w:cstheme="minorBidi"/>
      <w:kern w:val="2"/>
      <w:sz w:val="32"/>
      <w:szCs w:val="22"/>
      <w:lang w:val="en-US" w:eastAsia="zh-CN" w:bidi="ar-SA"/>
    </w:rPr>
  </w:style>
  <w:style w:type="table" w:customStyle="1" w:styleId="39">
    <w:name w:val="网格型1"/>
    <w:basedOn w:val="2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网格型2"/>
    <w:basedOn w:val="2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1">
    <w:name w:val="网格型3"/>
    <w:basedOn w:val="22"/>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2">
    <w:name w:val="TOC Heading"/>
    <w:basedOn w:val="2"/>
    <w:next w:val="1"/>
    <w:unhideWhenUsed/>
    <w:qFormat/>
    <w:uiPriority w:val="39"/>
    <w:pPr>
      <w:spacing w:before="240" w:beforeLines="0" w:after="0" w:afterLines="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43">
    <w:name w:val="批注框文本 字符"/>
    <w:basedOn w:val="24"/>
    <w:link w:val="16"/>
    <w:qFormat/>
    <w:uiPriority w:val="99"/>
    <w:rPr>
      <w:rFonts w:ascii="Times New Roman" w:hAnsi="Times New Roman" w:eastAsia="仿宋_GB2312"/>
      <w:sz w:val="18"/>
      <w:szCs w:val="18"/>
    </w:rPr>
  </w:style>
  <w:style w:type="paragraph" w:customStyle="1" w:styleId="44">
    <w:name w:val="_Style 40"/>
    <w:basedOn w:val="1"/>
    <w:next w:val="37"/>
    <w:qFormat/>
    <w:uiPriority w:val="99"/>
    <w:pPr>
      <w:adjustRightInd/>
      <w:snapToGrid/>
      <w:ind w:firstLine="420"/>
    </w:pPr>
    <w:rPr>
      <w:rFonts w:ascii="Calibri" w:hAnsi="Calibri" w:eastAsia="宋体" w:cs="Times New Roman"/>
      <w:sz w:val="21"/>
      <w:szCs w:val="24"/>
    </w:rPr>
  </w:style>
  <w:style w:type="character" w:customStyle="1" w:styleId="45">
    <w:name w:val="标题 1 字符1"/>
    <w:qFormat/>
    <w:uiPriority w:val="0"/>
    <w:rPr>
      <w:rFonts w:ascii="Arial" w:hAnsi="Arial" w:eastAsia="宋体" w:cs="Times New Roman"/>
      <w:b/>
      <w:bCs/>
      <w:kern w:val="32"/>
      <w:sz w:val="32"/>
      <w:szCs w:val="32"/>
      <w:lang w:val="zh-CN" w:eastAsia="zh-CN"/>
    </w:rPr>
  </w:style>
  <w:style w:type="character" w:customStyle="1" w:styleId="46">
    <w:name w:val="标题 2 字符1"/>
    <w:qFormat/>
    <w:uiPriority w:val="0"/>
    <w:rPr>
      <w:rFonts w:ascii="Cambria" w:hAnsi="Cambria" w:eastAsia="宋体" w:cs="Times New Roman"/>
      <w:b/>
      <w:bCs/>
      <w:sz w:val="32"/>
      <w:szCs w:val="32"/>
      <w:lang w:val="zh-CN" w:eastAsia="zh-CN"/>
    </w:rPr>
  </w:style>
  <w:style w:type="character" w:customStyle="1" w:styleId="47">
    <w:name w:val="fontstyle01"/>
    <w:basedOn w:val="24"/>
    <w:qFormat/>
    <w:uiPriority w:val="0"/>
    <w:rPr>
      <w:rFonts w:hint="eastAsia" w:ascii="仿宋" w:hAnsi="仿宋" w:eastAsia="仿宋"/>
      <w:color w:val="000000"/>
      <w:sz w:val="28"/>
      <w:szCs w:val="28"/>
    </w:rPr>
  </w:style>
  <w:style w:type="paragraph" w:customStyle="1" w:styleId="48">
    <w:name w:val="正文段落"/>
    <w:basedOn w:val="1"/>
    <w:qFormat/>
    <w:uiPriority w:val="0"/>
    <w:pPr>
      <w:adjustRightInd/>
      <w:snapToGrid/>
    </w:pPr>
    <w:rPr>
      <w:rFonts w:ascii="仿宋_GB2312" w:cs="Times New Roman"/>
      <w:szCs w:val="20"/>
    </w:rPr>
  </w:style>
  <w:style w:type="paragraph" w:customStyle="1" w:styleId="49">
    <w:name w:val="普通(网站)1"/>
    <w:basedOn w:val="1"/>
    <w:qFormat/>
    <w:uiPriority w:val="0"/>
    <w:pPr>
      <w:widowControl/>
      <w:adjustRightInd/>
      <w:snapToGrid/>
      <w:spacing w:before="100" w:beforeAutospacing="1" w:after="100" w:afterAutospacing="1"/>
      <w:jc w:val="left"/>
    </w:pPr>
    <w:rPr>
      <w:rFonts w:ascii="宋体" w:hAnsi="宋体" w:eastAsia="宋体" w:cs="宋体"/>
      <w:kern w:val="0"/>
      <w:sz w:val="24"/>
      <w:szCs w:val="24"/>
    </w:rPr>
  </w:style>
  <w:style w:type="paragraph" w:customStyle="1" w:styleId="50">
    <w:name w:val="p0"/>
    <w:basedOn w:val="1"/>
    <w:qFormat/>
    <w:uiPriority w:val="0"/>
    <w:pPr>
      <w:widowControl/>
      <w:adjustRightInd/>
      <w:snapToGrid/>
    </w:pPr>
    <w:rPr>
      <w:rFonts w:eastAsia="宋体" w:cs="Times New Roman"/>
      <w:kern w:val="0"/>
      <w:sz w:val="21"/>
      <w:szCs w:val="20"/>
    </w:rPr>
  </w:style>
  <w:style w:type="paragraph" w:customStyle="1" w:styleId="51">
    <w:name w:val="msonormal"/>
    <w:basedOn w:val="1"/>
    <w:qFormat/>
    <w:uiPriority w:val="0"/>
    <w:pPr>
      <w:widowControl/>
      <w:adjustRightInd/>
      <w:snapToGrid/>
      <w:spacing w:before="100" w:beforeAutospacing="1" w:after="100" w:afterAutospacing="1"/>
      <w:jc w:val="left"/>
    </w:pPr>
    <w:rPr>
      <w:rFonts w:ascii="宋体" w:hAnsi="宋体" w:eastAsia="宋体" w:cs="宋体"/>
      <w:kern w:val="0"/>
      <w:sz w:val="24"/>
      <w:szCs w:val="24"/>
    </w:rPr>
  </w:style>
  <w:style w:type="paragraph" w:customStyle="1" w:styleId="52">
    <w:name w:val="xl102"/>
    <w:basedOn w:val="1"/>
    <w:qFormat/>
    <w:uiPriority w:val="0"/>
    <w:pPr>
      <w:widowControl/>
      <w:adjustRightInd/>
      <w:snapToGrid/>
      <w:spacing w:before="100" w:beforeAutospacing="1" w:after="100" w:afterAutospacing="1"/>
      <w:jc w:val="left"/>
    </w:pPr>
    <w:rPr>
      <w:rFonts w:ascii="黑体" w:hAnsi="黑体" w:eastAsia="黑体" w:cs="宋体"/>
      <w:color w:val="000000"/>
      <w:kern w:val="0"/>
      <w:sz w:val="24"/>
      <w:szCs w:val="24"/>
    </w:rPr>
  </w:style>
  <w:style w:type="paragraph" w:customStyle="1" w:styleId="53">
    <w:name w:val="xl103"/>
    <w:basedOn w:val="1"/>
    <w:qFormat/>
    <w:uiPriority w:val="0"/>
    <w:pPr>
      <w:widowControl/>
      <w:adjustRightInd/>
      <w:snapToGrid/>
      <w:spacing w:before="100" w:beforeAutospacing="1" w:after="100" w:afterAutospacing="1"/>
      <w:jc w:val="center"/>
    </w:pPr>
    <w:rPr>
      <w:rFonts w:ascii="黑体" w:hAnsi="黑体" w:eastAsia="黑体" w:cs="宋体"/>
      <w:color w:val="000000"/>
      <w:kern w:val="0"/>
      <w:sz w:val="24"/>
      <w:szCs w:val="24"/>
    </w:rPr>
  </w:style>
  <w:style w:type="paragraph" w:customStyle="1" w:styleId="54">
    <w:name w:val="xl104"/>
    <w:basedOn w:val="1"/>
    <w:qFormat/>
    <w:uiPriority w:val="0"/>
    <w:pPr>
      <w:widowControl/>
      <w:adjustRightInd/>
      <w:snapToGrid/>
      <w:spacing w:before="100" w:beforeAutospacing="1" w:after="100" w:afterAutospacing="1"/>
      <w:jc w:val="left"/>
    </w:pPr>
    <w:rPr>
      <w:rFonts w:ascii="黑体" w:hAnsi="黑体" w:eastAsia="黑体" w:cs="宋体"/>
      <w:color w:val="000000"/>
      <w:kern w:val="0"/>
      <w:sz w:val="24"/>
      <w:szCs w:val="24"/>
    </w:rPr>
  </w:style>
  <w:style w:type="paragraph" w:customStyle="1" w:styleId="55">
    <w:name w:val="xl105"/>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textAlignment w:val="center"/>
    </w:pPr>
    <w:rPr>
      <w:rFonts w:ascii="黑体" w:hAnsi="黑体" w:eastAsia="黑体" w:cs="宋体"/>
      <w:b/>
      <w:bCs/>
      <w:kern w:val="0"/>
      <w:sz w:val="24"/>
      <w:szCs w:val="24"/>
    </w:rPr>
  </w:style>
  <w:style w:type="paragraph" w:customStyle="1" w:styleId="56">
    <w:name w:val="xl106"/>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center"/>
      <w:textAlignment w:val="center"/>
    </w:pPr>
    <w:rPr>
      <w:rFonts w:ascii="黑体" w:hAnsi="黑体" w:eastAsia="黑体" w:cs="宋体"/>
      <w:b/>
      <w:bCs/>
      <w:kern w:val="0"/>
      <w:sz w:val="24"/>
      <w:szCs w:val="24"/>
    </w:rPr>
  </w:style>
  <w:style w:type="paragraph" w:customStyle="1" w:styleId="57">
    <w:name w:val="xl107"/>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textAlignment w:val="center"/>
    </w:pPr>
    <w:rPr>
      <w:rFonts w:ascii="黑体" w:hAnsi="黑体" w:eastAsia="黑体" w:cs="宋体"/>
      <w:b/>
      <w:bCs/>
      <w:kern w:val="0"/>
      <w:sz w:val="24"/>
      <w:szCs w:val="24"/>
    </w:rPr>
  </w:style>
  <w:style w:type="paragraph" w:customStyle="1" w:styleId="58">
    <w:name w:val="xl108"/>
    <w:basedOn w:val="1"/>
    <w:qFormat/>
    <w:uiPriority w:val="0"/>
    <w:pPr>
      <w:widowControl/>
      <w:pBdr>
        <w:top w:val="single" w:color="000000" w:sz="4" w:space="0"/>
        <w:left w:val="single" w:color="000000" w:sz="4" w:space="0"/>
        <w:bottom w:val="single" w:color="000000" w:sz="4" w:space="0"/>
        <w:right w:val="single" w:color="000000" w:sz="4" w:space="0"/>
      </w:pBdr>
      <w:shd w:val="clear" w:color="000000" w:fill="BDD7EE"/>
      <w:adjustRightInd/>
      <w:snapToGrid/>
      <w:spacing w:before="100" w:beforeAutospacing="1" w:after="100" w:afterAutospacing="1"/>
      <w:jc w:val="center"/>
      <w:textAlignment w:val="center"/>
    </w:pPr>
    <w:rPr>
      <w:rFonts w:ascii="黑体" w:hAnsi="黑体" w:eastAsia="黑体" w:cs="宋体"/>
      <w:b/>
      <w:bCs/>
      <w:kern w:val="0"/>
      <w:sz w:val="24"/>
      <w:szCs w:val="24"/>
    </w:rPr>
  </w:style>
  <w:style w:type="paragraph" w:customStyle="1" w:styleId="59">
    <w:name w:val="xl109"/>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textAlignment w:val="center"/>
    </w:pPr>
    <w:rPr>
      <w:rFonts w:ascii="黑体" w:hAnsi="黑体" w:eastAsia="黑体" w:cs="宋体"/>
      <w:b/>
      <w:bCs/>
      <w:kern w:val="0"/>
      <w:sz w:val="24"/>
      <w:szCs w:val="24"/>
    </w:rPr>
  </w:style>
  <w:style w:type="paragraph" w:customStyle="1" w:styleId="60">
    <w:name w:val="xl110"/>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kern w:val="0"/>
      <w:sz w:val="24"/>
      <w:szCs w:val="24"/>
    </w:rPr>
  </w:style>
  <w:style w:type="paragraph" w:customStyle="1" w:styleId="61">
    <w:name w:val="xl111"/>
    <w:basedOn w:val="1"/>
    <w:qFormat/>
    <w:uiPriority w:val="0"/>
    <w:pPr>
      <w:widowControl/>
      <w:pBdr>
        <w:top w:val="single" w:color="000000" w:sz="4" w:space="0"/>
        <w:left w:val="single" w:color="000000" w:sz="4" w:space="0"/>
        <w:bottom w:val="single" w:color="000000" w:sz="4" w:space="0"/>
        <w:right w:val="single" w:color="000000" w:sz="4" w:space="0"/>
      </w:pBdr>
      <w:shd w:val="clear" w:color="000000" w:fill="FFFFFF"/>
      <w:adjustRightInd/>
      <w:snapToGrid/>
      <w:spacing w:before="100" w:beforeAutospacing="1" w:after="100" w:afterAutospacing="1"/>
      <w:jc w:val="left"/>
      <w:textAlignment w:val="center"/>
    </w:pPr>
    <w:rPr>
      <w:rFonts w:ascii="黑体" w:hAnsi="黑体" w:eastAsia="黑体" w:cs="宋体"/>
      <w:kern w:val="0"/>
      <w:sz w:val="24"/>
      <w:szCs w:val="24"/>
    </w:rPr>
  </w:style>
  <w:style w:type="paragraph" w:customStyle="1" w:styleId="62">
    <w:name w:val="xl112"/>
    <w:basedOn w:val="1"/>
    <w:qFormat/>
    <w:uiPriority w:val="0"/>
    <w:pPr>
      <w:widowControl/>
      <w:pBdr>
        <w:top w:val="single" w:color="000000" w:sz="4" w:space="0"/>
        <w:left w:val="single" w:color="000000" w:sz="4" w:space="0"/>
        <w:bottom w:val="single" w:color="000000" w:sz="4" w:space="0"/>
        <w:right w:val="single" w:color="000000" w:sz="4" w:space="0"/>
      </w:pBdr>
      <w:shd w:val="clear" w:color="000000" w:fill="FFFFFF"/>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63">
    <w:name w:val="xl11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napToGrid/>
      <w:spacing w:before="100" w:beforeAutospacing="1" w:after="100" w:afterAutospacing="1"/>
      <w:jc w:val="left"/>
      <w:textAlignment w:val="center"/>
    </w:pPr>
    <w:rPr>
      <w:rFonts w:ascii="黑体" w:hAnsi="黑体" w:eastAsia="黑体" w:cs="宋体"/>
      <w:kern w:val="0"/>
      <w:sz w:val="24"/>
      <w:szCs w:val="24"/>
    </w:rPr>
  </w:style>
  <w:style w:type="paragraph" w:customStyle="1" w:styleId="64">
    <w:name w:val="xl114"/>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65">
    <w:name w:val="xl115"/>
    <w:basedOn w:val="1"/>
    <w:qFormat/>
    <w:uiPriority w:val="0"/>
    <w:pPr>
      <w:widowControl/>
      <w:pBdr>
        <w:top w:val="single" w:color="000000" w:sz="4" w:space="0"/>
        <w:left w:val="single" w:color="000000" w:sz="4" w:space="0"/>
        <w:bottom w:val="single" w:color="000000" w:sz="4" w:space="0"/>
        <w:right w:val="single" w:color="000000" w:sz="4" w:space="0"/>
      </w:pBdr>
      <w:shd w:val="clear" w:color="000000" w:fill="FFFFFF"/>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66">
    <w:name w:val="xl116"/>
    <w:basedOn w:val="1"/>
    <w:qFormat/>
    <w:uiPriority w:val="0"/>
    <w:pPr>
      <w:widowControl/>
      <w:pBdr>
        <w:left w:val="single" w:color="000000" w:sz="4" w:space="0"/>
        <w:bottom w:val="single" w:color="000000" w:sz="4" w:space="0"/>
        <w:right w:val="single" w:color="000000" w:sz="4" w:space="0"/>
      </w:pBdr>
      <w:shd w:val="clear" w:color="000000" w:fill="FFFFFF"/>
      <w:adjustRightInd/>
      <w:snapToGrid/>
      <w:spacing w:before="100" w:beforeAutospacing="1" w:after="100" w:afterAutospacing="1"/>
      <w:jc w:val="left"/>
      <w:textAlignment w:val="center"/>
    </w:pPr>
    <w:rPr>
      <w:rFonts w:ascii="黑体" w:hAnsi="黑体" w:eastAsia="黑体" w:cs="宋体"/>
      <w:kern w:val="0"/>
      <w:sz w:val="24"/>
      <w:szCs w:val="24"/>
    </w:rPr>
  </w:style>
  <w:style w:type="paragraph" w:customStyle="1" w:styleId="67">
    <w:name w:val="xl117"/>
    <w:basedOn w:val="1"/>
    <w:qFormat/>
    <w:uiPriority w:val="0"/>
    <w:pPr>
      <w:widowControl/>
      <w:pBdr>
        <w:left w:val="single" w:color="000000" w:sz="4" w:space="0"/>
        <w:bottom w:val="single" w:color="000000" w:sz="4" w:space="0"/>
        <w:right w:val="single" w:color="000000" w:sz="4" w:space="0"/>
      </w:pBdr>
      <w:shd w:val="clear" w:color="000000" w:fill="FFFFFF"/>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68">
    <w:name w:val="xl118"/>
    <w:basedOn w:val="1"/>
    <w:qFormat/>
    <w:uiPriority w:val="0"/>
    <w:pPr>
      <w:widowControl/>
      <w:pBdr>
        <w:left w:val="single" w:color="000000" w:sz="4" w:space="0"/>
        <w:bottom w:val="single" w:color="000000" w:sz="4" w:space="0"/>
        <w:right w:val="single" w:color="000000" w:sz="4" w:space="0"/>
      </w:pBdr>
      <w:shd w:val="clear" w:color="000000" w:fill="FFFFFF"/>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69">
    <w:name w:val="xl119"/>
    <w:basedOn w:val="1"/>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color w:val="000000"/>
      <w:kern w:val="0"/>
      <w:sz w:val="24"/>
      <w:szCs w:val="24"/>
    </w:rPr>
  </w:style>
  <w:style w:type="paragraph" w:customStyle="1" w:styleId="70">
    <w:name w:val="xl120"/>
    <w:basedOn w:val="1"/>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kern w:val="0"/>
      <w:sz w:val="24"/>
      <w:szCs w:val="24"/>
    </w:rPr>
  </w:style>
  <w:style w:type="paragraph" w:customStyle="1" w:styleId="71">
    <w:name w:val="xl121"/>
    <w:basedOn w:val="1"/>
    <w:qFormat/>
    <w:uiPriority w:val="0"/>
    <w:pPr>
      <w:widowControl/>
      <w:pBdr>
        <w:top w:val="single" w:color="auto" w:sz="4" w:space="0"/>
        <w:left w:val="single" w:color="auto" w:sz="4" w:space="0"/>
        <w:right w:val="single" w:color="auto" w:sz="4" w:space="0"/>
      </w:pBdr>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72">
    <w:name w:val="xl12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73">
    <w:name w:val="xl123"/>
    <w:basedOn w:val="1"/>
    <w:qFormat/>
    <w:uiPriority w:val="0"/>
    <w:pPr>
      <w:widowControl/>
      <w:pBdr>
        <w:top w:val="single" w:color="auto" w:sz="4" w:space="0"/>
        <w:left w:val="single" w:color="auto" w:sz="4" w:space="0"/>
        <w:right w:val="single" w:color="auto" w:sz="4" w:space="0"/>
      </w:pBdr>
      <w:adjustRightInd/>
      <w:snapToGrid/>
      <w:spacing w:before="100" w:beforeAutospacing="1" w:after="100" w:afterAutospacing="1"/>
      <w:jc w:val="left"/>
    </w:pPr>
    <w:rPr>
      <w:rFonts w:ascii="黑体" w:hAnsi="黑体" w:eastAsia="黑体" w:cs="宋体"/>
      <w:kern w:val="0"/>
      <w:sz w:val="24"/>
      <w:szCs w:val="24"/>
    </w:rPr>
  </w:style>
  <w:style w:type="paragraph" w:customStyle="1" w:styleId="74">
    <w:name w:val="xl12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napToGrid/>
      <w:spacing w:before="100" w:beforeAutospacing="1" w:after="100" w:afterAutospacing="1"/>
      <w:jc w:val="left"/>
      <w:textAlignment w:val="center"/>
    </w:pPr>
    <w:rPr>
      <w:rFonts w:ascii="黑体" w:hAnsi="黑体" w:eastAsia="黑体" w:cs="宋体"/>
      <w:kern w:val="0"/>
      <w:sz w:val="24"/>
      <w:szCs w:val="24"/>
    </w:rPr>
  </w:style>
  <w:style w:type="paragraph" w:customStyle="1" w:styleId="75">
    <w:name w:val="xl12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76">
    <w:name w:val="xl126"/>
    <w:basedOn w:val="1"/>
    <w:qFormat/>
    <w:uiPriority w:val="0"/>
    <w:pPr>
      <w:widowControl/>
      <w:pBdr>
        <w:top w:val="single" w:color="000000" w:sz="4" w:space="0"/>
        <w:left w:val="single" w:color="000000" w:sz="4" w:space="0"/>
        <w:bottom w:val="single" w:color="000000" w:sz="4" w:space="0"/>
        <w:right w:val="single" w:color="000000" w:sz="4" w:space="0"/>
      </w:pBdr>
      <w:shd w:val="clear" w:color="000000" w:fill="FFFFFF"/>
      <w:adjustRightInd/>
      <w:snapToGrid/>
      <w:spacing w:before="100" w:beforeAutospacing="1" w:after="100" w:afterAutospacing="1"/>
      <w:jc w:val="center"/>
      <w:textAlignment w:val="center"/>
    </w:pPr>
    <w:rPr>
      <w:rFonts w:ascii="黑体" w:hAnsi="黑体" w:eastAsia="黑体" w:cs="宋体"/>
      <w:kern w:val="0"/>
      <w:sz w:val="24"/>
      <w:szCs w:val="24"/>
    </w:rPr>
  </w:style>
  <w:style w:type="table" w:customStyle="1" w:styleId="77">
    <w:name w:val="Grid Table 4 Accent 1"/>
    <w:basedOn w:val="22"/>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78">
    <w:name w:val="Grid Table 6 Colorful Accent 1"/>
    <w:basedOn w:val="22"/>
    <w:qFormat/>
    <w:uiPriority w:val="51"/>
    <w:rPr>
      <w:color w:val="376092" w:themeColor="accent1" w:themeShade="BF"/>
    </w:rPr>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rPr>
      <w:tcPr>
        <w:tcBorders>
          <w:bottom w:val="single" w:color="95B3D7" w:themeColor="accent1" w:themeTint="99" w:sz="12" w:space="0"/>
        </w:tcBorders>
      </w:tcPr>
    </w:tblStylePr>
    <w:tblStylePr w:type="lastRow">
      <w:rPr>
        <w:b/>
        <w:bCs/>
      </w:rPr>
      <w:tcPr>
        <w:tcBorders>
          <w:top w:val="double" w:color="95B3D7" w:themeColor="accent1" w:themeTint="99"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79">
    <w:name w:val="Grid Table 4"/>
    <w:basedOn w:val="22"/>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80">
    <w:name w:val="Grid Table 6 Colorful"/>
    <w:basedOn w:val="22"/>
    <w:qFormat/>
    <w:uiPriority w:val="51"/>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paragraph" w:customStyle="1" w:styleId="81">
    <w:name w:val="xl64"/>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b/>
      <w:bCs/>
      <w:kern w:val="0"/>
      <w:sz w:val="24"/>
      <w:szCs w:val="24"/>
    </w:rPr>
  </w:style>
  <w:style w:type="paragraph" w:customStyle="1" w:styleId="82">
    <w:name w:val="xl65"/>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b/>
      <w:bCs/>
      <w:kern w:val="0"/>
      <w:sz w:val="24"/>
      <w:szCs w:val="24"/>
    </w:rPr>
  </w:style>
  <w:style w:type="paragraph" w:customStyle="1" w:styleId="83">
    <w:name w:val="xl66"/>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b/>
      <w:bCs/>
      <w:kern w:val="0"/>
      <w:sz w:val="24"/>
      <w:szCs w:val="24"/>
    </w:rPr>
  </w:style>
  <w:style w:type="paragraph" w:customStyle="1" w:styleId="84">
    <w:name w:val="xl67"/>
    <w:basedOn w:val="1"/>
    <w:qFormat/>
    <w:uiPriority w:val="0"/>
    <w:pPr>
      <w:widowControl/>
      <w:pBdr>
        <w:top w:val="single" w:color="auto" w:sz="4" w:space="0"/>
        <w:left w:val="single" w:color="auto" w:sz="4" w:space="0"/>
        <w:bottom w:val="single" w:color="auto" w:sz="4" w:space="0"/>
        <w:right w:val="single" w:color="auto" w:sz="4" w:space="0"/>
      </w:pBdr>
      <w:shd w:val="clear" w:color="000000" w:fill="3366FF"/>
      <w:adjustRightInd/>
      <w:snapToGrid/>
      <w:spacing w:before="100" w:beforeAutospacing="1" w:after="100" w:afterAutospacing="1"/>
      <w:jc w:val="center"/>
    </w:pPr>
    <w:rPr>
      <w:rFonts w:ascii="黑体" w:hAnsi="黑体" w:eastAsia="黑体" w:cs="宋体"/>
      <w:b/>
      <w:bCs/>
      <w:color w:val="FFFFFF"/>
      <w:kern w:val="0"/>
      <w:sz w:val="24"/>
      <w:szCs w:val="24"/>
    </w:rPr>
  </w:style>
  <w:style w:type="paragraph" w:customStyle="1" w:styleId="85">
    <w:name w:val="xl68"/>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kern w:val="0"/>
      <w:sz w:val="24"/>
      <w:szCs w:val="24"/>
    </w:rPr>
  </w:style>
  <w:style w:type="paragraph" w:customStyle="1" w:styleId="86">
    <w:name w:val="xl69"/>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kern w:val="0"/>
      <w:sz w:val="24"/>
      <w:szCs w:val="24"/>
    </w:rPr>
  </w:style>
  <w:style w:type="paragraph" w:customStyle="1" w:styleId="87">
    <w:name w:val="xl70"/>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b/>
      <w:bCs/>
      <w:kern w:val="0"/>
      <w:sz w:val="24"/>
      <w:szCs w:val="24"/>
    </w:rPr>
  </w:style>
  <w:style w:type="paragraph" w:customStyle="1" w:styleId="88">
    <w:name w:val="xl71"/>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kern w:val="0"/>
      <w:sz w:val="24"/>
      <w:szCs w:val="24"/>
    </w:rPr>
  </w:style>
  <w:style w:type="paragraph" w:customStyle="1" w:styleId="89">
    <w:name w:val="xl72"/>
    <w:basedOn w:val="1"/>
    <w:qFormat/>
    <w:uiPriority w:val="0"/>
    <w:pPr>
      <w:widowControl/>
      <w:adjustRightInd/>
      <w:snapToGrid/>
      <w:spacing w:before="100" w:beforeAutospacing="1" w:after="100" w:afterAutospacing="1"/>
      <w:jc w:val="left"/>
    </w:pPr>
    <w:rPr>
      <w:rFonts w:ascii="宋体" w:hAnsi="宋体" w:eastAsia="宋体" w:cs="宋体"/>
      <w:kern w:val="0"/>
      <w:sz w:val="24"/>
      <w:szCs w:val="24"/>
    </w:rPr>
  </w:style>
  <w:style w:type="paragraph" w:customStyle="1" w:styleId="90">
    <w:name w:val="xl73"/>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b/>
      <w:bCs/>
      <w:color w:val="FF0000"/>
      <w:kern w:val="0"/>
      <w:sz w:val="24"/>
      <w:szCs w:val="24"/>
    </w:rPr>
  </w:style>
  <w:style w:type="paragraph" w:customStyle="1" w:styleId="91">
    <w:name w:val="xl74"/>
    <w:basedOn w:val="1"/>
    <w:qFormat/>
    <w:uiPriority w:val="0"/>
    <w:pPr>
      <w:widowControl/>
      <w:shd w:val="clear" w:color="000000" w:fill="E7E6E6"/>
      <w:adjustRightInd/>
      <w:snapToGrid/>
      <w:spacing w:before="100" w:beforeAutospacing="1" w:after="100" w:afterAutospacing="1"/>
      <w:jc w:val="center"/>
      <w:textAlignment w:val="bottom"/>
    </w:pPr>
    <w:rPr>
      <w:rFonts w:ascii="黑体" w:hAnsi="黑体" w:eastAsia="黑体" w:cs="宋体"/>
      <w:b/>
      <w:bCs/>
      <w:kern w:val="0"/>
      <w:sz w:val="24"/>
      <w:szCs w:val="24"/>
    </w:rPr>
  </w:style>
  <w:style w:type="paragraph" w:customStyle="1" w:styleId="92">
    <w:name w:val="xl75"/>
    <w:basedOn w:val="1"/>
    <w:qFormat/>
    <w:uiPriority w:val="0"/>
    <w:pPr>
      <w:widowControl/>
      <w:shd w:val="clear" w:color="000000" w:fill="E7E6E6"/>
      <w:adjustRightInd/>
      <w:snapToGrid/>
      <w:spacing w:before="100" w:beforeAutospacing="1" w:after="100" w:afterAutospacing="1"/>
      <w:jc w:val="center"/>
      <w:textAlignment w:val="bottom"/>
    </w:pPr>
    <w:rPr>
      <w:rFonts w:ascii="黑体" w:hAnsi="黑体" w:eastAsia="黑体" w:cs="宋体"/>
      <w:kern w:val="0"/>
      <w:sz w:val="24"/>
      <w:szCs w:val="24"/>
    </w:rPr>
  </w:style>
  <w:style w:type="character" w:customStyle="1" w:styleId="93">
    <w:name w:val="标题 6 字符"/>
    <w:basedOn w:val="24"/>
    <w:link w:val="8"/>
    <w:qFormat/>
    <w:uiPriority w:val="9"/>
    <w:rPr>
      <w:rFonts w:asciiTheme="majorHAnsi" w:hAnsiTheme="majorHAnsi" w:eastAsiaTheme="majorEastAsia" w:cstheme="majorBidi"/>
      <w:b/>
      <w:bCs/>
      <w:sz w:val="24"/>
      <w:szCs w:val="24"/>
    </w:rPr>
  </w:style>
  <w:style w:type="character" w:customStyle="1" w:styleId="94">
    <w:name w:val="文档结构图 字符"/>
    <w:basedOn w:val="24"/>
    <w:link w:val="13"/>
    <w:semiHidden/>
    <w:qFormat/>
    <w:uiPriority w:val="99"/>
    <w:rPr>
      <w:rFonts w:ascii="宋体" w:eastAsia="宋体"/>
      <w:sz w:val="18"/>
      <w:szCs w:val="18"/>
    </w:rPr>
  </w:style>
  <w:style w:type="character" w:customStyle="1" w:styleId="95">
    <w:name w:val="列表段落 字符"/>
    <w:link w:val="37"/>
    <w:qFormat/>
    <w:locked/>
    <w:uiPriority w:val="34"/>
    <w:rPr>
      <w:rFonts w:ascii="仿宋_GB2312" w:hAnsi="Times New Roman" w:eastAsia="仿宋_GB2312"/>
      <w:sz w:val="32"/>
      <w:szCs w:val="32"/>
    </w:rPr>
  </w:style>
  <w:style w:type="character" w:customStyle="1" w:styleId="96">
    <w:name w:val="图片 Char"/>
    <w:link w:val="38"/>
    <w:qFormat/>
    <w:uiPriority w:val="0"/>
    <w:rPr>
      <w:rFonts w:ascii="Times New Roman" w:hAnsi="Times New Roman" w:eastAsia="仿宋_GB2312"/>
      <w:sz w:val="32"/>
    </w:rPr>
  </w:style>
  <w:style w:type="paragraph" w:customStyle="1" w:styleId="97">
    <w:name w:val="表"/>
    <w:link w:val="98"/>
    <w:qFormat/>
    <w:uiPriority w:val="0"/>
    <w:pPr>
      <w:widowControl w:val="0"/>
    </w:pPr>
    <w:rPr>
      <w:rFonts w:ascii="Times New Roman" w:hAnsi="Times New Roman" w:eastAsia="仿宋_GB2312" w:cstheme="minorBidi"/>
      <w:b w:val="0"/>
      <w:kern w:val="2"/>
      <w:sz w:val="24"/>
      <w:szCs w:val="21"/>
      <w:lang w:val="en-US" w:eastAsia="zh-CN" w:bidi="ar-SA"/>
    </w:rPr>
  </w:style>
  <w:style w:type="character" w:customStyle="1" w:styleId="98">
    <w:name w:val="表 字符"/>
    <w:basedOn w:val="96"/>
    <w:link w:val="97"/>
    <w:qFormat/>
    <w:uiPriority w:val="0"/>
    <w:rPr>
      <w:rFonts w:ascii="Times New Roman" w:hAnsi="Times New Roman" w:eastAsia="仿宋_GB2312"/>
      <w:sz w:val="20"/>
      <w:szCs w:val="21"/>
    </w:rPr>
  </w:style>
  <w:style w:type="paragraph" w:customStyle="1" w:styleId="99">
    <w:name w:val="列出段落1"/>
    <w:basedOn w:val="1"/>
    <w:qFormat/>
    <w:uiPriority w:val="0"/>
    <w:pPr>
      <w:adjustRightInd/>
      <w:snapToGrid/>
      <w:ind w:firstLine="420"/>
    </w:pPr>
    <w:rPr>
      <w:rFonts w:ascii="Calibri" w:hAnsi="Calibri" w:eastAsia="宋体" w:cs="黑体"/>
      <w:sz w:val="21"/>
    </w:rPr>
  </w:style>
  <w:style w:type="character" w:customStyle="1" w:styleId="100">
    <w:name w:val="标题 7 字符"/>
    <w:basedOn w:val="24"/>
    <w:link w:val="9"/>
    <w:semiHidden/>
    <w:qFormat/>
    <w:uiPriority w:val="9"/>
    <w:rPr>
      <w:rFonts w:ascii="Times New Roman" w:hAnsi="Times New Roman" w:eastAsia="仿宋_GB2312"/>
      <w:b/>
      <w:bCs/>
      <w:sz w:val="24"/>
      <w:szCs w:val="24"/>
    </w:rPr>
  </w:style>
  <w:style w:type="character" w:customStyle="1" w:styleId="101">
    <w:name w:val="标题 8 字符"/>
    <w:basedOn w:val="24"/>
    <w:link w:val="10"/>
    <w:semiHidden/>
    <w:qFormat/>
    <w:uiPriority w:val="9"/>
    <w:rPr>
      <w:rFonts w:asciiTheme="majorHAnsi" w:hAnsiTheme="majorHAnsi" w:eastAsiaTheme="majorEastAsia" w:cstheme="majorBidi"/>
      <w:sz w:val="24"/>
      <w:szCs w:val="24"/>
    </w:rPr>
  </w:style>
  <w:style w:type="character" w:customStyle="1" w:styleId="102">
    <w:name w:val="标题 9 字符"/>
    <w:basedOn w:val="24"/>
    <w:link w:val="11"/>
    <w:semiHidden/>
    <w:qFormat/>
    <w:uiPriority w:val="9"/>
    <w:rPr>
      <w:rFonts w:asciiTheme="majorHAnsi" w:hAnsiTheme="majorHAnsi" w:eastAsiaTheme="majorEastAsia" w:cstheme="majorBidi"/>
      <w:szCs w:val="21"/>
    </w:rPr>
  </w:style>
  <w:style w:type="character" w:customStyle="1" w:styleId="103">
    <w:name w:val="tlid-translation"/>
    <w:basedOn w:val="24"/>
    <w:qFormat/>
    <w:uiPriority w:val="0"/>
  </w:style>
  <w:style w:type="character" w:styleId="104">
    <w:name w:val="Placeholder Text"/>
    <w:basedOn w:val="24"/>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94368-44BB-48EE-8429-BE8445C310ED}">
  <ds:schemaRefs/>
</ds:datastoreItem>
</file>

<file path=docProps/app.xml><?xml version="1.0" encoding="utf-8"?>
<Properties xmlns="http://schemas.openxmlformats.org/officeDocument/2006/extended-properties" xmlns:vt="http://schemas.openxmlformats.org/officeDocument/2006/docPropsVTypes">
  <Template>Normal</Template>
  <Pages>68</Pages>
  <Words>6470</Words>
  <Characters>36885</Characters>
  <Lines>307</Lines>
  <Paragraphs>86</Paragraphs>
  <TotalTime>17</TotalTime>
  <ScaleCrop>false</ScaleCrop>
  <LinksUpToDate>false</LinksUpToDate>
  <CharactersWithSpaces>43269</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2018-12-12T01:37:00Z</dcterms:created>
  <dc:creator>lenovo</dc:creator>
  <cp:lastModifiedBy>白日梦想家</cp:lastModifiedBy>
  <dcterms:modified xsi:type="dcterms:W3CDTF">2026-08-14T03:05:05Z</dcterms:modified>
  <cp:revision>410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272AE0669B1C454F928ACF64E9771CFC_13</vt:lpwstr>
  </property>
</Properties>
</file>