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29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2"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50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h444 \h </w:instrText>
      </w:r>
      <w:r>
        <w:rPr>
          <w:rFonts w:ascii="Times New Roman" w:hAnsi="Times New Roman" w:eastAsia="方正仿宋_GBK"/>
          <w:b w:val="0"/>
          <w:sz w:val="24"/>
        </w:rPr>
        <w:fldChar w:fldCharType="separate"/>
      </w:r>
      <w:r>
        <w:rPr>
          <w:rFonts w:ascii="Times New Roman" w:hAnsi="Times New Roman" w:eastAsia="方正仿宋_GBK"/>
          <w:b w:val="0"/>
          <w:sz w:val="24"/>
        </w:rPr>
        <w:t>53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7"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h477 \h </w:instrText>
      </w:r>
      <w:r>
        <w:rPr>
          <w:rFonts w:ascii="Times New Roman" w:hAnsi="Times New Roman" w:eastAsia="方正仿宋_GBK"/>
          <w:b w:val="0"/>
          <w:sz w:val="24"/>
        </w:rPr>
        <w:fldChar w:fldCharType="separate"/>
      </w:r>
      <w:r>
        <w:rPr>
          <w:rFonts w:ascii="Times New Roman" w:hAnsi="Times New Roman" w:eastAsia="方正仿宋_GBK"/>
          <w:b w:val="0"/>
          <w:sz w:val="24"/>
        </w:rPr>
        <w:t>57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3"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h503 \h </w:instrText>
      </w:r>
      <w:r>
        <w:rPr>
          <w:rFonts w:ascii="Times New Roman" w:hAnsi="Times New Roman" w:eastAsia="方正仿宋_GBK"/>
          <w:b/>
          <w:sz w:val="24"/>
        </w:rPr>
        <w:fldChar w:fldCharType="separate"/>
      </w:r>
      <w:r>
        <w:rPr>
          <w:rFonts w:ascii="Times New Roman" w:hAnsi="Times New Roman" w:eastAsia="方正仿宋_GBK"/>
          <w:b/>
          <w:sz w:val="24"/>
        </w:rPr>
        <w:t>60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5"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h505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8"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h528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8"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h548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0"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h560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32"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h932 \h </w:instrText>
      </w:r>
      <w:r>
        <w:rPr>
          <w:rFonts w:ascii="Times New Roman" w:hAnsi="Times New Roman" w:eastAsia="方正仿宋_GBK"/>
          <w:b w:val="0"/>
          <w:sz w:val="24"/>
        </w:rPr>
        <w:fldChar w:fldCharType="separate"/>
      </w:r>
      <w:r>
        <w:rPr>
          <w:rFonts w:ascii="Times New Roman" w:hAnsi="Times New Roman" w:eastAsia="方正仿宋_GBK"/>
          <w:b w:val="0"/>
          <w:sz w:val="24"/>
        </w:rPr>
        <w:t>106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48"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h948 \h </w:instrText>
      </w:r>
      <w:r>
        <w:rPr>
          <w:rFonts w:ascii="Times New Roman" w:hAnsi="Times New Roman" w:eastAsia="方正仿宋_GBK"/>
          <w:b w:val="0"/>
          <w:sz w:val="24"/>
        </w:rPr>
        <w:fldChar w:fldCharType="separate"/>
      </w:r>
      <w:r>
        <w:rPr>
          <w:rFonts w:ascii="Times New Roman" w:hAnsi="Times New Roman" w:eastAsia="方正仿宋_GBK"/>
          <w:b w:val="0"/>
          <w:sz w:val="24"/>
        </w:rPr>
        <w:t>110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2"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h1022 \h </w:instrText>
      </w:r>
      <w:r>
        <w:rPr>
          <w:rFonts w:ascii="Times New Roman" w:hAnsi="Times New Roman" w:eastAsia="方正仿宋_GBK"/>
          <w:b w:val="0"/>
          <w:sz w:val="24"/>
        </w:rPr>
        <w:fldChar w:fldCharType="separate"/>
      </w:r>
      <w:r>
        <w:rPr>
          <w:rFonts w:ascii="Times New Roman" w:hAnsi="Times New Roman" w:eastAsia="方正仿宋_GBK"/>
          <w:b w:val="0"/>
          <w:sz w:val="24"/>
        </w:rPr>
        <w:t>121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37"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h1037 \h </w:instrText>
      </w:r>
      <w:r>
        <w:rPr>
          <w:rFonts w:ascii="Times New Roman" w:hAnsi="Times New Roman" w:eastAsia="方正仿宋_GBK"/>
          <w:b/>
          <w:sz w:val="24"/>
        </w:rPr>
        <w:fldChar w:fldCharType="separate"/>
      </w:r>
      <w:r>
        <w:rPr>
          <w:rFonts w:ascii="Times New Roman" w:hAnsi="Times New Roman" w:eastAsia="方正仿宋_GBK"/>
          <w:b/>
          <w:sz w:val="24"/>
        </w:rPr>
        <w:t>123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9"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h1039 \h </w:instrText>
      </w:r>
      <w:r>
        <w:rPr>
          <w:rFonts w:ascii="Times New Roman" w:hAnsi="Times New Roman" w:eastAsia="方正仿宋_GBK"/>
          <w:b w:val="0"/>
          <w:sz w:val="24"/>
        </w:rPr>
        <w:fldChar w:fldCharType="separate"/>
      </w:r>
      <w:r>
        <w:rPr>
          <w:rFonts w:ascii="Times New Roman" w:hAnsi="Times New Roman" w:eastAsia="方正仿宋_GBK"/>
          <w:b w:val="0"/>
          <w:sz w:val="24"/>
        </w:rPr>
        <w:t>123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53"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h1053 \h </w:instrText>
      </w:r>
      <w:r>
        <w:rPr>
          <w:rFonts w:ascii="Times New Roman" w:hAnsi="Times New Roman" w:eastAsia="方正仿宋_GBK"/>
          <w:b w:val="0"/>
          <w:sz w:val="24"/>
        </w:rPr>
        <w:fldChar w:fldCharType="separate"/>
      </w:r>
      <w:r>
        <w:rPr>
          <w:rFonts w:ascii="Times New Roman" w:hAnsi="Times New Roman" w:eastAsia="方正仿宋_GBK"/>
          <w:b w:val="0"/>
          <w:sz w:val="24"/>
        </w:rPr>
        <w:t>124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65"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h1065 \h </w:instrText>
      </w:r>
      <w:r>
        <w:rPr>
          <w:rFonts w:ascii="Times New Roman" w:hAnsi="Times New Roman" w:eastAsia="方正仿宋_GBK"/>
          <w:b w:val="0"/>
          <w:sz w:val="24"/>
        </w:rPr>
        <w:fldChar w:fldCharType="separate"/>
      </w:r>
      <w:r>
        <w:rPr>
          <w:rFonts w:ascii="Times New Roman" w:hAnsi="Times New Roman" w:eastAsia="方正仿宋_GBK"/>
          <w:b w:val="0"/>
          <w:sz w:val="24"/>
        </w:rPr>
        <w:t>125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71"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h1071 \h </w:instrText>
      </w:r>
      <w:r>
        <w:rPr>
          <w:rFonts w:ascii="Times New Roman" w:hAnsi="Times New Roman" w:eastAsia="方正仿宋_GBK"/>
          <w:b/>
          <w:sz w:val="24"/>
        </w:rPr>
        <w:fldChar w:fldCharType="separate"/>
      </w:r>
      <w:r>
        <w:rPr>
          <w:rFonts w:ascii="Times New Roman" w:hAnsi="Times New Roman" w:eastAsia="方正仿宋_GBK"/>
          <w:b/>
          <w:sz w:val="24"/>
        </w:rPr>
        <w:t>126</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32112个有效设备配置按装机渗透率、年最大净负荷平均增长率、电缆长度占比、初始转供率和负荷分散系数形成432个容载比区间。连续输入首尾档开口，增长分界对应2025年4月《配电网规划设计技术导则（修订稿）》第6.2.2.1条，容载比输出按有限范围列示[7]。</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按电缆长度占比、储能支撑持续时间及负荷分散系数分表，列出源荷和转供条件对应的容载比区间。</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[23]。在电压与设备热状态联合控制方面，Ghorbansarvi等用模型预测控制（MPC）管理母线电压与配变温度，并以弃光最小为目标，通过协调控制推迟配变过载[24]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[26]。Wang等进一步以智能软开关（SOP）组织柔性配电网多资源动态协同规划，在5%风险阈值内实现100%本地光伏消纳，最优方案总成本较不同对照方案降低约7%～55%[27]。</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[28]。Holweger等在CIGRE低压网上得到，PV年发电量占用户年用电量约110%～145%时，分布式柔性与网架增强达到盈亏平衡，其中较低变压器价格对应约110%、较高价格对应约145%，变压器是相关算例的承载瓶颈[29]。Matthiss等从评价期限解释措施排序差异：按初始投资比较时储能明显低于网架增强，计入电池10年寿命并折算年费用后，优势有所收窄[30]。</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[33]。需求侧调节也会改变这一建设需求，Xu等从分时电价与需求响应引起的负荷曲线变化分析削峰节省的变电投资[34]，Nespoli等则提出无需本地历史数据的全局预测方法，用于量化住宅柔性负荷的经济价值[35]。</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[36]。SOP与储能联合规划进一步改善供电能力，相关算例提升约31%[37]。源—网—储协同随机规划则将源荷时空相关、储能配置及弃光费用纳入统一比较，说明消纳改善与费用变化需结合具体方案判断[38]。Shi等从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成本评价需统一初始投资与运行期支出。Zeng等以投资、运行、维护和故障费用建立输电线路经济寿命区间法，用改进GM(1,1)预测小样本成本，并以区间反映不确定性[11]。Zhu等针对10 kV三类线路，将投资、运维、故障和报废费用纳入LCC模型，发现高负载率下运维成为主要影响因素，算例三类线路的费用平衡点位于第7～8年，为比较线路寿命和现金流范围提供依据[12]。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国内容量配置研究从单电压等级逐步拓展到多电压等级协同。陈浩等建立高、低压两电压等级变电站的最优容载比模型，以年综合费用最小为目标，通过离散粒子群算法求解[43]。王凯亮等进一步统筹220/110/10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MW·km⁻²负荷密度分界和负荷增长率给出差异化推荐表[44]。</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[45]。刘炜彬等则从负荷分散系数、储备系数、变压器安全运行率和平均功率因数入手，采用BP神经网络拟合负荷同时率，并将N-1通过率纳入安全运行率，实现精细化、差异化配置[46]。</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[8]。张锐等进一步以改进供电能力指标指导低压柔性互联装置规划，分别评价设备容量与实际供电能力[47]。马雨欣、林凌雪则在精准规划的TSC评估中考虑二次转供，并讨论分布式电源接入的影响[48]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[50]，徐非非等提出计及不确定性的承载能力区间分析方法[51]。针对含储能与软开关的柔性配电网，张伟等分别用确定性模型和双层鲁棒优化构造最乐观、最悲观边界，E-SOP端口容量增大时，区间从7.93～10.89 MW提高至9.32～11.34 MW且宽度收窄[52]。</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[53]。李敬如等先在输电网层面构建省域承载力区间，再在配电网层面结合潮流、电能质量和储能约束求取经济配置，使承载力与省域消纳条件相互校核[54]。</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[61]、主动配电网规划[62]和新型配电网分布式储能配置[63]。贺春光等采用混合整数二阶锥规划统筹多电压等级SOP，算例年综合成本由457.30万元降至357.70万元，各节点电压保持在[0.95,1.05]，并缓解220 kV变电站倒送[64]。在源—网—储扩展规划中，徐峰亮等建立三层模型并定义净负荷适应率、净负荷波动率和线路负载裕度均衡性，推荐方案在五种方案中总成本最低，为1300.50万元，DG渗透率最高，约57%[65]。乐健等用Frank-Copula描述源荷时空相关，通过蒙特卡洛生成并削减典型场景，25节点算例方案4的综合费用较方案2降低约45%，说明场景与协同配置会影响经济比较[66]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规格的离散性会使区域容量随整台设备投运而变化。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离散措施形成台阶式配置响应，推荐矩阵据此归纳不同发展水平下的容量范围。</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时所需能量相应增加，实际工程还需计及效率、可用荷电状态和容量衰减[28][10]。本项目据此在静态模型中，以铭牌功率和峰段可持续能量共同限制储能支撑。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模板设置34686个目标年情景组合，将32112个有效设备配置按相关分析确定的五项参数归纳为432个单元。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电缆长度占比、初始转供率、储能支撑持续时间及负荷分散系数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[30][28][10]。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共同初始设备和2021年实际负荷下开展规划回算，基期容载比均约为2.00，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年最大净负荷平均增长率[7]由同范围起止年度负荷按复合增长形式计算。2021—2025年包含四个年度间隔，增长分档采用2025年4月《配电网规划设计技术导则（修订稿）》第6.2.2.1条及表2[7]。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核心参数依据与相关性分析"/>
      <w:r>
        <w:rPr>
          <w:rFonts w:ascii="Times New Roman" w:hAnsi="Times New Roman" w:eastAsia="方正仿宋_GBK"/>
          <w:b/>
          <w:sz w:val="32"/>
        </w:rPr>
        <w:t xml:space="preserve">3.5 核心参数依据与相关性分析</w:t>
      </w:r>
      <w:bookmarkEnd w:id="117"/>
      <w:bookmarkEnd w:id="1314"/>
    </w:p>
    <w:p>
      <w:pPr>
        <w:pStyle w:val="5"/>
        <w:keepNext/>
        <w:numPr>
          <w:numId w:val="0"/>
        </w:numPr>
        <w:spacing w:line="390" w:lineRule="exact" w:before="160" w:after="120"/>
        <w:ind w:firstLine="0"/>
      </w:pPr>
      <w:bookmarkStart w:id="118" w:name="十三项候选指标及工程依据"/>
      <w:r>
        <w:rPr>
          <w:rFonts w:ascii="Times New Roman" w:hAnsi="Times New Roman" w:eastAsia="方正仿宋_GBK"/>
          <w:b/>
          <w:sz w:val="26"/>
        </w:rPr>
        <w:t xml:space="preserve">3.5.1 十三项候选指标及工程依据</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[7]。本研究围绕源荷规模、站级运行压力、网络支援和措施费用构造十三项候选指标，先评价其与容载比的关联，再比较指标之间的信息重叠，确定推广矩阵的参数。</w:t>
      </w:r>
    </w:p>
    <w:p>
      <w:pPr>
        <w:pStyle w:val="2"/>
        <w:keepNext/>
        <w:spacing w:line="280" w:lineRule="exact" w:before="120" w:after="80"/>
        <w:ind w:firstLine="0"/>
        <w:jc w:val="center"/>
      </w:pPr>
      <w:r>
        <w:rPr>
          <w:rFonts w:ascii="Times New Roman" w:hAnsi="Times New Roman" w:eastAsia="宋体"/>
          <w:b w:val="0"/>
          <w:sz w:val="21"/>
        </w:rPr>
        <w:t xml:space="preserve">表3-8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导则第6.5.4条给出定义，第7.4.2.2条联系反向容量校核[7]；装机及负荷资料见第3.3节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导则第6.5.4条给出定义[7]；描述本地电源的年度供能水平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同范围起止年度网供最大负荷的复合年平均增长率，%/年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导则第6.2.2条列为容量储备影响因素[7]；联系局部峰值与区域同时峰值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线路形式影响工程费用[12]；邳州约11%、市区约80%，按第4.3节折算新增联络费用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储能定容同时考虑功率、能量及持续过程[10][28]；按第4.4节参与设备比选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19" w:name="情景采样与两层分析方法"/>
      <w:r>
        <w:rPr>
          <w:rFonts w:ascii="Times New Roman" w:hAnsi="Times New Roman" w:eastAsia="方正仿宋_GBK"/>
          <w:b/>
          <w:sz w:val="26"/>
        </w:rPr>
        <w:t xml:space="preserve">3.5.2 情景采样与两层分析方法</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h。装机与电量节点用于构造不同出力水平，时间节点用于比较连续支撑要求，两类价格节点用于分析参考工程价格附近的措施替代[85,87,88,86]。</w:t>
      </w:r>
    </w:p>
    <w:p>
      <w:pPr>
        <w:pStyle w:val="2"/>
        <w:keepNext/>
        <w:spacing w:line="280" w:lineRule="exact" w:before="120" w:after="80"/>
        <w:ind w:firstLine="0"/>
        <w:jc w:val="center"/>
      </w:pPr>
      <w:r>
        <w:rPr>
          <w:rFonts w:ascii="Times New Roman" w:hAnsi="Times New Roman" w:eastAsia="宋体"/>
          <w:b w:val="0"/>
          <w:sz w:val="21"/>
        </w:rPr>
        <w:t xml:space="preserve">表3-11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，汇总节点计算Pearson系数，节点等权并保留零容量响应组[89]。正向净负荷沿增长率序列分析，反向净负荷和站级负载率沿电量序列分析，两项投资比分别沿独立价格序列分析。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0" w:name="与容载比的相关性筛选"/>
      <w:r>
        <w:rPr>
          <w:rFonts w:ascii="Times New Roman" w:hAnsi="Times New Roman" w:eastAsia="方正仿宋_GBK"/>
          <w:b/>
          <w:sz w:val="26"/>
        </w:rPr>
        <w:t xml:space="preserve">3.5.3 与容载比的相关性筛选</w:t>
      </w:r>
      <w:bookmarkEnd w:id="120"/>
    </w:p>
    <w:p>
      <w:pPr>
        <w:pStyle w:val="FirstParagraph"/>
        <w:keepNext/>
        <w:spacing w:line="280" w:lineRule="exact" w:before="120" w:after="80"/>
        <w:ind w:firstLine="0"/>
        <w:jc w:val="center"/>
      </w:pPr>
      <w:r>
        <w:rPr>
          <w:rFonts w:ascii="Times New Roman" w:hAnsi="Times New Roman" w:eastAsia="宋体"/>
          <w:b w:val="0"/>
          <w:sz w:val="21"/>
        </w:rPr>
        <w:t xml:space="preserve">表3-12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5"/>
        <w:keepNext/>
        <w:numPr>
          <w:numId w:val="0"/>
        </w:numPr>
        <w:spacing w:line="390" w:lineRule="exact" w:before="160" w:after="120"/>
        <w:ind w:firstLine="0"/>
      </w:pPr>
      <w:bookmarkStart w:id="121" w:name="高相关指标归并与代表参数"/>
      <w:r>
        <w:rPr>
          <w:rFonts w:ascii="Times New Roman" w:hAnsi="Times New Roman" w:eastAsia="方正仿宋_GBK"/>
          <w:b/>
          <w:sz w:val="26"/>
        </w:rPr>
        <w:t xml:space="preserve">3.5.4 高相关指标归并与代表参数</w:t>
      </w:r>
      <w:bookmarkEnd w:id="121"/>
    </w:p>
    <w:p>
      <w:pPr>
        <w:pStyle w:val="FirstParagraph"/>
        <w:keepNext/>
        <w:spacing w:line="280" w:lineRule="exact" w:before="120" w:after="80"/>
        <w:ind w:firstLine="0"/>
        <w:jc w:val="center"/>
      </w:pPr>
      <w:r>
        <w:rPr>
          <w:rFonts w:ascii="Times New Roman" w:hAnsi="Times New Roman" w:eastAsia="宋体"/>
          <w:b w:val="0"/>
          <w:sz w:val="21"/>
        </w:rPr>
        <w:t xml:space="preserve">表3-13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表3-14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表3-15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最大正向净负荷与平均增长率的Pearson系数接近1.00。在基期峰值250 MW、目标时点为基期后第4年的模板中，区域正向峰值按年最大净负荷平均增长率作四年复合增长计算，两项形成确定的单调关系。平均增长率能够同时描述发展阶段并与导则分档对应，采用其作为代表参数。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2" w:name="五项参数的相关关系与矩阵组织"/>
      <w:r>
        <w:rPr>
          <w:rFonts w:ascii="Times New Roman" w:hAnsi="Times New Roman" w:eastAsia="方正仿宋_GBK"/>
          <w:b/>
          <w:sz w:val="26"/>
        </w:rPr>
        <w:t xml:space="preserve">3.5.5 五项参数的相关关系与矩阵组织</w:t>
      </w:r>
      <w:bookmarkEnd w:id="122"/>
    </w:p>
    <w:p>
      <w:pPr>
        <w:pStyle w:val="FirstParagraph"/>
        <w:keepNext/>
        <w:spacing w:line="280" w:lineRule="exact" w:before="120" w:after="80"/>
        <w:ind w:firstLine="0"/>
        <w:jc w:val="center"/>
      </w:pPr>
      <w:r>
        <w:rPr>
          <w:rFonts w:ascii="Times New Roman" w:hAnsi="Times New Roman" w:eastAsia="宋体"/>
          <w:b w:val="0"/>
          <w:sz w:val="21"/>
        </w:rPr>
        <w:t xml:space="preserve">表3-16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表3-17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表3-18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采用2%、4%、7%的分界[7]，装机、电缆和转供参数按表列区间组织，首尾档开口，负荷分散系数按三个定值分别列示。第五章据此归纳同一五参数分类中的容载比范围，储能支撑条件和统一工程价格进入对应设备方案的比选。</w:t>
      </w:r>
    </w:p>
    <w:p>
      <w:pPr>
        <w:pStyle w:val="4"/>
        <w:keepNext/>
        <w:numPr>
          <w:numId w:val="0"/>
        </w:numPr>
        <w:spacing w:line="480" w:lineRule="exact" w:before="160" w:after="120"/>
        <w:ind w:firstLine="0"/>
      </w:pPr>
      <w:bookmarkStart w:id="1352" w:name="h352"/>
      <w:bookmarkStart w:id="123" w:name="kv负荷转接资料与仿真条件"/>
      <w:r>
        <w:rPr>
          <w:rFonts w:ascii="Times New Roman" w:hAnsi="Times New Roman" w:eastAsia="方正仿宋_GBK"/>
          <w:b/>
          <w:sz w:val="32"/>
        </w:rPr>
        <w:t xml:space="preserve">3.6 10 kV负荷转接资料与仿真条件</w:t>
      </w:r>
      <w:bookmarkEnd w:id="123"/>
      <w:bookmarkEnd w:id="1352"/>
    </w:p>
    <w:p>
      <w:pPr>
        <w:pStyle w:val="5"/>
        <w:keepNext/>
        <w:numPr>
          <w:numId w:val="0"/>
        </w:numPr>
        <w:spacing w:line="390" w:lineRule="exact" w:before="160" w:after="120"/>
        <w:ind w:firstLine="0"/>
      </w:pPr>
      <w:bookmarkStart w:id="124" w:name="地区转供统计与计算方法"/>
      <w:r>
        <w:rPr>
          <w:rFonts w:ascii="Times New Roman" w:hAnsi="Times New Roman" w:eastAsia="方正仿宋_GBK"/>
          <w:b/>
          <w:sz w:val="26"/>
        </w:rPr>
        <w:t xml:space="preserve">3.6.1 地区转供统计与计算方法</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25" w:name="逐站能力及网络约束"/>
      <w:r>
        <w:rPr>
          <w:rFonts w:ascii="Times New Roman" w:hAnsi="Times New Roman" w:eastAsia="方正仿宋_GBK"/>
          <w:b/>
          <w:sz w:val="26"/>
        </w:rPr>
        <w:t xml:space="preserve">3.6.2 逐站能力及网络约束</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kV站点逐一匹配，市区26座实体站、邳州20座站采用对应记录，每站既有转供功率之和受站外最大可供负荷与既有网络标定预算的较小值限制。市区3座模拟站按既定设备参与地区计算，既有转供能力取零。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26" w:name="电源归属及反向功率"/>
      <w:r>
        <w:rPr>
          <w:rFonts w:ascii="Times New Roman" w:hAnsi="Times New Roman" w:eastAsia="方正仿宋_GBK"/>
          <w:b/>
          <w:sz w:val="26"/>
        </w:rPr>
        <w:t xml:space="preserve">3.6.3 电源归属及反向功率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因此每个静态工况需按转出、转入功率重新计算净负荷，并同时校核正向供电和反向容量。转出功率以本站原始可转负荷为上限，区域内部转入、转出合计相等。</w:t>
      </w:r>
    </w:p>
    <w:p>
      <w:pPr>
        <w:pStyle w:val="4"/>
        <w:keepNext/>
        <w:numPr>
          <w:numId w:val="0"/>
        </w:numPr>
        <w:spacing w:line="480" w:lineRule="exact" w:before="160" w:after="120"/>
        <w:ind w:firstLine="0"/>
      </w:pPr>
      <w:bookmarkStart w:id="1362" w:name="h362"/>
      <w:bookmarkStart w:id="127" w:name="站级负载率与配置需求"/>
      <w:r>
        <w:rPr>
          <w:rFonts w:ascii="Times New Roman" w:hAnsi="Times New Roman" w:eastAsia="方正仿宋_GBK"/>
          <w:b/>
          <w:sz w:val="32"/>
        </w:rPr>
        <w:t xml:space="preserve">3.7 站级负载率与配置需求</w:t>
      </w:r>
      <w:bookmarkEnd w:id="127"/>
      <w:bookmarkEnd w:id="1362"/>
    </w:p>
    <w:p>
      <w:pPr>
        <w:pStyle w:val="5"/>
        <w:keepNext/>
        <w:numPr>
          <w:numId w:val="0"/>
        </w:numPr>
        <w:spacing w:line="390" w:lineRule="exact" w:before="160" w:after="120"/>
        <w:ind w:firstLine="0"/>
      </w:pPr>
      <w:bookmarkStart w:id="128" w:name="邳州站级相对负载"/>
      <w:r>
        <w:rPr>
          <w:rFonts w:ascii="Times New Roman" w:hAnsi="Times New Roman" w:eastAsia="方正仿宋_GBK"/>
          <w:b/>
          <w:sz w:val="26"/>
        </w:rPr>
        <w:t xml:space="preserve">3.7.1 邳州站级相对负载</w:t>
      </w:r>
      <w:bookmarkEnd w:id="128"/>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9"/>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邳州站级负载率</w:t>
      </w:r>
    </w:p>
    <w:p>
      <w:pPr>
        <w:pStyle w:val="5"/>
        <w:keepNext/>
        <w:numPr>
          <w:numId w:val="0"/>
        </w:numPr>
        <w:spacing w:line="390" w:lineRule="exact" w:before="160" w:after="120"/>
        <w:ind w:firstLine="0"/>
      </w:pPr>
      <w:bookmarkStart w:id="130" w:name="市区站级相对负载"/>
      <w:r>
        <w:rPr>
          <w:rFonts w:ascii="Times New Roman" w:hAnsi="Times New Roman" w:eastAsia="方正仿宋_GBK"/>
          <w:b/>
          <w:sz w:val="26"/>
        </w:rPr>
        <w:t xml:space="preserve">3.7.2 市区站级相对负载</w:t>
      </w:r>
      <w:bookmarkEnd w:id="130"/>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1"/>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2" w:name="负载率与规划措施的联系"/>
      <w:r>
        <w:rPr>
          <w:rFonts w:ascii="Times New Roman" w:hAnsi="Times New Roman" w:eastAsia="方正仿宋_GBK"/>
          <w:b/>
          <w:sz w:val="26"/>
        </w:rPr>
        <w:t xml:space="preserve">3.7.3 负载率与规划措施的联系</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3" w:name="较高负载率站的方向与配置条件"/>
      <w:r>
        <w:rPr>
          <w:rFonts w:ascii="Times New Roman" w:hAnsi="Times New Roman" w:eastAsia="方正仿宋_GBK"/>
          <w:b/>
          <w:sz w:val="26"/>
        </w:rPr>
        <w:t xml:space="preserve">3.7.4 较高负载率站的方向与配置条件</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表3-19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4" w:name="站级功率的主导方向"/>
      <w:r>
        <w:rPr>
          <w:rFonts w:ascii="Times New Roman" w:hAnsi="Times New Roman" w:eastAsia="方正仿宋_GBK"/>
          <w:b/>
          <w:sz w:val="26"/>
        </w:rPr>
        <w:t xml:space="preserve">3.7.5 站级功率的主导方向</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表3-20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79" w:name="h379"/>
      <w:bookmarkStart w:id="135" w:name="运行特征的综合分析"/>
      <w:r>
        <w:rPr>
          <w:rFonts w:ascii="Times New Roman" w:hAnsi="Times New Roman" w:eastAsia="方正仿宋_GBK"/>
          <w:b/>
          <w:sz w:val="32"/>
        </w:rPr>
        <w:t xml:space="preserve">3.8 运行特征的综合分析</w:t>
      </w:r>
      <w:bookmarkEnd w:id="135"/>
      <w:bookmarkEnd w:id="1379"/>
    </w:p>
    <w:p>
      <w:pPr>
        <w:pStyle w:val="5"/>
        <w:keepNext/>
        <w:numPr>
          <w:numId w:val="0"/>
        </w:numPr>
        <w:spacing w:line="390" w:lineRule="exact" w:before="160" w:after="120"/>
        <w:ind w:firstLine="0"/>
      </w:pPr>
      <w:bookmarkStart w:id="136" w:name="容量建设与负荷变化的不同作用"/>
      <w:r>
        <w:rPr>
          <w:rFonts w:ascii="Times New Roman" w:hAnsi="Times New Roman" w:eastAsia="方正仿宋_GBK"/>
          <w:b/>
          <w:sz w:val="26"/>
        </w:rPr>
        <w:t xml:space="preserve">3.8.1 容量建设与负荷变化的不同作用</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表3-21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7" w:name="光伏发电与用电高峰的季节关系"/>
      <w:r>
        <w:rPr>
          <w:rFonts w:ascii="Times New Roman" w:hAnsi="Times New Roman" w:eastAsia="方正仿宋_GBK"/>
          <w:b/>
          <w:sz w:val="26"/>
        </w:rPr>
        <w:t xml:space="preserve">3.8.2 光伏发电与用电高峰的季节关系</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表3-22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8" w:name="区域容量储备与重载设备并存"/>
      <w:r>
        <w:rPr>
          <w:rFonts w:ascii="Times New Roman" w:hAnsi="Times New Roman" w:eastAsia="方正仿宋_GBK"/>
          <w:b/>
          <w:sz w:val="26"/>
        </w:rPr>
        <w:t xml:space="preserve">3.8.3 区域容量储备与重载设备并存</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会改变N-1后的剩余容量。两台等容量主变在N-1条件下只剩一半容量，增加一台后，即使正常运行负载率不高，故障时的可用容量仍可能明显提高，因此主变扩建既增加总容量，也改变站内设备组合。第五章邳州弹性方案首年完成主变补强、减少后期配储的结果，需结合具体规格和建设时序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但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39" w:name="两地区的容量规划重点"/>
      <w:r>
        <w:rPr>
          <w:rFonts w:ascii="Times New Roman" w:hAnsi="Times New Roman" w:eastAsia="方正仿宋_GBK"/>
          <w:b/>
          <w:sz w:val="26"/>
        </w:rPr>
        <w:t xml:space="preserve">3.8.4 两地区的容量规划重点</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01" w:name="h401"/>
      <w:bookmarkStart w:id="140" w:name="第四章-基于实际工程的建设成本模型"/>
      <w:r>
        <w:rPr>
          <w:rFonts w:ascii="Times New Roman" w:hAnsi="Times New Roman" w:eastAsia="方正仿宋_GBK"/>
          <w:b/>
          <w:sz w:val="36"/>
        </w:rPr>
        <w:t xml:space="preserve">第四章 基于实际工程的建设成本模型</w:t>
      </w:r>
      <w:bookmarkEnd w:id="140"/>
      <w:bookmarkEnd w:id="1401"/>
    </w:p>
    <w:p>
      <w:pPr>
        <w:pStyle w:val="4"/>
        <w:keepNext/>
        <w:numPr>
          <w:numId w:val="0"/>
        </w:numPr>
        <w:spacing w:line="480" w:lineRule="exact" w:before="160" w:after="120"/>
        <w:ind w:firstLine="0"/>
      </w:pPr>
      <w:bookmarkStart w:id="1402" w:name="h402"/>
      <w:bookmarkStart w:id="141" w:name="成本模型的范围与建立原则"/>
      <w:r>
        <w:rPr>
          <w:rFonts w:ascii="Times New Roman" w:hAnsi="Times New Roman" w:eastAsia="方正仿宋_GBK"/>
          <w:b/>
          <w:sz w:val="32"/>
        </w:rPr>
        <w:t xml:space="preserve">4.1 成本模型的范围与建立原则</w:t>
      </w:r>
      <w:bookmarkEnd w:id="141"/>
      <w:bookmarkEnd w:id="1402"/>
    </w:p>
    <w:p>
      <w:pPr>
        <w:pStyle w:val="5"/>
        <w:keepNext/>
        <w:numPr>
          <w:numId w:val="0"/>
        </w:numPr>
        <w:spacing w:line="390" w:lineRule="exact" w:before="160" w:after="120"/>
        <w:ind w:firstLine="0"/>
      </w:pPr>
      <w:bookmarkStart w:id="142" w:name="建设改造措施与投资估算依据"/>
      <w:r>
        <w:rPr>
          <w:rFonts w:ascii="Times New Roman" w:hAnsi="Times New Roman" w:eastAsia="方正仿宋_GBK"/>
          <w:b/>
          <w:sz w:val="26"/>
        </w:rPr>
        <w:t xml:space="preserve">4.1.1 建设改造措施与投资估算依据</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[86]。</w:t>
      </w:r>
    </w:p>
    <w:p>
      <w:pPr>
        <w:pStyle w:val="5"/>
        <w:keepNext/>
        <w:numPr>
          <w:numId w:val="0"/>
        </w:numPr>
        <w:spacing w:line="390" w:lineRule="exact" w:before="160" w:after="120"/>
        <w:ind w:firstLine="0"/>
      </w:pPr>
      <w:bookmarkStart w:id="143" w:name="投资运维与更新"/>
      <w:r>
        <w:rPr>
          <w:rFonts w:ascii="Times New Roman" w:hAnsi="Times New Roman" w:eastAsia="方正仿宋_GBK"/>
          <w:b/>
          <w:sz w:val="26"/>
        </w:rPr>
        <w:t xml:space="preserve">4.1.2 投资、运维与更新</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[11][12]。</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0.042、0.022、0.030，折现率为6%。这些参数用于将初始投资、年度运维和设备更新分项折现[10,11,12]，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4" w:name="增量比较的适用范围"/>
      <w:r>
        <w:rPr>
          <w:rFonts w:ascii="Times New Roman" w:hAnsi="Times New Roman" w:eastAsia="方正仿宋_GBK"/>
          <w:b/>
          <w:sz w:val="26"/>
        </w:rPr>
        <w:t xml:space="preserve">4.1.3 增量比较的适用范围</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5" w:name="主变工程成本系数"/>
      <w:r>
        <w:rPr>
          <w:rFonts w:ascii="Times New Roman" w:hAnsi="Times New Roman" w:eastAsia="方正仿宋_GBK"/>
          <w:b/>
          <w:sz w:val="32"/>
        </w:rPr>
        <w:t xml:space="preserve">4.2 主变工程成本系数</w:t>
      </w:r>
      <w:bookmarkEnd w:id="145"/>
      <w:bookmarkEnd w:id="1414"/>
    </w:p>
    <w:p>
      <w:pPr>
        <w:pStyle w:val="5"/>
        <w:keepNext/>
        <w:numPr>
          <w:numId w:val="0"/>
        </w:numPr>
        <w:spacing w:line="390" w:lineRule="exact" w:before="160" w:after="120"/>
        <w:ind w:firstLine="0"/>
      </w:pPr>
      <w:bookmarkStart w:id="146" w:name="替换工程案例"/>
      <w:r>
        <w:rPr>
          <w:rFonts w:ascii="Times New Roman" w:hAnsi="Times New Roman" w:eastAsia="方正仿宋_GBK"/>
          <w:b/>
          <w:sz w:val="26"/>
        </w:rPr>
        <w:t xml:space="preserve">4.2.1 替换工程案例</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7" w:name="采购容量加权系数"/>
      <w:r>
        <w:rPr>
          <w:rFonts w:ascii="Times New Roman" w:hAnsi="Times New Roman" w:eastAsia="方正仿宋_GBK"/>
          <w:b/>
          <w:sz w:val="26"/>
        </w:rPr>
        <w:t xml:space="preserve">4.2.2 采购容量加权系数</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8" w:name="净增容量与工程费用"/>
      <w:r>
        <w:rPr>
          <w:rFonts w:ascii="Times New Roman" w:hAnsi="Times New Roman" w:eastAsia="方正仿宋_GBK"/>
          <w:b/>
          <w:sz w:val="26"/>
        </w:rPr>
        <w:t xml:space="preserve">4.2.3 净增容量与工程费用</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9" w:name="主变扩建"/>
      <w:r>
        <w:rPr>
          <w:rFonts w:ascii="Times New Roman" w:hAnsi="Times New Roman" w:eastAsia="方正仿宋_GBK"/>
          <w:b/>
          <w:sz w:val="26"/>
        </w:rPr>
        <w:t xml:space="preserve">4.2.4 主变扩建</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0" w:name="kv联络工程费用"/>
      <w:r>
        <w:rPr>
          <w:rFonts w:ascii="Times New Roman" w:hAnsi="Times New Roman" w:eastAsia="方正仿宋_GBK"/>
          <w:b/>
          <w:sz w:val="32"/>
        </w:rPr>
        <w:t xml:space="preserve">4.3 10 kV联络工程费用</w:t>
      </w:r>
      <w:bookmarkEnd w:id="150"/>
      <w:bookmarkEnd w:id="1433"/>
    </w:p>
    <w:p>
      <w:pPr>
        <w:pStyle w:val="5"/>
        <w:keepNext/>
        <w:numPr>
          <w:numId w:val="0"/>
        </w:numPr>
        <w:spacing w:line="390" w:lineRule="exact" w:before="160" w:after="120"/>
        <w:ind w:firstLine="0"/>
      </w:pPr>
      <w:bookmarkStart w:id="151" w:name="参考工程及单位造价"/>
      <w:r>
        <w:rPr>
          <w:rFonts w:ascii="Times New Roman" w:hAnsi="Times New Roman" w:eastAsia="方正仿宋_GBK"/>
          <w:b/>
          <w:sz w:val="26"/>
        </w:rPr>
        <w:t xml:space="preserve">4.3.1 参考工程及单位造价</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2" w:name="电缆长度占比与综合造价"/>
      <w:r>
        <w:rPr>
          <w:rFonts w:ascii="Times New Roman" w:hAnsi="Times New Roman" w:eastAsia="方正仿宋_GBK"/>
          <w:b/>
          <w:sz w:val="26"/>
        </w:rPr>
        <w:t xml:space="preserve">4.3.2 电缆长度占比与综合造价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3" w:name="联络能力与工程计费"/>
      <w:r>
        <w:rPr>
          <w:rFonts w:ascii="Times New Roman" w:hAnsi="Times New Roman" w:eastAsia="方正仿宋_GBK"/>
          <w:b/>
          <w:sz w:val="26"/>
        </w:rPr>
        <w:t xml:space="preserve">4.3.3 联络能力与工程计费</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44" w:name="h444"/>
      <w:bookmarkStart w:id="154" w:name="储能投资模型"/>
      <w:r>
        <w:rPr>
          <w:rFonts w:ascii="Times New Roman" w:hAnsi="Times New Roman" w:eastAsia="方正仿宋_GBK"/>
          <w:b/>
          <w:sz w:val="32"/>
        </w:rPr>
        <w:t xml:space="preserve">4.4 储能投资模型</w:t>
      </w:r>
      <w:bookmarkEnd w:id="154"/>
      <w:bookmarkEnd w:id="1444"/>
    </w:p>
    <w:p>
      <w:pPr>
        <w:pStyle w:val="5"/>
        <w:keepNext/>
        <w:numPr>
          <w:numId w:val="0"/>
        </w:numPr>
        <w:spacing w:line="390" w:lineRule="exact" w:before="160" w:after="120"/>
        <w:ind w:firstLine="0"/>
      </w:pPr>
      <w:bookmarkStart w:id="155" w:name="储能规格与采购价格依据"/>
      <w:r>
        <w:rPr>
          <w:rFonts w:ascii="Times New Roman" w:hAnsi="Times New Roman" w:eastAsia="方正仿宋_GBK"/>
          <w:b/>
          <w:sz w:val="26"/>
        </w:rPr>
        <w:t xml:space="preserve">4.4.1 储能规格与采购价格依据</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kWh柜规格。苏州采购公告的储能柜子项最高限价为27.20万元，作为单柜价格参考[88]。模型投资采用浏阳用户侧储能项目的成套中标价210.46万元，保证交付规模为1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储能采购价格依据[88][86]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6" w:name="成套柜单位价格"/>
      <w:r>
        <w:rPr>
          <w:rFonts w:ascii="Times New Roman" w:hAnsi="Times New Roman" w:eastAsia="方正仿宋_GBK"/>
          <w:b/>
          <w:sz w:val="26"/>
        </w:rPr>
        <w:t xml:space="preserve">4.4.2 成套柜单位价格</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7" w:name="储能有效支撑功率与持续时间"/>
      <w:r>
        <w:rPr>
          <w:rFonts w:ascii="Times New Roman" w:hAnsi="Times New Roman" w:eastAsia="方正仿宋_GBK"/>
          <w:b/>
          <w:sz w:val="26"/>
        </w:rPr>
        <w:t xml:space="preserve">4.4.3 储能有效支撑功率与持续时间</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8"/>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59" w:name="可用能力与工程适用性"/>
      <w:r>
        <w:rPr>
          <w:rFonts w:ascii="Times New Roman" w:hAnsi="Times New Roman" w:eastAsia="方正仿宋_GBK"/>
          <w:b/>
          <w:sz w:val="26"/>
        </w:rPr>
        <w:t xml:space="preserve">4.4.4 可用能力与工程适用性</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460" w:name="h460"/>
      <w:bookmarkStart w:id="160" w:name="参数变化与措施费用的联系"/>
      <w:r>
        <w:rPr>
          <w:rFonts w:ascii="Times New Roman" w:hAnsi="Times New Roman" w:eastAsia="方正仿宋_GBK"/>
          <w:b/>
          <w:sz w:val="32"/>
        </w:rPr>
        <w:t xml:space="preserve">4.5 参数变化与措施费用的联系</w:t>
      </w:r>
      <w:bookmarkEnd w:id="160"/>
      <w:bookmarkEnd w:id="1460"/>
    </w:p>
    <w:p>
      <w:pPr>
        <w:pStyle w:val="5"/>
        <w:keepNext/>
        <w:numPr>
          <w:numId w:val="0"/>
        </w:numPr>
        <w:spacing w:line="390" w:lineRule="exact" w:before="160" w:after="120"/>
        <w:ind w:firstLine="0"/>
      </w:pPr>
      <w:bookmarkStart w:id="161" w:name="电缆长度占比与联络费用"/>
      <w:r>
        <w:rPr>
          <w:rFonts w:ascii="Times New Roman" w:hAnsi="Times New Roman" w:eastAsia="方正仿宋_GBK"/>
          <w:b/>
          <w:sz w:val="26"/>
        </w:rPr>
        <w:t xml:space="preserve">4.5.1 电缆长度占比与联络费用</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62" w:name="储能支撑时间与配置费用"/>
      <w:r>
        <w:rPr>
          <w:rFonts w:ascii="Times New Roman" w:hAnsi="Times New Roman" w:eastAsia="方正仿宋_GBK"/>
          <w:b/>
          <w:sz w:val="26"/>
        </w:rPr>
        <w:t xml:space="preserve">4.5.2 储能支撑时间与配置费用</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费用由新增柜数而非年末全部在役数量计取。</w:t>
      </w:r>
    </w:p>
    <w:p>
      <w:pPr>
        <w:pStyle w:val="5"/>
        <w:keepNext/>
        <w:numPr>
          <w:numId w:val="0"/>
        </w:numPr>
        <w:spacing w:line="390" w:lineRule="exact" w:before="160" w:after="120"/>
        <w:ind w:firstLine="0"/>
      </w:pPr>
      <w:bookmarkStart w:id="163" w:name="三类措施的经济比较"/>
      <w:r>
        <w:rPr>
          <w:rFonts w:ascii="Times New Roman" w:hAnsi="Times New Roman" w:eastAsia="方正仿宋_GBK"/>
          <w:b/>
          <w:sz w:val="26"/>
        </w:rPr>
        <w:t xml:space="preserve">4.5.3 三类措施的经济比较</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[30][28][10]。</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64" w:name="主变与线路储能的单位功率投资比"/>
      <w:r>
        <w:rPr>
          <w:rFonts w:ascii="Times New Roman" w:hAnsi="Times New Roman" w:eastAsia="方正仿宋_GBK"/>
          <w:b/>
          <w:sz w:val="26"/>
        </w:rPr>
        <w:t xml:space="preserve">4.5.4 主变与线路、储能的单位功率投资比</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为储能价格相对参考值的倍率。主变采用第4.2节的更换参考单价，扩建项目仍按单项工程投资计费[85,87,88,86]。</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477" w:name="h477"/>
      <w:bookmarkStart w:id="165" w:name="现金流现值计算"/>
      <w:r>
        <w:rPr>
          <w:rFonts w:ascii="Times New Roman" w:hAnsi="Times New Roman" w:eastAsia="方正仿宋_GBK"/>
          <w:b/>
          <w:sz w:val="32"/>
        </w:rPr>
        <w:t xml:space="preserve">4.6 现金流现值计算</w:t>
      </w:r>
      <w:bookmarkEnd w:id="165"/>
      <w:bookmarkEnd w:id="1477"/>
    </w:p>
    <w:p>
      <w:pPr>
        <w:pStyle w:val="5"/>
        <w:keepNext/>
        <w:numPr>
          <w:numId w:val="0"/>
        </w:numPr>
        <w:spacing w:line="390" w:lineRule="exact" w:before="160" w:after="120"/>
        <w:ind w:firstLine="0"/>
      </w:pPr>
      <w:bookmarkStart w:id="166" w:name="单项工程现值因子"/>
      <w:r>
        <w:rPr>
          <w:rFonts w:ascii="Times New Roman" w:hAnsi="Times New Roman" w:eastAsia="方正仿宋_GBK"/>
          <w:b/>
          <w:sz w:val="26"/>
        </w:rPr>
        <w:t xml:space="preserve">4.6.1 单项工程现值因子</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7" w:name="年度投运对现值的影响"/>
      <w:r>
        <w:rPr>
          <w:rFonts w:ascii="Times New Roman" w:hAnsi="Times New Roman" w:eastAsia="方正仿宋_GBK"/>
          <w:b/>
          <w:sz w:val="26"/>
        </w:rPr>
        <w:t xml:space="preserve">4.6.2 年度投运对现值的影响</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8" w:name="费用构成与结果复算"/>
      <w:r>
        <w:rPr>
          <w:rFonts w:ascii="Times New Roman" w:hAnsi="Times New Roman" w:eastAsia="方正仿宋_GBK"/>
          <w:b/>
          <w:sz w:val="26"/>
        </w:rPr>
        <w:t xml:space="preserve">4.6.3 费用构成与结果复算</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9" w:name="评价期边界与费用解释"/>
      <w:r>
        <w:rPr>
          <w:rFonts w:ascii="Times New Roman" w:hAnsi="Times New Roman" w:eastAsia="方正仿宋_GBK"/>
          <w:b/>
          <w:sz w:val="26"/>
        </w:rPr>
        <w:t xml:space="preserve">4.6.4 评价期边界与费用解释</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2025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70" w:name="主变更换与扩建的投资差异"/>
      <w:r>
        <w:rPr>
          <w:rFonts w:ascii="Times New Roman" w:hAnsi="Times New Roman" w:eastAsia="方正仿宋_GBK"/>
          <w:b/>
          <w:sz w:val="26"/>
        </w:rPr>
        <w:t xml:space="preserve">4.6.5 主变更换与扩建的投资差异</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1" w:name="联络与储能的费用响应"/>
      <w:r>
        <w:rPr>
          <w:rFonts w:ascii="Times New Roman" w:hAnsi="Times New Roman" w:eastAsia="方正仿宋_GBK"/>
          <w:b/>
          <w:sz w:val="26"/>
        </w:rPr>
        <w:t xml:space="preserve">4.6.6 联络与储能的费用响应</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503" w:name="h503"/>
      <w:bookmarkStart w:id="172"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2"/>
      <w:bookmarkEnd w:id="1503"/>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505" w:name="h505"/>
      <w:bookmarkStart w:id="173" w:name="寻优问题与共同起点"/>
      <w:r>
        <w:rPr>
          <w:rFonts w:ascii="Times New Roman" w:hAnsi="Times New Roman" w:eastAsia="方正仿宋_GBK"/>
          <w:b/>
          <w:sz w:val="32"/>
        </w:rPr>
        <w:t xml:space="preserve">5.1 寻优问题与共同起点</w:t>
      </w:r>
      <w:bookmarkEnd w:id="173"/>
      <w:bookmarkEnd w:id="1505"/>
    </w:p>
    <w:p>
      <w:pPr>
        <w:pStyle w:val="5"/>
        <w:keepNext/>
        <w:numPr>
          <w:numId w:val="0"/>
        </w:numPr>
        <w:spacing w:line="390" w:lineRule="exact" w:before="160" w:after="120"/>
        <w:ind w:firstLine="0"/>
      </w:pPr>
      <w:bookmarkStart w:id="174" w:name="年度负荷与共同仿真起点"/>
      <w:r>
        <w:rPr>
          <w:rFonts w:ascii="Times New Roman" w:hAnsi="Times New Roman" w:eastAsia="方正仿宋_GBK"/>
          <w:b/>
          <w:sz w:val="26"/>
        </w:rPr>
        <w:t xml:space="preserve">5.1.1 年度负荷与共同仿真起点</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5" w:name="刚性与弹性方案"/>
      <w:r>
        <w:rPr>
          <w:rFonts w:ascii="Times New Roman" w:hAnsi="Times New Roman" w:eastAsia="方正仿宋_GBK"/>
          <w:b/>
          <w:sz w:val="26"/>
        </w:rPr>
        <w:t xml:space="preserve">5.1.2 刚性与弹性方案</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以费用最小选择设备组合，容量由正常及N-1承载需求、允许规格和扩建位置共同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按增长率对应的导则范围确定，市区1.50、邳州1.70[7]。两类方案均按实际设备配置与同年网供峰值计算容载比。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[91]，本研究以此为历史参照，并列出40%、60%两种开发程度下的估算值。徐州地铁分布式光伏项目公开资料列出可用建筑面积94900 m²、规划装机9.49 MWp，据此取装机密度0.10 kWp/m²[92]。</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《江苏省分布式光伏发展实施方案（2026—2030年）》提出，2030年全省分布式光伏累计装机较2025年翻一番，达到1.20亿千瓦[93]。以装机翻倍作为地区发展情景，邳州和市区装机规模分别约为3119.28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[94]。</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6" w:name="工程候选与参数设置"/>
      <w:r>
        <w:rPr>
          <w:rFonts w:ascii="Times New Roman" w:hAnsi="Times New Roman" w:eastAsia="方正仿宋_GBK"/>
          <w:b/>
          <w:sz w:val="26"/>
        </w:rPr>
        <w:t xml:space="preserve">5.1.3 工程候选与参数设置</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h，反向持续时间按各站静态参数设置。推广进一步比较2、4、6 h三个定值，在相同储能规格与工程价格下分析持续支撑要求对配置的影响。</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528" w:name="h528"/>
      <w:bookmarkStart w:id="177" w:name="三类措施的选取与寻优方法"/>
      <w:r>
        <w:rPr>
          <w:rFonts w:ascii="Times New Roman" w:hAnsi="Times New Roman" w:eastAsia="方正仿宋_GBK"/>
          <w:b/>
          <w:sz w:val="32"/>
        </w:rPr>
        <w:t xml:space="preserve">5.2 三类措施的选取与寻优方法</w:t>
      </w:r>
      <w:bookmarkEnd w:id="177"/>
      <w:bookmarkEnd w:id="1528"/>
    </w:p>
    <w:p>
      <w:pPr>
        <w:pStyle w:val="5"/>
        <w:keepNext/>
        <w:numPr>
          <w:numId w:val="0"/>
        </w:numPr>
        <w:spacing w:line="390" w:lineRule="exact" w:before="160" w:after="120"/>
        <w:ind w:firstLine="0"/>
      </w:pPr>
      <w:bookmarkStart w:id="178" w:name="主变增容及扩建方案"/>
      <w:r>
        <w:rPr>
          <w:rFonts w:ascii="Times New Roman" w:hAnsi="Times New Roman" w:eastAsia="方正仿宋_GBK"/>
          <w:b/>
          <w:sz w:val="26"/>
        </w:rPr>
        <w:t xml:space="preserve">5.2.1 主变增容及扩建方案</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79" w:name="利用既有10-kv联络能力"/>
      <w:r>
        <w:rPr>
          <w:rFonts w:ascii="Times New Roman" w:hAnsi="Times New Roman" w:eastAsia="方正仿宋_GBK"/>
          <w:b/>
          <w:sz w:val="26"/>
        </w:rPr>
        <w:t xml:space="preserve">5.2.2 利用既有10 kV联络能力</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既有网络按地区转供资料和逐站MW上限建模，统计计算见第3.6节。既有通道转出功率之和按每站预算约束，共用馈线的多条通道共用源端负荷和接收余量。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为既有网络标定预算，</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为补充资料所列站外最大可供负荷，单位均为MW。正常和故障工况分别安排转供，既有能力以固定MW预算使用。</w:t>
      </w:r>
    </w:p>
    <w:p>
      <w:pPr>
        <w:pStyle w:val="5"/>
        <w:keepNext/>
        <w:numPr>
          <w:numId w:val="0"/>
        </w:numPr>
        <w:spacing w:line="390" w:lineRule="exact" w:before="160" w:after="120"/>
        <w:ind w:firstLine="0"/>
      </w:pPr>
      <w:bookmarkStart w:id="180" w:name="新建10-kv联络提升转供能力"/>
      <w:r>
        <w:rPr>
          <w:rFonts w:ascii="Times New Roman" w:hAnsi="Times New Roman" w:eastAsia="方正仿宋_GBK"/>
          <w:b/>
          <w:sz w:val="26"/>
        </w:rPr>
        <w:t xml:space="preserve">5.2.3 新建10 kV联络提升转供能力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81" w:name="负荷转接与容量衔接"/>
      <w:r>
        <w:rPr>
          <w:rFonts w:ascii="Times New Roman" w:hAnsi="Times New Roman" w:eastAsia="方正仿宋_GBK"/>
          <w:b/>
          <w:sz w:val="26"/>
        </w:rPr>
        <w:t xml:space="preserve">5.2.4 负荷转接与容量衔接</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2" w:name="储能有效支撑功率"/>
      <w:r>
        <w:rPr>
          <w:rFonts w:ascii="Times New Roman" w:hAnsi="Times New Roman" w:eastAsia="方正仿宋_GBK"/>
          <w:b/>
          <w:sz w:val="26"/>
        </w:rPr>
        <w:t xml:space="preserve">5.2.5 储能有效支撑功率</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48" w:name="h548"/>
      <w:bookmarkStart w:id="183" w:name="约束条件与求解流程"/>
      <w:r>
        <w:rPr>
          <w:rFonts w:ascii="Times New Roman" w:hAnsi="Times New Roman" w:eastAsia="方正仿宋_GBK"/>
          <w:b/>
          <w:sz w:val="32"/>
        </w:rPr>
        <w:t xml:space="preserve">5.3 约束条件与求解流程</w:t>
      </w:r>
      <w:bookmarkEnd w:id="183"/>
      <w:bookmarkEnd w:id="1548"/>
    </w:p>
    <w:p>
      <w:pPr>
        <w:pStyle w:val="5"/>
        <w:keepNext/>
        <w:numPr>
          <w:numId w:val="0"/>
        </w:numPr>
        <w:spacing w:line="390" w:lineRule="exact" w:before="160" w:after="120"/>
        <w:ind w:firstLine="0"/>
      </w:pPr>
      <w:bookmarkStart w:id="184" w:name="正常运行与主变n-1"/>
      <w:r>
        <w:rPr>
          <w:rFonts w:ascii="Times New Roman" w:hAnsi="Times New Roman" w:eastAsia="方正仿宋_GBK"/>
          <w:b/>
          <w:sz w:val="26"/>
        </w:rPr>
        <w:t xml:space="preserve">5.3.1 正常运行与主变N-1</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市区45个、邳州26个同期静态截面分别校核正常运行及各站最大单台主变N-1。故障站按剩余主变容量计算，健康邻站保留全部主变，允许通过已投运线路重新安排负荷。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5" w:name="评价期费用目标"/>
      <w:r>
        <w:rPr>
          <w:rFonts w:ascii="Times New Roman" w:hAnsi="Times New Roman" w:eastAsia="方正仿宋_GBK"/>
          <w:b/>
          <w:sz w:val="26"/>
        </w:rPr>
        <w:t xml:space="preserve">5.3.2 评价期费用目标</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模型以共同评价期内新增措施费用现值最小为目标，采用第四章的价格、寿命、维护费率和折现率，在投运当年计建设投资、次年起计固定运维，对评价期内达到设定寿命的设备按统一规则计取更新费用。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6" w:name="三类措施的约束寻优流程"/>
      <w:r>
        <w:rPr>
          <w:rFonts w:ascii="Times New Roman" w:hAnsi="Times New Roman" w:eastAsia="方正仿宋_GBK"/>
          <w:b/>
          <w:sz w:val="26"/>
        </w:rPr>
        <w:t xml:space="preserve">5.3.3 三类措施的约束寻优流程</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容量储备通过技术与规划约束体现，以费用最小作为唯一经济目标。取得可行配置后，分别汇总年度容量、采购容量、储能和线路工程，再按第四章现金流复算费用，核对所列工程与经济结论。</w:t>
      </w:r>
    </w:p>
    <w:p>
      <w:pPr>
        <w:pStyle w:val="4"/>
        <w:keepNext/>
        <w:numPr>
          <w:numId w:val="0"/>
        </w:numPr>
        <w:spacing w:line="480" w:lineRule="exact" w:before="160" w:after="120"/>
        <w:ind w:firstLine="0"/>
      </w:pPr>
      <w:bookmarkStart w:id="1560" w:name="h560"/>
      <w:bookmarkStart w:id="187" w:name="寻优结果"/>
      <w:r>
        <w:rPr>
          <w:rFonts w:ascii="Times New Roman" w:hAnsi="Times New Roman" w:eastAsia="方正仿宋_GBK"/>
          <w:b/>
          <w:sz w:val="32"/>
        </w:rPr>
        <w:t xml:space="preserve">5.4 寻优结果</w:t>
      </w:r>
      <w:bookmarkEnd w:id="187"/>
      <w:bookmarkEnd w:id="1560"/>
    </w:p>
    <w:p>
      <w:pPr>
        <w:pStyle w:val="5"/>
        <w:keepNext/>
        <w:numPr>
          <w:numId w:val="0"/>
        </w:numPr>
        <w:spacing w:line="390" w:lineRule="exact" w:before="160" w:after="120"/>
        <w:ind w:firstLine="0"/>
      </w:pPr>
      <w:bookmarkStart w:id="188" w:name="邳州逐年方案"/>
      <w:r>
        <w:rPr>
          <w:rFonts w:ascii="Times New Roman" w:hAnsi="Times New Roman" w:eastAsia="方正仿宋_GBK"/>
          <w:b/>
          <w:sz w:val="26"/>
        </w:rPr>
        <w:t xml:space="preserve">5.4.1 邳州逐年方案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14588.04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2653.89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1527.82</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MVA，而刚性方案当年受容量上限约束，形成1642.50 MVA，并以储能及联络共同补足局部供电需求。2024年刚性方案再增加61.50 MVA，两类方案此后总容量相同。前期主变建设规模的差异改变了后续补充措施的选择，年度主变采购与储能、联络增量共同解释方案费用。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刚性方案同时增容，弹性方案利用已投运容量并新增2项联络。2025年负荷进一步增加，两类方案主变容量均保持1704.00 MVA，容载比均为1.78。此时刚性方案继续增加储能及联络，弹性方案新增7.74 MWh储能和6项联络，反映出相同区域总容量下的站内设备结构和网络任务差异。</w:t>
      </w:r>
    </w:p>
    <w:p>
      <w:pPr>
        <w:pStyle w:val="2"/>
        <w:widowControl/>
        <w:spacing w:line="348" w:lineRule="exact" w:before="0" w:after="0"/>
        <w:ind w:firstLine="480"/>
        <w:jc w:val="both"/>
      </w:pPr>
      <w:r>
        <w:rPr>
          <w:rFonts w:ascii="Times New Roman" w:hAnsi="Times New Roman" w:eastAsia="方正仿宋_GBK"/>
          <w:b w:val="0"/>
          <w:sz w:val="24"/>
        </w:rPr>
        <w:t xml:space="preserve">年度新增工程表中的主变新购容量包含更换和扩建采购，扣除同期被替换主变容量后得到净增容量。例如，邳州弹性方案2022年新购483.50 MVA、替换原设备243.00 MVA，容量净增240.50 MVA。新购容量用于计取工程投资，净增容量决定在役总容量及容载比的变化。负荷回落年份即使不新增主变，容载比也可能升高，后续负荷恢复时，前期投运设备继续满足相应需求。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89" w:name="市区逐年方案"/>
      <w:r>
        <w:rPr>
          <w:rFonts w:ascii="Times New Roman" w:hAnsi="Times New Roman" w:eastAsia="方正仿宋_GBK"/>
          <w:b/>
          <w:sz w:val="26"/>
        </w:rPr>
        <w:t xml:space="preserve">5.4.2 市区逐年方案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0"/>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市区2022年负荷低于2021年、2024年负荷低于2023年，刚性方案在这两个年份均保留已投运的2900.00 MVA主变容量。因此，相应年度容载比超过2.0由负荷减少形成，未伴随新增主变。</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MW，仍略低于2023年。以四年复合平均增长率描述增长阶段时，还需保留这类年际波动，逐年容量安排才能与实际供电任务对应。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首年增加5项联络，借助网络重新安排负荷。两类方案分别以站内补强和新增通道满足同一组供电约束，费用差主要由这两类措施的工程费用形成。既有逐站转供能力在两类方案中共同参与支援。</w:t>
      </w:r>
    </w:p>
    <w:p>
      <w:pPr>
        <w:pStyle w:val="5"/>
        <w:keepNext/>
        <w:numPr>
          <w:numId w:val="0"/>
        </w:numPr>
        <w:spacing w:line="390" w:lineRule="exact" w:before="160" w:after="120"/>
        <w:ind w:firstLine="0"/>
      </w:pPr>
      <w:bookmarkStart w:id="191" w:name="弹性方案与导则建议范围的逐年对照"/>
      <w:r>
        <w:rPr>
          <w:rFonts w:ascii="Times New Roman" w:hAnsi="Times New Roman" w:eastAsia="方正仿宋_GBK"/>
          <w:b/>
          <w:sz w:val="26"/>
        </w:rPr>
        <w:t xml:space="preserve">5.4.3 弹性方案与导则建议范围的逐年对照</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2025年4月《配电网规划设计技术导则（修订稿）》第6.2.2.1条提出容载比总体控制在1.5～2.0，表2按年最大净负荷平均增长率划分发展阶段，相应建议范围如下[7]。</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本节沿用建模采用的2021—2025年复合平均增长率，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MW，平均增长率约7%，属于4%＜KP≤7%的中等增长阶段，对应建议范围1.7～1.9，市区由1449.77 MW增至1528.82 MW，平均增长率约1%，属于KP≤2%的饱和期，对应建议范围1.5～1.7[7]。</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压缩起点下、正常允许调整供区的弹性无下限方案规划回算结果。按上述增长率统一分档，邳州2022—2024年均高于分档建议上限1.9，2025年降至1.78，进入建议范围，市区四年均高于分档建议上限1.7，其中2025年为1.91，高出约0.21。两地区各年结果均高于对应建议下限。按条文总体范围比较，邳州2022、2023年和市区2022、2024年超过2.0，其余年度位于1.5～2.0内[7]。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MVA。容量保持非减的条件下，初始设备对应当年容载比约1.90。在此基础上，弹性方案2022年将翟山变一台40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[7]。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5.4.4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两地区刚性可行方案费用现值合计21790.82万元，弹性为15793.49万元，减少5997.33万元，降幅约28%。</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两地区均从共同压缩起点开展规划回算，首年必要补强计入建设投资，既有转供受逐站资料上限约束，新增联络按地区电缆长度占比计价。在这些相同条件下，比较通过全部静态工况校核的具体可行方案费用。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5751.81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2040.34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11648.73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1916.05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307.86万元，储能和联络分别减少4969.74万元、124.29万元，合计减少4786.17万元。首年较充分的主变补强降低了后续配储需求，储能费用减少是该地区费用差的主要来源。两类方案2024年起总容量相同，但主变采购及配套措施的时序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2657.80万元联络费用，合计减少1211.17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5.4.5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支撑能力另按邳州2 h及可用电量折算。</w:t>
      </w:r>
    </w:p>
    <w:p>
      <w:pPr>
        <w:pStyle w:val="7"/>
        <w:keepNext/>
        <w:numPr>
          <w:numId w:val="0"/>
        </w:numPr>
        <w:spacing w:line="360" w:lineRule="exact" w:before="160" w:after="120"/>
        <w:ind w:firstLine="0"/>
      </w:pPr>
      <w:bookmarkStart w:id="196" w:name="八义集变规划分析"/>
      <w:r>
        <w:rPr>
          <w:rFonts w:ascii="Times New Roman" w:hAnsi="Times New Roman" w:eastAsia="方正仿宋_GBK"/>
          <w:b/>
          <w:sz w:val="24"/>
        </w:rPr>
        <w:t xml:space="preserve">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MVA，弹性方案四年均保留该组合，并2025年新增0.60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MW。在同一需求下，刚性方案当年主变容量为70.00 MVA、储能额定功率0.60 MW，弹性方案分别为70.00 MVA和0.60 MW，两类方案本站主变总容量相同。弹性方案按当年各站局部极值计算的站级负载率为56%。</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MVA，两代表工况重新转供后的本站净负荷分别为19.49 MW、-6.39 MW，两方向最小容量余量为0.00 MW，正向储能有效支撑功率为0.49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MW，主要表现为正向受电需求，该年设备在最大单台主变N-1后剩余容量为20.00 MVA。故障方式下本站转出17.74 MW、承接0.00 MW，其中与土山变之间的主要转出功率为14.46 MW，转接后净负荷为19.49 MW。这一工况通过邻站分担本站故障后的正向负荷。</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MW。在同一需求下，刚性方案当年主变容量为103.00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MW。在同一需求下，刚性方案当年主变容量为70.00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MW，主要表现为正向受电需求，该年设备在最大单台主变N-1后剩余容量为20.00 MVA。故障方式下本站转出11.30 MW、承接0.00 MW，其中与坊上变之间的主要转出功率为11.30 MW，转接后净负荷为19.00 MW。这一工况通过邻站分担本站故障后的正向负荷。</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MVA更换为50 MVA，31.5 MVA更换为50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MW。在同一需求下，刚性方案当年主变容量为100.00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MW，主要表现为反向输送需求，该年设备在最大单台主变N-1后剩余容量为50.00 MVA。该工况本站由剩余主变满足承载要求。</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MW。在同一需求下，刚性方案当年主变容量为80.00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MW，主要表现为正向受电需求，该年设备在最大单台主变N-1后剩余容量为40.00 MVA。故障方式下本站转出54.06 MW、承接0.00 MW，其中与河湾变之间的主要转出功率为25.59 MW，转接后净负荷为38.00 MW。这一工况通过邻站分担本站故障后的正向负荷。</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MW。在同一需求下，刚性方案当年主变容量为70.00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MW。在同一需求下，刚性方案当年主变容量为111.50 MVA、储能额定功率0.00 MW，弹性方案分别为111.50 MVA和0.00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MW、29.92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MW，主要表现为正向受电需求，该年设备在最大单台主变N-1后剩余容量为31.50 MVA。故障方式下本站转出73.63 MW、承接0.00 MW，其中与吴闸变之间的主要转出功率为17.47 MW，转接后净负荷为29.93 MW。这一工况通过邻站分担本站故障后的正向负荷。</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MW。在同一需求下，刚性方案当年主变容量为71.50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MVA，两代表工况重新转供后的本站净负荷分别为29.92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MW，主要表现为正向受电需求，该年设备在最大单台主变N-1后剩余容量为31.50 MVA。故障方式下本站转出9.96 MW、承接0.00 MW，其中与杜村变之间的主要转出功率为9.96 MW，转接后净负荷为29.92 MW。这一工况通过邻站分担本站故障后的正向负荷。</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MW。在同一需求下，刚性方案当年主变容量为81.50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MW，主要表现为正向受电需求，该年设备在最大单台主变N-1后剩余容量为31.50 MVA。该工况本站由剩余主变满足承载要求。</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MW。在同一需求下，刚性方案当年主变容量为100.00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MW，主要表现为正向受电需求，该年设备在最大单台主变N-1后剩余容量为20.00 MVA。故障方式下本站转出54.11 MW、承接0.00 MW，其中与吴闸变之间的主要转出功率为16.29 MW，转接后净负荷为19.00 MW。这一工况通过邻站分担本站故障后的正向负荷。</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MVA，并2025年新增1.10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MW。在同一需求下，刚性方案当年主变容量为81.50 MVA、储能额定功率8.20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MW。在同一需求下，刚性方案当年主变容量为111.50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MW，转接后净负荷为75.62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MVA，两代表工况重新转供后的本站净负荷分别为29.92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MW，主要表现为正向受电需求，该年设备在最大单台主变N-1后剩余容量为31.50 MVA。故障方式下本站转出39.46 MW、承接0.00 MW，其中与河湾变之间的主要转出功率为17.96 MW，转接后净负荷为29.92 MW。这一工况通过邻站分担本站故障后的正向负荷。</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MVA，弹性方案四年均保留该组合，并2025年新增1.10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MW。在同一需求下，刚性方案当年主变容量为71.50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MW，主要表现为正向受电需求，该年设备在最大单台主变N-1后剩余容量为31.50 MVA。故障方式下本站转出30.60 MW、承接0.00 MW，其中与兴塘变之间的主要转出功率为14.20 MW，转接后净负荷为30.82 MW。这一工况通过邻站分担本站故障后的正向负荷。</w:t>
      </w:r>
    </w:p>
    <w:p>
      <w:pPr>
        <w:pStyle w:val="7"/>
        <w:keepNext/>
        <w:numPr>
          <w:numId w:val="0"/>
        </w:numPr>
        <w:spacing w:line="360" w:lineRule="exact" w:before="160" w:after="120"/>
        <w:ind w:firstLine="0"/>
      </w:pPr>
      <w:bookmarkStart w:id="209" w:name="铁富变规划分析"/>
      <w:r>
        <w:rPr>
          <w:rFonts w:ascii="Times New Roman" w:hAnsi="Times New Roman" w:eastAsia="方正仿宋_GBK"/>
          <w:b/>
          <w:sz w:val="24"/>
        </w:rPr>
        <w:t xml:space="preserve">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MVA，弹性方案2022年31.5 MVA更换为63 MVA，40 MVA更换为63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MW。在同一需求下，刚性方案当年主变容量为126.00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MVA更换为50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MW。在同一需求下，刚性方案当年主变容量为100.00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MW，主要表现为正向受电需求，该年设备在最大单台主变N-1后剩余容量为50.00 MVA。该工况本站由剩余主变满足承载要求。</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MVA更换为31.5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MW。在同一需求下，刚性方案当年主变容量为63.00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MW，主要表现为反向输送需求，该年设备在最大单台主变N-1后剩余容量为31.50 MVA。该工况本站由剩余主变满足承载要求。</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MW。在同一需求下，刚性方案当年主变容量为70.00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MW，主要表现为正向受电需求，该年设备在最大单台主变N-1后剩余容量为20.00 MVA。故障方式下本站转出31.21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MVA，弹性方案2022年扩建第三台50 MVA主变，四年供电任务均由主变及网络承担。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MW。在同一需求下，刚性方案当年主变容量为113.00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MVA，弹性方案2022年20 MVA更换为31.5 MVA，20 MVA更换为31.5 MVA，并2025年新增0.80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MW。在同一需求下，刚性方案当年主变容量为40.00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MW，主要表现为正向受电需求，该年设备在最大单台主变N-1后剩余容量为31.50 MVA。故障方式下本站转出8.57 MW、承接0.00 MW，其中与宿羊山变之间的主要转出功率为7.40 MW，转接后净负荷为30.58 MW。这一工况通过邻站分担本站故障后的正向负荷。</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MW。在同一需求下，刚性方案当年主变容量为70.00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MW，转接后净负荷为34.43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MW，主要表现为正向受电需求，该年设备在最大单台主变N-1后剩余容量为20.00 MVA。故障方式下本站转出15.43 MW、承接0.00 MW，其中与吴闸变之间的主要转出功率为15.43 MW，转接后净负荷为19.00 MW。这一工况通过邻站分担本站故障后的正向负荷。</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5.4.6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MW。在同一需求下，刚性方案当年主变容量为103.00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MW。在同一需求下，刚性方案当年主变容量为90.00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MW。在同一需求下，刚性方案当年主变容量为126.00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MW，主要表现为正向受电需求，该年设备在最大单台主变N-1后剩余容量为63.00 MVA。故障方式下本站转出43.98 MW、承接0.00 MW，其中与刘湾变之间的主要转出功率为25.46 MW，转接后净负荷为59.85 MW。这一工况通过邻站分担本站故障后的正向负荷。</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MVA，弹性方案2022年40 MVA更换为63 MVA，四年供电任务均由主变及网络承担。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MW。在同一需求下，刚性方案当年主变容量为120.00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MW，主要表现为正向受电需求，该年设备在最大单台主变N-1后剩余容量为63.00 MVA。故障方式下本站转出36.61 MW、承接0.00 MW，其中与开元变之间的主要转出功率为23.53 MW，转接后净负荷为59.85 MW。这一工况通过邻站分担本站故障后的正向负荷。</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MW。在同一需求下，刚性方案当年主变容量为80.00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MW，主要表现为正向受电需求，该年设备在最大单台主变N-1后剩余容量为40.00 MVA。故障方式下本站转出26.13 MW、承接0.00 MW，其中与庆云桥变之间的主要转出功率为10.59 MW，转接后净负荷为38.00 MW。这一工况通过邻站分担本站故障后的正向负荷。</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MW。在同一需求下，刚性方案当年主变容量为103.00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MW。在同一需求下，刚性方案当年主变容量为80.00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MW。在同一需求下，刚性方案当年主变容量为103.00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MW，转接后净负荷为56.24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MW，主要表现为正向受电需求，该年设备在最大单台主变N-1后剩余容量为40.00 MVA。故障方式下本站转出18.73 MW、承接0.00 MW，其中与吴庄变之间的主要转出功率为18.73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MW，主要表现为正向受电需求，该年设备在最大单台主变N-1后剩余容量为50.00 MVA。故障方式下本站转出36.97 MW、承接0.00 MW，其中与翟山变之间的主要转出功率为36.97 MW，转接后净负荷为47.50 MW。这一工况通过邻站分担本站故障后的正向负荷。</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MW。在同一需求下，刚性方案当年主变容量为90.00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MW，主要表现为正向受电需求，该年设备在最大单台主变N-1后剩余容量为40.00 MVA。故障方式下本站转出33.84 MW、承接0.00 MW，其中与拾屯变之间的主要转出功率为33.11 MW，转接后净负荷为38.00 MW。这一工况通过邻站分担本站故障后的正向负荷。</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MW。在同一需求下，刚性方案当年主变容量为80.00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29" w:name="庞庄变规划分析"/>
      <w:r>
        <w:rPr>
          <w:rFonts w:ascii="Times New Roman" w:hAnsi="Times New Roman" w:eastAsia="方正仿宋_GBK"/>
          <w:b/>
          <w:sz w:val="24"/>
        </w:rPr>
        <w:t xml:space="preserve">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MW。在同一需求下，刚性方案当年主变容量为80.00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MW、承接4.40 MW，转接后净负荷为13.90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MVA，两代表工况重新转供后的本站净负荷分别为13.90 MW、-6.87 MW，两方向最小容量余量为24.10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MW。在同一需求下，刚性方案当年主变容量为90.00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MW。在同一需求下，刚性方案当年主变容量为80.00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MW，主要表现为正向受电需求，该年设备在最大单台主变N-1后剩余容量为40.00 MVA。故障方式下本站转出28.34 MW、承接0.00 MW，其中与开元变之间的主要转出功率为19.47 MW，转接后净负荷为38.00 MW。这一工况通过邻站分担本站故障后的正向负荷。</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MW。在同一需求下，刚性方案当年主变容量为80.00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MW。在同一需求下，刚性方案当年主变容量为160.00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MW，主要表现为正向受电需求，该年设备在最大单台主变N-1后剩余容量为80.00 MVA。该工况本站由剩余主变满足承载要求。</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MW。在同一需求下，刚性方案当年主变容量为143.00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MW，主要表现为正向受电需求，该年设备在最大单台主变N-1后剩余容量为63.00 MVA。故障方式下本站转出51.13 MW、承接0.00 MW，其中与响山变之间的主要转出功率为24.34 MW，转接后净负荷为59.85 MW。这一工况通过邻站分担本站故障后的正向负荷。</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MW。在同一需求下，刚性方案当年主变容量为80.00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MW、承接3.74 MW，转接后净负荷为76.00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MW，主要表现为正向受电需求，该年设备在最大单台主变N-1后剩余容量为40.00 MVA。故障方式下本站转出36.11 MW、承接0.00 MW，其中与花园变之间的主要转出功率为22.73 MW，转接后净负荷为38.00 MW。这一工况通过邻站分担本站故障后的正向负荷。</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MW。在同一需求下，刚性方案当年主变容量为80.00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MW。在同一需求下，刚性方案当年主变容量为130.00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MW，主要表现为正向受电需求，该年设备在最大单台主变N-1后剩余容量为50.00 MVA。故障方式下本站转出56.42 MW、承接0.00 MW，其中与翟山变之间的主要转出功率为39.78 MW，转接后净负荷为47.50 MW。这一工况通过邻站分担本站故障后的正向负荷。</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MW。在同一需求下，刚性方案当年主变容量为126.00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MW，主要表现为正向受电需求，该年设备在最大单台主变N-1后剩余容量为63.00 MVA。故障方式下本站转出69.54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MW。在同一需求下，刚性方案当年主变容量为90.00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MW。在同一需求下，刚性方案当年主变容量为80.00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MW，主要表现为正向受电需求，该年设备在最大单台主变N-1后剩余容量为40.00 MVA。故障方式下本站转出15.58 MW、承接0.00 MW，其中与刘湾变之间的主要转出功率为15.58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MW。在同一需求下，刚性方案当年主变容量为126.00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MW、承接0.43 MW，转接后净负荷为45.45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MVA，两代表工况重新转供后的本站净负荷分别为45.45 MW、9.12 MW，两方向最小容量余量为14.40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MW，主要表现为正向受电需求，该年设备在最大单台主变N-1后剩余容量为63.00 MVA。故障方式下本站转出0.00 MW、承接2.23 MW，其中与西郊变之间的主要承接功率为2.23 MW，转接后净负荷为47.65 MW。该工况的站间任务随局部功率方向和接收余量安排。</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MVA，弹性方案四年均保留该组合，四年供电任务均由主变及网络承担。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MW。在同一需求下，刚性方案当年主变容量为80.00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MW，主要表现为正向受电需求，该年设备在最大单台主变N-1后剩余容量为40.00 MVA。该工况本站由剩余主变满足承载要求。</w:t>
      </w:r>
    </w:p>
    <w:p>
      <w:pPr>
        <w:pStyle w:val="5"/>
        <w:keepNext/>
        <w:numPr>
          <w:numId w:val="0"/>
        </w:numPr>
        <w:spacing w:line="390" w:lineRule="exact" w:before="160" w:after="120"/>
        <w:ind w:firstLine="0"/>
      </w:pPr>
      <w:bookmarkStart w:id="243" w:name="年度设备配置与站间差异"/>
      <w:r>
        <w:rPr>
          <w:rFonts w:ascii="Times New Roman" w:hAnsi="Times New Roman" w:eastAsia="方正仿宋_GBK"/>
          <w:b/>
          <w:sz w:val="26"/>
        </w:rPr>
        <w:t xml:space="preserve">5.4.7 年度设备配置与站间差异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同一容载比可以由不同站内设备结构形成，因此区域推荐区间需与主变台数、规格及站间任务对应。逐站比较需求和建设选择后，再归纳区域指标，才能说明新增容量用于哪些站点，以及费用变化来自哪些措施。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932" w:name="h932"/>
      <w:bookmarkStart w:id="244" w:name="措施作用与工程衔接"/>
      <w:r>
        <w:rPr>
          <w:rFonts w:ascii="Times New Roman" w:hAnsi="Times New Roman" w:eastAsia="方正仿宋_GBK"/>
          <w:b/>
          <w:sz w:val="32"/>
        </w:rPr>
        <w:t xml:space="preserve">5.5 措施作用与工程衔接</w:t>
      </w:r>
      <w:bookmarkEnd w:id="244"/>
      <w:bookmarkEnd w:id="1932"/>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表5-60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表5-61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N-1后的剩余容量，邢楼变扩建第三台主变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5"/>
        <w:keepNext/>
        <w:numPr>
          <w:numId w:val="0"/>
        </w:numPr>
        <w:spacing w:line="390" w:lineRule="exact" w:before="160" w:after="120"/>
        <w:ind w:firstLine="0"/>
      </w:pPr>
      <w:bookmarkStart w:id="247" w:name="储能支撑与必要转供量"/>
      <w:r>
        <w:rPr>
          <w:rFonts w:ascii="Times New Roman" w:hAnsi="Times New Roman" w:eastAsia="方正仿宋_GBK"/>
          <w:b/>
          <w:sz w:val="26"/>
        </w:rPr>
        <w:t xml:space="preserve">5.5.3 储能支撑与必要转供量</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MW。邳州弹性方案2025年储能额定功率3.60 MW、额定能量7.74 MWh，刚性方案分别为22.70 MW、48.81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表5-62 逐年最大必要既有转供功率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正常最大/MW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N-1最大/MW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表中固定设备方案后，以最小总通道转供功率计算必要转供，并分别列出正常和N-1工况中的最大既有转供量。既有网络支援在正常及故障工况下共同参与容量平衡，新增联络费用由实际建设项目计取。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1948" w:name="h948"/>
      <w:bookmarkStart w:id="248" w:name="五参数推广矩阵"/>
      <w:r>
        <w:rPr>
          <w:rFonts w:ascii="Times New Roman" w:hAnsi="Times New Roman" w:eastAsia="方正仿宋_GBK"/>
          <w:b/>
          <w:sz w:val="32"/>
        </w:rPr>
        <w:t xml:space="preserve">5.6 五参数推广矩阵</w:t>
      </w:r>
      <w:bookmarkEnd w:id="248"/>
      <w:bookmarkEnd w:id="1948"/>
    </w:p>
    <w:p>
      <w:pPr>
        <w:pStyle w:val="5"/>
        <w:keepNext/>
        <w:numPr>
          <w:numId w:val="0"/>
        </w:numPr>
        <w:spacing w:line="390" w:lineRule="exact" w:before="160" w:after="120"/>
        <w:ind w:firstLine="0"/>
      </w:pPr>
      <w:bookmarkStart w:id="249" w:name="参数组织与推广模型"/>
      <w:r>
        <w:rPr>
          <w:rFonts w:ascii="Times New Roman" w:hAnsi="Times New Roman" w:eastAsia="方正仿宋_GBK"/>
          <w:b/>
          <w:sz w:val="26"/>
        </w:rPr>
        <w:t xml:space="preserve">5.6.1 参数组织与推广模型</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pPr>
        <w:pStyle w:val="2"/>
        <w:widowControl/>
        <w:spacing w:line="348" w:lineRule="exact" w:before="0" w:after="0"/>
        <w:ind w:firstLine="480"/>
        <w:jc w:val="both"/>
      </w:pPr>
      <w:r>
        <w:rPr>
          <w:rFonts w:ascii="Times New Roman" w:hAnsi="Times New Roman" w:eastAsia="方正仿宋_GBK"/>
          <w:b w:val="0"/>
          <w:sz w:val="24"/>
        </w:rPr>
        <w:t xml:space="preserve">五站模板每站初始两台50 MVA主变，基期网供峰值250 MW，目标时点为基期后第4年。主变允许规格、扩建位置、馈线和间隔条件进入承载约束，主变、储能和新增联络按共同评价期费用比选。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表5-63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5站，每站2×50 MVA；按位置允许升档和扩建第三台50 MVA</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50" w:name="矩阵结果与查表方法"/>
      <w:r>
        <w:rPr>
          <w:rFonts w:ascii="Times New Roman" w:hAnsi="Times New Roman" w:eastAsia="方正仿宋_GBK"/>
          <w:b/>
          <w:sz w:val="26"/>
        </w:rPr>
        <w:t xml:space="preserve">5.6.2 矩阵结果与查表方法</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五站模板共设置34686个情景组合，其中32112个有效组合形成容载比区间。按电缆长度占比三档和负荷分散系数三个定值分为9张表，每表以平均增长率和装机渗透率构成12行、初始转供率构成4列，共432个单元。容载比区间总体为1.36～3.15。</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矩阵采用统一工程价格、日间负荷系数0.30和光伏出力系数0.75，将2、4、6 h支撑条件下的有效配置共同归入对应五参数单元，取容载比最小值与最大值形成区间。查表先确定电缆长度占比档和负荷分散系数，再按平均增长率、装机渗透率选行，按初始转供率选列。表内区间用于这些源荷和设备条件下的初步容量比选，实际储能规模按片区功率缺口及持续过程核定。</w:t>
      </w:r>
    </w:p>
    <w:p>
      <w:pPr>
        <w:pStyle w:val="2"/>
        <w:keepNext/>
        <w:spacing w:line="280" w:lineRule="exact" w:before="120" w:after="80"/>
        <w:ind w:firstLine="0"/>
        <w:jc w:val="center"/>
      </w:pPr>
      <w:r>
        <w:rPr>
          <w:rFonts w:ascii="Times New Roman" w:hAnsi="Times New Roman" w:eastAsia="宋体"/>
          <w:b w:val="0"/>
          <w:sz w:val="21"/>
        </w:rPr>
        <w:t xml:space="preserve">表5-64 电缆长度占比≤10%，负荷分散系数1.00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表5-65 电缆长度占比≤10%，负荷分散系数1.10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表5-66 电缆长度占比≤10%，负荷分散系数1.15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电缆长度占比(10%,30%]，负荷分散系数1.00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电缆长度占比(10%,30%]，负荷分散系数1.10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表5-69 电缆长度占比(10%,30%]，负荷分散系数1.15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表5-70 电缆长度占比&gt;30%，负荷分散系数1.00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表5-71 电缆长度占比&gt;30%，负荷分散系数1.10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表5-72 电缆长度占比&gt;30%，负荷分散系数1.15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5"/>
        <w:keepNext/>
        <w:numPr>
          <w:numId w:val="0"/>
        </w:numPr>
        <w:spacing w:line="390" w:lineRule="exact" w:before="160" w:after="120"/>
        <w:ind w:firstLine="0"/>
      </w:pPr>
      <w:bookmarkStart w:id="251" w:name="参数关联对应的设备变化"/>
      <w:r>
        <w:rPr>
          <w:rFonts w:ascii="Times New Roman" w:hAnsi="Times New Roman" w:eastAsia="方正仿宋_GBK"/>
          <w:b/>
          <w:sz w:val="26"/>
        </w:rPr>
        <w:t xml:space="preserve">5.6.3 参数关联对应的设备变化</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平均增长率同时改变规划时点负荷和设备配置，容载比随容量离散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2"/>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图中固定电缆长度占比10%、初始转供率40%、储能支撑持续时间4 h和负荷分散系数1.10，显示同一组背景下源荷条件的作用。</w:t>
      </w:r>
    </w:p>
    <w:p>
      <w:pPr>
        <w:pStyle w:val="5"/>
        <w:keepNext/>
        <w:numPr>
          <w:numId w:val="0"/>
        </w:numPr>
        <w:spacing w:line="390" w:lineRule="exact" w:before="160" w:after="120"/>
        <w:ind w:firstLine="0"/>
      </w:pPr>
      <w:bookmarkStart w:id="253" w:name="固定源荷条件下的转供序列"/>
      <w:r>
        <w:rPr>
          <w:rFonts w:ascii="Times New Roman" w:hAnsi="Times New Roman" w:eastAsia="方正仿宋_GBK"/>
          <w:b/>
          <w:sz w:val="26"/>
        </w:rPr>
        <w:t xml:space="preserve">5.6.4 固定源荷条件下的转供序列</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固定装机渗透率1.50、平均增长率4%、电缆长度占比10%、储能支撑持续时间4 h和负荷分散系数1.10，比较10%～90%的完整初始转供率序列。</w:t>
      </w:r>
    </w:p>
    <w:p>
      <w:pPr>
        <w:pStyle w:val="2"/>
        <w:keepNext/>
        <w:spacing w:line="280" w:lineRule="exact" w:before="120" w:after="80"/>
        <w:ind w:firstLine="0"/>
        <w:jc w:val="center"/>
      </w:pPr>
      <w:r>
        <w:rPr>
          <w:rFonts w:ascii="Times New Roman" w:hAnsi="Times New Roman" w:eastAsia="宋体"/>
          <w:b w:val="0"/>
          <w:sz w:val="21"/>
        </w:rPr>
        <w:t xml:space="preserve">表5-73 固定源荷和线路条件下的转供率比较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5348.03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4967.43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1500.74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bl>
    <w:p>
      <w:pPr>
        <w:pStyle w:val="2"/>
        <w:widowControl/>
        <w:spacing w:line="348" w:lineRule="exact" w:before="0" w:after="0"/>
        <w:ind w:firstLine="480"/>
        <w:jc w:val="both"/>
      </w:pPr>
      <w:r>
        <w:rPr>
          <w:rFonts w:ascii="Times New Roman" w:hAnsi="Times New Roman" w:eastAsia="方正仿宋_GBK"/>
          <w:b w:val="0"/>
          <w:sz w:val="24"/>
        </w:rPr>
        <w:t xml:space="preserve">10%～30%转供率之间发生主变配置切换，其中20%节点以储能补充局部缺口。30%及以上节点保持550.00 MVA、无储能的配置，新增联络随既有转供能力提高而减少，70%及以上节点采用相同设备方案。对应的容量变化集中于低转供阶段，后续改善主要表现为联络建设费用下降。</w:t>
      </w:r>
    </w:p>
    <w:p>
      <w:pPr>
        <w:pStyle w:val="5"/>
        <w:keepNext/>
        <w:numPr>
          <w:numId w:val="0"/>
        </w:numPr>
        <w:spacing w:line="390" w:lineRule="exact" w:before="160" w:after="120"/>
        <w:ind w:firstLine="0"/>
      </w:pPr>
      <w:bookmarkStart w:id="254" w:name="装机渗透率与双向容量需求"/>
      <w:r>
        <w:rPr>
          <w:rFonts w:ascii="Times New Roman" w:hAnsi="Times New Roman" w:eastAsia="方正仿宋_GBK"/>
          <w:b/>
          <w:sz w:val="26"/>
        </w:rPr>
        <w:t xml:space="preserve">5.6.5 装机渗透率与双向容量需求</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固定平均增长率4%、电缆长度占比10%、初始转供率40%、储能支撑持续时间4 h和负荷分散系数1.10，读取装机渗透率0～3.00、步长0.25的完整序列。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表5-74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[7]。</w:t>
      </w:r>
    </w:p>
    <w:p>
      <w:pPr>
        <w:pStyle w:val="5"/>
        <w:keepNext/>
        <w:numPr>
          <w:numId w:val="0"/>
        </w:numPr>
        <w:spacing w:line="390" w:lineRule="exact" w:before="160" w:after="120"/>
        <w:ind w:firstLine="0"/>
      </w:pPr>
      <w:bookmarkStart w:id="255" w:name="平均增长率与容量储备消耗"/>
      <w:r>
        <w:rPr>
          <w:rFonts w:ascii="Times New Roman" w:hAnsi="Times New Roman" w:eastAsia="方正仿宋_GBK"/>
          <w:b/>
          <w:sz w:val="26"/>
        </w:rPr>
        <w:t xml:space="preserve">5.6.6 平均增长率与容量储备消耗</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固定装机渗透率1.50、电缆长度占比10%、初始转供率40%、支撑持续时间4 h及负荷分散系数1.10，比较锁定库中相应的八个增长节点。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表5-75 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5"/>
        <w:keepNext/>
        <w:numPr>
          <w:numId w:val="0"/>
        </w:numPr>
        <w:spacing w:line="390" w:lineRule="exact" w:before="160" w:after="120"/>
        <w:ind w:firstLine="0"/>
      </w:pPr>
      <w:bookmarkStart w:id="256" w:name="电缆长度占比与联络主变替代"/>
      <w:r>
        <w:rPr>
          <w:rFonts w:ascii="Times New Roman" w:hAnsi="Times New Roman" w:eastAsia="方正仿宋_GBK"/>
          <w:b/>
          <w:sz w:val="26"/>
        </w:rPr>
        <w:t xml:space="preserve">5.6.7 电缆长度占比与联络、主变替代</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固定装机渗透率2.50、平均增长率4%、初始转供率70%、支撑持续时间4 h和负荷分散系数1.10，读取10%、30%、50%、80%、90%电缆长度占比节点。全部节点采用相同的单位线路能力和候选网络，费用按第四章长度加权关系计算。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表5-76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12680.32～14900.59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15147.71</w:t>
            </w:r>
          </w:p>
        </w:tc>
      </w:tr>
    </w:tbl>
    <w:p>
      <w:pPr>
        <w:pStyle w:val="2"/>
        <w:widowControl/>
        <w:spacing w:line="348" w:lineRule="exact" w:before="0" w:after="0"/>
        <w:ind w:firstLine="480"/>
        <w:jc w:val="both"/>
      </w:pPr>
      <w:r>
        <w:rPr>
          <w:rFonts w:ascii="Times New Roman" w:hAnsi="Times New Roman" w:eastAsia="方正仿宋_GBK"/>
          <w:b w:val="0"/>
          <w:sz w:val="24"/>
        </w:rPr>
        <w:t xml:space="preserve">注：首行四个节点配置相同，费用范围对应四个已计算节点。</w:t>
      </w:r>
    </w:p>
    <w:p>
      <w:pPr>
        <w:pStyle w:val="2"/>
        <w:widowControl/>
        <w:spacing w:line="348" w:lineRule="exact" w:before="0" w:after="0"/>
        <w:ind w:firstLine="480"/>
        <w:jc w:val="both"/>
      </w:pPr>
      <w:r>
        <w:rPr>
          <w:rFonts w:ascii="Times New Roman" w:hAnsi="Times New Roman" w:eastAsia="方正仿宋_GBK"/>
          <w:b w:val="0"/>
          <w:sz w:val="24"/>
        </w:rPr>
        <w:t xml:space="preserve">在相同源荷和支撑条件下，进一步比较初始转供率50%～90%的共同节点。电缆长度占比影响联络造价，初始转供率决定既有网络支援，图中两项条件共同作用于主变与联络的经济选择。</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4314"/>
            <wp:effectExtent b="0" l="0" r="0" t="0"/>
            <wp:docPr descr="" title="" id="1" name="Picture"/>
            <a:graphic>
              <a:graphicData uri="http://schemas.openxmlformats.org/drawingml/2006/picture">
                <pic:pic>
                  <pic:nvPicPr>
                    <pic:cNvPr descr="研究报告/02图表/当前版/discussion_cable_transfer.png" id="0" name="Picture"/>
                    <pic:cNvPicPr>
                      <a:picLocks noChangeArrowheads="1" noChangeAspect="1"/>
                    </pic:cNvPicPr>
                  </pic:nvPicPr>
                  <pic:blipFill>
                    <a:blip r:embed="rId257"/>
                    <a:stretch>
                      <a:fillRect/>
                    </a:stretch>
                  </pic:blipFill>
                  <pic:spPr bwMode="auto">
                    <a:xfrm>
                      <a:off x="0" y="0"/>
                      <a:ext cx="5120640" cy="285431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电缆长度占比与初始转供率对应的容载比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10%～80%范围内的四个已采样节点采用相同设备，费用增加来自同一组新增联络的造价变化，而90%节点则将主变由660.00 MVA提高至710.00 MVA，新增联络由7项减少为4项，储能配置保持28.00 MW。高电缆占比下新增联络较贵，费用比选转向更多站内容量，形成主变与联络的替代。该变化具有明确的项目费用依据。</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但两者分别作用于造价和既有网络能力。表中比较固定转供率，用于识别造价引起的设备切换，第5.6.4节则固定线路条件，观察既有能力改善带来的新增工程减少。两组受控结果结合参数间统计关联，解释各项输入的规划作用。</w:t>
      </w:r>
    </w:p>
    <w:p>
      <w:pPr>
        <w:pStyle w:val="5"/>
        <w:keepNext/>
        <w:numPr>
          <w:numId w:val="0"/>
        </w:numPr>
        <w:spacing w:line="390" w:lineRule="exact" w:before="160" w:after="120"/>
        <w:ind w:firstLine="0"/>
      </w:pPr>
      <w:bookmarkStart w:id="258" w:name="储能持续时间与有效功率配置"/>
      <w:r>
        <w:rPr>
          <w:rFonts w:ascii="Times New Roman" w:hAnsi="Times New Roman" w:eastAsia="方正仿宋_GBK"/>
          <w:b/>
          <w:sz w:val="26"/>
        </w:rPr>
        <w:t xml:space="preserve">5.6.8 储能持续时间与有效功率配置</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固定装机渗透率2.50、平均增长率4%、电缆长度占比10%、初始转供率40%和负荷分散系数1.10，分别读取2、4、6 h三个定值。三组主变均为710.00 MVA，新增联络均为8项，储能有效支撑功率约14.38 MW。</w:t>
      </w:r>
    </w:p>
    <w:p>
      <w:pPr>
        <w:pStyle w:val="2"/>
        <w:keepNext/>
        <w:spacing w:line="280" w:lineRule="exact" w:before="120" w:after="80"/>
        <w:ind w:firstLine="0"/>
        <w:jc w:val="center"/>
      </w:pPr>
      <w:r>
        <w:rPr>
          <w:rFonts w:ascii="Times New Roman" w:hAnsi="Times New Roman" w:eastAsia="宋体"/>
          <w:b w:val="0"/>
          <w:sz w:val="21"/>
        </w:rPr>
        <w:t xml:space="preserve">表5-77 固定主变及联络配置下的储能持续时间比较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储能额定能量/MWh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11921.75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113.52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19568.63</w:t>
            </w:r>
          </w:p>
        </w:tc>
      </w:tr>
    </w:tbl>
    <w:p>
      <w:pPr>
        <w:pStyle w:val="2"/>
        <w:widowControl/>
        <w:spacing w:line="348" w:lineRule="exact" w:before="0" w:after="0"/>
        <w:ind w:firstLine="480"/>
        <w:jc w:val="both"/>
      </w:pPr>
      <w:r>
        <w:rPr>
          <w:rFonts w:ascii="Times New Roman" w:hAnsi="Times New Roman" w:eastAsia="方正仿宋_GBK"/>
          <w:b w:val="0"/>
          <w:sz w:val="24"/>
        </w:rPr>
        <w:t xml:space="preserve">保持平均增长率4%、电缆长度占比10%、初始转供率40%和负荷分散系数1.10，比较不同装机节点下的支撑时长。装机渗透率2.00时，支撑持续时间由2 h延长至4 h，容载比由2.05升至2.14，延长至6 h后保持2.14，容量响应集中于部分设备替代节点。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72833"/>
            <wp:effectExtent b="0" l="0" r="0" t="0"/>
            <wp:docPr descr="" title="" id="1" name="Picture"/>
            <a:graphic>
              <a:graphicData uri="http://schemas.openxmlformats.org/drawingml/2006/picture">
                <pic:pic>
                  <pic:nvPicPr>
                    <pic:cNvPr descr="研究报告/02图表/当前版/discussion_hours_eta.png" id="0" name="Picture"/>
                    <pic:cNvPicPr>
                      <a:picLocks noChangeArrowheads="1" noChangeAspect="1"/>
                    </pic:cNvPicPr>
                  </pic:nvPicPr>
                  <pic:blipFill>
                    <a:blip r:embed="rId259"/>
                    <a:stretch>
                      <a:fillRect/>
                    </a:stretch>
                  </pic:blipFill>
                  <pic:spPr bwMode="auto">
                    <a:xfrm>
                      <a:off x="0" y="0"/>
                      <a:ext cx="5120640" cy="287283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装机渗透率与储能支撑持续时间对应的容载比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该组设备所需补充的有效功率接近一致，持续时间由2 h延长至4 h和6 h时，储能额定功率及额定能量按所需柜数增加，费用相应提高。主变及联络没有切换，说明这一组背景下增加柜数仍是相应可行组合的选择。其工程含义是：持续时间控制为同一功率缺口准备多少可用电量，铭牌功率变化还需结合有效支撑功率解释。</w:t>
      </w:r>
    </w:p>
    <w:p>
      <w:pPr>
        <w:pStyle w:val="2"/>
        <w:widowControl/>
        <w:spacing w:line="348" w:lineRule="exact" w:before="0" w:after="0"/>
        <w:ind w:firstLine="480"/>
        <w:jc w:val="both"/>
      </w:pPr>
      <w:r>
        <w:rPr>
          <w:rFonts w:ascii="Times New Roman" w:hAnsi="Times New Roman" w:eastAsia="方正仿宋_GBK"/>
          <w:b w:val="0"/>
          <w:sz w:val="24"/>
        </w:rPr>
        <w:t xml:space="preserve">第3.5节统计中，支撑时间仅在12%的受控组触发主变容量变化，其余组可能保持主变并调整储能，也可能由主变和网络满足全部需求。时间参数因此按2、4、6 h分别展示，便于将地区近峰特征与具体设备配置对应。实际项目的支撑时长还需结合故障恢复过程和功率缺口持续时间核定[28][10]。</w:t>
      </w:r>
    </w:p>
    <w:p>
      <w:pPr>
        <w:pStyle w:val="5"/>
        <w:keepNext/>
        <w:numPr>
          <w:numId w:val="0"/>
        </w:numPr>
        <w:spacing w:line="390" w:lineRule="exact" w:before="160" w:after="120"/>
        <w:ind w:firstLine="0"/>
      </w:pPr>
      <w:bookmarkStart w:id="260" w:name="负荷分散系数与局部高峰承载"/>
      <w:r>
        <w:rPr>
          <w:rFonts w:ascii="Times New Roman" w:hAnsi="Times New Roman" w:eastAsia="方正仿宋_GBK"/>
          <w:b/>
          <w:sz w:val="26"/>
        </w:rPr>
        <w:t xml:space="preserve">5.6.9 负荷分散系数与局部高峰承载</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固定装机渗透率0、平均增长率4%、电缆长度占比10%、初始转供率40%和储能支撑持续时间4 h，分别比较负荷分散系数1.00、1.10、1.15。各工况区域负荷合计相同，分散系数改变局部高峰在各站之间的分布。</w:t>
      </w:r>
    </w:p>
    <w:p>
      <w:pPr>
        <w:pStyle w:val="2"/>
        <w:keepNext/>
        <w:spacing w:line="280" w:lineRule="exact" w:before="120" w:after="80"/>
        <w:ind w:firstLine="0"/>
        <w:jc w:val="center"/>
      </w:pPr>
      <w:r>
        <w:rPr>
          <w:rFonts w:ascii="Times New Roman" w:hAnsi="Times New Roman" w:eastAsia="宋体"/>
          <w:b w:val="0"/>
          <w:sz w:val="21"/>
        </w:rPr>
        <w:t xml:space="preserve">表5-78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2225.73</w:t>
            </w:r>
          </w:p>
        </w:tc>
      </w:tr>
    </w:tbl>
    <w:p>
      <w:pPr>
        <w:pStyle w:val="2"/>
        <w:widowControl/>
        <w:spacing w:line="348" w:lineRule="exact" w:before="0" w:after="0"/>
        <w:ind w:firstLine="480"/>
        <w:jc w:val="both"/>
      </w:pPr>
      <w:r>
        <w:rPr>
          <w:rFonts w:ascii="Times New Roman" w:hAnsi="Times New Roman" w:eastAsia="方正仿宋_GBK"/>
          <w:b w:val="0"/>
          <w:sz w:val="24"/>
        </w:rPr>
        <w:t xml:space="preserve">固定装机渗透率1.50、平均增长率4%、电缆长度占比10%和支撑持续时间4 h，比较初始转供率20%～90%的共同有效节点。转供率20%时，分散系数1.00、1.10、1.15对应容载比1.88、2.05、2.22，转供率达到40%后三种分散系数均为1.88，本组节点中网络支援改善能够缓解局部高峰对新增容量的要求。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7500"/>
            <wp:effectExtent b="0" l="0" r="0" t="0"/>
            <wp:docPr descr="" title="" id="1" name="Picture"/>
            <a:graphic>
              <a:graphicData uri="http://schemas.openxmlformats.org/drawingml/2006/picture">
                <pic:pic>
                  <pic:nvPicPr>
                    <pic:cNvPr descr="研究报告/02图表/当前版/discussion_dispersion_transfer.png" id="0" name="Picture"/>
                    <pic:cNvPicPr>
                      <a:picLocks noChangeArrowheads="1" noChangeAspect="1"/>
                    </pic:cNvPicPr>
                  </pic:nvPicPr>
                  <pic:blipFill>
                    <a:blip r:embed="rId261"/>
                    <a:stretch>
                      <a:fillRect/>
                    </a:stretch>
                  </pic:blipFill>
                  <pic:spPr bwMode="auto">
                    <a:xfrm>
                      <a:off x="0" y="0"/>
                      <a:ext cx="5120640" cy="28575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初始转供率与负荷分散系数对应的容载比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负荷分散系数由1.00提高至1.10时，局部高峰任务触发主变补强，容量增加50.00 MVA，并以主变和新增联络替代原少量储能。继续提高至1.15后，主变容量保持550.00 MVA，通过进一步增加2项联络利用已有容量。这表明即使区域同时峰值相同，局部负荷分布仍会影响站级设备需求。</w:t>
      </w:r>
    </w:p>
    <w:p>
      <w:pPr>
        <w:pStyle w:val="2"/>
        <w:widowControl/>
        <w:spacing w:line="348" w:lineRule="exact" w:before="0" w:after="0"/>
        <w:ind w:firstLine="480"/>
        <w:jc w:val="both"/>
      </w:pPr>
      <w:r>
        <w:rPr>
          <w:rFonts w:ascii="Times New Roman" w:hAnsi="Times New Roman" w:eastAsia="方正仿宋_GBK"/>
          <w:b w:val="0"/>
          <w:sz w:val="24"/>
        </w:rPr>
        <w:t xml:space="preserve">在装机渗透率2.50、其余背景相同的另一组节点中，三种分散系数均采用710.00 MVA主变，但储能额定功率分别为28.40、35.20、45.90 MW，新增联络也有调整。反向容量和局部高峰共同影响配置时，分散程度的作用可以更多体现为储能与线路组合。矩阵将三个定值分别列示，可保留这些设备差异，后续查表应与片区各站峰值及实际联络条件衔接。</w:t>
      </w:r>
    </w:p>
    <w:p>
      <w:pPr>
        <w:pStyle w:val="5"/>
        <w:keepNext/>
        <w:numPr>
          <w:numId w:val="0"/>
        </w:numPr>
        <w:spacing w:line="390" w:lineRule="exact" w:before="160" w:after="120"/>
        <w:ind w:firstLine="0"/>
      </w:pPr>
      <w:bookmarkStart w:id="262" w:name="电量峰段及相对投资条件下的配置"/>
      <w:r>
        <w:rPr>
          <w:rFonts w:ascii="Times New Roman" w:hAnsi="Times New Roman" w:eastAsia="方正仿宋_GBK"/>
          <w:b/>
          <w:sz w:val="26"/>
        </w:rPr>
        <w:t xml:space="preserve">5.6.10 电量、峰段及相对投资条件下的配置</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固定装机渗透率2.00、平均增长率4%、电缆长度占比10%、初始转供率40%、负荷分散系数1.10和参考工程价格，按第3.5.2节的全年电量平衡校准光伏出力，先取95%峰值持续时间4 h比较电量完整序列。</w:t>
      </w:r>
    </w:p>
    <w:p>
      <w:pPr>
        <w:pStyle w:val="2"/>
        <w:keepNext/>
        <w:spacing w:line="280" w:lineRule="exact" w:before="120" w:after="80"/>
        <w:ind w:firstLine="0"/>
        <w:jc w:val="center"/>
      </w:pPr>
      <w:r>
        <w:rPr>
          <w:rFonts w:ascii="Times New Roman" w:hAnsi="Times New Roman" w:eastAsia="宋体"/>
          <w:b w:val="0"/>
          <w:sz w:val="21"/>
        </w:rPr>
        <w:t xml:space="preserve">表5-79 固定装机条件下的电量与配置变化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25%、28%、30%、32%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3243.14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6082.61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6476.74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8660.44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13777.81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18916.91</w:t>
            </w:r>
          </w:p>
        </w:tc>
      </w:tr>
    </w:tbl>
    <w:p>
      <w:pPr>
        <w:pStyle w:val="2"/>
        <w:widowControl/>
        <w:spacing w:line="348" w:lineRule="exact" w:before="0" w:after="0"/>
        <w:ind w:firstLine="480"/>
        <w:jc w:val="both"/>
      </w:pPr>
      <w:r>
        <w:rPr>
          <w:rFonts w:ascii="Times New Roman" w:hAnsi="Times New Roman" w:eastAsia="方正仿宋_GBK"/>
          <w:b w:val="0"/>
          <w:sz w:val="24"/>
        </w:rPr>
        <w:t xml:space="preserve">较低电量节点主要由晚间正向高峰决定主变需求，电量增加先通过联络调整日间负荷分配，反向承载约束增强后转向主变补强。容载比达到2.43后主变保持710 MVA，继续提高电量主要增加储能吸收功率及联络，表明容量比值相同也可以对应不同配套工程。电量信息用于核定源荷场景，代表参数装机渗透率需与所采用的典型出力水平共同使用。</w:t>
      </w:r>
    </w:p>
    <w:p>
      <w:pPr>
        <w:pStyle w:val="2"/>
        <w:widowControl/>
        <w:spacing w:line="348" w:lineRule="exact" w:before="0" w:after="0"/>
        <w:ind w:firstLine="480"/>
        <w:jc w:val="both"/>
      </w:pPr>
      <w:r>
        <w:rPr>
          <w:rFonts w:ascii="Times New Roman" w:hAnsi="Times New Roman" w:eastAsia="方正仿宋_GBK"/>
          <w:b w:val="0"/>
          <w:sz w:val="24"/>
        </w:rPr>
        <w:t xml:space="preserve">保持电量渗透率40%，比较1～8 h的完整峰段序列。各节点均采用600 MVA主变和7项新增联络，容载比为2.05，持续支撑任务的变化由储能规模承担。</w:t>
      </w:r>
    </w:p>
    <w:p>
      <w:pPr>
        <w:pStyle w:val="2"/>
        <w:keepNext/>
        <w:spacing w:line="280" w:lineRule="exact" w:before="120" w:after="80"/>
        <w:ind w:firstLine="0"/>
        <w:jc w:val="center"/>
      </w:pPr>
      <w:r>
        <w:rPr>
          <w:rFonts w:ascii="Times New Roman" w:hAnsi="Times New Roman" w:eastAsia="宋体"/>
          <w:b w:val="0"/>
          <w:sz w:val="21"/>
        </w:rPr>
        <w:t xml:space="preserve">表5-80 固定主变与联络条件下的峰段支撑配置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95%峰值持续时间/h</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4018.39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4083.56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4300.80</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4670.11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4800.46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4887.35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4952.53</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要求延长后，储能可用电量约束起作用，额定功率随所需柜数增加，费用相应提高。这组结果联系第3.5节较弱的时间—容载比相关：时间对主变容量的作用取决于设备替代条件，对储能定容则直接进入有效支撑功率计算。</w:t>
      </w:r>
    </w:p>
    <w:p>
      <w:pPr>
        <w:pStyle w:val="2"/>
        <w:widowControl/>
        <w:spacing w:line="348" w:lineRule="exact" w:before="0" w:after="0"/>
        <w:ind w:firstLine="480"/>
        <w:jc w:val="both"/>
      </w:pPr>
      <w:r>
        <w:rPr>
          <w:rFonts w:ascii="Times New Roman" w:hAnsi="Times New Roman" w:eastAsia="方正仿宋_GBK"/>
          <w:b w:val="0"/>
          <w:sz w:val="24"/>
        </w:rPr>
        <w:t xml:space="preserve">在电量40%、峰段4 h时分别改变线路和储能价格。完整价格序列均采用600 MVA主变、4.20 MW储能和7项联络，容载比2.05，费用范围如下。</w:t>
      </w:r>
    </w:p>
    <w:p>
      <w:pPr>
        <w:pStyle w:val="2"/>
        <w:keepNext/>
        <w:spacing w:line="280" w:lineRule="exact" w:before="120" w:after="80"/>
        <w:ind w:firstLine="0"/>
        <w:jc w:val="center"/>
      </w:pPr>
      <w:r>
        <w:rPr>
          <w:rFonts w:ascii="Times New Roman" w:hAnsi="Times New Roman" w:eastAsia="宋体"/>
          <w:b w:val="0"/>
          <w:sz w:val="21"/>
        </w:rPr>
        <w:t xml:space="preserve">表5-81 固定设备配置下的两类价格比较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变化条件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参考价格比例</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4264.30～4771.79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4244.32～4791.77</w:t>
            </w:r>
          </w:p>
        </w:tc>
      </w:tr>
    </w:tbl>
    <w:p>
      <w:pPr>
        <w:pStyle w:val="2"/>
        <w:widowControl/>
        <w:spacing w:line="348" w:lineRule="exact" w:before="0" w:after="0"/>
        <w:ind w:firstLine="480"/>
        <w:jc w:val="both"/>
      </w:pPr>
      <w:r>
        <w:rPr>
          <w:rFonts w:ascii="Times New Roman" w:hAnsi="Times New Roman" w:eastAsia="方正仿宋_GBK"/>
          <w:b w:val="0"/>
          <w:sz w:val="24"/>
        </w:rPr>
        <w:t xml:space="preserve">该组配置在所比较价格范围内保持，费用变化分别来自联络或储能采购及相应固定运维。相对投资指标有助于解释经济条件，主矩阵则通过五项源荷和网络参数归纳容量范围，工程应用结合当地价格核定完整方案费用。</w:t>
      </w:r>
    </w:p>
    <w:p>
      <w:pPr>
        <w:pStyle w:val="4"/>
        <w:keepNext/>
        <w:numPr>
          <w:numId w:val="0"/>
        </w:numPr>
        <w:spacing w:line="480" w:lineRule="exact" w:before="160" w:after="120"/>
        <w:ind w:firstLine="0"/>
      </w:pPr>
      <w:bookmarkStart w:id="2022" w:name="h1022"/>
      <w:bookmarkStart w:id="263" w:name="规划建议"/>
      <w:r>
        <w:rPr>
          <w:rFonts w:ascii="Times New Roman" w:hAnsi="Times New Roman" w:eastAsia="方正仿宋_GBK"/>
          <w:b/>
          <w:sz w:val="32"/>
        </w:rPr>
        <w:t xml:space="preserve">5.7 规划建议</w:t>
      </w:r>
      <w:bookmarkEnd w:id="263"/>
      <w:bookmarkEnd w:id="2022"/>
    </w:p>
    <w:p>
      <w:pPr>
        <w:pStyle w:val="5"/>
        <w:keepNext/>
        <w:numPr>
          <w:numId w:val="0"/>
        </w:numPr>
        <w:spacing w:line="390" w:lineRule="exact" w:before="160" w:after="120"/>
        <w:ind w:firstLine="0"/>
      </w:pPr>
      <w:bookmarkStart w:id="264" w:name="按源荷条件和网络能力选取容量"/>
      <w:r>
        <w:rPr>
          <w:rFonts w:ascii="Times New Roman" w:hAnsi="Times New Roman" w:eastAsia="方正仿宋_GBK"/>
          <w:b/>
          <w:sz w:val="26"/>
        </w:rPr>
        <w:t xml:space="preserve">5.7.1 按源荷条件和网络能力选取容量</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65" w:name="统筹主变储能及联络建设"/>
      <w:r>
        <w:rPr>
          <w:rFonts w:ascii="Times New Roman" w:hAnsi="Times New Roman" w:eastAsia="方正仿宋_GBK"/>
          <w:b/>
          <w:sz w:val="26"/>
        </w:rPr>
        <w:t xml:space="preserve">5.7.2 统筹主变、储能及联络建设</w:t>
      </w:r>
      <w:bookmarkEnd w:id="26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6" w:name="保留参数区间滚动更新计算依据"/>
      <w:r>
        <w:rPr>
          <w:rFonts w:ascii="Times New Roman" w:hAnsi="Times New Roman" w:eastAsia="方正仿宋_GBK"/>
          <w:b/>
          <w:sz w:val="26"/>
        </w:rPr>
        <w:t xml:space="preserve">5.7.3 保留参数区间，滚动更新计算依据</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7" w:name="推荐区间与具体设备的衔接"/>
      <w:r>
        <w:rPr>
          <w:rFonts w:ascii="Times New Roman" w:hAnsi="Times New Roman" w:eastAsia="方正仿宋_GBK"/>
          <w:b/>
          <w:sz w:val="26"/>
        </w:rPr>
        <w:t xml:space="preserve">5.7.4 推荐区间与具体设备的衔接</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68" w:name="邳州与市区建设措施的综合比较"/>
      <w:r>
        <w:rPr>
          <w:rFonts w:ascii="Times New Roman" w:hAnsi="Times New Roman" w:eastAsia="方正仿宋_GBK"/>
          <w:b/>
          <w:sz w:val="26"/>
        </w:rPr>
        <w:t xml:space="preserve">5.7.5 邳州与市区建设措施的综合比较</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邳州两类方案2025年主变容量均为1704.00 MVA、容载比1.78。弹性方案在首年完成较多主变建设，2025年储能额定能量为7.74 MWh，累计新增联络14条，而刚性方案受首年容量上限限制，2025年储能为48.81 MWh，累计新增联络15条。最终主变容量相同，建设时序和替代措施不同。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MVA，首年新增5条联络，2025年容载比1.90。两地区刚性可行方案费用合计21790.82万元，弹性为15793.49万元，减少约28%。</w:t>
      </w:r>
    </w:p>
    <w:p>
      <w:pPr>
        <w:pStyle w:val="2"/>
        <w:widowControl/>
        <w:spacing w:line="348" w:lineRule="exact" w:before="0" w:after="0"/>
        <w:ind w:firstLine="480"/>
        <w:jc w:val="both"/>
      </w:pPr>
      <w:r>
        <w:rPr>
          <w:rFonts w:ascii="Times New Roman" w:hAnsi="Times New Roman" w:eastAsia="方正仿宋_GBK"/>
          <w:b w:val="0"/>
          <w:sz w:val="24"/>
        </w:rPr>
        <w:t xml:space="preserve">年度建设先满足当年需求，投运后持续在役的容量再供后续年份使用。负荷回落会提高同一容量对应的容载比，负荷恢复则消耗已有储备，整台主变投运又使容量按项目离散变化。因此，推荐区间用于前期比选，逐站工程与建设时点共同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37" w:name="h1037"/>
      <w:bookmarkStart w:id="269" w:name="第六章-结论与建议"/>
      <w:r>
        <w:rPr>
          <w:rFonts w:ascii="Times New Roman" w:hAnsi="Times New Roman" w:eastAsia="方正仿宋_GBK"/>
          <w:b/>
          <w:sz w:val="36"/>
        </w:rPr>
        <w:t xml:space="preserve">第六章 结论与建议</w:t>
      </w:r>
      <w:bookmarkEnd w:id="269"/>
      <w:bookmarkEnd w:id="2037"/>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39" w:name="h1039"/>
      <w:bookmarkStart w:id="270" w:name="主要研究结论"/>
      <w:r>
        <w:rPr>
          <w:rFonts w:ascii="Times New Roman" w:hAnsi="Times New Roman" w:eastAsia="方正仿宋_GBK"/>
          <w:b/>
          <w:sz w:val="32"/>
        </w:rPr>
        <w:t xml:space="preserve">6.1 主要研究结论</w:t>
      </w:r>
      <w:bookmarkEnd w:id="270"/>
      <w:bookmarkEnd w:id="2039"/>
    </w:p>
    <w:p>
      <w:pPr>
        <w:pStyle w:val="5"/>
        <w:keepNext/>
        <w:numPr>
          <w:numId w:val="0"/>
        </w:numPr>
        <w:spacing w:line="390" w:lineRule="exact" w:before="160" w:after="120"/>
        <w:ind w:firstLine="0"/>
      </w:pPr>
      <w:bookmarkStart w:id="271" w:name="容载比与局部容量压力应结合分析"/>
      <w:r>
        <w:rPr>
          <w:rFonts w:ascii="Times New Roman" w:hAnsi="Times New Roman" w:eastAsia="方正仿宋_GBK"/>
          <w:b/>
          <w:sz w:val="26"/>
        </w:rPr>
        <w:t xml:space="preserve">6.1.1 容载比与局部容量压力应结合分析</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2" w:name="弹性容量配置降低了所设条件下的方案费用"/>
      <w:r>
        <w:rPr>
          <w:rFonts w:ascii="Times New Roman" w:hAnsi="Times New Roman" w:eastAsia="方正仿宋_GBK"/>
          <w:b/>
          <w:sz w:val="26"/>
        </w:rPr>
        <w:t xml:space="preserve">6.1.2 弹性容量配置降低了所设条件下的方案费用</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在相同初始设备、实际年度负荷及逐站转供约束下，邳州两类方案2025年主变容量均为1704.00 MVA、容载比1.78，市区弹性方案为2923.00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邳州弹性方案首年完成主变补强，减少后期配储，2025年储能额定能量7.74 MWh，刚性为48.81 MWh。市区弹性方案以一台主变更换替代刚性方案的5项新增联络。两地区刚性可行方案费用合计21790.82万元，弹性为15793.49万元，减少5997.33万元，约28%。</w:t>
      </w:r>
    </w:p>
    <w:p>
      <w:pPr>
        <w:pStyle w:val="5"/>
        <w:keepNext/>
        <w:numPr>
          <w:numId w:val="0"/>
        </w:numPr>
        <w:spacing w:line="390" w:lineRule="exact" w:before="160" w:after="120"/>
        <w:ind w:firstLine="0"/>
      </w:pPr>
      <w:bookmarkStart w:id="273"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74" w:name="两层相关分析确定五项推广参数"/>
      <w:r>
        <w:rPr>
          <w:rFonts w:ascii="Times New Roman" w:hAnsi="Times New Roman" w:eastAsia="方正仿宋_GBK"/>
          <w:b/>
          <w:sz w:val="26"/>
        </w:rPr>
        <w:t xml:space="preserve">6.1.4 两层相关分析确定五项推广参数</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32112个有效设备配置按五项条件形成9张表、432个单元，容载比总体区间为1.36～3.15。矩阵采用统一工程价格和典型源荷系数，并归纳2、4、6 h支撑条件下的容量范围，查表后按实际站级缺口及可实施措施确定设备方案。</w:t>
      </w:r>
    </w:p>
    <w:p>
      <w:pPr>
        <w:pStyle w:val="4"/>
        <w:keepNext/>
        <w:numPr>
          <w:numId w:val="0"/>
        </w:numPr>
        <w:spacing w:line="480" w:lineRule="exact" w:before="160" w:after="120"/>
        <w:ind w:firstLine="0"/>
      </w:pPr>
      <w:bookmarkStart w:id="2053" w:name="h1053"/>
      <w:bookmarkStart w:id="275" w:name="规划应用建议"/>
      <w:r>
        <w:rPr>
          <w:rFonts w:ascii="Times New Roman" w:hAnsi="Times New Roman" w:eastAsia="方正仿宋_GBK"/>
          <w:b/>
          <w:sz w:val="32"/>
        </w:rPr>
        <w:t xml:space="preserve">6.2 规划应用建议</w:t>
      </w:r>
      <w:bookmarkEnd w:id="275"/>
      <w:bookmarkEnd w:id="2053"/>
    </w:p>
    <w:p>
      <w:pPr>
        <w:pStyle w:val="5"/>
        <w:keepNext/>
        <w:numPr>
          <w:numId w:val="0"/>
        </w:numPr>
        <w:spacing w:line="390" w:lineRule="exact" w:before="160" w:after="120"/>
        <w:ind w:firstLine="0"/>
      </w:pPr>
      <w:bookmarkStart w:id="276" w:name="按输入区间查表再落实设备方案"/>
      <w:r>
        <w:rPr>
          <w:rFonts w:ascii="Times New Roman" w:hAnsi="Times New Roman" w:eastAsia="方正仿宋_GBK"/>
          <w:b/>
          <w:sz w:val="26"/>
        </w:rPr>
        <w:t xml:space="preserve">6.2.1 按输入区间查表，再落实设备方案</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复合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7" w:name="核实分区转供能力与储能支撑条件"/>
      <w:r>
        <w:rPr>
          <w:rFonts w:ascii="Times New Roman" w:hAnsi="Times New Roman" w:eastAsia="方正仿宋_GBK"/>
          <w:b/>
          <w:sz w:val="26"/>
        </w:rPr>
        <w:t xml:space="preserve">6.2.2 核实分区转供能力与储能支撑条件</w:t>
      </w:r>
      <w:bookmarkEnd w:id="277"/>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储能正向支撑持续时间采用邳州2 h、市区6 h，推广比较2、4、6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78" w:name="随数据和工程条件更新结果"/>
      <w:r>
        <w:rPr>
          <w:rFonts w:ascii="Times New Roman" w:hAnsi="Times New Roman" w:eastAsia="方正仿宋_GBK"/>
          <w:b/>
          <w:sz w:val="26"/>
        </w:rPr>
        <w:t xml:space="preserve">6.2.3 随数据和工程条件更新结果</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65" w:name="h1065"/>
      <w:bookmarkStart w:id="279" w:name="后续研究方向"/>
      <w:r>
        <w:rPr>
          <w:rFonts w:ascii="Times New Roman" w:hAnsi="Times New Roman" w:eastAsia="方正仿宋_GBK"/>
          <w:b/>
          <w:sz w:val="32"/>
        </w:rPr>
        <w:t xml:space="preserve">6.3 后续研究方向</w:t>
      </w:r>
      <w:bookmarkEnd w:id="279"/>
      <w:bookmarkEnd w:id="2065"/>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0" w:name="深化储能运行与实际网络校核"/>
      <w:r>
        <w:rPr>
          <w:rFonts w:ascii="Times New Roman" w:hAnsi="Times New Roman" w:eastAsia="方正仿宋_GBK"/>
          <w:b/>
          <w:sz w:val="26"/>
        </w:rPr>
        <w:t xml:space="preserve">6.3.1 深化储能运行与实际网络校核</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1" w:name="拓展片区结构和经济参数"/>
      <w:r>
        <w:rPr>
          <w:rFonts w:ascii="Times New Roman" w:hAnsi="Times New Roman" w:eastAsia="方正仿宋_GBK"/>
          <w:b/>
          <w:sz w:val="26"/>
        </w:rPr>
        <w:t xml:space="preserve">6.3.2 拓展片区结构和经济参数</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71" w:name="h1071"/>
      <w:bookmarkStart w:id="282" w:name="参考文献"/>
      <w:r>
        <w:rPr>
          <w:rFonts w:ascii="Times New Roman" w:hAnsi="Times New Roman" w:eastAsia="方正仿宋_GBK"/>
          <w:b/>
          <w:sz w:val="36"/>
        </w:rPr>
        <w:t xml:space="preserve">参考文献</w:t>
      </w:r>
      <w:bookmarkEnd w:id="282"/>
      <w:bookmarkEnd w:id="2071"/>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[89]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[92]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[93]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[94]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0" Type="http://schemas.openxmlformats.org/officeDocument/2006/relationships/image" Target="media/rId190.png"/><Relationship Id="rId98" Type="http://schemas.openxmlformats.org/officeDocument/2006/relationships/image" Target="media/rId98.png"/><Relationship Id="rId111" Type="http://schemas.openxmlformats.org/officeDocument/2006/relationships/image" Target="media/rId111.png"/><Relationship Id="rId131" Type="http://schemas.openxmlformats.org/officeDocument/2006/relationships/image" Target="media/rId131.png"/><Relationship Id="rId114" Type="http://schemas.openxmlformats.org/officeDocument/2006/relationships/image" Target="media/rId114.png"/><Relationship Id="rId257" Type="http://schemas.openxmlformats.org/officeDocument/2006/relationships/image" Target="media/rId257.png"/><Relationship Id="rId261" Type="http://schemas.openxmlformats.org/officeDocument/2006/relationships/image" Target="media/rId261.png"/><Relationship Id="rId259" Type="http://schemas.openxmlformats.org/officeDocument/2006/relationships/image" Target="media/rId259.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29" Type="http://schemas.openxmlformats.org/officeDocument/2006/relationships/image" Target="media/rId129.png"/><Relationship Id="rId113" Type="http://schemas.openxmlformats.org/officeDocument/2006/relationships/image" Target="media/rId113.png"/><Relationship Id="rId252" Type="http://schemas.openxmlformats.org/officeDocument/2006/relationships/image" Target="media/rId252.png"/><Relationship Id="rId103" Type="http://schemas.openxmlformats.org/officeDocument/2006/relationships/image" Target="media/rId103.png"/><Relationship Id="rId158" Type="http://schemas.openxmlformats.org/officeDocument/2006/relationships/image" Target="media/rId158.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131</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2026-10-14T09:29:00Z</dcterms:created>
  <dcterms:modified xsi:type="dcterms:W3CDTF">2026-10-14T09:29:00Z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