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2"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h32 \h </w:instrText>
      </w:r>
      <w:r>
        <w:rPr>
          <w:rFonts w:ascii="Times New Roman" w:hAnsi="Times New Roman" w:eastAsia="方正仿宋_GBK"/>
          <w:b w:val="0"/>
          <w:sz w:val="24"/>
        </w:rPr>
        <w:fldChar w:fldCharType="separate"/>
      </w:r>
      <w:r>
        <w:rPr>
          <w:rFonts w:ascii="Times New Roman" w:hAnsi="Times New Roman" w:eastAsia="方正仿宋_GBK"/>
          <w:b w:val="0"/>
          <w:sz w:val="24"/>
        </w:rPr>
        <w:t>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 \h </w:instrText>
      </w:r>
      <w:r>
        <w:rPr>
          <w:rFonts w:ascii="Times New Roman" w:hAnsi="Times New Roman" w:eastAsia="方正仿宋_GBK"/>
          <w:b w:val="0"/>
          <w:sz w:val="24"/>
        </w:rPr>
        <w:fldChar w:fldCharType="separate"/>
      </w:r>
      <w:r>
        <w:rPr>
          <w:rFonts w:ascii="Times New Roman" w:hAnsi="Times New Roman" w:eastAsia="方正仿宋_GBK"/>
          <w:b w:val="0"/>
          <w:sz w:val="24"/>
        </w:rPr>
        <w:t>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3"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h73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76"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h76 \h </w:instrText>
      </w:r>
      <w:r>
        <w:rPr>
          <w:rFonts w:ascii="Times New Roman" w:hAnsi="Times New Roman" w:eastAsia="方正仿宋_GBK"/>
          <w:b/>
          <w:sz w:val="24"/>
        </w:rPr>
        <w:fldChar w:fldCharType="separate"/>
      </w:r>
      <w:r>
        <w:rPr>
          <w:rFonts w:ascii="Times New Roman" w:hAnsi="Times New Roman" w:eastAsia="方正仿宋_GBK"/>
          <w:b/>
          <w:sz w:val="24"/>
        </w:rPr>
        <w:t>12</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9"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h79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1"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h101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39"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h139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5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h153 \h </w:instrText>
      </w:r>
      <w:r>
        <w:rPr>
          <w:rFonts w:ascii="Times New Roman" w:hAnsi="Times New Roman" w:eastAsia="方正仿宋_GBK"/>
          <w:b w:val="0"/>
          <w:sz w:val="24"/>
        </w:rPr>
        <w:fldChar w:fldCharType="separate"/>
      </w:r>
      <w:r>
        <w:rPr>
          <w:rFonts w:ascii="Times New Roman" w:hAnsi="Times New Roman" w:eastAsia="方正仿宋_GBK"/>
          <w:b w:val="0"/>
          <w:sz w:val="24"/>
        </w:rPr>
        <w:t>20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67"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h167 \h </w:instrText>
      </w:r>
      <w:r>
        <w:rPr>
          <w:rFonts w:ascii="Times New Roman" w:hAnsi="Times New Roman" w:eastAsia="方正仿宋_GBK"/>
          <w:b w:val="0"/>
          <w:sz w:val="24"/>
        </w:rPr>
        <w:fldChar w:fldCharType="separate"/>
      </w:r>
      <w:r>
        <w:rPr>
          <w:rFonts w:ascii="Times New Roman" w:hAnsi="Times New Roman" w:eastAsia="方正仿宋_GBK"/>
          <w:b w:val="0"/>
          <w:sz w:val="24"/>
        </w:rPr>
        <w:t>21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84"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h184 \h </w:instrText>
      </w:r>
      <w:r>
        <w:rPr>
          <w:rFonts w:ascii="Times New Roman" w:hAnsi="Times New Roman" w:eastAsia="方正仿宋_GBK"/>
          <w:b w:val="0"/>
          <w:sz w:val="24"/>
        </w:rPr>
        <w:fldChar w:fldCharType="separate"/>
      </w:r>
      <w:r>
        <w:rPr>
          <w:rFonts w:ascii="Times New Roman" w:hAnsi="Times New Roman" w:eastAsia="方正仿宋_GBK"/>
          <w:b w:val="0"/>
          <w:sz w:val="24"/>
        </w:rPr>
        <w:t>22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8"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h198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1"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h211 \h </w:instrText>
      </w:r>
      <w:r>
        <w:rPr>
          <w:rFonts w:ascii="Times New Roman" w:hAnsi="Times New Roman" w:eastAsia="方正仿宋_GBK"/>
          <w:b w:val="0"/>
          <w:sz w:val="24"/>
        </w:rPr>
        <w:fldChar w:fldCharType="separate"/>
      </w:r>
      <w:r>
        <w:rPr>
          <w:rFonts w:ascii="Times New Roman" w:hAnsi="Times New Roman" w:eastAsia="方正仿宋_GBK"/>
          <w:b w:val="0"/>
          <w:sz w:val="24"/>
        </w:rPr>
        <w:t>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3"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235"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h235 \h </w:instrText>
      </w:r>
      <w:r>
        <w:rPr>
          <w:rFonts w:ascii="Times New Roman" w:hAnsi="Times New Roman" w:eastAsia="方正仿宋_GBK"/>
          <w:b/>
          <w:sz w:val="24"/>
        </w:rPr>
        <w:fldChar w:fldCharType="separate"/>
      </w:r>
      <w:r>
        <w:rPr>
          <w:rFonts w:ascii="Times New Roman" w:hAnsi="Times New Roman" w:eastAsia="方正仿宋_GBK"/>
          <w:b/>
          <w:sz w:val="24"/>
        </w:rPr>
        <w:t>27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6"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6"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h246 \h </w:instrText>
      </w:r>
      <w:r>
        <w:rPr>
          <w:rFonts w:ascii="Times New Roman" w:hAnsi="Times New Roman" w:eastAsia="方正仿宋_GBK"/>
          <w:b w:val="0"/>
          <w:sz w:val="24"/>
        </w:rPr>
        <w:fldChar w:fldCharType="separate"/>
      </w:r>
      <w:r>
        <w:rPr>
          <w:rFonts w:ascii="Times New Roman" w:hAnsi="Times New Roman" w:eastAsia="方正仿宋_GBK"/>
          <w:b w:val="0"/>
          <w:sz w:val="24"/>
        </w:rPr>
        <w:t>27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64"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h264 \h </w:instrText>
      </w:r>
      <w:r>
        <w:rPr>
          <w:rFonts w:ascii="Times New Roman" w:hAnsi="Times New Roman" w:eastAsia="方正仿宋_GBK"/>
          <w:b w:val="0"/>
          <w:sz w:val="24"/>
        </w:rPr>
        <w:fldChar w:fldCharType="separate"/>
      </w:r>
      <w:r>
        <w:rPr>
          <w:rFonts w:ascii="Times New Roman" w:hAnsi="Times New Roman" w:eastAsia="方正仿宋_GBK"/>
          <w:b w:val="0"/>
          <w:sz w:val="24"/>
        </w:rPr>
        <w:t>29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8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h286 \h </w:instrText>
      </w:r>
      <w:r>
        <w:rPr>
          <w:rFonts w:ascii="Times New Roman" w:hAnsi="Times New Roman" w:eastAsia="方正仿宋_GBK"/>
          <w:b w:val="0"/>
          <w:sz w:val="24"/>
        </w:rPr>
        <w:fldChar w:fldCharType="separate"/>
      </w:r>
      <w:r>
        <w:rPr>
          <w:rFonts w:ascii="Times New Roman" w:hAnsi="Times New Roman" w:eastAsia="方正仿宋_GBK"/>
          <w:b w:val="0"/>
          <w:sz w:val="24"/>
        </w:rPr>
        <w:t>31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4"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h314 \h </w:instrText>
      </w:r>
      <w:r>
        <w:rPr>
          <w:rFonts w:ascii="Times New Roman" w:hAnsi="Times New Roman" w:eastAsia="方正仿宋_GBK"/>
          <w:b w:val="0"/>
          <w:sz w:val="24"/>
        </w:rPr>
        <w:fldChar w:fldCharType="separate"/>
      </w:r>
      <w:r>
        <w:rPr>
          <w:rFonts w:ascii="Times New Roman" w:hAnsi="Times New Roman" w:eastAsia="方正仿宋_GBK"/>
          <w:b w:val="0"/>
          <w:sz w:val="24"/>
        </w:rPr>
        <w:t>36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52"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h352 \h </w:instrText>
      </w:r>
      <w:r>
        <w:rPr>
          <w:rFonts w:ascii="Times New Roman" w:hAnsi="Times New Roman" w:eastAsia="方正仿宋_GBK"/>
          <w:b w:val="0"/>
          <w:sz w:val="24"/>
        </w:rPr>
        <w:fldChar w:fldCharType="separate"/>
      </w:r>
      <w:r>
        <w:rPr>
          <w:rFonts w:ascii="Times New Roman" w:hAnsi="Times New Roman" w:eastAsia="方正仿宋_GBK"/>
          <w:b w:val="0"/>
          <w:sz w:val="24"/>
        </w:rPr>
        <w:t>43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2"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h362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79"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h379 \h </w:instrText>
      </w:r>
      <w:r>
        <w:rPr>
          <w:rFonts w:ascii="Times New Roman" w:hAnsi="Times New Roman" w:eastAsia="方正仿宋_GBK"/>
          <w:b w:val="0"/>
          <w:sz w:val="24"/>
        </w:rPr>
        <w:fldChar w:fldCharType="separate"/>
      </w:r>
      <w:r>
        <w:rPr>
          <w:rFonts w:ascii="Times New Roman" w:hAnsi="Times New Roman" w:eastAsia="方正仿宋_GBK"/>
          <w:b w:val="0"/>
          <w:sz w:val="24"/>
        </w:rPr>
        <w:t>47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401"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h401 \h </w:instrText>
      </w:r>
      <w:r>
        <w:rPr>
          <w:rFonts w:ascii="Times New Roman" w:hAnsi="Times New Roman" w:eastAsia="方正仿宋_GBK"/>
          <w:b/>
          <w:sz w:val="24"/>
        </w:rPr>
        <w:fldChar w:fldCharType="separate"/>
      </w:r>
      <w:r>
        <w:rPr>
          <w:rFonts w:ascii="Times New Roman" w:hAnsi="Times New Roman" w:eastAsia="方正仿宋_GBK"/>
          <w:b/>
          <w:sz w:val="24"/>
        </w:rPr>
        <w:t>50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14"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h414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33"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h433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h444 \h </w:instrText>
      </w:r>
      <w:r>
        <w:rPr>
          <w:rFonts w:ascii="Times New Roman" w:hAnsi="Times New Roman" w:eastAsia="方正仿宋_GBK"/>
          <w:b w:val="0"/>
          <w:sz w:val="24"/>
        </w:rPr>
        <w:fldChar w:fldCharType="separate"/>
      </w:r>
      <w:r>
        <w:rPr>
          <w:rFonts w:ascii="Times New Roman" w:hAnsi="Times New Roman" w:eastAsia="方正仿宋_GBK"/>
          <w:b w:val="0"/>
          <w:sz w:val="24"/>
        </w:rPr>
        <w:t>53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60"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h460 \h </w:instrText>
      </w:r>
      <w:r>
        <w:rPr>
          <w:rFonts w:ascii="Times New Roman" w:hAnsi="Times New Roman" w:eastAsia="方正仿宋_GBK"/>
          <w:b w:val="0"/>
          <w:sz w:val="24"/>
        </w:rPr>
        <w:fldChar w:fldCharType="separate"/>
      </w:r>
      <w:r>
        <w:rPr>
          <w:rFonts w:ascii="Times New Roman" w:hAnsi="Times New Roman" w:eastAsia="方正仿宋_GBK"/>
          <w:b w:val="0"/>
          <w:sz w:val="24"/>
        </w:rPr>
        <w:t>55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7"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h477 \h </w:instrText>
      </w:r>
      <w:r>
        <w:rPr>
          <w:rFonts w:ascii="Times New Roman" w:hAnsi="Times New Roman" w:eastAsia="方正仿宋_GBK"/>
          <w:b w:val="0"/>
          <w:sz w:val="24"/>
        </w:rPr>
        <w:fldChar w:fldCharType="separate"/>
      </w:r>
      <w:r>
        <w:rPr>
          <w:rFonts w:ascii="Times New Roman" w:hAnsi="Times New Roman" w:eastAsia="方正仿宋_GBK"/>
          <w:b w:val="0"/>
          <w:sz w:val="24"/>
        </w:rPr>
        <w:t>57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3"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h503 \h </w:instrText>
      </w:r>
      <w:r>
        <w:rPr>
          <w:rFonts w:ascii="Times New Roman" w:hAnsi="Times New Roman" w:eastAsia="方正仿宋_GBK"/>
          <w:b/>
          <w:sz w:val="24"/>
        </w:rPr>
        <w:fldChar w:fldCharType="separate"/>
      </w:r>
      <w:r>
        <w:rPr>
          <w:rFonts w:ascii="Times New Roman" w:hAnsi="Times New Roman" w:eastAsia="方正仿宋_GBK"/>
          <w:b/>
          <w:sz w:val="24"/>
        </w:rPr>
        <w:t>60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5"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28"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h528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8"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h548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60"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h560 \h </w:instrText>
      </w:r>
      <w:r>
        <w:rPr>
          <w:rFonts w:ascii="Times New Roman" w:hAnsi="Times New Roman" w:eastAsia="方正仿宋_GBK"/>
          <w:b w:val="0"/>
          <w:sz w:val="24"/>
        </w:rPr>
        <w:fldChar w:fldCharType="separate"/>
      </w:r>
      <w:r>
        <w:rPr>
          <w:rFonts w:ascii="Times New Roman" w:hAnsi="Times New Roman" w:eastAsia="方正仿宋_GBK"/>
          <w:b w:val="0"/>
          <w:sz w:val="24"/>
        </w:rPr>
        <w:t>66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32"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h932 \h </w:instrText>
      </w:r>
      <w:r>
        <w:rPr>
          <w:rFonts w:ascii="Times New Roman" w:hAnsi="Times New Roman" w:eastAsia="方正仿宋_GBK"/>
          <w:b w:val="0"/>
          <w:sz w:val="24"/>
        </w:rPr>
        <w:fldChar w:fldCharType="separate"/>
      </w:r>
      <w:r>
        <w:rPr>
          <w:rFonts w:ascii="Times New Roman" w:hAnsi="Times New Roman" w:eastAsia="方正仿宋_GBK"/>
          <w:b w:val="0"/>
          <w:sz w:val="24"/>
        </w:rPr>
        <w:t>106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48"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h948 \h </w:instrText>
      </w:r>
      <w:r>
        <w:rPr>
          <w:rFonts w:ascii="Times New Roman" w:hAnsi="Times New Roman" w:eastAsia="方正仿宋_GBK"/>
          <w:b w:val="0"/>
          <w:sz w:val="24"/>
        </w:rPr>
        <w:fldChar w:fldCharType="separate"/>
      </w:r>
      <w:r>
        <w:rPr>
          <w:rFonts w:ascii="Times New Roman" w:hAnsi="Times New Roman" w:eastAsia="方正仿宋_GBK"/>
          <w:b w:val="0"/>
          <w:sz w:val="24"/>
        </w:rPr>
        <w:t>110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22"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h1022 \h </w:instrText>
      </w:r>
      <w:r>
        <w:rPr>
          <w:rFonts w:ascii="Times New Roman" w:hAnsi="Times New Roman" w:eastAsia="方正仿宋_GBK"/>
          <w:b w:val="0"/>
          <w:sz w:val="24"/>
        </w:rPr>
        <w:fldChar w:fldCharType="separate"/>
      </w:r>
      <w:r>
        <w:rPr>
          <w:rFonts w:ascii="Times New Roman" w:hAnsi="Times New Roman" w:eastAsia="方正仿宋_GBK"/>
          <w:b w:val="0"/>
          <w:sz w:val="24"/>
        </w:rPr>
        <w:t>121</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37"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h1037 \h </w:instrText>
      </w:r>
      <w:r>
        <w:rPr>
          <w:rFonts w:ascii="Times New Roman" w:hAnsi="Times New Roman" w:eastAsia="方正仿宋_GBK"/>
          <w:b/>
          <w:sz w:val="24"/>
        </w:rPr>
        <w:fldChar w:fldCharType="separate"/>
      </w:r>
      <w:r>
        <w:rPr>
          <w:rFonts w:ascii="Times New Roman" w:hAnsi="Times New Roman" w:eastAsia="方正仿宋_GBK"/>
          <w:b/>
          <w:sz w:val="24"/>
        </w:rPr>
        <w:t>123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9"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h1039 \h </w:instrText>
      </w:r>
      <w:r>
        <w:rPr>
          <w:rFonts w:ascii="Times New Roman" w:hAnsi="Times New Roman" w:eastAsia="方正仿宋_GBK"/>
          <w:b w:val="0"/>
          <w:sz w:val="24"/>
        </w:rPr>
        <w:fldChar w:fldCharType="separate"/>
      </w:r>
      <w:r>
        <w:rPr>
          <w:rFonts w:ascii="Times New Roman" w:hAnsi="Times New Roman" w:eastAsia="方正仿宋_GBK"/>
          <w:b w:val="0"/>
          <w:sz w:val="24"/>
        </w:rPr>
        <w:t>123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3"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h1053 \h </w:instrText>
      </w:r>
      <w:r>
        <w:rPr>
          <w:rFonts w:ascii="Times New Roman" w:hAnsi="Times New Roman" w:eastAsia="方正仿宋_GBK"/>
          <w:b w:val="0"/>
          <w:sz w:val="24"/>
        </w:rPr>
        <w:fldChar w:fldCharType="separate"/>
      </w:r>
      <w:r>
        <w:rPr>
          <w:rFonts w:ascii="Times New Roman" w:hAnsi="Times New Roman" w:eastAsia="方正仿宋_GBK"/>
          <w:b w:val="0"/>
          <w:sz w:val="24"/>
        </w:rPr>
        <w:t>124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65"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h1065 \h </w:instrText>
      </w:r>
      <w:r>
        <w:rPr>
          <w:rFonts w:ascii="Times New Roman" w:hAnsi="Times New Roman" w:eastAsia="方正仿宋_GBK"/>
          <w:b w:val="0"/>
          <w:sz w:val="24"/>
        </w:rPr>
        <w:fldChar w:fldCharType="separate"/>
      </w:r>
      <w:r>
        <w:rPr>
          <w:rFonts w:ascii="Times New Roman" w:hAnsi="Times New Roman" w:eastAsia="方正仿宋_GBK"/>
          <w:b w:val="0"/>
          <w:sz w:val="24"/>
        </w:rPr>
        <w:t>125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071"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h1071 \h </w:instrText>
      </w:r>
      <w:r>
        <w:rPr>
          <w:rFonts w:ascii="Times New Roman" w:hAnsi="Times New Roman" w:eastAsia="方正仿宋_GBK"/>
          <w:b/>
          <w:sz w:val="24"/>
        </w:rPr>
        <w:fldChar w:fldCharType="separate"/>
      </w:r>
      <w:r>
        <w:rPr>
          <w:rFonts w:ascii="Times New Roman" w:hAnsi="Times New Roman" w:eastAsia="方正仿宋_GBK"/>
          <w:b/>
          <w:sz w:val="24"/>
        </w:rPr>
        <w:t>126</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[7]。与此同时，容量规划仍需参照按负荷增长分档的容载比范围，上限一般为2.00[5][7]。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[8]。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4"/>
        <w:keepNext/>
        <w:numPr>
          <w:numId w:val="0"/>
        </w:numPr>
        <w:spacing w:line="480" w:lineRule="exact" w:before="160" w:after="120"/>
        <w:ind w:firstLine="0"/>
      </w:pPr>
      <w:bookmarkStart w:id="1018" w:name="h18"/>
      <w:bookmarkStart w:id="25" w:name="主要概念与规范依据"/>
      <w:r>
        <w:rPr>
          <w:rFonts w:ascii="Times New Roman" w:hAnsi="Times New Roman" w:eastAsia="方正仿宋_GBK"/>
          <w:b/>
          <w:sz w:val="32"/>
        </w:rPr>
        <w:t xml:space="preserve">1.2 主要概念与规范依据</w:t>
      </w:r>
      <w:bookmarkEnd w:id="25"/>
      <w:bookmarkEnd w:id="1018"/>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[8]。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[9]。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配电网规划设计技术导则》第6.2.2.1条进一步提出，建议范围内不能满足供电安全准则时，可结合实际情况适当提高[7]。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本研究参照全寿命周期费用方法，将新增措施初始投资、固定运维及评价期内设备更新费用折算到2021年末，统一计算至2041年[10,11,12]。结果称为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[13][14][15][16]。本项目采用评价期费用最小作为寻优目标，供电安全及设备容量作为约束，并结合片区源荷条件形成推荐范围。工程实施阶段可补充施工条件、土地资源及运行方式的综合评价。</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2041—2025《分布式电源接入电力系统承载力评估导则》组织分布式电源容量校核[5][9]。GB/T 45418—2025《配电网通用技术导则》作为下级配电网技术分析的补充依据[17]。分布式电源装机渗透率和分布式电源电量渗透率采用《配电网规划设计技术导则》的指标定义[7]，用于描述片区源荷条件。</w:t>
      </w:r>
    </w:p>
    <w:p>
      <w:pPr>
        <w:pStyle w:val="4"/>
        <w:keepNext/>
        <w:numPr>
          <w:numId w:val="0"/>
        </w:numPr>
        <w:spacing w:line="480" w:lineRule="exact" w:before="160" w:after="120"/>
        <w:ind w:firstLine="0"/>
      </w:pPr>
      <w:bookmarkStart w:id="1032" w:name="h32"/>
      <w:bookmarkStart w:id="30" w:name="研究范围与对象"/>
      <w:r>
        <w:rPr>
          <w:rFonts w:ascii="Times New Roman" w:hAnsi="Times New Roman" w:eastAsia="方正仿宋_GBK"/>
          <w:b/>
          <w:sz w:val="32"/>
        </w:rPr>
        <w:t xml:space="preserve">1.3 研究范围与对象</w:t>
      </w:r>
      <w:bookmarkEnd w:id="30"/>
      <w:bookmarkEnd w:id="1032"/>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离散规格配置，基期年网供最大负荷取2021年实际统计值，两地区起点容载比按两位小数均为2.00。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经济评价以2021年末为折现基准，评价截止于2041年。仿真第1—4年在计算文件中分别标记为2022—2025年，用于统一投运时间和现金流折现。主变、线路和储能的寿命、运维率采用第四章列明的研究参数[10,11,12]。</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4"/>
        <w:keepNext/>
        <w:numPr>
          <w:numId w:val="0"/>
        </w:numPr>
        <w:spacing w:line="480" w:lineRule="exact" w:before="160" w:after="120"/>
        <w:ind w:firstLine="0"/>
      </w:pPr>
      <w:bookmarkStart w:id="1045" w:name="h45"/>
      <w:bookmarkStart w:id="34" w:name="研究目标与内容"/>
      <w:r>
        <w:rPr>
          <w:rFonts w:ascii="Times New Roman" w:hAnsi="Times New Roman" w:eastAsia="方正仿宋_GBK"/>
          <w:b/>
          <w:sz w:val="32"/>
        </w:rPr>
        <w:t xml:space="preserve">1.4 研究目标与内容</w:t>
      </w:r>
      <w:bookmarkEnd w:id="34"/>
      <w:bookmarkEnd w:id="1045"/>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MVA等设备可保留，新购主变采用31.50、50、63、80 MVA等候选规格并按站限制；扩建、联络投运状态及储能柜数为整数决策，站间转供功率为连续决策。以新增措施评价期费用现值最小为目标，在正常及主变N-1等约束下确定逐年设备与线路配置。</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32112个有效设备配置按装机渗透率、年最大净负荷平均增长率、电缆长度占比、初始转供率和负荷分散系数形成432个容载比区间。连续输入首尾档开口，增长分界对应2025年4月《配电网规划设计技术导则（修订稿）》第6.2.2.1条，容载比输出按有限范围列示[7]。</w:t>
      </w:r>
    </w:p>
    <w:p>
      <w:pPr>
        <w:pStyle w:val="4"/>
        <w:keepNext/>
        <w:numPr>
          <w:numId w:val="0"/>
        </w:numPr>
        <w:spacing w:line="480" w:lineRule="exact" w:before="160" w:after="120"/>
        <w:ind w:firstLine="0"/>
      </w:pPr>
      <w:bookmarkStart w:id="1057" w:name="h57"/>
      <w:bookmarkStart w:id="37" w:name="研究方法与技术路线"/>
      <w:r>
        <w:rPr>
          <w:rFonts w:ascii="Times New Roman" w:hAnsi="Times New Roman" w:eastAsia="方正仿宋_GBK"/>
          <w:b/>
          <w:sz w:val="32"/>
        </w:rPr>
        <w:t xml:space="preserve">1.5 研究方法与技术路线</w:t>
      </w:r>
      <w:bookmarkEnd w:id="37"/>
      <w:bookmarkEnd w:id="1057"/>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年最大净负荷平均增长率按2021—2025年起止负荷之比开四次方计算。地区案例直接使用2022—2025年逐年实际负荷，保留年度回落，复合增长率用于概括发展水平及设置推广情景。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93235"/>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299323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73" w:name="h73"/>
      <w:bookmarkStart w:id="43" w:name="研究成果及应用"/>
      <w:r>
        <w:rPr>
          <w:rFonts w:ascii="Times New Roman" w:hAnsi="Times New Roman" w:eastAsia="方正仿宋_GBK"/>
          <w:b/>
          <w:sz w:val="32"/>
        </w:rPr>
        <w:t xml:space="preserve">1.6 研究成果及应用</w:t>
      </w:r>
      <w:bookmarkEnd w:id="43"/>
      <w:bookmarkEnd w:id="1073"/>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评价期费用。通用推荐矩阵按电缆长度占比、储能支撑持续时间及负荷分散系数分表，列出源荷和转供条件对应的容载比区间。</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76" w:name="h76"/>
      <w:bookmarkStart w:id="44" w:name="第二章-国内外研究现状"/>
      <w:r>
        <w:rPr>
          <w:rFonts w:ascii="Times New Roman" w:hAnsi="Times New Roman" w:eastAsia="方正仿宋_GBK"/>
          <w:b/>
          <w:sz w:val="36"/>
        </w:rPr>
        <w:t xml:space="preserve">第二章 国内外研究现状</w:t>
      </w:r>
      <w:bookmarkEnd w:id="44"/>
      <w:bookmarkEnd w:id="1076"/>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79" w:name="h79"/>
      <w:bookmarkStart w:id="45" w:name="国外研究现状"/>
      <w:r>
        <w:rPr>
          <w:rFonts w:ascii="Times New Roman" w:hAnsi="Times New Roman" w:eastAsia="方正仿宋_GBK"/>
          <w:b/>
          <w:sz w:val="32"/>
        </w:rPr>
        <w:t xml:space="preserve">2.1 国外研究现状</w:t>
      </w:r>
      <w:bookmarkEnd w:id="45"/>
      <w:bookmarkEnd w:id="1079"/>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[18]。</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场景生成（夜间太阳辐照度设为零等物理约束）刻画源侧时序不确定性，以麻雀搜索算法寻优最大承载力，为承载力计算提供符合物理条件的出力场景[19]。</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渗透率后边际收益递减、风险非线性上升[20]。</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20%～34%，说明主动支撑及稳定约束对接入能力的影响[21]。</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23%，为以灵活资源平抑净负荷爬坡提供依据[22]。</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[23]。在电压与设备热状态联合控制方面，Ghorbansarvi等用模型预测控制（MPC）管理母线电压与配变温度，并以弃光最小为目标，通过协调控制推迟配变过载[24]。</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光伏有功削减、有载分接开关调节（OLTC）、配网重构及多柔性资源协调四类电压越限治理手段，并讨论了协调控制中调节时序与经济性考虑不足，以及低压网络模型简化对分析结果的影响[25]。</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[26]。Wang等进一步以智能软开关（SOP）组织柔性配电网多资源动态协同规划，在5%风险阈值内实现100%本地光伏消纳，最优方案总成本较不同对照方案降低约7%～55%[27]。</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[28]。Holweger等在CIGRE低压网上得到，PV年发电量占用户年用电量约110%～145%时，分布式柔性与网架增强达到盈亏平衡，其中较低变压器价格对应约110%、较高价格对应约145%，变压器是相关算例的承载瓶颈[29]。Matthiss等从评价期限解释措施排序差异：按初始投资比较时储能明显低于网架增强，计入电池10年寿命并折算年费用后，优势有所收窄[30]。</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[31]。</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渗透率），且其孤岛恢复方案采用构网型光伏与储能[32]。</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[33]。需求侧调节也会改变这一建设需求，Xu等从分时电价与需求响应引起的负荷曲线变化分析削峰节省的变电投资[34]，Nespoli等则提出无需本地历史数据的全局预测方法，用于量化住宅柔性负荷的经济价值[35]。</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[36]。SOP与储能联合规划进一步改善供电能力，相关算例提升约31%[37]。源—网—储协同随机规划则将源荷时空相关、储能配置及弃光费用纳入统一比较，说明消纳改善与费用变化需结合具体方案判断[38]。Shi等从多主体演化博弈分析收益分配对储能配置及主体协同的影响[39]。</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成本评价需统一初始投资与运行期支出。Zeng等以投资、运行、维护和故障费用建立输电线路经济寿命区间法，用改进GM(1,1)预测小样本成本，并以区间反映不确定性[11]。Zhu等针对10 kV三类线路，将投资、运维、故障和报废费用纳入LCC模型，发现高负载率下运维成为主要影响因素，算例三类线路的费用平衡点位于第7～8年，为比较线路寿命和现金流范围提供依据[12]。</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与累积前景理论用于电网规划方案适应性评价[40]；Fermatean 模糊 TOPSIS 配合 FAHP-熵权与 DEMATEL 因果分析处理专家评分不确定性[41]；最优最劣法（BWM）+ 反熵权 + 纳什博弈 + 马氏距离改进 TOPSIS 用于输电项目优选[42]；改进 AHP 叠加物元可拓评估实现效益分级[14]。多准则评价通过指标与权重表达方案差异，适用于技术可行方案的综合比较。</w:t>
      </w:r>
    </w:p>
    <w:p>
      <w:pPr>
        <w:pStyle w:val="4"/>
        <w:keepNext/>
        <w:numPr>
          <w:numId w:val="0"/>
        </w:numPr>
        <w:spacing w:line="480" w:lineRule="exact" w:before="160" w:after="120"/>
        <w:ind w:firstLine="0"/>
      </w:pPr>
      <w:bookmarkStart w:id="1101" w:name="h101"/>
      <w:bookmarkStart w:id="50" w:name="国内研究现状"/>
      <w:r>
        <w:rPr>
          <w:rFonts w:ascii="Times New Roman" w:hAnsi="Times New Roman" w:eastAsia="方正仿宋_GBK"/>
          <w:b/>
          <w:sz w:val="32"/>
        </w:rPr>
        <w:t xml:space="preserve">2.2 国内研究现状</w:t>
      </w:r>
      <w:bookmarkEnd w:id="50"/>
      <w:bookmarkEnd w:id="1101"/>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国内容量配置研究从单电压等级逐步拓展到多电压等级协同。陈浩等建立高、低压两电压等级变电站的最优容载比模型，以年综合费用最小为目标，通过离散粒子群算法求解[43]。王凯亮等进一步统筹220/110/10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MW·km⁻²负荷密度分界和负荷增长率给出差异化推荐表[44]。</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[45]。刘炜彬等则从负荷分散系数、储备系数、变压器安全运行率和平均功率因数入手，采用BP神经网络拟合负荷同时率，并将N-1通过率纳入安全运行率，实现精细化、差异化配置[46]。</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[8]。张锐等进一步以改进供电能力指标指导低压柔性互联装置规划，分别评价设备容量与实际供电能力[47]。马雨欣、林凌雪则在精准规划的TSC评估中考虑二次转供，并讨论分布式电源接入的影响[48]。</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，并指出单电压等级独立评估会使低压侧承载力估计过于乐观[49]。</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[50]，徐非非等提出计及不确定性的承载能力区间分析方法[51]。针对含储能与软开关的柔性配电网，张伟等分别用确定性模型和双层鲁棒优化构造最乐观、最悲观边界，E-SOP端口容量增大时，区间从7.93～10.89 MW提高至9.32～11.34 MW且宽度收窄[52]。</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[53]。李敬如等先在输电网层面构建省域承载力区间，再在配电网层面结合潮流、电能质量和储能约束求取经济配置，使承载力与省域消纳条件相互校核[54]。</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，通过运行评价系数反映接入容量的质量差异[55]。</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大停电经验，分析高比例新能源接入后向主网反向输送功率的现象，并提示防孤岛与频率保护设定的重要性[56]。</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，为分析江苏地区负荷与气温的关系提供参考[57]。</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风险评估指标体系并提出分层分区紧急切负荷策略[58]，吕达夫等以多场景源荷不确定性模型评估承载能力、得出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[59]，刘克权等则以甘肃为例定性论证高比例新能源下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的真实困境[60]。</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[61]、主动配电网规划[62]和新型配电网分布式储能配置[63]。贺春光等采用混合整数二阶锥规划统筹多电压等级SOP，算例年综合成本由457.30万元降至357.70万元，各节点电压保持在[0.95,1.05]，并缓解220 kV变电站倒送[64]。在源—网—储扩展规划中，徐峰亮等建立三层模型并定义净负荷适应率、净负荷波动率和线路负载裕度均衡性，推荐方案在五种方案中总成本最低，为1300.50万元，DG渗透率最高，约57%[65]。乐健等用Frank-Copula描述源荷时空相关，通过蒙特卡洛生成并削减典型场景，25节点算例方案4的综合费用较方案2降低约45%，说明场景与协同配置会影响经济比较[66]。</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容载比纳入评价指标并给出四级分级阈值，用于区域电网分类和综合评价[15]。</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机制可用于剔除不满足关键要求的规划方案[16]；汪志才等的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二阶锥松弛做多层级配电网消纳空间分解测算，论证层间协调可提升总消纳空间（但其算例为 IEEE 6/7/9/10/12/15 合成测试系统，用于检验多层级协调方法）[75]。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[46]；王凯亮等研究多电压等级协同规划，说明上级容量与下级网络条件需要共同考虑[44]。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2041—2025《分布式电源接入电力系统承载力评估导则》规定系统级及设备级承载力计算、结果校核和可开放容量评估方法[9]。GB/T 45418—2025《配电网通用技术导则》为下级配电网技术分析提供补充依据[17]。《配电网规划设计技术导则》提出分布式电源装机渗透率和分布式电源电量渗透率指标，用于判断源荷发展水平及反向容量校核需求[7]。</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39" w:name="h139"/>
      <w:bookmarkStart w:id="61" w:name="国内外研究对比与述评"/>
      <w:r>
        <w:rPr>
          <w:rFonts w:ascii="Times New Roman" w:hAnsi="Times New Roman" w:eastAsia="方正仿宋_GBK"/>
          <w:b/>
          <w:sz w:val="32"/>
        </w:rPr>
        <w:t xml:space="preserve">2.3 国内外研究对比与述评</w:t>
      </w:r>
      <w:bookmarkEnd w:id="61"/>
      <w:bookmarkEnd w:id="1139"/>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[44][45][73]。本项目先用邳州与市区案例分析实际源荷、设备和网络条件下的配置，再另建五站模板，独立改变源荷规模、负荷增长、转供条件、持续时间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4"/>
        <w:keepNext/>
        <w:numPr>
          <w:numId w:val="0"/>
        </w:numPr>
        <w:spacing w:line="480" w:lineRule="exact" w:before="160" w:after="120"/>
        <w:ind w:firstLine="0"/>
      </w:pPr>
      <w:bookmarkStart w:id="1153" w:name="h153"/>
      <w:bookmarkStart w:id="65" w:name="容载比与供电能力的理论联系"/>
      <w:r>
        <w:rPr>
          <w:rFonts w:ascii="Times New Roman" w:hAnsi="Times New Roman" w:eastAsia="方正仿宋_GBK"/>
          <w:b/>
          <w:sz w:val="32"/>
        </w:rPr>
        <w:t xml:space="preserve">2.4 容载比与供电能力的理论联系</w:t>
      </w:r>
      <w:bookmarkEnd w:id="65"/>
      <w:bookmarkEnd w:id="115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[8]。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两台等容量主变在N-1条件下剩余容量为原总容量的一半，三台等容量主变在N-1条件下剩余比例为三分之二。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规格的离散性会使区域容量随整台设备投运而变化。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[8]。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离散措施形成台阶式配置响应，推荐矩阵据此归纳不同发展水平下的容量范围。</w:t>
      </w:r>
    </w:p>
    <w:p>
      <w:pPr>
        <w:pStyle w:val="4"/>
        <w:keepNext/>
        <w:numPr>
          <w:numId w:val="0"/>
        </w:numPr>
        <w:spacing w:line="480" w:lineRule="exact" w:before="160" w:after="120"/>
        <w:ind w:firstLine="0"/>
      </w:pPr>
      <w:bookmarkStart w:id="1167" w:name="h167"/>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167"/>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[7]。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时所需能量相应增加，实际工程还需计及效率、可用荷电状态和容量衰减[28][10]。本项目据此在静态模型中，以铭牌功率和峰段可持续能量共同限制储能支撑。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光伏增加可能降低部分日间净负荷，而年度设备最大负载率还可能由晚间高峰或局部反送决定。两项指标的相关方向受容量配置、负荷时段和统计边界共同影响[3][4][58]。</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184" w:name="h184"/>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184"/>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[8]，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新增联络线的可转负荷由线路热限、负荷可分段条件和受端可用容量共同限制，因此公开线路单位造价只能提供价格参考，实际可转任务仍需由网络资料确定[8]。</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储能单位有效支撑功率投资随支撑持续时间变化。10柜组合额定功率1 MW、额定能量2.15 MWh，在可用电量系数0.76及4 h条件下，有效支撑功率为0.4085 MW。经济比较应按可持续功率折算，并保留额定功率限制[10][86]。</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[11][12]。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多准则评价适于对已通过技术筛查的方案比较实施条件和规划适应性[14][15][16]。本报告以费用最小形成计算推荐，供电安全和设备规格作为硬约束，工程实施条件作为应用前核对项。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支撑持续时间和源荷条件一起给出。同一推荐容载比可对应不同设备布局，费用相同也可能出现多组可行配置。推荐区间结合主变与储能配置、建设时序和站间负荷转接结果确定，相应方案在第五章逐站列示。</w:t>
      </w:r>
    </w:p>
    <w:p>
      <w:pPr>
        <w:pStyle w:val="4"/>
        <w:keepNext/>
        <w:numPr>
          <w:numId w:val="0"/>
        </w:numPr>
        <w:spacing w:line="480" w:lineRule="exact" w:before="160" w:after="120"/>
        <w:ind w:firstLine="0"/>
      </w:pPr>
      <w:bookmarkStart w:id="1198" w:name="h198"/>
      <w:bookmarkStart w:id="78" w:name="规划寻优方法与本项目选型"/>
      <w:r>
        <w:rPr>
          <w:rFonts w:ascii="Times New Roman" w:hAnsi="Times New Roman" w:eastAsia="方正仿宋_GBK"/>
          <w:b/>
          <w:sz w:val="32"/>
        </w:rPr>
        <w:t xml:space="preserve">2.7 规划寻优方法与本项目选型</w:t>
      </w:r>
      <w:bookmarkEnd w:id="78"/>
      <w:bookmarkEnd w:id="1198"/>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[43][44]。</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离散设备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4"/>
        <w:keepNext/>
        <w:numPr>
          <w:numId w:val="0"/>
        </w:numPr>
        <w:spacing w:line="480" w:lineRule="exact" w:before="160" w:after="120"/>
        <w:ind w:firstLine="0"/>
      </w:pPr>
      <w:bookmarkStart w:id="1211" w:name="h211"/>
      <w:bookmarkStart w:id="82" w:name="本项目方法选择与工程衔接"/>
      <w:r>
        <w:rPr>
          <w:rFonts w:ascii="Times New Roman" w:hAnsi="Times New Roman" w:eastAsia="方正仿宋_GBK"/>
          <w:b/>
          <w:sz w:val="32"/>
        </w:rPr>
        <w:t xml:space="preserve">2.8 本项目方法选择与工程衔接</w:t>
      </w:r>
      <w:bookmarkEnd w:id="82"/>
      <w:bookmarkEnd w:id="1211"/>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[57]；供电能力研究强调主变结构及下级网络互济[8][45]。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规格、主变扩建位置、储能柜数和联络项目属于离散决策，站间转接功率属于连续决策，采用混合整数线性规划共同求解。工程费用按购置批次和投运年份形成现金流，以建设、固定运维与寿命更新的现值之和比较方案[10,11,12][43][44]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按四年设备状态连续寻优，保留实际年度负荷变化。通用模板设置34686个目标年情景组合，将32112个有效设备配置按相关分析确定的五项参数归纳为432个单元。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[8]。</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[46]。</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[7]。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[7]。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[44]，刘炜彬等从负荷分散系数、安全运行及发展储备等因素分析参数取值[46]。这些研究强调容量储备与地区条件的对应关系。本报告采用分布式电源装机渗透率、年最大净负荷平均增长率、电缆长度占比、初始转供率、储能支撑持续时间及负荷分散系数作为主矩阵输入，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各单元的容载比范围由已核验配置归纳，具体取值对应允许主变规格和台数形成的离散配置。规划应用先核对输入与模板条件，再将容量规模落实到设备、联络及储能方案[43][44]。</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[30][28][10]。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4"/>
        <w:keepNext/>
        <w:numPr>
          <w:numId w:val="0"/>
        </w:numPr>
        <w:spacing w:line="480" w:lineRule="exact" w:before="160" w:after="120"/>
        <w:ind w:firstLine="0"/>
      </w:pPr>
      <w:bookmarkStart w:id="1233" w:name="h233"/>
      <w:bookmarkStart w:id="89" w:name="本章小结"/>
      <w:r>
        <w:rPr>
          <w:rFonts w:ascii="Times New Roman" w:hAnsi="Times New Roman" w:eastAsia="方正仿宋_GBK"/>
          <w:b/>
          <w:sz w:val="32"/>
        </w:rPr>
        <w:t xml:space="preserve">2.9 本章小结</w:t>
      </w:r>
      <w:bookmarkEnd w:id="89"/>
      <w:bookmarkEnd w:id="1233"/>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235" w:name="h235"/>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235"/>
    </w:p>
    <w:p>
      <w:pPr>
        <w:pStyle w:val="4"/>
        <w:keepNext/>
        <w:numPr>
          <w:numId w:val="0"/>
        </w:numPr>
        <w:spacing w:line="480" w:lineRule="exact" w:before="160" w:after="120"/>
        <w:ind w:firstLine="0"/>
      </w:pPr>
      <w:bookmarkStart w:id="1236" w:name="h236"/>
      <w:bookmarkStart w:id="91" w:name="研究地区与原始资料"/>
      <w:r>
        <w:rPr>
          <w:rFonts w:ascii="Times New Roman" w:hAnsi="Times New Roman" w:eastAsia="方正仿宋_GBK"/>
          <w:b/>
          <w:sz w:val="32"/>
        </w:rPr>
        <w:t xml:space="preserve">3.1 研究地区与原始资料</w:t>
      </w:r>
      <w:bookmarkEnd w:id="91"/>
      <w:bookmarkEnd w:id="1236"/>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案例提取区域正向峰值、最低净负荷及各站局部极值的同期截面，市区45个、邳州26个，每个截面保留全部站点的同期功率。正向储能支撑持续时间分别取邳州2 h、市区6 h。</w:t>
      </w:r>
    </w:p>
    <w:p>
      <w:pPr>
        <w:pStyle w:val="4"/>
        <w:keepNext/>
        <w:numPr>
          <w:numId w:val="0"/>
        </w:numPr>
        <w:spacing w:line="480" w:lineRule="exact" w:before="160" w:after="120"/>
        <w:ind w:firstLine="0"/>
      </w:pPr>
      <w:bookmarkStart w:id="1246" w:name="h246"/>
      <w:bookmarkStart w:id="95" w:name="年度容量负荷与增长特征"/>
      <w:r>
        <w:rPr>
          <w:rFonts w:ascii="Times New Roman" w:hAnsi="Times New Roman" w:eastAsia="方正仿宋_GBK"/>
          <w:b/>
          <w:sz w:val="32"/>
        </w:rPr>
        <w:t xml:space="preserve">3.2 年度容量、负荷与增长特征</w:t>
      </w:r>
      <w:bookmarkEnd w:id="95"/>
      <w:bookmarkEnd w:id="1246"/>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5"/>
        <w:keepNext/>
        <w:numPr>
          <w:numId w:val="0"/>
        </w:numPr>
        <w:spacing w:line="390" w:lineRule="exact" w:before="160" w:after="120"/>
        <w:ind w:firstLine="0"/>
      </w:pPr>
      <w:bookmarkStart w:id="99" w:name="年最大净负荷平均增长率"/>
      <w:r>
        <w:rPr>
          <w:rFonts w:ascii="Times New Roman" w:hAnsi="Times New Roman" w:eastAsia="方正仿宋_GBK"/>
          <w:b/>
          <w:sz w:val="26"/>
        </w:rPr>
        <w:t xml:space="preserve">3.2.3 年最大净负荷平均增长率</w:t>
      </w:r>
      <w:bookmarkEnd w:id="99"/>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年最大净负荷平均增长率[7]由同范围起止年度负荷按复合增长形式计算。2021—2025年包含四个年度间隔，增长分档采用2025年4月《配电网规划设计技术导则（修订稿）》第6.2.2.1条及表2[7]。</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0" w:name="历史统计与规划仿真的衔接"/>
      <w:r>
        <w:rPr>
          <w:rFonts w:ascii="Times New Roman" w:hAnsi="Times New Roman" w:eastAsia="方正仿宋_GBK"/>
          <w:b/>
          <w:sz w:val="26"/>
        </w:rPr>
        <w:t xml:space="preserve">3.2.4 历史统计与规划仿真的衔接</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2021—2025年实际容量与负荷用于现状分析，2022—2025年已知年度负荷直接进入地区案例。仿真保留市区2900.00 MVA、邳州1463.50 MVA的初始设备容量，基期及后续各年负荷均采用实际年度统计值，基期容载比按两位小数均为2.00。主变增容由逐年优化确定，实际在役容量与仿真容量分别列示。</w:t>
      </w:r>
    </w:p>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264" w:name="h264"/>
      <w:bookmarkStart w:id="101" w:name="分布式光伏装机与电量"/>
      <w:r>
        <w:rPr>
          <w:rFonts w:ascii="Times New Roman" w:hAnsi="Times New Roman" w:eastAsia="方正仿宋_GBK"/>
          <w:b/>
          <w:sz w:val="32"/>
        </w:rPr>
        <w:t xml:space="preserve">3.3 分布式光伏装机与电量</w:t>
      </w:r>
      <w:bookmarkEnd w:id="101"/>
      <w:bookmarkEnd w:id="1264"/>
    </w:p>
    <w:p>
      <w:pPr>
        <w:pStyle w:val="5"/>
        <w:keepNext/>
        <w:numPr>
          <w:numId w:val="0"/>
        </w:numPr>
        <w:spacing w:line="390" w:lineRule="exact" w:before="160" w:after="120"/>
        <w:ind w:firstLine="0"/>
      </w:pPr>
      <w:bookmarkStart w:id="102" w:name="装机规模与月度变化"/>
      <w:r>
        <w:rPr>
          <w:rFonts w:ascii="Times New Roman" w:hAnsi="Times New Roman" w:eastAsia="方正仿宋_GBK"/>
          <w:b/>
          <w:sz w:val="26"/>
        </w:rPr>
        <w:t xml:space="preserve">3.3.1 装机规模与月度变化</w:t>
      </w:r>
      <w:bookmarkEnd w:id="102"/>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MW。现有月度装机数据始于2023年，2021—2022年装机容量按同月份增长关系回推，图中以虚线区分估计结果与统计记录。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3"/>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2021—2025年月末分布式光伏装机容量</w:t>
      </w:r>
    </w:p>
    <w:p>
      <w:pPr>
        <w:pStyle w:val="5"/>
        <w:keepNext/>
        <w:numPr>
          <w:numId w:val="0"/>
        </w:numPr>
        <w:spacing w:line="390" w:lineRule="exact" w:before="160" w:after="120"/>
        <w:ind w:firstLine="0"/>
      </w:pPr>
      <w:bookmarkStart w:id="104" w:name="年发电量估计方法"/>
      <w:r>
        <w:rPr>
          <w:rFonts w:ascii="Times New Roman" w:hAnsi="Times New Roman" w:eastAsia="方正仿宋_GBK"/>
          <w:b/>
          <w:sz w:val="26"/>
        </w:rPr>
        <w:t xml:space="preserve">3.3.2 年发电量估计方法</w:t>
      </w:r>
      <w:bookmarkEnd w:id="10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5" w:name="用户最大负荷与分布式电源装机渗透率"/>
      <w:r>
        <w:rPr>
          <w:rFonts w:ascii="Times New Roman" w:hAnsi="Times New Roman" w:eastAsia="方正仿宋_GBK"/>
          <w:b/>
          <w:sz w:val="26"/>
        </w:rPr>
        <w:t xml:space="preserve">3.3.3 用户最大负荷与分布式电源装机渗透率</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分布式电源装机渗透率采用《配电网规划设计技术导则》的指标定义，作为描述源荷条件的研究参数[7]。</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[7]。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6" w:name="用户电量与分布式电源电量渗透率"/>
      <w:r>
        <w:rPr>
          <w:rFonts w:ascii="Times New Roman" w:hAnsi="Times New Roman" w:eastAsia="方正仿宋_GBK"/>
          <w:b/>
          <w:sz w:val="26"/>
        </w:rPr>
        <w:t xml:space="preserve">3.3.4 用户电量与分布式电源电量渗透率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286" w:name="h286"/>
      <w:bookmarkStart w:id="107" w:name="主变负载率与双向净负荷"/>
      <w:r>
        <w:rPr>
          <w:rFonts w:ascii="Times New Roman" w:hAnsi="Times New Roman" w:eastAsia="方正仿宋_GBK"/>
          <w:b/>
          <w:sz w:val="32"/>
        </w:rPr>
        <w:t xml:space="preserve">3.4 主变负载率与双向净负荷</w:t>
      </w:r>
      <w:bookmarkEnd w:id="107"/>
      <w:bookmarkEnd w:id="1286"/>
    </w:p>
    <w:p>
      <w:pPr>
        <w:pStyle w:val="5"/>
        <w:keepNext/>
        <w:numPr>
          <w:numId w:val="0"/>
        </w:numPr>
        <w:spacing w:line="390" w:lineRule="exact" w:before="160" w:after="120"/>
        <w:ind w:firstLine="0"/>
      </w:pPr>
      <w:bookmarkStart w:id="108" w:name="主变年最大负载率统计"/>
      <w:r>
        <w:rPr>
          <w:rFonts w:ascii="Times New Roman" w:hAnsi="Times New Roman" w:eastAsia="方正仿宋_GBK"/>
          <w:b/>
          <w:sz w:val="26"/>
        </w:rPr>
        <w:t xml:space="preserve">3.4.1 主变年最大负载率统计</w:t>
      </w:r>
      <w:bookmarkEnd w:id="108"/>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09"/>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邳州和市区逐台主变最大负载率分布</w:t>
      </w:r>
    </w:p>
    <w:p>
      <w:pPr>
        <w:pStyle w:val="5"/>
        <w:keepNext/>
        <w:numPr>
          <w:numId w:val="0"/>
        </w:numPr>
        <w:spacing w:line="390" w:lineRule="exact" w:before="160" w:after="120"/>
        <w:ind w:firstLine="0"/>
      </w:pPr>
      <w:bookmarkStart w:id="110" w:name="最大正向反向净负荷"/>
      <w:r>
        <w:rPr>
          <w:rFonts w:ascii="Times New Roman" w:hAnsi="Times New Roman" w:eastAsia="方正仿宋_GBK"/>
          <w:b/>
          <w:sz w:val="26"/>
        </w:rPr>
        <w:t xml:space="preserve">3.4.2 最大正向、反向净负荷</w:t>
      </w:r>
      <w:bookmarkEnd w:id="110"/>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表3-5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keepNext/>
        <w:spacing w:line="280" w:lineRule="exact" w:before="120" w:after="80"/>
        <w:ind w:firstLine="0"/>
        <w:jc w:val="center"/>
      </w:pPr>
      <w:r>
        <w:rPr>
          <w:rFonts w:ascii="Times New Roman" w:hAnsi="Times New Roman" w:eastAsia="宋体"/>
          <w:b w:val="0"/>
          <w:sz w:val="21"/>
        </w:rPr>
        <w:t xml:space="preserve">表3-6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1"/>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两地区静态工况下的站级负载率</w:t>
      </w:r>
    </w:p>
    <w:p>
      <w:pPr>
        <w:pStyle w:val="5"/>
        <w:keepNext/>
        <w:numPr>
          <w:numId w:val="0"/>
        </w:numPr>
        <w:spacing w:line="390" w:lineRule="exact" w:before="160" w:after="120"/>
        <w:ind w:firstLine="0"/>
      </w:pPr>
      <w:bookmarkStart w:id="112" w:name="区域同步净负荷曲线"/>
      <w:r>
        <w:rPr>
          <w:rFonts w:ascii="Times New Roman" w:hAnsi="Times New Roman" w:eastAsia="方正仿宋_GBK"/>
          <w:b/>
          <w:sz w:val="26"/>
        </w:rPr>
        <w:t xml:space="preserve">3.4.3 区域同步净负荷曲线</w:t>
      </w:r>
      <w:bookmarkEnd w:id="112"/>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3"/>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4"/>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市区区域净负荷曲线及95%近峰时段</w:t>
      </w:r>
    </w:p>
    <w:p>
      <w:pPr>
        <w:pStyle w:val="5"/>
        <w:keepNext/>
        <w:numPr>
          <w:numId w:val="0"/>
        </w:numPr>
        <w:spacing w:line="390" w:lineRule="exact" w:before="160" w:after="120"/>
        <w:ind w:firstLine="0"/>
      </w:pPr>
      <w:bookmarkStart w:id="115" w:name="峰值持续时间"/>
      <w:r>
        <w:rPr>
          <w:rFonts w:ascii="Times New Roman" w:hAnsi="Times New Roman" w:eastAsia="方正仿宋_GBK"/>
          <w:b/>
          <w:sz w:val="26"/>
        </w:rPr>
        <w:t xml:space="preserve">3.4.4 95%峰值持续时间</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表3-7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5"/>
        <w:keepNext/>
        <w:numPr>
          <w:numId w:val="0"/>
        </w:numPr>
        <w:spacing w:line="390" w:lineRule="exact" w:before="160" w:after="120"/>
        <w:ind w:firstLine="0"/>
      </w:pPr>
      <w:bookmarkStart w:id="116" w:name="峰段与储能容量的联系"/>
      <w:r>
        <w:rPr>
          <w:rFonts w:ascii="Times New Roman" w:hAnsi="Times New Roman" w:eastAsia="方正仿宋_GBK"/>
          <w:b/>
          <w:sz w:val="26"/>
        </w:rPr>
        <w:t xml:space="preserve">3.4.5 峰段与储能容量的联系</w:t>
      </w:r>
      <w:bookmarkEnd w:id="116"/>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h。当前研究采用可用电量系数0.76作静态折算，未开展逐时荷电状态仿真[28][10]。</w:t>
      </w:r>
    </w:p>
    <w:p>
      <w:pPr>
        <w:pStyle w:val="4"/>
        <w:keepNext/>
        <w:numPr>
          <w:numId w:val="0"/>
        </w:numPr>
        <w:spacing w:line="480" w:lineRule="exact" w:before="160" w:after="120"/>
        <w:ind w:firstLine="0"/>
      </w:pPr>
      <w:bookmarkStart w:id="1314" w:name="h314"/>
      <w:bookmarkStart w:id="117" w:name="核心参数依据与相关性分析"/>
      <w:r>
        <w:rPr>
          <w:rFonts w:ascii="Times New Roman" w:hAnsi="Times New Roman" w:eastAsia="方正仿宋_GBK"/>
          <w:b/>
          <w:sz w:val="32"/>
        </w:rPr>
        <w:t xml:space="preserve">3.5 核心参数依据与相关性分析</w:t>
      </w:r>
      <w:bookmarkEnd w:id="117"/>
      <w:bookmarkEnd w:id="1314"/>
    </w:p>
    <w:p>
      <w:pPr>
        <w:pStyle w:val="5"/>
        <w:keepNext/>
        <w:numPr>
          <w:numId w:val="0"/>
        </w:numPr>
        <w:spacing w:line="390" w:lineRule="exact" w:before="160" w:after="120"/>
        <w:ind w:firstLine="0"/>
      </w:pPr>
      <w:bookmarkStart w:id="118" w:name="十三项候选指标及工程依据"/>
      <w:r>
        <w:rPr>
          <w:rFonts w:ascii="Times New Roman" w:hAnsi="Times New Roman" w:eastAsia="方正仿宋_GBK"/>
          <w:b/>
          <w:sz w:val="26"/>
        </w:rPr>
        <w:t xml:space="preserve">3.5.1 十三项候选指标及工程依据</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[7]。本研究围绕源荷规模、站级运行压力、网络支援和措施费用构造十三项候选指标，先评价其与容载比的关联，再比较指标之间的信息重叠，确定推广矩阵的参数。</w:t>
      </w:r>
    </w:p>
    <w:p>
      <w:pPr>
        <w:pStyle w:val="2"/>
        <w:keepNext/>
        <w:spacing w:line="280" w:lineRule="exact" w:before="120" w:after="80"/>
        <w:ind w:firstLine="0"/>
        <w:jc w:val="center"/>
      </w:pPr>
      <w:r>
        <w:rPr>
          <w:rFonts w:ascii="Times New Roman" w:hAnsi="Times New Roman" w:eastAsia="宋体"/>
          <w:b w:val="0"/>
          <w:sz w:val="21"/>
        </w:rPr>
        <w:t xml:space="preserve">表3-8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导则第6.5.4条给出定义，第7.4.2.2条联系反向容量校核[7]；装机及负荷资料见第3.3节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导则第6.5.4条给出定义[7]；描述本地电源的年度供能水平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同范围起止年度网供最大负荷的复合年平均增长率，%/年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导则第6.2.2条列为容量储备影响因素[7]；联系局部峰值与区域同时峰值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按第4.5.4节由工程价格与有效能力折算；描述主变、线路的相对投资[85,87,88,86]</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按第4.5.4节折算；联系参考价格、可用能量和支撑时长[85,87,88,86]</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线路形式影响工程费用[12]；邳州约11%、市区约80%，按第4.3节折算新增联络费用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储能定容同时考虑功率、能量及持续过程[10][28]；按第4.4节参与设备比选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表3-9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表3-10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19" w:name="情景采样与两层分析方法"/>
      <w:r>
        <w:rPr>
          <w:rFonts w:ascii="Times New Roman" w:hAnsi="Times New Roman" w:eastAsia="方正仿宋_GBK"/>
          <w:b/>
          <w:sz w:val="26"/>
        </w:rPr>
        <w:t xml:space="preserve">3.5.2 情景采样与两层分析方法</w:t>
      </w:r>
      <w:bookmarkEnd w:id="119"/>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h。装机与电量节点用于构造不同出力水平，时间节点用于比较连续支撑要求，两类价格节点用于分析参考工程价格附近的措施替代[85,87,88,86]。</w:t>
      </w:r>
    </w:p>
    <w:p>
      <w:pPr>
        <w:pStyle w:val="2"/>
        <w:keepNext/>
        <w:spacing w:line="280" w:lineRule="exact" w:before="120" w:after="80"/>
        <w:ind w:firstLine="0"/>
        <w:jc w:val="center"/>
      </w:pPr>
      <w:r>
        <w:rPr>
          <w:rFonts w:ascii="Times New Roman" w:hAnsi="Times New Roman" w:eastAsia="宋体"/>
          <w:b w:val="0"/>
          <w:sz w:val="21"/>
        </w:rPr>
        <w:t xml:space="preserve">表3-11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正向净负荷沿增长率序列分析，反向净负荷和站级负载率沿电量序列分析，两项投资比分别沿独立价格序列分析。Spearman按组内排序检验关联方向[89][90]。</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0" w:name="与容载比的相关性筛选"/>
      <w:r>
        <w:rPr>
          <w:rFonts w:ascii="Times New Roman" w:hAnsi="Times New Roman" w:eastAsia="方正仿宋_GBK"/>
          <w:b/>
          <w:sz w:val="26"/>
        </w:rPr>
        <w:t xml:space="preserve">3.5.3 与容载比的相关性筛选</w:t>
      </w:r>
      <w:bookmarkEnd w:id="120"/>
    </w:p>
    <w:p>
      <w:pPr>
        <w:pStyle w:val="FirstParagraph"/>
        <w:keepNext/>
        <w:spacing w:line="280" w:lineRule="exact" w:before="120" w:after="80"/>
        <w:ind w:firstLine="0"/>
        <w:jc w:val="center"/>
      </w:pPr>
      <w:r>
        <w:rPr>
          <w:rFonts w:ascii="Times New Roman" w:hAnsi="Times New Roman" w:eastAsia="宋体"/>
          <w:b w:val="0"/>
          <w:sz w:val="21"/>
        </w:rPr>
        <w:t xml:space="preserve">表3-12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5"/>
        <w:keepNext/>
        <w:numPr>
          <w:numId w:val="0"/>
        </w:numPr>
        <w:spacing w:line="390" w:lineRule="exact" w:before="160" w:after="120"/>
        <w:ind w:firstLine="0"/>
      </w:pPr>
      <w:bookmarkStart w:id="121" w:name="高相关指标归并与代表参数"/>
      <w:r>
        <w:rPr>
          <w:rFonts w:ascii="Times New Roman" w:hAnsi="Times New Roman" w:eastAsia="方正仿宋_GBK"/>
          <w:b/>
          <w:sz w:val="26"/>
        </w:rPr>
        <w:t xml:space="preserve">3.5.4 高相关指标归并与代表参数</w:t>
      </w:r>
      <w:bookmarkEnd w:id="121"/>
    </w:p>
    <w:p>
      <w:pPr>
        <w:pStyle w:val="FirstParagraph"/>
        <w:keepNext/>
        <w:spacing w:line="280" w:lineRule="exact" w:before="120" w:after="80"/>
        <w:ind w:firstLine="0"/>
        <w:jc w:val="center"/>
      </w:pPr>
      <w:r>
        <w:rPr>
          <w:rFonts w:ascii="Times New Roman" w:hAnsi="Times New Roman" w:eastAsia="宋体"/>
          <w:b w:val="0"/>
          <w:sz w:val="21"/>
        </w:rPr>
        <w:t xml:space="preserve">表3-13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表3-14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表3-15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最大正向净负荷与平均增长率的Pearson系数接近1.00。在基期峰值250 MW、目标时点为基期后第4年的模板中，区域正向峰值按年最大净负荷平均增长率作四年复合增长计算，两项形成确定的单调关系。平均增长率能够同时描述发展阶段并与导则分档对应，采用其作为代表参数。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2" w:name="五项参数的相关关系与矩阵组织"/>
      <w:r>
        <w:rPr>
          <w:rFonts w:ascii="Times New Roman" w:hAnsi="Times New Roman" w:eastAsia="方正仿宋_GBK"/>
          <w:b/>
          <w:sz w:val="26"/>
        </w:rPr>
        <w:t xml:space="preserve">3.5.5 五项参数的相关关系与矩阵组织</w:t>
      </w:r>
      <w:bookmarkEnd w:id="122"/>
    </w:p>
    <w:p>
      <w:pPr>
        <w:pStyle w:val="FirstParagraph"/>
        <w:keepNext/>
        <w:spacing w:line="280" w:lineRule="exact" w:before="120" w:after="80"/>
        <w:ind w:firstLine="0"/>
        <w:jc w:val="center"/>
      </w:pPr>
      <w:r>
        <w:rPr>
          <w:rFonts w:ascii="Times New Roman" w:hAnsi="Times New Roman" w:eastAsia="宋体"/>
          <w:b w:val="0"/>
          <w:sz w:val="21"/>
        </w:rPr>
        <w:t xml:space="preserve">表3-16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Spearman最大绝对值为0.26，说明排序关联也较弱。</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表3-17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表3-18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增长率采用2%、4%、7%的分界[7]，装机、电缆和转供参数按表列区间组织，首尾档开口，负荷分散系数按三个定值分别列示。第五章据此归纳同一五参数分类中的容载比范围，储能支撑条件和统一工程价格进入对应设备方案的比选。</w:t>
      </w:r>
    </w:p>
    <w:p>
      <w:pPr>
        <w:pStyle w:val="4"/>
        <w:keepNext/>
        <w:numPr>
          <w:numId w:val="0"/>
        </w:numPr>
        <w:spacing w:line="480" w:lineRule="exact" w:before="160" w:after="120"/>
        <w:ind w:firstLine="0"/>
      </w:pPr>
      <w:bookmarkStart w:id="1352" w:name="h352"/>
      <w:bookmarkStart w:id="123" w:name="kv负荷转接资料与仿真条件"/>
      <w:r>
        <w:rPr>
          <w:rFonts w:ascii="Times New Roman" w:hAnsi="Times New Roman" w:eastAsia="方正仿宋_GBK"/>
          <w:b/>
          <w:sz w:val="32"/>
        </w:rPr>
        <w:t xml:space="preserve">3.6 10 kV负荷转接资料与仿真条件</w:t>
      </w:r>
      <w:bookmarkEnd w:id="123"/>
      <w:bookmarkEnd w:id="1352"/>
    </w:p>
    <w:p>
      <w:pPr>
        <w:pStyle w:val="5"/>
        <w:keepNext/>
        <w:numPr>
          <w:numId w:val="0"/>
        </w:numPr>
        <w:spacing w:line="390" w:lineRule="exact" w:before="160" w:after="120"/>
        <w:ind w:firstLine="0"/>
      </w:pPr>
      <w:bookmarkStart w:id="124" w:name="地区转供统计与计算方法"/>
      <w:r>
        <w:rPr>
          <w:rFonts w:ascii="Times New Roman" w:hAnsi="Times New Roman" w:eastAsia="方正仿宋_GBK"/>
          <w:b/>
          <w:sz w:val="26"/>
        </w:rPr>
        <w:t xml:space="preserve">3.6.1 地区转供统计与计算方法</w:t>
      </w:r>
      <w:bookmarkEnd w:id="124"/>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25" w:name="逐站能力及网络约束"/>
      <w:r>
        <w:rPr>
          <w:rFonts w:ascii="Times New Roman" w:hAnsi="Times New Roman" w:eastAsia="方正仿宋_GBK"/>
          <w:b/>
          <w:sz w:val="26"/>
        </w:rPr>
        <w:t xml:space="preserve">3.6.2 逐站能力及网络约束</w:t>
      </w:r>
      <w:bookmarkEnd w:id="12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kV站点逐一匹配，市区26座实体站、邳州20座站采用对应记录，每站既有转供功率之和受站外最大可供负荷与既有网络标定预算的较小值限制。市区3座模拟站按既定设备参与地区计算，既有转供能力取零。</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既有通道与新增候选分别记录馈线端点和有效容量，正常运行允许调整供区，主变故障后重新分配转供。各通道共同校核源端可切负荷、共享馈线余量和接收站容量，新增联络单项有效能力为7.49 MW，工程费用按地区电缆长度占比计算。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26" w:name="电源归属及反向功率"/>
      <w:r>
        <w:rPr>
          <w:rFonts w:ascii="Times New Roman" w:hAnsi="Times New Roman" w:eastAsia="方正仿宋_GBK"/>
          <w:b/>
          <w:sz w:val="26"/>
        </w:rPr>
        <w:t xml:space="preserve">3.6.3 电源归属及反向功率</w:t>
      </w:r>
      <w:bookmarkEnd w:id="126"/>
    </w:p>
    <w:p>
      <w:pPr>
        <w:pStyle w:val="FirstParagraph"/>
        <w:widowControl/>
        <w:spacing w:line="348" w:lineRule="exact" w:before="0" w:after="0"/>
        <w:ind w:firstLine="480"/>
        <w:jc w:val="both"/>
      </w:pPr>
      <w:r>
        <w:rPr>
          <w:rFonts w:ascii="Times New Roman" w:hAnsi="Times New Roman" w:eastAsia="方正仿宋_GBK"/>
          <w:b w:val="0"/>
          <w:sz w:val="24"/>
        </w:rPr>
        <w:t xml:space="preserve">正常转供改变用电负荷分配，电源仍保留原站归属，因此每个静态工况需按转出、转入功率重新计算净负荷，并同时校核正向供电和反向容量。转出功率以本站原始可转负荷为上限，区域内部转入、转出合计相等。</w:t>
      </w:r>
    </w:p>
    <w:p>
      <w:pPr>
        <w:pStyle w:val="4"/>
        <w:keepNext/>
        <w:numPr>
          <w:numId w:val="0"/>
        </w:numPr>
        <w:spacing w:line="480" w:lineRule="exact" w:before="160" w:after="120"/>
        <w:ind w:firstLine="0"/>
      </w:pPr>
      <w:bookmarkStart w:id="1362" w:name="h362"/>
      <w:bookmarkStart w:id="127" w:name="站级负载率与配置需求"/>
      <w:r>
        <w:rPr>
          <w:rFonts w:ascii="Times New Roman" w:hAnsi="Times New Roman" w:eastAsia="方正仿宋_GBK"/>
          <w:b/>
          <w:sz w:val="32"/>
        </w:rPr>
        <w:t xml:space="preserve">3.7 站级负载率与配置需求</w:t>
      </w:r>
      <w:bookmarkEnd w:id="127"/>
      <w:bookmarkEnd w:id="1362"/>
    </w:p>
    <w:p>
      <w:pPr>
        <w:pStyle w:val="5"/>
        <w:keepNext/>
        <w:numPr>
          <w:numId w:val="0"/>
        </w:numPr>
        <w:spacing w:line="390" w:lineRule="exact" w:before="160" w:after="120"/>
        <w:ind w:firstLine="0"/>
      </w:pPr>
      <w:bookmarkStart w:id="128" w:name="邳州站级相对负载"/>
      <w:r>
        <w:rPr>
          <w:rFonts w:ascii="Times New Roman" w:hAnsi="Times New Roman" w:eastAsia="方正仿宋_GBK"/>
          <w:b/>
          <w:sz w:val="26"/>
        </w:rPr>
        <w:t xml:space="preserve">3.7.1 邳州站级相对负载</w:t>
      </w:r>
      <w:bookmarkEnd w:id="128"/>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1185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29"/>
                    <a:stretch>
                      <a:fillRect/>
                    </a:stretch>
                  </pic:blipFill>
                  <pic:spPr bwMode="auto">
                    <a:xfrm>
                      <a:off x="0" y="0"/>
                      <a:ext cx="5120640" cy="331185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邳州站级负载率</w:t>
      </w:r>
    </w:p>
    <w:p>
      <w:pPr>
        <w:pStyle w:val="5"/>
        <w:keepNext/>
        <w:numPr>
          <w:numId w:val="0"/>
        </w:numPr>
        <w:spacing w:line="390" w:lineRule="exact" w:before="160" w:after="120"/>
        <w:ind w:firstLine="0"/>
      </w:pPr>
      <w:bookmarkStart w:id="130" w:name="市区站级相对负载"/>
      <w:r>
        <w:rPr>
          <w:rFonts w:ascii="Times New Roman" w:hAnsi="Times New Roman" w:eastAsia="方正仿宋_GBK"/>
          <w:b/>
          <w:sz w:val="26"/>
        </w:rPr>
        <w:t xml:space="preserve">3.7.2 市区站级相对负载</w:t>
      </w:r>
      <w:bookmarkEnd w:id="130"/>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3950850"/>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1"/>
                    <a:stretch>
                      <a:fillRect/>
                    </a:stretch>
                  </pic:blipFill>
                  <pic:spPr bwMode="auto">
                    <a:xfrm>
                      <a:off x="0" y="0"/>
                      <a:ext cx="5120640" cy="39508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市区站级负载率</w:t>
      </w:r>
    </w:p>
    <w:p>
      <w:pPr>
        <w:pStyle w:val="2"/>
        <w:widowControl/>
        <w:spacing w:line="348" w:lineRule="exact" w:before="0" w:after="0"/>
        <w:ind w:firstLine="480"/>
        <w:jc w:val="both"/>
      </w:pPr>
      <w:r>
        <w:rPr>
          <w:rFonts w:ascii="Times New Roman" w:hAnsi="Times New Roman" w:eastAsia="方正仿宋_GBK"/>
          <w:b w:val="0"/>
          <w:sz w:val="24"/>
        </w:rPr>
        <w:t xml:space="preserve">市区站级图表按能够与设备资料对应的26座站列示。地区容量、负荷及费用按统一计算范围汇总，站级展示范围与地区汇总范围分别使用。</w:t>
      </w:r>
    </w:p>
    <w:p>
      <w:pPr>
        <w:pStyle w:val="5"/>
        <w:keepNext/>
        <w:numPr>
          <w:numId w:val="0"/>
        </w:numPr>
        <w:spacing w:line="390" w:lineRule="exact" w:before="160" w:after="120"/>
        <w:ind w:firstLine="0"/>
      </w:pPr>
      <w:bookmarkStart w:id="132" w:name="负载率与规划措施的联系"/>
      <w:r>
        <w:rPr>
          <w:rFonts w:ascii="Times New Roman" w:hAnsi="Times New Roman" w:eastAsia="方正仿宋_GBK"/>
          <w:b/>
          <w:sz w:val="26"/>
        </w:rPr>
        <w:t xml:space="preserve">3.7.3 负载率与规划措施的联系</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3" w:name="较高负载率站的方向与配置条件"/>
      <w:r>
        <w:rPr>
          <w:rFonts w:ascii="Times New Roman" w:hAnsi="Times New Roman" w:eastAsia="方正仿宋_GBK"/>
          <w:b/>
          <w:sz w:val="26"/>
        </w:rPr>
        <w:t xml:space="preserve">3.7.4 较高负载率站的方向与配置条件</w:t>
      </w:r>
      <w:bookmarkEnd w:id="133"/>
    </w:p>
    <w:p>
      <w:pPr>
        <w:pStyle w:val="FirstParagraph"/>
        <w:keepNext/>
        <w:spacing w:line="280" w:lineRule="exact" w:before="120" w:after="80"/>
        <w:ind w:firstLine="0"/>
        <w:jc w:val="center"/>
      </w:pPr>
      <w:r>
        <w:rPr>
          <w:rFonts w:ascii="Times New Roman" w:hAnsi="Times New Roman" w:eastAsia="宋体"/>
          <w:b w:val="0"/>
          <w:sz w:val="21"/>
        </w:rPr>
        <w:t xml:space="preserve">表3-19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34" w:name="站级功率的主导方向"/>
      <w:r>
        <w:rPr>
          <w:rFonts w:ascii="Times New Roman" w:hAnsi="Times New Roman" w:eastAsia="方正仿宋_GBK"/>
          <w:b/>
          <w:sz w:val="26"/>
        </w:rPr>
        <w:t xml:space="preserve">3.7.5 站级功率的主导方向</w:t>
      </w:r>
      <w:bookmarkEnd w:id="134"/>
    </w:p>
    <w:p>
      <w:pPr>
        <w:pStyle w:val="FirstParagraph"/>
        <w:keepNext/>
        <w:spacing w:line="280" w:lineRule="exact" w:before="120" w:after="80"/>
        <w:ind w:firstLine="0"/>
        <w:jc w:val="center"/>
      </w:pPr>
      <w:r>
        <w:rPr>
          <w:rFonts w:ascii="Times New Roman" w:hAnsi="Times New Roman" w:eastAsia="宋体"/>
          <w:b w:val="0"/>
          <w:sz w:val="21"/>
        </w:rPr>
        <w:t xml:space="preserve">表3-20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检查转出用电负荷后是否增加本站反送需求。建设方案以第五章逐工况网络校核为依据。</w:t>
      </w:r>
    </w:p>
    <w:p>
      <w:pPr>
        <w:pStyle w:val="4"/>
        <w:keepNext/>
        <w:numPr>
          <w:numId w:val="0"/>
        </w:numPr>
        <w:spacing w:line="480" w:lineRule="exact" w:before="160" w:after="120"/>
        <w:ind w:firstLine="0"/>
      </w:pPr>
      <w:bookmarkStart w:id="1379" w:name="h379"/>
      <w:bookmarkStart w:id="135" w:name="运行特征的综合分析"/>
      <w:r>
        <w:rPr>
          <w:rFonts w:ascii="Times New Roman" w:hAnsi="Times New Roman" w:eastAsia="方正仿宋_GBK"/>
          <w:b/>
          <w:sz w:val="32"/>
        </w:rPr>
        <w:t xml:space="preserve">3.8 运行特征的综合分析</w:t>
      </w:r>
      <w:bookmarkEnd w:id="135"/>
      <w:bookmarkEnd w:id="1379"/>
    </w:p>
    <w:p>
      <w:pPr>
        <w:pStyle w:val="5"/>
        <w:keepNext/>
        <w:numPr>
          <w:numId w:val="0"/>
        </w:numPr>
        <w:spacing w:line="390" w:lineRule="exact" w:before="160" w:after="120"/>
        <w:ind w:firstLine="0"/>
      </w:pPr>
      <w:bookmarkStart w:id="136" w:name="容量建设与负荷变化的不同作用"/>
      <w:r>
        <w:rPr>
          <w:rFonts w:ascii="Times New Roman" w:hAnsi="Times New Roman" w:eastAsia="方正仿宋_GBK"/>
          <w:b/>
          <w:sz w:val="26"/>
        </w:rPr>
        <w:t xml:space="preserve">3.8.1 容量建设与负荷变化的不同作用</w:t>
      </w:r>
      <w:bookmarkEnd w:id="136"/>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表3-21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5"/>
        <w:keepNext/>
        <w:numPr>
          <w:numId w:val="0"/>
        </w:numPr>
        <w:spacing w:line="390" w:lineRule="exact" w:before="160" w:after="120"/>
        <w:ind w:firstLine="0"/>
      </w:pPr>
      <w:bookmarkStart w:id="137" w:name="光伏发电与用电高峰的季节关系"/>
      <w:r>
        <w:rPr>
          <w:rFonts w:ascii="Times New Roman" w:hAnsi="Times New Roman" w:eastAsia="方正仿宋_GBK"/>
          <w:b/>
          <w:sz w:val="26"/>
        </w:rPr>
        <w:t xml:space="preserve">3.8.2 光伏发电与用电高峰的季节关系</w:t>
      </w:r>
      <w:bookmarkEnd w:id="137"/>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表3-22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38" w:name="区域容量储备与重载设备并存"/>
      <w:r>
        <w:rPr>
          <w:rFonts w:ascii="Times New Roman" w:hAnsi="Times New Roman" w:eastAsia="方正仿宋_GBK"/>
          <w:b/>
          <w:sz w:val="26"/>
        </w:rPr>
        <w:t xml:space="preserve">3.8.3 区域容量储备与重载设备并存</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会改变N-1后的剩余容量。两台等容量主变在N-1条件下只剩一半容量，增加一台后，即使正常运行负载率不高，故障时的可用容量仍可能明显提高，因此主变扩建既增加总容量，也改变站内设备组合。第五章邳州弹性方案首年完成主变补强、减少后期配储的结果，需结合具体规格和建设时序解释。</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用于联系各站峰值与区域同时峰值。系数大于1.00说明各站峰值不完全同时出现，区域峰值低于各站独立峰值之和，但各站设备仍要承受本地高峰。本报告采用1.00、1.10、1.15三个负荷分散系数构造推广情景，并结合站级负荷分配讨论容量配置。</w:t>
      </w:r>
    </w:p>
    <w:p>
      <w:pPr>
        <w:pStyle w:val="5"/>
        <w:keepNext/>
        <w:numPr>
          <w:numId w:val="0"/>
        </w:numPr>
        <w:spacing w:line="390" w:lineRule="exact" w:before="160" w:after="120"/>
        <w:ind w:firstLine="0"/>
      </w:pPr>
      <w:bookmarkStart w:id="139" w:name="两地区的容量规划重点"/>
      <w:r>
        <w:rPr>
          <w:rFonts w:ascii="Times New Roman" w:hAnsi="Times New Roman" w:eastAsia="方正仿宋_GBK"/>
          <w:b/>
          <w:sz w:val="26"/>
        </w:rPr>
        <w:t xml:space="preserve">3.8.4 两地区的容量规划重点</w:t>
      </w:r>
      <w:bookmarkEnd w:id="139"/>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401" w:name="h401"/>
      <w:bookmarkStart w:id="140" w:name="第四章-基于实际工程的建设成本模型"/>
      <w:r>
        <w:rPr>
          <w:rFonts w:ascii="Times New Roman" w:hAnsi="Times New Roman" w:eastAsia="方正仿宋_GBK"/>
          <w:b/>
          <w:sz w:val="36"/>
        </w:rPr>
        <w:t xml:space="preserve">第四章 基于实际工程的建设成本模型</w:t>
      </w:r>
      <w:bookmarkEnd w:id="140"/>
      <w:bookmarkEnd w:id="1401"/>
    </w:p>
    <w:p>
      <w:pPr>
        <w:pStyle w:val="4"/>
        <w:keepNext/>
        <w:numPr>
          <w:numId w:val="0"/>
        </w:numPr>
        <w:spacing w:line="480" w:lineRule="exact" w:before="160" w:after="120"/>
        <w:ind w:firstLine="0"/>
      </w:pPr>
      <w:bookmarkStart w:id="1402" w:name="h402"/>
      <w:bookmarkStart w:id="141" w:name="成本模型的范围与建立原则"/>
      <w:r>
        <w:rPr>
          <w:rFonts w:ascii="Times New Roman" w:hAnsi="Times New Roman" w:eastAsia="方正仿宋_GBK"/>
          <w:b/>
          <w:sz w:val="32"/>
        </w:rPr>
        <w:t xml:space="preserve">4.1 成本模型的范围与建立原则</w:t>
      </w:r>
      <w:bookmarkEnd w:id="141"/>
      <w:bookmarkEnd w:id="1402"/>
    </w:p>
    <w:p>
      <w:pPr>
        <w:pStyle w:val="5"/>
        <w:keepNext/>
        <w:numPr>
          <w:numId w:val="0"/>
        </w:numPr>
        <w:spacing w:line="390" w:lineRule="exact" w:before="160" w:after="120"/>
        <w:ind w:firstLine="0"/>
      </w:pPr>
      <w:bookmarkStart w:id="142" w:name="建设改造措施与投资估算依据"/>
      <w:r>
        <w:rPr>
          <w:rFonts w:ascii="Times New Roman" w:hAnsi="Times New Roman" w:eastAsia="方正仿宋_GBK"/>
          <w:b/>
          <w:sz w:val="26"/>
        </w:rPr>
        <w:t xml:space="preserve">4.1.1 建设改造措施与投资估算依据</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[86]。</w:t>
      </w:r>
    </w:p>
    <w:p>
      <w:pPr>
        <w:pStyle w:val="5"/>
        <w:keepNext/>
        <w:numPr>
          <w:numId w:val="0"/>
        </w:numPr>
        <w:spacing w:line="390" w:lineRule="exact" w:before="160" w:after="120"/>
        <w:ind w:firstLine="0"/>
      </w:pPr>
      <w:bookmarkStart w:id="143" w:name="投资运维与更新"/>
      <w:r>
        <w:rPr>
          <w:rFonts w:ascii="Times New Roman" w:hAnsi="Times New Roman" w:eastAsia="方正仿宋_GBK"/>
          <w:b/>
          <w:sz w:val="26"/>
        </w:rPr>
        <w:t xml:space="preserve">4.1.2 投资、运维与更新</w:t>
      </w:r>
      <w:bookmarkEnd w:id="143"/>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[11][12]。</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0.042、0.022、0.030，折现率为6%。这些参数用于将初始投资、年度运维和设备更新分项折现[10,11,12]，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现值法；统一资金时间价值参数[10,11,12]</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按初始投资比例估算年度运维[11]</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按初始投资比例估算年度运维[12]</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44" w:name="增量比较的适用范围"/>
      <w:r>
        <w:rPr>
          <w:rFonts w:ascii="Times New Roman" w:hAnsi="Times New Roman" w:eastAsia="方正仿宋_GBK"/>
          <w:b/>
          <w:sz w:val="26"/>
        </w:rPr>
        <w:t xml:space="preserve">4.1.3 增量比较的适用范围</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414" w:name="h414"/>
      <w:bookmarkStart w:id="145" w:name="主变工程成本系数"/>
      <w:r>
        <w:rPr>
          <w:rFonts w:ascii="Times New Roman" w:hAnsi="Times New Roman" w:eastAsia="方正仿宋_GBK"/>
          <w:b/>
          <w:sz w:val="32"/>
        </w:rPr>
        <w:t xml:space="preserve">4.2 主变工程成本系数</w:t>
      </w:r>
      <w:bookmarkEnd w:id="145"/>
      <w:bookmarkEnd w:id="1414"/>
    </w:p>
    <w:p>
      <w:pPr>
        <w:pStyle w:val="5"/>
        <w:keepNext/>
        <w:numPr>
          <w:numId w:val="0"/>
        </w:numPr>
        <w:spacing w:line="390" w:lineRule="exact" w:before="160" w:after="120"/>
        <w:ind w:firstLine="0"/>
      </w:pPr>
      <w:bookmarkStart w:id="146" w:name="替换工程案例"/>
      <w:r>
        <w:rPr>
          <w:rFonts w:ascii="Times New Roman" w:hAnsi="Times New Roman" w:eastAsia="方正仿宋_GBK"/>
          <w:b/>
          <w:sz w:val="26"/>
        </w:rPr>
        <w:t xml:space="preserve">4.2.1 替换工程案例</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5"/>
        <w:keepNext/>
        <w:numPr>
          <w:numId w:val="0"/>
        </w:numPr>
        <w:spacing w:line="390" w:lineRule="exact" w:before="160" w:after="120"/>
        <w:ind w:firstLine="0"/>
      </w:pPr>
      <w:bookmarkStart w:id="147" w:name="采购容量加权系数"/>
      <w:r>
        <w:rPr>
          <w:rFonts w:ascii="Times New Roman" w:hAnsi="Times New Roman" w:eastAsia="方正仿宋_GBK"/>
          <w:b/>
          <w:sz w:val="26"/>
        </w:rPr>
        <w:t xml:space="preserve">4.2.2 采购容量加权系数</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5"/>
        <w:keepNext/>
        <w:numPr>
          <w:numId w:val="0"/>
        </w:numPr>
        <w:spacing w:line="390" w:lineRule="exact" w:before="160" w:after="120"/>
        <w:ind w:firstLine="0"/>
      </w:pPr>
      <w:bookmarkStart w:id="148" w:name="净增容量与工程费用"/>
      <w:r>
        <w:rPr>
          <w:rFonts w:ascii="Times New Roman" w:hAnsi="Times New Roman" w:eastAsia="方正仿宋_GBK"/>
          <w:b/>
          <w:sz w:val="26"/>
        </w:rPr>
        <w:t xml:space="preserve">4.2.3 净增容量与工程费用</w:t>
      </w:r>
      <w:bookmarkEnd w:id="14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49" w:name="主变扩建"/>
      <w:r>
        <w:rPr>
          <w:rFonts w:ascii="Times New Roman" w:hAnsi="Times New Roman" w:eastAsia="方正仿宋_GBK"/>
          <w:b/>
          <w:sz w:val="26"/>
        </w:rPr>
        <w:t xml:space="preserve">4.2.4 主变扩建</w:t>
      </w:r>
      <w:bookmarkEnd w:id="14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433" w:name="h433"/>
      <w:bookmarkStart w:id="150" w:name="kv联络工程费用"/>
      <w:r>
        <w:rPr>
          <w:rFonts w:ascii="Times New Roman" w:hAnsi="Times New Roman" w:eastAsia="方正仿宋_GBK"/>
          <w:b/>
          <w:sz w:val="32"/>
        </w:rPr>
        <w:t xml:space="preserve">4.3 10 kV联络工程费用</w:t>
      </w:r>
      <w:bookmarkEnd w:id="150"/>
      <w:bookmarkEnd w:id="1433"/>
    </w:p>
    <w:p>
      <w:pPr>
        <w:pStyle w:val="5"/>
        <w:keepNext/>
        <w:numPr>
          <w:numId w:val="0"/>
        </w:numPr>
        <w:spacing w:line="390" w:lineRule="exact" w:before="160" w:after="120"/>
        <w:ind w:firstLine="0"/>
      </w:pPr>
      <w:bookmarkStart w:id="151" w:name="参考工程及单位造价"/>
      <w:r>
        <w:rPr>
          <w:rFonts w:ascii="Times New Roman" w:hAnsi="Times New Roman" w:eastAsia="方正仿宋_GBK"/>
          <w:b/>
          <w:sz w:val="26"/>
        </w:rPr>
        <w:t xml:space="preserve">4.3.1 参考工程及单位造价</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[87]。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52" w:name="电缆长度占比与综合造价"/>
      <w:r>
        <w:rPr>
          <w:rFonts w:ascii="Times New Roman" w:hAnsi="Times New Roman" w:eastAsia="方正仿宋_GBK"/>
          <w:b/>
          <w:sz w:val="26"/>
        </w:rPr>
        <w:t xml:space="preserve">4.3.2 电缆长度占比与综合造价</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5"/>
        <w:keepNext/>
        <w:numPr>
          <w:numId w:val="0"/>
        </w:numPr>
        <w:spacing w:line="390" w:lineRule="exact" w:before="160" w:after="120"/>
        <w:ind w:firstLine="0"/>
      </w:pPr>
      <w:bookmarkStart w:id="153" w:name="联络能力与工程计费"/>
      <w:r>
        <w:rPr>
          <w:rFonts w:ascii="Times New Roman" w:hAnsi="Times New Roman" w:eastAsia="方正仿宋_GBK"/>
          <w:b/>
          <w:sz w:val="26"/>
        </w:rPr>
        <w:t xml:space="preserve">4.3.3 联络能力与工程计费</w:t>
      </w:r>
      <w:bookmarkEnd w:id="153"/>
    </w:p>
    <w:p>
      <w:pPr>
        <w:pStyle w:val="FirstParagraph"/>
        <w:widowControl/>
        <w:spacing w:line="348" w:lineRule="exact" w:before="0" w:after="0"/>
        <w:ind w:firstLine="480"/>
        <w:jc w:val="both"/>
      </w:pPr>
      <w:r>
        <w:rPr>
          <w:rFonts w:ascii="Times New Roman" w:hAnsi="Times New Roman" w:eastAsia="方正仿宋_GBK"/>
          <w:b w:val="0"/>
          <w:sz w:val="24"/>
        </w:rPr>
        <w:t xml:space="preserve">新增候选线的区段负荷参考值为7.49 MW，低于按允许电流折算的有功容量9.05 MW。模型按具体送受端馈线建立候选边，既有边不重复计原建设费，新增边按投运年计项目费用。线路价格改变时，候选路径、区段负荷及热限保持不变，用于识别经济参数的影响。</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444" w:name="h444"/>
      <w:bookmarkStart w:id="154" w:name="储能投资模型"/>
      <w:r>
        <w:rPr>
          <w:rFonts w:ascii="Times New Roman" w:hAnsi="Times New Roman" w:eastAsia="方正仿宋_GBK"/>
          <w:b/>
          <w:sz w:val="32"/>
        </w:rPr>
        <w:t xml:space="preserve">4.4 储能投资模型</w:t>
      </w:r>
      <w:bookmarkEnd w:id="154"/>
      <w:bookmarkEnd w:id="1444"/>
    </w:p>
    <w:p>
      <w:pPr>
        <w:pStyle w:val="5"/>
        <w:keepNext/>
        <w:numPr>
          <w:numId w:val="0"/>
        </w:numPr>
        <w:spacing w:line="390" w:lineRule="exact" w:before="160" w:after="120"/>
        <w:ind w:firstLine="0"/>
      </w:pPr>
      <w:bookmarkStart w:id="155" w:name="储能规格与采购价格依据"/>
      <w:r>
        <w:rPr>
          <w:rFonts w:ascii="Times New Roman" w:hAnsi="Times New Roman" w:eastAsia="方正仿宋_GBK"/>
          <w:b/>
          <w:sz w:val="26"/>
        </w:rPr>
        <w:t xml:space="preserve">4.4.1 储能规格与采购价格依据</w:t>
      </w:r>
      <w:bookmarkEnd w:id="155"/>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kWh柜规格。苏州采购公告的储能柜子项最高限价为27.20万元，作为单柜价格参考[88]。模型投资采用浏阳用户侧储能项目的成套中标价210.46万元，保证交付规模为1 MW/2.15 MWh，折合10柜[86]。</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储能采购价格依据[88][86]</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56" w:name="成套柜单位价格"/>
      <w:r>
        <w:rPr>
          <w:rFonts w:ascii="Times New Roman" w:hAnsi="Times New Roman" w:eastAsia="方正仿宋_GBK"/>
          <w:b/>
          <w:sz w:val="26"/>
        </w:rPr>
        <w:t xml:space="preserve">4.4.2 成套柜单位价格</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57" w:name="储能有效支撑功率与持续时间"/>
      <w:r>
        <w:rPr>
          <w:rFonts w:ascii="Times New Roman" w:hAnsi="Times New Roman" w:eastAsia="方正仿宋_GBK"/>
          <w:b/>
          <w:sz w:val="26"/>
        </w:rPr>
        <w:t xml:space="preserve">4.4.3 储能有效支撑功率与持续时间</w:t>
      </w:r>
      <w:bookmarkEnd w:id="157"/>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储能有效功率取额定功率与可用电量折算功率的较小值。设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单位为MW，单柜额定能量为0.215 MWh，额定功率为0.10 MW，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单位为h。10柜在4 h条件下有效功率为0.4085 MW，单位有效功率投资约515.19万元/MW。正向支撑和反向吸收分别使用相应持续时间。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58"/>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储能单位有效支撑功率投资与持续时间</w:t>
      </w:r>
    </w:p>
    <w:p>
      <w:pPr>
        <w:pStyle w:val="5"/>
        <w:keepNext/>
        <w:numPr>
          <w:numId w:val="0"/>
        </w:numPr>
        <w:spacing w:line="390" w:lineRule="exact" w:before="160" w:after="120"/>
        <w:ind w:firstLine="0"/>
      </w:pPr>
      <w:bookmarkStart w:id="159" w:name="可用能力与工程适用性"/>
      <w:r>
        <w:rPr>
          <w:rFonts w:ascii="Times New Roman" w:hAnsi="Times New Roman" w:eastAsia="方正仿宋_GBK"/>
          <w:b/>
          <w:sz w:val="26"/>
        </w:rPr>
        <w:t xml:space="preserve">4.4.4 可用能力与工程适用性</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460" w:name="h460"/>
      <w:bookmarkStart w:id="160" w:name="参数变化与措施费用的联系"/>
      <w:r>
        <w:rPr>
          <w:rFonts w:ascii="Times New Roman" w:hAnsi="Times New Roman" w:eastAsia="方正仿宋_GBK"/>
          <w:b/>
          <w:sz w:val="32"/>
        </w:rPr>
        <w:t xml:space="preserve">4.5 参数变化与措施费用的联系</w:t>
      </w:r>
      <w:bookmarkEnd w:id="160"/>
      <w:bookmarkEnd w:id="1460"/>
    </w:p>
    <w:p>
      <w:pPr>
        <w:pStyle w:val="5"/>
        <w:keepNext/>
        <w:numPr>
          <w:numId w:val="0"/>
        </w:numPr>
        <w:spacing w:line="390" w:lineRule="exact" w:before="160" w:after="120"/>
        <w:ind w:firstLine="0"/>
      </w:pPr>
      <w:bookmarkStart w:id="161" w:name="电缆长度占比与联络费用"/>
      <w:r>
        <w:rPr>
          <w:rFonts w:ascii="Times New Roman" w:hAnsi="Times New Roman" w:eastAsia="方正仿宋_GBK"/>
          <w:b/>
          <w:sz w:val="26"/>
        </w:rPr>
        <w:t xml:space="preserve">4.5.1 电缆长度占比与联络费用</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62" w:name="储能支撑时间与配置费用"/>
      <w:r>
        <w:rPr>
          <w:rFonts w:ascii="Times New Roman" w:hAnsi="Times New Roman" w:eastAsia="方正仿宋_GBK"/>
          <w:b/>
          <w:sz w:val="26"/>
        </w:rPr>
        <w:t xml:space="preserve">4.5.2 储能支撑时间与配置费用</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kW、额定能量215 kWh的单柜为例，可用电量为0.1634 MWh，2、4、6 h下有效支撑功率分别为0.08170、0.04085、约0.02723 MW。按本章成套采购价格折算，每MW有效支撑对应的初始投资约为257.60、515.19、772.79万元。相同设备铭牌功率下，支撑时间越长，可供比较的有效功率越小，单位支撑费用越高[86]。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费用由新增柜数而非年末全部在役数量计取。</w:t>
      </w:r>
    </w:p>
    <w:p>
      <w:pPr>
        <w:pStyle w:val="5"/>
        <w:keepNext/>
        <w:numPr>
          <w:numId w:val="0"/>
        </w:numPr>
        <w:spacing w:line="390" w:lineRule="exact" w:before="160" w:after="120"/>
        <w:ind w:firstLine="0"/>
      </w:pPr>
      <w:bookmarkStart w:id="163" w:name="三类措施的经济比较"/>
      <w:r>
        <w:rPr>
          <w:rFonts w:ascii="Times New Roman" w:hAnsi="Times New Roman" w:eastAsia="方正仿宋_GBK"/>
          <w:b/>
          <w:sz w:val="26"/>
        </w:rPr>
        <w:t xml:space="preserve">4.5.3 三类措施的经济比较</w:t>
      </w:r>
      <w:bookmarkEnd w:id="163"/>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[30][28][10]。</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64" w:name="主变与线路储能的单位功率投资比"/>
      <w:r>
        <w:rPr>
          <w:rFonts w:ascii="Times New Roman" w:hAnsi="Times New Roman" w:eastAsia="方正仿宋_GBK"/>
          <w:b/>
          <w:sz w:val="26"/>
        </w:rPr>
        <w:t xml:space="preserve">4.5.4 主变与线路、储能的单位功率投资比</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为储能价格相对参考值的倍率。主变采用第4.2节的更换参考单价，扩建项目仍按单项工程投资计费[85,87,88,86]。</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477" w:name="h477"/>
      <w:bookmarkStart w:id="165" w:name="现金流现值计算"/>
      <w:r>
        <w:rPr>
          <w:rFonts w:ascii="Times New Roman" w:hAnsi="Times New Roman" w:eastAsia="方正仿宋_GBK"/>
          <w:b/>
          <w:sz w:val="32"/>
        </w:rPr>
        <w:t xml:space="preserve">4.6 现金流现值计算</w:t>
      </w:r>
      <w:bookmarkEnd w:id="165"/>
      <w:bookmarkEnd w:id="1477"/>
    </w:p>
    <w:p>
      <w:pPr>
        <w:pStyle w:val="5"/>
        <w:keepNext/>
        <w:numPr>
          <w:numId w:val="0"/>
        </w:numPr>
        <w:spacing w:line="390" w:lineRule="exact" w:before="160" w:after="120"/>
        <w:ind w:firstLine="0"/>
      </w:pPr>
      <w:bookmarkStart w:id="166" w:name="单项工程现值因子"/>
      <w:r>
        <w:rPr>
          <w:rFonts w:ascii="Times New Roman" w:hAnsi="Times New Roman" w:eastAsia="方正仿宋_GBK"/>
          <w:b/>
          <w:sz w:val="26"/>
        </w:rPr>
        <w:t xml:space="preserve">4.6.1 单项工程现值因子</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=6%。单项工程现值由投运投资、评价期内更新和投运次年起固定运维构成[10][11][12]。</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。主变按40年和系数0.042、线路按40年和系数0.022、储能按25年和系数0.030计算。2022—2025年投运的三类设备均未在2041年评价截止前达到设定寿命，因此本评价期内的更新支出为零。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5"/>
        <w:keepNext/>
        <w:numPr>
          <w:numId w:val="0"/>
        </w:numPr>
        <w:spacing w:line="390" w:lineRule="exact" w:before="160" w:after="120"/>
        <w:ind w:firstLine="0"/>
      </w:pPr>
      <w:bookmarkStart w:id="167" w:name="年度投运对现值的影响"/>
      <w:r>
        <w:rPr>
          <w:rFonts w:ascii="Times New Roman" w:hAnsi="Times New Roman" w:eastAsia="方正仿宋_GBK"/>
          <w:b/>
          <w:sz w:val="26"/>
        </w:rPr>
        <w:t xml:space="preserve">4.6.2 年度投运对现值的影响</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储能投资按各投运批次的新增柜数计算。主变安装位置在不同年份先后升档，每一次更换分别计当年新购整台容量，采购批次合计用于费用，容量净增用于设备状态及容载比。</w:t>
      </w:r>
    </w:p>
    <w:p>
      <w:pPr>
        <w:pStyle w:val="5"/>
        <w:keepNext/>
        <w:numPr>
          <w:numId w:val="0"/>
        </w:numPr>
        <w:spacing w:line="390" w:lineRule="exact" w:before="160" w:after="120"/>
        <w:ind w:firstLine="0"/>
      </w:pPr>
      <w:bookmarkStart w:id="168" w:name="费用构成与结果复算"/>
      <w:r>
        <w:rPr>
          <w:rFonts w:ascii="Times New Roman" w:hAnsi="Times New Roman" w:eastAsia="方正仿宋_GBK"/>
          <w:b/>
          <w:sz w:val="26"/>
        </w:rPr>
        <w:t xml:space="preserve">4.6.3 费用构成与结果复算</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69" w:name="评价期边界与费用解释"/>
      <w:r>
        <w:rPr>
          <w:rFonts w:ascii="Times New Roman" w:hAnsi="Times New Roman" w:eastAsia="方正仿宋_GBK"/>
          <w:b/>
          <w:sz w:val="26"/>
        </w:rPr>
        <w:t xml:space="preserve">4.6.4 评价期边界与费用解释</w:t>
      </w:r>
      <w:bookmarkEnd w:id="169"/>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2025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70" w:name="主变更换与扩建的投资差异"/>
      <w:r>
        <w:rPr>
          <w:rFonts w:ascii="Times New Roman" w:hAnsi="Times New Roman" w:eastAsia="方正仿宋_GBK"/>
          <w:b/>
          <w:sz w:val="26"/>
        </w:rPr>
        <w:t xml:space="preserve">4.6.5 主变更换与扩建的投资差异</w:t>
      </w:r>
      <w:bookmarkEnd w:id="170"/>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71" w:name="联络与储能的费用响应"/>
      <w:r>
        <w:rPr>
          <w:rFonts w:ascii="Times New Roman" w:hAnsi="Times New Roman" w:eastAsia="方正仿宋_GBK"/>
          <w:b/>
          <w:sz w:val="26"/>
        </w:rPr>
        <w:t xml:space="preserve">4.6.6 联络与储能的费用响应</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储能费用由新增柜数及单柜价格确定，有效支撑功率由额定功率、可用电量及持续时间共同确定。4 h条件下，10柜有效功率为0.4085 MW；2 h、6 h分别为0.8170 MW、约0.2723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503" w:name="h503"/>
      <w:bookmarkStart w:id="172"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72"/>
      <w:bookmarkEnd w:id="1503"/>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505" w:name="h505"/>
      <w:bookmarkStart w:id="173" w:name="寻优问题与共同起点"/>
      <w:r>
        <w:rPr>
          <w:rFonts w:ascii="Times New Roman" w:hAnsi="Times New Roman" w:eastAsia="方正仿宋_GBK"/>
          <w:b/>
          <w:sz w:val="32"/>
        </w:rPr>
        <w:t xml:space="preserve">5.1 寻优问题与共同起点</w:t>
      </w:r>
      <w:bookmarkEnd w:id="173"/>
      <w:bookmarkEnd w:id="1505"/>
    </w:p>
    <w:p>
      <w:pPr>
        <w:pStyle w:val="5"/>
        <w:keepNext/>
        <w:numPr>
          <w:numId w:val="0"/>
        </w:numPr>
        <w:spacing w:line="390" w:lineRule="exact" w:before="160" w:after="120"/>
        <w:ind w:firstLine="0"/>
      </w:pPr>
      <w:bookmarkStart w:id="174" w:name="年度负荷与共同仿真起点"/>
      <w:r>
        <w:rPr>
          <w:rFonts w:ascii="Times New Roman" w:hAnsi="Times New Roman" w:eastAsia="方正仿宋_GBK"/>
          <w:b/>
          <w:sz w:val="26"/>
        </w:rPr>
        <w:t xml:space="preserve">5.1.1 年度负荷与共同仿真起点</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两类方案保留相同的初始设备组合。市区初始主变总容量为2900.00 MVA，邳州为1463.50 MVA；基期负荷取2021年实际统计值，两地区基期容载比按两位小数均为2.00。该设置用于方案比较，实际在役容量仍采用第三章年度统计。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的初始仿真主变总容量，单位MVA；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年的原表网供最大负荷估计值，单位MW。已有年度负荷直接进入模型，保留2023年邳州及2022、2024年市区的负荷回落。标准复合增长率用于增长水平描述和通用情景设置。</w:t>
      </w:r>
    </w:p>
    <w:p>
      <w:pPr>
        <w:pStyle w:val="2"/>
        <w:keepNext/>
        <w:spacing w:line="280" w:lineRule="exact" w:before="120" w:after="80"/>
        <w:ind w:firstLine="0"/>
        <w:jc w:val="center"/>
      </w:pPr>
      <w:r>
        <w:rPr>
          <w:rFonts w:ascii="Times New Roman" w:hAnsi="Times New Roman" w:eastAsia="宋体"/>
          <w:b w:val="0"/>
          <w:sz w:val="21"/>
        </w:rPr>
        <w:t xml:space="preserve">表5-1 实际统计与仿真起点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仿真容量/MVA</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bl>
    <w:p>
      <w:pPr>
        <w:pStyle w:val="2"/>
        <w:widowControl/>
        <w:spacing w:line="348" w:lineRule="exact" w:before="0" w:after="0"/>
        <w:ind w:firstLine="480"/>
        <w:jc w:val="both"/>
      </w:pPr>
      <w:r>
        <w:rPr>
          <w:rFonts w:ascii="Times New Roman" w:hAnsi="Times New Roman" w:eastAsia="方正仿宋_GBK"/>
          <w:b w:val="0"/>
          <w:sz w:val="24"/>
        </w:rPr>
        <w:t xml:space="preserve">各站静态功率按已归档的区域正向峰值和最低净负荷工况分配，再按年度网供峰值标定。反向工况沿用同一源荷结构，属于按年度规模标定的研究情景。</w:t>
      </w:r>
    </w:p>
    <w:p>
      <w:pPr>
        <w:pStyle w:val="5"/>
        <w:keepNext/>
        <w:numPr>
          <w:numId w:val="0"/>
        </w:numPr>
        <w:spacing w:line="390" w:lineRule="exact" w:before="160" w:after="120"/>
        <w:ind w:firstLine="0"/>
      </w:pPr>
      <w:bookmarkStart w:id="175" w:name="刚性与弹性方案"/>
      <w:r>
        <w:rPr>
          <w:rFonts w:ascii="Times New Roman" w:hAnsi="Times New Roman" w:eastAsia="方正仿宋_GBK"/>
          <w:b/>
          <w:sz w:val="26"/>
        </w:rPr>
        <w:t xml:space="preserve">5.1.2 刚性与弹性方案</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以费用最小选择设备组合，容量由正常及N-1承载需求、允许规格和扩建位置共同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在候选设备及场地条件下允许的最大容量。刚性方案的下端参考值</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按增长率对应的导则范围确定，市区1.50、邳州1.70[7]。两类方案均按实际设备配置与同年网供峰值计算容载比。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76" w:name="工程候选与参数设置"/>
      <w:r>
        <w:rPr>
          <w:rFonts w:ascii="Times New Roman" w:hAnsi="Times New Roman" w:eastAsia="方正仿宋_GBK"/>
          <w:b/>
          <w:sz w:val="26"/>
        </w:rPr>
        <w:t xml:space="preserve">5.1.3 工程候选与参数设置</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h，反向持续时间按各站静态参数设置。推广进一步比较2、4、6 h三个定值，在相同储能规格与工程价格下分析持续支撑要求对配置的影响。</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年度负荷</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2022—2025年逐年统计</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同范围110 kV年度记录</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静态截面</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邳州26个、市区45个</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地区和各站局部极值同期截面</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 h、市区6 h</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储能规格及可用电量系数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kWh；0.76</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采购资料及静态折算</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新购主变规格</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31.50、50、63、80 MVA</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第三台主变</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有预留条件时50 MVA</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既有转供能力</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逐站MW上限与网络能力共同限制</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全停全转统计及馈线资料</w:t>
            </w:r>
          </w:p>
        </w:tc>
      </w:tr>
      <w:tr>
        <w:trPr>
          <w:cantSplit/>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新增联络费用</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供电安全及功率因数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正常及最大单台主变N-1；0.95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逐工况校核</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528" w:name="h528"/>
      <w:bookmarkStart w:id="177" w:name="三类措施的选取与寻优方法"/>
      <w:r>
        <w:rPr>
          <w:rFonts w:ascii="Times New Roman" w:hAnsi="Times New Roman" w:eastAsia="方正仿宋_GBK"/>
          <w:b/>
          <w:sz w:val="32"/>
        </w:rPr>
        <w:t xml:space="preserve">5.2 三类措施的选取与寻优方法</w:t>
      </w:r>
      <w:bookmarkEnd w:id="177"/>
      <w:bookmarkEnd w:id="1528"/>
    </w:p>
    <w:p>
      <w:pPr>
        <w:pStyle w:val="5"/>
        <w:keepNext/>
        <w:numPr>
          <w:numId w:val="0"/>
        </w:numPr>
        <w:spacing w:line="390" w:lineRule="exact" w:before="160" w:after="120"/>
        <w:ind w:firstLine="0"/>
      </w:pPr>
      <w:bookmarkStart w:id="178" w:name="主变增容及扩建方案"/>
      <w:r>
        <w:rPr>
          <w:rFonts w:ascii="Times New Roman" w:hAnsi="Times New Roman" w:eastAsia="方正仿宋_GBK"/>
          <w:b/>
          <w:sz w:val="26"/>
        </w:rPr>
        <w:t xml:space="preserve">5.2.1 主变增容及扩建方案</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在后续年份维持或升档。更换主变按新购整台容量计费，新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79" w:name="利用既有10-kv联络能力"/>
      <w:r>
        <w:rPr>
          <w:rFonts w:ascii="Times New Roman" w:hAnsi="Times New Roman" w:eastAsia="方正仿宋_GBK"/>
          <w:b/>
          <w:sz w:val="26"/>
        </w:rPr>
        <w:t xml:space="preserve">5.2.2 利用既有10 kV联络能力</w:t>
      </w:r>
      <w:bookmarkEnd w:id="179"/>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既有网络按地区转供资料和逐站MW上限建模，统计计算见第3.6节。既有通道转出功率之和按每站预算约束，共用馈线的多条通道共用源端负荷和接收余量。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的转出功率，</w:t>
      </w:r>
      <m:oMath>
        <m:sSub>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为既有网络标定预算，</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为补充资料所列站外最大可供负荷，单位均为MW。正常和故障工况分别安排转供，既有能力以固定MW预算使用。</w:t>
      </w:r>
    </w:p>
    <w:p>
      <w:pPr>
        <w:pStyle w:val="5"/>
        <w:keepNext/>
        <w:numPr>
          <w:numId w:val="0"/>
        </w:numPr>
        <w:spacing w:line="390" w:lineRule="exact" w:before="160" w:after="120"/>
        <w:ind w:firstLine="0"/>
      </w:pPr>
      <w:bookmarkStart w:id="180" w:name="新建10-kv联络提升转供能力"/>
      <w:r>
        <w:rPr>
          <w:rFonts w:ascii="Times New Roman" w:hAnsi="Times New Roman" w:eastAsia="方正仿宋_GBK"/>
          <w:b/>
          <w:sz w:val="26"/>
        </w:rPr>
        <w:t xml:space="preserve">5.2.3 新建10 kV联络提升转供能力</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81" w:name="负荷转接与容量衔接"/>
      <w:r>
        <w:rPr>
          <w:rFonts w:ascii="Times New Roman" w:hAnsi="Times New Roman" w:eastAsia="方正仿宋_GBK"/>
          <w:b/>
          <w:sz w:val="26"/>
        </w:rPr>
        <w:t xml:space="preserve">5.2.4 负荷转接与容量衔接</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为转出及承接负荷，单位均为MW。正向为受电，负向为反送；电源仍归属原站，转出用电负荷可能加重本地反向功率。每个工况使用自身源荷分布，分别校核两方向容量。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82" w:name="储能有效支撑功率"/>
      <w:r>
        <w:rPr>
          <w:rFonts w:ascii="Times New Roman" w:hAnsi="Times New Roman" w:eastAsia="方正仿宋_GBK"/>
          <w:b/>
          <w:sz w:val="26"/>
        </w:rPr>
        <w:t xml:space="preserve">5.2.5 储能有效支撑功率</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为相应有效功率，单位MW。4 h条件下每柜可提供0.04085 MW的静态支撑。工程应用条件见第4.4.4节。</w:t>
      </w:r>
    </w:p>
    <w:p>
      <w:pPr>
        <w:pStyle w:val="4"/>
        <w:keepNext/>
        <w:numPr>
          <w:numId w:val="0"/>
        </w:numPr>
        <w:spacing w:line="480" w:lineRule="exact" w:before="160" w:after="120"/>
        <w:ind w:firstLine="0"/>
      </w:pPr>
      <w:bookmarkStart w:id="1548" w:name="h548"/>
      <w:bookmarkStart w:id="183" w:name="约束条件与求解流程"/>
      <w:r>
        <w:rPr>
          <w:rFonts w:ascii="Times New Roman" w:hAnsi="Times New Roman" w:eastAsia="方正仿宋_GBK"/>
          <w:b/>
          <w:sz w:val="32"/>
        </w:rPr>
        <w:t xml:space="preserve">5.3 约束条件与求解流程</w:t>
      </w:r>
      <w:bookmarkEnd w:id="183"/>
      <w:bookmarkEnd w:id="1548"/>
    </w:p>
    <w:p>
      <w:pPr>
        <w:pStyle w:val="5"/>
        <w:keepNext/>
        <w:numPr>
          <w:numId w:val="0"/>
        </w:numPr>
        <w:spacing w:line="390" w:lineRule="exact" w:before="160" w:after="120"/>
        <w:ind w:firstLine="0"/>
      </w:pPr>
      <w:bookmarkStart w:id="184" w:name="正常运行与主变n-1"/>
      <w:r>
        <w:rPr>
          <w:rFonts w:ascii="Times New Roman" w:hAnsi="Times New Roman" w:eastAsia="方正仿宋_GBK"/>
          <w:b/>
          <w:sz w:val="26"/>
        </w:rPr>
        <w:t xml:space="preserve">5.3.1 正常运行与主变N-1</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市区45个、邳州26个同期静态截面分别校核正常运行及各站最大单台主变N-1。故障站按剩余主变容量计算，健康邻站保留全部主变，允许通过已投运线路重新安排负荷。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为工况下可用主变容量。正常及N-1场景共用同一建设方案，分别校核馈线和接收站能力。区县内部转出、转入功率合计相等，区域网供峰值的统计定义保持不变。</w:t>
      </w:r>
    </w:p>
    <w:p>
      <w:pPr>
        <w:pStyle w:val="5"/>
        <w:keepNext/>
        <w:numPr>
          <w:numId w:val="0"/>
        </w:numPr>
        <w:spacing w:line="390" w:lineRule="exact" w:before="160" w:after="120"/>
        <w:ind w:firstLine="0"/>
      </w:pPr>
      <w:bookmarkStart w:id="185" w:name="评价期费用目标"/>
      <w:r>
        <w:rPr>
          <w:rFonts w:ascii="Times New Roman" w:hAnsi="Times New Roman" w:eastAsia="方正仿宋_GBK"/>
          <w:b/>
          <w:sz w:val="26"/>
        </w:rPr>
        <w:t xml:space="preserve">5.3.2 评价期费用目标</w:t>
      </w:r>
      <w:bookmarkEnd w:id="185"/>
    </w:p>
    <w:p>
      <w:pPr>
        <w:pStyle w:val="FirstParagraph"/>
        <w:widowControl/>
        <w:spacing w:line="348" w:lineRule="exact" w:before="0" w:after="0"/>
        <w:ind w:firstLine="480"/>
        <w:jc w:val="both"/>
      </w:pPr>
      <w:r>
        <w:rPr>
          <w:rFonts w:ascii="Times New Roman" w:hAnsi="Times New Roman" w:eastAsia="方正仿宋_GBK"/>
          <w:b w:val="0"/>
          <w:sz w:val="24"/>
        </w:rPr>
        <w:t xml:space="preserve">模型以共同评价期内新增措施费用现值最小为目标，采用第四章的价格、寿命、维护费率和折现率，在投运当年计建设投资、次年起计固定运维，对评价期内达到设定寿命的设备按统一规则计取更新费用。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86" w:name="三类措施的约束寻优流程"/>
      <w:r>
        <w:rPr>
          <w:rFonts w:ascii="Times New Roman" w:hAnsi="Times New Roman" w:eastAsia="方正仿宋_GBK"/>
          <w:b/>
          <w:sz w:val="26"/>
        </w:rPr>
        <w:t xml:space="preserve">5.3.3 三类措施的约束寻优流程</w:t>
      </w:r>
      <w:bookmarkEnd w:id="186"/>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计算结果按设备状态、容量非减、功率平衡、馈线共享余量、接收站容量及费用分项逐项复核，并以独立网络算法检查各静态工况的可行性。</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寻优先载入共同初始设备和实际年度负荷，再建立允许的主变规格、扩建位置、储能柜数与联络投运状态。正常和各站最大单台主变N-1分别使用同一套建设状态，运行转接变量随工况变化。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和投运状态采用整数变量，转供功率采用连续变量，容量储备通过技术与规划约束体现，以费用最小作为唯一经济目标。取得可行配置后，分别汇总年度容量、采购容量、储能和线路工程，再按第四章现金流复算费用，核对所列工程与经济结论。</w:t>
      </w:r>
    </w:p>
    <w:p>
      <w:pPr>
        <w:pStyle w:val="4"/>
        <w:keepNext/>
        <w:numPr>
          <w:numId w:val="0"/>
        </w:numPr>
        <w:spacing w:line="480" w:lineRule="exact" w:before="160" w:after="120"/>
        <w:ind w:firstLine="0"/>
      </w:pPr>
      <w:bookmarkStart w:id="1560" w:name="h560"/>
      <w:bookmarkStart w:id="187" w:name="寻优结果"/>
      <w:r>
        <w:rPr>
          <w:rFonts w:ascii="Times New Roman" w:hAnsi="Times New Roman" w:eastAsia="方正仿宋_GBK"/>
          <w:b/>
          <w:sz w:val="32"/>
        </w:rPr>
        <w:t xml:space="preserve">5.4 寻优结果</w:t>
      </w:r>
      <w:bookmarkEnd w:id="187"/>
      <w:bookmarkEnd w:id="1560"/>
    </w:p>
    <w:p>
      <w:pPr>
        <w:pStyle w:val="5"/>
        <w:keepNext/>
        <w:numPr>
          <w:numId w:val="0"/>
        </w:numPr>
        <w:spacing w:line="390" w:lineRule="exact" w:before="160" w:after="120"/>
        <w:ind w:firstLine="0"/>
      </w:pPr>
      <w:bookmarkStart w:id="188" w:name="邳州逐年方案"/>
      <w:r>
        <w:rPr>
          <w:rFonts w:ascii="Times New Roman" w:hAnsi="Times New Roman" w:eastAsia="方正仿宋_GBK"/>
          <w:b/>
          <w:sz w:val="26"/>
        </w:rPr>
        <w:t xml:space="preserve">5.4.1 邳州逐年方案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邳州弹性方案2022年完成240.50 MVA净增容量，主变总容量达到1704.00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bl>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14588.04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2653.89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1891.08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12553.76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1527.82</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邳州两类方案的主要差异出现在建设时序。2022年弹性方案完成240.50 MVA净增容量，主变总容量达到1704.00 MVA，而刚性方案当年受容量上限约束，形成1642.50 MVA，并以储能及联络共同补足局部供电需求。2024年刚性方案再增加61.50 MVA，两类方案此后总容量相同。前期主变建设规模的差异改变了后续补充措施的选择，年度主变采购与储能、联络增量共同解释方案费用。</w:t>
      </w:r>
    </w:p>
    <w:p>
      <w:pPr>
        <w:pStyle w:val="2"/>
        <w:widowControl/>
        <w:spacing w:line="348" w:lineRule="exact" w:before="0" w:after="0"/>
        <w:ind w:firstLine="480"/>
        <w:jc w:val="both"/>
      </w:pPr>
      <w:r>
        <w:rPr>
          <w:rFonts w:ascii="Times New Roman" w:hAnsi="Times New Roman" w:eastAsia="方正仿宋_GBK"/>
          <w:b w:val="0"/>
          <w:sz w:val="24"/>
        </w:rPr>
        <w:t xml:space="preserve">2023年负荷较2022年回落约8%，两类方案均保持当年设备状态，容载比分别升至2.16和2.24。该年的比值上升由负荷变化形成。2024年负荷恢复后，刚性方案同时增容，弹性方案利用已投运容量并新增2项联络。2025年负荷进一步增加，两类方案主变容量均保持1704.00 MVA，容载比均为1.78。此时刚性方案继续增加储能及联络，弹性方案新增7.74 MWh储能和6项联络，反映出相同区域总容量下的站内设备结构和网络任务差异。</w:t>
      </w:r>
    </w:p>
    <w:p>
      <w:pPr>
        <w:pStyle w:val="2"/>
        <w:widowControl/>
        <w:spacing w:line="348" w:lineRule="exact" w:before="0" w:after="0"/>
        <w:ind w:firstLine="480"/>
        <w:jc w:val="both"/>
      </w:pPr>
      <w:r>
        <w:rPr>
          <w:rFonts w:ascii="Times New Roman" w:hAnsi="Times New Roman" w:eastAsia="方正仿宋_GBK"/>
          <w:b w:val="0"/>
          <w:sz w:val="24"/>
        </w:rPr>
        <w:t xml:space="preserve">年度新增工程表中的主变新购容量包含更换和扩建采购，扣除同期被替换主变容量后得到净增容量。例如，邳州弹性方案2022年新购483.50 MVA、替换原设备243.00 MVA，容量净增240.50 MVA。新购容量用于计取工程投资，净增容量决定在役总容量及容载比的变化。负荷回落年份即使不新增主变，容载比也可能升高，后续负荷恢复时，前期投运设备继续满足相应需求。</w:t>
      </w:r>
    </w:p>
    <w:p>
      <w:pPr>
        <w:pStyle w:val="5"/>
        <w:keepNext/>
        <w:numPr>
          <w:numId w:val="0"/>
        </w:numPr>
        <w:spacing w:line="390" w:lineRule="exact" w:before="160" w:after="120"/>
        <w:ind w:firstLine="0"/>
      </w:pPr>
      <w:bookmarkStart w:id="189" w:name="市区逐年方案"/>
      <w:r>
        <w:rPr>
          <w:rFonts w:ascii="Times New Roman" w:hAnsi="Times New Roman" w:eastAsia="方正仿宋_GBK"/>
          <w:b/>
          <w:sz w:val="26"/>
        </w:rPr>
        <w:t xml:space="preserve">5.4.2 市区逐年方案</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市区弹性方案2022年完成23.00 MVA净增容量，主变总容量达到2923.00 MVA，之后三年保持该容量。各年储能和联络工程按当年供电需求安排，具体在役规模及新增建设分别列于下表。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190"/>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市区2022年负荷低于2021年、2024年负荷低于2023年，刚性方案在这两个年份均保留已投运的2900.00 MVA主变容量。因此，相应年度容载比超过2.0由负荷减少形成，未伴随新增主变。</w:t>
      </w:r>
    </w:p>
    <w:p>
      <w:pPr>
        <w:pStyle w:val="2"/>
        <w:widowControl/>
        <w:spacing w:line="348" w:lineRule="exact" w:before="0" w:after="0"/>
        <w:ind w:firstLine="480"/>
        <w:jc w:val="both"/>
      </w:pPr>
      <w:r>
        <w:rPr>
          <w:rFonts w:ascii="Times New Roman" w:hAnsi="Times New Roman" w:eastAsia="方正仿宋_GBK"/>
          <w:b w:val="0"/>
          <w:sz w:val="24"/>
        </w:rPr>
        <w:t xml:space="preserve">市区四年中2023年的年度负荷最高，为1542.22 MW。两类方案首年建设完成后，后续主变总容量均保持不变，因此2023年的容载比低于2022年和2024年。到2025年，年度负荷为1528.82 MW，仍略低于2023年。以四年复合平均增长率描述增长阶段时，还需保留这类年际波动，逐年容量安排才能与实际供电任务对应。</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市区弹性方案选择在翟山变将一台40 MVA主变更换为63 MVA，既增加23 MVA区域容量，也将该站最大80 MVA主变停运后的剩余容量从40 MVA提高至63 MVA。刚性方案保留原主变容量，首年增加5项联络，借助网络重新安排负荷。两类方案分别以站内补强和新增通道满足同一组供电约束，费用差主要由这两类措施的工程费用形成。既有逐站转供能力在两类方案中共同参与支援。</w:t>
      </w:r>
    </w:p>
    <w:p>
      <w:pPr>
        <w:pStyle w:val="5"/>
        <w:keepNext/>
        <w:numPr>
          <w:numId w:val="0"/>
        </w:numPr>
        <w:spacing w:line="390" w:lineRule="exact" w:before="160" w:after="120"/>
        <w:ind w:firstLine="0"/>
      </w:pPr>
      <w:bookmarkStart w:id="191" w:name="弹性方案与导则建议范围的逐年对照"/>
      <w:r>
        <w:rPr>
          <w:rFonts w:ascii="Times New Roman" w:hAnsi="Times New Roman" w:eastAsia="方正仿宋_GBK"/>
          <w:b/>
          <w:sz w:val="26"/>
        </w:rPr>
        <w:t xml:space="preserve">5.4.3 弹性方案与导则建议范围的逐年对照</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2025年4月《配电网规划设计技术导则（修订稿）》第6.2.2.1条提出容载比总体控制在1.5～2.0，表2按年最大净负荷平均增长率划分发展阶段，相应建议范围如下[7]。</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本节沿用建模采用的2021—2025年复合平均增长率，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MW，平均增长率约7%，属于4%＜KP≤7%的中等增长阶段，对应建议范围1.7～1.9，市区由1449.77 MW增至1528.82 MW，平均增长率约1%，属于KP≤2%的饱和期，对应建议范围1.5～1.7[7]。</w:t>
      </w:r>
    </w:p>
    <w:p>
      <w:pPr>
        <w:pStyle w:val="2"/>
        <w:widowControl/>
        <w:spacing w:line="348" w:lineRule="exact" w:before="0" w:after="0"/>
        <w:ind w:firstLine="480"/>
        <w:jc w:val="both"/>
      </w:pPr>
      <w:r>
        <w:rPr>
          <w:rFonts w:ascii="Times New Roman" w:hAnsi="Times New Roman" w:eastAsia="方正仿宋_GBK"/>
          <w:b w:val="0"/>
          <w:sz w:val="24"/>
        </w:rPr>
        <w:t xml:space="preserve">前述年度表为共同压缩起点下、正常允许调整供区的弹性无下限方案规划回算结果。按上述增长率统一分档，邳州2022—2024年均高于分档建议上限1.9，2025年降至1.78，进入建议范围，市区四年均高于分档建议上限1.7，其中2025年为1.91，高出约0.21。两地区各年结果均高于对应建议下限。按条文总体范围比较，邳州2022、2023年和市区2022、2024年超过2.0，其余年度位于1.5～2.0内[7]。年度负荷回落解释了部分年份容载比的上升：邳州2023年、市区2024年容量保持不变，负荷下降使比值升高，后续负荷恢复又使比值回落。</w:t>
      </w:r>
    </w:p>
    <w:p>
      <w:pPr>
        <w:pStyle w:val="2"/>
        <w:widowControl/>
        <w:spacing w:line="348" w:lineRule="exact" w:before="0" w:after="0"/>
        <w:ind w:firstLine="480"/>
        <w:jc w:val="both"/>
      </w:pPr>
      <w:r>
        <w:rPr>
          <w:rFonts w:ascii="Times New Roman" w:hAnsi="Times New Roman" w:eastAsia="方正仿宋_GBK"/>
          <w:b w:val="0"/>
          <w:sz w:val="24"/>
        </w:rPr>
        <w:t xml:space="preserve">市区连续高于分档建议上限，还与共同初始容量有关。以2025年为例，1528.82 MW负荷按容载比1.7折算容量为2598.99 MVA，而共同初始容量已为2900.00 MVA，高出301.01 MVA。容量保持非减的条件下，初始设备对应当年容载比约1.90。在此基础上，弹性方案2022年将翟山变一台40 MVA主变更换为63 MVA，净增23.00 MVA，四年均保持2923.00 MVA，2025年容载比为1.91。初始容量与新增补强分别贡献了超出分档建议上限的主要部分和增量部分。翟山变更换后，在最大80 MVA主变停运时保留63 MVA容量，并结合既有转供满足本次工况约束。这项设备补强与既定初始容量应分别解释。</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[7]。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192" w:name="建设规模与费用比较"/>
      <w:r>
        <w:rPr>
          <w:rFonts w:ascii="Times New Roman" w:hAnsi="Times New Roman" w:eastAsia="方正仿宋_GBK"/>
          <w:b/>
          <w:sz w:val="26"/>
        </w:rPr>
        <w:t xml:space="preserve">5.4.4 建设规模与费用比较</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两地区刚性可行方案费用现值合计21790.82万元，弹性为15793.49万元，减少5997.33万元，降幅约28%。</w:t>
      </w:r>
    </w:p>
    <w:p>
      <w:pPr>
        <w:pStyle w:val="2"/>
        <w:keepNext/>
        <w:spacing w:line="280" w:lineRule="exact" w:before="120" w:after="80"/>
        <w:ind w:firstLine="0"/>
        <w:jc w:val="center"/>
      </w:pPr>
      <w:r>
        <w:rPr>
          <w:rFonts w:ascii="Times New Roman" w:hAnsi="Times New Roman" w:eastAsia="宋体"/>
          <w:b w:val="0"/>
          <w:sz w:val="21"/>
        </w:rPr>
        <w:t xml:space="preserve">表5-9 两地区方案费用比较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19133.01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14346.85</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keepNext/>
        <w:spacing w:line="280" w:lineRule="exact" w:before="120" w:after="80"/>
        <w:ind w:firstLine="0"/>
        <w:jc w:val="center"/>
      </w:pPr>
      <w:r>
        <w:rPr>
          <w:rFonts w:ascii="Times New Roman" w:hAnsi="Times New Roman" w:eastAsia="宋体"/>
          <w:b w:val="0"/>
          <w:sz w:val="21"/>
        </w:rPr>
        <w:t xml:space="preserve">表5-10 2025年在役措施及累计建设规模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4261"/>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193"/>
                    <a:stretch>
                      <a:fillRect/>
                    </a:stretch>
                  </pic:blipFill>
                  <pic:spPr bwMode="auto">
                    <a:xfrm>
                      <a:off x="0" y="0"/>
                      <a:ext cx="5120640" cy="25142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232012"/>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194"/>
                    <a:stretch>
                      <a:fillRect/>
                    </a:stretch>
                  </pic:blipFill>
                  <pic:spPr bwMode="auto">
                    <a:xfrm>
                      <a:off x="0" y="0"/>
                      <a:ext cx="5120640" cy="223201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两地区均从共同压缩起点开展规划回算，首年必要补强计入建设投资，既有转供受逐站资料上限约束，新增联络按地区电缆长度占比计价。在这些相同条件下，比较通过全部静态工况校核的具体可行方案费用。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11340.87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2040.34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19133.01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11648.73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1916.05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14346.85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2657.80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主变费用现值增加307.86万元，储能和联络分别减少4969.74万元、124.29万元，合计减少4786.17万元。首年较充分的主变补强降低了后续配储需求，储能费用减少是该地区费用差的主要来源。两类方案2024年起总容量相同，但主变采购及配套措施的时序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以1446.64万元主变费用现值替代刚性方案2657.80万元联络费用，合计减少1211.17万元。既有转供在两类方案中均提供支援，费用优势来自新增补强方式的不同。两地区合计降幅由上述分项变化形成，区域容量变化与费用变化分别按设备及工程项目解释。</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bl>
    <w:p>
      <w:pPr>
        <w:pStyle w:val="5"/>
        <w:keepNext/>
        <w:numPr>
          <w:numId w:val="0"/>
        </w:numPr>
        <w:spacing w:line="390" w:lineRule="exact" w:before="160" w:after="120"/>
        <w:ind w:firstLine="0"/>
      </w:pPr>
      <w:bookmarkStart w:id="195" w:name="邳州逐站规划方案"/>
      <w:r>
        <w:rPr>
          <w:rFonts w:ascii="Times New Roman" w:hAnsi="Times New Roman" w:eastAsia="方正仿宋_GBK"/>
          <w:b/>
          <w:sz w:val="26"/>
        </w:rPr>
        <w:t xml:space="preserve">5.4.5 邳州逐站规划方案</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逐站表格列示区域正向峰值和最低净负荷两个代表工况的转接量，完整校核同时覆盖各站局部极值截面。主变N-1按本站最大单台容量扣除，健康邻站保留正常可用容量，转供使用已投运线路。</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列示两类方案的四年设备状态及区域正向峰值正常转接，随后结合2025年两代表工况和四年中本站绝对功率最大的校核工况，解释主变N-1后的站间支援。表中储能均为在役额定功率，支撑能力另按邳州2 h及可用电量折算。</w:t>
      </w:r>
    </w:p>
    <w:p>
      <w:pPr>
        <w:pStyle w:val="7"/>
        <w:keepNext/>
        <w:numPr>
          <w:numId w:val="0"/>
        </w:numPr>
        <w:spacing w:line="360" w:lineRule="exact" w:before="160" w:after="120"/>
        <w:ind w:firstLine="0"/>
      </w:pPr>
      <w:bookmarkStart w:id="196" w:name="八义集变规划分析"/>
      <w:r>
        <w:rPr>
          <w:rFonts w:ascii="Times New Roman" w:hAnsi="Times New Roman" w:eastAsia="方正仿宋_GBK"/>
          <w:b/>
          <w:sz w:val="24"/>
        </w:rPr>
        <w:t xml:space="preserve">八义集变规划分析</w:t>
      </w:r>
      <w:bookmarkEnd w:id="19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MVA，弹性方案四年均保留该组合，并2025年新增0.60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2025年本站最大正向、反向净负荷分别为37.23 MW、19.12 MW。在同一需求下，刚性方案当年主变容量为70.00 MVA、储能额定功率0.60 MW，弹性方案分别为70.00 MVA和0.60 MW，两类方案本站主变总容量相同。弹性方案按当年各站局部极值计算的站级负载率为56%。</w:t>
      </w:r>
    </w:p>
    <w:p>
      <w:pPr>
        <w:pStyle w:val="2"/>
        <w:keepNext/>
        <w:spacing w:line="280" w:lineRule="exact" w:before="120" w:after="80"/>
        <w:ind w:firstLine="0"/>
        <w:jc w:val="center"/>
      </w:pPr>
      <w:r>
        <w:rPr>
          <w:rFonts w:ascii="Times New Roman" w:hAnsi="Times New Roman" w:eastAsia="宋体"/>
          <w:b w:val="0"/>
          <w:sz w:val="21"/>
        </w:rPr>
        <w:t xml:space="preserve">表5-13 八义集变年度配置与正向峰值正常转接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MW，转接后净负荷为30.29 MW，区域最低净负荷工况下为-6.39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MVA，两代表工况重新转供后的本站净负荷分别为19.49 MW、-6.39 MW，两方向最小容量余量为0.00 MW，正向储能有效支撑功率为0.49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四年校核截面中，本站绝对功率最大的工况出现在2025年，转接前为37.23 MW，主要表现为正向受电需求，该年设备在最大单台主变N-1后剩余容量为20.00 MVA。故障方式下本站转出17.74 MW、承接0.00 MW，其中与土山变之间的主要转出功率为14.46 MW，转接后净负荷为19.49 MW。这一工况通过邻站分担本站故障后的正向负荷。</w:t>
      </w:r>
    </w:p>
    <w:p>
      <w:pPr>
        <w:pStyle w:val="7"/>
        <w:keepNext/>
        <w:numPr>
          <w:numId w:val="0"/>
        </w:numPr>
        <w:spacing w:line="360" w:lineRule="exact" w:before="160" w:after="120"/>
        <w:ind w:firstLine="0"/>
      </w:pPr>
      <w:bookmarkStart w:id="197" w:name="大宋变规划分析"/>
      <w:r>
        <w:rPr>
          <w:rFonts w:ascii="Times New Roman" w:hAnsi="Times New Roman" w:eastAsia="方正仿宋_GBK"/>
          <w:b/>
          <w:sz w:val="24"/>
        </w:rPr>
        <w:t xml:space="preserve">大宋变规划分析</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2025年本站最大正向、反向净负荷分别为69.44 MW、31.77 MW。在同一需求下，刚性方案当年主变容量为103.00 MVA、储能额定功率0.00 MW，弹性方案分别为103.00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表5-14 大宋变年度配置与正向峰值正常转接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MW，转接后净负荷为69.44 MW，区域最低净负荷工况下为-31.77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MW、-31.77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四年校核截面中，本站绝对功率最大的工况出现在2025年，转接前为69.44 MW，主要表现为正向受电需求，该年设备在最大单台主变N-1后剩余容量为40.00 MVA。故障方式下本站转出31.44 MW、承接0.00 MW，其中与宿羊山变之间的主要转出功率为12.15 MW，转接后净负荷为38.00 MW。这一工况通过邻站分担本站故障后的正向负荷。</w:t>
      </w:r>
    </w:p>
    <w:p>
      <w:pPr>
        <w:pStyle w:val="7"/>
        <w:keepNext/>
        <w:numPr>
          <w:numId w:val="0"/>
        </w:numPr>
        <w:spacing w:line="360" w:lineRule="exact" w:before="160" w:after="120"/>
        <w:ind w:firstLine="0"/>
      </w:pPr>
      <w:bookmarkStart w:id="198" w:name="戴圩变规划分析"/>
      <w:r>
        <w:rPr>
          <w:rFonts w:ascii="Times New Roman" w:hAnsi="Times New Roman" w:eastAsia="方正仿宋_GBK"/>
          <w:b/>
          <w:sz w:val="24"/>
        </w:rPr>
        <w:t xml:space="preserve">戴圩变规划分析</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2025年本站最大正向、反向净负荷分别为30.30 MW、24.46 MW。在同一需求下，刚性方案当年主变容量为70.00 MVA、储能额定功率0.00 MW，弹性方案分别为70.00 MVA和0.00 MW，两类方案本站主变总容量相同。弹性方案按当年各站局部极值计算的站级负载率为46%。</w:t>
      </w:r>
    </w:p>
    <w:p>
      <w:pPr>
        <w:pStyle w:val="2"/>
        <w:keepNext/>
        <w:spacing w:line="280" w:lineRule="exact" w:before="120" w:after="80"/>
        <w:ind w:firstLine="0"/>
        <w:jc w:val="center"/>
      </w:pPr>
      <w:r>
        <w:rPr>
          <w:rFonts w:ascii="Times New Roman" w:hAnsi="Times New Roman" w:eastAsia="宋体"/>
          <w:b w:val="0"/>
          <w:sz w:val="21"/>
        </w:rPr>
        <w:t xml:space="preserve">表5-15 戴圩变年度配置与正向峰值正常转接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MW，转接后净负荷为27.34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四年校核截面中，本站绝对功率最大的工况出现在2025年，转接前为30.30 MW，主要表现为正向受电需求，该年设备在最大单台主变N-1后剩余容量为20.00 MVA。故障方式下本站转出11.30 MW、承接0.00 MW，其中与坊上变之间的主要转出功率为11.30 MW，转接后净负荷为19.00 MW。这一工况通过邻站分担本站故障后的正向负荷。</w:t>
      </w:r>
    </w:p>
    <w:p>
      <w:pPr>
        <w:pStyle w:val="7"/>
        <w:keepNext/>
        <w:numPr>
          <w:numId w:val="0"/>
        </w:numPr>
        <w:spacing w:line="360" w:lineRule="exact" w:before="160" w:after="120"/>
        <w:ind w:firstLine="0"/>
      </w:pPr>
      <w:bookmarkStart w:id="199" w:name="戴庄变规划分析"/>
      <w:r>
        <w:rPr>
          <w:rFonts w:ascii="Times New Roman" w:hAnsi="Times New Roman" w:eastAsia="方正仿宋_GBK"/>
          <w:b/>
          <w:sz w:val="24"/>
        </w:rPr>
        <w:t xml:space="preserve">戴庄变规划分析</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MVA更换为50 MVA，31.5 MVA更换为50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2025年本站最大正向、反向净负荷分别为30.59 MW、47.47 MW。在同一需求下，刚性方案当年主变容量为100.00 MVA、储能额定功率0.00 MW，弹性方案分别为100.00 MVA和0.00 MW，两类方案本站主变总容量相同。弹性方案按当年各站局部极值计算的站级负载率为50%。</w:t>
      </w:r>
    </w:p>
    <w:p>
      <w:pPr>
        <w:pStyle w:val="2"/>
        <w:keepNext/>
        <w:spacing w:line="280" w:lineRule="exact" w:before="120" w:after="80"/>
        <w:ind w:firstLine="0"/>
        <w:jc w:val="center"/>
      </w:pPr>
      <w:r>
        <w:rPr>
          <w:rFonts w:ascii="Times New Roman" w:hAnsi="Times New Roman" w:eastAsia="宋体"/>
          <w:b w:val="0"/>
          <w:sz w:val="21"/>
        </w:rPr>
        <w:t xml:space="preserve">表5-16 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MW，区域最低净负荷工况下为-46.10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MVA，两代表工况重新转供后的本站净负荷分别为30.59 MW、-46.10 MW，两方向最小容量余量为1.40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四年校核截面中，本站绝对功率最大的工况出现在2025年，转接前为-47.47 MW，主要表现为反向输送需求，该年设备在最大单台主变N-1后剩余容量为50.00 MVA。该工况本站由剩余主变满足承载要求。</w:t>
      </w:r>
    </w:p>
    <w:p>
      <w:pPr>
        <w:pStyle w:val="7"/>
        <w:keepNext/>
        <w:numPr>
          <w:numId w:val="0"/>
        </w:numPr>
        <w:spacing w:line="360" w:lineRule="exact" w:before="160" w:after="120"/>
        <w:ind w:firstLine="0"/>
      </w:pPr>
      <w:bookmarkStart w:id="200" w:name="杜村变规划分析"/>
      <w:r>
        <w:rPr>
          <w:rFonts w:ascii="Times New Roman" w:hAnsi="Times New Roman" w:eastAsia="方正仿宋_GBK"/>
          <w:b/>
          <w:sz w:val="24"/>
        </w:rPr>
        <w:t xml:space="preserve">杜村变规划分析</w:t>
      </w:r>
      <w:bookmarkEnd w:id="20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2025年本站最大正向、反向净负荷分别为92.06 MW、18.13 MW。在同一需求下，刚性方案当年主变容量为80.00 MVA、储能额定功率0.00 MW，弹性方案分别为80.00 MVA和0.00 MW，两类方案本站主变总容量相同。弹性方案按当年各站局部极值计算的站级负载率为121%。</w:t>
      </w:r>
    </w:p>
    <w:p>
      <w:pPr>
        <w:pStyle w:val="2"/>
        <w:keepNext/>
        <w:spacing w:line="280" w:lineRule="exact" w:before="120" w:after="80"/>
        <w:ind w:firstLine="0"/>
        <w:jc w:val="center"/>
      </w:pPr>
      <w:r>
        <w:rPr>
          <w:rFonts w:ascii="Times New Roman" w:hAnsi="Times New Roman" w:eastAsia="宋体"/>
          <w:b w:val="0"/>
          <w:sz w:val="21"/>
        </w:rPr>
        <w:t xml:space="preserve">表5-17 杜村变年度配置与正向峰值正常转接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2025年区域正向峰值正常工况下，本站转出7.65 MW、承接0.00 MW，转接后净负荷为76.00 MW，区域最低净负荷工况下为1.66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四年校核截面中，本站绝对功率最大的工况出现在2025年，转接前为92.06 MW，主要表现为正向受电需求，该年设备在最大单台主变N-1后剩余容量为40.00 MVA。故障方式下本站转出54.06 MW、承接0.00 MW，其中与河湾变之间的主要转出功率为25.59 MW，转接后净负荷为38.00 MW。这一工况通过邻站分担本站故障后的正向负荷。</w:t>
      </w:r>
    </w:p>
    <w:p>
      <w:pPr>
        <w:pStyle w:val="7"/>
        <w:keepNext/>
        <w:numPr>
          <w:numId w:val="0"/>
        </w:numPr>
        <w:spacing w:line="360" w:lineRule="exact" w:before="160" w:after="120"/>
        <w:ind w:firstLine="0"/>
      </w:pPr>
      <w:bookmarkStart w:id="201" w:name="墩集变规划分析"/>
      <w:r>
        <w:rPr>
          <w:rFonts w:ascii="Times New Roman" w:hAnsi="Times New Roman" w:eastAsia="方正仿宋_GBK"/>
          <w:b/>
          <w:sz w:val="24"/>
        </w:rPr>
        <w:t xml:space="preserve">墩集变规划分析</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2025年本站最大正向、反向净负荷分别为59.52 MW、35.45 MW。在同一需求下，刚性方案当年主变容量为70.00 MVA、储能额定功率0.00 MW，弹性方案分别为70.00 MVA和0.00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表5-18 墩集变年度配置与正向峰值正常转接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MW，转接后净负荷为55.05 MW，区域最低净负荷工况下为-35.45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四年校核截面中，本站绝对功率最大的工况出现在2025年，转接前为59.52 MW，主要表现为正向受电需求，该年设备在最大单台主变N-1后剩余容量为20.00 MVA。故障方式下本站转出40.52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02" w:name="二庙变规划分析"/>
      <w:r>
        <w:rPr>
          <w:rFonts w:ascii="Times New Roman" w:hAnsi="Times New Roman" w:eastAsia="方正仿宋_GBK"/>
          <w:b/>
          <w:sz w:val="24"/>
        </w:rPr>
        <w:t xml:space="preserve">二庙变规划分析</w:t>
      </w:r>
      <w:bookmarkEnd w:id="20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2025年本站最大正向、反向净负荷分别为103.56 MW、0.00 MW。在同一需求下，刚性方案当年主变容量为111.50 MVA、储能额定功率0.00 MW，弹性方案分别为111.50 MVA和0.00 MW，两类方案本站主变总容量相同。弹性方案按当年各站局部极值计算的站级负载率为98%。</w:t>
      </w:r>
    </w:p>
    <w:p>
      <w:pPr>
        <w:pStyle w:val="2"/>
        <w:keepNext/>
        <w:spacing w:line="280" w:lineRule="exact" w:before="120" w:after="80"/>
        <w:ind w:firstLine="0"/>
        <w:jc w:val="center"/>
      </w:pPr>
      <w:r>
        <w:rPr>
          <w:rFonts w:ascii="Times New Roman" w:hAnsi="Times New Roman" w:eastAsia="宋体"/>
          <w:b w:val="0"/>
          <w:sz w:val="21"/>
        </w:rPr>
        <w:t xml:space="preserve">表5-19 二庙变年度配置与正向峰值正常转接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MW，转接后净负荷为89.75 MW，区域最低净负荷工况下为31.86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MVA，两代表工况重新转供后的本站净负荷分别为29.93 MW、29.92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四年校核截面中，本站绝对功率最大的工况出现在2025年，转接前为103.56 MW，主要表现为正向受电需求，该年设备在最大单台主变N-1后剩余容量为31.50 MVA。故障方式下本站转出73.63 MW、承接0.00 MW，其中与吴闸变之间的主要转出功率为17.47 MW，转接后净负荷为29.93 MW。这一工况通过邻站分担本站故障后的正向负荷。</w:t>
      </w:r>
    </w:p>
    <w:p>
      <w:pPr>
        <w:pStyle w:val="7"/>
        <w:keepNext/>
        <w:numPr>
          <w:numId w:val="0"/>
        </w:numPr>
        <w:spacing w:line="360" w:lineRule="exact" w:before="160" w:after="120"/>
        <w:ind w:firstLine="0"/>
      </w:pPr>
      <w:bookmarkStart w:id="203" w:name="坊上变规划分析"/>
      <w:r>
        <w:rPr>
          <w:rFonts w:ascii="Times New Roman" w:hAnsi="Times New Roman" w:eastAsia="方正仿宋_GBK"/>
          <w:b/>
          <w:sz w:val="24"/>
        </w:rPr>
        <w:t xml:space="preserve">坊上变规划分析</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2025年本站最大正向、反向净负荷分别为39.89 MW、29.68 MW。在同一需求下，刚性方案当年主变容量为71.50 MVA、储能额定功率0.00 MW，弹性方案分别为71.50 MVA和0.00 MW，两类方案本站主变总容量相同。弹性方案按当年各站局部极值计算的站级负载率为59%。</w:t>
      </w:r>
    </w:p>
    <w:p>
      <w:pPr>
        <w:pStyle w:val="2"/>
        <w:keepNext/>
        <w:spacing w:line="280" w:lineRule="exact" w:before="120" w:after="80"/>
        <w:ind w:firstLine="0"/>
        <w:jc w:val="center"/>
      </w:pPr>
      <w:r>
        <w:rPr>
          <w:rFonts w:ascii="Times New Roman" w:hAnsi="Times New Roman" w:eastAsia="宋体"/>
          <w:b w:val="0"/>
          <w:sz w:val="21"/>
        </w:rPr>
        <w:t xml:space="preserve">表5-20 坊上变年度配置与正向峰值正常转接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MW，转接后净负荷为37.87 MW，区域最低净负荷工况下为-29.68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MVA，两代表工况重新转供后的本站净负荷分别为29.92 MW、-29.68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四年校核截面中，本站绝对功率最大的工况出现在2025年，转接前为39.89 MW，主要表现为正向受电需求，该年设备在最大单台主变N-1后剩余容量为31.50 MVA。故障方式下本站转出9.96 MW、承接0.00 MW，其中与杜村变之间的主要转出功率为9.96 MW，转接后净负荷为29.92 MW。这一工况通过邻站分担本站故障后的正向负荷。</w:t>
      </w:r>
    </w:p>
    <w:p>
      <w:pPr>
        <w:pStyle w:val="7"/>
        <w:keepNext/>
        <w:numPr>
          <w:numId w:val="0"/>
        </w:numPr>
        <w:spacing w:line="360" w:lineRule="exact" w:before="160" w:after="120"/>
        <w:ind w:firstLine="0"/>
      </w:pPr>
      <w:bookmarkStart w:id="204" w:name="富山变规划分析"/>
      <w:r>
        <w:rPr>
          <w:rFonts w:ascii="Times New Roman" w:hAnsi="Times New Roman" w:eastAsia="方正仿宋_GBK"/>
          <w:b/>
          <w:sz w:val="24"/>
        </w:rPr>
        <w:t xml:space="preserve">富山变规划分析</w:t>
      </w:r>
      <w:bookmarkEnd w:id="20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2025年本站最大正向、反向净负荷分别为27.54 MW、27.00 MW。在同一需求下，刚性方案当年主变容量为81.50 MVA、储能额定功率0.00 MW，弹性方案分别为81.50 MVA和0.00 MW，两类方案本站主变总容量相同。弹性方案按当年各站局部极值计算的站级负载率为36%。</w:t>
      </w:r>
    </w:p>
    <w:p>
      <w:pPr>
        <w:pStyle w:val="2"/>
        <w:keepNext/>
        <w:spacing w:line="280" w:lineRule="exact" w:before="120" w:after="80"/>
        <w:ind w:firstLine="0"/>
        <w:jc w:val="center"/>
      </w:pPr>
      <w:r>
        <w:rPr>
          <w:rFonts w:ascii="Times New Roman" w:hAnsi="Times New Roman" w:eastAsia="宋体"/>
          <w:b w:val="0"/>
          <w:sz w:val="21"/>
        </w:rPr>
        <w:t xml:space="preserve">表5-21 富山变年度配置与正向峰值正常转接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MW，转接后净负荷为26.59 MW，区域最低净负荷工况下为-19.32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MVA，两代表工况重新转供后的本站净负荷分别为26.59 MW、-19.32 MW，两方向最小容量余量为3.33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四年校核截面中，本站绝对功率最大的工况出现在2025年，转接前为27.54 MW，主要表现为正向受电需求，该年设备在最大单台主变N-1后剩余容量为31.50 MVA。该工况本站由剩余主变满足承载要求。</w:t>
      </w:r>
    </w:p>
    <w:p>
      <w:pPr>
        <w:pStyle w:val="7"/>
        <w:keepNext/>
        <w:numPr>
          <w:numId w:val="0"/>
        </w:numPr>
        <w:spacing w:line="360" w:lineRule="exact" w:before="160" w:after="120"/>
        <w:ind w:firstLine="0"/>
      </w:pPr>
      <w:bookmarkStart w:id="205" w:name="河湾变规划分析"/>
      <w:r>
        <w:rPr>
          <w:rFonts w:ascii="Times New Roman" w:hAnsi="Times New Roman" w:eastAsia="方正仿宋_GBK"/>
          <w:b/>
          <w:sz w:val="24"/>
        </w:rPr>
        <w:t xml:space="preserve">河湾变规划分析</w:t>
      </w:r>
      <w:bookmarkEnd w:id="20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2025年本站最大正向、反向净负荷分别为73.11 MW、4.58 MW。在同一需求下，刚性方案当年主变容量为100.00 MVA、储能额定功率0.00 MW，弹性方案分别为100.00 MVA和0.00 MW，两类方案本站主变总容量相同。弹性方案按当年各站局部极值计算的站级负载率为77%。</w:t>
      </w:r>
    </w:p>
    <w:p>
      <w:pPr>
        <w:pStyle w:val="2"/>
        <w:keepNext/>
        <w:spacing w:line="280" w:lineRule="exact" w:before="120" w:after="80"/>
        <w:ind w:firstLine="0"/>
        <w:jc w:val="center"/>
      </w:pPr>
      <w:r>
        <w:rPr>
          <w:rFonts w:ascii="Times New Roman" w:hAnsi="Times New Roman" w:eastAsia="宋体"/>
          <w:b w:val="0"/>
          <w:sz w:val="21"/>
        </w:rPr>
        <w:t xml:space="preserve">表5-22 河湾变年度配置与正向峰值正常转接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MW，转接后净负荷为71.29 MW，区域最低净负荷工况下为-3.50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MW、-3.50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四年校核截面中，本站绝对功率最大的工况出现在2025年，转接前为73.11 MW，主要表现为正向受电需求，该年设备在最大单台主变N-1后剩余容量为20.00 MVA。故障方式下本站转出54.11 MW、承接0.00 MW，其中与吴闸变之间的主要转出功率为16.29 MW，转接后净负荷为19.00 MW。这一工况通过邻站分担本站故障后的正向负荷。</w:t>
      </w:r>
    </w:p>
    <w:p>
      <w:pPr>
        <w:pStyle w:val="7"/>
        <w:keepNext/>
        <w:numPr>
          <w:numId w:val="0"/>
        </w:numPr>
        <w:spacing w:line="360" w:lineRule="exact" w:before="160" w:after="120"/>
        <w:ind w:firstLine="0"/>
      </w:pPr>
      <w:bookmarkStart w:id="206" w:name="邳城变规划分析"/>
      <w:r>
        <w:rPr>
          <w:rFonts w:ascii="Times New Roman" w:hAnsi="Times New Roman" w:eastAsia="方正仿宋_GBK"/>
          <w:b/>
          <w:sz w:val="24"/>
        </w:rPr>
        <w:t xml:space="preserve">邳城变规划分析</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MVA，并2025年新增1.10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2025年本站最大正向、反向净负荷分别为22.90 MW、30.97 MW。在同一需求下，刚性方案当年主变容量为81.50 MVA、储能额定功率8.20 MW，弹性方案分别为81.50 MVA和1.10 MW，两类方案本站主变总容量相同。弹性方案按当年各站局部极值计算的站级负载率为40%。</w:t>
      </w:r>
    </w:p>
    <w:p>
      <w:pPr>
        <w:pStyle w:val="2"/>
        <w:keepNext/>
        <w:spacing w:line="280" w:lineRule="exact" w:before="120" w:after="80"/>
        <w:ind w:firstLine="0"/>
        <w:jc w:val="center"/>
      </w:pPr>
      <w:r>
        <w:rPr>
          <w:rFonts w:ascii="Times New Roman" w:hAnsi="Times New Roman" w:eastAsia="宋体"/>
          <w:b w:val="0"/>
          <w:sz w:val="21"/>
        </w:rPr>
        <w:t xml:space="preserve">表5-23 邳城变年度配置与正向峰值正常转接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MW，转接后净负荷为22.90 MW，区域最低净负荷工况下为-28.74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MVA，两代表工况重新转供后的本站净负荷分别为22.90 MW、-28.74 MW，两方向最小容量余量为2.28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四年校核截面中，本站绝对功率最大的工况出现在2025年，转接前为-30.97 MW，主要表现为反向输送需求，该年设备在最大单台主变N-1后剩余容量为31.50 MVA。该工况本站未发生站间转接，储能相应方向有效支撑1.10 MW，与剩余主变共同满足承载要求。</w:t>
      </w:r>
    </w:p>
    <w:p>
      <w:pPr>
        <w:pStyle w:val="7"/>
        <w:keepNext/>
        <w:numPr>
          <w:numId w:val="0"/>
        </w:numPr>
        <w:spacing w:line="360" w:lineRule="exact" w:before="160" w:after="120"/>
        <w:ind w:firstLine="0"/>
      </w:pPr>
      <w:bookmarkStart w:id="207" w:name="邳州变规划分析"/>
      <w:r>
        <w:rPr>
          <w:rFonts w:ascii="Times New Roman" w:hAnsi="Times New Roman" w:eastAsia="方正仿宋_GBK"/>
          <w:b/>
          <w:sz w:val="24"/>
        </w:rPr>
        <w:t xml:space="preserve">邳州变规划分析</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2025年本站最大正向、反向净负荷分别为69.39 MW、0.00 MW。在同一需求下，刚性方案当年主变容量为111.50 MVA、储能额定功率0.00 MW，弹性方案分别为111.50 MVA和0.00 MW，两类方案本站主变总容量相同。弹性方案按当年各站局部极值计算的站级负载率为66%。</w:t>
      </w:r>
    </w:p>
    <w:p>
      <w:pPr>
        <w:pStyle w:val="2"/>
        <w:keepNext/>
        <w:spacing w:line="280" w:lineRule="exact" w:before="120" w:after="80"/>
        <w:ind w:firstLine="0"/>
        <w:jc w:val="center"/>
      </w:pPr>
      <w:r>
        <w:rPr>
          <w:rFonts w:ascii="Times New Roman" w:hAnsi="Times New Roman" w:eastAsia="宋体"/>
          <w:b w:val="0"/>
          <w:sz w:val="21"/>
        </w:rPr>
        <w:t xml:space="preserve">表5-24 邳州变年度配置与正向峰值正常转接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75.62</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MW、承接7.65 MW，转接后净负荷为75.62 MW，区域最低净负荷工况下为11.99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MVA，两代表工况重新转供后的本站净负荷分别为29.92 MW、11.99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四年校核截面中，本站绝对功率最大的工况出现在2025年，转接前为69.39 MW，主要表现为正向受电需求，该年设备在最大单台主变N-1后剩余容量为31.50 MVA。故障方式下本站转出39.46 MW、承接0.00 MW，其中与河湾变之间的主要转出功率为17.96 MW，转接后净负荷为29.92 MW。这一工况通过邻站分担本站故障后的正向负荷。</w:t>
      </w:r>
    </w:p>
    <w:p>
      <w:pPr>
        <w:pStyle w:val="7"/>
        <w:keepNext/>
        <w:numPr>
          <w:numId w:val="0"/>
        </w:numPr>
        <w:spacing w:line="360" w:lineRule="exact" w:before="160" w:after="120"/>
        <w:ind w:firstLine="0"/>
      </w:pPr>
      <w:bookmarkStart w:id="208" w:name="宿羊山变规划分析"/>
      <w:r>
        <w:rPr>
          <w:rFonts w:ascii="Times New Roman" w:hAnsi="Times New Roman" w:eastAsia="方正仿宋_GBK"/>
          <w:b/>
          <w:sz w:val="24"/>
        </w:rPr>
        <w:t xml:space="preserve">宿羊山变规划分析</w:t>
      </w:r>
      <w:bookmarkEnd w:id="20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MVA，弹性方案四年均保留该组合，并2025年新增1.10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2025年本站最大正向、反向净负荷分别为61.43 MW、30.80 MW。在同一需求下，刚性方案当年主变容量为71.50 MVA、储能额定功率1.10 MW，弹性方案分别为71.50 MVA和1.10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表5-25 宿羊山变年度配置与正向峰值正常转接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MW，转接后净负荷为61.43 MW，区域最低净负荷工况下为-22.13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MVA，两代表工况重新转供后的本站净负荷分别为30.82 MW、-22.13 MW，两方向最小容量余量为0.00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四年校核截面中，本站绝对功率最大的工况出现在2025年，转接前为61.43 MW，主要表现为正向受电需求，该年设备在最大单台主变N-1后剩余容量为31.50 MVA。故障方式下本站转出30.60 MW、承接0.00 MW，其中与兴塘变之间的主要转出功率为14.20 MW，转接后净负荷为30.82 MW。这一工况通过邻站分担本站故障后的正向负荷。</w:t>
      </w:r>
    </w:p>
    <w:p>
      <w:pPr>
        <w:pStyle w:val="7"/>
        <w:keepNext/>
        <w:numPr>
          <w:numId w:val="0"/>
        </w:numPr>
        <w:spacing w:line="360" w:lineRule="exact" w:before="160" w:after="120"/>
        <w:ind w:firstLine="0"/>
      </w:pPr>
      <w:bookmarkStart w:id="209" w:name="铁富变规划分析"/>
      <w:r>
        <w:rPr>
          <w:rFonts w:ascii="Times New Roman" w:hAnsi="Times New Roman" w:eastAsia="方正仿宋_GBK"/>
          <w:b/>
          <w:sz w:val="24"/>
        </w:rPr>
        <w:t xml:space="preserve">铁富变规划分析</w:t>
      </w:r>
      <w:bookmarkEnd w:id="20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MVA，弹性方案2022年31.5 MVA更换为63 MVA，40 MVA更换为63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2025年本站最大正向、反向净负荷分别为84.82 MW、57.21 MW。在同一需求下，刚性方案当年主变容量为126.00 MVA、储能额定功率0.00 MW，弹性方案分别为126.00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表5-26 铁富变年度配置与正向峰值正常转接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MW，转接后净负荷为82.17 MW，区域最低净负荷工况下为-52.21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MW、-52.21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四年校核截面中，本站绝对功率最大的工况出现在2025年，转接前为84.82 MW，主要表现为正向受电需求，该年设备在最大单台主变N-1后剩余容量为63.00 MVA。故障方式下本站转出24.97 MW、承接0.00 MW，其中与汶河变之间的主要转出功率为8.27 MW，转接后净负荷为59.85 MW。这一工况通过邻站分担本站故障后的正向负荷。</w:t>
      </w:r>
    </w:p>
    <w:p>
      <w:pPr>
        <w:pStyle w:val="7"/>
        <w:keepNext/>
        <w:numPr>
          <w:numId w:val="0"/>
        </w:numPr>
        <w:spacing w:line="360" w:lineRule="exact" w:before="160" w:after="120"/>
        <w:ind w:firstLine="0"/>
      </w:pPr>
      <w:bookmarkStart w:id="210" w:name="土山变规划分析"/>
      <w:r>
        <w:rPr>
          <w:rFonts w:ascii="Times New Roman" w:hAnsi="Times New Roman" w:eastAsia="方正仿宋_GBK"/>
          <w:b/>
          <w:sz w:val="24"/>
        </w:rPr>
        <w:t xml:space="preserve">土山变规划分析</w:t>
      </w:r>
      <w:bookmarkEnd w:id="21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MVA更换为50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2025年本站最大正向、反向净负荷分别为39.87 MW、37.65 MW。在同一需求下，刚性方案当年主变容量为100.00 MVA、储能额定功率0.00 MW，弹性方案分别为100.00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表5-27 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MW，转接后净负荷为39.87 MW，区域最低净负荷工况下为-36.41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MVA，两代表工况重新转供后的本站净负荷分别为39.87 MW、-36.41 MW，两方向最小容量余量为7.63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四年校核截面中，本站绝对功率最大的工况出现在2025年，转接前为39.87 MW，主要表现为正向受电需求，该年设备在最大单台主变N-1后剩余容量为50.00 MVA。该工况本站由剩余主变满足承载要求。</w:t>
      </w:r>
    </w:p>
    <w:p>
      <w:pPr>
        <w:pStyle w:val="7"/>
        <w:keepNext/>
        <w:numPr>
          <w:numId w:val="0"/>
        </w:numPr>
        <w:spacing w:line="360" w:lineRule="exact" w:before="160" w:after="120"/>
        <w:ind w:firstLine="0"/>
      </w:pPr>
      <w:bookmarkStart w:id="211" w:name="汶河变规划分析"/>
      <w:r>
        <w:rPr>
          <w:rFonts w:ascii="Times New Roman" w:hAnsi="Times New Roman" w:eastAsia="方正仿宋_GBK"/>
          <w:b/>
          <w:sz w:val="24"/>
        </w:rPr>
        <w:t xml:space="preserve">汶河变规划分析</w:t>
      </w:r>
      <w:bookmarkEnd w:id="21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MVA更换为31.5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2025年本站最大正向、反向净负荷分别为25.93 MW、28.94 MW。在同一需求下，刚性方案当年主变容量为63.00 MVA、储能额定功率0.00 MW，弹性方案分别为63.00 MVA和0.00 MW，两类方案本站主变总容量相同。弹性方案按当年各站局部极值计算的站级负载率为48%。</w:t>
      </w:r>
    </w:p>
    <w:p>
      <w:pPr>
        <w:pStyle w:val="2"/>
        <w:keepNext/>
        <w:spacing w:line="280" w:lineRule="exact" w:before="120" w:after="80"/>
        <w:ind w:firstLine="0"/>
        <w:jc w:val="center"/>
      </w:pPr>
      <w:r>
        <w:rPr>
          <w:rFonts w:ascii="Times New Roman" w:hAnsi="Times New Roman" w:eastAsia="宋体"/>
          <w:b w:val="0"/>
          <w:sz w:val="21"/>
        </w:rPr>
        <w:t xml:space="preserve">表5-28 汶河变年度配置与正向峰值正常转接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MW，转接后净负荷为22.81 MW，区域最低净负荷工况下为-27.24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MVA，两代表工况重新转供后的本站净负荷分别为22.81 MW、-27.24 MW，两方向最小容量余量为2.69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四年校核截面中，本站绝对功率最大的工况出现在2025年，转接前为-28.94 MW，主要表现为反向输送需求，该年设备在最大单台主变N-1后剩余容量为31.50 MVA。该工况本站由剩余主变满足承载要求。</w:t>
      </w:r>
    </w:p>
    <w:p>
      <w:pPr>
        <w:pStyle w:val="7"/>
        <w:keepNext/>
        <w:numPr>
          <w:numId w:val="0"/>
        </w:numPr>
        <w:spacing w:line="360" w:lineRule="exact" w:before="160" w:after="120"/>
        <w:ind w:firstLine="0"/>
      </w:pPr>
      <w:bookmarkStart w:id="212" w:name="吴闸变规划分析"/>
      <w:r>
        <w:rPr>
          <w:rFonts w:ascii="Times New Roman" w:hAnsi="Times New Roman" w:eastAsia="方正仿宋_GBK"/>
          <w:b/>
          <w:sz w:val="24"/>
        </w:rPr>
        <w:t xml:space="preserve">吴闸变规划分析</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2025年本站最大正向、反向净负荷分别为50.21 MW、0.00 MW。在同一需求下，刚性方案当年主变容量为70.00 MVA、储能额定功率0.00 MW，弹性方案分别为70.00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表5-29 吴闸变年度配置与正向峰值正常转接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MW，转接后净负荷为48.18 MW，区域最低净负荷工况下为2.19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MW、2.19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四年校核截面中，本站绝对功率最大的工况出现在2025年，转接前为50.21 MW，主要表现为正向受电需求，该年设备在最大单台主变N-1后剩余容量为20.00 MVA。故障方式下本站转出31.21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13" w:name="邢楼变规划分析"/>
      <w:r>
        <w:rPr>
          <w:rFonts w:ascii="Times New Roman" w:hAnsi="Times New Roman" w:eastAsia="方正仿宋_GBK"/>
          <w:b/>
          <w:sz w:val="24"/>
        </w:rPr>
        <w:t xml:space="preserve">邢楼变规划分析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MVA，弹性方案2022年扩建第三台50 MVA主变，四年供电任务均由主变及网络承担。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2025年本站最大正向、反向净负荷分别为19.20 MW、35.38 MW。在同一需求下，刚性方案当年主变容量为113.00 MVA、储能额定功率1.10 MW，弹性方案分别为90.00 MVA和0.00 MW，弹性方案本站容量减少23.00 MVA。弹性方案按当年各站局部极值计算的站级负载率为41%。</w:t>
      </w:r>
    </w:p>
    <w:p>
      <w:pPr>
        <w:pStyle w:val="2"/>
        <w:keepNext/>
        <w:spacing w:line="280" w:lineRule="exact" w:before="120" w:after="80"/>
        <w:ind w:firstLine="0"/>
        <w:jc w:val="center"/>
      </w:pPr>
      <w:r>
        <w:rPr>
          <w:rFonts w:ascii="Times New Roman" w:hAnsi="Times New Roman" w:eastAsia="宋体"/>
          <w:b w:val="0"/>
          <w:sz w:val="21"/>
        </w:rPr>
        <w:t xml:space="preserve">表5-30 邢楼变年度配置与正向峰值正常转接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MW，转接后净负荷为15.68 MW，区域最低净负荷工况下为-29.65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MVA，两代表工况重新转供后的本站净负荷分别为15.68 MW、-29.65 MW，两方向最小容量余量为8.35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四年校核截面中，本站绝对功率最大的工况出现在2025年，转接前为-35.38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14" w:name="兴塘变规划分析"/>
      <w:r>
        <w:rPr>
          <w:rFonts w:ascii="Times New Roman" w:hAnsi="Times New Roman" w:eastAsia="方正仿宋_GBK"/>
          <w:b/>
          <w:sz w:val="24"/>
        </w:rPr>
        <w:t xml:space="preserve">兴塘变规划分析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MVA，弹性方案2022年20 MVA更换为31.5 MVA，20 MVA更换为31.5 MVA，并2025年新增0.80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2025年本站最大正向、反向净负荷分别为39.15 MW、30.66 MW。在同一需求下，刚性方案当年主变容量为40.00 MVA、储能额定功率11.70 MW，弹性方案分别为63.00 MVA和0.80 MW，弹性方案本站增加23.00 MVA容量。弹性方案按当年各站局部极值计算的站级负载率为65%。</w:t>
      </w:r>
    </w:p>
    <w:p>
      <w:pPr>
        <w:pStyle w:val="2"/>
        <w:keepNext/>
        <w:spacing w:line="280" w:lineRule="exact" w:before="120" w:after="80"/>
        <w:ind w:firstLine="0"/>
        <w:jc w:val="center"/>
      </w:pPr>
      <w:r>
        <w:rPr>
          <w:rFonts w:ascii="Times New Roman" w:hAnsi="Times New Roman" w:eastAsia="宋体"/>
          <w:b w:val="0"/>
          <w:sz w:val="21"/>
        </w:rPr>
        <w:t xml:space="preserve">表5-31 兴塘变年度配置与正向峰值正常转接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MW，转接后净负荷为39.15 MW，区域最低净负荷工况下为-30.66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MVA，两代表工况重新转供后的本站净负荷分别为30.58 MW、-30.66 MW，两方向最小容量余量为0.00 MW，正向储能有效支撑功率为0.65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四年校核截面中，本站绝对功率最大的工况出现在2025年，转接前为39.15 MW，主要表现为正向受电需求，该年设备在最大单台主变N-1后剩余容量为31.50 MVA。故障方式下本站转出8.57 MW、承接0.00 MW，其中与宿羊山变之间的主要转出功率为7.40 MW，转接后净负荷为30.58 MW。这一工况通过邻站分担本站故障后的正向负荷。</w:t>
      </w:r>
    </w:p>
    <w:p>
      <w:pPr>
        <w:pStyle w:val="7"/>
        <w:keepNext/>
        <w:numPr>
          <w:numId w:val="0"/>
        </w:numPr>
        <w:spacing w:line="360" w:lineRule="exact" w:before="160" w:after="120"/>
        <w:ind w:firstLine="0"/>
      </w:pPr>
      <w:bookmarkStart w:id="215" w:name="议堂变规划分析"/>
      <w:r>
        <w:rPr>
          <w:rFonts w:ascii="Times New Roman" w:hAnsi="Times New Roman" w:eastAsia="方正仿宋_GBK"/>
          <w:b/>
          <w:sz w:val="24"/>
        </w:rPr>
        <w:t xml:space="preserve">议堂变规划分析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2025年本站最大正向、反向净负荷分别为34.43 MW、22.89 MW。在同一需求下，刚性方案当年主变容量为70.00 MVA、储能额定功率0.00 MW，弹性方案分别为70.00 MVA和0.00 MW，两类方案本站主变总容量相同。弹性方案按当年各站局部极值计算的站级负载率为52%。</w:t>
      </w:r>
    </w:p>
    <w:p>
      <w:pPr>
        <w:pStyle w:val="2"/>
        <w:keepNext/>
        <w:spacing w:line="280" w:lineRule="exact" w:before="120" w:after="80"/>
        <w:ind w:firstLine="0"/>
        <w:jc w:val="center"/>
      </w:pPr>
      <w:r>
        <w:rPr>
          <w:rFonts w:ascii="Times New Roman" w:hAnsi="Times New Roman" w:eastAsia="宋体"/>
          <w:b w:val="0"/>
          <w:sz w:val="21"/>
        </w:rPr>
        <w:t xml:space="preserve">表5-32 议堂变年度配置与正向峰值正常转接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MW，转接后净负荷为34.43 MW，区域最低净负荷工况下为-21.58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四年校核截面中，本站绝对功率最大的工况出现在2025年，转接前为34.43 MW，主要表现为正向受电需求，该年设备在最大单台主变N-1后剩余容量为20.00 MVA。故障方式下本站转出15.43 MW、承接0.00 MW，其中与吴闸变之间的主要转出功率为15.43 MW，转接后净负荷为19.00 MW。这一工况通过邻站分担本站故障后的正向负荷。</w:t>
      </w:r>
    </w:p>
    <w:p>
      <w:pPr>
        <w:pStyle w:val="5"/>
        <w:keepNext/>
        <w:numPr>
          <w:numId w:val="0"/>
        </w:numPr>
        <w:spacing w:line="390" w:lineRule="exact" w:before="160" w:after="120"/>
        <w:ind w:firstLine="0"/>
      </w:pPr>
      <w:bookmarkStart w:id="216" w:name="市区逐站规划方案"/>
      <w:r>
        <w:rPr>
          <w:rFonts w:ascii="Times New Roman" w:hAnsi="Times New Roman" w:eastAsia="方正仿宋_GBK"/>
          <w:b/>
          <w:sz w:val="26"/>
        </w:rPr>
        <w:t xml:space="preserve">5.4.6 市区逐站规划方案</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17" w:name="大黄山变规划分析"/>
      <w:r>
        <w:rPr>
          <w:rFonts w:ascii="Times New Roman" w:hAnsi="Times New Roman" w:eastAsia="方正仿宋_GBK"/>
          <w:b/>
          <w:sz w:val="24"/>
        </w:rPr>
        <w:t xml:space="preserve">大黄山变规划分析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2025年本站最大正向、反向净负荷分别为32.29 MW、35.73 MW。在同一需求下，刚性方案当年主变容量为103.00 MVA、储能额定功率0.00 MW，弹性方案分别为103.00 MVA和0.00 MW，两类方案本站主变总容量相同。弹性方案按当年各站局部极值计算的站级负载率为37%。</w:t>
      </w:r>
    </w:p>
    <w:p>
      <w:pPr>
        <w:pStyle w:val="2"/>
        <w:keepNext/>
        <w:spacing w:line="280" w:lineRule="exact" w:before="120" w:after="80"/>
        <w:ind w:firstLine="0"/>
        <w:jc w:val="center"/>
      </w:pPr>
      <w:r>
        <w:rPr>
          <w:rFonts w:ascii="Times New Roman" w:hAnsi="Times New Roman" w:eastAsia="宋体"/>
          <w:b w:val="0"/>
          <w:sz w:val="21"/>
        </w:rPr>
        <w:t xml:space="preserve">表5-33 大黄山变年度配置与正向峰值正常转接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MW，区域最低净负荷工况下为-32.17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MVA，两代表工况重新转供后的本站净负荷分别为30.59 MW、-32.17 MW，两方向最小容量余量为5.83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四年校核截面中，本站绝对功率最大的工况出现在2023年，转接前为-36.05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18" w:name="大庙变规划分析"/>
      <w:r>
        <w:rPr>
          <w:rFonts w:ascii="Times New Roman" w:hAnsi="Times New Roman" w:eastAsia="方正仿宋_GBK"/>
          <w:b/>
          <w:sz w:val="24"/>
        </w:rPr>
        <w:t xml:space="preserve">大庙变规划分析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2025年本站最大正向、反向净负荷分别为70.32 MW、8.70 MW。在同一需求下，刚性方案当年主变容量为90.00 MVA、储能额定功率0.00 MW，弹性方案分别为90.00 MVA和0.00 MW，两类方案本站主变总容量相同。弹性方案按当年各站局部极值计算的站级负载率为82%。</w:t>
      </w:r>
    </w:p>
    <w:p>
      <w:pPr>
        <w:pStyle w:val="2"/>
        <w:keepNext/>
        <w:spacing w:line="280" w:lineRule="exact" w:before="120" w:after="80"/>
        <w:ind w:firstLine="0"/>
        <w:jc w:val="center"/>
      </w:pPr>
      <w:r>
        <w:rPr>
          <w:rFonts w:ascii="Times New Roman" w:hAnsi="Times New Roman" w:eastAsia="宋体"/>
          <w:b w:val="0"/>
          <w:sz w:val="21"/>
        </w:rPr>
        <w:t xml:space="preserve">表5-34 大庙变年度配置与正向峰值正常转接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MW，转接后净负荷为69.73 MW，区域最低净负荷工况下为1.68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四年校核截面中，本站绝对功率最大的工况出现在2023年，转接前为70.93 MW，主要表现为正向受电需求，该年设备在最大单台主变N-1后剩余容量为40.00 MVA。故障方式下本站转出32.93 MW、承接0.00 MW，其中与龙湖变之间的主要转出功率为13.08 MW，转接后净负荷为38.00 MW。这一工况通过邻站分担本站故障后的正向负荷。</w:t>
      </w:r>
    </w:p>
    <w:p>
      <w:pPr>
        <w:pStyle w:val="7"/>
        <w:keepNext/>
        <w:numPr>
          <w:numId w:val="0"/>
        </w:numPr>
        <w:spacing w:line="360" w:lineRule="exact" w:before="160" w:after="120"/>
        <w:ind w:firstLine="0"/>
      </w:pPr>
      <w:bookmarkStart w:id="219" w:name="堤北变规划分析"/>
      <w:r>
        <w:rPr>
          <w:rFonts w:ascii="Times New Roman" w:hAnsi="Times New Roman" w:eastAsia="方正仿宋_GBK"/>
          <w:b/>
          <w:sz w:val="24"/>
        </w:rPr>
        <w:t xml:space="preserve">堤北变规划分析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2025年本站最大正向、反向净负荷分别为102.93 MW、0.00 MW。在同一需求下，刚性方案当年主变容量为126.00 MVA、储能额定功率0.00 MW，弹性方案分别为126.00 MVA和0.00 MW，两类方案本站主变总容量相同。弹性方案按当年各站局部极值计算的站级负载率为86%。</w:t>
      </w:r>
    </w:p>
    <w:p>
      <w:pPr>
        <w:pStyle w:val="2"/>
        <w:keepNext/>
        <w:spacing w:line="280" w:lineRule="exact" w:before="120" w:after="80"/>
        <w:ind w:firstLine="0"/>
        <w:jc w:val="center"/>
      </w:pPr>
      <w:r>
        <w:rPr>
          <w:rFonts w:ascii="Times New Roman" w:hAnsi="Times New Roman" w:eastAsia="宋体"/>
          <w:b w:val="0"/>
          <w:sz w:val="21"/>
        </w:rPr>
        <w:t xml:space="preserve">表5-35 堤北变年度配置与正向峰值正常转接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MW，转接后净负荷为100.47 MW，区域最低净负荷工况下为32.89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MW、32.89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四年校核截面中，本站绝对功率最大的工况出现在2023年，转接前为103.83 MW，主要表现为正向受电需求，该年设备在最大单台主变N-1后剩余容量为63.00 MVA。故障方式下本站转出43.98 MW、承接0.00 MW，其中与刘湾变之间的主要转出功率为25.46 MW，转接后净负荷为59.85 MW。这一工况通过邻站分担本站故障后的正向负荷。</w:t>
      </w:r>
    </w:p>
    <w:p>
      <w:pPr>
        <w:pStyle w:val="7"/>
        <w:keepNext/>
        <w:numPr>
          <w:numId w:val="0"/>
        </w:numPr>
        <w:spacing w:line="360" w:lineRule="exact" w:before="160" w:after="120"/>
        <w:ind w:firstLine="0"/>
      </w:pPr>
      <w:bookmarkStart w:id="220" w:name="翟山变规划分析"/>
      <w:r>
        <w:rPr>
          <w:rFonts w:ascii="Times New Roman" w:hAnsi="Times New Roman" w:eastAsia="方正仿宋_GBK"/>
          <w:b/>
          <w:sz w:val="24"/>
        </w:rPr>
        <w:t xml:space="preserve">翟山变规划分析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该站初始主变组合为40+80 MVA，弹性方案2022年40 MVA更换为63 MVA，四年供电任务均由主变及网络承担。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2025年本站最大正向、反向净负荷分别为95.63 MW、0.00 MW。在同一需求下，刚性方案当年主变容量为120.00 MVA、储能额定功率0.00 MW，弹性方案分别为143.00 MVA和0.00 MW，弹性方案本站增加23.00 MVA容量。弹性方案按当年各站局部极值计算的站级负载率为70%。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表5-36 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MW，转接后净负荷为87.01 MW，区域最低净负荷工况下为26.76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MW、26.76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四年校核截面中，本站绝对功率最大的工况出现在2023年，转接前为96.46 MW，主要表现为正向受电需求，该年设备在最大单台主变N-1后剩余容量为63.00 MVA。故障方式下本站转出36.61 MW、承接0.00 MW，其中与开元变之间的主要转出功率为23.53 MW，转接后净负荷为59.85 MW。这一工况通过邻站分担本站故障后的正向负荷。</w:t>
      </w:r>
    </w:p>
    <w:p>
      <w:pPr>
        <w:pStyle w:val="7"/>
        <w:keepNext/>
        <w:numPr>
          <w:numId w:val="0"/>
        </w:numPr>
        <w:spacing w:line="360" w:lineRule="exact" w:before="160" w:after="120"/>
        <w:ind w:firstLine="0"/>
      </w:pPr>
      <w:bookmarkStart w:id="221" w:name="古彭变规划分析"/>
      <w:r>
        <w:rPr>
          <w:rFonts w:ascii="Times New Roman" w:hAnsi="Times New Roman" w:eastAsia="方正仿宋_GBK"/>
          <w:b/>
          <w:sz w:val="24"/>
        </w:rPr>
        <w:t xml:space="preserve">古彭变规划分析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2025年本站最大正向、反向净负荷分别为84.10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表5-37 古彭变年度配置与正向峰值正常转接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MW，转接后净负荷为60.03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MW、24.10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四年校核截面中，本站绝对功率最大的工况出现在2023年，转接前为84.84 MW，主要表现为正向受电需求，该年设备在最大单台主变N-1后剩余容量为50.00 MVA。故障方式下本站转出37.34 MW、承接0.00 MW，其中与吴庄变之间的主要转出功率为19.58 MW，转接后净负荷为47.50 MW。这一工况通过邻站分担本站故障后的正向负荷。</w:t>
      </w:r>
    </w:p>
    <w:p>
      <w:pPr>
        <w:pStyle w:val="7"/>
        <w:keepNext/>
        <w:numPr>
          <w:numId w:val="0"/>
        </w:numPr>
        <w:spacing w:line="360" w:lineRule="exact" w:before="160" w:after="120"/>
        <w:ind w:firstLine="0"/>
      </w:pPr>
      <w:bookmarkStart w:id="222" w:name="花园变规划分析"/>
      <w:r>
        <w:rPr>
          <w:rFonts w:ascii="Times New Roman" w:hAnsi="Times New Roman" w:eastAsia="方正仿宋_GBK"/>
          <w:b/>
          <w:sz w:val="24"/>
        </w:rPr>
        <w:t xml:space="preserve">花园变规划分析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2025年本站最大正向、反向净负荷分别为63.57 MW、0.00 MW。在同一需求下，刚性方案当年主变容量为80.00 MVA、储能额定功率0.00 MW，弹性方案分别为80.00 MVA和0.00 MW，两类方案本站主变总容量相同。弹性方案按当年各站局部极值计算的站级负载率为84%。</w:t>
      </w:r>
    </w:p>
    <w:p>
      <w:pPr>
        <w:pStyle w:val="2"/>
        <w:keepNext/>
        <w:spacing w:line="280" w:lineRule="exact" w:before="120" w:after="80"/>
        <w:ind w:firstLine="0"/>
        <w:jc w:val="center"/>
      </w:pPr>
      <w:r>
        <w:rPr>
          <w:rFonts w:ascii="Times New Roman" w:hAnsi="Times New Roman" w:eastAsia="宋体"/>
          <w:b w:val="0"/>
          <w:sz w:val="21"/>
        </w:rPr>
        <w:t xml:space="preserve">表5-38 花园变年度配置与正向峰值正常转接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MW，转接后净负荷为49.60 MW，区域最低净负荷工况下为19.62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MW、19.62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四年校核截面中，本站绝对功率最大的工况出现在2023年，转接前为64.13 MW，主要表现为正向受电需求，该年设备在最大单台主变N-1后剩余容量为40.00 MVA。故障方式下本站转出26.13 MW、承接0.00 MW，其中与庆云桥变之间的主要转出功率为10.59 MW，转接后净负荷为38.00 MW。这一工况通过邻站分担本站故障后的正向负荷。</w:t>
      </w:r>
    </w:p>
    <w:p>
      <w:pPr>
        <w:pStyle w:val="7"/>
        <w:keepNext/>
        <w:numPr>
          <w:numId w:val="0"/>
        </w:numPr>
        <w:spacing w:line="360" w:lineRule="exact" w:before="160" w:after="120"/>
        <w:ind w:firstLine="0"/>
      </w:pPr>
      <w:bookmarkStart w:id="223" w:name="惠民变规划分析"/>
      <w:r>
        <w:rPr>
          <w:rFonts w:ascii="Times New Roman" w:hAnsi="Times New Roman" w:eastAsia="方正仿宋_GBK"/>
          <w:b/>
          <w:sz w:val="24"/>
        </w:rPr>
        <w:t xml:space="preserve">惠民变规划分析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2025年本站最大正向、反向净负荷分别为85.29 MW、0.00 MW。在同一需求下，刚性方案当年主变容量为103.00 MVA、储能额定功率0.00 MW，弹性方案分别为103.00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表5-39 惠民变年度配置与正向峰值正常转接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MW，转接后净负荷为74.38 MW，区域最低净负荷工况下为24.04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MW、24.04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四年校核截面中，本站绝对功率最大的工况出现在2023年，转接前为86.03 MW，主要表现为正向受电需求，该年设备在最大单台主变N-1后剩余容量为40.00 MVA。故障方式下本站转出48.03 MW、承接0.00 MW，其中与大庙变之间的主要转出功率为28.84 MW，转接后净负荷为38.00 MW。这一工况通过邻站分担本站故障后的正向负荷。</w:t>
      </w:r>
    </w:p>
    <w:p>
      <w:pPr>
        <w:pStyle w:val="7"/>
        <w:keepNext/>
        <w:numPr>
          <w:numId w:val="0"/>
        </w:numPr>
        <w:spacing w:line="360" w:lineRule="exact" w:before="160" w:after="120"/>
        <w:ind w:firstLine="0"/>
      </w:pPr>
      <w:bookmarkStart w:id="224" w:name="夹河变规划分析"/>
      <w:r>
        <w:rPr>
          <w:rFonts w:ascii="Times New Roman" w:hAnsi="Times New Roman" w:eastAsia="方正仿宋_GBK"/>
          <w:b/>
          <w:sz w:val="24"/>
        </w:rPr>
        <w:t xml:space="preserve">夹河变规划分析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2025年本站最大正向、反向净负荷分别为46.06 MW、6.81 MW。在同一需求下，刚性方案当年主变容量为80.00 MVA、储能额定功率0.00 MW，弹性方案分别为80.00 MVA和0.00 MW，两类方案本站主变总容量相同。弹性方案按当年各站局部极值计算的站级负载率为61%。</w:t>
      </w:r>
    </w:p>
    <w:p>
      <w:pPr>
        <w:pStyle w:val="2"/>
        <w:keepNext/>
        <w:spacing w:line="280" w:lineRule="exact" w:before="120" w:after="80"/>
        <w:ind w:firstLine="0"/>
        <w:jc w:val="center"/>
      </w:pPr>
      <w:r>
        <w:rPr>
          <w:rFonts w:ascii="Times New Roman" w:hAnsi="Times New Roman" w:eastAsia="宋体"/>
          <w:b w:val="0"/>
          <w:sz w:val="21"/>
        </w:rPr>
        <w:t xml:space="preserve">表5-40 夹河变年度配置与正向峰值正常转接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MW，转接后净负荷为46.06 MW，区域最低净负荷工况下为-6.81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MW、-6.81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四年校核截面中，本站绝对功率最大的工况出现在2023年，转接前为46.47 MW，主要表现为正向受电需求，该年设备在最大单台主变N-1后剩余容量为40.00 MVA。故障方式下本站转出8.47 MW、承接0.00 MW，其中与开元变之间的主要转出功率为8.47 MW，转接后净负荷为38.00 MW。这一工况通过邻站分担本站故障后的正向负荷。</w:t>
      </w:r>
    </w:p>
    <w:p>
      <w:pPr>
        <w:pStyle w:val="7"/>
        <w:keepNext/>
        <w:numPr>
          <w:numId w:val="0"/>
        </w:numPr>
        <w:spacing w:line="360" w:lineRule="exact" w:before="160" w:after="120"/>
        <w:ind w:firstLine="0"/>
      </w:pPr>
      <w:bookmarkStart w:id="225" w:name="开元变规划分析"/>
      <w:r>
        <w:rPr>
          <w:rFonts w:ascii="Times New Roman" w:hAnsi="Times New Roman" w:eastAsia="方正仿宋_GBK"/>
          <w:b/>
          <w:sz w:val="24"/>
        </w:rPr>
        <w:t xml:space="preserve">开元变规划分析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2025年本站最大正向、反向净负荷分别为56.24 MW、0.00 MW。在同一需求下，刚性方案当年主变容量为103.00 MVA、储能额定功率0.00 MW，弹性方案分别为103.00 MVA和0.00 MW，两类方案本站主变总容量相同。弹性方案按当年各站局部极值计算的站级负载率为57%。</w:t>
      </w:r>
    </w:p>
    <w:p>
      <w:pPr>
        <w:pStyle w:val="2"/>
        <w:keepNext/>
        <w:spacing w:line="280" w:lineRule="exact" w:before="120" w:after="80"/>
        <w:ind w:firstLine="0"/>
        <w:jc w:val="center"/>
      </w:pPr>
      <w:r>
        <w:rPr>
          <w:rFonts w:ascii="Times New Roman" w:hAnsi="Times New Roman" w:eastAsia="宋体"/>
          <w:b w:val="0"/>
          <w:sz w:val="21"/>
        </w:rPr>
        <w:t xml:space="preserve">表5-41 开元变年度配置与正向峰值正常转接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MW，转接后净负荷为56.24 MW，区域最低净负荷工况下为13.51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MW、13.51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四年校核截面中，本站绝对功率最大的工况出现在2023年，转接前为56.73 MW，主要表现为正向受电需求，该年设备在最大单台主变N-1后剩余容量为40.00 MVA。故障方式下本站转出18.73 MW、承接0.00 MW，其中与吴庄变之间的主要转出功率为18.73 MW，转接后净负荷为38.00 MW。这一工况通过邻站分担本站故障后的正向负荷。</w:t>
      </w:r>
    </w:p>
    <w:p>
      <w:pPr>
        <w:pStyle w:val="7"/>
        <w:keepNext/>
        <w:numPr>
          <w:numId w:val="0"/>
        </w:numPr>
        <w:spacing w:line="360" w:lineRule="exact" w:before="160" w:after="120"/>
        <w:ind w:firstLine="0"/>
      </w:pPr>
      <w:bookmarkStart w:id="226" w:name="奎山变规划分析"/>
      <w:r>
        <w:rPr>
          <w:rFonts w:ascii="Times New Roman" w:hAnsi="Times New Roman" w:eastAsia="方正仿宋_GBK"/>
          <w:b/>
          <w:sz w:val="24"/>
        </w:rPr>
        <w:t xml:space="preserve">奎山变规划分析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2025年本站最大正向、反向净负荷分别为83.73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表5-42 奎山变年度配置与正向峰值正常转接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78.52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86.99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MW、承接15.55 MW，转接后净负荷为86.99 MW，区域最低净负荷工况下为22.48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MW、22.48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四年校核截面中，本站绝对功率最大的工况出现在2023年，转接前为84.47 MW，主要表现为正向受电需求，该年设备在最大单台主变N-1后剩余容量为50.00 MVA。故障方式下本站转出36.97 MW、承接0.00 MW，其中与翟山变之间的主要转出功率为36.97 MW，转接后净负荷为47.50 MW。这一工况通过邻站分担本站故障后的正向负荷。</w:t>
      </w:r>
    </w:p>
    <w:p>
      <w:pPr>
        <w:pStyle w:val="7"/>
        <w:keepNext/>
        <w:numPr>
          <w:numId w:val="0"/>
        </w:numPr>
        <w:spacing w:line="360" w:lineRule="exact" w:before="160" w:after="120"/>
        <w:ind w:firstLine="0"/>
      </w:pPr>
      <w:bookmarkStart w:id="227" w:name="刘湾变规划分析"/>
      <w:r>
        <w:rPr>
          <w:rFonts w:ascii="Times New Roman" w:hAnsi="Times New Roman" w:eastAsia="方正仿宋_GBK"/>
          <w:b/>
          <w:sz w:val="24"/>
        </w:rPr>
        <w:t xml:space="preserve">刘湾变规划分析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2025年本站最大正向、反向净负荷分别为71.22 MW、13.31 MW。在同一需求下，刚性方案当年主变容量为90.00 MVA、储能额定功率0.00 MW，弹性方案分别为90.00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表5-43 刘湾变年度配置与正向峰值正常转接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MW，转接后净负荷为60.43 MW，区域最低净负荷工况下为2.04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四年校核截面中，本站绝对功率最大的工况出现在2023年，转接前为71.84 MW，主要表现为正向受电需求，该年设备在最大单台主变N-1后剩余容量为40.00 MVA。故障方式下本站转出33.84 MW、承接0.00 MW，其中与拾屯变之间的主要转出功率为33.11 MW，转接后净负荷为38.00 MW。这一工况通过邻站分担本站故障后的正向负荷。</w:t>
      </w:r>
    </w:p>
    <w:p>
      <w:pPr>
        <w:pStyle w:val="7"/>
        <w:keepNext/>
        <w:numPr>
          <w:numId w:val="0"/>
        </w:numPr>
        <w:spacing w:line="360" w:lineRule="exact" w:before="160" w:after="120"/>
        <w:ind w:firstLine="0"/>
      </w:pPr>
      <w:bookmarkStart w:id="228" w:name="龙湖变规划分析"/>
      <w:r>
        <w:rPr>
          <w:rFonts w:ascii="Times New Roman" w:hAnsi="Times New Roman" w:eastAsia="方正仿宋_GBK"/>
          <w:b/>
          <w:sz w:val="24"/>
        </w:rPr>
        <w:t xml:space="preserve">龙湖变规划分析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2025年本站最大正向、反向净负荷分别为31.83 MW、0.00 MW。在同一需求下，刚性方案当年主变容量为80.00 MVA、储能额定功率0.00 MW，弹性方案分别为80.00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表5-44 龙湖变年度配置与正向峰值正常转接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MW，转接后净负荷为28.53 MW，区域最低净负荷工况下为9.38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MVA，两代表工况重新转供后的本站净负荷分别为28.53 MW、9.38 MW，两方向最小容量余量为9.47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四年校核截面中，本站绝对功率最大的工况出现在2023年，转接前为32.11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29" w:name="庞庄变规划分析"/>
      <w:r>
        <w:rPr>
          <w:rFonts w:ascii="Times New Roman" w:hAnsi="Times New Roman" w:eastAsia="方正仿宋_GBK"/>
          <w:b/>
          <w:sz w:val="24"/>
        </w:rPr>
        <w:t xml:space="preserve">庞庄变规划分析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2025年本站最大正向、反向净负荷分别为11.20 MW、7.08 MW。在同一需求下，刚性方案当年主变容量为80.00 MVA、储能额定功率0.00 MW，弹性方案分别为80.00 MVA和0.00 MW，两类方案本站主变总容量相同。弹性方案按当年各站局部极值计算的站级负载率为15%。</w:t>
      </w:r>
    </w:p>
    <w:p>
      <w:pPr>
        <w:pStyle w:val="2"/>
        <w:keepNext/>
        <w:spacing w:line="280" w:lineRule="exact" w:before="120" w:after="80"/>
        <w:ind w:firstLine="0"/>
        <w:jc w:val="center"/>
      </w:pPr>
      <w:r>
        <w:rPr>
          <w:rFonts w:ascii="Times New Roman" w:hAnsi="Times New Roman" w:eastAsia="宋体"/>
          <w:b w:val="0"/>
          <w:sz w:val="21"/>
        </w:rPr>
        <w:t xml:space="preserve">表5-45 庞庄变年度配置与正向峰值正常转接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MW、承接4.40 MW，转接后净负荷为13.90 MW，区域最低净负荷工况下为-6.87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MVA，两代表工况重新转供后的本站净负荷分别为13.90 MW、-6.87 MW，两方向最小容量余量为24.10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四年校核截面中，本站绝对功率最大的工况出现在2023年，转接前为11.30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30" w:name="彭场变规划分析"/>
      <w:r>
        <w:rPr>
          <w:rFonts w:ascii="Times New Roman" w:hAnsi="Times New Roman" w:eastAsia="方正仿宋_GBK"/>
          <w:b/>
          <w:sz w:val="24"/>
        </w:rPr>
        <w:t xml:space="preserve">彭场变规划分析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2025年本站最大正向、反向净负荷分别为64.92 MW、0.00 MW。在同一需求下，刚性方案当年主变容量为90.00 MVA、储能额定功率0.00 MW，弹性方案分别为90.00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表5-46 彭场变年度配置与正向峰值正常转接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MW，转接后净负荷为55.66 MW，区域最低净负荷工况下为7.76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MW、7.76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四年校核截面中，本站绝对功率最大的工况出现在2023年，转接前为65.49 MW，主要表现为正向受电需求，该年设备在最大单台主变N-1后剩余容量为40.00 MVA。故障方式下本站转出27.49 MW、承接0.00 MW，其中与庆云桥变之间的主要转出功率为12.88 MW，转接后净负荷为38.00 MW。这一工况通过邻站分担本站故障后的正向负荷。</w:t>
      </w:r>
    </w:p>
    <w:p>
      <w:pPr>
        <w:pStyle w:val="7"/>
        <w:keepNext/>
        <w:numPr>
          <w:numId w:val="0"/>
        </w:numPr>
        <w:spacing w:line="360" w:lineRule="exact" w:before="160" w:after="120"/>
        <w:ind w:firstLine="0"/>
      </w:pPr>
      <w:bookmarkStart w:id="231" w:name="庆云桥变规划分析"/>
      <w:r>
        <w:rPr>
          <w:rFonts w:ascii="Times New Roman" w:hAnsi="Times New Roman" w:eastAsia="方正仿宋_GBK"/>
          <w:b/>
          <w:sz w:val="24"/>
        </w:rPr>
        <w:t xml:space="preserve">庆云桥变规划分析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2025年本站最大正向、反向净负荷分别为65.76 MW、0.00 MW。在同一需求下，刚性方案当年主变容量为80.00 MVA、储能额定功率0.00 MW，弹性方案分别为80.00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表5-47 庆云桥变年度配置与正向峰值正常转接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MW，转接后净负荷为58.45 MW，区域最低净负荷工况下为17.85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MW、17.85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四年校核截面中，本站绝对功率最大的工况出现在2023年，转接前为66.34 MW，主要表现为正向受电需求，该年设备在最大单台主变N-1后剩余容量为40.00 MVA。故障方式下本站转出28.34 MW、承接0.00 MW，其中与开元变之间的主要转出功率为19.47 MW，转接后净负荷为38.00 MW。这一工况通过邻站分担本站故障后的正向负荷。</w:t>
      </w:r>
    </w:p>
    <w:p>
      <w:pPr>
        <w:pStyle w:val="7"/>
        <w:keepNext/>
        <w:numPr>
          <w:numId w:val="0"/>
        </w:numPr>
        <w:spacing w:line="360" w:lineRule="exact" w:before="160" w:after="120"/>
        <w:ind w:firstLine="0"/>
      </w:pPr>
      <w:bookmarkStart w:id="232" w:name="山南变规划分析"/>
      <w:r>
        <w:rPr>
          <w:rFonts w:ascii="Times New Roman" w:hAnsi="Times New Roman" w:eastAsia="方正仿宋_GBK"/>
          <w:b/>
          <w:sz w:val="24"/>
        </w:rPr>
        <w:t xml:space="preserve">山南变规划分析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2025年本站最大正向、反向净负荷分别为5.80 MW、0.00 MW。在同一需求下，刚性方案当年主变容量为80.00 MVA、储能额定功率0.00 MW，弹性方案分别为80.00 MVA和0.00 MW，两类方案本站主变总容量相同。弹性方案按当年各站局部极值计算的站级负载率为8%。</w:t>
      </w:r>
    </w:p>
    <w:p>
      <w:pPr>
        <w:pStyle w:val="2"/>
        <w:keepNext/>
        <w:spacing w:line="280" w:lineRule="exact" w:before="120" w:after="80"/>
        <w:ind w:firstLine="0"/>
        <w:jc w:val="center"/>
      </w:pPr>
      <w:r>
        <w:rPr>
          <w:rFonts w:ascii="Times New Roman" w:hAnsi="Times New Roman" w:eastAsia="宋体"/>
          <w:b w:val="0"/>
          <w:sz w:val="21"/>
        </w:rPr>
        <w:t xml:space="preserve">表5-48 山南变年度配置与正向峰值正常转接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MW，转接后净负荷为5.80 MW，区域最低净负荷工况下为0.64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MVA，两代表工况重新转供后的本站净负荷分别为5.80 MW、0.64 MW，两方向最小容量余量为32.20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四年校核截面中，本站绝对功率最大的工况出现在2023年，转接前为5.85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33" w:name="升辉变规划分析"/>
      <w:r>
        <w:rPr>
          <w:rFonts w:ascii="Times New Roman" w:hAnsi="Times New Roman" w:eastAsia="方正仿宋_GBK"/>
          <w:b/>
          <w:sz w:val="24"/>
        </w:rPr>
        <w:t xml:space="preserve">升辉变规划分析</w:t>
      </w:r>
      <w:bookmarkEnd w:id="23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该站初始主变组合为80+80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2025年本站最大正向、反向净负荷分别为38.35 MW、0.00 MW。在同一需求下，刚性方案当年主变容量为160.00 MVA、储能额定功率0.00 MW，弹性方案分别为160.00 MVA和0.00 MW，两类方案本站主变总容量相同。弹性方案按当年各站局部极值计算的站级负载率为25%。</w:t>
      </w:r>
    </w:p>
    <w:p>
      <w:pPr>
        <w:pStyle w:val="2"/>
        <w:keepNext/>
        <w:spacing w:line="280" w:lineRule="exact" w:before="120" w:after="80"/>
        <w:ind w:firstLine="0"/>
        <w:jc w:val="center"/>
      </w:pPr>
      <w:r>
        <w:rPr>
          <w:rFonts w:ascii="Times New Roman" w:hAnsi="Times New Roman" w:eastAsia="宋体"/>
          <w:b w:val="0"/>
          <w:sz w:val="21"/>
        </w:rPr>
        <w:t xml:space="preserve">表5-49 升辉变年度配置与正向峰值正常转接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MW，转接后净负荷为28.55 MW，区域最低净负荷工况下为11.59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按最大单台主变N-1校核，本站剩余容量为80.00 MVA，两代表工况重新转供后的本站净负荷分别为28.55 MW、11.59 MW，两方向最小容量余量为47.45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四年校核截面中，本站绝对功率最大的工况出现在2023年，转接前为38.68 MW，主要表现为正向受电需求，该年设备在最大单台主变N-1后剩余容量为80.00 MVA。该工况本站由剩余主变满足承载要求。</w:t>
      </w:r>
    </w:p>
    <w:p>
      <w:pPr>
        <w:pStyle w:val="7"/>
        <w:keepNext/>
        <w:numPr>
          <w:numId w:val="0"/>
        </w:numPr>
        <w:spacing w:line="360" w:lineRule="exact" w:before="160" w:after="120"/>
        <w:ind w:firstLine="0"/>
      </w:pPr>
      <w:bookmarkStart w:id="234" w:name="石桥变规划分析"/>
      <w:r>
        <w:rPr>
          <w:rFonts w:ascii="Times New Roman" w:hAnsi="Times New Roman" w:eastAsia="方正仿宋_GBK"/>
          <w:b/>
          <w:sz w:val="24"/>
        </w:rPr>
        <w:t xml:space="preserve">石桥变规划分析</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2025年本站最大正向、反向净负荷分别为110.02 MW、10.95 MW。在同一需求下，刚性方案当年主变容量为143.00 MVA、储能额定功率0.00 MW，弹性方案分别为143.00 MVA和0.00 MW，两类方案本站主变总容量相同。弹性方案按当年各站局部极值计算的站级负载率为81%。</w:t>
      </w:r>
    </w:p>
    <w:p>
      <w:pPr>
        <w:pStyle w:val="2"/>
        <w:keepNext/>
        <w:spacing w:line="280" w:lineRule="exact" w:before="120" w:after="80"/>
        <w:ind w:firstLine="0"/>
        <w:jc w:val="center"/>
      </w:pPr>
      <w:r>
        <w:rPr>
          <w:rFonts w:ascii="Times New Roman" w:hAnsi="Times New Roman" w:eastAsia="宋体"/>
          <w:b w:val="0"/>
          <w:sz w:val="21"/>
        </w:rPr>
        <w:t xml:space="preserve">表5-50 石桥变年度配置与正向峰值正常转接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MW，转接后净负荷为103.71 MW，区域最低净负荷工况下为2.91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MW、2.91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四年校核截面中，本站绝对功率最大的工况出现在2023年，转接前为110.98 MW，主要表现为正向受电需求，该年设备在最大单台主变N-1后剩余容量为63.00 MVA。故障方式下本站转出51.13 MW、承接0.00 MW，其中与响山变之间的主要转出功率为24.34 MW，转接后净负荷为59.85 MW。这一工况通过邻站分担本站故障后的正向负荷。</w:t>
      </w:r>
    </w:p>
    <w:p>
      <w:pPr>
        <w:pStyle w:val="7"/>
        <w:keepNext/>
        <w:numPr>
          <w:numId w:val="0"/>
        </w:numPr>
        <w:spacing w:line="360" w:lineRule="exact" w:before="160" w:after="120"/>
        <w:ind w:firstLine="0"/>
      </w:pPr>
      <w:bookmarkStart w:id="235" w:name="拾屯变规划分析"/>
      <w:r>
        <w:rPr>
          <w:rFonts w:ascii="Times New Roman" w:hAnsi="Times New Roman" w:eastAsia="方正仿宋_GBK"/>
          <w:b/>
          <w:sz w:val="24"/>
        </w:rPr>
        <w:t xml:space="preserve">拾屯变规划分析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2025年本站最大正向、反向净负荷分别为73.47 MW、0.00 MW。在同一需求下，刚性方案当年主变容量为80.00 MVA、储能额定功率0.00 MW，弹性方案分别为80.00 MVA和0.00 MW，两类方案本站主变总容量相同。弹性方案按当年各站局部极值计算的站级负载率为97%。</w:t>
      </w:r>
    </w:p>
    <w:p>
      <w:pPr>
        <w:pStyle w:val="2"/>
        <w:keepNext/>
        <w:spacing w:line="280" w:lineRule="exact" w:before="120" w:after="80"/>
        <w:ind w:firstLine="0"/>
        <w:jc w:val="center"/>
      </w:pPr>
      <w:r>
        <w:rPr>
          <w:rFonts w:ascii="Times New Roman" w:hAnsi="Times New Roman" w:eastAsia="宋体"/>
          <w:b w:val="0"/>
          <w:sz w:val="21"/>
        </w:rPr>
        <w:t xml:space="preserve">表5-51 拾屯变年度配置与正向峰值正常转接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MW、承接3.74 MW，转接后净负荷为76.00 MW，区域最低净负荷工况下为4.74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MW、4.74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四年校核截面中，本站绝对功率最大的工况出现在2023年，转接前为74.11 MW，主要表现为正向受电需求，该年设备在最大单台主变N-1后剩余容量为40.00 MVA。故障方式下本站转出36.11 MW、承接0.00 MW，其中与花园变之间的主要转出功率为22.73 MW，转接后净负荷为38.00 MW。这一工况通过邻站分担本站故障后的正向负荷。</w:t>
      </w:r>
    </w:p>
    <w:p>
      <w:pPr>
        <w:pStyle w:val="7"/>
        <w:keepNext/>
        <w:numPr>
          <w:numId w:val="0"/>
        </w:numPr>
        <w:spacing w:line="360" w:lineRule="exact" w:before="160" w:after="120"/>
        <w:ind w:firstLine="0"/>
      </w:pPr>
      <w:bookmarkStart w:id="236" w:name="统一变规划分析"/>
      <w:r>
        <w:rPr>
          <w:rFonts w:ascii="Times New Roman" w:hAnsi="Times New Roman" w:eastAsia="方正仿宋_GBK"/>
          <w:b/>
          <w:sz w:val="24"/>
        </w:rPr>
        <w:t xml:space="preserve">统一变规划分析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2025年本站最大正向、反向净负荷分别为92.94 MW、0.00 MW。在同一需求下，刚性方案当年主变容量为80.00 MVA、储能额定功率0.00 MW，弹性方案分别为80.00 MVA和0.00 MW，两类方案本站主变总容量相同。弹性方案按当年各站局部极值计算的站级负载率为122%。</w:t>
      </w:r>
    </w:p>
    <w:p>
      <w:pPr>
        <w:pStyle w:val="2"/>
        <w:keepNext/>
        <w:spacing w:line="280" w:lineRule="exact" w:before="120" w:after="80"/>
        <w:ind w:firstLine="0"/>
        <w:jc w:val="center"/>
      </w:pPr>
      <w:r>
        <w:rPr>
          <w:rFonts w:ascii="Times New Roman" w:hAnsi="Times New Roman" w:eastAsia="宋体"/>
          <w:b w:val="0"/>
          <w:sz w:val="21"/>
        </w:rPr>
        <w:t xml:space="preserve">表5-52 统一变年度配置与正向峰值正常转接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2025年区域正向峰值正常工况下，本站转出15.55 MW、承接0.00 MW，转接后净负荷为76.00 MW，区域最低净负荷工况下为14.84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MW、14.84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四年校核截面中，本站绝对功率最大的工况出现在2023年，转接前为93.76 MW，主要表现为正向受电需求，该年设备在最大单台主变N-1后剩余容量为40.00 MVA。故障方式下本站转出55.76 MW、承接0.00 MW，其中与奎山变之间的主要转出功率为32.73 MW，转接后净负荷为38.00 MW。这一工况通过邻站分担本站故障后的正向负荷。</w:t>
      </w:r>
    </w:p>
    <w:p>
      <w:pPr>
        <w:pStyle w:val="7"/>
        <w:keepNext/>
        <w:numPr>
          <w:numId w:val="0"/>
        </w:numPr>
        <w:spacing w:line="360" w:lineRule="exact" w:before="160" w:after="120"/>
        <w:ind w:firstLine="0"/>
      </w:pPr>
      <w:bookmarkStart w:id="237" w:name="吴庄变规划分析"/>
      <w:r>
        <w:rPr>
          <w:rFonts w:ascii="Times New Roman" w:hAnsi="Times New Roman" w:eastAsia="方正仿宋_GBK"/>
          <w:b/>
          <w:sz w:val="24"/>
        </w:rPr>
        <w:t xml:space="preserve">吴庄变规划分析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2025年本站最大正向、反向净负荷分别为103.02 MW、0.00 MW。在同一需求下，刚性方案当年主变容量为130.00 MVA、储能额定功率0.00 MW，弹性方案分别为130.00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表5-53 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MW，转接后净负荷为96.47 MW，区域最低净负荷工况下为31.10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MW、31.10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四年校核截面中，本站绝对功率最大的工况出现在2023年，转接前为103.92 MW，主要表现为正向受电需求，该年设备在最大单台主变N-1后剩余容量为50.00 MVA。故障方式下本站转出56.42 MW、承接0.00 MW，其中与翟山变之间的主要转出功率为39.78 MW，转接后净负荷为47.50 MW。这一工况通过邻站分担本站故障后的正向负荷。</w:t>
      </w:r>
    </w:p>
    <w:p>
      <w:pPr>
        <w:pStyle w:val="7"/>
        <w:keepNext/>
        <w:numPr>
          <w:numId w:val="0"/>
        </w:numPr>
        <w:spacing w:line="360" w:lineRule="exact" w:before="160" w:after="120"/>
        <w:ind w:firstLine="0"/>
      </w:pPr>
      <w:bookmarkStart w:id="238" w:name="西郊变规划分析"/>
      <w:r>
        <w:rPr>
          <w:rFonts w:ascii="Times New Roman" w:hAnsi="Times New Roman" w:eastAsia="方正仿宋_GBK"/>
          <w:b/>
          <w:sz w:val="24"/>
        </w:rPr>
        <w:t xml:space="preserve">西郊变规划分析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2025年本站最大正向、反向净负荷分别为128.27 MW、0.00 MW。在同一需求下，刚性方案当年主变容量为126.00 MVA、储能额定功率0.00 MW，弹性方案分别为126.00 MVA和0.00 MW，两类方案本站主变总容量相同。弹性方案按当年各站局部极值计算的站级负载率为107%。</w:t>
      </w:r>
    </w:p>
    <w:p>
      <w:pPr>
        <w:pStyle w:val="2"/>
        <w:keepNext/>
        <w:spacing w:line="280" w:lineRule="exact" w:before="120" w:after="80"/>
        <w:ind w:firstLine="0"/>
        <w:jc w:val="center"/>
      </w:pPr>
      <w:r>
        <w:rPr>
          <w:rFonts w:ascii="Times New Roman" w:hAnsi="Times New Roman" w:eastAsia="宋体"/>
          <w:b w:val="0"/>
          <w:sz w:val="21"/>
        </w:rPr>
        <w:t xml:space="preserve">表5-54 西郊变年度配置与正向峰值正常转接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2025年区域正向峰值正常工况下，本站转出8.57 MW、承接0.00 MW，转接后净负荷为119.70 MW，区域最低净负荷工况下为32.04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四年校核截面中，本站绝对功率最大的工况出现在2023年，转接前为129.39 MW，主要表现为正向受电需求，该年设备在最大单台主变N-1后剩余容量为63.00 MVA。故障方式下本站转出69.54 MW、承接0.00 MW，其中与古彭变之间的主要转出功率为27.51 MW，转接后净负荷为59.85 MW。这一工况通过邻站分担本站故障后的正向负荷。</w:t>
      </w:r>
    </w:p>
    <w:p>
      <w:pPr>
        <w:pStyle w:val="7"/>
        <w:keepNext/>
        <w:numPr>
          <w:numId w:val="0"/>
        </w:numPr>
        <w:spacing w:line="360" w:lineRule="exact" w:before="160" w:after="120"/>
        <w:ind w:firstLine="0"/>
      </w:pPr>
      <w:bookmarkStart w:id="239" w:name="祥和变规划分析"/>
      <w:r>
        <w:rPr>
          <w:rFonts w:ascii="Times New Roman" w:hAnsi="Times New Roman" w:eastAsia="方正仿宋_GBK"/>
          <w:b/>
          <w:sz w:val="24"/>
        </w:rPr>
        <w:t xml:space="preserve">祥和变规划分析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2025年本站最大正向、反向净负荷分别为19.37 MW、0.00 MW。在同一需求下，刚性方案当年主变容量为90.00 MVA、储能额定功率0.00 MW，弹性方案分别为90.00 MVA和0.00 MW，两类方案本站主变总容量相同。弹性方案按当年各站局部极值计算的站级负载率为23%。</w:t>
      </w:r>
    </w:p>
    <w:p>
      <w:pPr>
        <w:pStyle w:val="2"/>
        <w:keepNext/>
        <w:spacing w:line="280" w:lineRule="exact" w:before="120" w:after="80"/>
        <w:ind w:firstLine="0"/>
        <w:jc w:val="center"/>
      </w:pPr>
      <w:r>
        <w:rPr>
          <w:rFonts w:ascii="Times New Roman" w:hAnsi="Times New Roman" w:eastAsia="宋体"/>
          <w:b w:val="0"/>
          <w:sz w:val="21"/>
        </w:rPr>
        <w:t xml:space="preserve">表5-55 祥和变年度配置与正向峰值正常转接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MW，转接后净负荷为19.35 MW，区域最低净负荷工况下为5.17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MVA，两代表工况重新转供后的本站净负荷分别为19.35 MW、5.17 MW，两方向最小容量余量为18.65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四年校核截面中，本站绝对功率最大的工况出现在2023年，转接前为19.54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40" w:name="响山变规划分析"/>
      <w:r>
        <w:rPr>
          <w:rFonts w:ascii="Times New Roman" w:hAnsi="Times New Roman" w:eastAsia="方正仿宋_GBK"/>
          <w:b/>
          <w:sz w:val="24"/>
        </w:rPr>
        <w:t xml:space="preserve">响山变规划分析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2025年本站最大正向、反向净负荷分别为53.11 MW、0.00 MW。在同一需求下，刚性方案当年主变容量为80.00 MVA、储能额定功率0.00 MW，弹性方案分别为80.00 MVA和0.00 MW，两类方案本站主变总容量相同。弹性方案按当年各站局部极值计算的站级负载率为70%。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表5-56 响山变年度配置与正向峰值正常转接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MW，转接后净负荷为53.11 MW，区域最低净负荷工况下为11.38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MW、11.38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四年校核截面中，本站绝对功率最大的工况出现在2023年，转接前为53.58 MW，主要表现为正向受电需求，该年设备在最大单台主变N-1后剩余容量为40.00 MVA。故障方式下本站转出15.58 MW、承接0.00 MW，其中与刘湾变之间的主要转出功率为15.58 MW，转接后净负荷为38.00 MW。这一工况通过邻站分担本站故障后的正向负荷。</w:t>
      </w:r>
    </w:p>
    <w:p>
      <w:pPr>
        <w:pStyle w:val="7"/>
        <w:keepNext/>
        <w:numPr>
          <w:numId w:val="0"/>
        </w:numPr>
        <w:spacing w:line="360" w:lineRule="exact" w:before="160" w:after="120"/>
        <w:ind w:firstLine="0"/>
      </w:pPr>
      <w:bookmarkStart w:id="241" w:name="玉潭变规划分析"/>
      <w:r>
        <w:rPr>
          <w:rFonts w:ascii="Times New Roman" w:hAnsi="Times New Roman" w:eastAsia="方正仿宋_GBK"/>
          <w:b/>
          <w:sz w:val="24"/>
        </w:rPr>
        <w:t xml:space="preserve">玉潭变规划分析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2025年本站最大正向、反向净负荷分别为45.03 MW、0.00 MW。在同一需求下，刚性方案当年主变容量为126.00 MVA、储能额定功率0.00 MW，弹性方案分别为126.00 MVA和0.00 MW，两类方案本站主变总容量相同。弹性方案按当年各站局部极值计算的站级负载率为38%。</w:t>
      </w:r>
    </w:p>
    <w:p>
      <w:pPr>
        <w:pStyle w:val="2"/>
        <w:keepNext/>
        <w:spacing w:line="280" w:lineRule="exact" w:before="120" w:after="80"/>
        <w:ind w:firstLine="0"/>
        <w:jc w:val="center"/>
      </w:pPr>
      <w:r>
        <w:rPr>
          <w:rFonts w:ascii="Times New Roman" w:hAnsi="Times New Roman" w:eastAsia="宋体"/>
          <w:b w:val="0"/>
          <w:sz w:val="21"/>
        </w:rPr>
        <w:t xml:space="preserve">表5-57 玉潭变年度配置与正向峰值正常转接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MW、承接0.43 MW，转接后净负荷为45.45 MW，区域最低净负荷工况下为9.12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MVA，两代表工况重新转供后的本站净负荷分别为45.45 MW、9.12 MW，两方向最小容量余量为14.40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四年校核截面中，本站绝对功率最大的工况出现在2023年，转接前为45.42 MW，主要表现为正向受电需求，该年设备在最大单台主变N-1后剩余容量为63.00 MVA。故障方式下本站转出0.00 MW、承接2.23 MW，其中与西郊变之间的主要承接功率为2.23 MW，转接后净负荷为47.65 MW。该工况的站间任务随局部功率方向和接收余量安排。</w:t>
      </w:r>
    </w:p>
    <w:p>
      <w:pPr>
        <w:pStyle w:val="7"/>
        <w:keepNext/>
        <w:numPr>
          <w:numId w:val="0"/>
        </w:numPr>
        <w:spacing w:line="360" w:lineRule="exact" w:before="160" w:after="120"/>
        <w:ind w:firstLine="0"/>
      </w:pPr>
      <w:bookmarkStart w:id="242" w:name="茱萸变规划分析"/>
      <w:r>
        <w:rPr>
          <w:rFonts w:ascii="Times New Roman" w:hAnsi="Times New Roman" w:eastAsia="方正仿宋_GBK"/>
          <w:b/>
          <w:sz w:val="24"/>
        </w:rPr>
        <w:t xml:space="preserve">茱萸变规划分析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MVA，弹性方案四年均保留该组合，四年供电任务均由主变及网络承担。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2025年本站最大正向、反向净负荷分别为16.47 MW、5.61 MW。在同一需求下，刚性方案当年主变容量为80.00 MVA、储能额定功率0.00 MW，弹性方案分别为80.00 MVA和0.00 MW，两类方案本站主变总容量相同。弹性方案按当年各站局部极值计算的站级负载率为22%。</w:t>
      </w:r>
    </w:p>
    <w:p>
      <w:pPr>
        <w:pStyle w:val="2"/>
        <w:keepNext/>
        <w:spacing w:line="280" w:lineRule="exact" w:before="120" w:after="80"/>
        <w:ind w:firstLine="0"/>
        <w:jc w:val="center"/>
      </w:pPr>
      <w:r>
        <w:rPr>
          <w:rFonts w:ascii="Times New Roman" w:hAnsi="Times New Roman" w:eastAsia="宋体"/>
          <w:b w:val="0"/>
          <w:sz w:val="21"/>
        </w:rPr>
        <w:t xml:space="preserve">表5-58 茱萸变年度配置与正向峰值正常转接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MW，转接后净负荷为11.51 MW，区域最低净负荷工况下为-4.81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MVA，两代表工况重新转供后的本站净负荷分别为11.51 MW、-4.81 MW，两方向最小容量余量为26.49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四年校核截面中，本站绝对功率最大的工况出现在2023年，转接前为16.61 MW，主要表现为正向受电需求，该年设备在最大单台主变N-1后剩余容量为40.00 MVA。该工况本站由剩余主变满足承载要求。</w:t>
      </w:r>
    </w:p>
    <w:p>
      <w:pPr>
        <w:pStyle w:val="5"/>
        <w:keepNext/>
        <w:numPr>
          <w:numId w:val="0"/>
        </w:numPr>
        <w:spacing w:line="390" w:lineRule="exact" w:before="160" w:after="120"/>
        <w:ind w:firstLine="0"/>
      </w:pPr>
      <w:bookmarkStart w:id="243" w:name="年度设备配置与站间差异"/>
      <w:r>
        <w:rPr>
          <w:rFonts w:ascii="Times New Roman" w:hAnsi="Times New Roman" w:eastAsia="方正仿宋_GBK"/>
          <w:b/>
          <w:sz w:val="26"/>
        </w:rPr>
        <w:t xml:space="preserve">5.4.7 年度设备配置与站间差异</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2025年站级展示范围内主变台数与配储站数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邳州两类方案均有1座三台主变站，但配储站数及储能规模不同。市区两类方案均保持两台主变的站内结构，弹性方案通过翟山变单台升档提高故障后剩余容量。主变台数只反映设备结构的一部分，同样为两台主变的站，额定规格和最大单台停运后的可用容量仍有差异。各年的具体组合、支援方向和投运变化需结合逐站表确定。</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4"/>
        <w:keepNext/>
        <w:numPr>
          <w:numId w:val="0"/>
        </w:numPr>
        <w:spacing w:line="480" w:lineRule="exact" w:before="160" w:after="120"/>
        <w:ind w:firstLine="0"/>
      </w:pPr>
      <w:bookmarkStart w:id="1932" w:name="h932"/>
      <w:bookmarkStart w:id="244" w:name="措施作用与工程衔接"/>
      <w:r>
        <w:rPr>
          <w:rFonts w:ascii="Times New Roman" w:hAnsi="Times New Roman" w:eastAsia="方正仿宋_GBK"/>
          <w:b/>
          <w:sz w:val="32"/>
        </w:rPr>
        <w:t xml:space="preserve">5.5 措施作用与工程衔接</w:t>
      </w:r>
      <w:bookmarkEnd w:id="244"/>
      <w:bookmarkEnd w:id="1932"/>
    </w:p>
    <w:p>
      <w:pPr>
        <w:pStyle w:val="5"/>
        <w:keepNext/>
        <w:numPr>
          <w:numId w:val="0"/>
        </w:numPr>
        <w:spacing w:line="390" w:lineRule="exact" w:before="160" w:after="120"/>
        <w:ind w:firstLine="0"/>
      </w:pPr>
      <w:bookmarkStart w:id="245" w:name="逐年负荷转接与站间任务"/>
      <w:r>
        <w:rPr>
          <w:rFonts w:ascii="Times New Roman" w:hAnsi="Times New Roman" w:eastAsia="方正仿宋_GBK"/>
          <w:b/>
          <w:sz w:val="26"/>
        </w:rPr>
        <w:t xml:space="preserve">5.5.1 逐年负荷转接与站间任务</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表5-60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keepNext/>
        <w:spacing w:line="280" w:lineRule="exact" w:before="120" w:after="80"/>
        <w:ind w:firstLine="0"/>
        <w:jc w:val="center"/>
      </w:pPr>
      <w:r>
        <w:rPr>
          <w:rFonts w:ascii="Times New Roman" w:hAnsi="Times New Roman" w:eastAsia="宋体"/>
          <w:b w:val="0"/>
          <w:sz w:val="21"/>
        </w:rPr>
        <w:t xml:space="preserve">表5-61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46" w:name="主变储能与联络的共同作用"/>
      <w:r>
        <w:rPr>
          <w:rFonts w:ascii="Times New Roman" w:hAnsi="Times New Roman" w:eastAsia="方正仿宋_GBK"/>
          <w:b/>
          <w:sz w:val="26"/>
        </w:rPr>
        <w:t xml:space="preserve">5.5.2 主变、储能与联络的共同作用</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设备选择与站间任务相互衔接。翟山变的更换直接增加最大单台主变N-1后的剩余容量，邢楼变扩建第三台主变改变原有两台小容量主变的组合，保持原设备的站点则结合既有通道安排故障负荷。各站的建设方式由本地源荷、相邻站能力、可扩建位置与工程费用共同确定，区域费用下降最终对应这些具体措施的差异。</w:t>
      </w:r>
    </w:p>
    <w:p>
      <w:pPr>
        <w:pStyle w:val="5"/>
        <w:keepNext/>
        <w:numPr>
          <w:numId w:val="0"/>
        </w:numPr>
        <w:spacing w:line="390" w:lineRule="exact" w:before="160" w:after="120"/>
        <w:ind w:firstLine="0"/>
      </w:pPr>
      <w:bookmarkStart w:id="247" w:name="储能支撑与必要转供量"/>
      <w:r>
        <w:rPr>
          <w:rFonts w:ascii="Times New Roman" w:hAnsi="Times New Roman" w:eastAsia="方正仿宋_GBK"/>
          <w:b/>
          <w:sz w:val="26"/>
        </w:rPr>
        <w:t xml:space="preserve">5.5.3 储能支撑与必要转供量</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邳州正向支撑持续时间为2 h，每柜有效功率0.08170 MW；市区为6 h，每柜约0.02723 MW。邳州弹性方案2025年储能额定功率3.60 MW、额定能量7.74 MWh，刚性方案分别为22.70 MW、48.81 MWh。市区两类方案均通过主变和网络满足本次静态支撑要求。</w:t>
      </w:r>
    </w:p>
    <w:p>
      <w:pPr>
        <w:pStyle w:val="2"/>
        <w:keepNext/>
        <w:spacing w:line="280" w:lineRule="exact" w:before="120" w:after="80"/>
        <w:ind w:firstLine="0"/>
        <w:jc w:val="center"/>
      </w:pPr>
      <w:r>
        <w:rPr>
          <w:rFonts w:ascii="Times New Roman" w:hAnsi="Times New Roman" w:eastAsia="宋体"/>
          <w:b w:val="0"/>
          <w:sz w:val="21"/>
        </w:rPr>
        <w:t xml:space="preserve">表5-62 逐年最大必要既有转供功率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正常最大/MW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N-1最大/MW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46.76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62.82</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表中固定设备方案后，以最小总通道转供功率计算必要转供，并分别列出正常和N-1工况中的最大既有转供量。既有网络支援在正常及故障工况下共同参与容量平衡，新增联络费用由实际建设项目计取。</w:t>
      </w:r>
    </w:p>
    <w:p>
      <w:pPr>
        <w:pStyle w:val="2"/>
        <w:widowControl/>
        <w:spacing w:line="348" w:lineRule="exact" w:before="0" w:after="0"/>
        <w:ind w:firstLine="480"/>
        <w:jc w:val="both"/>
      </w:pPr>
      <w:r>
        <w:rPr>
          <w:rFonts w:ascii="Times New Roman" w:hAnsi="Times New Roman" w:eastAsia="方正仿宋_GBK"/>
          <w:b w:val="0"/>
          <w:sz w:val="24"/>
        </w:rPr>
        <w:t xml:space="preserve">必要转供功率还说明既有网络的作用。市区弹性方案没有新增联络，仍需要在既有逐站额度和通道内安排正常及故障支援；刚性方案的5项新增工程是在相同既有网络基础上增加可用路径。邳州两类方案均建设联络，但储能和主变的站内分布不同，各年的必要转供任务随负荷及投运状态变化。比较新增工程时，应将已有网络提供的支援与新建通道形成的增量分别对应到方案。</w:t>
      </w:r>
    </w:p>
    <w:p>
      <w:pPr>
        <w:pStyle w:val="4"/>
        <w:keepNext/>
        <w:numPr>
          <w:numId w:val="0"/>
        </w:numPr>
        <w:spacing w:line="480" w:lineRule="exact" w:before="160" w:after="120"/>
        <w:ind w:firstLine="0"/>
      </w:pPr>
      <w:bookmarkStart w:id="1948" w:name="h948"/>
      <w:bookmarkStart w:id="248" w:name="五参数推广矩阵"/>
      <w:r>
        <w:rPr>
          <w:rFonts w:ascii="Times New Roman" w:hAnsi="Times New Roman" w:eastAsia="方正仿宋_GBK"/>
          <w:b/>
          <w:sz w:val="32"/>
        </w:rPr>
        <w:t xml:space="preserve">5.6 五参数推广矩阵</w:t>
      </w:r>
      <w:bookmarkEnd w:id="248"/>
      <w:bookmarkEnd w:id="1948"/>
    </w:p>
    <w:p>
      <w:pPr>
        <w:pStyle w:val="5"/>
        <w:keepNext/>
        <w:numPr>
          <w:numId w:val="0"/>
        </w:numPr>
        <w:spacing w:line="390" w:lineRule="exact" w:before="160" w:after="120"/>
        <w:ind w:firstLine="0"/>
      </w:pPr>
      <w:bookmarkStart w:id="249" w:name="参数组织与推广模型"/>
      <w:r>
        <w:rPr>
          <w:rFonts w:ascii="Times New Roman" w:hAnsi="Times New Roman" w:eastAsia="方正仿宋_GBK"/>
          <w:b/>
          <w:sz w:val="26"/>
        </w:rPr>
        <w:t xml:space="preserve">5.6.1 参数组织与推广模型</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五站模板每站初始两台50 MVA主变，基期网供峰值250 MW，目标时点为基期后第4年。主变允许规格、扩建位置、馈线和间隔条件进入承载约束，主变、储能和新增联络按共同评价期费用比选。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表5-63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初始设备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5站，每站2×50 MVA；按位置允许升档和扩建第三台50 MVA</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50" w:name="矩阵结果与查表方法"/>
      <w:r>
        <w:rPr>
          <w:rFonts w:ascii="Times New Roman" w:hAnsi="Times New Roman" w:eastAsia="方正仿宋_GBK"/>
          <w:b/>
          <w:sz w:val="26"/>
        </w:rPr>
        <w:t xml:space="preserve">5.6.2 矩阵结果与查表方法</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五站模板共设置34686个情景组合，其中32112个有效组合形成容载比区间。按电缆长度占比三档和负荷分散系数三个定值分为9张表，每表以平均增长率和装机渗透率构成12行、初始转供率构成4列，共432个单元。容载比区间总体为1.36～3.15。</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矩阵采用统一工程价格、日间负荷系数0.30和光伏出力系数0.75，将2、4、6 h支撑条件下的有效配置共同归入对应五参数单元，取容载比最小值与最大值形成区间。查表先确定电缆长度占比档和负荷分散系数，再按平均增长率、装机渗透率选行，按初始转供率选列。表内区间用于这些源荷和设备条件下的初步容量比选，实际储能规模按片区功率缺口及持续过程核定。</w:t>
      </w:r>
    </w:p>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电缆长度占比(10%,30%]，负荷分散系数1.00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电缆长度占比(10%,30%]，负荷分散系数1.10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电缆长度占比&gt;30%，负荷分散系数1.00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电缆长度占比&gt;30%，负荷分散系数1.10</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电缆长度占比&gt;30%，负荷分散系数1.15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2.23～2.59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5"/>
        <w:keepNext/>
        <w:numPr>
          <w:numId w:val="0"/>
        </w:numPr>
        <w:spacing w:line="390" w:lineRule="exact" w:before="160" w:after="120"/>
        <w:ind w:firstLine="0"/>
      </w:pPr>
      <w:bookmarkStart w:id="251" w:name="参数关联对应的设备变化"/>
      <w:r>
        <w:rPr>
          <w:rFonts w:ascii="Times New Roman" w:hAnsi="Times New Roman" w:eastAsia="方正仿宋_GBK"/>
          <w:b/>
          <w:sz w:val="26"/>
        </w:rPr>
        <w:t xml:space="preserve">5.6.3 参数关联对应的设备变化</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平均增长率同时改变规划时点负荷和设备配置，容载比随容量离散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52"/>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图中固定电缆长度占比10%、初始转供率40%、储能支撑持续时间4 h和负荷分散系数1.10，显示同一组背景下源荷条件的作用。</w:t>
      </w:r>
    </w:p>
    <w:p>
      <w:pPr>
        <w:pStyle w:val="5"/>
        <w:keepNext/>
        <w:numPr>
          <w:numId w:val="0"/>
        </w:numPr>
        <w:spacing w:line="390" w:lineRule="exact" w:before="160" w:after="120"/>
        <w:ind w:firstLine="0"/>
      </w:pPr>
      <w:bookmarkStart w:id="253" w:name="固定源荷条件下的转供序列"/>
      <w:r>
        <w:rPr>
          <w:rFonts w:ascii="Times New Roman" w:hAnsi="Times New Roman" w:eastAsia="方正仿宋_GBK"/>
          <w:b/>
          <w:sz w:val="26"/>
        </w:rPr>
        <w:t xml:space="preserve">5.6.4 固定源荷条件下的转供序列</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固定装机渗透率1.50、平均增长率4%、电缆长度占比10%、储能支撑持续时间4 h和负荷分散系数1.10，比较10%～90%的完整初始转供率序列。</w:t>
      </w:r>
    </w:p>
    <w:p>
      <w:pPr>
        <w:pStyle w:val="2"/>
        <w:keepNext/>
        <w:spacing w:line="280" w:lineRule="exact" w:before="120" w:after="80"/>
        <w:ind w:firstLine="0"/>
        <w:jc w:val="center"/>
      </w:pPr>
      <w:r>
        <w:rPr>
          <w:rFonts w:ascii="Times New Roman" w:hAnsi="Times New Roman" w:eastAsia="宋体"/>
          <w:b w:val="0"/>
          <w:sz w:val="21"/>
        </w:rPr>
        <w:t xml:space="preserve">表5-73 固定源荷和线路条件下的转供率比较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5348.03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4967.43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2104.89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1500.74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bl>
    <w:p>
      <w:pPr>
        <w:pStyle w:val="2"/>
        <w:widowControl/>
        <w:spacing w:line="348" w:lineRule="exact" w:before="0" w:after="0"/>
        <w:ind w:firstLine="480"/>
        <w:jc w:val="both"/>
      </w:pPr>
      <w:r>
        <w:rPr>
          <w:rFonts w:ascii="Times New Roman" w:hAnsi="Times New Roman" w:eastAsia="方正仿宋_GBK"/>
          <w:b w:val="0"/>
          <w:sz w:val="24"/>
        </w:rPr>
        <w:t xml:space="preserve">10%～30%转供率之间发生主变配置切换，其中20%节点以储能补充局部缺口。30%及以上节点保持550.00 MVA、无储能的配置，新增联络随既有转供能力提高而减少，70%及以上节点采用相同设备方案。对应的容量变化集中于低转供阶段，后续改善主要表现为联络建设费用下降。</w:t>
      </w:r>
    </w:p>
    <w:p>
      <w:pPr>
        <w:pStyle w:val="5"/>
        <w:keepNext/>
        <w:numPr>
          <w:numId w:val="0"/>
        </w:numPr>
        <w:spacing w:line="390" w:lineRule="exact" w:before="160" w:after="120"/>
        <w:ind w:firstLine="0"/>
      </w:pPr>
      <w:bookmarkStart w:id="254" w:name="装机渗透率与双向容量需求"/>
      <w:r>
        <w:rPr>
          <w:rFonts w:ascii="Times New Roman" w:hAnsi="Times New Roman" w:eastAsia="方正仿宋_GBK"/>
          <w:b/>
          <w:sz w:val="26"/>
        </w:rPr>
        <w:t xml:space="preserve">5.6.5 装机渗透率与双向容量需求</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固定平均增长率4%、电缆长度占比10%、初始转供率40%、储能支撑持续时间4 h和负荷分散系数1.10，读取装机渗透率0～3.00、步长0.25的完整序列。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表5-74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[7]。</w:t>
      </w:r>
    </w:p>
    <w:p>
      <w:pPr>
        <w:pStyle w:val="5"/>
        <w:keepNext/>
        <w:numPr>
          <w:numId w:val="0"/>
        </w:numPr>
        <w:spacing w:line="390" w:lineRule="exact" w:before="160" w:after="120"/>
        <w:ind w:firstLine="0"/>
      </w:pPr>
      <w:bookmarkStart w:id="255" w:name="平均增长率与容量储备消耗"/>
      <w:r>
        <w:rPr>
          <w:rFonts w:ascii="Times New Roman" w:hAnsi="Times New Roman" w:eastAsia="方正仿宋_GBK"/>
          <w:b/>
          <w:sz w:val="26"/>
        </w:rPr>
        <w:t xml:space="preserve">5.6.6 平均增长率与容量储备消耗</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固定装机渗透率1.50、电缆长度占比10%、初始转供率40%、支撑持续时间4 h及负荷分散系数1.10，比较锁定库中相应的八个增长节点。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表5-75 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MVA，容载比出现回升。8%、10%节点继续采用不同主变组合，表明容量以整台设备离散投运，容载比在连续增长条件下可以呈阶段波动。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5"/>
        <w:keepNext/>
        <w:numPr>
          <w:numId w:val="0"/>
        </w:numPr>
        <w:spacing w:line="390" w:lineRule="exact" w:before="160" w:after="120"/>
        <w:ind w:firstLine="0"/>
      </w:pPr>
      <w:bookmarkStart w:id="256" w:name="电缆长度占比与联络主变替代"/>
      <w:r>
        <w:rPr>
          <w:rFonts w:ascii="Times New Roman" w:hAnsi="Times New Roman" w:eastAsia="方正仿宋_GBK"/>
          <w:b/>
          <w:sz w:val="26"/>
        </w:rPr>
        <w:t xml:space="preserve">5.6.7 电缆长度占比与联络、主变替代</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固定装机渗透率2.50、平均增长率4%、初始转供率70%、支撑持续时间4 h和负荷分散系数1.10，读取10%、30%、50%、80%、90%电缆长度占比节点。全部节点采用相同的单位线路能力和候选网络，费用按第四章长度加权关系计算。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表5-76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12680.32～14900.59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15147.71</w:t>
            </w:r>
          </w:p>
        </w:tc>
      </w:tr>
    </w:tbl>
    <w:p>
      <w:pPr>
        <w:pStyle w:val="2"/>
        <w:widowControl/>
        <w:spacing w:line="348" w:lineRule="exact" w:before="0" w:after="0"/>
        <w:ind w:firstLine="480"/>
        <w:jc w:val="both"/>
      </w:pPr>
      <w:r>
        <w:rPr>
          <w:rFonts w:ascii="Times New Roman" w:hAnsi="Times New Roman" w:eastAsia="方正仿宋_GBK"/>
          <w:b w:val="0"/>
          <w:sz w:val="24"/>
        </w:rPr>
        <w:t xml:space="preserve">注：首行四个节点配置相同，费用范围对应四个已计算节点。</w:t>
      </w:r>
    </w:p>
    <w:p>
      <w:pPr>
        <w:pStyle w:val="2"/>
        <w:widowControl/>
        <w:spacing w:line="348" w:lineRule="exact" w:before="0" w:after="0"/>
        <w:ind w:firstLine="480"/>
        <w:jc w:val="both"/>
      </w:pPr>
      <w:r>
        <w:rPr>
          <w:rFonts w:ascii="Times New Roman" w:hAnsi="Times New Roman" w:eastAsia="方正仿宋_GBK"/>
          <w:b w:val="0"/>
          <w:sz w:val="24"/>
        </w:rPr>
        <w:t xml:space="preserve">在相同源荷和支撑条件下，进一步比较初始转供率50%～90%的共同节点。电缆长度占比影响联络造价，初始转供率决定既有网络支援，图中两项条件共同作用于主变与联络的经济选择。</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854314"/>
            <wp:effectExtent b="0" l="0" r="0" t="0"/>
            <wp:docPr descr="" title="" id="1" name="Picture"/>
            <a:graphic>
              <a:graphicData uri="http://schemas.openxmlformats.org/drawingml/2006/picture">
                <pic:pic>
                  <pic:nvPicPr>
                    <pic:cNvPr descr="研究报告/02图表/当前版/discussion_cable_transfer.png" id="0" name="Picture"/>
                    <pic:cNvPicPr>
                      <a:picLocks noChangeArrowheads="1" noChangeAspect="1"/>
                    </pic:cNvPicPr>
                  </pic:nvPicPr>
                  <pic:blipFill>
                    <a:blip r:embed="rId257"/>
                    <a:stretch>
                      <a:fillRect/>
                    </a:stretch>
                  </pic:blipFill>
                  <pic:spPr bwMode="auto">
                    <a:xfrm>
                      <a:off x="0" y="0"/>
                      <a:ext cx="5120640" cy="285431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电缆长度占比与初始转供率对应的容载比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10%～80%范围内的四个已采样节点采用相同设备，费用增加来自同一组新增联络的造价变化，而90%节点则将主变由660.00 MVA提高至710.00 MVA，新增联络由7项减少为4项，储能配置保持28.00 MW。高电缆占比下新增联络较贵，费用比选转向更多站内容量，形成主变与联络的替代。该变化具有明确的项目费用依据。</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但两者分别作用于造价和既有网络能力。表中比较固定转供率，用于识别造价引起的设备切换，第5.6.4节则固定线路条件，观察既有能力改善带来的新增工程减少。两组受控结果结合参数间统计关联，解释各项输入的规划作用。</w:t>
      </w:r>
    </w:p>
    <w:p>
      <w:pPr>
        <w:pStyle w:val="5"/>
        <w:keepNext/>
        <w:numPr>
          <w:numId w:val="0"/>
        </w:numPr>
        <w:spacing w:line="390" w:lineRule="exact" w:before="160" w:after="120"/>
        <w:ind w:firstLine="0"/>
      </w:pPr>
      <w:bookmarkStart w:id="258" w:name="储能持续时间与有效功率配置"/>
      <w:r>
        <w:rPr>
          <w:rFonts w:ascii="Times New Roman" w:hAnsi="Times New Roman" w:eastAsia="方正仿宋_GBK"/>
          <w:b/>
          <w:sz w:val="26"/>
        </w:rPr>
        <w:t xml:space="preserve">5.6.8 储能持续时间与有效功率配置</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固定装机渗透率2.50、平均增长率4%、电缆长度占比10%、初始转供率40%和负荷分散系数1.10，分别读取2、4、6 h三个定值。三组主变均为710.00 MVA，新增联络均为8项，储能有效支撑功率约14.38 MW。</w:t>
      </w:r>
    </w:p>
    <w:p>
      <w:pPr>
        <w:pStyle w:val="2"/>
        <w:keepNext/>
        <w:spacing w:line="280" w:lineRule="exact" w:before="120" w:after="80"/>
        <w:ind w:firstLine="0"/>
        <w:jc w:val="center"/>
      </w:pPr>
      <w:r>
        <w:rPr>
          <w:rFonts w:ascii="Times New Roman" w:hAnsi="Times New Roman" w:eastAsia="宋体"/>
          <w:b w:val="0"/>
          <w:sz w:val="21"/>
        </w:rPr>
        <w:t xml:space="preserve">表5-77 固定主变及联络配置下的储能持续时间比较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储能额定能量/MWh</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11921.75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75.68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113.52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19568.63</w:t>
            </w:r>
          </w:p>
        </w:tc>
      </w:tr>
    </w:tbl>
    <w:p>
      <w:pPr>
        <w:pStyle w:val="2"/>
        <w:widowControl/>
        <w:spacing w:line="348" w:lineRule="exact" w:before="0" w:after="0"/>
        <w:ind w:firstLine="480"/>
        <w:jc w:val="both"/>
      </w:pPr>
      <w:r>
        <w:rPr>
          <w:rFonts w:ascii="Times New Roman" w:hAnsi="Times New Roman" w:eastAsia="方正仿宋_GBK"/>
          <w:b w:val="0"/>
          <w:sz w:val="24"/>
        </w:rPr>
        <w:t xml:space="preserve">保持平均增长率4%、电缆长度占比10%、初始转供率40%和负荷分散系数1.10，比较不同装机节点下的支撑时长。装机渗透率2.00时，支撑持续时间由2 h延长至4 h，容载比由2.05升至2.14，延长至6 h后保持2.14，容量响应集中于部分设备替代节点。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872833"/>
            <wp:effectExtent b="0" l="0" r="0" t="0"/>
            <wp:docPr descr="" title="" id="1" name="Picture"/>
            <a:graphic>
              <a:graphicData uri="http://schemas.openxmlformats.org/drawingml/2006/picture">
                <pic:pic>
                  <pic:nvPicPr>
                    <pic:cNvPr descr="研究报告/02图表/当前版/discussion_hours_eta.png" id="0" name="Picture"/>
                    <pic:cNvPicPr>
                      <a:picLocks noChangeArrowheads="1" noChangeAspect="1"/>
                    </pic:cNvPicPr>
                  </pic:nvPicPr>
                  <pic:blipFill>
                    <a:blip r:embed="rId259"/>
                    <a:stretch>
                      <a:fillRect/>
                    </a:stretch>
                  </pic:blipFill>
                  <pic:spPr bwMode="auto">
                    <a:xfrm>
                      <a:off x="0" y="0"/>
                      <a:ext cx="5120640" cy="287283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装机渗透率与储能支撑持续时间对应的容载比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该组设备所需补充的有效功率接近一致，持续时间由2 h延长至4 h和6 h时，储能额定功率及额定能量按所需柜数增加，费用相应提高。主变及联络没有切换，说明这一组背景下增加柜数仍是相应可行组合的选择。其工程含义是：持续时间控制为同一功率缺口准备多少可用电量，铭牌功率变化还需结合有效支撑功率解释。</w:t>
      </w:r>
    </w:p>
    <w:p>
      <w:pPr>
        <w:pStyle w:val="2"/>
        <w:widowControl/>
        <w:spacing w:line="348" w:lineRule="exact" w:before="0" w:after="0"/>
        <w:ind w:firstLine="480"/>
        <w:jc w:val="both"/>
      </w:pPr>
      <w:r>
        <w:rPr>
          <w:rFonts w:ascii="Times New Roman" w:hAnsi="Times New Roman" w:eastAsia="方正仿宋_GBK"/>
          <w:b w:val="0"/>
          <w:sz w:val="24"/>
        </w:rPr>
        <w:t xml:space="preserve">第3.5节统计中，支撑时间仅在12%的受控组触发主变容量变化，其余组可能保持主变并调整储能，也可能由主变和网络满足全部需求。时间参数因此按2、4、6 h分别展示，便于将地区近峰特征与具体设备配置对应。实际项目的支撑时长还需结合故障恢复过程和功率缺口持续时间核定[28][10]。</w:t>
      </w:r>
    </w:p>
    <w:p>
      <w:pPr>
        <w:pStyle w:val="5"/>
        <w:keepNext/>
        <w:numPr>
          <w:numId w:val="0"/>
        </w:numPr>
        <w:spacing w:line="390" w:lineRule="exact" w:before="160" w:after="120"/>
        <w:ind w:firstLine="0"/>
      </w:pPr>
      <w:bookmarkStart w:id="260" w:name="负荷分散系数与局部高峰承载"/>
      <w:r>
        <w:rPr>
          <w:rFonts w:ascii="Times New Roman" w:hAnsi="Times New Roman" w:eastAsia="方正仿宋_GBK"/>
          <w:b/>
          <w:sz w:val="26"/>
        </w:rPr>
        <w:t xml:space="preserve">5.6.9 负荷分散系数与局部高峰承载</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固定装机渗透率0、平均增长率4%、电缆长度占比10%、初始转供率40%和储能支撑持续时间4 h，分别比较负荷分散系数1.00、1.10、1.15。各工况区域负荷合计相同，分散系数改变局部高峰在各站之间的分布。</w:t>
      </w:r>
    </w:p>
    <w:p>
      <w:pPr>
        <w:pStyle w:val="2"/>
        <w:keepNext/>
        <w:spacing w:line="280" w:lineRule="exact" w:before="120" w:after="80"/>
        <w:ind w:firstLine="0"/>
        <w:jc w:val="center"/>
      </w:pPr>
      <w:r>
        <w:rPr>
          <w:rFonts w:ascii="Times New Roman" w:hAnsi="Times New Roman" w:eastAsia="宋体"/>
          <w:b w:val="0"/>
          <w:sz w:val="21"/>
        </w:rPr>
        <w:t xml:space="preserve">表5-78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2225.73</w:t>
            </w:r>
          </w:p>
        </w:tc>
      </w:tr>
    </w:tbl>
    <w:p>
      <w:pPr>
        <w:pStyle w:val="2"/>
        <w:widowControl/>
        <w:spacing w:line="348" w:lineRule="exact" w:before="0" w:after="0"/>
        <w:ind w:firstLine="480"/>
        <w:jc w:val="both"/>
      </w:pPr>
      <w:r>
        <w:rPr>
          <w:rFonts w:ascii="Times New Roman" w:hAnsi="Times New Roman" w:eastAsia="方正仿宋_GBK"/>
          <w:b w:val="0"/>
          <w:sz w:val="24"/>
        </w:rPr>
        <w:t xml:space="preserve">固定装机渗透率1.50、平均增长率4%、电缆长度占比10%和支撑持续时间4 h，比较初始转供率20%～90%的共同有效节点。转供率20%时，分散系数1.00、1.10、1.15对应容载比1.88、2.05、2.22，转供率达到40%后三种分散系数均为1.88，本组节点中网络支援改善能够缓解局部高峰对新增容量的要求。</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857500"/>
            <wp:effectExtent b="0" l="0" r="0" t="0"/>
            <wp:docPr descr="" title="" id="1" name="Picture"/>
            <a:graphic>
              <a:graphicData uri="http://schemas.openxmlformats.org/drawingml/2006/picture">
                <pic:pic>
                  <pic:nvPicPr>
                    <pic:cNvPr descr="研究报告/02图表/当前版/discussion_dispersion_transfer.png" id="0" name="Picture"/>
                    <pic:cNvPicPr>
                      <a:picLocks noChangeArrowheads="1" noChangeAspect="1"/>
                    </pic:cNvPicPr>
                  </pic:nvPicPr>
                  <pic:blipFill>
                    <a:blip r:embed="rId261"/>
                    <a:stretch>
                      <a:fillRect/>
                    </a:stretch>
                  </pic:blipFill>
                  <pic:spPr bwMode="auto">
                    <a:xfrm>
                      <a:off x="0" y="0"/>
                      <a:ext cx="5120640" cy="28575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初始转供率与负荷分散系数对应的容载比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负荷分散系数由1.00提高至1.10时，局部高峰任务触发主变补强，容量增加50.00 MVA，并以主变和新增联络替代原少量储能。继续提高至1.15后，主变容量保持550.00 MVA，通过进一步增加2项联络利用已有容量。这表明即使区域同时峰值相同，局部负荷分布仍会影响站级设备需求。</w:t>
      </w:r>
    </w:p>
    <w:p>
      <w:pPr>
        <w:pStyle w:val="2"/>
        <w:widowControl/>
        <w:spacing w:line="348" w:lineRule="exact" w:before="0" w:after="0"/>
        <w:ind w:firstLine="480"/>
        <w:jc w:val="both"/>
      </w:pPr>
      <w:r>
        <w:rPr>
          <w:rFonts w:ascii="Times New Roman" w:hAnsi="Times New Roman" w:eastAsia="方正仿宋_GBK"/>
          <w:b w:val="0"/>
          <w:sz w:val="24"/>
        </w:rPr>
        <w:t xml:space="preserve">在装机渗透率2.50、其余背景相同的另一组节点中，三种分散系数均采用710.00 MVA主变，但储能额定功率分别为28.40、35.20、45.90 MW，新增联络也有调整。反向容量和局部高峰共同影响配置时，分散程度的作用可以更多体现为储能与线路组合。矩阵将三个定值分别列示，可保留这些设备差异，后续查表应与片区各站峰值及实际联络条件衔接。</w:t>
      </w:r>
    </w:p>
    <w:p>
      <w:pPr>
        <w:pStyle w:val="5"/>
        <w:keepNext/>
        <w:numPr>
          <w:numId w:val="0"/>
        </w:numPr>
        <w:spacing w:line="390" w:lineRule="exact" w:before="160" w:after="120"/>
        <w:ind w:firstLine="0"/>
      </w:pPr>
      <w:bookmarkStart w:id="262" w:name="电量峰段及相对投资条件下的配置"/>
      <w:r>
        <w:rPr>
          <w:rFonts w:ascii="Times New Roman" w:hAnsi="Times New Roman" w:eastAsia="方正仿宋_GBK"/>
          <w:b/>
          <w:sz w:val="26"/>
        </w:rPr>
        <w:t xml:space="preserve">5.6.10 电量、峰段及相对投资条件下的配置</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固定装机渗透率2.00、平均增长率4%、电缆长度占比10%、初始转供率40%、负荷分散系数1.10和参考工程价格，按第3.5.2节的全年电量平衡校准光伏出力，先取95%峰值持续时间4 h比较电量完整序列。</w:t>
      </w:r>
    </w:p>
    <w:p>
      <w:pPr>
        <w:pStyle w:val="2"/>
        <w:keepNext/>
        <w:spacing w:line="280" w:lineRule="exact" w:before="120" w:after="80"/>
        <w:ind w:firstLine="0"/>
        <w:jc w:val="center"/>
      </w:pPr>
      <w:r>
        <w:rPr>
          <w:rFonts w:ascii="Times New Roman" w:hAnsi="Times New Roman" w:eastAsia="宋体"/>
          <w:b w:val="0"/>
          <w:sz w:val="21"/>
        </w:rPr>
        <w:t xml:space="preserve">表5-79 固定装机条件下的电量与配置变化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电量渗透率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25%、28%、30%、32%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2104.89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3243.14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4518.04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6082.61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6476.74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8660.44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13777.81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18916.91</w:t>
            </w:r>
          </w:p>
        </w:tc>
      </w:tr>
    </w:tbl>
    <w:p>
      <w:pPr>
        <w:pStyle w:val="2"/>
        <w:widowControl/>
        <w:spacing w:line="348" w:lineRule="exact" w:before="0" w:after="0"/>
        <w:ind w:firstLine="480"/>
        <w:jc w:val="both"/>
      </w:pPr>
      <w:r>
        <w:rPr>
          <w:rFonts w:ascii="Times New Roman" w:hAnsi="Times New Roman" w:eastAsia="方正仿宋_GBK"/>
          <w:b w:val="0"/>
          <w:sz w:val="24"/>
        </w:rPr>
        <w:t xml:space="preserve">较低电量节点主要由晚间正向高峰决定主变需求，电量增加先通过联络调整日间负荷分配，反向承载约束增强后转向主变补强。容载比达到2.43后主变保持710 MVA，继续提高电量主要增加储能吸收功率及联络，表明容量比值相同也可以对应不同配套工程。电量信息用于核定源荷场景，代表参数装机渗透率需与所采用的典型出力水平共同使用。</w:t>
      </w:r>
    </w:p>
    <w:p>
      <w:pPr>
        <w:pStyle w:val="2"/>
        <w:widowControl/>
        <w:spacing w:line="348" w:lineRule="exact" w:before="0" w:after="0"/>
        <w:ind w:firstLine="480"/>
        <w:jc w:val="both"/>
      </w:pPr>
      <w:r>
        <w:rPr>
          <w:rFonts w:ascii="Times New Roman" w:hAnsi="Times New Roman" w:eastAsia="方正仿宋_GBK"/>
          <w:b w:val="0"/>
          <w:sz w:val="24"/>
        </w:rPr>
        <w:t xml:space="preserve">保持电量渗透率40%，比较1～8 h的完整峰段序列。各节点均采用600 MVA主变和7项新增联络，容载比为2.05，持续支撑任务的变化由储能规模承担。</w:t>
      </w:r>
    </w:p>
    <w:p>
      <w:pPr>
        <w:pStyle w:val="2"/>
        <w:keepNext/>
        <w:spacing w:line="280" w:lineRule="exact" w:before="120" w:after="80"/>
        <w:ind w:firstLine="0"/>
        <w:jc w:val="center"/>
      </w:pPr>
      <w:r>
        <w:rPr>
          <w:rFonts w:ascii="Times New Roman" w:hAnsi="Times New Roman" w:eastAsia="宋体"/>
          <w:b w:val="0"/>
          <w:sz w:val="21"/>
        </w:rPr>
        <w:t xml:space="preserve">表5-80 固定主变与联络条件下的峰段支撑配置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95%峰值持续时间/h</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4018.39</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4083.56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4300.80</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4518.04</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4670.11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4800.46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4887.35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4952.53</w:t>
            </w:r>
          </w:p>
        </w:tc>
      </w:tr>
    </w:tbl>
    <w:p>
      <w:pPr>
        <w:pStyle w:val="2"/>
        <w:widowControl/>
        <w:spacing w:line="348" w:lineRule="exact" w:before="0" w:after="0"/>
        <w:ind w:firstLine="480"/>
        <w:jc w:val="both"/>
      </w:pPr>
      <w:r>
        <w:rPr>
          <w:rFonts w:ascii="Times New Roman" w:hAnsi="Times New Roman" w:eastAsia="方正仿宋_GBK"/>
          <w:b w:val="0"/>
          <w:sz w:val="24"/>
        </w:rPr>
        <w:t xml:space="preserve">支撑要求延长后，储能可用电量约束起作用，额定功率随所需柜数增加，费用相应提高。这组结果联系第3.5节较弱的时间—容载比相关：时间对主变容量的作用取决于设备替代条件，对储能定容则直接进入有效支撑功率计算。</w:t>
      </w:r>
    </w:p>
    <w:p>
      <w:pPr>
        <w:pStyle w:val="2"/>
        <w:widowControl/>
        <w:spacing w:line="348" w:lineRule="exact" w:before="0" w:after="0"/>
        <w:ind w:firstLine="480"/>
        <w:jc w:val="both"/>
      </w:pPr>
      <w:r>
        <w:rPr>
          <w:rFonts w:ascii="Times New Roman" w:hAnsi="Times New Roman" w:eastAsia="方正仿宋_GBK"/>
          <w:b w:val="0"/>
          <w:sz w:val="24"/>
        </w:rPr>
        <w:t xml:space="preserve">在电量40%、峰段4 h时分别改变线路和储能价格。完整价格序列均采用600 MVA主变、4.20 MW储能和7项联络，容载比2.05，费用范围如下。</w:t>
      </w:r>
    </w:p>
    <w:p>
      <w:pPr>
        <w:pStyle w:val="2"/>
        <w:keepNext/>
        <w:spacing w:line="280" w:lineRule="exact" w:before="120" w:after="80"/>
        <w:ind w:firstLine="0"/>
        <w:jc w:val="center"/>
      </w:pPr>
      <w:r>
        <w:rPr>
          <w:rFonts w:ascii="Times New Roman" w:hAnsi="Times New Roman" w:eastAsia="宋体"/>
          <w:b w:val="0"/>
          <w:sz w:val="21"/>
        </w:rPr>
        <w:t xml:space="preserve">表5-81 固定设备配置下的两类价格比较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变化条件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参考价格比例</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4264.30～4771.79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70%～130%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4244.32～4791.77</w:t>
            </w:r>
          </w:p>
        </w:tc>
      </w:tr>
    </w:tbl>
    <w:p>
      <w:pPr>
        <w:pStyle w:val="2"/>
        <w:widowControl/>
        <w:spacing w:line="348" w:lineRule="exact" w:before="0" w:after="0"/>
        <w:ind w:firstLine="480"/>
        <w:jc w:val="both"/>
      </w:pPr>
      <w:r>
        <w:rPr>
          <w:rFonts w:ascii="Times New Roman" w:hAnsi="Times New Roman" w:eastAsia="方正仿宋_GBK"/>
          <w:b w:val="0"/>
          <w:sz w:val="24"/>
        </w:rPr>
        <w:t xml:space="preserve">该组配置在所比较价格范围内保持，费用变化分别来自联络或储能采购及相应固定运维。相对投资指标有助于解释经济条件，主矩阵则通过五项源荷和网络参数归纳容量范围，工程应用结合当地价格核定完整方案费用。</w:t>
      </w:r>
    </w:p>
    <w:p>
      <w:pPr>
        <w:pStyle w:val="4"/>
        <w:keepNext/>
        <w:numPr>
          <w:numId w:val="0"/>
        </w:numPr>
        <w:spacing w:line="480" w:lineRule="exact" w:before="160" w:after="120"/>
        <w:ind w:firstLine="0"/>
      </w:pPr>
      <w:bookmarkStart w:id="2022" w:name="h1022"/>
      <w:bookmarkStart w:id="263" w:name="规划建议"/>
      <w:r>
        <w:rPr>
          <w:rFonts w:ascii="Times New Roman" w:hAnsi="Times New Roman" w:eastAsia="方正仿宋_GBK"/>
          <w:b/>
          <w:sz w:val="32"/>
        </w:rPr>
        <w:t xml:space="preserve">5.7 规划建议</w:t>
      </w:r>
      <w:bookmarkEnd w:id="263"/>
      <w:bookmarkEnd w:id="2022"/>
    </w:p>
    <w:p>
      <w:pPr>
        <w:pStyle w:val="5"/>
        <w:keepNext/>
        <w:numPr>
          <w:numId w:val="0"/>
        </w:numPr>
        <w:spacing w:line="390" w:lineRule="exact" w:before="160" w:after="120"/>
        <w:ind w:firstLine="0"/>
      </w:pPr>
      <w:bookmarkStart w:id="264" w:name="按源荷条件和网络能力选取容量"/>
      <w:r>
        <w:rPr>
          <w:rFonts w:ascii="Times New Roman" w:hAnsi="Times New Roman" w:eastAsia="方正仿宋_GBK"/>
          <w:b/>
          <w:sz w:val="26"/>
        </w:rPr>
        <w:t xml:space="preserve">5.7.1 按源荷条件和网络能力选取容量</w:t>
      </w:r>
      <w:bookmarkEnd w:id="264"/>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65" w:name="统筹主变储能及联络建设"/>
      <w:r>
        <w:rPr>
          <w:rFonts w:ascii="Times New Roman" w:hAnsi="Times New Roman" w:eastAsia="方正仿宋_GBK"/>
          <w:b/>
          <w:sz w:val="26"/>
        </w:rPr>
        <w:t xml:space="preserve">5.7.2 统筹主变、储能及联络建设</w:t>
      </w:r>
      <w:bookmarkEnd w:id="26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66" w:name="保留参数区间滚动更新计算依据"/>
      <w:r>
        <w:rPr>
          <w:rFonts w:ascii="Times New Roman" w:hAnsi="Times New Roman" w:eastAsia="方正仿宋_GBK"/>
          <w:b/>
          <w:sz w:val="26"/>
        </w:rPr>
        <w:t xml:space="preserve">5.7.3 保留参数区间，滚动更新计算依据</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67" w:name="推荐区间与具体设备的衔接"/>
      <w:r>
        <w:rPr>
          <w:rFonts w:ascii="Times New Roman" w:hAnsi="Times New Roman" w:eastAsia="方正仿宋_GBK"/>
          <w:b/>
          <w:sz w:val="26"/>
        </w:rPr>
        <w:t xml:space="preserve">5.7.4 推荐区间与具体设备的衔接</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68" w:name="邳州与市区建设措施的综合比较"/>
      <w:r>
        <w:rPr>
          <w:rFonts w:ascii="Times New Roman" w:hAnsi="Times New Roman" w:eastAsia="方正仿宋_GBK"/>
          <w:b/>
          <w:sz w:val="26"/>
        </w:rPr>
        <w:t xml:space="preserve">5.7.5 邳州与市区建设措施的综合比较</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两地区的弹性方案均增加了区域主变容量，逐站采用不同的建设方式。部分站更换既有主变，部分站扩建第三台，部分站保持原有设备并利用邻站支援。地区比值反映总容量与负荷的关系，逐站年度表反映设备和转供任务，两者共同说明新增容量的具体用途。</w:t>
      </w:r>
    </w:p>
    <w:p>
      <w:pPr>
        <w:pStyle w:val="2"/>
        <w:widowControl/>
        <w:spacing w:line="348" w:lineRule="exact" w:before="0" w:after="0"/>
        <w:ind w:firstLine="480"/>
        <w:jc w:val="both"/>
      </w:pPr>
      <w:r>
        <w:rPr>
          <w:rFonts w:ascii="Times New Roman" w:hAnsi="Times New Roman" w:eastAsia="方正仿宋_GBK"/>
          <w:b w:val="0"/>
          <w:sz w:val="24"/>
        </w:rPr>
        <w:t xml:space="preserve">邳州两类方案2025年主变容量均为1704.00 MVA、容载比1.78。弹性方案在首年完成较多主变建设，2025年储能额定能量为7.74 MWh，累计新增联络14条，而刚性方案受首年容量上限限制，2025年储能为48.81 MWh，累计新增联络15条。最终主变容量相同，建设时序和替代措施不同。</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市区弹性方案首年更换一台40 MVA主变为63 MVA，四年容量保持2923.00 MVA，2025年容载比1.91，刚性方案容量保持2900.00 MVA，首年新增5条联络，2025年容载比1.90。两地区刚性可行方案费用合计21790.82万元，弹性为15793.49万元，减少约28%。</w:t>
      </w:r>
    </w:p>
    <w:p>
      <w:pPr>
        <w:pStyle w:val="2"/>
        <w:widowControl/>
        <w:spacing w:line="348" w:lineRule="exact" w:before="0" w:after="0"/>
        <w:ind w:firstLine="480"/>
        <w:jc w:val="both"/>
      </w:pPr>
      <w:r>
        <w:rPr>
          <w:rFonts w:ascii="Times New Roman" w:hAnsi="Times New Roman" w:eastAsia="方正仿宋_GBK"/>
          <w:b w:val="0"/>
          <w:sz w:val="24"/>
        </w:rPr>
        <w:t xml:space="preserve">年度建设先满足当年需求，投运后持续在役的容量再供后续年份使用。负荷回落会提高同一容量对应的容载比，负荷恢复则消耗已有储备，整台主变投运又使容量按项目离散变化。因此，推荐区间用于前期比选，逐站工程与建设时点共同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的规划方案。</w:t>
      </w:r>
    </w:p>
    <w:p>
      <w:pPr>
        <w:pStyle w:val="3"/>
        <w:keepNext/>
        <w:pageBreakBefore/>
        <w:numPr>
          <w:numId w:val="0"/>
        </w:numPr>
        <w:spacing w:line="540" w:lineRule="exact" w:before="0" w:after="120"/>
        <w:ind w:firstLine="0"/>
      </w:pPr>
      <w:bookmarkStart w:id="2037" w:name="h1037"/>
      <w:bookmarkStart w:id="269" w:name="第六章-结论与建议"/>
      <w:r>
        <w:rPr>
          <w:rFonts w:ascii="Times New Roman" w:hAnsi="Times New Roman" w:eastAsia="方正仿宋_GBK"/>
          <w:b/>
          <w:sz w:val="36"/>
        </w:rPr>
        <w:t xml:space="preserve">第六章 结论与建议</w:t>
      </w:r>
      <w:bookmarkEnd w:id="269"/>
      <w:bookmarkEnd w:id="2037"/>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039" w:name="h1039"/>
      <w:bookmarkStart w:id="270" w:name="主要研究结论"/>
      <w:r>
        <w:rPr>
          <w:rFonts w:ascii="Times New Roman" w:hAnsi="Times New Roman" w:eastAsia="方正仿宋_GBK"/>
          <w:b/>
          <w:sz w:val="32"/>
        </w:rPr>
        <w:t xml:space="preserve">6.1 主要研究结论</w:t>
      </w:r>
      <w:bookmarkEnd w:id="270"/>
      <w:bookmarkEnd w:id="2039"/>
    </w:p>
    <w:p>
      <w:pPr>
        <w:pStyle w:val="5"/>
        <w:keepNext/>
        <w:numPr>
          <w:numId w:val="0"/>
        </w:numPr>
        <w:spacing w:line="390" w:lineRule="exact" w:before="160" w:after="120"/>
        <w:ind w:firstLine="0"/>
      </w:pPr>
      <w:bookmarkStart w:id="271" w:name="容载比与局部容量压力应结合分析"/>
      <w:r>
        <w:rPr>
          <w:rFonts w:ascii="Times New Roman" w:hAnsi="Times New Roman" w:eastAsia="方正仿宋_GBK"/>
          <w:b/>
          <w:sz w:val="26"/>
        </w:rPr>
        <w:t xml:space="preserve">6.1.1 容载比与局部容量压力应结合分析</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72" w:name="弹性容量配置降低了所设条件下的方案费用"/>
      <w:r>
        <w:rPr>
          <w:rFonts w:ascii="Times New Roman" w:hAnsi="Times New Roman" w:eastAsia="方正仿宋_GBK"/>
          <w:b/>
          <w:sz w:val="26"/>
        </w:rPr>
        <w:t xml:space="preserve">6.1.2 弹性容量配置降低了所设条件下的方案费用</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在相同初始设备、实际年度负荷及逐站转供约束下，邳州两类方案2025年主变容量均为1704.00 MVA、容载比1.78，市区弹性方案为2923.00 MVA、1.91，刚性为2900.00 MVA、1.90。弹性配置由承载需求和费用确定，容量随年度建设保持非减。</w:t>
      </w:r>
    </w:p>
    <w:p>
      <w:pPr>
        <w:pStyle w:val="2"/>
        <w:widowControl/>
        <w:spacing w:line="348" w:lineRule="exact" w:before="0" w:after="0"/>
        <w:ind w:firstLine="480"/>
        <w:jc w:val="both"/>
      </w:pPr>
      <w:r>
        <w:rPr>
          <w:rFonts w:ascii="Times New Roman" w:hAnsi="Times New Roman" w:eastAsia="方正仿宋_GBK"/>
          <w:b w:val="0"/>
          <w:sz w:val="24"/>
        </w:rPr>
        <w:t xml:space="preserve">邳州弹性方案首年完成主变补强，减少后期配储，2025年储能额定能量7.74 MWh，刚性为48.81 MWh。市区弹性方案以一台主变更换替代刚性方案的5项新增联络。两地区刚性可行方案费用合计21790.82万元，弹性为15793.49万元，减少5997.33万元，约28%。</w:t>
      </w:r>
    </w:p>
    <w:p>
      <w:pPr>
        <w:pStyle w:val="5"/>
        <w:keepNext/>
        <w:numPr>
          <w:numId w:val="0"/>
        </w:numPr>
        <w:spacing w:line="390" w:lineRule="exact" w:before="160" w:after="120"/>
        <w:ind w:firstLine="0"/>
      </w:pPr>
      <w:bookmarkStart w:id="27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74" w:name="两层相关分析确定五项推广参数"/>
      <w:r>
        <w:rPr>
          <w:rFonts w:ascii="Times New Roman" w:hAnsi="Times New Roman" w:eastAsia="方正仿宋_GBK"/>
          <w:b/>
          <w:sz w:val="26"/>
        </w:rPr>
        <w:t xml:space="preserve">6.1.4 两层相关分析确定五项推广参数</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32112个有效设备配置按五项条件形成9张表、432个单元，容载比总体区间为1.36～3.15。矩阵采用统一工程价格和典型源荷系数，并归纳2、4、6 h支撑条件下的容量范围，查表后按实际站级缺口及可实施措施确定设备方案。</w:t>
      </w:r>
    </w:p>
    <w:p>
      <w:pPr>
        <w:pStyle w:val="4"/>
        <w:keepNext/>
        <w:numPr>
          <w:numId w:val="0"/>
        </w:numPr>
        <w:spacing w:line="480" w:lineRule="exact" w:before="160" w:after="120"/>
        <w:ind w:firstLine="0"/>
      </w:pPr>
      <w:bookmarkStart w:id="2053" w:name="h1053"/>
      <w:bookmarkStart w:id="275" w:name="规划应用建议"/>
      <w:r>
        <w:rPr>
          <w:rFonts w:ascii="Times New Roman" w:hAnsi="Times New Roman" w:eastAsia="方正仿宋_GBK"/>
          <w:b/>
          <w:sz w:val="32"/>
        </w:rPr>
        <w:t xml:space="preserve">6.2 规划应用建议</w:t>
      </w:r>
      <w:bookmarkEnd w:id="275"/>
      <w:bookmarkEnd w:id="2053"/>
    </w:p>
    <w:p>
      <w:pPr>
        <w:pStyle w:val="5"/>
        <w:keepNext/>
        <w:numPr>
          <w:numId w:val="0"/>
        </w:numPr>
        <w:spacing w:line="390" w:lineRule="exact" w:before="160" w:after="120"/>
        <w:ind w:firstLine="0"/>
      </w:pPr>
      <w:bookmarkStart w:id="276" w:name="按输入区间查表再落实设备方案"/>
      <w:r>
        <w:rPr>
          <w:rFonts w:ascii="Times New Roman" w:hAnsi="Times New Roman" w:eastAsia="方正仿宋_GBK"/>
          <w:b/>
          <w:sz w:val="26"/>
        </w:rPr>
        <w:t xml:space="preserve">6.2.1 按输入区间查表，再落实设备方案</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复合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77" w:name="核实分区转供能力与储能支撑条件"/>
      <w:r>
        <w:rPr>
          <w:rFonts w:ascii="Times New Roman" w:hAnsi="Times New Roman" w:eastAsia="方正仿宋_GBK"/>
          <w:b/>
          <w:sz w:val="26"/>
        </w:rPr>
        <w:t xml:space="preserve">6.2.2 核实分区转供能力与储能支撑条件</w:t>
      </w:r>
      <w:bookmarkEnd w:id="277"/>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储能正向支撑持续时间采用邳州2 h、市区6 h，推广比较2、4、6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78" w:name="随数据和工程条件更新结果"/>
      <w:r>
        <w:rPr>
          <w:rFonts w:ascii="Times New Roman" w:hAnsi="Times New Roman" w:eastAsia="方正仿宋_GBK"/>
          <w:b/>
          <w:sz w:val="26"/>
        </w:rPr>
        <w:t xml:space="preserve">6.2.3 随数据和工程条件更新结果</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065" w:name="h1065"/>
      <w:bookmarkStart w:id="279" w:name="后续研究方向"/>
      <w:r>
        <w:rPr>
          <w:rFonts w:ascii="Times New Roman" w:hAnsi="Times New Roman" w:eastAsia="方正仿宋_GBK"/>
          <w:b/>
          <w:sz w:val="32"/>
        </w:rPr>
        <w:t xml:space="preserve">6.3 后续研究方向</w:t>
      </w:r>
      <w:bookmarkEnd w:id="279"/>
      <w:bookmarkEnd w:id="2065"/>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采用市区45个、邳州26个同期静态截面，覆盖地区和各站局部极值，既有等效通道及部分设备条件采用研究假设，后续结合真实接线补充逐时荷电状态、电压和保护校核。费用包括共同评价期内的建设、固定运维及规定更新，尚未纳入期末残值、储能充电和损耗等科目。研究结果用于当前假定下的技术经济比选，具体建设需以核定网络和工程资料进一步校核。</w:t>
      </w:r>
    </w:p>
    <w:p>
      <w:pPr>
        <w:pStyle w:val="5"/>
        <w:keepNext/>
        <w:numPr>
          <w:numId w:val="0"/>
        </w:numPr>
        <w:spacing w:line="390" w:lineRule="exact" w:before="160" w:after="120"/>
        <w:ind w:firstLine="0"/>
      </w:pPr>
      <w:bookmarkStart w:id="280" w:name="深化储能运行与实际网络校核"/>
      <w:r>
        <w:rPr>
          <w:rFonts w:ascii="Times New Roman" w:hAnsi="Times New Roman" w:eastAsia="方正仿宋_GBK"/>
          <w:b/>
          <w:sz w:val="26"/>
        </w:rPr>
        <w:t xml:space="preserve">6.3.1 深化储能运行与实际网络校核</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281" w:name="拓展片区结构和经济参数"/>
      <w:r>
        <w:rPr>
          <w:rFonts w:ascii="Times New Roman" w:hAnsi="Times New Roman" w:eastAsia="方正仿宋_GBK"/>
          <w:b/>
          <w:sz w:val="26"/>
        </w:rPr>
        <w:t xml:space="preserve">6.3.2 拓展片区结构和经济参数</w:t>
      </w:r>
      <w:bookmarkEnd w:id="281"/>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071" w:name="h1071"/>
      <w:bookmarkStart w:id="282" w:name="参考文献"/>
      <w:r>
        <w:rPr>
          <w:rFonts w:ascii="Times New Roman" w:hAnsi="Times New Roman" w:eastAsia="方正仿宋_GBK"/>
          <w:b/>
          <w:sz w:val="36"/>
        </w:rPr>
        <w:t xml:space="preserve">参考文献</w:t>
      </w:r>
      <w:bookmarkEnd w:id="282"/>
      <w:bookmarkEnd w:id="2071"/>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[8]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[9]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[12]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[13]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[14]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[15]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[16]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[17]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[18]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[19]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[20]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[21]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[22]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[23]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[24]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[25]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[26]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[27]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[28]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[29]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[30]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[31]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[32]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[33]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[34]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[35]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[36]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[37]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[38]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[39]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[40]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[41]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[42]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[43]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[44]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[45]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[46]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[47]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[48]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[49]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[50]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[51]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[52]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[53]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[54]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[55]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[56]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[57]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[58]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[59]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[60]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[61]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[62]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[63]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[64]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[65]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[87]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[88]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[89]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Rank Correlation Independence Test[EB/OL]. [2026-10-07]. https://www.itl.nist.gov/div898/software/dataplot/refman1/auxillar/rankcorr.htm.</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190" Type="http://schemas.openxmlformats.org/officeDocument/2006/relationships/image" Target="media/rId190.png"/><Relationship Id="rId98" Type="http://schemas.openxmlformats.org/officeDocument/2006/relationships/image" Target="media/rId98.png"/><Relationship Id="rId111" Type="http://schemas.openxmlformats.org/officeDocument/2006/relationships/image" Target="media/rId111.png"/><Relationship Id="rId131" Type="http://schemas.openxmlformats.org/officeDocument/2006/relationships/image" Target="media/rId131.png"/><Relationship Id="rId114" Type="http://schemas.openxmlformats.org/officeDocument/2006/relationships/image" Target="media/rId114.png"/><Relationship Id="rId257" Type="http://schemas.openxmlformats.org/officeDocument/2006/relationships/image" Target="media/rId257.png"/><Relationship Id="rId261" Type="http://schemas.openxmlformats.org/officeDocument/2006/relationships/image" Target="media/rId261.png"/><Relationship Id="rId259" Type="http://schemas.openxmlformats.org/officeDocument/2006/relationships/image" Target="media/rId259.png"/><Relationship Id="rId193" Type="http://schemas.openxmlformats.org/officeDocument/2006/relationships/image" Target="media/rId193.png"/><Relationship Id="rId109" Type="http://schemas.openxmlformats.org/officeDocument/2006/relationships/image" Target="media/rId109.png"/><Relationship Id="rId194" Type="http://schemas.openxmlformats.org/officeDocument/2006/relationships/image" Target="media/rId194.png"/><Relationship Id="rId129" Type="http://schemas.openxmlformats.org/officeDocument/2006/relationships/image" Target="media/rId129.png"/><Relationship Id="rId113" Type="http://schemas.openxmlformats.org/officeDocument/2006/relationships/image" Target="media/rId113.png"/><Relationship Id="rId252" Type="http://schemas.openxmlformats.org/officeDocument/2006/relationships/image" Target="media/rId252.png"/><Relationship Id="rId103" Type="http://schemas.openxmlformats.org/officeDocument/2006/relationships/image" Target="media/rId103.png"/><Relationship Id="rId158" Type="http://schemas.openxmlformats.org/officeDocument/2006/relationships/image" Target="media/rId158.png"/><Relationship Id="rId42" Type="http://schemas.openxmlformats.org/officeDocument/2006/relationships/image" Target="media/rId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131</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2026-10-14T08:35:11Z</dcterms:created>
  <dcterms:modified xsi:type="dcterms:W3CDTF">2026-10-14T08:35:11Z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