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36"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h336 \h </w:instrText>
      </w:r>
      <w:r>
        <w:rPr>
          <w:rFonts w:ascii="Times New Roman" w:hAnsi="Times New Roman" w:eastAsia="方正仿宋_GBK"/>
          <w:b w:val="0"/>
          <w:sz w:val="24"/>
        </w:rPr>
        <w:fldChar w:fldCharType="separate"/>
      </w:r>
      <w:r>
        <w:rPr>
          <w:rFonts w:ascii="Times New Roman" w:hAnsi="Times New Roman" w:eastAsia="方正仿宋_GBK"/>
          <w:b w:val="0"/>
          <w:sz w:val="24"/>
        </w:rPr>
        <w:t>41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58"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h358 \h </w:instrText>
      </w:r>
      <w:r>
        <w:rPr>
          <w:rFonts w:ascii="Times New Roman" w:hAnsi="Times New Roman" w:eastAsia="方正仿宋_GBK"/>
          <w:b w:val="0"/>
          <w:sz w:val="24"/>
        </w:rPr>
        <w:fldChar w:fldCharType="separate"/>
      </w:r>
      <w:r>
        <w:rPr>
          <w:rFonts w:ascii="Times New Roman" w:hAnsi="Times New Roman" w:eastAsia="方正仿宋_GBK"/>
          <w:b w:val="0"/>
          <w:sz w:val="24"/>
        </w:rPr>
        <w:t>43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94"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h394 \h </w:instrText>
      </w:r>
      <w:r>
        <w:rPr>
          <w:rFonts w:ascii="Times New Roman" w:hAnsi="Times New Roman" w:eastAsia="方正仿宋_GBK"/>
          <w:b w:val="0"/>
          <w:sz w:val="24"/>
        </w:rPr>
        <w:fldChar w:fldCharType="separate"/>
      </w:r>
      <w:r>
        <w:rPr>
          <w:rFonts w:ascii="Times New Roman" w:hAnsi="Times New Roman" w:eastAsia="方正仿宋_GBK"/>
          <w:b w:val="0"/>
          <w:sz w:val="24"/>
        </w:rPr>
        <w:t>50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37"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h437 \h </w:instrText>
      </w:r>
      <w:r>
        <w:rPr>
          <w:rFonts w:ascii="Times New Roman" w:hAnsi="Times New Roman" w:eastAsia="方正仿宋_GBK"/>
          <w:b w:val="0"/>
          <w:sz w:val="24"/>
        </w:rPr>
        <w:fldChar w:fldCharType="separate"/>
      </w:r>
      <w:r>
        <w:rPr>
          <w:rFonts w:ascii="Times New Roman" w:hAnsi="Times New Roman" w:eastAsia="方正仿宋_GBK"/>
          <w:b w:val="0"/>
          <w:sz w:val="24"/>
        </w:rPr>
        <w:t>59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7"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h447 \h </w:instrText>
      </w:r>
      <w:r>
        <w:rPr>
          <w:rFonts w:ascii="Times New Roman" w:hAnsi="Times New Roman" w:eastAsia="方正仿宋_GBK"/>
          <w:b w:val="0"/>
          <w:sz w:val="24"/>
        </w:rPr>
        <w:fldChar w:fldCharType="separate"/>
      </w:r>
      <w:r>
        <w:rPr>
          <w:rFonts w:ascii="Times New Roman" w:hAnsi="Times New Roman" w:eastAsia="方正仿宋_GBK"/>
          <w:b w:val="0"/>
          <w:sz w:val="24"/>
        </w:rPr>
        <w:t>60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63"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h463 \h </w:instrText>
      </w:r>
      <w:r>
        <w:rPr>
          <w:rFonts w:ascii="Times New Roman" w:hAnsi="Times New Roman" w:eastAsia="方正仿宋_GBK"/>
          <w:b w:val="0"/>
          <w:sz w:val="24"/>
        </w:rPr>
        <w:fldChar w:fldCharType="separate"/>
      </w:r>
      <w:r>
        <w:rPr>
          <w:rFonts w:ascii="Times New Roman" w:hAnsi="Times New Roman" w:eastAsia="方正仿宋_GBK"/>
          <w:b w:val="0"/>
          <w:sz w:val="24"/>
        </w:rPr>
        <w:t>63</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491"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h491 \h </w:instrText>
      </w:r>
      <w:r>
        <w:rPr>
          <w:rFonts w:ascii="Times New Roman" w:hAnsi="Times New Roman" w:eastAsia="方正仿宋_GBK"/>
          <w:b/>
          <w:sz w:val="24"/>
        </w:rPr>
        <w:fldChar w:fldCharType="separate"/>
      </w:r>
      <w:r>
        <w:rPr>
          <w:rFonts w:ascii="Times New Roman" w:hAnsi="Times New Roman" w:eastAsia="方正仿宋_GBK"/>
          <w:b/>
          <w:sz w:val="24"/>
        </w:rPr>
        <w:t>67</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92"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h492 \h </w:instrText>
      </w:r>
      <w:r>
        <w:rPr>
          <w:rFonts w:ascii="Times New Roman" w:hAnsi="Times New Roman" w:eastAsia="方正仿宋_GBK"/>
          <w:b w:val="0"/>
          <w:sz w:val="24"/>
        </w:rPr>
        <w:fldChar w:fldCharType="separate"/>
      </w:r>
      <w:r>
        <w:rPr>
          <w:rFonts w:ascii="Times New Roman" w:hAnsi="Times New Roman" w:eastAsia="方正仿宋_GBK"/>
          <w:b w:val="0"/>
          <w:sz w:val="24"/>
        </w:rPr>
        <w:t>67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4"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h504 \h </w:instrText>
      </w:r>
      <w:r>
        <w:rPr>
          <w:rFonts w:ascii="Times New Roman" w:hAnsi="Times New Roman" w:eastAsia="方正仿宋_GBK"/>
          <w:b w:val="0"/>
          <w:sz w:val="24"/>
        </w:rPr>
        <w:fldChar w:fldCharType="separate"/>
      </w:r>
      <w:r>
        <w:rPr>
          <w:rFonts w:ascii="Times New Roman" w:hAnsi="Times New Roman" w:eastAsia="方正仿宋_GBK"/>
          <w:b w:val="0"/>
          <w:sz w:val="24"/>
        </w:rPr>
        <w:t>68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29"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h529 \h </w:instrText>
      </w:r>
      <w:r>
        <w:rPr>
          <w:rFonts w:ascii="Times New Roman" w:hAnsi="Times New Roman" w:eastAsia="方正仿宋_GBK"/>
          <w:b w:val="0"/>
          <w:sz w:val="24"/>
        </w:rPr>
        <w:fldChar w:fldCharType="separate"/>
      </w:r>
      <w:r>
        <w:rPr>
          <w:rFonts w:ascii="Times New Roman" w:hAnsi="Times New Roman" w:eastAsia="方正仿宋_GBK"/>
          <w:b w:val="0"/>
          <w:sz w:val="24"/>
        </w:rPr>
        <w:t>71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3"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h543 \h </w:instrText>
      </w:r>
      <w:r>
        <w:rPr>
          <w:rFonts w:ascii="Times New Roman" w:hAnsi="Times New Roman" w:eastAsia="方正仿宋_GBK"/>
          <w:b w:val="0"/>
          <w:sz w:val="24"/>
        </w:rPr>
        <w:fldChar w:fldCharType="separate"/>
      </w:r>
      <w:r>
        <w:rPr>
          <w:rFonts w:ascii="Times New Roman" w:hAnsi="Times New Roman" w:eastAsia="方正仿宋_GBK"/>
          <w:b w:val="0"/>
          <w:sz w:val="24"/>
        </w:rPr>
        <w:t>72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62"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h562 \h </w:instrText>
      </w:r>
      <w:r>
        <w:rPr>
          <w:rFonts w:ascii="Times New Roman" w:hAnsi="Times New Roman" w:eastAsia="方正仿宋_GBK"/>
          <w:b w:val="0"/>
          <w:sz w:val="24"/>
        </w:rPr>
        <w:fldChar w:fldCharType="separate"/>
      </w:r>
      <w:r>
        <w:rPr>
          <w:rFonts w:ascii="Times New Roman" w:hAnsi="Times New Roman" w:eastAsia="方正仿宋_GBK"/>
          <w:b w:val="0"/>
          <w:sz w:val="24"/>
        </w:rPr>
        <w:t>75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9"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h579 \h </w:instrText>
      </w:r>
      <w:r>
        <w:rPr>
          <w:rFonts w:ascii="Times New Roman" w:hAnsi="Times New Roman" w:eastAsia="方正仿宋_GBK"/>
          <w:b w:val="0"/>
          <w:sz w:val="24"/>
        </w:rPr>
        <w:fldChar w:fldCharType="separate"/>
      </w:r>
      <w:r>
        <w:rPr>
          <w:rFonts w:ascii="Times New Roman" w:hAnsi="Times New Roman" w:eastAsia="方正仿宋_GBK"/>
          <w:b w:val="0"/>
          <w:sz w:val="24"/>
        </w:rPr>
        <w:t>77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08"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h608 \h </w:instrText>
      </w:r>
      <w:r>
        <w:rPr>
          <w:rFonts w:ascii="Times New Roman" w:hAnsi="Times New Roman" w:eastAsia="方正仿宋_GBK"/>
          <w:b/>
          <w:sz w:val="24"/>
        </w:rPr>
        <w:fldChar w:fldCharType="separate"/>
      </w:r>
      <w:r>
        <w:rPr>
          <w:rFonts w:ascii="Times New Roman" w:hAnsi="Times New Roman" w:eastAsia="方正仿宋_GBK"/>
          <w:b/>
          <w:sz w:val="24"/>
        </w:rPr>
        <w:t>81</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10"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h610 \h </w:instrText>
      </w:r>
      <w:r>
        <w:rPr>
          <w:rFonts w:ascii="Times New Roman" w:hAnsi="Times New Roman" w:eastAsia="方正仿宋_GBK"/>
          <w:b w:val="0"/>
          <w:sz w:val="24"/>
        </w:rPr>
        <w:fldChar w:fldCharType="separate"/>
      </w:r>
      <w:r>
        <w:rPr>
          <w:rFonts w:ascii="Times New Roman" w:hAnsi="Times New Roman" w:eastAsia="方正仿宋_GBK"/>
          <w:b w:val="0"/>
          <w:sz w:val="24"/>
        </w:rPr>
        <w:t>81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33"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h633 \h </w:instrText>
      </w:r>
      <w:r>
        <w:rPr>
          <w:rFonts w:ascii="Times New Roman" w:hAnsi="Times New Roman" w:eastAsia="方正仿宋_GBK"/>
          <w:b w:val="0"/>
          <w:sz w:val="24"/>
        </w:rPr>
        <w:fldChar w:fldCharType="separate"/>
      </w:r>
      <w:r>
        <w:rPr>
          <w:rFonts w:ascii="Times New Roman" w:hAnsi="Times New Roman" w:eastAsia="方正仿宋_GBK"/>
          <w:b w:val="0"/>
          <w:sz w:val="24"/>
        </w:rPr>
        <w:t>84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53"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h653 \h </w:instrText>
      </w:r>
      <w:r>
        <w:rPr>
          <w:rFonts w:ascii="Times New Roman" w:hAnsi="Times New Roman" w:eastAsia="方正仿宋_GBK"/>
          <w:b w:val="0"/>
          <w:sz w:val="24"/>
        </w:rPr>
        <w:fldChar w:fldCharType="separate"/>
      </w:r>
      <w:r>
        <w:rPr>
          <w:rFonts w:ascii="Times New Roman" w:hAnsi="Times New Roman" w:eastAsia="方正仿宋_GBK"/>
          <w:b w:val="0"/>
          <w:sz w:val="24"/>
        </w:rPr>
        <w:t>86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8"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h668 \h </w:instrText>
      </w:r>
      <w:r>
        <w:rPr>
          <w:rFonts w:ascii="Times New Roman" w:hAnsi="Times New Roman" w:eastAsia="方正仿宋_GBK"/>
          <w:b w:val="0"/>
          <w:sz w:val="24"/>
        </w:rPr>
        <w:fldChar w:fldCharType="separate"/>
      </w:r>
      <w:r>
        <w:rPr>
          <w:rFonts w:ascii="Times New Roman" w:hAnsi="Times New Roman" w:eastAsia="方正仿宋_GBK"/>
          <w:b w:val="0"/>
          <w:sz w:val="24"/>
        </w:rPr>
        <w:t>88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68"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h1068 \h </w:instrText>
      </w:r>
      <w:r>
        <w:rPr>
          <w:rFonts w:ascii="Times New Roman" w:hAnsi="Times New Roman" w:eastAsia="方正仿宋_GBK"/>
          <w:b w:val="0"/>
          <w:sz w:val="24"/>
        </w:rPr>
        <w:fldChar w:fldCharType="separate"/>
      </w:r>
      <w:r>
        <w:rPr>
          <w:rFonts w:ascii="Times New Roman" w:hAnsi="Times New Roman" w:eastAsia="方正仿宋_GBK"/>
          <w:b w:val="0"/>
          <w:sz w:val="24"/>
        </w:rPr>
        <w:t>135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88"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h1088 \h </w:instrText>
      </w:r>
      <w:r>
        <w:rPr>
          <w:rFonts w:ascii="Times New Roman" w:hAnsi="Times New Roman" w:eastAsia="方正仿宋_GBK"/>
          <w:b w:val="0"/>
          <w:sz w:val="24"/>
        </w:rPr>
        <w:fldChar w:fldCharType="separate"/>
      </w:r>
      <w:r>
        <w:rPr>
          <w:rFonts w:ascii="Times New Roman" w:hAnsi="Times New Roman" w:eastAsia="方正仿宋_GBK"/>
          <w:b w:val="0"/>
          <w:sz w:val="24"/>
        </w:rPr>
        <w:t>140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2"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h1162 \h </w:instrText>
      </w:r>
      <w:r>
        <w:rPr>
          <w:rFonts w:ascii="Times New Roman" w:hAnsi="Times New Roman" w:eastAsia="方正仿宋_GBK"/>
          <w:b w:val="0"/>
          <w:sz w:val="24"/>
        </w:rPr>
        <w:fldChar w:fldCharType="separate"/>
      </w:r>
      <w:r>
        <w:rPr>
          <w:rFonts w:ascii="Times New Roman" w:hAnsi="Times New Roman" w:eastAsia="方正仿宋_GBK"/>
          <w:b w:val="0"/>
          <w:sz w:val="24"/>
        </w:rPr>
        <w:t>156</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7"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h1177 \h </w:instrText>
      </w:r>
      <w:r>
        <w:rPr>
          <w:rFonts w:ascii="Times New Roman" w:hAnsi="Times New Roman" w:eastAsia="方正仿宋_GBK"/>
          <w:b/>
          <w:sz w:val="24"/>
        </w:rPr>
        <w:fldChar w:fldCharType="separate"/>
      </w:r>
      <w:r>
        <w:rPr>
          <w:rFonts w:ascii="Times New Roman" w:hAnsi="Times New Roman" w:eastAsia="方正仿宋_GBK"/>
          <w:b/>
          <w:sz w:val="24"/>
        </w:rPr>
        <w:t>158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9"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h1179 \h </w:instrText>
      </w:r>
      <w:r>
        <w:rPr>
          <w:rFonts w:ascii="Times New Roman" w:hAnsi="Times New Roman" w:eastAsia="方正仿宋_GBK"/>
          <w:b w:val="0"/>
          <w:sz w:val="24"/>
        </w:rPr>
        <w:fldChar w:fldCharType="separate"/>
      </w:r>
      <w:r>
        <w:rPr>
          <w:rFonts w:ascii="Times New Roman" w:hAnsi="Times New Roman" w:eastAsia="方正仿宋_GBK"/>
          <w:b w:val="0"/>
          <w:sz w:val="24"/>
        </w:rPr>
        <w:t>158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93"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h1193 \h </w:instrText>
      </w:r>
      <w:r>
        <w:rPr>
          <w:rFonts w:ascii="Times New Roman" w:hAnsi="Times New Roman" w:eastAsia="方正仿宋_GBK"/>
          <w:b w:val="0"/>
          <w:sz w:val="24"/>
        </w:rPr>
        <w:fldChar w:fldCharType="separate"/>
      </w:r>
      <w:r>
        <w:rPr>
          <w:rFonts w:ascii="Times New Roman" w:hAnsi="Times New Roman" w:eastAsia="方正仿宋_GBK"/>
          <w:b w:val="0"/>
          <w:sz w:val="24"/>
        </w:rPr>
        <w:t>159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05"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h1205 \h </w:instrText>
      </w:r>
      <w:r>
        <w:rPr>
          <w:rFonts w:ascii="Times New Roman" w:hAnsi="Times New Roman" w:eastAsia="方正仿宋_GBK"/>
          <w:b w:val="0"/>
          <w:sz w:val="24"/>
        </w:rPr>
        <w:fldChar w:fldCharType="separate"/>
      </w:r>
      <w:r>
        <w:rPr>
          <w:rFonts w:ascii="Times New Roman" w:hAnsi="Times New Roman" w:eastAsia="方正仿宋_GBK"/>
          <w:b w:val="0"/>
          <w:sz w:val="24"/>
        </w:rPr>
        <w:t>160</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211"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h1211 \h </w:instrText>
      </w:r>
      <w:r>
        <w:rPr>
          <w:rFonts w:ascii="Times New Roman" w:hAnsi="Times New Roman" w:eastAsia="方正仿宋_GBK"/>
          <w:b/>
          <w:sz w:val="24"/>
        </w:rPr>
        <w:fldChar w:fldCharType="separate"/>
      </w:r>
      <w:r>
        <w:rPr>
          <w:rFonts w:ascii="Times New Roman" w:hAnsi="Times New Roman" w:eastAsia="方正仿宋_GBK"/>
          <w:b/>
          <w:sz w:val="24"/>
        </w:rPr>
        <w:t>161</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以评价期费用寻优形成经济参考，在参考费用5%以内优先简化联络工程，供电安全及设备容量作为共同约束，并结合片区源荷条件形成推荐范围。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2021—2025年资料用于分析负荷发展、光伏装机和设备运行特征。地区案例保留共同仿真起点，直接使用2022—2025年实际年度负荷，各年容量及建设规模由满足约束的优化结果确定，实际统计容量单独列示。</w:t>
      </w:r>
    </w:p>
    <w:p>
      <w:pPr>
        <w:pStyle w:val="2"/>
        <w:widowControl/>
        <w:spacing w:line="348" w:lineRule="exact" w:before="0" w:after="0"/>
        <w:ind w:firstLine="480"/>
        <w:jc w:val="both"/>
      </w:pPr>
      <w:r>
        <w:rPr>
          <w:rFonts w:ascii="Times New Roman" w:hAnsi="Times New Roman" w:eastAsia="方正仿宋_GBK"/>
          <w:b w:val="0"/>
          <w:sz w:val="24"/>
        </w:rPr>
        <w:t xml:space="preserve">基期主变按可选额定容量逐台配置，使地区主变总容量接近基期年网供最大负荷的两倍。基期负荷取2021年实际统计值。站级负荷沿用实际样本的空间分布，再按年度区域负荷标定。邳州和市区的刚性、弹性方案分别共用本地区的起点、负荷和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经济评价以2021年末为折现基准，评价截止于2041年。仿真第1—4年在计算文件中分别标记为2022—2025年，用于统一投运时间和现金流折现。主变、线路和储能的寿命、运维率采用第四章列明的研究参数[10,13,14]。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后续四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MVA等设备可保留，新购主变采用31.50、50、63、80 MVA等候选规格并按站限制；扩建、联络投运状态及储能柜数为整数决策，站间转供功率为连续决策。先以新增措施评价期费用现值为目标寻优，再按费用容差内的工程优选条件确定弹性方案，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四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两台等容量主变在N-1条件下剩余容量为原总容量的一半，三台等容量主变在N-1条件下剩余比例为三分之二。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案例按四年设备状态连续寻优，保留实际年度负荷变化。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r>
        <w:rPr>
          <w:rFonts w:ascii="Times New Roman" w:hAnsi="Times New Roman" w:eastAsia="方正仿宋_GBK"/>
          <w:b w:val="0"/>
          <w:sz w:val="24"/>
        </w:rPr>
        <w:t xml:space="preserve">其中，Zhu等对铜芯电缆、架空导线及铝合金电缆进行寿命费用评价，费用包括投资、运行维护、故障及报废，并以实际10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共同初始设备和2021年实际负荷下开展规划回算，基期容载比均约为2.00，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案例提取区域正向峰值、最低净负荷及各站局部极值的同期截面，市区45个、邳州26个，每个截面保留全部站点的同期功率。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历史统计保留原始年度波动，用于计算负荷增长和解释运行特征。仿真规划的基期与后续四年负荷在第五章另行列示。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2021—2025年实际容量与负荷用于现状分析，2022—2025年已知年度负荷直接进入地区案例。仿真保留市区2900.00 MVA、邳州1463.50 MVA的初始设备容量，基期及后续各年负荷均采用实际年度统计值，基期容载比按两位小数均为2.00。主变增容由逐年优化确定，实际在役容量与仿真容量分别列示。</w:t>
      </w:r>
    </w:p>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确定目标年负荷。地区案例与通用模板的用途不同，分别保留其负荷来源和计算条件。</w:t>
      </w:r>
    </w:p>
    <w:p>
      <w:pPr>
        <w:pStyle w:val="4"/>
        <w:keepNext/>
        <w:numPr>
          <w:numId w:val="0"/>
        </w:numPr>
        <w:spacing w:line="480" w:lineRule="exact" w:before="160" w:after="120"/>
        <w:ind w:firstLine="0"/>
      </w:pPr>
      <w:bookmarkStart w:id="1336" w:name="h336"/>
      <w:bookmarkStart w:id="102" w:name="分布式光伏装机与电量"/>
      <w:r>
        <w:rPr>
          <w:rFonts w:ascii="Times New Roman" w:hAnsi="Times New Roman" w:eastAsia="方正仿宋_GBK"/>
          <w:b/>
          <w:sz w:val="32"/>
        </w:rPr>
        <w:t xml:space="preserve">3.3 分布式光伏装机与电量</w:t>
      </w:r>
      <w:bookmarkEnd w:id="102"/>
      <w:bookmarkEnd w:id="1336"/>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-2）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表3-3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，使用本月末和前月末容量均值；1月前月取2024年12月。式（3-3）为本研究积分估计方法，典型出力系数来自原始光伏曲线。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-5）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58" w:name="h358"/>
      <w:bookmarkStart w:id="108" w:name="主变负载率与双向净负荷"/>
      <w:r>
        <w:rPr>
          <w:rFonts w:ascii="Times New Roman" w:hAnsi="Times New Roman" w:eastAsia="方正仿宋_GBK"/>
          <w:b/>
          <w:sz w:val="32"/>
        </w:rPr>
        <w:t xml:space="preserve">3.4 主变负载率与双向净负荷</w:t>
      </w:r>
      <w:bookmarkEnd w:id="108"/>
      <w:bookmarkEnd w:id="1358"/>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表3-4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表3-5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110千伏八义集变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110千伏铁富变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110千伏庞庄变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表3-6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122</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19636"/>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5196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表3-7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394" w:name="h394"/>
      <w:bookmarkStart w:id="121" w:name="核心参数依据与相关性分析"/>
      <w:r>
        <w:rPr>
          <w:rFonts w:ascii="Times New Roman" w:hAnsi="Times New Roman" w:eastAsia="方正仿宋_GBK"/>
          <w:b/>
          <w:sz w:val="32"/>
        </w:rPr>
        <w:t xml:space="preserve">3.5 核心参数依据与相关性分析</w:t>
      </w:r>
      <w:bookmarkEnd w:id="121"/>
      <w:bookmarkEnd w:id="1394"/>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w:t>
      </w:r>
    </w:p>
    <w:p>
      <w:pPr>
        <w:pStyle w:val="2"/>
        <w:keepNext/>
        <w:spacing w:line="280" w:lineRule="exact" w:before="120" w:after="80"/>
        <w:ind w:firstLine="0"/>
        <w:jc w:val="center"/>
      </w:pPr>
      <w:r>
        <w:rPr>
          <w:rFonts w:ascii="Times New Roman" w:hAnsi="Times New Roman" w:eastAsia="宋体"/>
          <w:b w:val="0"/>
          <w:sz w:val="21"/>
        </w:rPr>
        <w:t xml:space="preserve">表3-8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按式（3-6）计算；对应正向供电任务[4,5]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按式（3-6）计算；对应新能源反向输送任务[4,5]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表3-9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表3-10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表3-11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表3-12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表3-13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表3-14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表3-15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表3-16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表3-17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表3-18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37" w:name="h437"/>
      <w:bookmarkStart w:id="129" w:name="kv负荷转接资料与仿真条件"/>
      <w:r>
        <w:rPr>
          <w:rFonts w:ascii="Times New Roman" w:hAnsi="Times New Roman" w:eastAsia="方正仿宋_GBK"/>
          <w:b/>
          <w:sz w:val="32"/>
        </w:rPr>
        <w:t xml:space="preserve">3.6 10 kV负荷转接资料与仿真条件</w:t>
      </w:r>
      <w:bookmarkEnd w:id="129"/>
      <w:bookmarkEnd w:id="1437"/>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按可转负荷占可转及损失负荷之和的比例计算转供率，以该比例乘当年最大正向净负荷形成年度预算，再受原表站外最大可供负荷上限限制。</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既有通道与新增候选分别记录馈线端点和有效容量，正常运行允许调整供区，主变故障后重新分配转供。各通道共同校核源端可切负荷、共享馈线余量和接收站容量，新增联络单项有效能力为7.49 MW，工程费用按地区电缆长度占比计算。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正常转供改变用电负荷分配，电源仍保留原站归属，因此每个静态工况需按转出、转入功率重新计算净负荷，并同时校核正向供电和反向容量。转出功率以本站原始可转负荷为上限，区域内部转入、转出合计相等。</w:t>
      </w:r>
    </w:p>
    <w:p>
      <w:pPr>
        <w:pStyle w:val="4"/>
        <w:keepNext/>
        <w:numPr>
          <w:numId w:val="0"/>
        </w:numPr>
        <w:spacing w:line="480" w:lineRule="exact" w:before="160" w:after="120"/>
        <w:ind w:firstLine="0"/>
      </w:pPr>
      <w:bookmarkStart w:id="1447" w:name="h447"/>
      <w:bookmarkStart w:id="133" w:name="站级负载率与配置需求"/>
      <w:r>
        <w:rPr>
          <w:rFonts w:ascii="Times New Roman" w:hAnsi="Times New Roman" w:eastAsia="方正仿宋_GBK"/>
          <w:b/>
          <w:sz w:val="32"/>
        </w:rPr>
        <w:t xml:space="preserve">3.7 站级负载率与配置需求</w:t>
      </w:r>
      <w:bookmarkEnd w:id="133"/>
      <w:bookmarkEnd w:id="1447"/>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1185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31185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3950850"/>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39508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表3-19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表3-20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检查转出用电负荷后是否增加本站反送需求。建设方案以第五章逐工况网络校核为依据。</w:t>
      </w:r>
    </w:p>
    <w:p>
      <w:pPr>
        <w:pStyle w:val="4"/>
        <w:keepNext/>
        <w:numPr>
          <w:numId w:val="0"/>
        </w:numPr>
        <w:spacing w:line="480" w:lineRule="exact" w:before="160" w:after="120"/>
        <w:ind w:firstLine="0"/>
      </w:pPr>
      <w:bookmarkStart w:id="1463" w:name="h463"/>
      <w:bookmarkStart w:id="141" w:name="运行特征的综合分析"/>
      <w:r>
        <w:rPr>
          <w:rFonts w:ascii="Times New Roman" w:hAnsi="Times New Roman" w:eastAsia="方正仿宋_GBK"/>
          <w:b/>
          <w:sz w:val="32"/>
        </w:rPr>
        <w:t xml:space="preserve">3.8 运行特征的综合分析</w:t>
      </w:r>
      <w:bookmarkEnd w:id="141"/>
      <w:bookmarkEnd w:id="1463"/>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表3-21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表3-22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会改变N-1后的剩余容量。两台等容量主变在N-1条件下只剩一半容量，增加一台后，即使正常运行负载率不高，故障时的可用容量仍可能明显提高，因此主变扩建既增加总容量，也改变站内设备组合。第五章邳州弹性方案首年完成主变补强、减少后期配储的结果，需结合具体规格和建设时序解释。</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用于联系各站峰值与区域同时峰值。系数大于1.00说明各站峰值不完全同时出现，区域峰值低于各站独立峰值之和，但各站设备仍要承受本地高峰。本报告采用1.00、1.10、1.15三个负荷分散系数构造推广情景，并结合站级负荷分配讨论容量配置。</w:t>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491" w:name="h491"/>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491"/>
    </w:p>
    <w:p>
      <w:pPr>
        <w:pStyle w:val="4"/>
        <w:keepNext/>
        <w:numPr>
          <w:numId w:val="0"/>
        </w:numPr>
        <w:spacing w:line="480" w:lineRule="exact" w:before="160" w:after="120"/>
        <w:ind w:firstLine="0"/>
      </w:pPr>
      <w:bookmarkStart w:id="1492" w:name="h492"/>
      <w:bookmarkStart w:id="149" w:name="成本模型的范围与建立原则"/>
      <w:r>
        <w:rPr>
          <w:rFonts w:ascii="Times New Roman" w:hAnsi="Times New Roman" w:eastAsia="方正仿宋_GBK"/>
          <w:b/>
          <w:sz w:val="32"/>
        </w:rPr>
        <w:t xml:space="preserve">4.1 成本模型的范围与建立原则</w:t>
      </w:r>
      <w:bookmarkEnd w:id="149"/>
      <w:bookmarkEnd w:id="1492"/>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04" w:name="h504"/>
      <w:bookmarkStart w:id="153" w:name="主变工程成本系数"/>
      <w:r>
        <w:rPr>
          <w:rFonts w:ascii="Times New Roman" w:hAnsi="Times New Roman" w:eastAsia="方正仿宋_GBK"/>
          <w:b/>
          <w:sz w:val="32"/>
        </w:rPr>
        <w:t xml:space="preserve">4.2 主变工程成本系数</w:t>
      </w:r>
      <w:bookmarkEnd w:id="153"/>
      <w:bookmarkEnd w:id="1504"/>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29" w:name="h529"/>
      <w:bookmarkStart w:id="160" w:name="kv联络工程费用"/>
      <w:r>
        <w:rPr>
          <w:rFonts w:ascii="Times New Roman" w:hAnsi="Times New Roman" w:eastAsia="方正仿宋_GBK"/>
          <w:b/>
          <w:sz w:val="32"/>
        </w:rPr>
        <w:t xml:space="preserve">4.3 10 kV联络工程费用</w:t>
      </w:r>
      <w:bookmarkEnd w:id="160"/>
      <w:bookmarkEnd w:id="1529"/>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r>
        <w:rPr>
          <w:rFonts w:ascii="Times New Roman" w:hAnsi="Times New Roman" w:eastAsia="方正仿宋_GBK"/>
          <w:b w:val="0"/>
          <w:sz w:val="24"/>
        </w:rPr>
        <w:t xml:space="preserve">新增候选线的区段负荷参考值为7.49 MW，低于按允许电流折算的有功容量9.05 MW。模型按具体送受端馈线建立候选边，既有边不重复计原建设费，新增边按投运年计项目费用。线路价格改变时，候选路径、区段负荷及热限保持不变，用于识别经济参数的影响。</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43" w:name="h543"/>
      <w:bookmarkStart w:id="165" w:name="储能投资模型"/>
      <w:r>
        <w:rPr>
          <w:rFonts w:ascii="Times New Roman" w:hAnsi="Times New Roman" w:eastAsia="方正仿宋_GBK"/>
          <w:b/>
          <w:sz w:val="32"/>
        </w:rPr>
        <w:t xml:space="preserve">4.4 储能投资模型</w:t>
      </w:r>
      <w:bookmarkEnd w:id="165"/>
      <w:bookmarkEnd w:id="1543"/>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62" w:name="h562"/>
      <w:bookmarkStart w:id="172" w:name="参数变化与措施费用的联系"/>
      <w:r>
        <w:rPr>
          <w:rFonts w:ascii="Times New Roman" w:hAnsi="Times New Roman" w:eastAsia="方正仿宋_GBK"/>
          <w:b/>
          <w:sz w:val="32"/>
        </w:rPr>
        <w:t xml:space="preserve">4.5 参数变化与措施费用的联系</w:t>
      </w:r>
      <w:bookmarkEnd w:id="172"/>
      <w:bookmarkEnd w:id="1562"/>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79" w:name="h579"/>
      <w:bookmarkStart w:id="177" w:name="现金流现值计算"/>
      <w:r>
        <w:rPr>
          <w:rFonts w:ascii="Times New Roman" w:hAnsi="Times New Roman" w:eastAsia="方正仿宋_GBK"/>
          <w:b/>
          <w:sz w:val="32"/>
        </w:rPr>
        <w:t xml:space="preserve">4.6 现金流现值计算</w:t>
      </w:r>
      <w:bookmarkEnd w:id="177"/>
      <w:bookmarkEnd w:id="1579"/>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。主变按40年和运维费率4.20%、线路按40年和运维费率2.20%、储能按25年和运维费率3.00%计算。2022—2025年投运的三类设备均未在2041年评价截止前达到设定寿命，因此本评价期内的更新支出为零。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各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2025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2025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08" w:name="h608"/>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08"/>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10" w:name="h610"/>
      <w:bookmarkStart w:id="186" w:name="寻优问题与共同起点"/>
      <w:r>
        <w:rPr>
          <w:rFonts w:ascii="Times New Roman" w:hAnsi="Times New Roman" w:eastAsia="方正仿宋_GBK"/>
          <w:b/>
          <w:sz w:val="32"/>
        </w:rPr>
        <w:t xml:space="preserve">5.1 寻优问题与共同起点</w:t>
      </w:r>
      <w:bookmarkEnd w:id="186"/>
      <w:bookmarkEnd w:id="1610"/>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两类方案保留相同的初始设备组合。市区初始主变总容量为2900.00 MVA，邳州为1463.50 MVA；基期负荷取2021年实际统计值，两地区基期容载比按两位小数均为2.00。该设置用于方案比较，实际在役容量仍采用第三章年度统计。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的初始仿真主变总容量，单位MVA；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年的原表网供最大负荷估计值，单位MW。已有年度负荷直接进入模型，保留2023年邳州及2022、2024年市区的负荷回落。年最大净负荷平均增长率用于增长水平描述和通用情景设置。</w:t>
      </w:r>
    </w:p>
    <w:p>
      <w:pPr>
        <w:pStyle w:val="2"/>
        <w:keepNext/>
        <w:spacing w:line="280" w:lineRule="exact" w:before="120" w:after="80"/>
        <w:ind w:firstLine="0"/>
        <w:jc w:val="center"/>
      </w:pPr>
      <w:r>
        <w:rPr>
          <w:rFonts w:ascii="Times New Roman" w:hAnsi="Times New Roman" w:eastAsia="宋体"/>
          <w:b w:val="0"/>
          <w:sz w:val="21"/>
        </w:rPr>
        <w:t xml:space="preserve">表5-1 实际统计与仿真起点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实际主变容量/MVA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实际年网供最大负荷/MW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仿真容量/MVA</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按方案投运</w:t>
            </w:r>
          </w:p>
        </w:tc>
      </w:tr>
    </w:tbl>
    <w:p>
      <w:pPr>
        <w:pStyle w:val="2"/>
        <w:widowControl/>
        <w:spacing w:line="348" w:lineRule="exact" w:before="0" w:after="0"/>
        <w:ind w:firstLine="480"/>
        <w:jc w:val="both"/>
      </w:pPr>
      <w:r>
        <w:rPr>
          <w:rFonts w:ascii="Times New Roman" w:hAnsi="Times New Roman" w:eastAsia="方正仿宋_GBK"/>
          <w:b w:val="0"/>
          <w:sz w:val="24"/>
        </w:rPr>
        <w:t xml:space="preserve">各站静态功率按已归档的区域正向峰值和最低净负荷工况分配，再按年度网供峰值标定。反向工况沿用同一源荷结构，属于按年度规模标定的研究情景。</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先按费用寻优形成经济参考，再在参考费用5%以内优先简化联络工程。下文简称弹性方案，具体容量由正常及N-1承载需求、允许规格和扩建位置共同确定。5%为本研究的工程优选容差。</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在候选设备及场地条件下允许的最大容量。刚性方案的下端参考值</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按年最大净负荷平均增长率对应的导则范围确定，市区1.50、邳州1.70[8]。两类方案均按实际设备配置与同年网供峰值计算容载比。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年度负荷</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2022—2025年逐年统计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同范围110 kV年度记录</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静态截面</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邳州26个、市区45个</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地区和各站局部极值同期截面</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31.50、50、63、80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第三台主变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有预留条件时50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既有转供能力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逐站MW上限与网络能力共同限制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全停全转统计及馈线资料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新增联络费用</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供电安全及功率因数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正常及最大单台主变N-1；0.95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逐工况校核</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反向承载</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正常及健康站80%，故障站按剩余主变能力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导则反向限值与N-1静态校核</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主变采购组织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四年内同一位置最多更换一次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两类方案共同的工程实施假设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弹性工程优选</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经济参考费用5%以内优先简化联络</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本研究费用容差</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33" w:name="h633"/>
      <w:bookmarkStart w:id="190" w:name="三类措施的选取与寻优方法"/>
      <w:r>
        <w:rPr>
          <w:rFonts w:ascii="Times New Roman" w:hAnsi="Times New Roman" w:eastAsia="方正仿宋_GBK"/>
          <w:b/>
          <w:sz w:val="32"/>
        </w:rPr>
        <w:t xml:space="preserve">5.2 三类措施的选取与寻优方法</w:t>
      </w:r>
      <w:bookmarkEnd w:id="190"/>
      <w:bookmarkEnd w:id="1633"/>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2022—2025年同一位置最多更换一次，更换后保持所购规格。该建设组织假设由两类方案共同采用，使新购主变在四年规划期内持续使用。不同位置的更换和第三台主变扩建可按需求分年安排。更换主变按新购整台容量计费，新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再乘以当年最大正向净负荷形成年度既有转供预算，并保留原表站外最大可供负荷的绝对上限。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e>
                  <m:e>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的转出功率，</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为原表站外最大可供负荷，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年最大正向净负荷，单位均为MW；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为逐站转供比例。每年采用相同预算分别校核正常和故障工况，实际转供还受具体通道及接收侧能力限制。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为投运状态，既有边取1。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为转出及承接负荷，单位均为MW。正向为受电，负向为反送；电源仍归属原站，转出用电负荷可能加重本地反向功率。每个工况使用自身源荷分布，分别校核两方向容量。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53" w:name="h653"/>
      <w:bookmarkStart w:id="196" w:name="约束条件与求解流程"/>
      <w:r>
        <w:rPr>
          <w:rFonts w:ascii="Times New Roman" w:hAnsi="Times New Roman" w:eastAsia="方正仿宋_GBK"/>
          <w:b/>
          <w:sz w:val="32"/>
        </w:rPr>
        <w:t xml:space="preserve">5.3 约束条件与求解流程</w:t>
      </w:r>
      <w:bookmarkEnd w:id="196"/>
      <w:bookmarkEnd w:id="1653"/>
    </w:p>
    <w:p>
      <w:pPr>
        <w:pStyle w:val="5"/>
        <w:keepNext/>
        <w:numPr>
          <w:numId w:val="0"/>
        </w:numPr>
        <w:spacing w:line="390" w:lineRule="exact" w:before="160" w:after="120"/>
        <w:ind w:firstLine="0"/>
      </w:pPr>
      <w:bookmarkStart w:id="197" w:name="正常运行与主变n-1"/>
      <w:r>
        <w:rPr>
          <w:rFonts w:ascii="Times New Roman" w:hAnsi="Times New Roman" w:eastAsia="方正仿宋_GBK"/>
          <w:b/>
          <w:sz w:val="26"/>
        </w:rPr>
        <w:t xml:space="preserve">5.3.1 正常运行与主变N-1</w:t>
      </w:r>
      <w:bookmarkEnd w:id="197"/>
    </w:p>
    <w:p>
      <w:pPr>
        <w:pStyle w:val="FirstParagraph"/>
        <w:widowControl/>
        <w:spacing w:line="348" w:lineRule="exact" w:before="0" w:after="0"/>
        <w:ind w:firstLine="480"/>
        <w:jc w:val="both"/>
      </w:pPr>
      <w:r>
        <w:rPr>
          <w:rFonts w:ascii="Times New Roman" w:hAnsi="Times New Roman" w:eastAsia="方正仿宋_GBK"/>
          <w:b w:val="0"/>
          <w:sz w:val="24"/>
        </w:rPr>
        <w:t xml:space="preserve">市区45个、邳州26个同期静态截面覆盖地区正向峰值、地区最低净负荷及各站局部极值，每个截面分别校核正常运行和各站最大单台主变N-1。正常及故障方式共同允许储能和已投运联络参与，设备建设状态在同一年各工况间共享，充放电及转供功率按当处源荷条件安排。</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γ</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γ</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为反向容量系数，正常运行及故障工况中的健康站取0.80，故障站取1.00；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及健康站的反向限值依据2025年4月《配电网规划设计技术导则（修订稿）》第6.5.3条的设备反向潮流80%要求设置[8]。模型将该要求落实为主变反向有功功率上限，储能吸收后的反送功率应满足此限值。故障站扣除最大单台主变后，按剩余容量不过载校核，健康邻站仍保留正常反向限值。正向受电则按各工况可用主变容量与储能放电能力共同校核。反向净负荷作为给定场景输入，新增主变、负荷转接或储能充电吸收共同承担其容量需求。</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故障站与健康站逐站通过式（5-8）的校核。</w:t>
      </w:r>
    </w:p>
    <w:p>
      <w:pPr>
        <w:pStyle w:val="2"/>
        <w:widowControl/>
        <w:spacing w:line="348" w:lineRule="exact" w:before="0" w:after="0"/>
        <w:ind w:firstLine="480"/>
        <w:jc w:val="both"/>
      </w:pPr>
      <w:r>
        <w:rPr>
          <w:rFonts w:ascii="Times New Roman" w:hAnsi="Times New Roman" w:eastAsia="方正仿宋_GBK"/>
          <w:b w:val="0"/>
          <w:sz w:val="24"/>
        </w:rPr>
        <w:t xml:space="preserve">本研究据上述约束开展静态设备容量比选。导则同时要求电压不越限，并在系统级承载力评估中统筹新能源利用率和调峰能力[8]；这些项目需结合实际接线、连续运行及系统资料进一步校核。当前结果覆盖所设功率截面与规定支撑时长，储能按可用电量折算有效功率，连续荷电状态和充电恢复过程留待工程阶段检验。</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模型以共同评价期内新增措施费用现值最小为目标，采用第四章的价格、寿命、维护费率和折现率，在投运当年计建设投资、次年起计固定运维，对评价期内达到设定寿命的设备按统一规则计取更新费用。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计算结果按设备状态、容量非减、功率平衡、馈线共享余量、接收站容量及费用分项逐项复核，并以独立网络算法检查各静态工况的可行性。</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寻优先载入共同初始设备和实际年度负荷，再建立允许的主变规格、扩建位置、储能柜数与联络投运状态。正常和各站最大单台主变N-1分别使用同一套建设状态，运行转接变量随工况变化。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和投运状态采用整数变量，转供功率采用连续变量。费用寻优先形成经济参考，弹性方案再在该参考费用的105%以内比较联络工程较少的可行布局，并在联络数量相近时比较费用，形成工程优选方案。邳州共同起点采用方案费用为14801.99万元，经济参考为14338.51万元，增加463.48万元，约3%；保留实际容量时分别为7342.18万元和7097.16万元，增加245.02万元，约3%。市区两起点采用方案与经济参考一致。取得配置后，分别汇总年度容量、采购容量、储能和联络工程，再按第四章现金流复算实际方案费用。</w:t>
      </w:r>
    </w:p>
    <w:p>
      <w:pPr>
        <w:pStyle w:val="4"/>
        <w:keepNext/>
        <w:numPr>
          <w:numId w:val="0"/>
        </w:numPr>
        <w:spacing w:line="480" w:lineRule="exact" w:before="160" w:after="120"/>
        <w:ind w:firstLine="0"/>
      </w:pPr>
      <w:bookmarkStart w:id="1668" w:name="h668"/>
      <w:bookmarkStart w:id="200" w:name="寻优结果"/>
      <w:r>
        <w:rPr>
          <w:rFonts w:ascii="Times New Roman" w:hAnsi="Times New Roman" w:eastAsia="方正仿宋_GBK"/>
          <w:b/>
          <w:sz w:val="32"/>
        </w:rPr>
        <w:t xml:space="preserve">5.4 寻优结果</w:t>
      </w:r>
      <w:bookmarkEnd w:id="200"/>
      <w:bookmarkEnd w:id="1668"/>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邳州弹性方案2022年完成240.50 MVA净增容量，主变总容量达到1704.00 MVA，2025年为1715.50 MVA。各年储能和联络工程按当年供电需求安排，具体在役规模及新增建设分别列于下表。</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1642.50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1642.50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bl>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14783.72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2521.26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1891.08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12553.76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763.85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1484.38</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邳州两类方案的主要差异出现在建设时序。2022年弹性方案完成240.50 MVA净增容量，主变总容量达到1704.00 MVA，而刚性方案当年受容量上限约束，形成1642.50 MVA，并以储能及联络共同补足局部供电需求。2024年刚性方案再增加61.50 MVA，弹性方案在八义集补强一台主变，净增11.50 MVA，使两类方案总容量分别达到1704.00 MVA和1715.50 MVA。前期主变建设规模的差异改变了后续补充措施的选择，年度主变采购与储能、联络增量共同解释方案费用。</w:t>
      </w:r>
    </w:p>
    <w:p>
      <w:pPr>
        <w:pStyle w:val="2"/>
        <w:widowControl/>
        <w:spacing w:line="348" w:lineRule="exact" w:before="0" w:after="0"/>
        <w:ind w:firstLine="480"/>
        <w:jc w:val="both"/>
      </w:pPr>
      <w:r>
        <w:rPr>
          <w:rFonts w:ascii="Times New Roman" w:hAnsi="Times New Roman" w:eastAsia="方正仿宋_GBK"/>
          <w:b w:val="0"/>
          <w:sz w:val="24"/>
        </w:rPr>
        <w:t xml:space="preserve">2023年负荷较2022年回落约8%，两类方案均保持当年设备状态，容载比分别升至2.16和2.24。该年的比值上升由负荷变化形成。2024年负荷恢复后，两类方案分别实施上述增容，并各新增1项联络。2025年负荷进一步增加，主变容量均保持上一年状态，刚性与弹性容载比分别为1.78和1.79。刚性方案当年新增10.11 MWh储能和7项联络，弹性方案新增7.31 MWh储能和6项联络，末年累计新增联络分别为16条和13条。弹性方案较多的站内容量及其分布，减少了对储能和新增通道的依赖。</w:t>
      </w:r>
    </w:p>
    <w:p>
      <w:pPr>
        <w:pStyle w:val="2"/>
        <w:widowControl/>
        <w:spacing w:line="348" w:lineRule="exact" w:before="0" w:after="0"/>
        <w:ind w:firstLine="480"/>
        <w:jc w:val="both"/>
      </w:pPr>
      <w:r>
        <w:rPr>
          <w:rFonts w:ascii="Times New Roman" w:hAnsi="Times New Roman" w:eastAsia="方正仿宋_GBK"/>
          <w:b w:val="0"/>
          <w:sz w:val="24"/>
        </w:rPr>
        <w:t xml:space="preserve">邳州弹性方案2022年新购483.50 MVA、替换原设备243.00 MVA，容量净增240.50 MVA。该批采购按全部新购容量计取工程投资，形成的净增容量则在后续年度持续承担供电与故障支援任务。</w:t>
      </w:r>
    </w:p>
    <w:p>
      <w:pPr>
        <w:pStyle w:val="2"/>
        <w:widowControl/>
        <w:spacing w:line="348" w:lineRule="exact" w:before="0" w:after="0"/>
        <w:ind w:firstLine="480"/>
        <w:jc w:val="both"/>
      </w:pPr>
      <w:r>
        <w:rPr>
          <w:rFonts w:ascii="Times New Roman" w:hAnsi="Times New Roman" w:eastAsia="方正仿宋_GBK"/>
          <w:b w:val="0"/>
          <w:sz w:val="24"/>
        </w:rPr>
        <w:t xml:space="preserve">逐年新增工程图进一步区分了首年补强与后期追加。弹性方案2022年较多采购主变，使其后续储能规模较小；刚性方案在容量控制下同时采用储能和联络，随负荷恢复及增长再追加相关措施。图中的主变为当年新购铭牌容量，储能与联络为当年新增数量，后续在役总量仍按年度方案表累计。各措施的建设时间决定相应费用发生年份，首年与末年的工程差异共同形成评价期费用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市区弹性方案2022年完成23.00 MVA净增容量，主变总容量达到2923.00 MVA，2025年为2923.00 MVA。各年储能和联络工程按当年供电需求安排，具体在役规模及新增建设分别列于下表。</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19636"/>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25196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997.09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1446.64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市区2022年负荷低于2021年、2024年负荷低于2023年，刚性方案在这两个年份均保留已投运的2900.00 MVA主变容量。因此，相应年度容载比超过2.0由负荷减少形成，未伴随新增主变。</w:t>
      </w:r>
    </w:p>
    <w:p>
      <w:pPr>
        <w:pStyle w:val="2"/>
        <w:widowControl/>
        <w:spacing w:line="348" w:lineRule="exact" w:before="0" w:after="0"/>
        <w:ind w:firstLine="480"/>
        <w:jc w:val="both"/>
      </w:pPr>
      <w:r>
        <w:rPr>
          <w:rFonts w:ascii="Times New Roman" w:hAnsi="Times New Roman" w:eastAsia="方正仿宋_GBK"/>
          <w:b w:val="0"/>
          <w:sz w:val="24"/>
        </w:rPr>
        <w:t xml:space="preserve">市区四年中2023年的年度负荷最高，为1542.22 MW。两类方案首年建设完成后，后续主变总容量均保持不变，因此2023年的容载比低于2022年和2024年。到2025年，年度负荷为1528.82 MW，仍略低于2023年。以年最大净负荷平均增长率描述增长阶段时，还需保留这类年际波动，逐年容量安排才能与实际供电任务对应。</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市区弹性方案选择在翟山变将一台40 MVA主变更换为63 MVA，既增加23 MVA区域容量，也将该站最大80 MVA主变停运后的剩余容量从40 MVA提高至63 MVA。刚性方案保留原主变容量，2022年增加3项联络，2023年再增加2项，借助网络重新安排负荷。两类方案分别以站内补强和新增通道满足同一组供电约束，费用差主要由这两类措施的工程费用形成。既有逐站转供能力在两类方案中共同参与支援。</w:t>
      </w:r>
    </w:p>
    <w:p>
      <w:pPr>
        <w:pStyle w:val="2"/>
        <w:widowControl/>
        <w:spacing w:line="348" w:lineRule="exact" w:before="0" w:after="0"/>
        <w:ind w:firstLine="480"/>
        <w:jc w:val="both"/>
      </w:pPr>
      <w:r>
        <w:rPr>
          <w:rFonts w:ascii="Times New Roman" w:hAnsi="Times New Roman" w:eastAsia="方正仿宋_GBK"/>
          <w:b w:val="0"/>
          <w:sz w:val="24"/>
        </w:rPr>
        <w:t xml:space="preserve">市区逐年新增图显示了两种建设路径的集中差异：弹性方案首年采购一台63 MVA主变，形成23 MVA净增容量；刚性方案分2022、2023年建设联络。后两年保持既有工程状态，通过运行转接适应年度负荷波动。由于两类方案均未新增储能，本地区费用比较主要由主变工程与联络工程构成，采用各自实际投运批次计算现值后评价其经济差异。</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141694"/>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414169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为共同仿真起点下、正常允许调整供区的弹性方案规划回算结果。按上述年最大净负荷平均增长率统一分档，邳州2022—2024年均高于分档建议上限1.9，2025年降至1.79，进入建议范围，市区四年均高于分档建议上限1.7，其中2025年为1.91，高出约0.21。两地区各年结果均高于对应建议下限。按条文总体范围比较，邳州2022、2023年和市区2022、2024年超过2.0，其余年度位于1.5～2.0内[8]。年度负荷回落解释了部分年份容载比的上升：邳州2023年、市区2024年容量保持不变，负荷下降使比值升高，后续负荷恢复又使比值回落。</w:t>
      </w:r>
    </w:p>
    <w:p>
      <w:pPr>
        <w:pStyle w:val="2"/>
        <w:widowControl/>
        <w:spacing w:line="348" w:lineRule="exact" w:before="0" w:after="0"/>
        <w:ind w:firstLine="480"/>
        <w:jc w:val="both"/>
      </w:pPr>
      <w:r>
        <w:rPr>
          <w:rFonts w:ascii="Times New Roman" w:hAnsi="Times New Roman" w:eastAsia="方正仿宋_GBK"/>
          <w:b w:val="0"/>
          <w:sz w:val="24"/>
        </w:rPr>
        <w:t xml:space="preserve">市区连续高于分档建议上限，还与共同初始容量有关。以2025年为例，1528.82 MW负荷按容载比1.7折算容量为2598.99 MVA，而共同初始容量已为2900.00 MVA，高出301.01 MVA。容量保持非减的条件下，初始设备对应当年容载比约1.90。在此基础上，弹性方案2022年将翟山变一台40 MVA主变更换为63 MVA，净增23.00 MVA，四年均保持2923.00 MVA，2025年容载比为1.91。初始容量与新增补强分别贡献了超出分档建议上限的主要部分和增量部分。翟山变更换后，在最大80 MVA主变停运时保留63 MVA容量，并结合既有转供满足本次工况约束。这项设备补强与既定初始容量应分别解释。</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两地区刚性可行方案费用现值合计21787.83万元，弹性为16248.62万元，减少5539.21万元，降幅约25%。</w:t>
      </w:r>
    </w:p>
    <w:p>
      <w:pPr>
        <w:pStyle w:val="2"/>
        <w:keepNext/>
        <w:spacing w:line="280" w:lineRule="exact" w:before="120" w:after="80"/>
        <w:ind w:firstLine="0"/>
        <w:jc w:val="center"/>
      </w:pPr>
      <w:r>
        <w:rPr>
          <w:rFonts w:ascii="Times New Roman" w:hAnsi="Times New Roman" w:eastAsia="宋体"/>
          <w:b w:val="0"/>
          <w:sz w:val="21"/>
        </w:rPr>
        <w:t xml:space="preserve">表5-9 两地区方案费用比较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19196.06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14801.99</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2591.77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1446.64</w:t>
            </w:r>
          </w:p>
        </w:tc>
      </w:tr>
    </w:tbl>
    <w:p>
      <w:pPr>
        <w:pStyle w:val="2"/>
        <w:keepNext/>
        <w:spacing w:line="280" w:lineRule="exact" w:before="120" w:after="80"/>
        <w:ind w:firstLine="0"/>
        <w:jc w:val="center"/>
      </w:pPr>
      <w:r>
        <w:rPr>
          <w:rFonts w:ascii="Times New Roman" w:hAnsi="Times New Roman" w:eastAsia="宋体"/>
          <w:b w:val="0"/>
          <w:sz w:val="21"/>
        </w:rPr>
        <w:t xml:space="preserve">表5-10 2025年在役措施及累计建设规模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1704.00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14261"/>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51426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232012"/>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23201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两地区均从共同压缩起点开展规划回算，首年必要补强计入建设投资，既有转供受逐站资料上限约束，新增联络按地区电缆长度占比计价。在这些相同条件下，比较通过全部静态工况校核的具体可行方案费用。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11340.87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5645.80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2209.38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19196.06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12279.95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738.62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1783.42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14801.99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2591.77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1446.64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1446.64</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主变费用现值增加939.08万元，储能和联络分别减少4907.19万元、425.97万元，合计减少4394.07万元。首年较充分的主变补强降低了后续配储需求，储能费用减少是该地区费用差的主要来源。2024年弹性方案进一步补强八义集，主变总容量较刚性多11.50 MVA，站内容量分配与配套措施的时序共同形成费用差。</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以1446.64万元主变费用现值替代刚性方案2591.77万元联络费用，合计减少1145.13万元。既有转供在两类方案中均提供支援，费用优势来自新增补强方式的不同。两地区合计降幅由上述分项变化形成，区域容量变化与费用变化分别按设备及工程项目解释。</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该项支出较多。邳州弹性方案增加主变费用，同时减少储能和联络费用，储能节省构成该地区合计费用下降的主要部分；市区新增主变费用由减少新增联络费用抵消。把各措施费用逐项相加，才能将总体经济结果落实到所采用的工程组合。两地区合计降幅采用具体可行方案的实际费用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邳州配储差异集中在少数局部站点。兴塘变两类方案的储能额定能量分别为25.16 MWh、1.72 MWh，削减量约占全地区储能减少量的58%；邳城变储能也明显减少，而二庙变在弹性方案中配置少量储能。区域配储总量下降的同时，补充支撑的位置仍随主变与网络组合调整。下图列出至少一类方案配置储能的站点，与后续逐站工况分析共同解释储能变化的空间来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838388"/>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83838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邳州2025年储能额定能量的站点分布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逐站表格列示区域正向峰值和最低净负荷两个代表工况的转接量，完整校核同时覆盖各站局部极值截面。主变N-1按本站最大单台容量扣除，健康邻站保留正常可用容量，转供使用已投运线路。</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列示两类方案的四年设备状态及区域正向峰值正常转接，随后结合2025年两代表工况和四年中本站绝对功率最大的校核工况，解释主变N-1后的站间支援。表中储能均为在役额定功率，正向支撑能力另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MVA，弹性方案2024年20 MVA更换为31.5 MVA，供电任务由主变及网络承担。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2025年本站最大正向、反向净负荷分别为37.23 MW、19.12 MW。在同一需求下，刚性方案当年主变容量为70.00 MVA、储能额定功率0.60 MW，弹性方案分别为81.50 MVA和0.00 MW，弹性方案本站增加11.50 MVA容量。弹性方案按当年各站局部极值计算的站级负载率为48%。</w:t>
      </w:r>
    </w:p>
    <w:p>
      <w:pPr>
        <w:pStyle w:val="2"/>
        <w:keepNext/>
        <w:spacing w:line="280" w:lineRule="exact" w:before="120" w:after="80"/>
        <w:ind w:firstLine="0"/>
        <w:jc w:val="center"/>
      </w:pPr>
      <w:r>
        <w:rPr>
          <w:rFonts w:ascii="Times New Roman" w:hAnsi="Times New Roman" w:eastAsia="宋体"/>
          <w:b w:val="0"/>
          <w:sz w:val="21"/>
        </w:rPr>
        <w:t xml:space="preserve">表5-13 八义集变年度配置与正向峰值正常转接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MW，转接后净负荷为30.29 MW，区域最低净负荷工况下为-6.39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MVA，两代表工况重新转供后的本站净负荷分别为29.93 MW、-6.39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四年校核截面中，本站绝对功率最大的工况出现在2025年，转接前为37.23 MW，主要表现为正向受电需求，该年设备在最大单台主变N-1后剩余容量为31.50 MVA。故障方式下本站转出7.30 MW、承接0.00 MW，其中与土山变之间的主要转出功率为7.30 MW，转接后净负荷为29.93 MW。这一工况通过邻站分担本站故障后的正向负荷。</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2025年本站最大正向、反向净负荷分别为69.44 MW、31.77 MW。在同一需求下，刚性方案当年主变容量为103.00 MVA、储能额定功率0.00 MW，弹性方案分别为103.00 MVA和0.00 MW，两类方案本站主变总容量相同。弹性方案按当年各站局部极值计算的站级负载率为71%。</w:t>
      </w:r>
    </w:p>
    <w:p>
      <w:pPr>
        <w:pStyle w:val="2"/>
        <w:keepNext/>
        <w:spacing w:line="280" w:lineRule="exact" w:before="120" w:after="80"/>
        <w:ind w:firstLine="0"/>
        <w:jc w:val="center"/>
      </w:pPr>
      <w:r>
        <w:rPr>
          <w:rFonts w:ascii="Times New Roman" w:hAnsi="Times New Roman" w:eastAsia="宋体"/>
          <w:b w:val="0"/>
          <w:sz w:val="21"/>
        </w:rPr>
        <w:t xml:space="preserve">表5-14 大宋变年度配置与正向峰值正常转接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MW，转接后净负荷为69.44 MW，区域最低净负荷工况下为-31.77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MW、-31.77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四年校核截面中，本站绝对功率最大的工况出现在2025年，转接前为69.44 MW，主要表现为正向受电需求，该年设备在最大单台主变N-1后剩余容量为40.00 MVA。故障方式下本站转出31.44 MW、承接0.00 MW，其中与宿羊山变之间的主要转出功率为12.15 MW，转接后净负荷为38.00 MW。这一工况通过邻站分担本站故障后的正向负荷。</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2025年本站最大正向、反向净负荷分别为30.30 MW、24.46 MW。在同一需求下，刚性方案当年主变容量为70.00 MVA、储能额定功率0.00 MW，弹性方案分别为70.00 MVA和0.00 MW，两类方案本站主变总容量相同。弹性方案按当年各站局部极值计算的站级负载率为46%。</w:t>
      </w:r>
    </w:p>
    <w:p>
      <w:pPr>
        <w:pStyle w:val="2"/>
        <w:keepNext/>
        <w:spacing w:line="280" w:lineRule="exact" w:before="120" w:after="80"/>
        <w:ind w:firstLine="0"/>
        <w:jc w:val="center"/>
      </w:pPr>
      <w:r>
        <w:rPr>
          <w:rFonts w:ascii="Times New Roman" w:hAnsi="Times New Roman" w:eastAsia="宋体"/>
          <w:b w:val="0"/>
          <w:sz w:val="21"/>
        </w:rPr>
        <w:t xml:space="preserve">表5-15 戴圩变年度配置与正向峰值正常转接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MW，转接后净负荷为27.34 MW，区域最低净负荷工况下为-24.10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MW、-19.00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四年校核截面中，本站绝对功率最大的工况出现在2025年，转接前为30.30 MW，主要表现为正向受电需求，该年设备在最大单台主变N-1后剩余容量为20.00 MVA。故障方式下本站转出11.30 MW、承接0.00 MW，其中与邳城变之间的主要转出功率为8.31 MW，转接后净负荷为19.00 MW。这一工况通过邻站分担本站故障后的正向负荷。</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该站初始主变组合为20+31.5 MVA，弹性方案2022年20 MVA更换为50 MVA，31.5 MVA更换为50 MVA，供电任务由主变及网络承担。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2025年本站最大正向、反向净负荷分别为30.59 MW、47.47 MW。在同一需求下，刚性方案当年主变容量为100.00 MVA、储能额定功率0.00 MW，弹性方案分别为100.00 MVA和0.00 MW，两类方案本站主变总容量相同。弹性方案按当年各站局部极值计算的站级负载率为50%。</w:t>
      </w:r>
    </w:p>
    <w:p>
      <w:pPr>
        <w:pStyle w:val="2"/>
        <w:keepNext/>
        <w:spacing w:line="280" w:lineRule="exact" w:before="120" w:after="80"/>
        <w:ind w:firstLine="0"/>
        <w:jc w:val="center"/>
      </w:pPr>
      <w:r>
        <w:rPr>
          <w:rFonts w:ascii="Times New Roman" w:hAnsi="Times New Roman" w:eastAsia="宋体"/>
          <w:b w:val="0"/>
          <w:sz w:val="21"/>
        </w:rPr>
        <w:t xml:space="preserve">表5-16 戴庄变年度配置与正向峰值正常转接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MW，转接后净负荷为30.59 MW，区域最低净负荷工况下为-46.10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MVA，两代表工况重新转供后的本站净负荷分别为30.59 MW、-46.10 MW，两方向最小容量余量为1.40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四年校核截面中，本站绝对功率最大的工况出现在2025年，转接前为-47.47 MW，主要表现为反向输送需求，该年设备在最大单台主变N-1后剩余容量为50.00 MVA。该工况本站由剩余主变满足承载要求。</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2025年本站最大正向、反向净负荷分别为92.06 MW、18.13 MW。在同一需求下，刚性方案当年主变容量为80.00 MVA、储能额定功率0.00 MW，弹性方案分别为80.00 MVA和0.00 MW，两类方案本站主变总容量相同。弹性方案按当年各站局部极值计算的站级负载率为121%。</w:t>
      </w:r>
    </w:p>
    <w:p>
      <w:pPr>
        <w:pStyle w:val="2"/>
        <w:keepNext/>
        <w:spacing w:line="280" w:lineRule="exact" w:before="120" w:after="80"/>
        <w:ind w:firstLine="0"/>
        <w:jc w:val="center"/>
      </w:pPr>
      <w:r>
        <w:rPr>
          <w:rFonts w:ascii="Times New Roman" w:hAnsi="Times New Roman" w:eastAsia="宋体"/>
          <w:b w:val="0"/>
          <w:sz w:val="21"/>
        </w:rPr>
        <w:t xml:space="preserve">表5-17 杜村变年度配置与正向峰值正常转接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2025年区域正向峰值正常工况下，本站转出7.65 MW、承接0.00 MW，转接后净负荷为76.00 MW，区域最低净负荷工况下为1.66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MW、1.66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四年校核截面中，本站绝对功率最大的工况出现在2025年，转接前为92.06 MW，主要表现为正向受电需求，该年设备在最大单台主变N-1后剩余容量为40.00 MVA。故障方式下本站转出54.06 MW、承接0.00 MW，其中与吴闸变之间的主要转出功率为17.47 MW，转接后净负荷为38.00 MW。这一工况通过邻站分担本站故障后的正向负荷。</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2025年本站最大正向、反向净负荷分别为59.52 MW、35.45 MW。在同一需求下，刚性方案当年主变容量为70.00 MVA、储能额定功率0.00 MW，弹性方案分别为70.00 MVA和0.00 MW，两类方案本站主变总容量相同。弹性方案按当年各站局部极值计算的站级负载率为90%。</w:t>
      </w:r>
    </w:p>
    <w:p>
      <w:pPr>
        <w:pStyle w:val="2"/>
        <w:keepNext/>
        <w:spacing w:line="280" w:lineRule="exact" w:before="120" w:after="80"/>
        <w:ind w:firstLine="0"/>
        <w:jc w:val="center"/>
      </w:pPr>
      <w:r>
        <w:rPr>
          <w:rFonts w:ascii="Times New Roman" w:hAnsi="Times New Roman" w:eastAsia="宋体"/>
          <w:b w:val="0"/>
          <w:sz w:val="21"/>
        </w:rPr>
        <w:t xml:space="preserve">表5-18 墩集变年度配置与正向峰值正常转接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43.81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43.81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MW，转接后净负荷为55.05 MW，区域最低净负荷工况下为-35.45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MW、-19.00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四年校核截面中，本站绝对功率最大的工况出现在2025年，转接前为59.52 MW，主要表现为正向受电需求，该年设备在最大单台主变N-1后剩余容量为20.00 MVA。故障方式下本站转出40.52 MW、承接0.00 MW，其中与议堂变之间的主要转出功率为12.49 MW，转接后净负荷为19.00 MW。这一工况通过邻站分担本站故障后的正向负荷。</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该站初始主变组合为31.5+80 MVA，弹性方案四年均保留该组合，并于2025年新增0.40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2025年本站最大正向、反向净负荷分别为103.56 MW、0.00 MW。在同一需求下，刚性方案当年主变容量为111.50 MVA、储能额定功率0.00 MW，弹性方案分别为111.50 MVA和0.40 MW，两类方案本站主变总容量相同。弹性方案按当年各站局部极值计算的站级负载率为98%。</w:t>
      </w:r>
    </w:p>
    <w:p>
      <w:pPr>
        <w:pStyle w:val="2"/>
        <w:keepNext/>
        <w:spacing w:line="280" w:lineRule="exact" w:before="120" w:after="80"/>
        <w:ind w:firstLine="0"/>
        <w:jc w:val="center"/>
      </w:pPr>
      <w:r>
        <w:rPr>
          <w:rFonts w:ascii="Times New Roman" w:hAnsi="Times New Roman" w:eastAsia="宋体"/>
          <w:b w:val="0"/>
          <w:sz w:val="21"/>
        </w:rPr>
        <w:t xml:space="preserve">表5-19 二庙变年度配置与正向峰值正常转接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MW，转接后净负荷为89.75 MW，区域最低净负荷工况下为31.86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MVA，两代表工况重新转供后的本站净负荷分别为30.25 MW、30.25 MW，两方向最小容量余量为0.00 MW，正向储能有效支撑功率为0.33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四年校核截面中，本站绝对功率最大的工况出现在2025年，转接前为103.56 MW，主要表现为正向受电需求，该年设备在最大单台主变N-1后剩余容量为31.50 MVA。故障方式下本站转出73.31 MW、承接0.00 MW，其中与河湾变之间的主要转出功率为19.38 MW，转接后净负荷为30.25 MW。这一工况通过邻站分担本站故障后的正向负荷。</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该站初始主变组合为31.5+40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2025年本站最大正向、反向净负荷分别为39.89 MW、29.68 MW。在同一需求下，刚性方案当年主变容量为71.50 MVA、储能额定功率0.00 MW，弹性方案分别为71.50 MVA和0.00 MW，两类方案本站主变总容量相同。弹性方案按当年各站局部极值计算的站级负载率为59%。</w:t>
      </w:r>
    </w:p>
    <w:p>
      <w:pPr>
        <w:pStyle w:val="2"/>
        <w:keepNext/>
        <w:spacing w:line="280" w:lineRule="exact" w:before="120" w:after="80"/>
        <w:ind w:firstLine="0"/>
        <w:jc w:val="center"/>
      </w:pPr>
      <w:r>
        <w:rPr>
          <w:rFonts w:ascii="Times New Roman" w:hAnsi="Times New Roman" w:eastAsia="宋体"/>
          <w:b w:val="0"/>
          <w:sz w:val="21"/>
        </w:rPr>
        <w:t xml:space="preserve">表5-20 坊上变年度配置与正向峰值正常转接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MW，转接后净负荷为37.87 MW，区域最低净负荷工况下为-29.68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MVA，两代表工况重新转供后的本站净负荷分别为29.93 MW、-29.68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四年校核截面中，本站绝对功率最大的工况出现在2025年，转接前为39.89 MW，主要表现为正向受电需求，该年设备在最大单台主变N-1后剩余容量为31.50 MVA。故障方式下本站转出9.96 MW、承接0.00 MW，其中与戴圩变之间的主要转出功率为9.91 MW，转接后净负荷为29.93 MW。这一工况通过邻站分担本站故障后的正向负荷。</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MVA，弹性方案2022年20 MVA更换为31.5 MVA，供电任务由主变及网络承担。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2025年本站最大正向、反向净负荷分别为27.54 MW、27.00 MW。在同一需求下，刚性方案当年主变容量为81.50 MVA、储能额定功率0.00 MW，弹性方案分别为81.50 MVA和0.00 MW，两类方案本站主变总容量相同。弹性方案按当年各站局部极值计算的站级负载率为36%。</w:t>
      </w:r>
    </w:p>
    <w:p>
      <w:pPr>
        <w:pStyle w:val="2"/>
        <w:keepNext/>
        <w:spacing w:line="280" w:lineRule="exact" w:before="120" w:after="80"/>
        <w:ind w:firstLine="0"/>
        <w:jc w:val="center"/>
      </w:pPr>
      <w:r>
        <w:rPr>
          <w:rFonts w:ascii="Times New Roman" w:hAnsi="Times New Roman" w:eastAsia="宋体"/>
          <w:b w:val="0"/>
          <w:sz w:val="21"/>
        </w:rPr>
        <w:t xml:space="preserve">表5-21 富山变年度配置与正向峰值正常转接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MW，转接后净负荷为26.59 MW，区域最低净负荷工况下为-19.32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MVA，两代表工况重新转供后的本站净负荷分别为26.59 MW、-19.32 MW，两方向最小容量余量为3.33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四年校核截面中，本站绝对功率最大的工况出现在2025年，转接前为27.54 MW，主要表现为正向受电需求，该年设备在最大单台主变N-1后剩余容量为31.50 MVA。该工况本站由剩余主变满足承载要求。</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该站初始主变组合为20+80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2025年本站最大正向、反向净负荷分别为73.11 MW、4.58 MW。在同一需求下，刚性方案当年主变容量为100.00 MVA、储能额定功率0.00 MW，弹性方案分别为100.00 MVA和0.00 MW，两类方案本站主变总容量相同。弹性方案按当年各站局部极值计算的站级负载率为77%。</w:t>
      </w:r>
    </w:p>
    <w:p>
      <w:pPr>
        <w:pStyle w:val="2"/>
        <w:keepNext/>
        <w:spacing w:line="280" w:lineRule="exact" w:before="120" w:after="80"/>
        <w:ind w:firstLine="0"/>
        <w:jc w:val="center"/>
      </w:pPr>
      <w:r>
        <w:rPr>
          <w:rFonts w:ascii="Times New Roman" w:hAnsi="Times New Roman" w:eastAsia="宋体"/>
          <w:b w:val="0"/>
          <w:sz w:val="21"/>
        </w:rPr>
        <w:t xml:space="preserve">表5-22 河湾变年度配置与正向峰值正常转接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56.74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56.74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64.30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MW，转接后净负荷为71.29 MW，区域最低净负荷工况下为-3.50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MW、-3.50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四年校核截面中，本站绝对功率最大的工况出现在2025年，转接前为73.11 MW，主要表现为正向受电需求，该年设备在最大单台主变N-1后剩余容量为20.00 MVA。故障方式下本站转出54.11 MW、承接0.00 MW，其中与邳州变之间的主要转出功率为13.05 MW，转接后净负荷为19.00 MW。这一工况通过邻站分担本站故障后的正向负荷。</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MVA，弹性方案2022年20 MVA更换为31.5 MVA，并于2025年新增1.10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2025年本站最大正向、反向净负荷分别为22.90 MW、30.97 MW。在同一需求下，刚性方案当年主变容量为81.50 MVA、储能额定功率7.80 MW，弹性方案分别为81.50 MVA和1.10 MW，两类方案本站主变总容量相同。弹性方案按当年各站局部极值计算的站级负载率为40%。</w:t>
      </w:r>
    </w:p>
    <w:p>
      <w:pPr>
        <w:pStyle w:val="2"/>
        <w:keepNext/>
        <w:spacing w:line="280" w:lineRule="exact" w:before="120" w:after="80"/>
        <w:ind w:firstLine="0"/>
        <w:jc w:val="center"/>
      </w:pPr>
      <w:r>
        <w:rPr>
          <w:rFonts w:ascii="Times New Roman" w:hAnsi="Times New Roman" w:eastAsia="宋体"/>
          <w:b w:val="0"/>
          <w:sz w:val="21"/>
        </w:rPr>
        <w:t xml:space="preserve">表5-23 邳城变年度配置与正向峰值正常转接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MW，转接后净负荷为22.90 MW，区域最低净负荷工况下为-28.74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MVA，两代表工况重新转供后的本站净负荷分别为22.90 MW、-28.74 MW，两方向最小容量余量为2.28 MW，正向储能有效支撑功率为0.90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四年校核截面中，本站绝对功率最大的工况出现在2025年，转接前为-30.97 MW，主要表现为反向输送需求，该年设备在最大单台主变N-1后剩余容量为31.50 MVA。该工况本站未发生站间转接，储能相应方向有效支撑1.10 MW，与剩余主变共同满足承载要求。</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该站初始主变组合为31.5+80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2025年本站最大正向、反向净负荷分别为69.39 MW、0.00 MW。在同一需求下，刚性方案当年主变容量为111.50 MVA、储能额定功率0.00 MW，弹性方案分别为111.50 MVA和0.00 MW，两类方案本站主变总容量相同。弹性方案按当年各站局部极值计算的站级负载率为66%。</w:t>
      </w:r>
    </w:p>
    <w:p>
      <w:pPr>
        <w:pStyle w:val="2"/>
        <w:keepNext/>
        <w:spacing w:line="280" w:lineRule="exact" w:before="120" w:after="80"/>
        <w:ind w:firstLine="0"/>
        <w:jc w:val="center"/>
      </w:pPr>
      <w:r>
        <w:rPr>
          <w:rFonts w:ascii="Times New Roman" w:hAnsi="Times New Roman" w:eastAsia="宋体"/>
          <w:b w:val="0"/>
          <w:sz w:val="21"/>
        </w:rPr>
        <w:t xml:space="preserve">表5-24 邳州变年度配置与正向峰值正常转接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MW，转接后净负荷为67.97 MW，区域最低净负荷工况下为11.99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MVA，两代表工况重新转供后的本站净负荷分别为29.93 MW、11.99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四年校核截面中，本站绝对功率最大的工况出现在2025年，转接前为69.39 MW，主要表现为正向受电需求，该年设备在最大单台主变N-1后剩余容量为31.50 MVA。故障方式下本站转出39.46 MW、承接0.00 MW，其中与二庙变之间的主要转出功率为11.23 MW，转接后净负荷为29.93 MW。这一工况通过邻站分担本站故障后的正向负荷。</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该站初始主变组合为31.5+40 MVA，弹性方案四年均保留该组合，并于2025年新增1.10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2025年本站最大正向、反向净负荷分别为61.43 MW、30.80 MW。在同一需求下，刚性方案当年主变容量为71.50 MVA、储能额定功率1.10 MW，弹性方案分别为71.50 MVA和1.10 MW，两类方案本站主变总容量相同。弹性方案按当年各站局部极值计算的站级负载率为90%。</w:t>
      </w:r>
    </w:p>
    <w:p>
      <w:pPr>
        <w:pStyle w:val="2"/>
        <w:keepNext/>
        <w:spacing w:line="280" w:lineRule="exact" w:before="120" w:after="80"/>
        <w:ind w:firstLine="0"/>
        <w:jc w:val="center"/>
      </w:pPr>
      <w:r>
        <w:rPr>
          <w:rFonts w:ascii="Times New Roman" w:hAnsi="Times New Roman" w:eastAsia="宋体"/>
          <w:b w:val="0"/>
          <w:sz w:val="21"/>
        </w:rPr>
        <w:t xml:space="preserve">表5-25 宿羊山变年度配置与正向峰值正常转接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52.99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52.99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MW，转接后净负荷为61.43 MW，区域最低净负荷工况下为-22.13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MVA，两代表工况重新转供后的本站净负荷分别为30.82 MW、-22.13 MW，两方向最小容量余量为0.00 MW，正向储能有效支撑功率为0.90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四年校核截面中，本站绝对功率最大的工况出现在2025年，转接前为61.43 MW，主要表现为正向受电需求，该年设备在最大单台主变N-1后剩余容量为31.50 MVA。故障方式下本站转出30.60 MW、承接0.00 MW，其中与大宋变之间的主要转出功率为25.18 MW，转接后净负荷为30.82 MW。这一工况通过邻站分担本站故障后的正向负荷。</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该站初始主变组合为31.5+40 MVA，弹性方案2022年31.5 MVA更换为63 MVA，40 MVA更换为63 MVA，供电任务由主变及网络承担。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2025年本站最大正向、反向净负荷分别为84.82 MW、57.21 MW。在同一需求下，刚性方案当年主变容量为126.00 MVA、储能额定功率0.00 MW，弹性方案分别为126.00 MVA和0.00 MW，两类方案本站主变总容量相同。弹性方案按当年各站局部极值计算的站级负载率为71%。</w:t>
      </w:r>
    </w:p>
    <w:p>
      <w:pPr>
        <w:pStyle w:val="2"/>
        <w:keepNext/>
        <w:spacing w:line="280" w:lineRule="exact" w:before="120" w:after="80"/>
        <w:ind w:firstLine="0"/>
        <w:jc w:val="center"/>
      </w:pPr>
      <w:r>
        <w:rPr>
          <w:rFonts w:ascii="Times New Roman" w:hAnsi="Times New Roman" w:eastAsia="宋体"/>
          <w:b w:val="0"/>
          <w:sz w:val="21"/>
        </w:rPr>
        <w:t xml:space="preserve">表5-26 铁富变年度配置与正向峰值正常转接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MW，转接后净负荷为82.17 MW，区域最低净负荷工况下为-52.21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MW、-52.21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四年校核截面中，本站绝对功率最大的工况出现在2025年，转接前为84.82 MW，主要表现为正向受电需求，该年设备在最大单台主变N-1后剩余容量为63.00 MVA。故障方式下本站转出24.97 MW、承接0.00 MW，其中与汶河变之间的主要转出功率为8.27 MW，转接后净负荷为59.85 MW。这一工况通过邻站分担本站故障后的正向负荷。</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MVA，弹性方案2022年20 MVA更换为50 MVA，供电任务由主变及网络承担。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2025年本站最大正向、反向净负荷分别为39.87 MW、37.65 MW。在同一需求下，刚性方案当年主变容量为100.00 MVA、储能额定功率0.00 MW，弹性方案分别为100.00 MVA和0.00 MW，两类方案本站主变总容量相同。弹性方案按当年各站局部极值计算的站级负载率为42%。</w:t>
      </w:r>
    </w:p>
    <w:p>
      <w:pPr>
        <w:pStyle w:val="2"/>
        <w:keepNext/>
        <w:spacing w:line="280" w:lineRule="exact" w:before="120" w:after="80"/>
        <w:ind w:firstLine="0"/>
        <w:jc w:val="center"/>
      </w:pPr>
      <w:r>
        <w:rPr>
          <w:rFonts w:ascii="Times New Roman" w:hAnsi="Times New Roman" w:eastAsia="宋体"/>
          <w:b w:val="0"/>
          <w:sz w:val="21"/>
        </w:rPr>
        <w:t xml:space="preserve">表5-27 土山变年度配置与正向峰值正常转接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MW，转接后净负荷为39.87 MW，区域最低净负荷工况下为-36.41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MVA，两代表工况重新转供后的本站净负荷分别为39.87 MW、-36.41 MW，两方向最小容量余量为7.63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四年校核截面中，本站绝对功率最大的工况出现在2025年，转接前为39.87 MW，主要表现为正向受电需求，该年设备在最大单台主变N-1后剩余容量为50.00 MVA。该工况本站由剩余主变满足承载要求。</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该站初始主变组合为20+31.5 MVA，弹性方案2022年20 MVA更换为31.5 MVA，供电任务由主变及网络承担。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2025年本站最大正向、反向净负荷分别为25.93 MW、28.94 MW。在同一需求下，刚性方案当年主变容量为63.00 MVA、储能额定功率0.00 MW，弹性方案分别为63.00 MVA和0.00 MW，两类方案本站主变总容量相同。弹性方案按当年各站局部极值计算的站级负载率为48%。</w:t>
      </w:r>
    </w:p>
    <w:p>
      <w:pPr>
        <w:pStyle w:val="2"/>
        <w:keepNext/>
        <w:spacing w:line="280" w:lineRule="exact" w:before="120" w:after="80"/>
        <w:ind w:firstLine="0"/>
        <w:jc w:val="center"/>
      </w:pPr>
      <w:r>
        <w:rPr>
          <w:rFonts w:ascii="Times New Roman" w:hAnsi="Times New Roman" w:eastAsia="宋体"/>
          <w:b w:val="0"/>
          <w:sz w:val="21"/>
        </w:rPr>
        <w:t xml:space="preserve">表5-28 汶河变年度配置与正向峰值正常转接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22.81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22.81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MW，转接后净负荷为22.81 MW，区域最低净负荷工况下为-27.24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MVA，两代表工况重新转供后的本站净负荷分别为22.81 MW、-27.24 MW，两方向最小容量余量为2.69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四年校核截面中，本站绝对功率最大的工况出现在2025年，转接前为-28.94 MW，主要表现为反向输送需求，该年设备在最大单台主变N-1后剩余容量为31.50 MVA。该工况本站由剩余主变满足承载要求。</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2025年本站最大正向、反向净负荷分别为50.21 MW、0.00 MW。在同一需求下，刚性方案当年主变容量为70.00 MVA、储能额定功率0.00 MW，弹性方案分别为70.00 MVA和0.00 MW，两类方案本站主变总容量相同。弹性方案按当年各站局部极值计算的站级负载率为76%。</w:t>
      </w:r>
    </w:p>
    <w:p>
      <w:pPr>
        <w:pStyle w:val="2"/>
        <w:keepNext/>
        <w:spacing w:line="280" w:lineRule="exact" w:before="120" w:after="80"/>
        <w:ind w:firstLine="0"/>
        <w:jc w:val="center"/>
      </w:pPr>
      <w:r>
        <w:rPr>
          <w:rFonts w:ascii="Times New Roman" w:hAnsi="Times New Roman" w:eastAsia="宋体"/>
          <w:b w:val="0"/>
          <w:sz w:val="21"/>
        </w:rPr>
        <w:t xml:space="preserve">表5-29 吴闸变年度配置与正向峰值正常转接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MW，转接后净负荷为48.18 MW，区域最低净负荷工况下为2.19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MW、2.19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四年校核截面中，本站绝对功率最大的工况出现在2025年，转接前为50.21 MW，主要表现为正向受电需求，该年设备在最大单台主变N-1后剩余容量为20.00 MVA。故障方式下本站转出31.21 MW、承接0.00 MW，其中与二庙变之间的主要转出功率为15.19 MW，转接后净负荷为19.00 MW。这一工况通过邻站分担本站故障后的正向负荷。</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该站初始主变组合为20+20 MVA，弹性方案2022年扩建第三台50 MVA主变，供电任务由主变及网络承担。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2025年本站最大正向、反向净负荷分别为19.20 MW、35.38 MW。在同一需求下，刚性方案当年主变容量为113.00 MVA、储能额定功率1.10 MW，弹性方案分别为90.00 MVA和0.00 MW，弹性方案本站容量减少23.00 MVA。弹性方案按当年各站局部极值计算的站级负载率为41%。</w:t>
      </w:r>
    </w:p>
    <w:p>
      <w:pPr>
        <w:pStyle w:val="2"/>
        <w:keepNext/>
        <w:spacing w:line="280" w:lineRule="exact" w:before="120" w:after="80"/>
        <w:ind w:firstLine="0"/>
        <w:jc w:val="center"/>
      </w:pPr>
      <w:r>
        <w:rPr>
          <w:rFonts w:ascii="Times New Roman" w:hAnsi="Times New Roman" w:eastAsia="宋体"/>
          <w:b w:val="0"/>
          <w:sz w:val="21"/>
        </w:rPr>
        <w:t xml:space="preserve">表5-30 邢楼变年度配置与正向峰值正常转接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MW，转接后净负荷为15.68 MW，区域最低净负荷工况下为-29.65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MVA，两代表工况重新转供后的本站净负荷分别为15.68 MW、-29.65 MW，两方向最小容量余量为8.35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四年校核截面中，本站绝对功率最大的工况出现在2025年，转接前为-35.38 MW，主要表现为反向输送需求，该年设备在最大单台主变N-1后剩余容量为40.00 MVA。该工况本站由剩余主变满足承载要求。</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该站初始主变组合为20+20 MVA，弹性方案2022年20 MVA更换为31.5 MVA，20 MVA更换为31.5 MVA，并于2025年新增0.80 MW储能。</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2025年本站最大正向、反向净负荷分别为39.15 MW、30.66 MW。在同一需求下，刚性方案当年主变容量为40.00 MVA、储能额定功率11.70 MW，弹性方案分别为63.00 MVA和0.80 MW，弹性方案本站增加23.00 MVA容量。弹性方案按当年各站局部极值计算的站级负载率为65%。</w:t>
      </w:r>
    </w:p>
    <w:p>
      <w:pPr>
        <w:pStyle w:val="2"/>
        <w:keepNext/>
        <w:spacing w:line="280" w:lineRule="exact" w:before="120" w:after="80"/>
        <w:ind w:firstLine="0"/>
        <w:jc w:val="center"/>
      </w:pPr>
      <w:r>
        <w:rPr>
          <w:rFonts w:ascii="Times New Roman" w:hAnsi="Times New Roman" w:eastAsia="宋体"/>
          <w:b w:val="0"/>
          <w:sz w:val="21"/>
        </w:rPr>
        <w:t xml:space="preserve">表5-31 兴塘变年度配置与正向峰值正常转接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31.5+31.5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MW，转接后净负荷为39.15 MW，区域最低净负荷工况下为-30.66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按最大单台主变N-1校核，本站剩余容量为31.50 MVA，两代表工况重新转供后的本站净负荷分别为30.58 MW、-30.66 MW，两方向最小容量余量为0.00 MW，正向储能有效支撑功率为0.65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四年校核截面中，本站绝对功率最大的工况出现在2025年，转接前为39.15 MW，主要表现为正向受电需求，该年设备在最大单台主变N-1后剩余容量为31.50 MVA。故障方式下本站转出8.57 MW、承接0.00 MW，其中与议堂变之间的主要转出功率为4.84 MW，转接后净负荷为30.58 MW。这一工况通过邻站分担本站故障后的正向负荷。</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该站初始主变组合为20+50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2025年本站最大正向、反向净负荷分别为34.43 MW、22.89 MW。在同一需求下，刚性方案当年主变容量为70.00 MVA、储能额定功率0.00 MW，弹性方案分别为70.00 MVA和0.00 MW，两类方案本站主变总容量相同。弹性方案按当年各站局部极值计算的站级负载率为52%。</w:t>
      </w:r>
    </w:p>
    <w:p>
      <w:pPr>
        <w:pStyle w:val="2"/>
        <w:keepNext/>
        <w:spacing w:line="280" w:lineRule="exact" w:before="120" w:after="80"/>
        <w:ind w:firstLine="0"/>
        <w:jc w:val="center"/>
      </w:pPr>
      <w:r>
        <w:rPr>
          <w:rFonts w:ascii="Times New Roman" w:hAnsi="Times New Roman" w:eastAsia="宋体"/>
          <w:b w:val="0"/>
          <w:sz w:val="21"/>
        </w:rPr>
        <w:t xml:space="preserve">表5-32 议堂变年度配置与正向峰值正常转接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42.08</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MW、承接7.65 MW，转接后净负荷为42.08 MW，区域最低净负荷工况下为-21.58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按最大单台主变N-1校核，本站剩余容量为20.00 MVA，两代表工况重新转供后的本站净负荷分别为19.00 MW、-19.00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四年校核截面中，本站绝对功率最大的工况出现在2025年，转接前为34.43 MW，主要表现为正向受电需求，该年设备在最大单台主变N-1后剩余容量为20.00 MVA。故障方式下本站转出15.43 MW、承接0.00 MW，其中与河湾变之间的主要转出功率为15.43 MW，转接后净负荷为19.00 MW。这一工况通过邻站分担本站故障后的正向负荷。</w:t>
      </w:r>
    </w:p>
    <w:p>
      <w:pPr>
        <w:pStyle w:val="2"/>
        <w:widowControl/>
        <w:spacing w:line="348" w:lineRule="exact" w:before="0" w:after="0"/>
        <w:ind w:firstLine="480"/>
        <w:jc w:val="both"/>
      </w:pPr>
      <w:r>
        <w:rPr>
          <w:rFonts w:ascii="Times New Roman" w:hAnsi="Times New Roman" w:eastAsia="方正仿宋_GBK"/>
          <w:b w:val="0"/>
          <w:sz w:val="24"/>
        </w:rPr>
        <w:t xml:space="preserve">将各站初始与2025年两类方案的最大单台主变N-1剩余有功能力并列，可以观察设备补强的空间位置。部分站点两类方案的剩余能力接近，差异更多体现为配储和网络使用；另一些站点通过两台共同升档或扩建第三台提高故障后的剩余能力。图中能力只按当站主变组合及0.95功率因数折算，运行可承担负荷还应叠加相应储能和网络支援。逐站叙述中的建设差异由此能够对应到具体的供电安全能力变化。</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邳州逐站初始与2025年方案的N-1剩余主变能力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2025年本站最大正向、反向净负荷分别为32.29 MW、35.73 MW。在同一需求下，刚性方案当年主变容量为103.00 MVA、储能额定功率0.00 MW，弹性方案分别为103.00 MVA和0.00 MW，两类方案本站主变总容量相同。弹性方案按当年各站局部极值计算的站级负载率为37%。</w:t>
      </w:r>
    </w:p>
    <w:p>
      <w:pPr>
        <w:pStyle w:val="2"/>
        <w:keepNext/>
        <w:spacing w:line="280" w:lineRule="exact" w:before="120" w:after="80"/>
        <w:ind w:firstLine="0"/>
        <w:jc w:val="center"/>
      </w:pPr>
      <w:r>
        <w:rPr>
          <w:rFonts w:ascii="Times New Roman" w:hAnsi="Times New Roman" w:eastAsia="宋体"/>
          <w:b w:val="0"/>
          <w:sz w:val="21"/>
        </w:rPr>
        <w:t xml:space="preserve">表5-33 大黄山变年度配置与正向峰值正常转接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MW，转接后净负荷为30.59 MW，区域最低净负荷工况下为-32.17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MVA，两代表工况重新转供后的本站净负荷分别为30.59 MW、-32.17 MW，两方向最小容量余量为5.83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四年校核截面中，本站绝对功率最大的工况出现在2023年，转接前为-36.05 MW，主要表现为反向输送需求，该年设备在最大单台主变N-1后剩余容量为40.00 MVA。该工况本站由剩余主变满足承载要求。</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2025年本站最大正向、反向净负荷分别为70.32 MW、8.70 MW。在同一需求下，刚性方案当年主变容量为90.00 MVA、储能额定功率0.00 MW，弹性方案分别为90.00 MVA和0.00 MW，两类方案本站主变总容量相同。弹性方案按当年各站局部极值计算的站级负载率为82%。</w:t>
      </w:r>
    </w:p>
    <w:p>
      <w:pPr>
        <w:pStyle w:val="2"/>
        <w:keepNext/>
        <w:spacing w:line="280" w:lineRule="exact" w:before="120" w:after="80"/>
        <w:ind w:firstLine="0"/>
        <w:jc w:val="center"/>
      </w:pPr>
      <w:r>
        <w:rPr>
          <w:rFonts w:ascii="Times New Roman" w:hAnsi="Times New Roman" w:eastAsia="宋体"/>
          <w:b w:val="0"/>
          <w:sz w:val="21"/>
        </w:rPr>
        <w:t xml:space="preserve">表5-34 大庙变年度配置与正向峰值正常转接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65.33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65.33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MW，转接后净负荷为69.73 MW，区域最低净负荷工况下为1.68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MW、1.68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四年校核截面中，本站绝对功率最大的工况出现在2023年，转接前为70.93 MW，主要表现为正向受电需求，该年设备在最大单台主变N-1后剩余容量为40.00 MVA。故障方式下本站转出32.93 MW、承接0.00 MW，其中与龙湖变之间的主要转出功率为13.08 MW，转接后净负荷为38.00 MW。这一工况通过邻站分担本站故障后的正向负荷。</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该站初始主变组合为63+63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2025年本站最大正向、反向净负荷分别为102.93 MW、0.00 MW。在同一需求下，刚性方案当年主变容量为126.00 MVA、储能额定功率0.00 MW，弹性方案分别为126.00 MVA和0.00 MW，两类方案本站主变总容量相同。弹性方案按当年各站局部极值计算的站级负载率为86%。</w:t>
      </w:r>
    </w:p>
    <w:p>
      <w:pPr>
        <w:pStyle w:val="2"/>
        <w:keepNext/>
        <w:spacing w:line="280" w:lineRule="exact" w:before="120" w:after="80"/>
        <w:ind w:firstLine="0"/>
        <w:jc w:val="center"/>
      </w:pPr>
      <w:r>
        <w:rPr>
          <w:rFonts w:ascii="Times New Roman" w:hAnsi="Times New Roman" w:eastAsia="宋体"/>
          <w:b w:val="0"/>
          <w:sz w:val="21"/>
        </w:rPr>
        <w:t xml:space="preserve">表5-35 堤北变年度配置与正向峰值正常转接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94.14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95.25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MW，转接后净负荷为100.47 MW，区域最低净负荷工况下为32.89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MW、32.89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四年校核截面中，本站绝对功率最大的工况出现在2023年，转接前为103.83 MW，主要表现为正向受电需求，该年设备在最大单台主变N-1后剩余容量为63.00 MVA。故障方式下本站转出43.98 MW、承接0.00 MW，其中与彭场变之间的主要转出功率为25.50 MW，转接后净负荷为59.85 MW。这一工况通过邻站分担本站故障后的正向负荷。</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该站初始主变组合为40+80 MVA，弹性方案2022年40 MVA更换为63 MVA，供电任务由主变及网络承担。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2025年本站最大正向、反向净负荷分别为95.63 MW、0.00 MW。在同一需求下，刚性方案当年主变容量为120.00 MVA、储能额定功率0.00 MW，弹性方案分别为143.00 MVA和0.00 MW，弹性方案本站增加23.00 MVA容量。弹性方案按当年各站局部极值计算的站级负载率为70%。</w:t>
      </w:r>
    </w:p>
    <w:p>
      <w:pPr>
        <w:pStyle w:val="2"/>
        <w:keepNext/>
        <w:spacing w:line="280" w:lineRule="exact" w:before="120" w:after="80"/>
        <w:ind w:firstLine="0"/>
        <w:jc w:val="center"/>
      </w:pPr>
      <w:r>
        <w:rPr>
          <w:rFonts w:ascii="Times New Roman" w:hAnsi="Times New Roman" w:eastAsia="宋体"/>
          <w:b w:val="0"/>
          <w:sz w:val="21"/>
        </w:rPr>
        <w:t xml:space="preserve">表5-36 翟山变年度配置与正向峰值正常转接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MW，转接后净负荷为87.01 MW，区域最低净负荷工况下为26.76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MW、26.76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四年校核截面中，本站绝对功率最大的工况出现在2023年，转接前为96.46 MW，主要表现为正向受电需求，该年设备在最大单台主变N-1后剩余容量为63.00 MVA。故障方式下本站转出36.61 MW、承接0.00 MW，其中与古彭变之间的主要转出功率为27.51 MW，转接后净负荷为59.85 MW。这一工况通过邻站分担本站故障后的正向负荷。</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该站初始主变组合为50+80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2025年本站最大正向、反向净负荷分别为84.10 MW、0.00 MW。在同一需求下，刚性方案当年主变容量为130.00 MVA、储能额定功率0.00 MW，弹性方案分别为130.00 MVA和0.00 MW，两类方案本站主变总容量相同。弹性方案按当年各站局部极值计算的站级负载率为68%。</w:t>
      </w:r>
    </w:p>
    <w:p>
      <w:pPr>
        <w:pStyle w:val="2"/>
        <w:keepNext/>
        <w:spacing w:line="280" w:lineRule="exact" w:before="120" w:after="80"/>
        <w:ind w:firstLine="0"/>
        <w:jc w:val="center"/>
      </w:pPr>
      <w:r>
        <w:rPr>
          <w:rFonts w:ascii="Times New Roman" w:hAnsi="Times New Roman" w:eastAsia="宋体"/>
          <w:b w:val="0"/>
          <w:sz w:val="21"/>
        </w:rPr>
        <w:t xml:space="preserve">表5-37 古彭变年度配置与正向峰值正常转接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56.72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MW，转接后净负荷为60.03 MW，区域最低净负荷工况下为24.10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MVA，两代表工况重新转供后的本站净负荷分别为47.50 MW、24.10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四年校核截面中，本站绝对功率最大的工况出现在2023年，转接前为84.84 MW，主要表现为正向受电需求，该年设备在最大单台主变N-1后剩余容量为50.00 MVA。故障方式下本站转出37.34 MW、承接0.00 MW，其中与吴庄变之间的主要转出功率为19.58 MW，转接后净负荷为47.50 MW。这一工况通过邻站分担本站故障后的正向负荷。</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2025年本站最大正向、反向净负荷分别为63.57 MW、0.00 MW。在同一需求下，刚性方案当年主变容量为80.00 MVA、储能额定功率0.00 MW，弹性方案分别为80.00 MVA和0.00 MW，两类方案本站主变总容量相同。弹性方案按当年各站局部极值计算的站级负载率为84%。</w:t>
      </w:r>
    </w:p>
    <w:p>
      <w:pPr>
        <w:pStyle w:val="2"/>
        <w:keepNext/>
        <w:spacing w:line="280" w:lineRule="exact" w:before="120" w:after="80"/>
        <w:ind w:firstLine="0"/>
        <w:jc w:val="center"/>
      </w:pPr>
      <w:r>
        <w:rPr>
          <w:rFonts w:ascii="Times New Roman" w:hAnsi="Times New Roman" w:eastAsia="宋体"/>
          <w:b w:val="0"/>
          <w:sz w:val="21"/>
        </w:rPr>
        <w:t xml:space="preserve">表5-38 花园变年度配置与正向峰值正常转接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MW，转接后净负荷为49.60 MW，区域最低净负荷工况下为19.62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MW、19.62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四年校核截面中，本站绝对功率最大的工况出现在2023年，转接前为64.13 MW，主要表现为正向受电需求，该年设备在最大单台主变N-1后剩余容量为40.00 MVA。故障方式下本站转出26.13 MW、承接0.00 MW，其中与拾屯变之间的主要转出功率为22.94 MW，转接后净负荷为38.00 MW。这一工况通过邻站分担本站故障后的正向负荷。</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2025年本站最大正向、反向净负荷分别为85.29 MW、0.00 MW。在同一需求下，刚性方案当年主变容量为103.00 MVA、储能额定功率0.00 MW，弹性方案分别为103.00 MVA和0.00 MW，两类方案本站主变总容量相同。弹性方案按当年各站局部极值计算的站级负载率为87%。</w:t>
      </w:r>
    </w:p>
    <w:p>
      <w:pPr>
        <w:pStyle w:val="2"/>
        <w:keepNext/>
        <w:spacing w:line="280" w:lineRule="exact" w:before="120" w:after="80"/>
        <w:ind w:firstLine="0"/>
        <w:jc w:val="center"/>
      </w:pPr>
      <w:r>
        <w:rPr>
          <w:rFonts w:ascii="Times New Roman" w:hAnsi="Times New Roman" w:eastAsia="宋体"/>
          <w:b w:val="0"/>
          <w:sz w:val="21"/>
        </w:rPr>
        <w:t xml:space="preserve">表5-39 惠民变年度配置与正向峰值正常转接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MW，转接后净负荷为74.38 MW，区域最低净负荷工况下为24.04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MW、24.04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四年校核截面中，本站绝对功率最大的工况出现在2023年，转接前为86.03 MW，主要表现为正向受电需求，该年设备在最大单台主变N-1后剩余容量为40.00 MVA。故障方式下本站转出48.03 MW、承接0.00 MW，其中与大庙变之间的主要转出功率为28.84 MW，转接后净负荷为38.00 MW。这一工况通过邻站分担本站故障后的正向负荷。</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2025年本站最大正向、反向净负荷分别为46.06 MW、6.81 MW。在同一需求下，刚性方案当年主变容量为80.00 MVA、储能额定功率0.00 MW，弹性方案分别为80.00 MVA和0.00 MW，两类方案本站主变总容量相同。弹性方案按当年各站局部极值计算的站级负载率为61%。</w:t>
      </w:r>
    </w:p>
    <w:p>
      <w:pPr>
        <w:pStyle w:val="2"/>
        <w:keepNext/>
        <w:spacing w:line="280" w:lineRule="exact" w:before="120" w:after="80"/>
        <w:ind w:firstLine="0"/>
        <w:jc w:val="center"/>
      </w:pPr>
      <w:r>
        <w:rPr>
          <w:rFonts w:ascii="Times New Roman" w:hAnsi="Times New Roman" w:eastAsia="宋体"/>
          <w:b w:val="0"/>
          <w:sz w:val="21"/>
        </w:rPr>
        <w:t xml:space="preserve">表5-40 夹河变年度配置与正向峰值正常转接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43.16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43.67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MW，转接后净负荷为46.06 MW，区域最低净负荷工况下为-6.81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MW、-6.81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四年校核截面中，本站绝对功率最大的工况出现在2023年，转接前为46.47 MW，主要表现为正向受电需求，该年设备在最大单台主变N-1后剩余容量为40.00 MVA。故障方式下本站转出8.47 MW、承接0.00 MW，其中与开元变之间的主要转出功率为8.47 MW，转接后净负荷为38.00 MW。这一工况通过邻站分担本站故障后的正向负荷。</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该站初始主变组合为40+63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2025年本站最大正向、反向净负荷分别为56.24 MW、0.00 MW。在同一需求下，刚性方案当年主变容量为103.00 MVA、储能额定功率0.00 MW，弹性方案分别为103.00 MVA和0.00 MW，两类方案本站主变总容量相同。弹性方案按当年各站局部极值计算的站级负载率为57%。</w:t>
      </w:r>
    </w:p>
    <w:p>
      <w:pPr>
        <w:pStyle w:val="2"/>
        <w:keepNext/>
        <w:spacing w:line="280" w:lineRule="exact" w:before="120" w:after="80"/>
        <w:ind w:firstLine="0"/>
        <w:jc w:val="center"/>
      </w:pPr>
      <w:r>
        <w:rPr>
          <w:rFonts w:ascii="Times New Roman" w:hAnsi="Times New Roman" w:eastAsia="宋体"/>
          <w:b w:val="0"/>
          <w:sz w:val="21"/>
        </w:rPr>
        <w:t xml:space="preserve">表5-41 开元变年度配置与正向峰值正常转接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55.22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64.81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64.81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MW、承接8.57 MW，转接后净负荷为64.81 MW，区域最低净负荷工况下为13.51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MW、13.51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四年校核截面中，本站绝对功率最大的工况出现在2023年，转接前为56.73 MW，主要表现为正向受电需求，该年设备在最大单台主变N-1后剩余容量为40.00 MVA。故障方式下本站转出18.73 MW、承接0.00 MW，其中与翟山变之间的主要转出功率为18.73 MW，转接后净负荷为38.00 MW。这一工况通过邻站分担本站故障后的正向负荷。</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该站初始主变组合为50+80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2025年本站最大正向、反向净负荷分别为83.73 MW、0.00 MW。在同一需求下，刚性方案当年主变容量为130.00 MVA、储能额定功率0.00 MW，弹性方案分别为130.00 MVA和0.00 MW，两类方案本站主变总容量相同。弹性方案按当年各站局部极值计算的站级负载率为68%。</w:t>
      </w:r>
    </w:p>
    <w:p>
      <w:pPr>
        <w:pStyle w:val="2"/>
        <w:keepNext/>
        <w:spacing w:line="280" w:lineRule="exact" w:before="120" w:after="80"/>
        <w:ind w:firstLine="0"/>
        <w:jc w:val="center"/>
      </w:pPr>
      <w:r>
        <w:rPr>
          <w:rFonts w:ascii="Times New Roman" w:hAnsi="Times New Roman" w:eastAsia="宋体"/>
          <w:b w:val="0"/>
          <w:sz w:val="21"/>
        </w:rPr>
        <w:t xml:space="preserve">表5-42 奎山变年度配置与正向峰值正常转接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86.99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78.52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86.99</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MW、承接15.55 MW，转接后净负荷为86.99 MW，区域最低净负荷工况下为22.48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MVA，两代表工况重新转供后的本站净负荷分别为47.50 MW、22.48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四年校核截面中，本站绝对功率最大的工况出现在2023年，转接前为84.47 MW，主要表现为正向受电需求，该年设备在最大单台主变N-1后剩余容量为50.00 MVA。故障方式下本站转出36.97 MW、承接0.00 MW，其中与升辉变之间的主要转出功率为13.08 MW，转接后净负荷为47.50 MW。这一工况通过邻站分担本站故障后的正向负荷。</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2025年本站最大正向、反向净负荷分别为71.22 MW、13.31 MW。在同一需求下，刚性方案当年主变容量为90.00 MVA、储能额定功率0.00 MW，弹性方案分别为90.00 MVA和0.00 MW，两类方案本站主变总容量相同。弹性方案按当年各站局部极值计算的站级负载率为83%。</w:t>
      </w:r>
    </w:p>
    <w:p>
      <w:pPr>
        <w:pStyle w:val="2"/>
        <w:keepNext/>
        <w:spacing w:line="280" w:lineRule="exact" w:before="120" w:after="80"/>
        <w:ind w:firstLine="0"/>
        <w:jc w:val="center"/>
      </w:pPr>
      <w:r>
        <w:rPr>
          <w:rFonts w:ascii="Times New Roman" w:hAnsi="Times New Roman" w:eastAsia="宋体"/>
          <w:b w:val="0"/>
          <w:sz w:val="21"/>
        </w:rPr>
        <w:t xml:space="preserve">表5-43 刘湾变年度配置与正向峰值正常转接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57.30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MW，转接后净负荷为60.43 MW，区域最低净负荷工况下为2.04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MW、2.04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四年校核截面中，本站绝对功率最大的工况出现在2023年，转接前为71.84 MW，主要表现为正向受电需求，该年设备在最大单台主变N-1后剩余容量为40.00 MVA。故障方式下本站转出33.84 MW、承接0.00 MW，其中与石桥变之间的主要转出功率为33.84 MW，转接后净负荷为38.00 MW。这一工况通过邻站分担本站故障后的正向负荷。</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2025年本站最大正向、反向净负荷分别为31.83 MW、0.00 MW。在同一需求下，刚性方案当年主变容量为80.00 MVA、储能额定功率0.00 MW，弹性方案分别为80.00 MVA和0.00 MW，两类方案本站主变总容量相同。弹性方案按当年各站局部极值计算的站级负载率为42%。</w:t>
      </w:r>
    </w:p>
    <w:p>
      <w:pPr>
        <w:pStyle w:val="2"/>
        <w:keepNext/>
        <w:spacing w:line="280" w:lineRule="exact" w:before="120" w:after="80"/>
        <w:ind w:firstLine="0"/>
        <w:jc w:val="center"/>
      </w:pPr>
      <w:r>
        <w:rPr>
          <w:rFonts w:ascii="Times New Roman" w:hAnsi="Times New Roman" w:eastAsia="宋体"/>
          <w:b w:val="0"/>
          <w:sz w:val="21"/>
        </w:rPr>
        <w:t xml:space="preserve">表5-44 龙湖变年度配置与正向峰值正常转接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28.78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28.78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MW，转接后净负荷为28.53 MW，区域最低净负荷工况下为9.38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MVA，两代表工况重新转供后的本站净负荷分别为28.53 MW、9.38 MW，两方向最小容量余量为9.47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四年校核截面中，本站绝对功率最大的工况出现在2023年，转接前为32.11 MW，主要表现为正向受电需求，该年设备在最大单台主变N-1后剩余容量为40.00 MVA。该工况本站由剩余主变满足承载要求。</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2025年本站最大正向、反向净负荷分别为11.20 MW、7.08 MW。在同一需求下，刚性方案当年主变容量为80.00 MVA、储能额定功率0.00 MW，弹性方案分别为80.00 MVA和0.00 MW，两类方案本站主变总容量相同。弹性方案按当年各站局部极值计算的站级负载率为15%。</w:t>
      </w:r>
    </w:p>
    <w:p>
      <w:pPr>
        <w:pStyle w:val="2"/>
        <w:keepNext/>
        <w:spacing w:line="280" w:lineRule="exact" w:before="120" w:after="80"/>
        <w:ind w:firstLine="0"/>
        <w:jc w:val="center"/>
      </w:pPr>
      <w:r>
        <w:rPr>
          <w:rFonts w:ascii="Times New Roman" w:hAnsi="Times New Roman" w:eastAsia="宋体"/>
          <w:b w:val="0"/>
          <w:sz w:val="21"/>
        </w:rPr>
        <w:t xml:space="preserve">表5-45 庞庄变年度配置与正向峰值正常转接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MW，转接后净负荷为9.50 MW，区域最低净负荷工况下为-6.87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MVA，两代表工况重新转供后的本站净负荷分别为9.50 MW、-6.87 MW，两方向最小容量余量为28.50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四年校核截面中，本站绝对功率最大的工况出现在2023年，转接前为11.30 MW，主要表现为正向受电需求，该年设备在最大单台主变N-1后剩余容量为40.00 MVA。该工况本站由剩余主变满足承载要求。</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2025年本站最大正向、反向净负荷分别为64.92 MW、0.00 MW。在同一需求下，刚性方案当年主变容量为90.00 MVA、储能额定功率0.00 MW，弹性方案分别为90.00 MVA和0.00 MW，两类方案本站主变总容量相同。弹性方案按当年各站局部极值计算的站级负载率为76%。</w:t>
      </w:r>
    </w:p>
    <w:p>
      <w:pPr>
        <w:pStyle w:val="2"/>
        <w:keepNext/>
        <w:spacing w:line="280" w:lineRule="exact" w:before="120" w:after="80"/>
        <w:ind w:firstLine="0"/>
        <w:jc w:val="center"/>
      </w:pPr>
      <w:r>
        <w:rPr>
          <w:rFonts w:ascii="Times New Roman" w:hAnsi="Times New Roman" w:eastAsia="宋体"/>
          <w:b w:val="0"/>
          <w:sz w:val="21"/>
        </w:rPr>
        <w:t xml:space="preserve">表5-46 彭场变年度配置与正向峰值正常转接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MW，转接后净负荷为55.66 MW，区域最低净负荷工况下为7.76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MW、7.76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四年校核截面中，本站绝对功率最大的工况出现在2023年，转接前为65.49 MW，主要表现为正向受电需求，该年设备在最大单台主变N-1后剩余容量为40.00 MVA。故障方式下本站转出27.49 MW、承接0.00 MW，其中与庆云桥变之间的主要转出功率为12.88 MW，转接后净负荷为38.00 MW。这一工况通过邻站分担本站故障后的正向负荷。</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2025年本站最大正向、反向净负荷分别为65.76 MW、0.00 MW。在同一需求下，刚性方案当年主变容量为80.00 MVA、储能额定功率0.00 MW，弹性方案分别为80.00 MVA和0.00 MW，两类方案本站主变总容量相同。弹性方案按当年各站局部极值计算的站级负载率为87%。</w:t>
      </w:r>
    </w:p>
    <w:p>
      <w:pPr>
        <w:pStyle w:val="2"/>
        <w:keepNext/>
        <w:spacing w:line="280" w:lineRule="exact" w:before="120" w:after="80"/>
        <w:ind w:firstLine="0"/>
        <w:jc w:val="center"/>
      </w:pPr>
      <w:r>
        <w:rPr>
          <w:rFonts w:ascii="Times New Roman" w:hAnsi="Times New Roman" w:eastAsia="宋体"/>
          <w:b w:val="0"/>
          <w:sz w:val="21"/>
        </w:rPr>
        <w:t xml:space="preserve">表5-47 庆云桥变年度配置与正向峰值正常转接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MW，转接后净负荷为58.45 MW，区域最低净负荷工况下为17.85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MW、17.85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四年校核截面中，本站绝对功率最大的工况出现在2023年，转接前为66.34 MW，主要表现为正向受电需求，该年设备在最大单台主变N-1后剩余容量为40.00 MVA。故障方式下本站转出28.34 MW、承接0.00 MW，其中与古彭变之间的主要转出功率为27.51 MW，转接后净负荷为38.00 MW。这一工况通过邻站分担本站故障后的正向负荷。</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2025年本站最大正向、反向净负荷分别为5.80 MW、0.00 MW。在同一需求下，刚性方案当年主变容量为80.00 MVA、储能额定功率0.00 MW，弹性方案分别为80.00 MVA和0.00 MW，两类方案本站主变总容量相同。弹性方案按当年各站局部极值计算的站级负载率为8%。</w:t>
      </w:r>
    </w:p>
    <w:p>
      <w:pPr>
        <w:pStyle w:val="2"/>
        <w:keepNext/>
        <w:spacing w:line="280" w:lineRule="exact" w:before="120" w:after="80"/>
        <w:ind w:firstLine="0"/>
        <w:jc w:val="center"/>
      </w:pPr>
      <w:r>
        <w:rPr>
          <w:rFonts w:ascii="Times New Roman" w:hAnsi="Times New Roman" w:eastAsia="宋体"/>
          <w:b w:val="0"/>
          <w:sz w:val="21"/>
        </w:rPr>
        <w:t xml:space="preserve">表5-48 山南变年度配置与正向峰值正常转接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MW，转接后净负荷为5.80 MW，区域最低净负荷工况下为0.64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MVA，两代表工况重新转供后的本站净负荷分别为5.80 MW、0.64 MW，两方向最小容量余量为32.20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四年校核截面中，本站绝对功率最大的工况出现在2023年，转接前为5.85 MW，主要表现为正向受电需求，该年设备在最大单台主变N-1后剩余容量为40.00 MVA。该工况本站由剩余主变满足承载要求。</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该站初始主变组合为80+80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2025年本站最大正向、反向净负荷分别为38.35 MW、0.00 MW。在同一需求下，刚性方案当年主变容量为160.00 MVA、储能额定功率0.00 MW，弹性方案分别为160.00 MVA和0.00 MW，两类方案本站主变总容量相同。弹性方案按当年各站局部极值计算的站级负载率为25%。</w:t>
      </w:r>
    </w:p>
    <w:p>
      <w:pPr>
        <w:pStyle w:val="2"/>
        <w:keepNext/>
        <w:spacing w:line="280" w:lineRule="exact" w:before="120" w:after="80"/>
        <w:ind w:firstLine="0"/>
        <w:jc w:val="center"/>
      </w:pPr>
      <w:r>
        <w:rPr>
          <w:rFonts w:ascii="Times New Roman" w:hAnsi="Times New Roman" w:eastAsia="宋体"/>
          <w:b w:val="0"/>
          <w:sz w:val="21"/>
        </w:rPr>
        <w:t xml:space="preserve">表5-49 升辉变年度配置与正向峰值正常转接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MW，转接后净负荷为28.55 MW，区域最低净负荷工况下为11.59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按最大单台主变N-1校核，本站剩余容量为80.00 MVA，两代表工况重新转供后的本站净负荷分别为28.55 MW、11.59 MW，两方向最小容量余量为47.45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四年校核截面中，本站绝对功率最大的工况出现在2023年，转接前为38.68 MW，主要表现为正向受电需求，该年设备在最大单台主变N-1后剩余容量为80.00 MVA。该工况本站由剩余主变满足承载要求。</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该站初始主变组合为63+80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2025年本站最大正向、反向净负荷分别为110.02 MW、10.95 MW。在同一需求下，刚性方案当年主变容量为143.00 MVA、储能额定功率0.00 MW，弹性方案分别为143.00 MVA和0.00 MW，两类方案本站主变总容量相同。弹性方案按当年各站局部极值计算的站级负载率为81%。</w:t>
      </w:r>
    </w:p>
    <w:p>
      <w:pPr>
        <w:pStyle w:val="2"/>
        <w:keepNext/>
        <w:spacing w:line="280" w:lineRule="exact" w:before="120" w:after="80"/>
        <w:ind w:firstLine="0"/>
        <w:jc w:val="center"/>
      </w:pPr>
      <w:r>
        <w:rPr>
          <w:rFonts w:ascii="Times New Roman" w:hAnsi="Times New Roman" w:eastAsia="宋体"/>
          <w:b w:val="0"/>
          <w:sz w:val="21"/>
        </w:rPr>
        <w:t xml:space="preserve">表5-50 石桥变年度配置与正向峰值正常转接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104.62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MW，转接后净负荷为103.71 MW，区域最低净负荷工况下为2.91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MW、2.91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四年校核截面中，本站绝对功率最大的工况出现在2023年，转接前为110.98 MW，主要表现为正向受电需求，该年设备在最大单台主变N-1后剩余容量为63.00 MVA。故障方式下本站转出51.13 MW、承接0.00 MW，其中与刘湾变之间的主要转出功率为19.00 MW，转接后净负荷为59.85 MW。这一工况通过邻站分担本站故障后的正向负荷。</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2025年本站最大正向、反向净负荷分别为73.47 MW、0.00 MW。在同一需求下，刚性方案当年主变容量为80.00 MVA、储能额定功率0.00 MW，弹性方案分别为80.00 MVA和0.00 MW，两类方案本站主变总容量相同。弹性方案按当年各站局部极值计算的站级负载率为97%。</w:t>
      </w:r>
    </w:p>
    <w:p>
      <w:pPr>
        <w:pStyle w:val="2"/>
        <w:keepNext/>
        <w:spacing w:line="280" w:lineRule="exact" w:before="120" w:after="80"/>
        <w:ind w:firstLine="0"/>
        <w:jc w:val="center"/>
      </w:pPr>
      <w:r>
        <w:rPr>
          <w:rFonts w:ascii="Times New Roman" w:hAnsi="Times New Roman" w:eastAsia="宋体"/>
          <w:b w:val="0"/>
          <w:sz w:val="21"/>
        </w:rPr>
        <w:t xml:space="preserve">表5-51 拾屯变年度配置与正向峰值正常转接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68.50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MW，转接后净负荷为72.26 MW，区域最低净负荷工况下为4.74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MW、4.74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四年校核截面中，本站绝对功率最大的工况出现在2023年，转接前为74.11 MW，主要表现为正向受电需求，该年设备在最大单台主变N-1后剩余容量为40.00 MVA。故障方式下本站转出36.11 MW、承接0.00 MW，其中与彭场变之间的主要转出功率为25.50 MW，转接后净负荷为38.00 MW。这一工况通过邻站分担本站故障后的正向负荷。</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2025年本站最大正向、反向净负荷分别为92.94 MW、0.00 MW。在同一需求下，刚性方案当年主变容量为80.00 MVA、储能额定功率0.00 MW，弹性方案分别为80.00 MVA和0.00 MW，两类方案本站主变总容量相同。弹性方案按当年各站局部极值计算的站级负载率为122%。</w:t>
      </w:r>
    </w:p>
    <w:p>
      <w:pPr>
        <w:pStyle w:val="2"/>
        <w:keepNext/>
        <w:spacing w:line="280" w:lineRule="exact" w:before="120" w:after="80"/>
        <w:ind w:firstLine="0"/>
        <w:jc w:val="center"/>
      </w:pPr>
      <w:r>
        <w:rPr>
          <w:rFonts w:ascii="Times New Roman" w:hAnsi="Times New Roman" w:eastAsia="宋体"/>
          <w:b w:val="0"/>
          <w:sz w:val="21"/>
        </w:rPr>
        <w:t xml:space="preserve">表5-52 统一变年度配置与正向峰值正常转接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2025年区域正向峰值正常工况下，本站转出15.55 MW、承接0.00 MW，转接后净负荷为76.00 MW，区域最低净负荷工况下为14.84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MW、14.84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四年校核截面中，本站绝对功率最大的工况出现在2023年，转接前为93.76 MW，主要表现为正向受电需求，该年设备在最大单台主变N-1后剩余容量为40.00 MVA。故障方式下本站转出55.76 MW、承接0.00 MW，其中与奎山变之间的主要转出功率为32.73 MW，转接后净负荷为38.00 MW。这一工况通过邻站分担本站故障后的正向负荷。</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该站初始主变组合为50+80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2025年本站最大正向、反向净负荷分别为103.02 MW、0.00 MW。在同一需求下，刚性方案当年主变容量为130.00 MVA、储能额定功率0.00 MW，弹性方案分别为130.00 MVA和0.00 MW，两类方案本站主变总容量相同。弹性方案按当年各站局部极值计算的站级负载率为83%。</w:t>
      </w:r>
    </w:p>
    <w:p>
      <w:pPr>
        <w:pStyle w:val="2"/>
        <w:keepNext/>
        <w:spacing w:line="280" w:lineRule="exact" w:before="120" w:after="80"/>
        <w:ind w:firstLine="0"/>
        <w:jc w:val="center"/>
      </w:pPr>
      <w:r>
        <w:rPr>
          <w:rFonts w:ascii="Times New Roman" w:hAnsi="Times New Roman" w:eastAsia="宋体"/>
          <w:b w:val="0"/>
          <w:sz w:val="21"/>
        </w:rPr>
        <w:t xml:space="preserve">表5-53 吴庄变年度配置与正向峰值正常转接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90.39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MW，转接后净负荷为96.47 MW，区域最低净负荷工况下为31.10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按最大单台主变N-1校核，本站剩余容量为50.00 MVA，两代表工况重新转供后的本站净负荷分别为47.50 MW、31.10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四年校核截面中，本站绝对功率最大的工况出现在2023年，转接前为103.92 MW，主要表现为正向受电需求，该年设备在最大单台主变N-1后剩余容量为50.00 MVA。故障方式下本站转出56.42 MW、承接0.00 MW，其中与夹河变之间的主要转出功率为21.11 MW，转接后净负荷为47.50 MW。这一工况通过邻站分担本站故障后的正向负荷。</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该站初始主变组合为63+63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2025年本站最大正向、反向净负荷分别为128.27 MW、0.00 MW。在同一需求下，刚性方案当年主变容量为126.00 MVA、储能额定功率0.00 MW，弹性方案分别为126.00 MVA和0.00 MW，两类方案本站主变总容量相同。弹性方案按当年各站局部极值计算的站级负载率为107%。</w:t>
      </w:r>
    </w:p>
    <w:p>
      <w:pPr>
        <w:pStyle w:val="2"/>
        <w:keepNext/>
        <w:spacing w:line="280" w:lineRule="exact" w:before="120" w:after="80"/>
        <w:ind w:firstLine="0"/>
        <w:jc w:val="center"/>
      </w:pPr>
      <w:r>
        <w:rPr>
          <w:rFonts w:ascii="Times New Roman" w:hAnsi="Times New Roman" w:eastAsia="宋体"/>
          <w:b w:val="0"/>
          <w:sz w:val="21"/>
        </w:rPr>
        <w:t xml:space="preserve">表5-54 西郊变年度配置与正向峰值正常转接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119.70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2025年区域正向峰值正常工况下，本站转出8.57 MW、承接0.00 MW，转接后净负荷为119.70 MW，区域最低净负荷工况下为32.04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MVA，两代表工况重新转供后的本站净负荷分别为59.85 MW、32.04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四年校核截面中，本站绝对功率最大的工况出现在2023年，转接前为129.39 MW，主要表现为正向受电需求，该年设备在最大单台主变N-1后剩余容量为63.00 MVA。故障方式下本站转出69.54 MW、承接0.00 MW，其中与开元变之间的主要转出功率为25.77 MW，转接后净负荷为59.85 MW。这一工况通过邻站分担本站故障后的正向负荷。</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该站初始主变组合为40+50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2025年本站最大正向、反向净负荷分别为19.37 MW、0.00 MW。在同一需求下，刚性方案当年主变容量为90.00 MVA、储能额定功率0.00 MW，弹性方案分别为90.00 MVA和0.00 MW，两类方案本站主变总容量相同。弹性方案按当年各站局部极值计算的站级负载率为23%。</w:t>
      </w:r>
    </w:p>
    <w:p>
      <w:pPr>
        <w:pStyle w:val="2"/>
        <w:keepNext/>
        <w:spacing w:line="280" w:lineRule="exact" w:before="120" w:after="80"/>
        <w:ind w:firstLine="0"/>
        <w:jc w:val="center"/>
      </w:pPr>
      <w:r>
        <w:rPr>
          <w:rFonts w:ascii="Times New Roman" w:hAnsi="Times New Roman" w:eastAsia="宋体"/>
          <w:b w:val="0"/>
          <w:sz w:val="21"/>
        </w:rPr>
        <w:t xml:space="preserve">表5-55 祥和变年度配置与正向峰值正常转接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MW，转接后净负荷为19.35 MW，区域最低净负荷工况下为5.17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MVA，两代表工况重新转供后的本站净负荷分别为19.35 MW、5.17 MW，两方向最小容量余量为18.65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四年校核截面中，本站绝对功率最大的工况出现在2023年，转接前为19.54 MW，主要表现为正向受电需求，该年设备在最大单台主变N-1后剩余容量为40.00 MVA。该工况本站由剩余主变满足承载要求。</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2025年本站最大正向、反向净负荷分别为53.11 MW、0.00 MW。在同一需求下，刚性方案当年主变容量为80.00 MVA、储能额定功率0.00 MW，弹性方案分别为80.00 MVA和0.00 MW，两类方案本站主变总容量相同。弹性方案按当年各站局部极值计算的站级负载率为70%。</w:t>
      </w:r>
    </w:p>
    <w:p>
      <w:pPr>
        <w:pStyle w:val="2"/>
        <w:keepNext/>
        <w:spacing w:line="280" w:lineRule="exact" w:before="120" w:after="80"/>
        <w:ind w:firstLine="0"/>
        <w:jc w:val="center"/>
      </w:pPr>
      <w:r>
        <w:rPr>
          <w:rFonts w:ascii="Times New Roman" w:hAnsi="Times New Roman" w:eastAsia="宋体"/>
          <w:b w:val="0"/>
          <w:sz w:val="21"/>
        </w:rPr>
        <w:t xml:space="preserve">表5-56 响山变年度配置与正向峰值正常转接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MW，转接后净负荷为53.11 MW，区域最低净负荷工况下为11.38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MVA，两代表工况重新转供后的本站净负荷分别为38.00 MW、11.38 MW，两方向最小容量余量为0.00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四年校核截面中，本站绝对功率最大的工况出现在2023年，转接前为53.58 MW，主要表现为正向受电需求，该年设备在最大单台主变N-1后剩余容量为40.00 MVA。故障方式下本站转出15.58 MW、承接0.00 MW，其中与奎山变之间的主要转出功率为15.58 MW，转接后净负荷为38.00 MW。这一工况通过邻站分担本站故障后的正向负荷。</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该站初始主变组合为63+63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2025年本站最大正向、反向净负荷分别为45.03 MW、0.00 MW。在同一需求下，刚性方案当年主变容量为126.00 MVA、储能额定功率0.00 MW，弹性方案分别为126.00 MVA和0.00 MW，两类方案本站主变总容量相同。弹性方案按当年各站局部极值计算的站级负载率为38%。</w:t>
      </w:r>
    </w:p>
    <w:p>
      <w:pPr>
        <w:pStyle w:val="2"/>
        <w:keepNext/>
        <w:spacing w:line="280" w:lineRule="exact" w:before="120" w:after="80"/>
        <w:ind w:firstLine="0"/>
        <w:jc w:val="center"/>
      </w:pPr>
      <w:r>
        <w:rPr>
          <w:rFonts w:ascii="Times New Roman" w:hAnsi="Times New Roman" w:eastAsia="宋体"/>
          <w:b w:val="0"/>
          <w:sz w:val="21"/>
        </w:rPr>
        <w:t xml:space="preserve">表5-57 玉潭变年度配置与正向峰值正常转接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MW，转接后净负荷为45.03 MW，区域最低净负荷工况下为9.12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按最大单台主变N-1校核，本站剩余容量为63.00 MVA，两代表工况重新转供后的本站净负荷分别为45.03 MW、9.12 MW，两方向最小容量余量为14.82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四年校核截面中，本站绝对功率最大的工况出现在2023年，转接前为45.42 MW，主要表现为正向受电需求，该年设备在最大单台主变N-1后剩余容量为63.00 MVA。该工况本站由剩余主变满足承载要求。</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该站初始主变组合为40+40 MVA，弹性方案四年均保留该组合，供电任务由主变及网络承担。</w:t>
      </w:r>
    </w:p>
    <w:p>
      <w:pPr>
        <w:pStyle w:val="2"/>
        <w:widowControl/>
        <w:spacing w:line="348" w:lineRule="exact" w:before="0" w:after="0"/>
        <w:ind w:firstLine="480"/>
        <w:jc w:val="both"/>
      </w:pPr>
      <w:r>
        <w:rPr>
          <w:rFonts w:ascii="Times New Roman" w:hAnsi="Times New Roman" w:eastAsia="方正仿宋_GBK"/>
          <w:b w:val="0"/>
          <w:sz w:val="24"/>
        </w:rPr>
        <w:t xml:space="preserve">2025年本站最大正向、反向净负荷分别为16.47 MW、5.61 MW。在同一需求下，刚性方案当年主变容量为80.00 MVA、储能额定功率0.00 MW，弹性方案分别为80.00 MVA和0.00 MW，两类方案本站主变总容量相同。弹性方案按当年各站局部极值计算的站级负载率为22%。</w:t>
      </w:r>
    </w:p>
    <w:p>
      <w:pPr>
        <w:pStyle w:val="2"/>
        <w:keepNext/>
        <w:spacing w:line="280" w:lineRule="exact" w:before="120" w:after="80"/>
        <w:ind w:firstLine="0"/>
        <w:jc w:val="center"/>
      </w:pPr>
      <w:r>
        <w:rPr>
          <w:rFonts w:ascii="Times New Roman" w:hAnsi="Times New Roman" w:eastAsia="宋体"/>
          <w:b w:val="0"/>
          <w:sz w:val="21"/>
        </w:rPr>
        <w:t xml:space="preserve">表5-58 茱萸变年度配置与正向峰值正常转接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2025年区域正向峰值正常工况下，本站转出0.00 MW、承接0.00 MW，转接后净负荷为11.51 MW，区域最低净负荷工况下为-4.81 MW。</w:t>
      </w:r>
    </w:p>
    <w:p>
      <w:pPr>
        <w:pStyle w:val="2"/>
        <w:widowControl/>
        <w:spacing w:line="348" w:lineRule="exact" w:before="0" w:after="0"/>
        <w:ind w:firstLine="480"/>
        <w:jc w:val="both"/>
      </w:pPr>
      <w:r>
        <w:rPr>
          <w:rFonts w:ascii="Times New Roman" w:hAnsi="Times New Roman" w:eastAsia="方正仿宋_GBK"/>
          <w:b w:val="0"/>
          <w:sz w:val="24"/>
        </w:rPr>
        <w:t xml:space="preserve">按最大单台主变N-1校核，本站剩余容量为40.00 MVA，两代表工况重新转供后的本站净负荷分别为11.51 MW、-4.81 MW，两方向最小容量余量为26.49 MW，正向储能有效支撑功率为0.00 MW。</w:t>
      </w:r>
    </w:p>
    <w:p>
      <w:pPr>
        <w:pStyle w:val="2"/>
        <w:widowControl/>
        <w:spacing w:line="348" w:lineRule="exact" w:before="0" w:after="0"/>
        <w:ind w:firstLine="480"/>
        <w:jc w:val="both"/>
      </w:pPr>
      <w:r>
        <w:rPr>
          <w:rFonts w:ascii="Times New Roman" w:hAnsi="Times New Roman" w:eastAsia="方正仿宋_GBK"/>
          <w:b w:val="0"/>
          <w:sz w:val="24"/>
        </w:rPr>
        <w:t xml:space="preserve">四年校核截面中，本站绝对功率最大的工况出现在2023年，转接前为16.61 MW，主要表现为正向受电需求，该年设备在最大单台主变N-1后剩余容量为40.00 MVA。该工况本站由剩余主变满足承载要求。</w:t>
      </w:r>
    </w:p>
    <w:p>
      <w:pPr>
        <w:pStyle w:val="2"/>
        <w:widowControl/>
        <w:spacing w:line="348" w:lineRule="exact" w:before="0" w:after="0"/>
        <w:ind w:firstLine="480"/>
        <w:jc w:val="both"/>
      </w:pPr>
      <w:r>
        <w:rPr>
          <w:rFonts w:ascii="Times New Roman" w:hAnsi="Times New Roman" w:eastAsia="方正仿宋_GBK"/>
          <w:b w:val="0"/>
          <w:sz w:val="24"/>
        </w:rPr>
        <w:t xml:space="preserve">市区多数站点保留初始主变，弹性方案对翟山变的更换集中提高该站故障后剩余能力。区域总容量只增加23 MVA，但该站最大80 MVA主变停运后的剩余容量由40 MVA增至63 MVA，按0.95功率因数折算，增加21.85 MW有功能力。站内措施与已有联络共同承担局部高峰，图中其余站点的主变余量则构成网络支援的基础。逐站能力图与前述配置表配合，用于解释局部补强怎样形成地区方案差异。</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市区逐站初始与2025年方案的N-1剩余主变能力</w:t>
      </w:r>
    </w:p>
    <w:p>
      <w:pPr>
        <w:pStyle w:val="5"/>
        <w:keepNext/>
        <w:numPr>
          <w:numId w:val="0"/>
        </w:numPr>
        <w:spacing w:line="390" w:lineRule="exact" w:before="160" w:after="120"/>
        <w:ind w:firstLine="0"/>
      </w:pPr>
      <w:bookmarkStart w:id="262" w:name="年度设备配置与站间差异"/>
      <w:r>
        <w:rPr>
          <w:rFonts w:ascii="Times New Roman" w:hAnsi="Times New Roman" w:eastAsia="方正仿宋_GBK"/>
          <w:b/>
          <w:sz w:val="26"/>
        </w:rPr>
        <w:t xml:space="preserve">5.4.7 年度设备配置与站间差异</w:t>
      </w:r>
      <w:bookmarkEnd w:id="262"/>
    </w:p>
    <w:p>
      <w:pPr>
        <w:pStyle w:val="FirstParagraph"/>
        <w:widowControl/>
        <w:spacing w:line="348" w:lineRule="exact" w:before="0" w:after="0"/>
        <w:ind w:firstLine="480"/>
        <w:jc w:val="both"/>
      </w:pPr>
      <w:r>
        <w:rPr>
          <w:rFonts w:ascii="Times New Roman" w:hAnsi="Times New Roman" w:eastAsia="方正仿宋_GBK"/>
          <w:b w:val="0"/>
          <w:sz w:val="24"/>
        </w:rPr>
        <w:t xml:space="preserve">区域总容量可以由更换较大主变、增加主变台数或两者结合形成。总容量相近的站，在最大单台主变N-1后的剩余容量也可能不同，因此需要同时列示设备组合与配储地点。</w:t>
      </w:r>
    </w:p>
    <w:p>
      <w:pPr>
        <w:pStyle w:val="2"/>
        <w:keepNext/>
        <w:spacing w:line="280" w:lineRule="exact" w:before="120" w:after="80"/>
        <w:ind w:firstLine="0"/>
        <w:jc w:val="center"/>
      </w:pPr>
      <w:r>
        <w:rPr>
          <w:rFonts w:ascii="Times New Roman" w:hAnsi="Times New Roman" w:eastAsia="宋体"/>
          <w:b w:val="0"/>
          <w:sz w:val="21"/>
        </w:rPr>
        <w:t xml:space="preserve">表5-59 2025年站级展示范围内主变台数与配储站数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两台主变站数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三台主变站占比</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配储站数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bl>
    <w:p>
      <w:pPr>
        <w:pStyle w:val="2"/>
        <w:widowControl/>
        <w:spacing w:line="348" w:lineRule="exact" w:before="0" w:after="0"/>
        <w:ind w:firstLine="480"/>
        <w:jc w:val="both"/>
      </w:pPr>
      <w:r>
        <w:rPr>
          <w:rFonts w:ascii="Times New Roman" w:hAnsi="Times New Roman" w:eastAsia="方正仿宋_GBK"/>
          <w:b w:val="0"/>
          <w:sz w:val="24"/>
        </w:rPr>
        <w:t xml:space="preserve">2025年邳州两类方案均有1座三台主变站，但配储站数及储能规模不同。市区两类方案均保持两台主变的站内结构，弹性方案通过翟山变单台升档提高故障后剩余容量。主变台数只反映设备结构的一部分，同样为两台主变的站，额定规格和最大单台停运后的可用容量仍有差异。各年的具体组合、支援方向和投运变化需结合逐站表确定。</w:t>
      </w:r>
    </w:p>
    <w:p>
      <w:pPr>
        <w:pStyle w:val="2"/>
        <w:widowControl/>
        <w:spacing w:line="348" w:lineRule="exact" w:before="0" w:after="0"/>
        <w:ind w:firstLine="480"/>
        <w:jc w:val="both"/>
      </w:pPr>
      <w:r>
        <w:rPr>
          <w:rFonts w:ascii="Times New Roman" w:hAnsi="Times New Roman" w:eastAsia="方正仿宋_GBK"/>
          <w:b w:val="0"/>
          <w:sz w:val="24"/>
        </w:rPr>
        <w:t xml:space="preserve">同一容载比可以由不同站内设备结构形成，因此区域推荐区间需与主变台数、规格及站间任务对应。逐站比较需求和建设选择后，再归纳区域指标，才能说明新增容量用于哪些站点，以及费用变化来自哪些措施。</w:t>
      </w:r>
    </w:p>
    <w:p>
      <w:pPr>
        <w:pStyle w:val="2"/>
        <w:widowControl/>
        <w:spacing w:line="348" w:lineRule="exact" w:before="0" w:after="0"/>
        <w:ind w:firstLine="480"/>
        <w:jc w:val="both"/>
      </w:pPr>
      <w:r>
        <w:rPr>
          <w:rFonts w:ascii="Times New Roman" w:hAnsi="Times New Roman" w:eastAsia="方正仿宋_GBK"/>
          <w:b w:val="0"/>
          <w:sz w:val="24"/>
        </w:rPr>
        <w:t xml:space="preserve">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pPr>
        <w:pStyle w:val="5"/>
        <w:keepNext/>
        <w:numPr>
          <w:numId w:val="0"/>
        </w:numPr>
        <w:spacing w:line="390" w:lineRule="exact" w:before="160" w:after="120"/>
        <w:ind w:firstLine="0"/>
      </w:pPr>
      <w:bookmarkStart w:id="263" w:name="保留2021实际容量的方案对照"/>
      <w:r>
        <w:rPr>
          <w:rFonts w:ascii="Times New Roman" w:hAnsi="Times New Roman" w:eastAsia="方正仿宋_GBK"/>
          <w:b/>
          <w:sz w:val="26"/>
        </w:rPr>
        <w:t xml:space="preserve">5.4.8 保留2021实际容量的方案对照</w:t>
      </w:r>
      <w:bookmarkEnd w:id="263"/>
    </w:p>
    <w:p>
      <w:pPr>
        <w:pStyle w:val="FirstParagraph"/>
        <w:widowControl/>
        <w:spacing w:line="348" w:lineRule="exact" w:before="0" w:after="0"/>
        <w:ind w:firstLine="480"/>
        <w:jc w:val="both"/>
      </w:pPr>
      <w:r>
        <w:rPr>
          <w:rFonts w:ascii="Times New Roman" w:hAnsi="Times New Roman" w:eastAsia="方正仿宋_GBK"/>
          <w:b w:val="0"/>
          <w:sz w:val="24"/>
        </w:rPr>
        <w:t xml:space="preserve">在共同仿真起点之外，补充以2021年实际地区总容量为起点的两类方案，邳州2027.00 MVA、市区3113.50 MVA。2021年固定，2022—2025年继续采用相同年度负荷、逐站转供能力、承载约束和经济参数，比较存量容量条件对新增措施的影响。逐站初始组合沿用按地区总容量标定的研究输入。</w:t>
      </w:r>
    </w:p>
    <w:p>
      <w:pPr>
        <w:pStyle w:val="2"/>
        <w:keepNext/>
        <w:spacing w:line="280" w:lineRule="exact" w:before="120" w:after="80"/>
        <w:ind w:firstLine="0"/>
        <w:jc w:val="center"/>
      </w:pPr>
      <w:r>
        <w:rPr>
          <w:rFonts w:ascii="Times New Roman" w:hAnsi="Times New Roman" w:eastAsia="宋体"/>
          <w:b w:val="0"/>
          <w:sz w:val="21"/>
        </w:rPr>
        <w:t xml:space="preserve">表5-60 保留2021实际容量的逐年规划汇总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年末储能/MWh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累计新联络/条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122.34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122.34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邳州实际容量高于各年负荷的两倍，刚性方案因此保持2027.00 MVA，通过储能和少量联络承担局部正反向需求。其2022年配置122.34 MWh储能，2024年增至144.05 MWh，2025年达到201.24 MWh。弹性方案2022年净增121.50 MVA至2148.50 MVA，随后保持，以站内补强减少局部储能需求，末年储能为7.74 MWh，累计新增联络3条。两者容载比差异随同一年度负荷折算，2025年分别为2.12和2.25。</w:t>
      </w:r>
    </w:p>
    <w:p>
      <w:pPr>
        <w:pStyle w:val="2"/>
        <w:widowControl/>
        <w:spacing w:line="348" w:lineRule="exact" w:before="0" w:after="0"/>
        <w:ind w:firstLine="480"/>
        <w:jc w:val="both"/>
      </w:pPr>
      <w:r>
        <w:rPr>
          <w:rFonts w:ascii="Times New Roman" w:hAnsi="Times New Roman" w:eastAsia="方正仿宋_GBK"/>
          <w:b w:val="0"/>
          <w:sz w:val="24"/>
        </w:rPr>
        <w:t xml:space="preserve">市区两类方案四年均保持3113.50 MVA，无新增主变、储能或联络。原有主变与既有网络已能满足本次静态校核，年度容载比随实际负荷变化，为2.17、2.02、2.15和2.04。零新增费用对应既有设备继续承担供电与转供任务。</w:t>
      </w:r>
    </w:p>
    <w:p>
      <w:pPr>
        <w:pStyle w:val="2"/>
        <w:keepNext/>
        <w:spacing w:line="280" w:lineRule="exact" w:before="120" w:after="80"/>
        <w:ind w:firstLine="0"/>
        <w:jc w:val="center"/>
      </w:pPr>
      <w:r>
        <w:rPr>
          <w:rFonts w:ascii="Times New Roman" w:hAnsi="Times New Roman" w:eastAsia="宋体"/>
          <w:b w:val="0"/>
          <w:sz w:val="21"/>
        </w:rPr>
        <w:t xml:space="preserve">表5-61 保留2021实际容量的方案费用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23753.31</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7342.18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弹性方案费用现值分别为23753.31万元和7342.18万元，减少16411.13万元，约69%；市区两类方案新增费用均为零。与共同仿真起点对照可见，地区存量总容量增加后，仍可能存在局部反向或N-1剩余容量不足，新增措施取决于容量的站间分布及网络支援条件。该组结果汇总用于说明起点敏感性。</w:t>
      </w:r>
    </w:p>
    <w:p>
      <w:pPr>
        <w:pStyle w:val="2"/>
        <w:widowControl/>
        <w:spacing w:line="348" w:lineRule="exact" w:before="0" w:after="0"/>
        <w:ind w:firstLine="480"/>
        <w:jc w:val="both"/>
      </w:pPr>
      <w:r>
        <w:rPr>
          <w:rFonts w:ascii="Times New Roman" w:hAnsi="Times New Roman" w:eastAsia="方正仿宋_GBK"/>
          <w:b w:val="0"/>
          <w:sz w:val="24"/>
        </w:rPr>
        <w:t xml:space="preserve">两种初始容量条件的费用并列后，可以观察存量资产对新增工程的影响。市区实际容量起点下的零新增费用，表示既有设备和网络满足本次校核；共同起点则仍需在主变补强与新增联络之间比选。邳州两种起点下均存在局部补强任务，弹性方案通过不同站内配置减少配储。起点变化同时涉及已锁定的逐站设备组合，因此各组结果分别在其共同初态下比较刚性与弹性方案。下图的每个费用值均按对应四年投运批次汇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initial_capacity_cost_comparison.png" id="0" name="Picture"/>
                    <pic:cNvPicPr>
                      <a:picLocks noChangeArrowheads="1" noChangeAspect="1"/>
                    </pic:cNvPicPr>
                  </pic:nvPicPr>
                  <pic:blipFill>
                    <a:blip r:embed="rId264"/>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两种初始容量条件下各方案的新增措施费用</w:t>
      </w:r>
    </w:p>
    <w:p>
      <w:pPr>
        <w:pStyle w:val="4"/>
        <w:keepNext/>
        <w:numPr>
          <w:numId w:val="0"/>
        </w:numPr>
        <w:spacing w:line="480" w:lineRule="exact" w:before="160" w:after="120"/>
        <w:ind w:firstLine="0"/>
      </w:pPr>
      <w:bookmarkStart w:id="2068" w:name="h1068"/>
      <w:bookmarkStart w:id="265" w:name="措施作用与工程衔接"/>
      <w:r>
        <w:rPr>
          <w:rFonts w:ascii="Times New Roman" w:hAnsi="Times New Roman" w:eastAsia="方正仿宋_GBK"/>
          <w:b/>
          <w:sz w:val="32"/>
        </w:rPr>
        <w:t xml:space="preserve">5.5 措施作用与工程衔接</w:t>
      </w:r>
      <w:bookmarkEnd w:id="265"/>
      <w:bookmarkEnd w:id="2068"/>
    </w:p>
    <w:p>
      <w:pPr>
        <w:pStyle w:val="5"/>
        <w:keepNext/>
        <w:numPr>
          <w:numId w:val="0"/>
        </w:numPr>
        <w:spacing w:line="390" w:lineRule="exact" w:before="160" w:after="120"/>
        <w:ind w:firstLine="0"/>
      </w:pPr>
      <w:bookmarkStart w:id="266" w:name="逐年负荷转接与站间任务"/>
      <w:r>
        <w:rPr>
          <w:rFonts w:ascii="Times New Roman" w:hAnsi="Times New Roman" w:eastAsia="方正仿宋_GBK"/>
          <w:b/>
          <w:sz w:val="26"/>
        </w:rPr>
        <w:t xml:space="preserve">5.5.1 逐年负荷转接与站间任务</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表5-62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bl>
    <w:p>
      <w:pPr>
        <w:pStyle w:val="2"/>
        <w:keepNext/>
        <w:spacing w:line="280" w:lineRule="exact" w:before="120" w:after="80"/>
        <w:ind w:firstLine="0"/>
        <w:jc w:val="center"/>
      </w:pPr>
      <w:r>
        <w:rPr>
          <w:rFonts w:ascii="Times New Roman" w:hAnsi="Times New Roman" w:eastAsia="宋体"/>
          <w:b w:val="0"/>
          <w:sz w:val="21"/>
        </w:rPr>
        <w:t xml:space="preserve">表5-63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bl>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7" w:name="主变储能与联络的共同作用"/>
      <w:r>
        <w:rPr>
          <w:rFonts w:ascii="Times New Roman" w:hAnsi="Times New Roman" w:eastAsia="方正仿宋_GBK"/>
          <w:b/>
          <w:sz w:val="26"/>
        </w:rPr>
        <w:t xml:space="preserve">5.5.2 主变、储能与联络的共同作用</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设备选择与站间任务相互衔接。翟山变的更换直接增加最大单台主变N-1后的剩余容量，邢楼变扩建第三台主变改变原有两台小容量主变的组合，保持原设备的站点则结合既有通道安排故障负荷。各站的建设方式由本地源荷、相邻站能力、可扩建位置与工程费用共同确定，区域费用下降最终对应这些具体措施的差异。</w:t>
      </w:r>
    </w:p>
    <w:p>
      <w:pPr>
        <w:pStyle w:val="2"/>
        <w:widowControl/>
        <w:spacing w:line="348" w:lineRule="exact" w:before="0" w:after="0"/>
        <w:ind w:firstLine="480"/>
        <w:jc w:val="both"/>
      </w:pPr>
      <w:r>
        <w:rPr>
          <w:rFonts w:ascii="Times New Roman" w:hAnsi="Times New Roman" w:eastAsia="方正仿宋_GBK"/>
          <w:b w:val="0"/>
          <w:sz w:val="24"/>
        </w:rPr>
        <w:t xml:space="preserve">兴塘变可进一步说明主变对反向吸收任务的替代。2025年同一反向极值截面净负荷为－30.66 MW，刚性方案主变20+20 MVA，最大单台停运后有功能力为19.00 MW，所需储能充电吸收11.66 MW；弹性方案采用31.50+31.50 MVA，剩余有功能力提高至29.93 MW，所需吸收功率降至0.74 MW。对应储能能量分别为25.16 MWh和1.72 MWh，该截面两类方案本站转供均为零，储能减少直接对应站内剩余能力增加。地区总容量同时包含其他站点的调整，逐站剩余容量与同一截面功率平衡共同解释各措施的替代。</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兴塘变同一反向截面的剩余主变能力与储能吸收任务</w:t>
      </w:r>
    </w:p>
    <w:p>
      <w:pPr>
        <w:pStyle w:val="5"/>
        <w:keepNext/>
        <w:numPr>
          <w:numId w:val="0"/>
        </w:numPr>
        <w:spacing w:line="390" w:lineRule="exact" w:before="160" w:after="120"/>
        <w:ind w:firstLine="0"/>
      </w:pPr>
      <w:bookmarkStart w:id="269" w:name="储能支撑与必要转供量"/>
      <w:r>
        <w:rPr>
          <w:rFonts w:ascii="Times New Roman" w:hAnsi="Times New Roman" w:eastAsia="方正仿宋_GBK"/>
          <w:b/>
          <w:sz w:val="26"/>
        </w:rPr>
        <w:t xml:space="preserve">5.5.3 储能支撑与必要转供量</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h。按额定功率1.00 MW、额定能量2.15 MWh的相同储能配置折算，有效支撑功率分别为0.82 MW和0.27 MW。邳州弹性方案2025年储能额定功率3.40 MW、额定能量7.31 MWh，刚性方案分别为22.30 MW、47.95 MWh。市区两类方案均通过主变和网络满足本次静态支撑要求。</w:t>
      </w:r>
    </w:p>
    <w:p>
      <w:pPr>
        <w:pStyle w:val="2"/>
        <w:keepNext/>
        <w:spacing w:line="280" w:lineRule="exact" w:before="120" w:after="80"/>
        <w:ind w:firstLine="0"/>
        <w:jc w:val="center"/>
      </w:pPr>
      <w:r>
        <w:rPr>
          <w:rFonts w:ascii="Times New Roman" w:hAnsi="Times New Roman" w:eastAsia="宋体"/>
          <w:b w:val="0"/>
          <w:sz w:val="21"/>
        </w:rPr>
        <w:t xml:space="preserve">表5-64 全部静态工况中的最大必要转供功率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正常既有边/MW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N-1既有边/MW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43.17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53.79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61.68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43.17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53.79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83.97</w:t>
            </w:r>
          </w:p>
        </w:tc>
      </w:tr>
    </w:tbl>
    <w:p>
      <w:pPr>
        <w:pStyle w:val="2"/>
        <w:widowControl/>
        <w:spacing w:line="348" w:lineRule="exact" w:before="0" w:after="0"/>
        <w:ind w:firstLine="480"/>
        <w:jc w:val="both"/>
      </w:pPr>
      <w:r>
        <w:rPr>
          <w:rFonts w:ascii="Times New Roman" w:hAnsi="Times New Roman" w:eastAsia="方正仿宋_GBK"/>
          <w:b w:val="0"/>
          <w:sz w:val="24"/>
        </w:rPr>
        <w:t xml:space="preserve">注：固定设备后逐工况最小化通道转供功率，分别取正常及N-1工况最大值；总量与既有边列分别取最大值。</w:t>
      </w:r>
    </w:p>
    <w:p>
      <w:pPr>
        <w:pStyle w:val="2"/>
        <w:widowControl/>
        <w:spacing w:line="348" w:lineRule="exact" w:before="0" w:after="0"/>
        <w:ind w:firstLine="480"/>
        <w:jc w:val="both"/>
      </w:pPr>
      <w:r>
        <w:rPr>
          <w:rFonts w:ascii="Times New Roman" w:hAnsi="Times New Roman" w:eastAsia="方正仿宋_GBK"/>
          <w:b w:val="0"/>
          <w:sz w:val="24"/>
        </w:rPr>
        <w:t xml:space="preserve">表中固定设备方案后，遍历全部静态截面及各站最大单台主变N-1，以最小总通道转供功率计算必要转供，分别列出正常及故障方式下的总量与既有边最大值。既有网络支援在正常及故障工况下共同参与容量平衡，新增联络费用由实际建设项目计取。</w:t>
      </w:r>
    </w:p>
    <w:p>
      <w:pPr>
        <w:pStyle w:val="2"/>
        <w:widowControl/>
        <w:spacing w:line="348" w:lineRule="exact" w:before="0" w:after="0"/>
        <w:ind w:firstLine="480"/>
        <w:jc w:val="both"/>
      </w:pPr>
      <w:r>
        <w:rPr>
          <w:rFonts w:ascii="Times New Roman" w:hAnsi="Times New Roman" w:eastAsia="方正仿宋_GBK"/>
          <w:b w:val="0"/>
          <w:sz w:val="24"/>
        </w:rPr>
        <w:t xml:space="preserve">必要转供功率还说明既有网络的作用。市区弹性方案没有新增联络，仍需要在既有逐站额度和通道内安排正常及故障支援；刚性方案的5项新增工程是在相同既有网络基础上增加可用路径。邳州两类方案均建设联络，但储能和主变的站内分布不同，各年的必要转供任务随负荷及投运状态变化。比较新增工程时，应将已有网络提供的支援与新建通道形成的增量分别对应到方案。</w:t>
      </w:r>
    </w:p>
    <w:p>
      <w:pPr>
        <w:pStyle w:val="4"/>
        <w:keepNext/>
        <w:numPr>
          <w:numId w:val="0"/>
        </w:numPr>
        <w:spacing w:line="480" w:lineRule="exact" w:before="160" w:after="120"/>
        <w:ind w:firstLine="0"/>
      </w:pPr>
      <w:bookmarkStart w:id="2088" w:name="h1088"/>
      <w:bookmarkStart w:id="270" w:name="五参数推广矩阵"/>
      <w:r>
        <w:rPr>
          <w:rFonts w:ascii="Times New Roman" w:hAnsi="Times New Roman" w:eastAsia="方正仿宋_GBK"/>
          <w:b/>
          <w:sz w:val="32"/>
        </w:rPr>
        <w:t xml:space="preserve">5.6 五参数推广矩阵</w:t>
      </w:r>
      <w:bookmarkEnd w:id="270"/>
      <w:bookmarkEnd w:id="2088"/>
    </w:p>
    <w:p>
      <w:pPr>
        <w:pStyle w:val="5"/>
        <w:keepNext/>
        <w:numPr>
          <w:numId w:val="0"/>
        </w:numPr>
        <w:spacing w:line="390" w:lineRule="exact" w:before="160" w:after="120"/>
        <w:ind w:firstLine="0"/>
      </w:pPr>
      <w:bookmarkStart w:id="271" w:name="参数组织与推广模型"/>
      <w:r>
        <w:rPr>
          <w:rFonts w:ascii="Times New Roman" w:hAnsi="Times New Roman" w:eastAsia="方正仿宋_GBK"/>
          <w:b/>
          <w:sz w:val="26"/>
        </w:rPr>
        <w:t xml:space="preserve">5.6.1 参数组织与推广模型</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按这些条件归纳设备比选结果，形成容载比矩阵。</w:t>
      </w:r>
    </w:p>
    <w:p>
      <w:pPr>
        <w:pStyle w:val="2"/>
        <w:widowControl/>
        <w:spacing w:line="348" w:lineRule="exact" w:before="0" w:after="0"/>
        <w:ind w:firstLine="480"/>
        <w:jc w:val="both"/>
      </w:pPr>
      <w:r>
        <w:rPr>
          <w:rFonts w:ascii="Times New Roman" w:hAnsi="Times New Roman" w:eastAsia="方正仿宋_GBK"/>
          <w:b w:val="0"/>
          <w:sz w:val="24"/>
        </w:rPr>
        <w:t xml:space="preserve">区间矩阵采用五站存量设备模板，每站初始为两台50 MVA主变，总容量500.00 MVA。既有主变可保留或更换为63、80 MVA，各站允许扩建一台50 MVA主变。基期网供峰值250 MW，比选时点为基期后第4年。主变允许规格、扩建位置、馈线和间隔条件进入承载约束，主变、储能和新增联络按共同评价期费用比选。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表5-65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72" w:name="矩阵结果与查表方法"/>
      <w:r>
        <w:rPr>
          <w:rFonts w:ascii="Times New Roman" w:hAnsi="Times New Roman" w:eastAsia="方正仿宋_GBK"/>
          <w:b/>
          <w:sz w:val="26"/>
        </w:rPr>
        <w:t xml:space="preserve">5.6.2 矩阵结果与查表方法</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每格取对应已计算有效节点的容载比最小值和最大值，反映该组源荷与网络条件下的容量范围。电缆长度占比节点为10%、30%、50%、80%、90%，分别归入≤10%、(10%,30%]、&gt;30%三档，分区结果保留不同敷设造价引起的配置差异。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r>
        <w:rPr>
          <w:rFonts w:ascii="Times New Roman" w:hAnsi="Times New Roman" w:eastAsia="宋体"/>
          <w:b w:val="0"/>
          <w:sz w:val="21"/>
        </w:rPr>
        <w:t xml:space="preserve">表5-66 电缆长度占比≤10%、负荷分散系数1.00的容载比区间矩阵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电缆长度占比≤10%、负荷分散系数1.10的容载比区间矩阵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电缆长度占比≤10%、负荷分散系数1.15的容载比区间矩阵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电缆长度占比(10%,30%]、负荷分散系数1.00的容载比区间矩阵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电缆长度占比(10%,30%]、负荷分散系数1.10的容载比区间矩阵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电缆长度占比(10%,30%]、负荷分散系数1.15的容载比区间矩阵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2.01～2.54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表5-72 电缆长度占比&gt;30%、负荷分散系数1.00的容载比区间矩阵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1.50～1.62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表5-73 电缆长度占比&gt;30%、负荷分散系数1.10的容载比区间矩阵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keepNext/>
        <w:spacing w:line="280" w:lineRule="exact" w:before="120" w:after="80"/>
        <w:ind w:firstLine="0"/>
        <w:jc w:val="center"/>
      </w:pPr>
      <w:r>
        <w:rPr>
          <w:rFonts w:ascii="Times New Roman" w:hAnsi="Times New Roman" w:eastAsia="宋体"/>
          <w:b w:val="0"/>
          <w:sz w:val="21"/>
        </w:rPr>
        <w:t xml:space="preserve">表5-74 电缆长度占比&gt;30%、负荷分散系数1.15的容载比区间矩阵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2.25～2.71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1.52～1.78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1.52～2.14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2.01～2.65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1.36～1.95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2.23～2.59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1.93～2.42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1.80～2.42</w:t>
            </w:r>
          </w:p>
        </w:tc>
      </w:tr>
    </w:tbl>
    <w:p>
      <w:pPr>
        <w:pStyle w:val="2"/>
        <w:widowControl/>
        <w:spacing w:line="348" w:lineRule="exact" w:before="0" w:after="0"/>
        <w:ind w:firstLine="480"/>
        <w:jc w:val="both"/>
      </w:pPr>
      <w:r>
        <w:rPr>
          <w:rFonts w:ascii="Times New Roman" w:hAnsi="Times New Roman" w:eastAsia="方正仿宋_GBK"/>
          <w:b w:val="0"/>
          <w:sz w:val="24"/>
        </w:rPr>
        <w:t xml:space="preserve">区间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端点由各单元同一电缆分区内不同造价及有限源荷节点的可行配置共同形成，读取区间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73"/>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电缆长度占比&gt;30%、负荷分散系数1.10下的矩阵端点</w:t>
      </w:r>
    </w:p>
    <w:p>
      <w:pPr>
        <w:pStyle w:val="5"/>
        <w:keepNext/>
        <w:numPr>
          <w:numId w:val="0"/>
        </w:numPr>
        <w:spacing w:line="390" w:lineRule="exact" w:before="160" w:after="120"/>
        <w:ind w:firstLine="0"/>
      </w:pPr>
      <w:bookmarkStart w:id="274" w:name="参数关联对应的设备变化"/>
      <w:r>
        <w:rPr>
          <w:rFonts w:ascii="Times New Roman" w:hAnsi="Times New Roman" w:eastAsia="方正仿宋_GBK"/>
          <w:b/>
          <w:sz w:val="26"/>
        </w:rPr>
        <w:t xml:space="preserve">5.6.3 参数关联对应的设备变化</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6" w:name="固定源荷条件下的转供序列"/>
      <w:r>
        <w:rPr>
          <w:rFonts w:ascii="Times New Roman" w:hAnsi="Times New Roman" w:eastAsia="方正仿宋_GBK"/>
          <w:b/>
          <w:sz w:val="26"/>
        </w:rPr>
        <w:t xml:space="preserve">5.6.4 固定源荷条件下的转供序列</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四档归纳容载比推荐范围，共形成8个区间单元。两组区间上下界均随转供档位提高而逐档下降。</w:t>
      </w:r>
    </w:p>
    <w:p>
      <w:pPr>
        <w:pStyle w:val="2"/>
        <w:keepNext/>
        <w:spacing w:line="280" w:lineRule="exact" w:before="120" w:after="80"/>
        <w:ind w:firstLine="0"/>
        <w:jc w:val="center"/>
      </w:pPr>
      <w:r>
        <w:rPr>
          <w:rFonts w:ascii="Times New Roman" w:hAnsi="Times New Roman" w:eastAsia="宋体"/>
          <w:b w:val="0"/>
          <w:sz w:val="21"/>
        </w:rPr>
        <w:t xml:space="preserve">表5-75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1.86～1.96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1.43～1.66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1.26～1.36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1.33～1.36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1.25～1.26</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w:t>
      </w:r>
    </w:p>
    <w:p>
      <w:pPr>
        <w:pStyle w:val="2"/>
        <w:keepNext/>
        <w:spacing w:line="280" w:lineRule="exact" w:before="120" w:after="80"/>
        <w:ind w:firstLine="0"/>
        <w:jc w:val="center"/>
      </w:pPr>
      <w:r>
        <w:rPr>
          <w:rFonts w:ascii="Times New Roman" w:hAnsi="Times New Roman" w:eastAsia="宋体"/>
          <w:b w:val="0"/>
          <w:sz w:val="21"/>
        </w:rPr>
        <w:t xml:space="preserve">表5-76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表5-77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8" w:name="装机渗透率与双向容量需求"/>
      <w:r>
        <w:rPr>
          <w:rFonts w:ascii="Times New Roman" w:hAnsi="Times New Roman" w:eastAsia="方正仿宋_GBK"/>
          <w:b/>
          <w:sz w:val="26"/>
        </w:rPr>
        <w:t xml:space="preserve">5.6.5 装机渗透率与双向容量需求</w:t>
      </w:r>
      <w:bookmarkEnd w:id="278"/>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表5-78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完整装机渗透率序列对应的主变与储能配置</w:t>
      </w:r>
    </w:p>
    <w:p>
      <w:pPr>
        <w:pStyle w:val="5"/>
        <w:keepNext/>
        <w:numPr>
          <w:numId w:val="0"/>
        </w:numPr>
        <w:spacing w:line="390" w:lineRule="exact" w:before="160" w:after="120"/>
        <w:ind w:firstLine="0"/>
      </w:pPr>
      <w:bookmarkStart w:id="280" w:name="年最大净负荷平均增长率与容量储备消耗"/>
      <w:r>
        <w:rPr>
          <w:rFonts w:ascii="Times New Roman" w:hAnsi="Times New Roman" w:eastAsia="方正仿宋_GBK"/>
          <w:b/>
          <w:sz w:val="26"/>
        </w:rPr>
        <w:t xml:space="preserve">5.6.6 年最大净负荷平均增长率与容量储备消耗</w:t>
      </w:r>
      <w:bookmarkEnd w:id="280"/>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表5-79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年最大净负荷平均增长率与规划负荷、容量及容载比</w:t>
      </w:r>
    </w:p>
    <w:p>
      <w:pPr>
        <w:pStyle w:val="5"/>
        <w:keepNext/>
        <w:numPr>
          <w:numId w:val="0"/>
        </w:numPr>
        <w:spacing w:line="390" w:lineRule="exact" w:before="160" w:after="120"/>
        <w:ind w:firstLine="0"/>
      </w:pPr>
      <w:bookmarkStart w:id="282" w:name="电缆长度占比与联络主变替代"/>
      <w:r>
        <w:rPr>
          <w:rFonts w:ascii="Times New Roman" w:hAnsi="Times New Roman" w:eastAsia="方正仿宋_GBK"/>
          <w:b/>
          <w:sz w:val="26"/>
        </w:rPr>
        <w:t xml:space="preserve">5.6.7 电缆长度占比与联络、主变替代</w:t>
      </w:r>
      <w:bookmarkEnd w:id="28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表5-80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4" w:name="负荷分散系数与局部高峰承载"/>
      <w:r>
        <w:rPr>
          <w:rFonts w:ascii="Times New Roman" w:hAnsi="Times New Roman" w:eastAsia="方正仿宋_GBK"/>
          <w:b/>
          <w:sz w:val="26"/>
        </w:rPr>
        <w:t xml:space="preserve">5.6.8 负荷分散系数与局部高峰承载</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表5-81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24142.90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31153.91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bl>
    <w:p>
      <w:pPr>
        <w:pStyle w:val="2"/>
        <w:widowControl/>
        <w:spacing w:line="348" w:lineRule="exact" w:before="0" w:after="0"/>
        <w:ind w:firstLine="480"/>
        <w:jc w:val="both"/>
      </w:pPr>
      <w:r>
        <w:rPr>
          <w:rFonts w:ascii="Times New Roman" w:hAnsi="Times New Roman" w:eastAsia="方正仿宋_GBK"/>
          <w:b w:val="0"/>
          <w:sz w:val="24"/>
        </w:rPr>
        <w:t xml:space="preserve">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5"/>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图5-18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矩阵分别列示三个分散系数定值，将局部高峰条件保留到查表结果。片区应用以同范围站级峰值及区域同时峰值核定该参数，再结合站间支援条件选择容量和配套措施。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62" w:name="h1162"/>
      <w:bookmarkStart w:id="286" w:name="规划建议"/>
      <w:r>
        <w:rPr>
          <w:rFonts w:ascii="Times New Roman" w:hAnsi="Times New Roman" w:eastAsia="方正仿宋_GBK"/>
          <w:b/>
          <w:sz w:val="32"/>
        </w:rPr>
        <w:t xml:space="preserve">5.7 规划建议</w:t>
      </w:r>
      <w:bookmarkEnd w:id="286"/>
      <w:bookmarkEnd w:id="2162"/>
    </w:p>
    <w:p>
      <w:pPr>
        <w:pStyle w:val="5"/>
        <w:keepNext/>
        <w:numPr>
          <w:numId w:val="0"/>
        </w:numPr>
        <w:spacing w:line="390" w:lineRule="exact" w:before="160" w:after="120"/>
        <w:ind w:firstLine="0"/>
      </w:pPr>
      <w:bookmarkStart w:id="287" w:name="按源荷条件和网络能力选取容量"/>
      <w:r>
        <w:rPr>
          <w:rFonts w:ascii="Times New Roman" w:hAnsi="Times New Roman" w:eastAsia="方正仿宋_GBK"/>
          <w:b/>
          <w:sz w:val="26"/>
        </w:rPr>
        <w:t xml:space="preserve">5.7.1 按源荷条件和网络能力选取容量</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8" w:name="统筹主变储能及联络建设"/>
      <w:r>
        <w:rPr>
          <w:rFonts w:ascii="Times New Roman" w:hAnsi="Times New Roman" w:eastAsia="方正仿宋_GBK"/>
          <w:b/>
          <w:sz w:val="26"/>
        </w:rPr>
        <w:t xml:space="preserve">5.7.2 统筹主变、储能及联络建设</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9" w:name="保留参数区间滚动更新计算依据"/>
      <w:r>
        <w:rPr>
          <w:rFonts w:ascii="Times New Roman" w:hAnsi="Times New Roman" w:eastAsia="方正仿宋_GBK"/>
          <w:b/>
          <w:sz w:val="26"/>
        </w:rPr>
        <w:t xml:space="preserve">5.7.3 保留参数区间，滚动更新计算依据</w:t>
      </w:r>
      <w:bookmarkEnd w:id="289"/>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90" w:name="推荐区间与具体设备的衔接"/>
      <w:r>
        <w:rPr>
          <w:rFonts w:ascii="Times New Roman" w:hAnsi="Times New Roman" w:eastAsia="方正仿宋_GBK"/>
          <w:b/>
          <w:sz w:val="26"/>
        </w:rPr>
        <w:t xml:space="preserve">5.7.4 推荐区间与具体设备的衔接</w:t>
      </w:r>
      <w:bookmarkEnd w:id="290"/>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91" w:name="邳州与市区建设措施的综合比较"/>
      <w:r>
        <w:rPr>
          <w:rFonts w:ascii="Times New Roman" w:hAnsi="Times New Roman" w:eastAsia="方正仿宋_GBK"/>
          <w:b/>
          <w:sz w:val="26"/>
        </w:rPr>
        <w:t xml:space="preserve">5.7.5 邳州与市区建设措施的综合比较</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两地区的弹性方案均增加了区域主变容量，逐站采用不同的建设方式。部分站更换既有主变，部分站扩建第三台，部分站保持原有设备并利用邻站支援。地区比值反映总容量与负荷的关系，逐站年度表反映设备和转供任务，两者共同说明新增容量的具体用途。</w:t>
      </w:r>
    </w:p>
    <w:p>
      <w:pPr>
        <w:pStyle w:val="2"/>
        <w:widowControl/>
        <w:spacing w:line="348" w:lineRule="exact" w:before="0" w:after="0"/>
        <w:ind w:firstLine="480"/>
        <w:jc w:val="both"/>
      </w:pPr>
      <w:r>
        <w:rPr>
          <w:rFonts w:ascii="Times New Roman" w:hAnsi="Times New Roman" w:eastAsia="方正仿宋_GBK"/>
          <w:b w:val="0"/>
          <w:sz w:val="24"/>
        </w:rPr>
        <w:t xml:space="preserve">邳州两类方案2025年主变容量分别为1704.00 MVA和1715.50 MVA，容载比1.78和1.79。弹性方案首年完成较多站内补强，2024年再净增11.50 MVA，2025年储能为7.31 MWh、累计新增联络13条；刚性方案储能为47.95 MWh、累计新增联络16条。兴塘等站提高最大单台主变停运后的剩余能力，减少了相应功率缺口及配套工程。</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市区弹性方案首年更换一台40 MVA主变为63 MVA，四年容量保持2923.00 MVA，2025年容载比1.91，刚性方案容量保持2900.00 MVA，前两年累计新增5条联络，2025年容载比1.90。两地区刚性可行方案费用合计21787.83万元，弹性为16248.62万元，减少5539.21万元，约25%。</w:t>
      </w:r>
    </w:p>
    <w:p>
      <w:pPr>
        <w:pStyle w:val="2"/>
        <w:widowControl/>
        <w:spacing w:line="348" w:lineRule="exact" w:before="0" w:after="0"/>
        <w:ind w:firstLine="480"/>
        <w:jc w:val="both"/>
      </w:pPr>
      <w:r>
        <w:rPr>
          <w:rFonts w:ascii="Times New Roman" w:hAnsi="Times New Roman" w:eastAsia="方正仿宋_GBK"/>
          <w:b w:val="0"/>
          <w:sz w:val="24"/>
        </w:rPr>
        <w:t xml:space="preserve">年度建设先满足当年需求，投运后持续在役的容量再供后续年份使用。负荷回落会提高同一容量对应的容载比，负荷恢复则消耗已有储备，整台主变投运又使容量随具体项目投运分步增加。因此，推荐区间用于前期比选，逐站工程与建设时点共同落实</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的规划方案。</w:t>
      </w:r>
    </w:p>
    <w:p>
      <w:pPr>
        <w:pStyle w:val="3"/>
        <w:keepNext/>
        <w:pageBreakBefore/>
        <w:numPr>
          <w:numId w:val="0"/>
        </w:numPr>
        <w:spacing w:line="540" w:lineRule="exact" w:before="0" w:after="120"/>
        <w:ind w:firstLine="0"/>
      </w:pPr>
      <w:bookmarkStart w:id="2177" w:name="h1177"/>
      <w:bookmarkStart w:id="292" w:name="第六章-结论与建议"/>
      <w:r>
        <w:rPr>
          <w:rFonts w:ascii="Times New Roman" w:hAnsi="Times New Roman" w:eastAsia="方正仿宋_GBK"/>
          <w:b/>
          <w:sz w:val="36"/>
        </w:rPr>
        <w:t xml:space="preserve">第六章 结论与建议</w:t>
      </w:r>
      <w:bookmarkEnd w:id="292"/>
      <w:bookmarkEnd w:id="2177"/>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79" w:name="h1179"/>
      <w:bookmarkStart w:id="293" w:name="主要研究结论"/>
      <w:r>
        <w:rPr>
          <w:rFonts w:ascii="Times New Roman" w:hAnsi="Times New Roman" w:eastAsia="方正仿宋_GBK"/>
          <w:b/>
          <w:sz w:val="32"/>
        </w:rPr>
        <w:t xml:space="preserve">6.1 主要研究结论</w:t>
      </w:r>
      <w:bookmarkEnd w:id="293"/>
      <w:bookmarkEnd w:id="2179"/>
    </w:p>
    <w:p>
      <w:pPr>
        <w:pStyle w:val="5"/>
        <w:keepNext/>
        <w:numPr>
          <w:numId w:val="0"/>
        </w:numPr>
        <w:spacing w:line="390" w:lineRule="exact" w:before="160" w:after="120"/>
        <w:ind w:firstLine="0"/>
      </w:pPr>
      <w:bookmarkStart w:id="294" w:name="容载比与局部容量压力应结合分析"/>
      <w:r>
        <w:rPr>
          <w:rFonts w:ascii="Times New Roman" w:hAnsi="Times New Roman" w:eastAsia="方正仿宋_GBK"/>
          <w:b/>
          <w:sz w:val="26"/>
        </w:rPr>
        <w:t xml:space="preserve">6.1.1 容载比与局部容量压力应结合分析</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5" w:name="弹性容量配置降低了所设条件下的方案费用"/>
      <w:r>
        <w:rPr>
          <w:rFonts w:ascii="Times New Roman" w:hAnsi="Times New Roman" w:eastAsia="方正仿宋_GBK"/>
          <w:b/>
          <w:sz w:val="26"/>
        </w:rPr>
        <w:t xml:space="preserve">6.1.2 弹性容量配置降低了所设条件下的方案费用</w:t>
      </w:r>
      <w:bookmarkEnd w:id="295"/>
    </w:p>
    <w:p>
      <w:pPr>
        <w:pStyle w:val="FirstParagraph"/>
        <w:widowControl/>
        <w:spacing w:line="348" w:lineRule="exact" w:before="0" w:after="0"/>
        <w:ind w:firstLine="480"/>
        <w:jc w:val="both"/>
      </w:pPr>
      <w:r>
        <w:rPr>
          <w:rFonts w:ascii="Times New Roman" w:hAnsi="Times New Roman" w:eastAsia="方正仿宋_GBK"/>
          <w:b w:val="0"/>
          <w:sz w:val="24"/>
        </w:rPr>
        <w:t xml:space="preserve">在相同初始设备、实际年度负荷及逐站转供约束下，邳州刚性、弹性方案2025年主变容量分别为1704.00 MVA和1715.50 MVA，容载比1.78和1.79，市区弹性方案为2923.00 MVA、1.91，刚性为2900.00 MVA、1.90。弹性配置由承载需求和费用确定，容量随年度建设保持非减。</w:t>
      </w:r>
    </w:p>
    <w:p>
      <w:pPr>
        <w:pStyle w:val="2"/>
        <w:widowControl/>
        <w:spacing w:line="348" w:lineRule="exact" w:before="0" w:after="0"/>
        <w:ind w:firstLine="480"/>
        <w:jc w:val="both"/>
      </w:pPr>
      <w:r>
        <w:rPr>
          <w:rFonts w:ascii="Times New Roman" w:hAnsi="Times New Roman" w:eastAsia="方正仿宋_GBK"/>
          <w:b w:val="0"/>
          <w:sz w:val="24"/>
        </w:rPr>
        <w:t xml:space="preserve">邳州弹性方案首年完成主变补强，减少后期配储，2025年储能额定能量7.31 MWh，刚性为47.95 MWh。市区弹性方案以一台主变更换替代刚性方案的5项新增联络。保留2021实际容量时，邳州弹性方案末年2148.50 MVA、7.74 MWh储能和3条新增联络，刚性为2027.00 MVA、201.24 MWh和4条；市区两类方案均利用3113.50 MVA存量及既有网络满足本次静态要求，新增费用为零。两地区刚性可行方案费用合计21787.83万元，弹性为16248.62万元，减少5539.21万元，约25%。</w:t>
      </w:r>
    </w:p>
    <w:p>
      <w:pPr>
        <w:pStyle w:val="5"/>
        <w:keepNext/>
        <w:numPr>
          <w:numId w:val="0"/>
        </w:numPr>
        <w:spacing w:line="390" w:lineRule="exact" w:before="160" w:after="120"/>
        <w:ind w:firstLine="0"/>
      </w:pPr>
      <w:bookmarkStart w:id="296"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负荷转接改善容量与负荷的空间匹配。送端负荷转出后正向供电需求降低，承接站负荷增加，两端分别按调整后的负荷校核。原站电源保持归属，潜在反向需求同时计入容量分析，转接总量在区县内部保持一致。</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当前模型将转接功率绑定具体馈线和站间候选，既有边不重复计建设费用，新增边按投运年计费。共用馈线的联络共用可转负荷和接收余量，邻站主变同时通过容量校核。</w:t>
      </w:r>
    </w:p>
    <w:p>
      <w:pPr>
        <w:pStyle w:val="5"/>
        <w:keepNext/>
        <w:numPr>
          <w:numId w:val="0"/>
        </w:numPr>
        <w:spacing w:line="390" w:lineRule="exact" w:before="160" w:after="120"/>
        <w:ind w:firstLine="0"/>
      </w:pPr>
      <w:bookmarkStart w:id="297" w:name="两层相关分析确定五项推广参数"/>
      <w:r>
        <w:rPr>
          <w:rFonts w:ascii="Times New Roman" w:hAnsi="Times New Roman" w:eastAsia="方正仿宋_GBK"/>
          <w:b/>
          <w:sz w:val="26"/>
        </w:rPr>
        <w:t xml:space="preserve">6.1.4 两层相关分析确定五项推广参数</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反映相应条件下的有限容量范围。另以两组设备重新选配的典型源荷条件分析18个细节点及8个转供区间，两组四档区间上下界均随初始转供率提高而下降，细节点保留平台和局部回升。查表后按实际站级缺口及可实施措施确定设备方案。</w:t>
      </w:r>
    </w:p>
    <w:p>
      <w:pPr>
        <w:pStyle w:val="4"/>
        <w:keepNext/>
        <w:numPr>
          <w:numId w:val="0"/>
        </w:numPr>
        <w:spacing w:line="480" w:lineRule="exact" w:before="160" w:after="120"/>
        <w:ind w:firstLine="0"/>
      </w:pPr>
      <w:bookmarkStart w:id="2193" w:name="h1193"/>
      <w:bookmarkStart w:id="298" w:name="规划应用建议"/>
      <w:r>
        <w:rPr>
          <w:rFonts w:ascii="Times New Roman" w:hAnsi="Times New Roman" w:eastAsia="方正仿宋_GBK"/>
          <w:b/>
          <w:sz w:val="32"/>
        </w:rPr>
        <w:t xml:space="preserve">6.2 规划应用建议</w:t>
      </w:r>
      <w:bookmarkEnd w:id="298"/>
      <w:bookmarkEnd w:id="2193"/>
    </w:p>
    <w:p>
      <w:pPr>
        <w:pStyle w:val="5"/>
        <w:keepNext/>
        <w:numPr>
          <w:numId w:val="0"/>
        </w:numPr>
        <w:spacing w:line="390" w:lineRule="exact" w:before="160" w:after="120"/>
        <w:ind w:firstLine="0"/>
      </w:pPr>
      <w:bookmarkStart w:id="299" w:name="按输入区间查表再落实设备方案"/>
      <w:r>
        <w:rPr>
          <w:rFonts w:ascii="Times New Roman" w:hAnsi="Times New Roman" w:eastAsia="方正仿宋_GBK"/>
          <w:b/>
          <w:sz w:val="26"/>
        </w:rPr>
        <w:t xml:space="preserve">6.2.1 按输入区间查表，再落实设备方案</w:t>
      </w:r>
      <w:bookmarkEnd w:id="299"/>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300" w:name="核实分区转供能力与储能支撑条件"/>
      <w:r>
        <w:rPr>
          <w:rFonts w:ascii="Times New Roman" w:hAnsi="Times New Roman" w:eastAsia="方正仿宋_GBK"/>
          <w:b/>
          <w:sz w:val="26"/>
        </w:rPr>
        <w:t xml:space="preserve">6.2.2 核实分区转供能力与储能支撑条件</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301" w:name="随数据和工程条件更新结果"/>
      <w:r>
        <w:rPr>
          <w:rFonts w:ascii="Times New Roman" w:hAnsi="Times New Roman" w:eastAsia="方正仿宋_GBK"/>
          <w:b/>
          <w:sz w:val="26"/>
        </w:rPr>
        <w:t xml:space="preserve">6.2.3 随数据和工程条件更新结果</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205" w:name="h1205"/>
      <w:bookmarkStart w:id="302" w:name="后续研究方向"/>
      <w:r>
        <w:rPr>
          <w:rFonts w:ascii="Times New Roman" w:hAnsi="Times New Roman" w:eastAsia="方正仿宋_GBK"/>
          <w:b/>
          <w:sz w:val="32"/>
        </w:rPr>
        <w:t xml:space="preserve">6.3 后续研究方向</w:t>
      </w:r>
      <w:bookmarkEnd w:id="302"/>
      <w:bookmarkEnd w:id="2205"/>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采用市区45个、邳州26个同期静态截面，覆盖地区和各站局部极值，既有等效通道及部分设备条件采用研究假设，后续结合真实接线补充逐时荷电状态、电压和保护校核。费用包括共同评价期内的建设、固定运维及规定更新，尚未纳入期末残值、储能充电和损耗等科目。研究结果用于当前假定下的技术经济比选，具体建设需以核定网络和工程资料进一步校核。</w:t>
      </w:r>
    </w:p>
    <w:p>
      <w:pPr>
        <w:pStyle w:val="5"/>
        <w:keepNext/>
        <w:numPr>
          <w:numId w:val="0"/>
        </w:numPr>
        <w:spacing w:line="390" w:lineRule="exact" w:before="160" w:after="120"/>
        <w:ind w:firstLine="0"/>
      </w:pPr>
      <w:bookmarkStart w:id="303" w:name="深化储能运行与实际网络校核"/>
      <w:r>
        <w:rPr>
          <w:rFonts w:ascii="Times New Roman" w:hAnsi="Times New Roman" w:eastAsia="方正仿宋_GBK"/>
          <w:b/>
          <w:sz w:val="26"/>
        </w:rPr>
        <w:t xml:space="preserve">6.3.1 深化储能运行与实际网络校核</w:t>
      </w:r>
      <w:bookmarkEnd w:id="303"/>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4" w:name="拓展片区结构和经济参数"/>
      <w:r>
        <w:rPr>
          <w:rFonts w:ascii="Times New Roman" w:hAnsi="Times New Roman" w:eastAsia="方正仿宋_GBK"/>
          <w:b/>
          <w:sz w:val="26"/>
        </w:rPr>
        <w:t xml:space="preserve">6.3.2 拓展片区结构和经济参数</w:t>
      </w:r>
      <w:bookmarkEnd w:id="304"/>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211" w:name="h1211"/>
      <w:bookmarkStart w:id="305" w:name="参考文献"/>
      <w:r>
        <w:rPr>
          <w:rFonts w:ascii="Times New Roman" w:hAnsi="Times New Roman" w:eastAsia="方正仿宋_GBK"/>
          <w:b/>
          <w:sz w:val="36"/>
        </w:rPr>
        <w:t xml:space="preserve">参考文献</w:t>
      </w:r>
      <w:bookmarkEnd w:id="305"/>
      <w:bookmarkEnd w:id="2211"/>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166</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2026-10-17T01:49:12Z</dcterms:created>
  <dcterms:modified xsi:type="dcterms:W3CDTF">2026-10-17T01:49:12Z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