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59F9C4">
      <w:pPr>
        <w:spacing w:before="2800" w:after="1000" w:line="660" w:lineRule="exact"/>
        <w:ind w:firstLine="0"/>
        <w:jc w:val="center"/>
      </w:pPr>
      <w:r>
        <w:rPr>
          <w:rFonts w:ascii="Times New Roman" w:hAnsi="Times New Roman" w:eastAsia="方正仿宋_GBK"/>
          <w:b/>
          <w:sz w:val="44"/>
        </w:rPr>
        <w:t>徐州地区分布式新能源高渗透率地区110 kV电网容载比弹性指标优化研究</w:t>
      </w:r>
    </w:p>
    <w:p w14:paraId="42F6C504">
      <w:pPr>
        <w:spacing w:line="600" w:lineRule="exact"/>
        <w:ind w:firstLine="0"/>
        <w:jc w:val="center"/>
      </w:pPr>
      <w:r>
        <w:rPr>
          <w:rFonts w:ascii="Times New Roman" w:hAnsi="Times New Roman" w:eastAsia="方正仿宋_GBK"/>
          <w:b/>
          <w:sz w:val="40"/>
        </w:rPr>
        <w:t>研究报告</w:t>
      </w:r>
    </w:p>
    <w:p w14:paraId="6B0926BE">
      <w:pPr>
        <w:spacing w:before="2400" w:line="420" w:lineRule="exact"/>
        <w:ind w:firstLine="0"/>
        <w:jc w:val="center"/>
      </w:pPr>
      <w:r>
        <w:rPr>
          <w:rFonts w:ascii="Times New Roman" w:hAnsi="Times New Roman" w:eastAsia="方正仿宋_GBK"/>
          <w:b w:val="0"/>
          <w:sz w:val="28"/>
        </w:rPr>
        <w:t>2026年10月</w:t>
      </w:r>
    </w:p>
    <w:p w14:paraId="7BE935B5">
      <w:pPr>
        <w:pageBreakBefore/>
        <w:spacing w:after="300" w:line="540" w:lineRule="exact"/>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rPr/>
      </w:pPr>
      <w:r>
        <w:rPr>
          <w:rFonts w:ascii="Times New Roman" w:hAnsi="Times New Roman" w:eastAsia="方正仿宋_GBK"/>
          <w:b/>
          <w:sz w:val="24"/>
        </w:rPr>
      </w:r>
      <w:hyperlink w:anchor="Report1017_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Report1017_h0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24"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Report1017_h24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47"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Report1017_h47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64"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Report1017_h64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76"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Report1017_h76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92"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Report1017_h92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rPr/>
      </w:pPr>
      <w:r>
        <w:rPr>
          <w:rFonts w:ascii="Times New Roman" w:hAnsi="Times New Roman" w:eastAsia="方正仿宋_GBK"/>
          <w:b/>
          <w:sz w:val="24"/>
        </w:rPr>
      </w:r>
      <w:hyperlink w:anchor="Report1017_h95"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Report1017_h95 \h </w:instrText>
      </w:r>
      <w:r>
        <w:rPr>
          <w:rFonts w:ascii="Times New Roman" w:hAnsi="Times New Roman" w:eastAsia="方正仿宋_GBK"/>
          <w:b/>
          <w:sz w:val="24"/>
        </w:rPr>
        <w:fldChar w:fldCharType="separate"/>
      </w:r>
      <w:r>
        <w:rPr>
          <w:rFonts w:ascii="Times New Roman" w:hAnsi="Times New Roman" w:eastAsia="方正仿宋_GBK"/>
          <w:b/>
          <w:sz w:val="24"/>
        </w:rPr>
        <w:t>15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98"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Report1017_h98 \h </w:instrText>
      </w:r>
      <w:r>
        <w:rPr>
          <w:rFonts w:ascii="Times New Roman" w:hAnsi="Times New Roman" w:eastAsia="方正仿宋_GBK"/>
          <w:b w:val="0"/>
          <w:sz w:val="24"/>
        </w:rPr>
        <w:fldChar w:fldCharType="separate"/>
      </w:r>
      <w:r>
        <w:rPr>
          <w:rFonts w:ascii="Times New Roman" w:hAnsi="Times New Roman" w:eastAsia="方正仿宋_GBK"/>
          <w:b w:val="0"/>
          <w:sz w:val="24"/>
        </w:rPr>
        <w:t>15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2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Report1017_h122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71"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Report1017_h171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9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Report1017_h193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215"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Report1017_h215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238"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Report1017_h238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256"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Report1017_h256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273"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Report1017_h273 \h </w:instrText>
      </w:r>
      <w:r>
        <w:rPr>
          <w:rFonts w:ascii="Times New Roman" w:hAnsi="Times New Roman" w:eastAsia="方正仿宋_GBK"/>
          <w:b w:val="0"/>
          <w:sz w:val="24"/>
        </w:rPr>
        <w:fldChar w:fldCharType="separate"/>
      </w:r>
      <w:r>
        <w:rPr>
          <w:rFonts w:ascii="Times New Roman" w:hAnsi="Times New Roman" w:eastAsia="方正仿宋_GBK"/>
          <w:b w:val="0"/>
          <w:sz w:val="24"/>
        </w:rPr>
        <w:t>34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302"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Report1017_h302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rPr/>
      </w:pPr>
      <w:r>
        <w:rPr>
          <w:rFonts w:ascii="Times New Roman" w:hAnsi="Times New Roman" w:eastAsia="方正仿宋_GBK"/>
          <w:b/>
          <w:sz w:val="24"/>
        </w:rPr>
      </w:r>
      <w:hyperlink w:anchor="Report1017_h304"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Report1017_h304 \h </w:instrText>
      </w:r>
      <w:r>
        <w:rPr>
          <w:rFonts w:ascii="Times New Roman" w:hAnsi="Times New Roman" w:eastAsia="方正仿宋_GBK"/>
          <w:b/>
          <w:sz w:val="24"/>
        </w:rPr>
        <w:fldChar w:fldCharType="separate"/>
      </w:r>
      <w:r>
        <w:rPr>
          <w:rFonts w:ascii="Times New Roman" w:hAnsi="Times New Roman" w:eastAsia="方正仿宋_GBK"/>
          <w:b/>
          <w:sz w:val="24"/>
        </w:rPr>
        <w:t>38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305"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Report1017_h305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315"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Report1017_h315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336"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Report1017_h336 \h </w:instrText>
      </w:r>
      <w:r>
        <w:rPr>
          <w:rFonts w:ascii="Times New Roman" w:hAnsi="Times New Roman" w:eastAsia="方正仿宋_GBK"/>
          <w:b w:val="0"/>
          <w:sz w:val="24"/>
        </w:rPr>
        <w:fldChar w:fldCharType="separate"/>
      </w:r>
      <w:r>
        <w:rPr>
          <w:rFonts w:ascii="Times New Roman" w:hAnsi="Times New Roman" w:eastAsia="方正仿宋_GBK"/>
          <w:b w:val="0"/>
          <w:sz w:val="24"/>
        </w:rPr>
        <w:t>41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358"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Report1017_h358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394"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Report1017_h394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437"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Report1017_h437 \h </w:instrText>
      </w:r>
      <w:r>
        <w:rPr>
          <w:rFonts w:ascii="Times New Roman" w:hAnsi="Times New Roman" w:eastAsia="方正仿宋_GBK"/>
          <w:b w:val="0"/>
          <w:sz w:val="24"/>
        </w:rPr>
        <w:fldChar w:fldCharType="separate"/>
      </w:r>
      <w:r>
        <w:rPr>
          <w:rFonts w:ascii="Times New Roman" w:hAnsi="Times New Roman" w:eastAsia="方正仿宋_GBK"/>
          <w:b w:val="0"/>
          <w:sz w:val="24"/>
        </w:rPr>
        <w:t>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447"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Report1017_h447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463"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Report1017_h463 \h </w:instrText>
      </w:r>
      <w:r>
        <w:rPr>
          <w:rFonts w:ascii="Times New Roman" w:hAnsi="Times New Roman" w:eastAsia="方正仿宋_GBK"/>
          <w:b w:val="0"/>
          <w:sz w:val="24"/>
        </w:rPr>
        <w:fldChar w:fldCharType="separate"/>
      </w:r>
      <w:r>
        <w:rPr>
          <w:rFonts w:ascii="Times New Roman" w:hAnsi="Times New Roman" w:eastAsia="方正仿宋_GBK"/>
          <w:b w:val="0"/>
          <w:sz w:val="24"/>
        </w:rPr>
        <w:t>63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rPr/>
      </w:pPr>
      <w:r>
        <w:rPr>
          <w:rFonts w:ascii="Times New Roman" w:hAnsi="Times New Roman" w:eastAsia="方正仿宋_GBK"/>
          <w:b/>
          <w:sz w:val="24"/>
        </w:rPr>
      </w:r>
      <w:hyperlink w:anchor="Report1017_h49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Report1017_h491 \h </w:instrText>
      </w:r>
      <w:r>
        <w:rPr>
          <w:rFonts w:ascii="Times New Roman" w:hAnsi="Times New Roman" w:eastAsia="方正仿宋_GBK"/>
          <w:b/>
          <w:sz w:val="24"/>
        </w:rPr>
        <w:fldChar w:fldCharType="separate"/>
      </w:r>
      <w:r>
        <w:rPr>
          <w:rFonts w:ascii="Times New Roman" w:hAnsi="Times New Roman" w:eastAsia="方正仿宋_GBK"/>
          <w:b/>
          <w:sz w:val="24"/>
        </w:rPr>
        <w:t>68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49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Report1017_h492 \h </w:instrText>
      </w:r>
      <w:r>
        <w:rPr>
          <w:rFonts w:ascii="Times New Roman" w:hAnsi="Times New Roman" w:eastAsia="方正仿宋_GBK"/>
          <w:b w:val="0"/>
          <w:sz w:val="24"/>
        </w:rPr>
        <w:fldChar w:fldCharType="separate"/>
      </w:r>
      <w:r>
        <w:rPr>
          <w:rFonts w:ascii="Times New Roman" w:hAnsi="Times New Roman" w:eastAsia="方正仿宋_GBK"/>
          <w:b w:val="0"/>
          <w:sz w:val="24"/>
        </w:rPr>
        <w:t>68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50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Report1017_h504 \h </w:instrText>
      </w:r>
      <w:r>
        <w:rPr>
          <w:rFonts w:ascii="Times New Roman" w:hAnsi="Times New Roman" w:eastAsia="方正仿宋_GBK"/>
          <w:b w:val="0"/>
          <w:sz w:val="24"/>
        </w:rPr>
        <w:fldChar w:fldCharType="separate"/>
      </w:r>
      <w:r>
        <w:rPr>
          <w:rFonts w:ascii="Times New Roman" w:hAnsi="Times New Roman" w:eastAsia="方正仿宋_GBK"/>
          <w:b w:val="0"/>
          <w:sz w:val="24"/>
        </w:rPr>
        <w:t>69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529"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Report1017_h529 \h </w:instrText>
      </w:r>
      <w:r>
        <w:rPr>
          <w:rFonts w:ascii="Times New Roman" w:hAnsi="Times New Roman" w:eastAsia="方正仿宋_GBK"/>
          <w:b w:val="0"/>
          <w:sz w:val="24"/>
        </w:rPr>
        <w:fldChar w:fldCharType="separate"/>
      </w:r>
      <w:r>
        <w:rPr>
          <w:rFonts w:ascii="Times New Roman" w:hAnsi="Times New Roman" w:eastAsia="方正仿宋_GBK"/>
          <w:b w:val="0"/>
          <w:sz w:val="24"/>
        </w:rPr>
        <w:t>72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543"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Report1017_h543 \h </w:instrText>
      </w:r>
      <w:r>
        <w:rPr>
          <w:rFonts w:ascii="Times New Roman" w:hAnsi="Times New Roman" w:eastAsia="方正仿宋_GBK"/>
          <w:b w:val="0"/>
          <w:sz w:val="24"/>
        </w:rPr>
        <w:fldChar w:fldCharType="separate"/>
      </w:r>
      <w:r>
        <w:rPr>
          <w:rFonts w:ascii="Times New Roman" w:hAnsi="Times New Roman" w:eastAsia="方正仿宋_GBK"/>
          <w:b w:val="0"/>
          <w:sz w:val="24"/>
        </w:rPr>
        <w:t>73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562"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Report1017_h562 \h </w:instrText>
      </w:r>
      <w:r>
        <w:rPr>
          <w:rFonts w:ascii="Times New Roman" w:hAnsi="Times New Roman" w:eastAsia="方正仿宋_GBK"/>
          <w:b w:val="0"/>
          <w:sz w:val="24"/>
        </w:rPr>
        <w:fldChar w:fldCharType="separate"/>
      </w:r>
      <w:r>
        <w:rPr>
          <w:rFonts w:ascii="Times New Roman" w:hAnsi="Times New Roman" w:eastAsia="方正仿宋_GBK"/>
          <w:b w:val="0"/>
          <w:sz w:val="24"/>
        </w:rPr>
        <w:t>76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579"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Report1017_h579 \h </w:instrText>
      </w:r>
      <w:r>
        <w:rPr>
          <w:rFonts w:ascii="Times New Roman" w:hAnsi="Times New Roman" w:eastAsia="方正仿宋_GBK"/>
          <w:b w:val="0"/>
          <w:sz w:val="24"/>
        </w:rPr>
        <w:fldChar w:fldCharType="separate"/>
      </w:r>
      <w:r>
        <w:rPr>
          <w:rFonts w:ascii="Times New Roman" w:hAnsi="Times New Roman" w:eastAsia="方正仿宋_GBK"/>
          <w:b w:val="0"/>
          <w:sz w:val="24"/>
        </w:rPr>
        <w:t>78</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rPr/>
      </w:pPr>
      <w:r>
        <w:rPr>
          <w:rFonts w:ascii="Times New Roman" w:hAnsi="Times New Roman" w:eastAsia="方正仿宋_GBK"/>
          <w:b/>
          <w:sz w:val="24"/>
        </w:rPr>
      </w:r>
      <w:hyperlink w:anchor="Report1017_h608"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Report1017_h608 \h </w:instrText>
      </w:r>
      <w:r>
        <w:rPr>
          <w:rFonts w:ascii="Times New Roman" w:hAnsi="Times New Roman" w:eastAsia="方正仿宋_GBK"/>
          <w:b/>
          <w:sz w:val="24"/>
        </w:rPr>
        <w:fldChar w:fldCharType="separate"/>
      </w:r>
      <w:r>
        <w:rPr>
          <w:rFonts w:ascii="Times New Roman" w:hAnsi="Times New Roman" w:eastAsia="方正仿宋_GBK"/>
          <w:b/>
          <w:sz w:val="24"/>
        </w:rPr>
        <w:t>82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610"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Report1017_h610 \h </w:instrText>
      </w:r>
      <w:r>
        <w:rPr>
          <w:rFonts w:ascii="Times New Roman" w:hAnsi="Times New Roman" w:eastAsia="方正仿宋_GBK"/>
          <w:b w:val="0"/>
          <w:sz w:val="24"/>
        </w:rPr>
        <w:fldChar w:fldCharType="separate"/>
      </w:r>
      <w:r>
        <w:rPr>
          <w:rFonts w:ascii="Times New Roman" w:hAnsi="Times New Roman" w:eastAsia="方正仿宋_GBK"/>
          <w:b w:val="0"/>
          <w:sz w:val="24"/>
        </w:rPr>
        <w:t>82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633"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Report1017_h633 \h </w:instrText>
      </w:r>
      <w:r>
        <w:rPr>
          <w:rFonts w:ascii="Times New Roman" w:hAnsi="Times New Roman" w:eastAsia="方正仿宋_GBK"/>
          <w:b w:val="0"/>
          <w:sz w:val="24"/>
        </w:rPr>
        <w:fldChar w:fldCharType="separate"/>
      </w:r>
      <w:r>
        <w:rPr>
          <w:rFonts w:ascii="Times New Roman" w:hAnsi="Times New Roman" w:eastAsia="方正仿宋_GBK"/>
          <w:b w:val="0"/>
          <w:sz w:val="24"/>
        </w:rPr>
        <w:t>85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653"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Report1017_h653 \h </w:instrText>
      </w:r>
      <w:r>
        <w:rPr>
          <w:rFonts w:ascii="Times New Roman" w:hAnsi="Times New Roman" w:eastAsia="方正仿宋_GBK"/>
          <w:b w:val="0"/>
          <w:sz w:val="24"/>
        </w:rPr>
        <w:fldChar w:fldCharType="separate"/>
      </w:r>
      <w:r>
        <w:rPr>
          <w:rFonts w:ascii="Times New Roman" w:hAnsi="Times New Roman" w:eastAsia="方正仿宋_GBK"/>
          <w:b w:val="0"/>
          <w:sz w:val="24"/>
        </w:rPr>
        <w:t>87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668"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Report1017_h668 \h </w:instrText>
      </w:r>
      <w:r>
        <w:rPr>
          <w:rFonts w:ascii="Times New Roman" w:hAnsi="Times New Roman" w:eastAsia="方正仿宋_GBK"/>
          <w:b w:val="0"/>
          <w:sz w:val="24"/>
        </w:rPr>
        <w:fldChar w:fldCharType="separate"/>
      </w:r>
      <w:r>
        <w:rPr>
          <w:rFonts w:ascii="Times New Roman" w:hAnsi="Times New Roman" w:eastAsia="方正仿宋_GBK"/>
          <w:b w:val="0"/>
          <w:sz w:val="24"/>
        </w:rPr>
        <w:t>89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022"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Report1017_h1022 \h </w:instrText>
      </w:r>
      <w:r>
        <w:rPr>
          <w:rFonts w:ascii="Times New Roman" w:hAnsi="Times New Roman" w:eastAsia="方正仿宋_GBK"/>
          <w:b w:val="0"/>
          <w:sz w:val="24"/>
        </w:rPr>
        <w:fldChar w:fldCharType="separate"/>
      </w:r>
      <w:r>
        <w:rPr>
          <w:rFonts w:ascii="Times New Roman" w:hAnsi="Times New Roman" w:eastAsia="方正仿宋_GBK"/>
          <w:b w:val="0"/>
          <w:sz w:val="24"/>
        </w:rPr>
        <w:t>149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044"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Report1017_h1044 \h </w:instrText>
      </w:r>
      <w:r>
        <w:rPr>
          <w:rFonts w:ascii="Times New Roman" w:hAnsi="Times New Roman" w:eastAsia="方正仿宋_GBK"/>
          <w:b w:val="0"/>
          <w:sz w:val="24"/>
        </w:rPr>
        <w:fldChar w:fldCharType="separate"/>
      </w:r>
      <w:r>
        <w:rPr>
          <w:rFonts w:ascii="Times New Roman" w:hAnsi="Times New Roman" w:eastAsia="方正仿宋_GBK"/>
          <w:b w:val="0"/>
          <w:sz w:val="24"/>
        </w:rPr>
        <w:t>153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119"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Report1017_h1119 \h </w:instrText>
      </w:r>
      <w:r>
        <w:rPr>
          <w:rFonts w:ascii="Times New Roman" w:hAnsi="Times New Roman" w:eastAsia="方正仿宋_GBK"/>
          <w:b w:val="0"/>
          <w:sz w:val="24"/>
        </w:rPr>
        <w:fldChar w:fldCharType="separate"/>
      </w:r>
      <w:r>
        <w:rPr>
          <w:rFonts w:ascii="Times New Roman" w:hAnsi="Times New Roman" w:eastAsia="方正仿宋_GBK"/>
          <w:b w:val="0"/>
          <w:sz w:val="24"/>
        </w:rPr>
        <w:t>170</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rPr/>
      </w:pPr>
      <w:r>
        <w:rPr>
          <w:rFonts w:ascii="Times New Roman" w:hAnsi="Times New Roman" w:eastAsia="方正仿宋_GBK"/>
          <w:b/>
          <w:sz w:val="24"/>
        </w:rPr>
      </w:r>
      <w:hyperlink w:anchor="Report1017_h1133"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Report1017_h1133 \h </w:instrText>
      </w:r>
      <w:r>
        <w:rPr>
          <w:rFonts w:ascii="Times New Roman" w:hAnsi="Times New Roman" w:eastAsia="方正仿宋_GBK"/>
          <w:b/>
          <w:sz w:val="24"/>
        </w:rPr>
        <w:fldChar w:fldCharType="separate"/>
      </w:r>
      <w:r>
        <w:rPr>
          <w:rFonts w:ascii="Times New Roman" w:hAnsi="Times New Roman" w:eastAsia="方正仿宋_GBK"/>
          <w:b/>
          <w:sz w:val="24"/>
        </w:rPr>
        <w:t>172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135"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Report1017_h1135 \h </w:instrText>
      </w:r>
      <w:r>
        <w:rPr>
          <w:rFonts w:ascii="Times New Roman" w:hAnsi="Times New Roman" w:eastAsia="方正仿宋_GBK"/>
          <w:b w:val="0"/>
          <w:sz w:val="24"/>
        </w:rPr>
        <w:fldChar w:fldCharType="separate"/>
      </w:r>
      <w:r>
        <w:rPr>
          <w:rFonts w:ascii="Times New Roman" w:hAnsi="Times New Roman" w:eastAsia="方正仿宋_GBK"/>
          <w:b w:val="0"/>
          <w:sz w:val="24"/>
        </w:rPr>
        <w:t>172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149"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Report1017_h1149 \h </w:instrText>
      </w:r>
      <w:r>
        <w:rPr>
          <w:rFonts w:ascii="Times New Roman" w:hAnsi="Times New Roman" w:eastAsia="方正仿宋_GBK"/>
          <w:b w:val="0"/>
          <w:sz w:val="24"/>
        </w:rPr>
        <w:fldChar w:fldCharType="separate"/>
      </w:r>
      <w:r>
        <w:rPr>
          <w:rFonts w:ascii="Times New Roman" w:hAnsi="Times New Roman" w:eastAsia="方正仿宋_GBK"/>
          <w:b w:val="0"/>
          <w:sz w:val="24"/>
        </w:rPr>
        <w:t>173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rPr/>
      </w:pPr>
      <w:r>
        <w:rPr>
          <w:rFonts w:ascii="Times New Roman" w:hAnsi="Times New Roman" w:eastAsia="方正仿宋_GBK"/>
          <w:b w:val="0"/>
          <w:sz w:val="24"/>
        </w:rPr>
      </w:r>
      <w:hyperlink w:anchor="Report1017_h1161"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Report1017_h1161 \h </w:instrText>
      </w:r>
      <w:r>
        <w:rPr>
          <w:rFonts w:ascii="Times New Roman" w:hAnsi="Times New Roman" w:eastAsia="方正仿宋_GBK"/>
          <w:b w:val="0"/>
          <w:sz w:val="24"/>
        </w:rPr>
        <w:fldChar w:fldCharType="separate"/>
      </w:r>
      <w:r>
        <w:rPr>
          <w:rFonts w:ascii="Times New Roman" w:hAnsi="Times New Roman" w:eastAsia="方正仿宋_GBK"/>
          <w:b w:val="0"/>
          <w:sz w:val="24"/>
        </w:rPr>
        <w:t>174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rPr/>
      </w:pPr>
      <w:r>
        <w:rPr>
          <w:rFonts w:ascii="Times New Roman" w:hAnsi="Times New Roman" w:eastAsia="方正仿宋_GBK"/>
          <w:b/>
          <w:sz w:val="24"/>
        </w:rPr>
      </w:r>
      <w:hyperlink w:anchor="Report1017_h1167"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Report1017_h1167 \h </w:instrText>
      </w:r>
      <w:r>
        <w:rPr>
          <w:rFonts w:ascii="Times New Roman" w:hAnsi="Times New Roman" w:eastAsia="方正仿宋_GBK"/>
          <w:b/>
          <w:sz w:val="24"/>
        </w:rPr>
        <w:fldChar w:fldCharType="separate"/>
      </w:r>
      <w:r>
        <w:rPr>
          <w:rFonts w:ascii="Times New Roman" w:hAnsi="Times New Roman" w:eastAsia="方正仿宋_GBK"/>
          <w:b/>
          <w:sz w:val="24"/>
        </w:rPr>
        <w:t>175</w:t>
      </w:r>
      <w:r>
        <w:rPr>
          <w:rFonts w:ascii="Times New Roman" w:hAnsi="Times New Roman" w:eastAsia="方正仿宋_GBK"/>
          <w:b/>
          <w:sz w:val="24"/>
        </w:rPr>
        <w:fldChar w:fldCharType="end"/>
      </w:r>
    </w:p>
    <w:p w14:paraId="7217BFE5">
      <w:pPr>
        <w:pStyle w:val="3"/>
        <w:keepNext/>
        <w:pageBreakBefore/>
        <w:numPr>
          <w:ilvl w:val="0"/>
          <w:numId w:val="0"/>
        </w:numPr>
        <w:spacing w:before="0" w:after="120" w:line="540" w:lineRule="exact"/>
        <w:ind w:firstLine="0"/>
      </w:pPr>
      <w:bookmarkStart w:id="291" w:name="Report1017_h0"/>
      <w:bookmarkEnd w:id="291"/>
      <w:bookmarkStart w:id="0" w:name="h0"/>
      <w:bookmarkStart w:id="1" w:name="第一章-绪论"/>
      <w:r>
        <w:rPr>
          <w:rFonts w:ascii="Times New Roman" w:hAnsi="Times New Roman" w:eastAsia="方正仿宋_GBK"/>
          <w:b/>
          <w:sz w:val="36"/>
        </w:rPr>
        <w:t>第一章 绪论</w:t>
      </w:r>
      <w:bookmarkEnd w:id="0"/>
      <w:bookmarkEnd w:id="1"/>
    </w:p>
    <w:p w14:paraId="47124A9D">
      <w:pPr>
        <w:pStyle w:val="4"/>
        <w:keepNext/>
        <w:numPr>
          <w:ilvl w:val="0"/>
          <w:numId w:val="0"/>
        </w:numPr>
        <w:spacing w:before="160" w:after="120" w:line="480" w:lineRule="exact"/>
        <w:ind w:firstLine="0"/>
      </w:pPr>
      <w:bookmarkStart w:id="292" w:name="Report1017_h1"/>
      <w:bookmarkEnd w:id="292"/>
      <w:bookmarkStart w:id="2" w:name="h1"/>
      <w:bookmarkStart w:id="3" w:name="研究背景与意义"/>
      <w:r>
        <w:rPr>
          <w:rFonts w:ascii="Times New Roman" w:hAnsi="Times New Roman" w:eastAsia="方正仿宋_GBK"/>
          <w:b/>
          <w:sz w:val="32"/>
        </w:rPr>
        <w:t>1.1 研究背景与意义</w:t>
      </w:r>
      <w:bookmarkEnd w:id="2"/>
      <w:bookmarkEnd w:id="3"/>
    </w:p>
    <w:p w14:paraId="78C6D5D6">
      <w:pPr>
        <w:pStyle w:val="5"/>
        <w:keepNext/>
        <w:numPr>
          <w:ilvl w:val="0"/>
          <w:numId w:val="0"/>
        </w:numPr>
        <w:spacing w:before="160" w:after="120" w:line="390" w:lineRule="exact"/>
        <w:ind w:firstLine="0"/>
      </w:pPr>
      <w:bookmarkStart w:id="4" w:name="分布式新能源发展对配电网规划的影响"/>
      <w:r>
        <w:rPr>
          <w:rFonts w:ascii="Times New Roman" w:hAnsi="Times New Roman" w:eastAsia="方正仿宋_GBK"/>
          <w:b/>
          <w:sz w:val="26"/>
        </w:rPr>
        <w:t>1.1.1 分布式新能源发展对配电网规划的影响</w:t>
      </w:r>
      <w:bookmarkEnd w:id="4"/>
    </w:p>
    <w:p w14:paraId="6DED3B27">
      <w:pPr>
        <w:pStyle w:val="115"/>
        <w:widowControl/>
        <w:spacing w:before="0" w:after="0" w:line="348" w:lineRule="exact"/>
        <w:ind w:firstLine="480"/>
        <w:jc w:val="both"/>
      </w:pPr>
      <w:r>
        <w:rPr>
          <w:rFonts w:ascii="Times New Roman" w:hAnsi="Times New Roman" w:eastAsia="方正仿宋_GBK"/>
          <w:b w:val="0"/>
          <w:sz w:val="24"/>
        </w:rPr>
        <w:t>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14:paraId="61704304">
      <w:pPr>
        <w:pStyle w:val="2"/>
        <w:widowControl/>
        <w:spacing w:before="0" w:after="0" w:line="348" w:lineRule="exact"/>
        <w:ind w:firstLine="480"/>
        <w:jc w:val="both"/>
      </w:pPr>
      <w:r>
        <w:rPr>
          <w:rFonts w:ascii="Times New Roman" w:hAnsi="Times New Roman" w:eastAsia="方正仿宋_GBK"/>
          <w:b w:val="0"/>
          <w:sz w:val="24"/>
        </w:rPr>
        <w:t>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14:paraId="588F4581">
      <w:pPr>
        <w:pStyle w:val="2"/>
        <w:widowControl/>
        <w:spacing w:before="0" w:after="0" w:line="348" w:lineRule="exact"/>
        <w:ind w:firstLine="480"/>
        <w:jc w:val="both"/>
      </w:pPr>
      <w:r>
        <w:rPr>
          <w:rFonts w:ascii="Times New Roman" w:hAnsi="Times New Roman" w:eastAsia="方正仿宋_GBK"/>
          <w:b w:val="0"/>
          <w:sz w:val="24"/>
        </w:rPr>
        <w:t>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14:paraId="0408B717">
      <w:pPr>
        <w:pStyle w:val="2"/>
        <w:widowControl/>
        <w:spacing w:before="0" w:after="0" w:line="348" w:lineRule="exact"/>
        <w:ind w:firstLine="480"/>
        <w:jc w:val="both"/>
      </w:pPr>
      <w:r>
        <w:rPr>
          <w:rFonts w:ascii="Times New Roman" w:hAnsi="Times New Roman" w:eastAsia="方正仿宋_GBK"/>
          <w:b w:val="0"/>
          <w:sz w:val="24"/>
        </w:rPr>
        <w:t>《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14:paraId="5EA8750A">
      <w:pPr>
        <w:pStyle w:val="2"/>
        <w:widowControl/>
        <w:spacing w:before="0" w:after="0" w:line="348" w:lineRule="exact"/>
        <w:ind w:firstLine="480"/>
        <w:jc w:val="both"/>
      </w:pPr>
      <w:r>
        <w:rPr>
          <w:rFonts w:ascii="Times New Roman" w:hAnsi="Times New Roman" w:eastAsia="方正仿宋_GBK"/>
          <w:b w:val="0"/>
          <w:sz w:val="24"/>
        </w:rPr>
        <w:t>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14:paraId="68FF3094">
      <w:pPr>
        <w:pStyle w:val="2"/>
        <w:widowControl/>
        <w:spacing w:before="0" w:after="0" w:line="348" w:lineRule="exact"/>
        <w:ind w:firstLine="480"/>
        <w:jc w:val="both"/>
      </w:pPr>
      <w:r>
        <w:rPr>
          <w:rFonts w:ascii="Times New Roman" w:hAnsi="Times New Roman" w:eastAsia="方正仿宋_GBK"/>
          <w:b w:val="0"/>
          <w:sz w:val="24"/>
        </w:rPr>
        <w:t>分布式电源接入后，电网规划需要将电源发展与用户用电需求放在同一供电区域内分析。发改能源〔2024〕187号要求统筹配电网容量、负荷增长及调节资源，开展新能源接网影响分析，并根据地区发展阶段实施差异化规划[6]。对于110 kV电网，这一要求落实为两项相互衔接的工作：区域层面识别供电峰值和反送规模，站级层面确定相关功率由哪组主变、哪条通道及何种调节资源承担。只有将规模统计落实到设备位置，容量储备才能对应到可用的供电能力。</w:t>
      </w:r>
    </w:p>
    <w:p w14:paraId="5B17562C">
      <w:pPr>
        <w:pStyle w:val="2"/>
        <w:widowControl/>
        <w:spacing w:before="0" w:after="0" w:line="348" w:lineRule="exact"/>
        <w:ind w:firstLine="480"/>
        <w:jc w:val="both"/>
      </w:pPr>
      <w:r>
        <w:rPr>
          <w:rFonts w:ascii="Times New Roman" w:hAnsi="Times New Roman" w:eastAsia="方正仿宋_GBK"/>
          <w:b w:val="0"/>
          <w:sz w:val="24"/>
        </w:rPr>
        <w:t>源荷变化还会改变主变建设与下级网络建设之间的投资关系。增加主变可以提高本站供电和接收能力，增加联络则使已有余量在站间发挥作用，两者在一定条件下能够互相替代。肖峻等通过改变馈线容量、联络位置和联络规模，分析了同一变电容量下最大供电能力的变化[7]。本项目据此将联络通道和接收站余量同时纳入容量比选，使新增主变与改善转供条件的作用能够在共同供电任务下比较。</w:t>
      </w:r>
    </w:p>
    <w:p w14:paraId="6B602F69">
      <w:pPr>
        <w:pStyle w:val="5"/>
        <w:keepNext/>
        <w:numPr>
          <w:ilvl w:val="0"/>
          <w:numId w:val="0"/>
        </w:numPr>
        <w:spacing w:before="160" w:after="120" w:line="390" w:lineRule="exact"/>
        <w:ind w:firstLine="0"/>
      </w:pPr>
      <w:bookmarkStart w:id="5" w:name="徐州地区的研究需求"/>
      <w:r>
        <w:rPr>
          <w:rFonts w:ascii="Times New Roman" w:hAnsi="Times New Roman" w:eastAsia="方正仿宋_GBK"/>
          <w:b/>
          <w:sz w:val="26"/>
        </w:rPr>
        <w:t>1.1.2 徐州地区的研究需求</w:t>
      </w:r>
      <w:bookmarkEnd w:id="5"/>
    </w:p>
    <w:p w14:paraId="6BD425E6">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[8]。与此同时，容量规划仍需参照按负荷增长分档的容载比范围，上限一般为2.00[5,8]。增加主变容量可能使容载比超过该上限，规划人员需要判断：反向容量或供电安全要求形成的增容需求，应如何与区域容载比控制值协调。</w:t>
      </w:r>
    </w:p>
    <w:p w14:paraId="4F7872BE">
      <w:pPr>
        <w:pStyle w:val="2"/>
        <w:widowControl/>
        <w:spacing w:before="0" w:after="0" w:line="348" w:lineRule="exact"/>
        <w:ind w:firstLine="480"/>
        <w:jc w:val="both"/>
      </w:pPr>
      <w:r>
        <w:rPr>
          <w:rFonts w:ascii="Times New Roman" w:hAnsi="Times New Roman" w:eastAsia="方正仿宋_GBK"/>
          <w:b w:val="0"/>
          <w:sz w:val="24"/>
        </w:rPr>
        <w:t>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14:paraId="5DBE1036">
      <w:pPr>
        <w:pStyle w:val="2"/>
        <w:widowControl/>
        <w:spacing w:before="0" w:after="0" w:line="348" w:lineRule="exact"/>
        <w:ind w:firstLine="480"/>
        <w:jc w:val="both"/>
      </w:pPr>
      <w:r>
        <w:rPr>
          <w:rFonts w:ascii="Times New Roman" w:hAnsi="Times New Roman" w:eastAsia="方正仿宋_GBK"/>
          <w:b w:val="0"/>
          <w:sz w:val="24"/>
        </w:rPr>
        <w:t>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14:paraId="3BF71D4B">
      <w:pPr>
        <w:pStyle w:val="2"/>
        <w:widowControl/>
        <w:spacing w:before="0" w:after="0" w:line="348" w:lineRule="exact"/>
        <w:ind w:firstLine="480"/>
        <w:jc w:val="both"/>
      </w:pPr>
      <w:r>
        <w:rPr>
          <w:rFonts w:ascii="Times New Roman" w:hAnsi="Times New Roman" w:eastAsia="方正仿宋_GBK"/>
          <w:b w:val="0"/>
          <w:sz w:val="24"/>
        </w:rPr>
        <w:t>两类片区的比较需要保留各自的源荷特征。县域分布式光伏较多时，日间反向任务可能先在少数站点集中，区域总容量仍需通过逐站配置才能承担这些任务。城区供电负荷较集中时，既有联络及相邻站剩余容量可能对建设位置有较大影响。多层级协同规划研究表明，变电站与下级线路的投资配置应结合实际负荷分布共同确定[9]。因此，本研究在相同方法下分别建立两地区模型，设备位置、年度负荷和既有通道均保留地区资料特征。</w:t>
      </w:r>
    </w:p>
    <w:p w14:paraId="51217783">
      <w:pPr>
        <w:pStyle w:val="2"/>
        <w:widowControl/>
        <w:spacing w:before="0" w:after="0" w:line="348" w:lineRule="exact"/>
        <w:ind w:firstLine="480"/>
        <w:jc w:val="both"/>
      </w:pPr>
      <w:r>
        <w:rPr>
          <w:rFonts w:ascii="Times New Roman" w:hAnsi="Times New Roman" w:eastAsia="方正仿宋_GBK"/>
          <w:b w:val="0"/>
          <w:sz w:val="24"/>
        </w:rPr>
        <w:t>研究还需判断容量指标变化所对应的建设行为。某年主变扩建可能为后续增长预留容量，同一设备在负荷回落年份又会对应较高的容载比。若只比较末年总容量，早期形成的储能和联络投入便难以解释。地区方案因而按年度连续安排投运状态，在同一初始资产条件下比较完整建设路径，并以保留实际容量的对照方案观察存量资产对新增工程的影响。</w:t>
      </w:r>
    </w:p>
    <w:p w14:paraId="4D4AC894">
      <w:pPr>
        <w:pStyle w:val="5"/>
        <w:keepNext/>
        <w:numPr>
          <w:ilvl w:val="0"/>
          <w:numId w:val="0"/>
        </w:numPr>
        <w:spacing w:before="160" w:after="120" w:line="390" w:lineRule="exact"/>
        <w:ind w:firstLine="0"/>
      </w:pPr>
      <w:bookmarkStart w:id="6" w:name="容载比弹性研究的工程意义"/>
      <w:r>
        <w:rPr>
          <w:rFonts w:ascii="Times New Roman" w:hAnsi="Times New Roman" w:eastAsia="方正仿宋_GBK"/>
          <w:b/>
          <w:sz w:val="26"/>
        </w:rPr>
        <w:t>1.1.3 容载比弹性研究的工程意义</w:t>
      </w:r>
      <w:bookmarkEnd w:id="6"/>
    </w:p>
    <w:p w14:paraId="022659F3">
      <w:pPr>
        <w:pStyle w:val="115"/>
        <w:widowControl/>
        <w:spacing w:before="0" w:after="0" w:line="348" w:lineRule="exact"/>
        <w:ind w:firstLine="480"/>
        <w:jc w:val="both"/>
      </w:pPr>
      <w:r>
        <w:rPr>
          <w:rFonts w:ascii="Times New Roman" w:hAnsi="Times New Roman" w:eastAsia="方正仿宋_GBK"/>
          <w:b w:val="0"/>
          <w:sz w:val="24"/>
        </w:rPr>
        <w:t>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[5,7]。这一指标便于在站址和网络方案尚未完全确定时控制容量总量，具体取值需要与负荷发展和供电条件对应。</w:t>
      </w:r>
    </w:p>
    <w:p w14:paraId="7E564AAB">
      <w:pPr>
        <w:pStyle w:val="2"/>
        <w:widowControl/>
        <w:spacing w:before="0" w:after="0" w:line="348" w:lineRule="exact"/>
        <w:ind w:firstLine="480"/>
        <w:jc w:val="both"/>
      </w:pPr>
      <w:r>
        <w:rPr>
          <w:rFonts w:ascii="Times New Roman" w:hAnsi="Times New Roman" w:eastAsia="方正仿宋_GBK"/>
          <w:b w:val="0"/>
          <w:sz w:val="24"/>
        </w:rPr>
        <w:t>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14:paraId="3543C650">
      <w:pPr>
        <w:pStyle w:val="2"/>
        <w:widowControl/>
        <w:spacing w:before="0" w:after="0" w:line="348" w:lineRule="exact"/>
        <w:ind w:firstLine="480"/>
        <w:jc w:val="both"/>
      </w:pPr>
      <w:r>
        <w:rPr>
          <w:rFonts w:ascii="Times New Roman" w:hAnsi="Times New Roman" w:eastAsia="方正仿宋_GBK"/>
          <w:b w:val="0"/>
          <w:sz w:val="24"/>
        </w:rPr>
        <w:t>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14:paraId="0D54F48A">
      <w:pPr>
        <w:pStyle w:val="2"/>
        <w:widowControl/>
        <w:spacing w:before="0" w:after="0" w:line="348" w:lineRule="exact"/>
        <w:ind w:firstLine="480"/>
        <w:jc w:val="both"/>
      </w:pPr>
      <w:r>
        <w:rPr>
          <w:rFonts w:ascii="Times New Roman" w:hAnsi="Times New Roman" w:eastAsia="方正仿宋_GBK"/>
          <w:b w:val="0"/>
          <w:sz w:val="24"/>
        </w:rPr>
        <w:t>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14:paraId="1D7E0796">
      <w:pPr>
        <w:pStyle w:val="2"/>
        <w:widowControl/>
        <w:spacing w:before="0" w:after="0" w:line="348" w:lineRule="exact"/>
        <w:ind w:firstLine="480"/>
        <w:jc w:val="both"/>
      </w:pPr>
      <w:r>
        <w:rPr>
          <w:rFonts w:ascii="Times New Roman" w:hAnsi="Times New Roman" w:eastAsia="方正仿宋_GBK"/>
          <w:b w:val="0"/>
          <w:sz w:val="24"/>
        </w:rPr>
        <w:t>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14:paraId="4B9D5EAF">
      <w:pPr>
        <w:pStyle w:val="2"/>
        <w:widowControl/>
        <w:spacing w:before="0" w:after="0" w:line="348" w:lineRule="exact"/>
        <w:ind w:firstLine="480"/>
        <w:jc w:val="both"/>
      </w:pPr>
      <w:r>
        <w:rPr>
          <w:rFonts w:ascii="Times New Roman" w:hAnsi="Times New Roman" w:eastAsia="方正仿宋_GBK"/>
          <w:b w:val="0"/>
          <w:sz w:val="24"/>
        </w:rPr>
        <w:t>从工程决策看，容载比研究还需要识别建设措施形成的能力可以在哪些位置使用。主变容量长期在役，可以在多个年度持续承担正反向任务；联络通过切换供电归属，使邻站余量参与支援；储能则在可用电量条件下改变局部交换功率。每种措施形成的能力具有不同位置和使用条件，只有在共同工况中核对这些条件，费用比较才能对应相同的供电任务。已有供电能力和储能规划研究分别将网络互联、设备容量及储能配置位置纳入分析，为这种比较提供了方法依据[7,10]。</w:t>
      </w:r>
    </w:p>
    <w:p w14:paraId="3CE3E0DE">
      <w:pPr>
        <w:pStyle w:val="2"/>
        <w:widowControl/>
        <w:spacing w:before="0" w:after="0" w:line="348" w:lineRule="exact"/>
        <w:ind w:firstLine="480"/>
        <w:jc w:val="both"/>
      </w:pPr>
      <w:r>
        <w:rPr>
          <w:rFonts w:ascii="Times New Roman" w:hAnsi="Times New Roman" w:eastAsia="方正仿宋_GBK"/>
          <w:b w:val="0"/>
          <w:sz w:val="24"/>
        </w:rPr>
        <w:t>容量指标的工程意义还体现在建设顺序的解释上。在负荷逐年增长时，提前购置一台较大主变可能减少随后若干年的补充工程，也可能形成暂时用不满的容量；先用其他措施补足局部缺口，则可能改变后续主变投运时点。研究需要同时观察在役容量和当年新购设备，把形成存量能力的过程与年度负荷发展联系起来。多电压等级容载比优化将设备类型、台数和经济性共同处理，也说明推荐比值应对应明确的建设组合[9,11]。</w:t>
      </w:r>
    </w:p>
    <w:p w14:paraId="58CDF8CA">
      <w:pPr>
        <w:pStyle w:val="4"/>
        <w:keepNext/>
        <w:numPr>
          <w:ilvl w:val="0"/>
          <w:numId w:val="0"/>
        </w:numPr>
        <w:spacing w:before="160" w:after="120" w:line="480" w:lineRule="exact"/>
        <w:ind w:firstLine="0"/>
      </w:pPr>
      <w:bookmarkStart w:id="293" w:name="Report1017_h24"/>
      <w:bookmarkEnd w:id="293"/>
      <w:bookmarkStart w:id="7" w:name="h24"/>
      <w:bookmarkStart w:id="8" w:name="主要概念与规范依据"/>
      <w:r>
        <w:rPr>
          <w:rFonts w:ascii="Times New Roman" w:hAnsi="Times New Roman" w:eastAsia="方正仿宋_GBK"/>
          <w:b/>
          <w:sz w:val="32"/>
        </w:rPr>
        <w:t>1.2 主要概念与规范依据</w:t>
      </w:r>
      <w:bookmarkEnd w:id="7"/>
      <w:bookmarkEnd w:id="8"/>
    </w:p>
    <w:p w14:paraId="465B2DF7">
      <w:pPr>
        <w:pStyle w:val="5"/>
        <w:keepNext/>
        <w:numPr>
          <w:ilvl w:val="0"/>
          <w:numId w:val="0"/>
        </w:numPr>
        <w:spacing w:before="160" w:after="120" w:line="390" w:lineRule="exact"/>
        <w:ind w:firstLine="0"/>
      </w:pPr>
      <w:bookmarkStart w:id="9" w:name="容载比供电能力与承载力"/>
      <w:r>
        <w:rPr>
          <w:rFonts w:ascii="Times New Roman" w:hAnsi="Times New Roman" w:eastAsia="方正仿宋_GBK"/>
          <w:b/>
          <w:sz w:val="26"/>
        </w:rPr>
        <w:t>1.2.1 容载比、供电能力与承载力</w:t>
      </w:r>
      <w:bookmarkEnd w:id="9"/>
    </w:p>
    <w:p w14:paraId="73312A61">
      <w:pPr>
        <w:pStyle w:val="115"/>
        <w:widowControl/>
        <w:spacing w:before="0" w:after="0" w:line="348" w:lineRule="exact"/>
        <w:ind w:firstLine="480"/>
        <w:jc w:val="both"/>
      </w:pPr>
      <w:r>
        <w:rPr>
          <w:rFonts w:ascii="Times New Roman" w:hAnsi="Times New Roman" w:eastAsia="方正仿宋_GBK"/>
          <w:b w:val="0"/>
          <w:sz w:val="24"/>
        </w:rPr>
        <w:t>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14:paraId="3F6CB74A">
      <w:pPr>
        <w:pStyle w:val="2"/>
        <w:widowControl/>
        <w:spacing w:before="0" w:after="0" w:line="348" w:lineRule="exact"/>
        <w:ind w:firstLine="480"/>
        <w:jc w:val="both"/>
      </w:pPr>
      <w:r>
        <w:rPr>
          <w:rFonts w:ascii="Times New Roman" w:hAnsi="Times New Roman" w:eastAsia="方正仿宋_GBK"/>
          <w:b w:val="0"/>
          <w:sz w:val="24"/>
        </w:rPr>
        <w:t>最大供电能力描述满足供电安全要求时可以持续供应的最大负荷。肖峻等将站内主变转带与下级中压网络转带纳入供电能力分析，说明容量总量、主变台数及网络互联共同影响可供负荷[7]。该概念用于解释相同区域容载比下不同站群可能具有不同的局部供电能力。</w:t>
      </w:r>
    </w:p>
    <w:p w14:paraId="563EAB76">
      <w:pPr>
        <w:pStyle w:val="2"/>
        <w:widowControl/>
        <w:spacing w:before="0" w:after="0" w:line="348" w:lineRule="exact"/>
        <w:ind w:firstLine="480"/>
        <w:jc w:val="both"/>
      </w:pPr>
      <w:r>
        <w:rPr>
          <w:rFonts w:ascii="Times New Roman" w:hAnsi="Times New Roman" w:eastAsia="方正仿宋_GBK"/>
          <w:b w:val="0"/>
          <w:sz w:val="24"/>
        </w:rPr>
        <w:t>DL/T 2041—2025《分布式电源接入电力系统承载力评估导则》规定系统级和设备级承载力评估及结果校核方法[12]。承载力重点评价分布式电源接入规模与电网约束之间的关系，容载比重点评价公用变电容量与区域供电负荷之间的关系。本项目以容载比选取为目标，同时在站级模型中校核正向供电与反向容量需求。</w:t>
      </w:r>
    </w:p>
    <w:p w14:paraId="387FA5E6">
      <w:pPr>
        <w:pStyle w:val="2"/>
        <w:widowControl/>
        <w:spacing w:before="0" w:after="0" w:line="348" w:lineRule="exact"/>
        <w:ind w:firstLine="480"/>
        <w:jc w:val="both"/>
      </w:pPr>
      <w:r>
        <w:rPr>
          <w:rFonts w:ascii="Times New Roman" w:hAnsi="Times New Roman" w:eastAsia="方正仿宋_GBK"/>
          <w:b w:val="0"/>
          <w:sz w:val="24"/>
        </w:rPr>
        <w:t>从计算对象看，容载比使用区域容量和区域峰值，最大供电能力进一步考虑站内及站间的负荷转移，设备级承载力则将接入任务落实到受约束设备。三者可以沿同一源荷平衡关系衔接。首先由本地发电与用户用电确定正反向净负荷，再校核主变及线路能否承担相应功率，最后用通过校核的主变配置计算区域容载比。这样的分析次序使区域指标具有明确的设备依据[7,12]。</w:t>
      </w:r>
    </w:p>
    <w:p w14:paraId="70CB55AF">
      <w:pPr>
        <w:pStyle w:val="2"/>
        <w:widowControl/>
        <w:spacing w:before="0" w:after="0" w:line="348" w:lineRule="exact"/>
        <w:ind w:firstLine="480"/>
        <w:jc w:val="both"/>
      </w:pPr>
      <w:r>
        <w:rPr>
          <w:rFonts w:ascii="Times New Roman" w:hAnsi="Times New Roman" w:eastAsia="方正仿宋_GBK"/>
          <w:b w:val="0"/>
          <w:sz w:val="24"/>
        </w:rPr>
        <w:t>站间互济所需的设备条件也应与区域容量区分。具有空余容量的邻站只有在连接通道和接收馈线可用时才能承担支援，故障站能够转出的负荷则取决于实际可切换负荷块。TSC研究将馈线容量、主变容量及互联关系共同写入约束，说明网络强度需要落实到具体转带条件[7]。本研究沿用这一技术关系，在地区总量之外保留站级转出、承接和剩余容量，解释相同容载比下建设组合出现差异的原因。</w:t>
      </w:r>
    </w:p>
    <w:p w14:paraId="63D24E3E">
      <w:pPr>
        <w:pStyle w:val="5"/>
        <w:keepNext/>
        <w:numPr>
          <w:ilvl w:val="0"/>
          <w:numId w:val="0"/>
        </w:numPr>
        <w:spacing w:before="160" w:after="120" w:line="390" w:lineRule="exact"/>
        <w:ind w:firstLine="0"/>
      </w:pPr>
      <w:bookmarkStart w:id="10" w:name="刚性基准与弹性方案"/>
      <w:r>
        <w:rPr>
          <w:rFonts w:ascii="Times New Roman" w:hAnsi="Times New Roman" w:eastAsia="方正仿宋_GBK"/>
          <w:b/>
          <w:sz w:val="26"/>
        </w:rPr>
        <w:t>1.2.2 刚性基准与弹性方案</w:t>
      </w:r>
      <w:bookmarkEnd w:id="10"/>
    </w:p>
    <w:p w14:paraId="05325416">
      <w:pPr>
        <w:pStyle w:val="115"/>
        <w:widowControl/>
        <w:spacing w:before="0" w:after="0" w:line="348" w:lineRule="exact"/>
        <w:ind w:firstLine="480"/>
        <w:jc w:val="both"/>
      </w:pPr>
      <w:r>
        <w:rPr>
          <w:rFonts w:ascii="Times New Roman" w:hAnsi="Times New Roman" w:eastAsia="方正仿宋_GBK"/>
          <w:b/>
          <w:bCs/>
          <w:sz w:val="24"/>
        </w:rPr>
        <w:t>本研究将弹性容载比定义为：在满足相同技术约束条件下，经评价期费用比较确定、允许适度偏离一般容载比上限的取值。</w:t>
      </w:r>
      <w:r>
        <w:rPr>
          <w:rFonts w:ascii="Times New Roman" w:hAnsi="Times New Roman" w:eastAsia="方正仿宋_GBK"/>
          <w:b w:val="0"/>
          <w:sz w:val="24"/>
        </w:rPr>
        <w:t>该名称用于本课题的规划研究。</w:t>
      </w:r>
    </w:p>
    <w:p w14:paraId="03A6C839">
      <w:pPr>
        <w:pStyle w:val="2"/>
        <w:widowControl/>
        <w:spacing w:before="0" w:after="0" w:line="348" w:lineRule="exact"/>
        <w:ind w:firstLine="480"/>
        <w:jc w:val="both"/>
      </w:pPr>
      <w:r>
        <w:rPr>
          <w:rFonts w:ascii="Times New Roman" w:hAnsi="Times New Roman" w:eastAsia="方正仿宋_GBK"/>
          <w:b w:val="0"/>
          <w:sz w:val="24"/>
        </w:rPr>
        <w:t>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[8]。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14:paraId="1D40AA5B">
      <w:pPr>
        <w:pStyle w:val="2"/>
        <w:widowControl/>
        <w:spacing w:before="0" w:after="0" w:line="348" w:lineRule="exact"/>
        <w:ind w:firstLine="480"/>
        <w:jc w:val="both"/>
      </w:pPr>
      <w:r>
        <w:rPr>
          <w:rFonts w:ascii="Times New Roman" w:hAnsi="Times New Roman" w:eastAsia="方正仿宋_GBK"/>
          <w:b w:val="0"/>
          <w:sz w:val="24"/>
        </w:rPr>
        <w:t>两类方案采用相同的年度负荷、候选设备与工程价格，逐年比较主变容量、储能规模、站间负荷转接及评价期费用。推荐值与相应设备配置共同列示，供片区规划采用。</w:t>
      </w:r>
    </w:p>
    <w:p w14:paraId="7C8016DC">
      <w:pPr>
        <w:pStyle w:val="2"/>
        <w:widowControl/>
        <w:spacing w:before="0" w:after="0" w:line="348" w:lineRule="exact"/>
        <w:ind w:firstLine="480"/>
        <w:jc w:val="both"/>
      </w:pPr>
      <w:r>
        <w:rPr>
          <w:rFonts w:ascii="Times New Roman" w:hAnsi="Times New Roman" w:eastAsia="方正仿宋_GBK"/>
          <w:b w:val="0"/>
          <w:sz w:val="24"/>
        </w:rPr>
        <w:t>作为比选基准，一般容载比控制值需要与现有设备连续在役的条件衔接。若前一年已形成较大容量，下一年负荷回落时，该容量仍承担后续供电及故障支援任务。年度比值因此同时受既有资产和当年负荷影响。分析基准方案时，将新增容量的控制要求、已经投运的容量以及当年实际负荷分别列示，才能判断建设约束在哪个年份起作用，哪些比值变化由负荷回落形成。</w:t>
      </w:r>
    </w:p>
    <w:p w14:paraId="2487BAB9">
      <w:pPr>
        <w:pStyle w:val="2"/>
        <w:widowControl/>
        <w:spacing w:before="0" w:after="0" w:line="348" w:lineRule="exact"/>
        <w:ind w:firstLine="480"/>
        <w:jc w:val="both"/>
      </w:pPr>
      <w:r>
        <w:rPr>
          <w:rFonts w:ascii="Times New Roman" w:hAnsi="Times New Roman" w:eastAsia="方正仿宋_GBK"/>
          <w:b w:val="0"/>
          <w:sz w:val="24"/>
        </w:rPr>
        <w:t>弹性取值的评价则从相同技术条件下的设备替代展开。某站增容后，如果剩余主变能力能够覆盖此前由储能支撑的缺口，配储规模可以相应减少；如果邻站接收能力提高，新增联络的配置也可能改变。反之，缺口持续要求或设备位置不适合时，增加区域总容量的经济效果会受到限制。联络供电能力与储能寿命费用研究分别表明，资源位置、可用能力和费用应一并纳入判断[7,10]。本研究通过逐年及逐站结果说明这些具体关系。</w:t>
      </w:r>
    </w:p>
    <w:p w14:paraId="220CD0D2">
      <w:pPr>
        <w:pStyle w:val="5"/>
        <w:keepNext/>
        <w:numPr>
          <w:ilvl w:val="0"/>
          <w:numId w:val="0"/>
        </w:numPr>
        <w:spacing w:before="160" w:after="120" w:line="390" w:lineRule="exact"/>
        <w:ind w:firstLine="0"/>
      </w:pPr>
      <w:bookmarkStart w:id="11" w:name="费用现值与方案评价"/>
      <w:r>
        <w:rPr>
          <w:rFonts w:ascii="Times New Roman" w:hAnsi="Times New Roman" w:eastAsia="方正仿宋_GBK"/>
          <w:b/>
          <w:sz w:val="26"/>
        </w:rPr>
        <w:t>1.2.3 费用现值与方案评价</w:t>
      </w:r>
      <w:bookmarkEnd w:id="11"/>
    </w:p>
    <w:p w14:paraId="4D62390D">
      <w:pPr>
        <w:pStyle w:val="115"/>
        <w:widowControl/>
        <w:spacing w:before="0" w:after="0" w:line="348" w:lineRule="exact"/>
        <w:ind w:firstLine="480"/>
        <w:jc w:val="both"/>
      </w:pPr>
      <w:r>
        <w:rPr>
          <w:rFonts w:ascii="Times New Roman" w:hAnsi="Times New Roman" w:eastAsia="方正仿宋_GBK"/>
          <w:b w:val="0"/>
          <w:sz w:val="24"/>
        </w:rPr>
        <w:t>本研究参照全寿命周期费用方法，将新增措施初始投资、固定运维及评价期内设备更新费用折算到2021年末，统一计算至2041年[10,13,14]。结果称为“共同评价期内新增措施费用现值”，下文简称“评价期费用现值”或“费用现值”。该评价期短于设备完整寿命，费用科目及未计事项见第4.6.4节。主变增容和主变扩建形成长期在役容量，储能承担相应峰段支撑，10 kV联络改善站间负荷配置，各措施按实际购置批次计算费用。</w:t>
      </w:r>
    </w:p>
    <w:p w14:paraId="3AB965B8">
      <w:pPr>
        <w:pStyle w:val="2"/>
        <w:widowControl/>
        <w:spacing w:before="0" w:after="0" w:line="348" w:lineRule="exact"/>
        <w:ind w:firstLine="480"/>
        <w:jc w:val="both"/>
      </w:pPr>
      <w:r>
        <w:rPr>
          <w:rFonts w:ascii="Times New Roman" w:hAnsi="Times New Roman" w:eastAsia="方正仿宋_GBK"/>
          <w:b w:val="0"/>
          <w:sz w:val="24"/>
        </w:rPr>
        <w:t xml:space="preserve">层次分析法、多准则排序和可拓评价可用于比较技术可行方案的其他规划属性[15,16,17,18]。本项目</w:t>
      </w:r>
      <w:r>
        <w:rPr>
          <w:rFonts w:ascii="Times New Roman" w:hAnsi="Times New Roman" w:eastAsia="方正仿宋_GBK"/>
          <w:b w:val="0"/>
          <w:sz w:val="24"/>
        </w:rPr>
        <w:t xml:space="preserve">在相同设备和运行约束下逐年比选，弹性方案先减少新增储能与联络配套</w:t>
      </w:r>
      <w:r>
        <w:rPr>
          <w:rFonts w:ascii="Times New Roman" w:hAnsi="Times New Roman" w:eastAsia="方正仿宋_GBK"/>
          <w:b w:val="0"/>
          <w:sz w:val="24"/>
        </w:rPr>
        <w:t xml:space="preserve">费用</w:t>
      </w:r>
      <w:r>
        <w:rPr>
          <w:rFonts w:ascii="Times New Roman" w:hAnsi="Times New Roman" w:eastAsia="方正仿宋_GBK"/>
          <w:b w:val="0"/>
          <w:sz w:val="24"/>
        </w:rPr>
        <w:t xml:space="preserve">，再在配套费用</w:t>
      </w:r>
      <w:r>
        <w:rPr>
          <w:rFonts w:ascii="Times New Roman" w:hAnsi="Times New Roman" w:eastAsia="方正仿宋_GBK"/>
          <w:b w:val="0"/>
          <w:sz w:val="24"/>
        </w:rPr>
        <w:t xml:space="preserve">参考</w:t>
      </w:r>
      <w:r>
        <w:rPr>
          <w:rFonts w:ascii="Times New Roman" w:hAnsi="Times New Roman" w:eastAsia="方正仿宋_GBK"/>
          <w:b w:val="0"/>
          <w:sz w:val="24"/>
        </w:rPr>
        <w:t xml:space="preserve">值的20</w:t>
      </w:r>
      <w:r>
        <w:rPr>
          <w:rFonts w:ascii="Times New Roman" w:hAnsi="Times New Roman" w:eastAsia="方正仿宋_GBK"/>
          <w:b w:val="0"/>
          <w:sz w:val="24"/>
        </w:rPr>
        <w:t xml:space="preserve">%</w:t>
      </w:r>
      <w:r>
        <w:rPr>
          <w:rFonts w:ascii="Times New Roman" w:hAnsi="Times New Roman" w:eastAsia="方正仿宋_GBK"/>
          <w:b w:val="0"/>
          <w:sz w:val="24"/>
        </w:rPr>
        <w:t xml:space="preserve">范围</w:t>
      </w:r>
      <w:r>
        <w:rPr>
          <w:rFonts w:ascii="Times New Roman" w:hAnsi="Times New Roman" w:eastAsia="方正仿宋_GBK"/>
          <w:b w:val="0"/>
          <w:sz w:val="24"/>
        </w:rPr>
        <w:t xml:space="preserve">内优先</w:t>
      </w:r>
      <w:r>
        <w:rPr>
          <w:rFonts w:ascii="Times New Roman" w:hAnsi="Times New Roman" w:eastAsia="方正仿宋_GBK"/>
          <w:b w:val="0"/>
          <w:sz w:val="24"/>
        </w:rPr>
        <w:t xml:space="preserve">减少</w:t>
      </w:r>
      <w:r>
        <w:rPr>
          <w:rFonts w:ascii="Times New Roman" w:hAnsi="Times New Roman" w:eastAsia="方正仿宋_GBK"/>
          <w:b w:val="0"/>
          <w:sz w:val="24"/>
        </w:rPr>
        <w:t xml:space="preserve">联络</w:t>
      </w:r>
      <w:r>
        <w:rPr>
          <w:rFonts w:ascii="Times New Roman" w:hAnsi="Times New Roman" w:eastAsia="方正仿宋_GBK"/>
          <w:b w:val="0"/>
          <w:sz w:val="24"/>
        </w:rPr>
        <w:t xml:space="preserve">，最后比较总费用。该条件为研究采用的</w:t>
      </w:r>
      <w:r>
        <w:rPr>
          <w:rFonts w:ascii="Times New Roman" w:hAnsi="Times New Roman" w:eastAsia="方正仿宋_GBK"/>
          <w:b w:val="0"/>
          <w:sz w:val="24"/>
        </w:rPr>
        <w:t xml:space="preserve">工程</w:t>
      </w:r>
      <w:r>
        <w:rPr>
          <w:rFonts w:ascii="Times New Roman" w:hAnsi="Times New Roman" w:eastAsia="方正仿宋_GBK"/>
          <w:b w:val="0"/>
          <w:sz w:val="24"/>
        </w:rPr>
        <w:t xml:space="preserve">优选方法</w:t>
      </w:r>
      <w:r>
        <w:rPr>
          <w:rFonts w:ascii="Times New Roman" w:hAnsi="Times New Roman" w:eastAsia="方正仿宋_GBK"/>
          <w:b w:val="0"/>
          <w:sz w:val="24"/>
        </w:rPr>
        <w:t xml:space="preserve">。工程实施阶段可补充施工条件、土地资源及运行方式的综合评价。</w:t>
      </w:r>
    </w:p>
    <w:p w14:paraId="4E344EAC">
      <w:pPr>
        <w:pStyle w:val="2"/>
        <w:widowControl/>
        <w:spacing w:before="0" w:after="0" w:line="348" w:lineRule="exact"/>
        <w:ind w:firstLine="480"/>
        <w:jc w:val="both"/>
      </w:pPr>
      <w:r>
        <w:rPr>
          <w:rFonts w:ascii="Times New Roman" w:hAnsi="Times New Roman" w:eastAsia="方正仿宋_GBK"/>
          <w:b w:val="0"/>
          <w:sz w:val="24"/>
        </w:rPr>
        <w:t>经济评价需要与措施的工程作用一致。主变更换以整台采购形成支出，供电能力增加则由新旧设备容量及N-1后的剩余容量共同决定；新增联络按建设项目计费，可转功率由线路与两端条件共同决定。储能既有功率限制，也有可用电量限制，在规定持续要求下才能折算为容量支撑。全寿命周期储能规划研究将选址、经济运行和寿命费用联系起来，说明设备规模与费用评价需要同时处理[10]。本项目根据现有资料采用静态有效功率折算，并将三类措施统一到同一费用基准。</w:t>
      </w:r>
    </w:p>
    <w:p w14:paraId="21001348">
      <w:pPr>
        <w:pStyle w:val="2"/>
        <w:widowControl/>
        <w:spacing w:before="0" w:after="0" w:line="348" w:lineRule="exact"/>
        <w:ind w:firstLine="480"/>
        <w:jc w:val="both"/>
      </w:pPr>
      <w:r>
        <w:rPr>
          <w:rFonts w:ascii="Times New Roman" w:hAnsi="Times New Roman" w:eastAsia="方正仿宋_GBK"/>
          <w:b w:val="0"/>
          <w:sz w:val="24"/>
        </w:rPr>
        <w:t>比较不同投运年份时，还需考虑资金支出时点和设备持续在役的影响。早期建设会较早发生投资，并承担更多年度的固定运维；后期追加则对应较短的评价期内运维时间。线路寿命经济性和储能寿命费用研究均将时间因素纳入经济评价[10,13]。因此，本研究将建设规模、投运年份和在役设备状态一并列示，由完整现金流支持费用差异，再分析容载比取值与经济性的关系。</w:t>
      </w:r>
    </w:p>
    <w:p w14:paraId="30C66E4B">
      <w:pPr>
        <w:pStyle w:val="5"/>
        <w:keepNext/>
        <w:numPr>
          <w:ilvl w:val="0"/>
          <w:numId w:val="0"/>
        </w:numPr>
        <w:spacing w:before="160" w:after="120" w:line="390" w:lineRule="exact"/>
        <w:ind w:firstLine="0"/>
      </w:pPr>
      <w:bookmarkStart w:id="12" w:name="规范与研究指标的衔接"/>
      <w:r>
        <w:rPr>
          <w:rFonts w:ascii="Times New Roman" w:hAnsi="Times New Roman" w:eastAsia="方正仿宋_GBK"/>
          <w:b/>
          <w:sz w:val="26"/>
        </w:rPr>
        <w:t>1.2.4 规范与研究指标的衔接</w:t>
      </w:r>
      <w:bookmarkEnd w:id="12"/>
    </w:p>
    <w:p w14:paraId="6C552B98">
      <w:pPr>
        <w:pStyle w:val="115"/>
        <w:widowControl/>
        <w:spacing w:before="0" w:after="0" w:line="348" w:lineRule="exact"/>
        <w:ind w:firstLine="480"/>
        <w:jc w:val="both"/>
      </w:pPr>
      <w:r>
        <w:rPr>
          <w:rFonts w:ascii="Times New Roman" w:hAnsi="Times New Roman" w:eastAsia="方正仿宋_GBK"/>
          <w:b w:val="0"/>
          <w:sz w:val="24"/>
        </w:rPr>
        <w:t>报告以DL/T 5729—2023《配电网规划设计技术导则》确定容量规划和供电区域分类依据，以DL/T 2041—2025《分布式电源接入电力系统承载力评估导则》组织分布式电源容量校核[5,12]。GB/T 45418—2025《配电网通用技术导则》作为下级配电网技术分析的补充依据[19]。分布式电源装机渗透率和分布式电源电量渗透率采用2025年4月《配电网规划设计技术导则（修订稿）》的指标定义[8]，用于描述片区源荷条件。</w:t>
      </w:r>
    </w:p>
    <w:p w14:paraId="5BF8964E">
      <w:pPr>
        <w:pStyle w:val="2"/>
        <w:widowControl/>
        <w:spacing w:before="0" w:after="0" w:line="348" w:lineRule="exact"/>
        <w:ind w:firstLine="480"/>
        <w:jc w:val="both"/>
      </w:pPr>
      <w:r>
        <w:rPr>
          <w:rFonts w:ascii="Times New Roman" w:hAnsi="Times New Roman" w:eastAsia="方正仿宋_GBK"/>
          <w:b w:val="0"/>
          <w:sz w:val="24"/>
        </w:rPr>
        <w:t>各类依据在本研究中承担不同技术任务。现行导则用于确定规划指标及容量配置的一般要求，承载力导则用于明确分布式电源评估的对象和校核关系，2025年4月《配电网规划设计技术导则（修订稿）》则提供本项目核心源荷指标及逐年对照采用的技术依据。各文件的建议范围与相应适用条件共同构成容量分析依据[5,8,12]。</w:t>
      </w:r>
    </w:p>
    <w:p w14:paraId="665E5291">
      <w:pPr>
        <w:pStyle w:val="2"/>
        <w:keepNext/>
        <w:spacing w:before="120" w:after="80" w:line="280" w:lineRule="exact"/>
        <w:ind w:firstLine="0"/>
        <w:jc w:val="center"/>
      </w:pPr>
      <w:r>
        <w:rPr>
          <w:rFonts w:ascii="Times New Roman" w:hAnsi="Times New Roman" w:eastAsia="宋体"/>
          <w:b w:val="0"/>
          <w:sz w:val="21"/>
        </w:rPr>
        <w:t>表1-1 规划依据与本研究技术环节的对应</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5046D8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2CC6AD16">
            <w:pPr>
              <w:keepNext/>
              <w:spacing w:before="20" w:after="20" w:line="260" w:lineRule="exact"/>
              <w:ind w:left="0" w:leftChars="0" w:right="0" w:rightChars="0" w:firstLine="0" w:firstLineChars="0"/>
              <w:jc w:val="center"/>
            </w:pPr>
            <w:r>
              <w:rPr>
                <w:rFonts w:ascii="Times New Roman" w:hAnsi="Times New Roman" w:eastAsia="宋体"/>
                <w:b/>
                <w:sz w:val="18"/>
              </w:rPr>
              <w:t>依据</w:t>
            </w:r>
          </w:p>
        </w:tc>
        <w:tc>
          <w:tcPr>
            <w:tcW w:w="2771" w:type="dxa"/>
            <w:tcMar>
              <w:left w:w="70" w:type="dxa"/>
              <w:right w:w="70" w:type="dxa"/>
            </w:tcMar>
            <w:vAlign w:val="center"/>
          </w:tcPr>
          <w:p w14:paraId="554A7002">
            <w:pPr>
              <w:keepNext/>
              <w:spacing w:before="20" w:after="20" w:line="260" w:lineRule="exact"/>
              <w:ind w:left="0" w:leftChars="0" w:right="0" w:rightChars="0" w:firstLine="0" w:firstLineChars="0"/>
              <w:jc w:val="center"/>
            </w:pPr>
            <w:r>
              <w:rPr>
                <w:rFonts w:ascii="Times New Roman" w:hAnsi="Times New Roman" w:eastAsia="宋体"/>
                <w:b/>
                <w:sz w:val="18"/>
              </w:rPr>
              <w:t>相关内容</w:t>
            </w:r>
          </w:p>
        </w:tc>
        <w:tc>
          <w:tcPr>
            <w:tcW w:w="2771" w:type="dxa"/>
            <w:tcMar>
              <w:left w:w="70" w:type="dxa"/>
              <w:right w:w="70" w:type="dxa"/>
            </w:tcMar>
            <w:vAlign w:val="center"/>
          </w:tcPr>
          <w:p w14:paraId="67B71AC0">
            <w:pPr>
              <w:keepNext/>
              <w:spacing w:before="20" w:after="20" w:line="260" w:lineRule="exact"/>
              <w:ind w:left="0" w:leftChars="0" w:right="0" w:rightChars="0" w:firstLine="0" w:firstLineChars="0"/>
              <w:jc w:val="center"/>
            </w:pPr>
            <w:r>
              <w:rPr>
                <w:rFonts w:ascii="Times New Roman" w:hAnsi="Times New Roman" w:eastAsia="宋体"/>
                <w:b/>
                <w:sz w:val="18"/>
              </w:rPr>
              <w:t>本研究的落实环节</w:t>
            </w:r>
          </w:p>
        </w:tc>
      </w:tr>
      <w:tr w14:paraId="3D7F1E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AC8D8D0">
            <w:pPr>
              <w:keepNext/>
              <w:spacing w:before="20" w:after="20" w:line="260" w:lineRule="exact"/>
              <w:ind w:left="0" w:leftChars="0" w:right="0" w:rightChars="0" w:firstLine="0" w:firstLineChars="0"/>
              <w:jc w:val="center"/>
            </w:pPr>
            <w:r>
              <w:rPr>
                <w:rFonts w:ascii="Times New Roman" w:hAnsi="Times New Roman" w:eastAsia="宋体"/>
                <w:b w:val="0"/>
                <w:sz w:val="18"/>
              </w:rPr>
              <w:t>DL/T 5729—2023《配电网规划设计技术导则》[5]</w:t>
            </w:r>
          </w:p>
        </w:tc>
        <w:tc>
          <w:tcPr>
            <w:tcW w:w="2771" w:type="dxa"/>
            <w:tcMar>
              <w:left w:w="70" w:type="dxa"/>
              <w:right w:w="70" w:type="dxa"/>
            </w:tcMar>
            <w:vAlign w:val="center"/>
          </w:tcPr>
          <w:p w14:paraId="11D98B1C">
            <w:pPr>
              <w:keepNext/>
              <w:spacing w:before="20" w:after="20" w:line="260" w:lineRule="exact"/>
              <w:ind w:left="0" w:leftChars="0" w:right="0" w:rightChars="0" w:firstLine="0" w:firstLineChars="0"/>
              <w:jc w:val="center"/>
            </w:pPr>
            <w:r>
              <w:rPr>
                <w:rFonts w:ascii="Times New Roman" w:hAnsi="Times New Roman" w:eastAsia="宋体"/>
                <w:b w:val="0"/>
                <w:sz w:val="18"/>
              </w:rPr>
              <w:t>容量规划、供电区域和容载比建议</w:t>
            </w:r>
          </w:p>
        </w:tc>
        <w:tc>
          <w:tcPr>
            <w:tcW w:w="2771" w:type="dxa"/>
            <w:tcMar>
              <w:left w:w="70" w:type="dxa"/>
              <w:right w:w="70" w:type="dxa"/>
            </w:tcMar>
            <w:vAlign w:val="center"/>
          </w:tcPr>
          <w:p w14:paraId="2AC4EC83">
            <w:pPr>
              <w:keepNext/>
              <w:spacing w:before="20" w:after="20" w:line="260" w:lineRule="exact"/>
              <w:ind w:left="0" w:leftChars="0" w:right="0" w:rightChars="0" w:firstLine="0" w:firstLineChars="0"/>
              <w:jc w:val="center"/>
            </w:pPr>
            <w:r>
              <w:rPr>
                <w:rFonts w:ascii="Times New Roman" w:hAnsi="Times New Roman" w:eastAsia="宋体"/>
                <w:b w:val="0"/>
                <w:sz w:val="18"/>
              </w:rPr>
              <w:t>确定区域统计与容量规划的基本关系，结合设备条件进行技术经济比较</w:t>
            </w:r>
          </w:p>
        </w:tc>
      </w:tr>
      <w:tr w14:paraId="77BE15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4A89CD02">
            <w:pPr>
              <w:keepNext/>
              <w:spacing w:before="20" w:after="20" w:line="260" w:lineRule="exact"/>
              <w:ind w:left="0" w:leftChars="0" w:right="0" w:rightChars="0" w:firstLine="0" w:firstLineChars="0"/>
              <w:jc w:val="center"/>
            </w:pPr>
            <w:r>
              <w:rPr>
                <w:rFonts w:ascii="Times New Roman" w:hAnsi="Times New Roman" w:eastAsia="宋体"/>
                <w:b w:val="0"/>
                <w:sz w:val="18"/>
              </w:rPr>
              <w:t>2025年4月《配电网规划设计技术导则（修订稿）》[8]</w:t>
            </w:r>
          </w:p>
        </w:tc>
        <w:tc>
          <w:tcPr>
            <w:tcW w:w="2771" w:type="dxa"/>
            <w:tcMar>
              <w:left w:w="70" w:type="dxa"/>
              <w:right w:w="70" w:type="dxa"/>
            </w:tcMar>
            <w:vAlign w:val="center"/>
          </w:tcPr>
          <w:p w14:paraId="5F59D99B">
            <w:pPr>
              <w:keepNext/>
              <w:spacing w:before="20" w:after="20" w:line="260" w:lineRule="exact"/>
              <w:ind w:left="0" w:leftChars="0" w:right="0" w:rightChars="0" w:firstLine="0" w:firstLineChars="0"/>
              <w:jc w:val="center"/>
            </w:pPr>
            <w:r>
              <w:rPr>
                <w:rFonts w:ascii="Times New Roman" w:hAnsi="Times New Roman" w:eastAsia="宋体"/>
                <w:b w:val="0"/>
                <w:sz w:val="18"/>
              </w:rPr>
              <w:t>装机、电量渗透指标，容载比建议与反向容量要求</w:t>
            </w:r>
          </w:p>
        </w:tc>
        <w:tc>
          <w:tcPr>
            <w:tcW w:w="2771" w:type="dxa"/>
            <w:tcMar>
              <w:left w:w="70" w:type="dxa"/>
              <w:right w:w="70" w:type="dxa"/>
            </w:tcMar>
            <w:vAlign w:val="center"/>
          </w:tcPr>
          <w:p w14:paraId="5A9B28EA">
            <w:pPr>
              <w:keepNext/>
              <w:spacing w:before="20" w:after="20" w:line="260" w:lineRule="exact"/>
              <w:ind w:left="0" w:leftChars="0" w:right="0" w:rightChars="0" w:firstLine="0" w:firstLineChars="0"/>
              <w:jc w:val="center"/>
            </w:pPr>
            <w:r>
              <w:rPr>
                <w:rFonts w:ascii="Times New Roman" w:hAnsi="Times New Roman" w:eastAsia="宋体"/>
                <w:b w:val="0"/>
                <w:sz w:val="18"/>
              </w:rPr>
              <w:t>定义核心指标，开展逐年导则对照，并设置相应反向承载限值</w:t>
            </w:r>
          </w:p>
        </w:tc>
      </w:tr>
      <w:tr w14:paraId="31BE1A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8DF33E1">
            <w:pPr>
              <w:keepNext/>
              <w:spacing w:before="20" w:after="20" w:line="260" w:lineRule="exact"/>
              <w:ind w:left="0" w:leftChars="0" w:right="0" w:rightChars="0" w:firstLine="0" w:firstLineChars="0"/>
              <w:jc w:val="center"/>
            </w:pPr>
            <w:r>
              <w:rPr>
                <w:rFonts w:ascii="Times New Roman" w:hAnsi="Times New Roman" w:eastAsia="宋体"/>
                <w:b w:val="0"/>
                <w:sz w:val="18"/>
              </w:rPr>
              <w:t>DL/T 2041—2025《分布式电源接入电力系统承载力评估导则》[12]</w:t>
            </w:r>
          </w:p>
        </w:tc>
        <w:tc>
          <w:tcPr>
            <w:tcW w:w="2771" w:type="dxa"/>
            <w:tcMar>
              <w:left w:w="70" w:type="dxa"/>
              <w:right w:w="70" w:type="dxa"/>
            </w:tcMar>
            <w:vAlign w:val="center"/>
          </w:tcPr>
          <w:p w14:paraId="2CBF83D3">
            <w:pPr>
              <w:keepNext/>
              <w:spacing w:before="20" w:after="20" w:line="260" w:lineRule="exact"/>
              <w:ind w:left="0" w:leftChars="0" w:right="0" w:rightChars="0" w:firstLine="0" w:firstLineChars="0"/>
              <w:jc w:val="center"/>
            </w:pPr>
            <w:r>
              <w:rPr>
                <w:rFonts w:ascii="Times New Roman" w:hAnsi="Times New Roman" w:eastAsia="宋体"/>
                <w:b w:val="0"/>
                <w:sz w:val="18"/>
              </w:rPr>
              <w:t>系统级、设备级承载力及结果校核</w:t>
            </w:r>
          </w:p>
        </w:tc>
        <w:tc>
          <w:tcPr>
            <w:tcW w:w="2771" w:type="dxa"/>
            <w:tcMar>
              <w:left w:w="70" w:type="dxa"/>
              <w:right w:w="70" w:type="dxa"/>
            </w:tcMar>
            <w:vAlign w:val="center"/>
          </w:tcPr>
          <w:p w14:paraId="60931750">
            <w:pPr>
              <w:keepNext/>
              <w:spacing w:before="20" w:after="20" w:line="260" w:lineRule="exact"/>
              <w:ind w:left="0" w:leftChars="0" w:right="0" w:rightChars="0" w:firstLine="0" w:firstLineChars="0"/>
              <w:jc w:val="center"/>
            </w:pPr>
            <w:r>
              <w:rPr>
                <w:rFonts w:ascii="Times New Roman" w:hAnsi="Times New Roman" w:eastAsia="宋体"/>
                <w:b w:val="0"/>
                <w:sz w:val="18"/>
              </w:rPr>
              <w:t>区分区域源荷规模和设备承载任务，将功率约束落实到站点</w:t>
            </w:r>
          </w:p>
        </w:tc>
      </w:tr>
      <w:tr w14:paraId="2B92A4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4C9A5086">
            <w:pPr>
              <w:keepNext/>
              <w:spacing w:before="20" w:after="20" w:line="260" w:lineRule="exact"/>
              <w:ind w:left="0" w:leftChars="0" w:right="0" w:rightChars="0" w:firstLine="0" w:firstLineChars="0"/>
              <w:jc w:val="center"/>
            </w:pPr>
            <w:r>
              <w:rPr>
                <w:rFonts w:ascii="Times New Roman" w:hAnsi="Times New Roman" w:eastAsia="宋体"/>
                <w:b w:val="0"/>
                <w:sz w:val="18"/>
              </w:rPr>
              <w:t>变电容载比与下级中压网络关系研究[7]</w:t>
            </w:r>
          </w:p>
        </w:tc>
        <w:tc>
          <w:tcPr>
            <w:tcW w:w="2771" w:type="dxa"/>
            <w:tcMar>
              <w:left w:w="70" w:type="dxa"/>
              <w:right w:w="70" w:type="dxa"/>
            </w:tcMar>
            <w:vAlign w:val="center"/>
          </w:tcPr>
          <w:p w14:paraId="65C6B06C">
            <w:pPr>
              <w:keepNext/>
              <w:spacing w:before="20" w:after="20" w:line="260" w:lineRule="exact"/>
              <w:ind w:left="0" w:leftChars="0" w:right="0" w:rightChars="0" w:firstLine="0" w:firstLineChars="0"/>
              <w:jc w:val="center"/>
            </w:pPr>
            <w:r>
              <w:rPr>
                <w:rFonts w:ascii="Times New Roman" w:hAnsi="Times New Roman" w:eastAsia="宋体"/>
                <w:b w:val="0"/>
                <w:sz w:val="18"/>
              </w:rPr>
              <w:t>站内转带、站间转带和N-1供电能力</w:t>
            </w:r>
          </w:p>
        </w:tc>
        <w:tc>
          <w:tcPr>
            <w:tcW w:w="2771" w:type="dxa"/>
            <w:tcMar>
              <w:left w:w="70" w:type="dxa"/>
              <w:right w:w="70" w:type="dxa"/>
            </w:tcMar>
            <w:vAlign w:val="center"/>
          </w:tcPr>
          <w:p w14:paraId="7593ABE2">
            <w:pPr>
              <w:keepNext/>
              <w:spacing w:before="20" w:after="20" w:line="260" w:lineRule="exact"/>
              <w:ind w:left="0" w:leftChars="0" w:right="0" w:rightChars="0" w:firstLine="0" w:firstLineChars="0"/>
              <w:jc w:val="center"/>
            </w:pPr>
            <w:r>
              <w:rPr>
                <w:rFonts w:ascii="Times New Roman" w:hAnsi="Times New Roman" w:eastAsia="宋体"/>
                <w:b w:val="0"/>
                <w:sz w:val="18"/>
              </w:rPr>
              <w:t>联合校核通道、接收馈线和邻站剩余主变能力</w:t>
            </w:r>
          </w:p>
        </w:tc>
      </w:tr>
      <w:tr w14:paraId="7CE6E5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4088D86">
            <w:pPr>
              <w:keepNext w:val="0"/>
              <w:spacing w:before="20" w:after="20" w:line="260" w:lineRule="exact"/>
              <w:ind w:left="0" w:leftChars="0" w:right="0" w:rightChars="0" w:firstLine="0" w:firstLineChars="0"/>
              <w:jc w:val="center"/>
            </w:pPr>
            <w:r>
              <w:rPr>
                <w:rFonts w:ascii="Times New Roman" w:hAnsi="Times New Roman" w:eastAsia="宋体"/>
                <w:b w:val="0"/>
                <w:sz w:val="18"/>
              </w:rPr>
              <w:t>多电压等级容载比及精细化参数研究[9,20]</w:t>
            </w:r>
          </w:p>
        </w:tc>
        <w:tc>
          <w:tcPr>
            <w:tcW w:w="2771" w:type="dxa"/>
            <w:tcMar>
              <w:left w:w="70" w:type="dxa"/>
              <w:right w:w="70" w:type="dxa"/>
            </w:tcMar>
            <w:vAlign w:val="center"/>
          </w:tcPr>
          <w:p w14:paraId="70FB7CD9">
            <w:pPr>
              <w:keepNext w:val="0"/>
              <w:spacing w:before="20" w:after="20" w:line="260" w:lineRule="exact"/>
              <w:ind w:left="0" w:leftChars="0" w:right="0" w:rightChars="0" w:firstLine="0" w:firstLineChars="0"/>
              <w:jc w:val="center"/>
            </w:pPr>
            <w:r>
              <w:rPr>
                <w:rFonts w:ascii="Times New Roman" w:hAnsi="Times New Roman" w:eastAsia="宋体"/>
                <w:b w:val="0"/>
                <w:sz w:val="18"/>
              </w:rPr>
              <w:t>层级协同、负荷分布与容量储备</w:t>
            </w:r>
          </w:p>
        </w:tc>
        <w:tc>
          <w:tcPr>
            <w:tcW w:w="2771" w:type="dxa"/>
            <w:tcMar>
              <w:left w:w="70" w:type="dxa"/>
              <w:right w:w="70" w:type="dxa"/>
            </w:tcMar>
            <w:vAlign w:val="center"/>
          </w:tcPr>
          <w:p w14:paraId="44D33379">
            <w:pPr>
              <w:keepNext w:val="0"/>
              <w:spacing w:before="20" w:after="20" w:line="260" w:lineRule="exact"/>
              <w:ind w:left="0" w:leftChars="0" w:right="0" w:rightChars="0" w:firstLine="0" w:firstLineChars="0"/>
              <w:jc w:val="center"/>
            </w:pPr>
            <w:r>
              <w:rPr>
                <w:rFonts w:ascii="Times New Roman" w:hAnsi="Times New Roman" w:eastAsia="宋体"/>
                <w:b w:val="0"/>
                <w:sz w:val="18"/>
              </w:rPr>
              <w:t>组织五项推广参数，以实际设备配置形成条件推荐范围</w:t>
            </w:r>
          </w:p>
        </w:tc>
      </w:tr>
    </w:tbl>
    <w:p w14:paraId="32A2BF4F">
      <w:pPr>
        <w:pStyle w:val="2"/>
        <w:widowControl/>
        <w:spacing w:before="0" w:after="0" w:line="348" w:lineRule="exact"/>
        <w:ind w:firstLine="480"/>
        <w:jc w:val="both"/>
      </w:pPr>
      <w:r>
        <w:rPr>
          <w:rFonts w:ascii="Times New Roman" w:hAnsi="Times New Roman" w:eastAsia="方正仿宋_GBK"/>
          <w:b w:val="0"/>
          <w:sz w:val="24"/>
        </w:rPr>
        <w:t>从上述对应关系出发，区域容量控制和站级承载校核需要共同完成。区域指标先提供规模参照，具体设备及网络约束确定可行组合，费用比较再确定相应建设方案。对于高于一般建议上限的结果，后续章节分别列明同年负荷、在役容量、约束需求和费用变化，使推荐判断具有可以核对的工程依据。</w:t>
      </w:r>
    </w:p>
    <w:p w14:paraId="1EFE9D59">
      <w:pPr>
        <w:pStyle w:val="4"/>
        <w:keepNext/>
        <w:numPr>
          <w:ilvl w:val="0"/>
          <w:numId w:val="0"/>
        </w:numPr>
        <w:spacing w:before="160" w:after="120" w:line="480" w:lineRule="exact"/>
        <w:ind w:firstLine="0"/>
      </w:pPr>
      <w:bookmarkStart w:id="294" w:name="Report1017_h47"/>
      <w:bookmarkEnd w:id="294"/>
      <w:bookmarkStart w:id="13" w:name="研究范围与对象"/>
      <w:bookmarkStart w:id="14" w:name="h47"/>
      <w:r>
        <w:rPr>
          <w:rFonts w:ascii="Times New Roman" w:hAnsi="Times New Roman" w:eastAsia="方正仿宋_GBK"/>
          <w:b/>
          <w:sz w:val="32"/>
        </w:rPr>
        <w:t>1.3 研究范围与对象</w:t>
      </w:r>
      <w:bookmarkEnd w:id="13"/>
      <w:bookmarkEnd w:id="14"/>
    </w:p>
    <w:p w14:paraId="3D3F2638">
      <w:pPr>
        <w:pStyle w:val="5"/>
        <w:keepNext/>
        <w:numPr>
          <w:ilvl w:val="0"/>
          <w:numId w:val="0"/>
        </w:numPr>
        <w:spacing w:before="160" w:after="120" w:line="390" w:lineRule="exact"/>
        <w:ind w:firstLine="0"/>
      </w:pPr>
      <w:bookmarkStart w:id="15" w:name="电压等级与统计范围"/>
      <w:r>
        <w:rPr>
          <w:rFonts w:ascii="Times New Roman" w:hAnsi="Times New Roman" w:eastAsia="方正仿宋_GBK"/>
          <w:b/>
          <w:sz w:val="26"/>
        </w:rPr>
        <w:t>1.3.1 电压等级与统计范围</w:t>
      </w:r>
      <w:bookmarkEnd w:id="15"/>
    </w:p>
    <w:p w14:paraId="60989E43">
      <w:pPr>
        <w:pStyle w:val="115"/>
        <w:widowControl/>
        <w:spacing w:before="0" w:after="0" w:line="348" w:lineRule="exact"/>
        <w:ind w:firstLine="480"/>
        <w:jc w:val="both"/>
      </w:pPr>
      <w:r>
        <w:rPr>
          <w:rFonts w:ascii="Times New Roman" w:hAnsi="Times New Roman" w:eastAsia="方正仿宋_GBK"/>
          <w:b w:val="0"/>
          <w:sz w:val="24"/>
        </w:rPr>
        <w:t>研究对象为徐州典型地区110 kV公用变电设备的区域容量配置，按照DL/T 5729—2023第6.3.3条，以行政区县作为最小统计分析范围[5]。本研究选取邳州和市区，电网运行统计与规划优化均按110 kV范围开展。</w:t>
      </w:r>
    </w:p>
    <w:p w14:paraId="57514A56">
      <w:pPr>
        <w:pStyle w:val="2"/>
        <w:widowControl/>
        <w:spacing w:before="0" w:after="0" w:line="348" w:lineRule="exact"/>
        <w:ind w:firstLine="480"/>
        <w:jc w:val="both"/>
      </w:pPr>
      <w:r>
        <w:rPr>
          <w:rFonts w:ascii="Times New Roman" w:hAnsi="Times New Roman" w:eastAsia="方正仿宋_GBK"/>
          <w:b w:val="0"/>
          <w:sz w:val="24"/>
        </w:rPr>
        <w:t>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14:paraId="7AAA43F2">
      <w:pPr>
        <w:pStyle w:val="2"/>
        <w:widowControl/>
        <w:spacing w:before="0" w:after="0" w:line="348" w:lineRule="exact"/>
        <w:ind w:firstLine="480"/>
        <w:jc w:val="both"/>
      </w:pPr>
      <w:r>
        <w:rPr>
          <w:rFonts w:ascii="Times New Roman" w:hAnsi="Times New Roman" w:eastAsia="方正仿宋_GBK"/>
          <w:b w:val="0"/>
          <w:sz w:val="24"/>
        </w:rPr>
        <w:t>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14:paraId="6D73E2BD">
      <w:pPr>
        <w:pStyle w:val="2"/>
        <w:widowControl/>
        <w:spacing w:before="0" w:after="0" w:line="348" w:lineRule="exact"/>
        <w:ind w:firstLine="480"/>
        <w:jc w:val="both"/>
      </w:pPr>
      <w:r>
        <w:rPr>
          <w:rFonts w:ascii="Times New Roman" w:hAnsi="Times New Roman" w:eastAsia="方正仿宋_GBK"/>
          <w:b w:val="0"/>
          <w:sz w:val="24"/>
        </w:rPr>
        <w:t>统计区域与电气供电范围的衔接会影响参数的解释。行政区县资料便于分析多年发展趋势，站级设备和馈线资料则用于校核具体供电关系。本研究分别保留年度地区统计与站级运行分布，再通过同年度负荷标定建立模型输入。区域年网供最大负荷采用地区统计峰值，站级局部极值用于确定正常及故障工况下的设备任务，使总量分析与空间分布在各自范围内发挥作用。</w:t>
      </w:r>
    </w:p>
    <w:p w14:paraId="7D2246E8">
      <w:pPr>
        <w:pStyle w:val="2"/>
        <w:widowControl/>
        <w:spacing w:before="0" w:after="0" w:line="348" w:lineRule="exact"/>
        <w:ind w:firstLine="480"/>
        <w:jc w:val="both"/>
      </w:pPr>
      <w:r>
        <w:rPr>
          <w:rFonts w:ascii="Times New Roman" w:hAnsi="Times New Roman" w:eastAsia="方正仿宋_GBK"/>
          <w:b w:val="0"/>
          <w:sz w:val="24"/>
        </w:rPr>
        <w:t>推广矩阵进一步采用独立五站模板，将实际片区中较复杂的源荷和网络条件归纳为五项参数。负荷分散系数保留局部峰值与区域同时峰值之间的关系，初始转供率保留既有支援条件，电缆长度占比用于反映线路敷设费用。参数作用分别对应负荷特征、网络能力和经济条件，后续通过完整受控序列观察设备切换，再用分类矩阵组织推荐区间[7,9,20]。</w:t>
      </w:r>
    </w:p>
    <w:p w14:paraId="0EBE26AB">
      <w:pPr>
        <w:pStyle w:val="5"/>
        <w:keepNext/>
        <w:numPr>
          <w:ilvl w:val="0"/>
          <w:numId w:val="0"/>
        </w:numPr>
        <w:spacing w:before="160" w:after="120" w:line="390" w:lineRule="exact"/>
        <w:ind w:firstLine="0"/>
      </w:pPr>
      <w:bookmarkStart w:id="16" w:name="年份与评价期"/>
      <w:r>
        <w:rPr>
          <w:rFonts w:ascii="Times New Roman" w:hAnsi="Times New Roman" w:eastAsia="方正仿宋_GBK"/>
          <w:b/>
          <w:sz w:val="26"/>
        </w:rPr>
        <w:t>1.3.2 年份与评价期</w:t>
      </w:r>
      <w:bookmarkEnd w:id="16"/>
    </w:p>
    <w:p w14:paraId="0B071DAD">
      <w:pPr>
        <w:pStyle w:val="115"/>
        <w:widowControl/>
        <w:spacing w:before="0" w:after="0" w:line="348" w:lineRule="exact"/>
        <w:ind w:firstLine="480"/>
        <w:jc w:val="both"/>
      </w:pPr>
      <w:r>
        <w:rPr>
          <w:rFonts w:ascii="Times New Roman" w:hAnsi="Times New Roman" w:eastAsia="方正仿宋_GBK"/>
          <w:b w:val="0"/>
          <w:sz w:val="24"/>
        </w:rPr>
        <w:t>2021—2025年资料用于分析负荷发展、光伏装机和设备运行特征。地区案例保留共同仿真起点，直接使用2022—2025年实际年度负荷，各年容量及建设规模由满足约束的优化结果确定，实际统计容量单独列示。</w:t>
      </w:r>
    </w:p>
    <w:p w14:paraId="3F8C20D7">
      <w:pPr>
        <w:pStyle w:val="2"/>
        <w:widowControl/>
        <w:spacing w:before="0" w:after="0" w:line="348" w:lineRule="exact"/>
        <w:ind w:firstLine="480"/>
        <w:jc w:val="both"/>
      </w:pPr>
      <w:r>
        <w:rPr>
          <w:rFonts w:ascii="Times New Roman" w:hAnsi="Times New Roman" w:eastAsia="方正仿宋_GBK"/>
          <w:b w:val="0"/>
          <w:sz w:val="24"/>
        </w:rPr>
        <w:t>基期主变按可选额定容量逐台配置，使地区主变总容量接近基期年网供最大负荷的两倍。基期负荷取2021年实际统计值。站级负荷沿用实际样本的空间分布，再按年度区域负荷标定。邳州和市区的刚性、弹性方案分别共用本地区的起点、负荷和价格。</w:t>
      </w:r>
    </w:p>
    <w:p w14:paraId="0EACA901">
      <w:pPr>
        <w:pStyle w:val="2"/>
        <w:widowControl/>
        <w:spacing w:before="0" w:after="0" w:line="348" w:lineRule="exact"/>
        <w:ind w:firstLine="480"/>
        <w:jc w:val="both"/>
      </w:pPr>
      <w:r>
        <w:rPr>
          <w:rFonts w:ascii="Times New Roman" w:hAnsi="Times New Roman" w:eastAsia="方正仿宋_GBK"/>
          <w:b w:val="0"/>
          <w:sz w:val="24"/>
        </w:rPr>
        <w:t>经济评价以2021年末为折现基准，评价截止于2041年。仿真第1—4年在计算文件中分别标记为2022—2025年，用于统一投运时间和现金流折现。主变、线路和储能的寿命、运维率采用第四章列明的研究参数[10,13,14]。</w:t>
      </w:r>
    </w:p>
    <w:p w14:paraId="62B41B88">
      <w:pPr>
        <w:pStyle w:val="5"/>
        <w:keepNext/>
        <w:numPr>
          <w:ilvl w:val="0"/>
          <w:numId w:val="0"/>
        </w:numPr>
        <w:spacing w:before="160" w:after="120" w:line="390" w:lineRule="exact"/>
        <w:ind w:firstLine="0"/>
      </w:pPr>
      <w:bookmarkStart w:id="17" w:name="技术分析与费用边界"/>
      <w:r>
        <w:rPr>
          <w:rFonts w:ascii="Times New Roman" w:hAnsi="Times New Roman" w:eastAsia="方正仿宋_GBK"/>
          <w:b/>
          <w:sz w:val="26"/>
        </w:rPr>
        <w:t>1.3.3 技术分析与费用边界</w:t>
      </w:r>
      <w:bookmarkEnd w:id="17"/>
    </w:p>
    <w:p w14:paraId="3CD26597">
      <w:pPr>
        <w:pStyle w:val="115"/>
        <w:widowControl/>
        <w:spacing w:before="0" w:after="0" w:line="348" w:lineRule="exact"/>
        <w:ind w:firstLine="480"/>
        <w:jc w:val="both"/>
      </w:pPr>
      <w:r>
        <w:rPr>
          <w:rFonts w:ascii="Times New Roman" w:hAnsi="Times New Roman" w:eastAsia="方正仿宋_GBK"/>
          <w:b w:val="0"/>
          <w:sz w:val="24"/>
        </w:rPr>
        <w:t>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14:paraId="3B74160D">
      <w:pPr>
        <w:pStyle w:val="2"/>
        <w:widowControl/>
        <w:spacing w:before="0" w:after="0" w:line="348" w:lineRule="exact"/>
        <w:ind w:firstLine="480"/>
        <w:jc w:val="both"/>
      </w:pPr>
      <w:r>
        <w:rPr>
          <w:rFonts w:ascii="Times New Roman" w:hAnsi="Times New Roman" w:eastAsia="方正仿宋_GBK"/>
          <w:b w:val="0"/>
          <w:sz w:val="24"/>
        </w:rPr>
        <w:t>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14:paraId="63EE9356">
      <w:pPr>
        <w:pStyle w:val="2"/>
        <w:widowControl/>
        <w:spacing w:before="0" w:after="0" w:line="348" w:lineRule="exact"/>
        <w:ind w:firstLine="480"/>
        <w:jc w:val="both"/>
      </w:pPr>
      <w:r>
        <w:rPr>
          <w:rFonts w:ascii="Times New Roman" w:hAnsi="Times New Roman" w:eastAsia="方正仿宋_GBK"/>
          <w:b w:val="0"/>
          <w:sz w:val="24"/>
        </w:rPr>
        <w:t>两类方案共用主变更换与扩建、储能和联络候选。已核实既有联络不重复计原建设费，新增联络按项目计费。初始转供率用于推广参数研究，地区案例的实际可转功率由具体网络约束确定。</w:t>
      </w:r>
    </w:p>
    <w:p w14:paraId="0680BB81">
      <w:pPr>
        <w:pStyle w:val="2"/>
        <w:widowControl/>
        <w:spacing w:before="0" w:after="0" w:line="348" w:lineRule="exact"/>
        <w:ind w:firstLine="480"/>
        <w:jc w:val="both"/>
      </w:pPr>
      <w:r>
        <w:rPr>
          <w:rFonts w:ascii="Times New Roman" w:hAnsi="Times New Roman" w:eastAsia="方正仿宋_GBK"/>
          <w:b w:val="0"/>
          <w:sz w:val="24"/>
        </w:rPr>
        <w:t>技术分析与费用评价使用共同的方案边界。源荷条件确定设备需要承担的功率，建设变量确定可用容量，运行分配再确定转出、承接和储能功率。某项措施的支出对应其实际建设规模，已经存在的网络能力则作为规划起点参与约束。由此可以分别观察利用存量通道与新增建设的作用，并将地区新增费用分解到主变、储能和线路。</w:t>
      </w:r>
    </w:p>
    <w:p w14:paraId="501BAA4E">
      <w:pPr>
        <w:pStyle w:val="2"/>
        <w:widowControl/>
        <w:spacing w:before="0" w:after="0" w:line="348" w:lineRule="exact"/>
        <w:ind w:firstLine="480"/>
        <w:jc w:val="both"/>
      </w:pPr>
      <w:r>
        <w:rPr>
          <w:rFonts w:ascii="Times New Roman" w:hAnsi="Times New Roman" w:eastAsia="方正仿宋_GBK"/>
          <w:b w:val="0"/>
          <w:sz w:val="24"/>
        </w:rPr>
        <w:t>同一设备方案还需通过多个工况才能形成规划比较结果。区域正向峰值用于分析主要受电任务，区域低谷和各站局部极值用于识别反送及局部容量压力，最大单台主变停运用于检查剩余能力与网络支援。各工况共享同一年已投运的设备，但转供及充放电功率随源荷状态变化。承载力分层评估和源网储协同规划均将设备条件与运行校核联系起来[21,22]，本研究据此把设备建设和工况使用分别记录。</w:t>
      </w:r>
    </w:p>
    <w:p w14:paraId="2B91B3AE">
      <w:pPr>
        <w:pStyle w:val="4"/>
        <w:keepNext/>
        <w:numPr>
          <w:ilvl w:val="0"/>
          <w:numId w:val="0"/>
        </w:numPr>
        <w:spacing w:before="160" w:after="120" w:line="480" w:lineRule="exact"/>
        <w:ind w:firstLine="0"/>
      </w:pPr>
      <w:bookmarkStart w:id="295" w:name="Report1017_h64"/>
      <w:bookmarkEnd w:id="295"/>
      <w:bookmarkStart w:id="18" w:name="研究目标与内容"/>
      <w:bookmarkStart w:id="19" w:name="h64"/>
      <w:r>
        <w:rPr>
          <w:rFonts w:ascii="Times New Roman" w:hAnsi="Times New Roman" w:eastAsia="方正仿宋_GBK"/>
          <w:b/>
          <w:sz w:val="32"/>
        </w:rPr>
        <w:t>1.4 研究目标与内容</w:t>
      </w:r>
      <w:bookmarkEnd w:id="18"/>
      <w:bookmarkEnd w:id="19"/>
    </w:p>
    <w:p w14:paraId="7AE77D09">
      <w:pPr>
        <w:pStyle w:val="5"/>
        <w:keepNext/>
        <w:numPr>
          <w:ilvl w:val="0"/>
          <w:numId w:val="0"/>
        </w:numPr>
        <w:spacing w:before="160" w:after="120" w:line="390" w:lineRule="exact"/>
        <w:ind w:firstLine="0"/>
      </w:pPr>
      <w:bookmarkStart w:id="20" w:name="研究目标"/>
      <w:r>
        <w:rPr>
          <w:rFonts w:ascii="Times New Roman" w:hAnsi="Times New Roman" w:eastAsia="方正仿宋_GBK"/>
          <w:b/>
          <w:sz w:val="26"/>
        </w:rPr>
        <w:t>1.4.1 研究目标</w:t>
      </w:r>
      <w:bookmarkEnd w:id="20"/>
    </w:p>
    <w:p w14:paraId="524D19DF">
      <w:pPr>
        <w:pStyle w:val="115"/>
        <w:widowControl/>
        <w:spacing w:before="0" w:after="0" w:line="348" w:lineRule="exact"/>
        <w:ind w:firstLine="480"/>
        <w:jc w:val="both"/>
      </w:pPr>
      <w:r>
        <w:rPr>
          <w:rFonts w:ascii="Times New Roman" w:hAnsi="Times New Roman" w:eastAsia="方正仿宋_GBK"/>
          <w:b w:val="0"/>
          <w:sz w:val="24"/>
        </w:rPr>
        <w:t>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14:paraId="179C4F35">
      <w:pPr>
        <w:pStyle w:val="2"/>
        <w:widowControl/>
        <w:spacing w:before="0" w:after="0" w:line="348" w:lineRule="exact"/>
        <w:ind w:firstLine="480"/>
        <w:jc w:val="both"/>
      </w:pPr>
      <w:r>
        <w:rPr>
          <w:rFonts w:ascii="Times New Roman" w:hAnsi="Times New Roman" w:eastAsia="方正仿宋_GBK"/>
          <w:b w:val="0"/>
          <w:sz w:val="24"/>
        </w:rPr>
        <w:t>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14:paraId="0643546D">
      <w:pPr>
        <w:pStyle w:val="2"/>
        <w:widowControl/>
        <w:spacing w:before="0" w:after="0" w:line="348" w:lineRule="exact"/>
        <w:ind w:firstLine="480"/>
        <w:jc w:val="both"/>
      </w:pPr>
      <w:r>
        <w:rPr>
          <w:rFonts w:ascii="Times New Roman" w:hAnsi="Times New Roman" w:eastAsia="方正仿宋_GBK"/>
          <w:b w:val="0"/>
          <w:sz w:val="24"/>
        </w:rPr>
        <w:t xml:space="preserve">在此基础上，形成</w:t>
      </w:r>
      <w:r>
        <w:rPr>
          <w:rFonts w:ascii="Times New Roman" w:hAnsi="Times New Roman" w:eastAsia="方正仿宋_GBK"/>
          <w:b w:val="0"/>
          <w:sz w:val="24"/>
        </w:rPr>
        <w:t xml:space="preserve">2022—2035</w:t>
      </w:r>
      <w:r>
        <w:rPr>
          <w:rFonts w:ascii="Times New Roman" w:hAnsi="Times New Roman" w:eastAsia="方正仿宋_GBK"/>
          <w:b w:val="0"/>
          <w:sz w:val="24"/>
        </w:rPr>
        <w:t xml:space="preserve">年同初态、同措施集合的刚性和弹性路径，给出每年主变容量、新购主变容量及建设安排、储能配置、正常负荷转接及费用。推荐容载比由这些实际决策计算得到，并满足正反向供电需求与供电安全要求。</w:t>
      </w:r>
    </w:p>
    <w:p w14:paraId="22531C90">
      <w:pPr>
        <w:pStyle w:val="2"/>
        <w:widowControl/>
        <w:spacing w:before="0" w:after="0" w:line="348" w:lineRule="exact"/>
        <w:ind w:firstLine="480"/>
        <w:jc w:val="both"/>
      </w:pPr>
      <w:r>
        <w:rPr>
          <w:rFonts w:ascii="Times New Roman" w:hAnsi="Times New Roman" w:eastAsia="方正仿宋_GBK"/>
          <w:b w:val="0"/>
          <w:sz w:val="24"/>
        </w:rPr>
        <w:t>最后，第3.5节从十三项候选指标出发，依次评价其与容载比的关联及指标间的信息重叠，确定五项推广参数。第五章按相应输入区间归纳容载比计算范围，并结合设备措施与费用解释配置差异。</w:t>
      </w:r>
    </w:p>
    <w:p w14:paraId="5F393261">
      <w:pPr>
        <w:pStyle w:val="5"/>
        <w:keepNext/>
        <w:numPr>
          <w:ilvl w:val="0"/>
          <w:numId w:val="0"/>
        </w:numPr>
        <w:spacing w:before="160" w:after="120" w:line="390" w:lineRule="exact"/>
        <w:ind w:firstLine="0"/>
      </w:pPr>
      <w:bookmarkStart w:id="21" w:name="主要研究内容"/>
      <w:r>
        <w:rPr>
          <w:rFonts w:ascii="Times New Roman" w:hAnsi="Times New Roman" w:eastAsia="方正仿宋_GBK"/>
          <w:b/>
          <w:sz w:val="26"/>
        </w:rPr>
        <w:t>1.4.2 主要研究内容</w:t>
      </w:r>
      <w:bookmarkEnd w:id="21"/>
    </w:p>
    <w:p w14:paraId="46C41F1D">
      <w:pPr>
        <w:pStyle w:val="115"/>
        <w:widowControl/>
        <w:spacing w:before="0" w:after="0" w:line="348" w:lineRule="exact"/>
        <w:ind w:firstLine="480"/>
        <w:jc w:val="both"/>
      </w:pPr>
      <w:r>
        <w:rPr>
          <w:rFonts w:ascii="Times New Roman" w:hAnsi="Times New Roman" w:eastAsia="方正仿宋_GBK"/>
          <w:b w:val="0"/>
          <w:sz w:val="24"/>
        </w:rPr>
        <w:t>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14:paraId="2853E7F4">
      <w:pPr>
        <w:pStyle w:val="2"/>
        <w:widowControl/>
        <w:spacing w:before="0" w:after="0" w:line="348" w:lineRule="exact"/>
        <w:ind w:firstLine="480"/>
        <w:jc w:val="both"/>
      </w:pPr>
      <w:r>
        <w:rPr>
          <w:rFonts w:ascii="Times New Roman" w:hAnsi="Times New Roman" w:eastAsia="方正仿宋_GBK"/>
          <w:b w:val="0"/>
          <w:sz w:val="24"/>
        </w:rPr>
        <w:t>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14:paraId="01AA013E">
      <w:pPr>
        <w:pStyle w:val="2"/>
        <w:widowControl/>
        <w:spacing w:before="0" w:after="0" w:line="348" w:lineRule="exact"/>
        <w:ind w:firstLine="480"/>
        <w:jc w:val="both"/>
      </w:pPr>
      <w:r>
        <w:rPr>
          <w:rFonts w:ascii="Times New Roman" w:hAnsi="Times New Roman" w:eastAsia="方正仿宋_GBK"/>
          <w:b w:val="0"/>
          <w:sz w:val="24"/>
        </w:rPr>
        <w:t xml:space="preserve">规划采用混合整数线性优化。在役20、40 MVA等设备可保留，新购主变</w:t>
      </w:r>
      <w:r>
        <w:rPr>
          <w:rFonts w:hint="eastAsia"/>
          <w:b w:val="0"/>
          <w:sz w:val="24"/>
          <w:lang w:eastAsia="zh"/>
          <w:woUserID w:val="2"/>
        </w:rPr>
        <w:t xml:space="preserve">结合国网通用设备，</w:t>
      </w:r>
      <w:r>
        <w:rPr>
          <w:rFonts w:ascii="Times New Roman" w:hAnsi="Times New Roman" w:eastAsia="方正仿宋_GBK"/>
          <w:b w:val="0"/>
          <w:sz w:val="24"/>
        </w:rPr>
        <w:t xml:space="preserve">采用31.50、50、63、80 MVA等候选规格并按站限制；扩建、联络投运状态及储能柜数为整数决策，</w:t>
      </w:r>
      <w:r>
        <w:rPr>
          <w:rFonts w:ascii="Times New Roman" w:hAnsi="Times New Roman" w:eastAsia="方正仿宋_GBK"/>
          <w:b w:val="0"/>
          <w:sz w:val="24"/>
        </w:rPr>
        <w:t xml:space="preserve">源荷区段切换数为整数决策，</w:t>
      </w:r>
      <w:r>
        <w:rPr>
          <w:rFonts w:ascii="Times New Roman" w:hAnsi="Times New Roman" w:eastAsia="方正仿宋_GBK"/>
          <w:b w:val="0"/>
          <w:sz w:val="24"/>
        </w:rPr>
        <w:t xml:space="preserve">转</w:t>
      </w:r>
      <w:r>
        <w:rPr>
          <w:rFonts w:ascii="Times New Roman" w:hAnsi="Times New Roman" w:eastAsia="方正仿宋_GBK"/>
          <w:b w:val="0"/>
          <w:sz w:val="24"/>
        </w:rPr>
        <w:t xml:space="preserve">接</w:t>
      </w:r>
      <w:r>
        <w:rPr>
          <w:rFonts w:ascii="Times New Roman" w:hAnsi="Times New Roman" w:eastAsia="方正仿宋_GBK"/>
          <w:b w:val="0"/>
          <w:sz w:val="24"/>
        </w:rPr>
        <w:t xml:space="preserve">功率</w:t>
      </w:r>
      <w:r>
        <w:rPr>
          <w:rFonts w:ascii="Times New Roman" w:hAnsi="Times New Roman" w:eastAsia="方正仿宋_GBK"/>
          <w:b w:val="0"/>
          <w:sz w:val="24"/>
        </w:rPr>
        <w:t xml:space="preserve">由同期区段源荷确定</w:t>
      </w:r>
      <w:r>
        <w:rPr>
          <w:rFonts w:ascii="Times New Roman" w:hAnsi="Times New Roman" w:eastAsia="方正仿宋_GBK"/>
          <w:b w:val="0"/>
          <w:sz w:val="24"/>
        </w:rPr>
        <w:t xml:space="preserve">。先以新增措施评价期费用现值为目标寻优，再按费用容差内的工程优选条件确定弹性方案，各方案共同满足正常及主变N-1等约束。</w:t>
      </w:r>
    </w:p>
    <w:p w14:paraId="0DB0B885">
      <w:pPr>
        <w:pStyle w:val="2"/>
        <w:widowControl/>
        <w:spacing w:before="0" w:after="0" w:line="348" w:lineRule="exact"/>
        <w:ind w:firstLine="480"/>
        <w:jc w:val="both"/>
      </w:pPr>
      <w:r>
        <w:rPr>
          <w:rFonts w:ascii="Times New Roman" w:hAnsi="Times New Roman" w:eastAsia="方正仿宋_GBK"/>
          <w:b w:val="0"/>
          <w:sz w:val="24"/>
        </w:rPr>
        <w:t>方案分析结合区域年度容量与逐站建设安排，说明主变、储能和联络对容量配置及评价期费用的影响。</w:t>
      </w:r>
    </w:p>
    <w:p w14:paraId="41C14E76">
      <w:pPr>
        <w:pStyle w:val="2"/>
        <w:widowControl/>
        <w:spacing w:before="0" w:after="0" w:line="348" w:lineRule="exact"/>
        <w:ind w:firstLine="480"/>
        <w:jc w:val="both"/>
      </w:pPr>
      <w:r>
        <w:rPr>
          <w:rFonts w:ascii="Times New Roman" w:hAnsi="Times New Roman" w:eastAsia="方正仿宋_GBK"/>
          <w:b w:val="0"/>
          <w:sz w:val="24"/>
        </w:rPr>
        <w:t>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[8]。</w:t>
      </w:r>
    </w:p>
    <w:p w14:paraId="1904B31A">
      <w:pPr>
        <w:pStyle w:val="4"/>
        <w:keepNext/>
        <w:numPr>
          <w:ilvl w:val="0"/>
          <w:numId w:val="0"/>
        </w:numPr>
        <w:spacing w:before="160" w:after="120" w:line="480" w:lineRule="exact"/>
        <w:ind w:firstLine="0"/>
      </w:pPr>
      <w:bookmarkStart w:id="296" w:name="Report1017_h76"/>
      <w:bookmarkEnd w:id="296"/>
      <w:bookmarkStart w:id="22" w:name="h76"/>
      <w:bookmarkStart w:id="23" w:name="研究方法与技术路线"/>
      <w:r>
        <w:rPr>
          <w:rFonts w:ascii="Times New Roman" w:hAnsi="Times New Roman" w:eastAsia="方正仿宋_GBK"/>
          <w:b/>
          <w:sz w:val="32"/>
        </w:rPr>
        <w:t>1.5 研究方法与技术路线</w:t>
      </w:r>
      <w:bookmarkEnd w:id="22"/>
      <w:bookmarkEnd w:id="23"/>
    </w:p>
    <w:p w14:paraId="432A0756">
      <w:pPr>
        <w:pStyle w:val="5"/>
        <w:keepNext/>
        <w:numPr>
          <w:ilvl w:val="0"/>
          <w:numId w:val="0"/>
        </w:numPr>
        <w:spacing w:before="160" w:after="120" w:line="390" w:lineRule="exact"/>
        <w:ind w:firstLine="0"/>
      </w:pPr>
      <w:bookmarkStart w:id="24" w:name="运行指标分析与负荷增长估计"/>
      <w:r>
        <w:rPr>
          <w:rFonts w:ascii="Times New Roman" w:hAnsi="Times New Roman" w:eastAsia="方正仿宋_GBK"/>
          <w:b/>
          <w:sz w:val="26"/>
        </w:rPr>
        <w:t>1.5.1 运行指标分析与负荷增长估计</w:t>
      </w:r>
      <w:bookmarkEnd w:id="24"/>
    </w:p>
    <w:p w14:paraId="1045391C">
      <w:pPr>
        <w:pStyle w:val="115"/>
        <w:widowControl/>
        <w:spacing w:before="0" w:after="0" w:line="348" w:lineRule="exact"/>
        <w:ind w:firstLine="480"/>
        <w:jc w:val="both"/>
      </w:pPr>
      <w:r>
        <w:rPr>
          <w:rFonts w:ascii="Times New Roman" w:hAnsi="Times New Roman" w:eastAsia="方正仿宋_GBK"/>
          <w:b w:val="0"/>
          <w:sz w:val="24"/>
        </w:rPr>
        <w:t>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14:paraId="1154DD4D">
      <w:pPr>
        <w:pStyle w:val="2"/>
        <w:widowControl/>
        <w:spacing w:before="0" w:after="0" w:line="348" w:lineRule="exact"/>
        <w:ind w:firstLine="480"/>
        <w:jc w:val="both"/>
      </w:pPr>
      <w:r>
        <w:rPr>
          <w:rFonts w:ascii="Times New Roman" w:hAnsi="Times New Roman" w:eastAsia="方正仿宋_GBK"/>
          <w:b w:val="0"/>
          <w:sz w:val="24"/>
        </w:rPr>
        <w:t>年最大净负荷平均增长率按2021—2025年起止负荷之比开四次方计算。地区案例直接使用2022—2025年逐年实际负荷，保留年度回落，年最大净负荷平均增长率用于概括发展水平及设置推广情景。</w:t>
      </w:r>
    </w:p>
    <w:p w14:paraId="538960F1">
      <w:pPr>
        <w:pStyle w:val="5"/>
        <w:keepNext/>
        <w:numPr>
          <w:ilvl w:val="0"/>
          <w:numId w:val="0"/>
        </w:numPr>
        <w:spacing w:before="160" w:after="120" w:line="390" w:lineRule="exact"/>
        <w:ind w:firstLine="0"/>
      </w:pPr>
      <w:bookmarkStart w:id="25" w:name="工程单位费用计算与联合寻优"/>
      <w:r>
        <w:rPr>
          <w:rFonts w:ascii="Times New Roman" w:hAnsi="Times New Roman" w:eastAsia="方正仿宋_GBK"/>
          <w:b/>
          <w:sz w:val="26"/>
        </w:rPr>
        <w:t>1.5.2 工程单位费用计算与联合寻优</w:t>
      </w:r>
      <w:bookmarkEnd w:id="25"/>
    </w:p>
    <w:p w14:paraId="7C5C088A">
      <w:pPr>
        <w:pStyle w:val="115"/>
        <w:widowControl/>
        <w:spacing w:before="0" w:after="0" w:line="348" w:lineRule="exact"/>
        <w:ind w:firstLine="480"/>
        <w:jc w:val="both"/>
      </w:pPr>
      <w:r>
        <w:rPr>
          <w:rFonts w:ascii="Times New Roman" w:hAnsi="Times New Roman" w:eastAsia="方正仿宋_GBK"/>
          <w:b w:val="0"/>
          <w:sz w:val="24"/>
        </w:rPr>
        <w:t>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14:paraId="4BC5332B">
      <w:pPr>
        <w:pStyle w:val="2"/>
        <w:widowControl/>
        <w:spacing w:before="0" w:after="0" w:line="348" w:lineRule="exact"/>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w:t>
      </w:r>
      <w:r>
        <w:rPr>
          <w:rFonts w:ascii="Times New Roman" w:hAnsi="Times New Roman" w:eastAsia="方正仿宋_GBK"/>
          <w:b w:val="0"/>
          <w:sz w:val="24"/>
        </w:rPr>
        <w:t xml:space="preserve">地区案例按</w:t>
      </w:r>
      <w:r>
        <w:rPr>
          <w:rFonts w:ascii="Times New Roman" w:hAnsi="Times New Roman" w:eastAsia="方正仿宋_GBK"/>
          <w:b w:val="0"/>
          <w:sz w:val="24"/>
        </w:rPr>
        <w:t xml:space="preserve">源</w:t>
      </w:r>
      <w:r>
        <w:rPr>
          <w:rFonts w:ascii="Times New Roman" w:hAnsi="Times New Roman" w:eastAsia="方正仿宋_GBK"/>
          <w:b w:val="0"/>
          <w:sz w:val="24"/>
        </w:rPr>
        <w:t xml:space="preserve">荷区段共同切换负荷与光伏</w:t>
      </w:r>
      <w:r>
        <w:rPr>
          <w:rFonts w:ascii="Times New Roman" w:hAnsi="Times New Roman" w:eastAsia="方正仿宋_GBK"/>
          <w:b w:val="0"/>
          <w:sz w:val="24"/>
        </w:rPr>
        <w:t xml:space="preserve">，</w:t>
      </w:r>
      <w:r>
        <w:rPr>
          <w:rFonts w:ascii="Times New Roman" w:hAnsi="Times New Roman" w:eastAsia="方正仿宋_GBK"/>
          <w:b w:val="0"/>
          <w:sz w:val="24"/>
        </w:rPr>
        <w:t xml:space="preserve">年度正常及事故追加预案分别固定，并对转接后的正</w:t>
      </w:r>
      <w:r>
        <w:rPr>
          <w:rFonts w:ascii="Times New Roman" w:hAnsi="Times New Roman" w:eastAsia="方正仿宋_GBK"/>
          <w:b w:val="0"/>
          <w:sz w:val="24"/>
        </w:rPr>
        <w:t xml:space="preserve">反向</w:t>
      </w:r>
      <w:r>
        <w:rPr>
          <w:rFonts w:ascii="Times New Roman" w:hAnsi="Times New Roman" w:eastAsia="方正仿宋_GBK"/>
          <w:b w:val="0"/>
          <w:sz w:val="24"/>
        </w:rPr>
        <w:t xml:space="preserve">功率</w:t>
      </w:r>
      <w:r>
        <w:rPr>
          <w:rFonts w:ascii="Times New Roman" w:hAnsi="Times New Roman" w:eastAsia="方正仿宋_GBK"/>
          <w:b w:val="0"/>
          <w:sz w:val="24"/>
        </w:rPr>
        <w:t xml:space="preserve">同步校核。按上述方法计算邳州和市区的刚性、弹性方案，比较两地区的容量配置及费用差异。</w:t>
      </w:r>
    </w:p>
    <w:p w14:paraId="4ED5DD2F">
      <w:pPr>
        <w:pStyle w:val="2"/>
        <w:widowControl/>
        <w:spacing w:before="0" w:after="0" w:line="348" w:lineRule="exact"/>
        <w:ind w:firstLine="480"/>
        <w:jc w:val="both"/>
      </w:pPr>
      <w:r>
        <w:rPr>
          <w:rFonts w:ascii="Times New Roman" w:hAnsi="Times New Roman" w:eastAsia="方正仿宋_GBK"/>
          <w:b w:val="0"/>
          <w:sz w:val="24"/>
        </w:rPr>
        <w:t>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14:paraId="03933F99">
      <w:pPr>
        <w:pStyle w:val="5"/>
        <w:keepNext/>
        <w:numPr>
          <w:ilvl w:val="0"/>
          <w:numId w:val="0"/>
        </w:numPr>
        <w:spacing w:before="160" w:after="120" w:line="390" w:lineRule="exact"/>
        <w:ind w:firstLine="0"/>
      </w:pPr>
      <w:bookmarkStart w:id="26" w:name="条件矩阵与方案核查"/>
      <w:r>
        <w:rPr>
          <w:rFonts w:ascii="Times New Roman" w:hAnsi="Times New Roman" w:eastAsia="方正仿宋_GBK"/>
          <w:b/>
          <w:sz w:val="26"/>
        </w:rPr>
        <w:t>1.5.3 条件矩阵与方案核查</w:t>
      </w:r>
      <w:bookmarkEnd w:id="26"/>
    </w:p>
    <w:p w14:paraId="6E55826F">
      <w:pPr>
        <w:pStyle w:val="115"/>
        <w:widowControl/>
        <w:spacing w:before="0" w:after="0" w:line="348" w:lineRule="exact"/>
        <w:ind w:firstLine="480"/>
        <w:jc w:val="both"/>
      </w:pPr>
      <w:r>
        <w:rPr>
          <w:rFonts w:ascii="Times New Roman" w:hAnsi="Times New Roman" w:eastAsia="方正仿宋_GBK"/>
          <w:b w:val="0"/>
          <w:sz w:val="24"/>
        </w:rPr>
        <w:t>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14:paraId="36BD668B">
      <w:pPr>
        <w:pStyle w:val="2"/>
        <w:widowControl/>
        <w:spacing w:before="0" w:after="0" w:line="348" w:lineRule="exact"/>
        <w:ind w:firstLine="480"/>
        <w:jc w:val="both"/>
      </w:pPr>
      <w:r>
        <w:rPr>
          <w:rFonts w:ascii="Times New Roman" w:hAnsi="Times New Roman" w:eastAsia="方正仿宋_GBK"/>
          <w:b w:val="0"/>
          <w:sz w:val="24"/>
        </w:rPr>
        <w:t>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14:paraId="101B8E66">
      <w:pPr>
        <w:pStyle w:val="2"/>
        <w:widowControl/>
        <w:spacing w:before="0" w:after="0" w:line="348" w:lineRule="exact"/>
        <w:ind w:firstLine="480"/>
        <w:jc w:val="both"/>
      </w:pPr>
      <w:r>
        <w:rPr>
          <w:rFonts w:ascii="Times New Roman" w:hAnsi="Times New Roman" w:eastAsia="方正仿宋_GBK"/>
          <w:b w:val="0"/>
          <w:sz w:val="24"/>
        </w:rPr>
        <w:t>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14:paraId="5C9F69C5">
      <w:pPr>
        <w:pStyle w:val="5"/>
        <w:keepNext/>
        <w:numPr>
          <w:ilvl w:val="0"/>
          <w:numId w:val="0"/>
        </w:numPr>
        <w:spacing w:before="160" w:after="120" w:line="390" w:lineRule="exact"/>
        <w:ind w:firstLine="0"/>
      </w:pPr>
      <w:bookmarkStart w:id="27" w:name="计算流程与成果衔接"/>
      <w:r>
        <w:rPr>
          <w:rFonts w:ascii="Times New Roman" w:hAnsi="Times New Roman" w:eastAsia="方正仿宋_GBK"/>
          <w:b/>
          <w:sz w:val="26"/>
        </w:rPr>
        <w:t>1.5.4 计算流程与成果衔接</w:t>
      </w:r>
      <w:bookmarkEnd w:id="27"/>
    </w:p>
    <w:p w14:paraId="37BDCAF2">
      <w:pPr>
        <w:pStyle w:val="115"/>
        <w:widowControl/>
        <w:spacing w:before="0" w:after="0" w:line="348" w:lineRule="exact"/>
        <w:ind w:firstLine="480"/>
        <w:jc w:val="both"/>
      </w:pPr>
      <w:r>
        <w:rPr>
          <w:rFonts w:ascii="Times New Roman" w:hAnsi="Times New Roman" w:eastAsia="方正仿宋_GBK"/>
          <w:b w:val="0"/>
          <w:sz w:val="24"/>
        </w:rPr>
        <w:t>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14:paraId="18D5C5D9">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632523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2"/>
                    <a:stretch>
                      <a:fillRect/>
                    </a:stretch>
                  </pic:blipFill>
                  <pic:spPr>
                    <a:xfrm>
                      <a:off x="0" y="0"/>
                      <a:ext cx="5120640" cy="6325496"/>
                    </a:xfrm>
                    <a:prstGeom prst="rect">
                      <a:avLst/>
                    </a:prstGeom>
                    <a:noFill/>
                    <a:ln w="9525">
                      <a:noFill/>
                    </a:ln>
                  </pic:spPr>
                </pic:pic>
              </a:graphicData>
            </a:graphic>
          </wp:inline>
        </w:drawing>
      </w:r>
    </w:p>
    <w:p w14:paraId="38F8AADA">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图1-1 逐年规划计算与推荐矩阵形成过程</w:t>
      </w:r>
    </w:p>
    <w:p w14:paraId="7D14E7E3">
      <w:pPr>
        <w:pStyle w:val="4"/>
        <w:keepNext/>
        <w:numPr>
          <w:ilvl w:val="0"/>
          <w:numId w:val="0"/>
        </w:numPr>
        <w:spacing w:before="160" w:after="120" w:line="480" w:lineRule="exact"/>
        <w:ind w:firstLine="0"/>
      </w:pPr>
      <w:bookmarkStart w:id="297" w:name="Report1017_h92"/>
      <w:bookmarkEnd w:id="297"/>
      <w:bookmarkStart w:id="28" w:name="h92"/>
      <w:bookmarkStart w:id="29" w:name="研究成果及应用"/>
      <w:r>
        <w:rPr>
          <w:rFonts w:ascii="Times New Roman" w:hAnsi="Times New Roman" w:eastAsia="方正仿宋_GBK"/>
          <w:b/>
          <w:sz w:val="32"/>
        </w:rPr>
        <w:t>1.6 研究成果及应用</w:t>
      </w:r>
      <w:bookmarkEnd w:id="28"/>
      <w:bookmarkEnd w:id="29"/>
    </w:p>
    <w:p w14:paraId="6A2504BA">
      <w:pPr>
        <w:pStyle w:val="115"/>
        <w:widowControl/>
        <w:spacing w:before="0" w:after="0" w:line="348" w:lineRule="exact"/>
        <w:ind w:firstLine="480"/>
        <w:jc w:val="both"/>
      </w:pPr>
      <w:r>
        <w:rPr>
          <w:rFonts w:ascii="Times New Roman" w:hAnsi="Times New Roman" w:eastAsia="方正仿宋_GBK"/>
          <w:b w:val="0"/>
          <w:sz w:val="24"/>
        </w:rPr>
        <w:t xml:space="preserve">本研究形成邳州、市区的刚性与弹性</w:t>
      </w:r>
      <w:r>
        <w:rPr>
          <w:rFonts w:ascii="Times New Roman" w:hAnsi="Times New Roman" w:eastAsia="方正仿宋_GBK"/>
          <w:b w:val="0"/>
          <w:sz w:val="24"/>
        </w:rPr>
        <w:t xml:space="preserve">逐</w:t>
      </w:r>
      <w:r>
        <w:rPr>
          <w:rFonts w:ascii="Times New Roman" w:hAnsi="Times New Roman" w:eastAsia="方正仿宋_GBK"/>
          <w:b w:val="0"/>
          <w:sz w:val="24"/>
        </w:rPr>
        <w:t xml:space="preserve">年规划方案，给出年度主变容量、采购规模、储能配置、负荷转接及评价期费用。通用推荐矩阵集中列明电缆造价及储能支撑条件，分别给出三个负荷分散系数下的完整源荷与转供区间，典型场景再以细节点解释具体配置。</w:t>
      </w:r>
    </w:p>
    <w:p w14:paraId="0CA61B85">
      <w:pPr>
        <w:pStyle w:val="2"/>
        <w:widowControl/>
        <w:spacing w:before="0" w:after="0" w:line="348" w:lineRule="exact"/>
        <w:ind w:firstLine="480"/>
        <w:jc w:val="both"/>
      </w:pPr>
      <w:r>
        <w:rPr>
          <w:rFonts w:ascii="Times New Roman" w:hAnsi="Times New Roman" w:eastAsia="方正仿宋_GBK"/>
          <w:b w:val="0"/>
          <w:sz w:val="24"/>
        </w:rPr>
        <w:t>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14:paraId="06CA0C7D">
      <w:pPr>
        <w:pStyle w:val="3"/>
        <w:keepNext/>
        <w:pageBreakBefore/>
        <w:numPr>
          <w:ilvl w:val="0"/>
          <w:numId w:val="0"/>
        </w:numPr>
        <w:spacing w:before="0" w:after="120" w:line="540" w:lineRule="exact"/>
        <w:ind w:firstLine="0"/>
      </w:pPr>
      <w:bookmarkStart w:id="298" w:name="Report1017_h95"/>
      <w:bookmarkEnd w:id="298"/>
      <w:bookmarkStart w:id="30" w:name="h95"/>
      <w:bookmarkStart w:id="31" w:name="第二章-国内外研究现状"/>
      <w:r>
        <w:rPr>
          <w:rFonts w:ascii="Times New Roman" w:hAnsi="Times New Roman" w:eastAsia="方正仿宋_GBK"/>
          <w:b/>
          <w:sz w:val="36"/>
        </w:rPr>
        <w:t>第二章 国内外研究现状</w:t>
      </w:r>
      <w:bookmarkEnd w:id="30"/>
      <w:bookmarkEnd w:id="31"/>
    </w:p>
    <w:p w14:paraId="7E494FFD">
      <w:pPr>
        <w:pStyle w:val="115"/>
        <w:widowControl/>
        <w:spacing w:before="0" w:after="0" w:line="348" w:lineRule="exact"/>
        <w:ind w:firstLine="480"/>
        <w:jc w:val="both"/>
      </w:pPr>
      <w:r>
        <w:rPr>
          <w:rFonts w:ascii="Times New Roman" w:hAnsi="Times New Roman" w:eastAsia="方正仿宋_GBK"/>
          <w:b w:val="0"/>
          <w:sz w:val="24"/>
        </w:rPr>
        <w:t>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14:paraId="31E1AF94">
      <w:pPr>
        <w:pStyle w:val="2"/>
        <w:widowControl/>
        <w:spacing w:before="0" w:after="0" w:line="348" w:lineRule="exact"/>
        <w:ind w:firstLine="480"/>
        <w:jc w:val="both"/>
      </w:pPr>
      <w:r>
        <w:rPr>
          <w:rFonts w:ascii="Times New Roman" w:hAnsi="Times New Roman" w:eastAsia="方正仿宋_GBK"/>
          <w:b w:val="0"/>
          <w:sz w:val="24"/>
        </w:rPr>
        <w:t>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14:paraId="409BCE0D">
      <w:pPr>
        <w:pStyle w:val="4"/>
        <w:keepNext/>
        <w:numPr>
          <w:ilvl w:val="0"/>
          <w:numId w:val="0"/>
        </w:numPr>
        <w:spacing w:before="160" w:after="120" w:line="480" w:lineRule="exact"/>
        <w:ind w:firstLine="0"/>
      </w:pPr>
      <w:bookmarkStart w:id="299" w:name="Report1017_h98"/>
      <w:bookmarkEnd w:id="299"/>
      <w:bookmarkStart w:id="32" w:name="h98"/>
      <w:bookmarkStart w:id="33" w:name="国外研究现状"/>
      <w:r>
        <w:rPr>
          <w:rFonts w:ascii="Times New Roman" w:hAnsi="Times New Roman" w:eastAsia="方正仿宋_GBK"/>
          <w:b/>
          <w:sz w:val="32"/>
        </w:rPr>
        <w:t>2.1 国外研究现状</w:t>
      </w:r>
      <w:bookmarkEnd w:id="32"/>
      <w:bookmarkEnd w:id="33"/>
    </w:p>
    <w:p w14:paraId="35816752">
      <w:pPr>
        <w:pStyle w:val="5"/>
        <w:keepNext/>
        <w:numPr>
          <w:ilvl w:val="0"/>
          <w:numId w:val="0"/>
        </w:numPr>
        <w:spacing w:before="160" w:after="120" w:line="390" w:lineRule="exact"/>
        <w:ind w:firstLine="0"/>
      </w:pPr>
      <w:bookmarkStart w:id="34" w:name="分布式电源承载力评估"/>
      <w:r>
        <w:rPr>
          <w:rFonts w:ascii="Times New Roman" w:hAnsi="Times New Roman" w:eastAsia="方正仿宋_GBK"/>
          <w:b/>
          <w:sz w:val="26"/>
        </w:rPr>
        <w:t>2.1.1 分布式电源承载力评估</w:t>
      </w:r>
      <w:bookmarkEnd w:id="34"/>
    </w:p>
    <w:p w14:paraId="6DE8B019">
      <w:pPr>
        <w:pStyle w:val="115"/>
        <w:widowControl/>
        <w:spacing w:before="0" w:after="0" w:line="348" w:lineRule="exact"/>
        <w:ind w:firstLine="480"/>
        <w:jc w:val="both"/>
      </w:pPr>
      <w:r>
        <w:rPr>
          <w:rFonts w:ascii="Times New Roman" w:hAnsi="Times New Roman" w:eastAsia="方正仿宋_GBK"/>
          <w:b w:val="0"/>
          <w:sz w:val="24"/>
        </w:rPr>
        <w:t>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[23]。</w:t>
      </w:r>
    </w:p>
    <w:p w14:paraId="0C44B0B7">
      <w:pPr>
        <w:pStyle w:val="2"/>
        <w:widowControl/>
        <w:spacing w:before="0" w:after="0" w:line="348" w:lineRule="exact"/>
        <w:ind w:firstLine="480"/>
        <w:jc w:val="both"/>
      </w:pPr>
      <w:r>
        <w:rPr>
          <w:rFonts w:ascii="Times New Roman" w:hAnsi="Times New Roman" w:eastAsia="方正仿宋_GBK"/>
          <w:b w:val="0"/>
          <w:sz w:val="24"/>
        </w:rPr>
        <w:t>Chen 等进一步引入物理—数据双驱动的 WGAN-GP 场景生成（夜间太阳辐照度设为零等物理约束）刻画源侧时序不确定性，以麻雀搜索算法寻优最大承载力，为承载力计算提供符合物理条件的出力场景[24]。</w:t>
      </w:r>
    </w:p>
    <w:p w14:paraId="41CB2F37">
      <w:pPr>
        <w:pStyle w:val="2"/>
        <w:widowControl/>
        <w:spacing w:before="0" w:after="0" w:line="348" w:lineRule="exact"/>
        <w:ind w:firstLine="480"/>
        <w:jc w:val="both"/>
      </w:pPr>
      <w:r>
        <w:rPr>
          <w:rFonts w:ascii="Times New Roman" w:hAnsi="Times New Roman" w:eastAsia="方正仿宋_GBK"/>
          <w:b w:val="0"/>
          <w:sz w:val="24"/>
        </w:rPr>
        <w:t>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渗透率后边际收益递减、风险非线性上升[25]。</w:t>
      </w:r>
    </w:p>
    <w:p w14:paraId="7A1BE659">
      <w:pPr>
        <w:pStyle w:val="2"/>
        <w:widowControl/>
        <w:spacing w:before="0" w:after="0" w:line="348" w:lineRule="exact"/>
        <w:ind w:firstLine="480"/>
        <w:jc w:val="both"/>
      </w:pPr>
      <w:r>
        <w:rPr>
          <w:rFonts w:ascii="Times New Roman" w:hAnsi="Times New Roman" w:eastAsia="方正仿宋_GBK"/>
          <w:b w:val="0"/>
          <w:sz w:val="24"/>
        </w:rPr>
        <w:t>Shu 等则提出以静态电压稳定裕度（SVSM）为硬约束的动态承载力（DHC）闭环框架，通过集中—分布协同主动支撑，使动态承载力较被动场景提升约 20%～34%，说明主动支撑及稳定约束对接入能力的影响[26]。</w:t>
      </w:r>
    </w:p>
    <w:p w14:paraId="4D815053">
      <w:pPr>
        <w:pStyle w:val="2"/>
        <w:widowControl/>
        <w:spacing w:before="0" w:after="0" w:line="348" w:lineRule="exact"/>
        <w:ind w:firstLine="480"/>
        <w:jc w:val="both"/>
      </w:pPr>
      <w:r>
        <w:rPr>
          <w:rFonts w:ascii="Times New Roman" w:hAnsi="Times New Roman" w:eastAsia="方正仿宋_GBK"/>
          <w:b w:val="0"/>
          <w:sz w:val="24"/>
        </w:rPr>
        <w:t>在机理层面，Majeed 等分析了光伏出力超过本地负荷时的反向潮流，指出其可能引起低压、中压网络电压升高及配电变压器过载，并通过热效应影响绝缘老化和设备寿命[4]。</w:t>
      </w:r>
    </w:p>
    <w:p w14:paraId="02FA7AB8">
      <w:pPr>
        <w:pStyle w:val="5"/>
        <w:keepNext/>
        <w:numPr>
          <w:ilvl w:val="0"/>
          <w:numId w:val="0"/>
        </w:numPr>
        <w:spacing w:before="160" w:after="120" w:line="390" w:lineRule="exact"/>
        <w:ind w:firstLine="0"/>
      </w:pPr>
      <w:bookmarkStart w:id="35" w:name="高渗透率运行特征与反向潮流"/>
      <w:r>
        <w:rPr>
          <w:rFonts w:ascii="Times New Roman" w:hAnsi="Times New Roman" w:eastAsia="方正仿宋_GBK"/>
          <w:b/>
          <w:sz w:val="26"/>
        </w:rPr>
        <w:t>2.1.2 高渗透率运行特征与反向潮流</w:t>
      </w:r>
      <w:bookmarkEnd w:id="35"/>
    </w:p>
    <w:p w14:paraId="7EC9F9A7">
      <w:pPr>
        <w:pStyle w:val="115"/>
        <w:widowControl/>
        <w:spacing w:before="0" w:after="0" w:line="348" w:lineRule="exact"/>
        <w:ind w:firstLine="480"/>
        <w:jc w:val="both"/>
      </w:pPr>
      <w:r>
        <w:rPr>
          <w:rFonts w:ascii="Times New Roman" w:hAnsi="Times New Roman" w:eastAsia="方正仿宋_GBK"/>
          <w:b w:val="0"/>
          <w:sz w:val="24"/>
        </w:rPr>
        <w:t>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14:paraId="1831FAFC">
      <w:pPr>
        <w:pStyle w:val="2"/>
        <w:widowControl/>
        <w:spacing w:before="0" w:after="0" w:line="348" w:lineRule="exact"/>
        <w:ind w:firstLine="480"/>
        <w:jc w:val="both"/>
      </w:pPr>
      <w:r>
        <w:rPr>
          <w:rFonts w:ascii="Times New Roman" w:hAnsi="Times New Roman" w:eastAsia="方正仿宋_GBK"/>
          <w:b w:val="0"/>
          <w:sz w:val="24"/>
        </w:rPr>
        <w:t>Haider 等表明分布式柔性资源（柔性负荷、电池）的分布式协调可将主网机组爬坡需求最多降低 23%，为以灵活资源平抑净负荷爬坡提供依据[27]。</w:t>
      </w:r>
    </w:p>
    <w:p w14:paraId="4DE3E87A">
      <w:pPr>
        <w:pStyle w:val="2"/>
        <w:widowControl/>
        <w:spacing w:before="0" w:after="0" w:line="348" w:lineRule="exact"/>
        <w:ind w:firstLine="480"/>
        <w:jc w:val="both"/>
      </w:pPr>
      <w:r>
        <w:rPr>
          <w:rFonts w:ascii="Times New Roman" w:hAnsi="Times New Roman" w:eastAsia="方正仿宋_GBK"/>
          <w:b w:val="0"/>
          <w:sz w:val="24"/>
        </w:rPr>
        <w:t>针对反向潮流引起的过电压，Xie等结合主网与配网线路参数差异建立计算方法，算例中的抑制策略将过电压从高于额定值约10%降至约2%[28]。在电压与设备热状态联合控制方面，Ghorbansarvi等用模型预测控制（MPC）管理母线电压与配变温度，并以弃光最小为目标，通过协调控制推迟配变过载[29]。</w:t>
      </w:r>
    </w:p>
    <w:p w14:paraId="75B4D5F8">
      <w:pPr>
        <w:pStyle w:val="2"/>
        <w:widowControl/>
        <w:spacing w:before="0" w:after="0" w:line="348" w:lineRule="exact"/>
        <w:ind w:firstLine="480"/>
        <w:jc w:val="both"/>
      </w:pPr>
      <w:r>
        <w:rPr>
          <w:rFonts w:ascii="Times New Roman" w:hAnsi="Times New Roman" w:eastAsia="方正仿宋_GBK"/>
          <w:b w:val="0"/>
          <w:sz w:val="24"/>
        </w:rPr>
        <w:t>综述性研究则归纳出 光伏有功削减、有载分接开关调节（OLTC）、配网重构及多柔性资源协调四类电压越限治理手段，并讨论了协调控制中调节时序与经济性考虑不足，以及低压网络模型简化对分析结果的影响[30]。</w:t>
      </w:r>
    </w:p>
    <w:p w14:paraId="48F2B8CE">
      <w:pPr>
        <w:pStyle w:val="2"/>
        <w:widowControl/>
        <w:spacing w:before="0" w:after="0" w:line="348" w:lineRule="exact"/>
        <w:ind w:firstLine="480"/>
        <w:jc w:val="both"/>
      </w:pPr>
      <w:r>
        <w:rPr>
          <w:rFonts w:ascii="Times New Roman" w:hAnsi="Times New Roman" w:eastAsia="方正仿宋_GBK"/>
          <w:b w:val="0"/>
          <w:sz w:val="24"/>
        </w:rPr>
        <w:t>Hou等对概率鸭子曲线的构造包含三个相互衔接的环节：分别描述负荷和光伏出力的边际分布，以相依结构表示源荷之间的联系，再计算各时段净负荷的概率分布。其概率爬坡曲线进一步描述相邻时段净负荷变化的分布，使较大变化的幅值与出现频率能够同时观察[3]。这类方法将“净负荷有多低”和“相邻时段变化有多快”分开表达，分别对应低谷吸收任务与调节速度要求。</w:t>
      </w:r>
    </w:p>
    <w:p w14:paraId="2A6F1294">
      <w:pPr>
        <w:pStyle w:val="2"/>
        <w:widowControl/>
        <w:spacing w:before="0" w:after="0" w:line="348" w:lineRule="exact"/>
        <w:ind w:firstLine="480"/>
        <w:jc w:val="both"/>
      </w:pPr>
      <w:r>
        <w:rPr>
          <w:rFonts w:ascii="Times New Roman" w:hAnsi="Times New Roman" w:eastAsia="方正仿宋_GBK"/>
          <w:b w:val="0"/>
          <w:sz w:val="24"/>
        </w:rPr>
        <w:t>对容量规划而言，净负荷曲线首先决定设备承担的最大受入和最大反送功率；对连续运行控制而言，相邻时段变化及储能状态还会影响能否及时提供调节。两类任务所需的数据和约束有所区别。利用时序资料进行规划前分析时，可以先识别正反向极值、发生时段和近峰持续情况，再根据研究任务选择静态容量校核或连续运行模型。概率鸭子曲线所保留的源荷时间联系，为理解这些统计量之间的关系提供了依据[3]。</w:t>
      </w:r>
    </w:p>
    <w:p w14:paraId="353453D4">
      <w:pPr>
        <w:pStyle w:val="5"/>
        <w:keepNext/>
        <w:numPr>
          <w:ilvl w:val="0"/>
          <w:numId w:val="0"/>
        </w:numPr>
        <w:spacing w:before="160" w:after="120" w:line="390" w:lineRule="exact"/>
        <w:ind w:firstLine="0"/>
      </w:pPr>
      <w:bookmarkStart w:id="36" w:name="灵活资源与网络协同配置"/>
      <w:r>
        <w:rPr>
          <w:rFonts w:ascii="Times New Roman" w:hAnsi="Times New Roman" w:eastAsia="方正仿宋_GBK"/>
          <w:b/>
          <w:sz w:val="26"/>
        </w:rPr>
        <w:t>2.1.3 灵活资源与网络协同配置</w:t>
      </w:r>
      <w:bookmarkEnd w:id="36"/>
    </w:p>
    <w:p w14:paraId="77D6403B">
      <w:pPr>
        <w:pStyle w:val="115"/>
        <w:widowControl/>
        <w:spacing w:before="0" w:after="0" w:line="348" w:lineRule="exact"/>
        <w:ind w:firstLine="480"/>
        <w:jc w:val="both"/>
      </w:pPr>
      <w:r>
        <w:rPr>
          <w:rFonts w:ascii="Times New Roman" w:hAnsi="Times New Roman" w:eastAsia="方正仿宋_GBK"/>
          <w:b w:val="0"/>
          <w:sz w:val="24"/>
        </w:rPr>
        <w:t>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[31]。Wang等进一步以智能软开关（SOP）组织柔性配电网多资源动态协同规划，在5%风险阈值内实现100%本地光伏消纳，最优方案总成本较不同对照方案降低约7%～55%[32]。</w:t>
      </w:r>
    </w:p>
    <w:p w14:paraId="32F0D804">
      <w:pPr>
        <w:pStyle w:val="2"/>
        <w:widowControl/>
        <w:spacing w:before="0" w:after="0" w:line="348" w:lineRule="exact"/>
        <w:ind w:firstLine="480"/>
        <w:jc w:val="both"/>
      </w:pPr>
      <w:r>
        <w:rPr>
          <w:rFonts w:ascii="Times New Roman" w:hAnsi="Times New Roman" w:eastAsia="方正仿宋_GBK"/>
          <w:b w:val="0"/>
          <w:sz w:val="24"/>
        </w:rPr>
        <w:t>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[33]。Holweger等在CIGRE低压网上得到，PV年发电量占用户年用电量约110%～145%时，分布式柔性与网架增强达到盈亏平衡，其中较低变压器价格对应约110%、较高价格对应约145%，变压器是相关算例的承载瓶颈[34]。Matthiss等从评价期限解释措施排序差异：按初始投资比较时储能明显低于网架增强，计入电池10年寿命并折算年费用后，优势有所收窄[35]。</w:t>
      </w:r>
    </w:p>
    <w:p w14:paraId="5C8E4381">
      <w:pPr>
        <w:pStyle w:val="2"/>
        <w:widowControl/>
        <w:spacing w:before="0" w:after="0" w:line="348" w:lineRule="exact"/>
        <w:ind w:firstLine="480"/>
        <w:jc w:val="both"/>
      </w:pPr>
      <w:r>
        <w:rPr>
          <w:rFonts w:ascii="Times New Roman" w:hAnsi="Times New Roman" w:eastAsia="方正仿宋_GBK"/>
          <w:b w:val="0"/>
          <w:sz w:val="24"/>
        </w:rPr>
        <w:t>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[36]。</w:t>
      </w:r>
    </w:p>
    <w:p w14:paraId="6978D999">
      <w:pPr>
        <w:pStyle w:val="2"/>
        <w:widowControl/>
        <w:spacing w:before="0" w:after="0" w:line="348" w:lineRule="exact"/>
        <w:ind w:firstLine="480"/>
        <w:jc w:val="both"/>
      </w:pPr>
      <w:r>
        <w:rPr>
          <w:rFonts w:ascii="Times New Roman" w:hAnsi="Times New Roman" w:eastAsia="方正仿宋_GBK"/>
          <w:b w:val="0"/>
          <w:sz w:val="24"/>
        </w:rPr>
        <w:t>Zhang 等还表明随 PV 渗透由 9% 升至 99%，配电系统供电恢复量较基准提升 27%～45%，但 99% 相对 81% 的边际收益已不显著（拐点约 81% 渗透率），且其孤岛恢复方案采用构网型光伏与储能[37]。</w:t>
      </w:r>
    </w:p>
    <w:p w14:paraId="5C06A6C6">
      <w:pPr>
        <w:pStyle w:val="2"/>
        <w:widowControl/>
        <w:spacing w:before="0" w:after="0" w:line="348" w:lineRule="exact"/>
        <w:ind w:firstLine="480"/>
        <w:jc w:val="both"/>
      </w:pPr>
      <w:r>
        <w:rPr>
          <w:rFonts w:ascii="Times New Roman" w:hAnsi="Times New Roman" w:eastAsia="方正仿宋_GBK"/>
          <w:b w:val="0"/>
          <w:sz w:val="24"/>
        </w:rPr>
        <w:t>面向高负荷密度和含可再生能源的变电容量优化，Huang等用多元宇宙优化器同时选择主变容量与台数，算例显示本地可再生能源通过减少净负荷延缓主变建设[38]。需求侧调节也会改变这一建设需求，Xu等从分时电价与需求响应引起的负荷曲线变化分析削峰节省的变电投资[39]，Nespoli等则提出无需本地历史数据的全局预测方法，用于量化住宅柔性负荷的经济价值[40]。</w:t>
      </w:r>
    </w:p>
    <w:p w14:paraId="7B02E8E2">
      <w:pPr>
        <w:pStyle w:val="2"/>
        <w:widowControl/>
        <w:spacing w:before="0" w:after="0" w:line="348" w:lineRule="exact"/>
        <w:ind w:firstLine="480"/>
        <w:jc w:val="both"/>
      </w:pPr>
      <w:r>
        <w:rPr>
          <w:rFonts w:ascii="Times New Roman" w:hAnsi="Times New Roman" w:eastAsia="方正仿宋_GBK"/>
          <w:b w:val="0"/>
          <w:sz w:val="24"/>
        </w:rPr>
        <w:t>在多区域柔性互联规划中，Zhu等通过共享E-SOP协调资源配置，与原始三相不平衡网络基准相比，算例年总成本降低约15%。进一步与各区域独立规划比较，年总成本由4021.60万元降至3995.27万元，各区域最大电压不平衡度降至2%[41]。SOP与储能联合规划进一步改善供电能力，相关算例提升约31%[42]。源—网—储协同随机规划则将源荷时空相关、储能配置及弃光费用纳入统一比较，说明消纳改善与费用变化需结合具体方案判断[43]。Shi等从多主体演化博弈分析收益分配对储能配置及主体协同的影响[44]。</w:t>
      </w:r>
    </w:p>
    <w:p w14:paraId="124AFE49">
      <w:pPr>
        <w:pStyle w:val="5"/>
        <w:keepNext/>
        <w:numPr>
          <w:ilvl w:val="0"/>
          <w:numId w:val="0"/>
        </w:numPr>
        <w:spacing w:before="160" w:after="120" w:line="390" w:lineRule="exact"/>
        <w:ind w:firstLine="0"/>
      </w:pPr>
      <w:bookmarkStart w:id="37" w:name="规划费用与决策方法"/>
      <w:r>
        <w:rPr>
          <w:rFonts w:ascii="Times New Roman" w:hAnsi="Times New Roman" w:eastAsia="方正仿宋_GBK"/>
          <w:b/>
          <w:sz w:val="26"/>
        </w:rPr>
        <w:t>2.1.4 规划费用与决策方法</w:t>
      </w:r>
      <w:bookmarkEnd w:id="37"/>
    </w:p>
    <w:p w14:paraId="7B5B3D5A">
      <w:pPr>
        <w:pStyle w:val="115"/>
        <w:widowControl/>
        <w:spacing w:before="0" w:after="0" w:line="348" w:lineRule="exact"/>
        <w:ind w:firstLine="480"/>
        <w:jc w:val="both"/>
      </w:pPr>
      <w:r>
        <w:rPr>
          <w:rFonts w:ascii="Times New Roman" w:hAnsi="Times New Roman" w:eastAsia="方正仿宋_GBK"/>
          <w:b w:val="0"/>
          <w:sz w:val="24"/>
        </w:rPr>
        <w:t>成本评价需统一初始投资与运行期支出。Zeng等以投资、运行、维护和故障费用建立输电线路经济寿命区间法，用改进GM(1,1)预测小样本成本，并以区间反映不确定性[13]。Zhu等针对10 kV三类线路，将投资、运维、故障和报废费用纳入LCC模型，发现高负载率下运维成为主要影响因素，算例三类线路的费用平衡点位于第7～8年，为比较线路寿命和现金流范围提供依据[14]。</w:t>
      </w:r>
    </w:p>
    <w:p w14:paraId="730F81AB">
      <w:pPr>
        <w:pStyle w:val="2"/>
        <w:widowControl/>
        <w:spacing w:before="0" w:after="0" w:line="348" w:lineRule="exact"/>
        <w:ind w:firstLine="480"/>
        <w:jc w:val="both"/>
      </w:pPr>
      <w:r>
        <w:rPr>
          <w:rFonts w:ascii="Times New Roman" w:hAnsi="Times New Roman" w:eastAsia="方正仿宋_GBK"/>
          <w:b w:val="0"/>
          <w:sz w:val="24"/>
        </w:rPr>
        <w:t>在多准则决策方面，相关成果采用组合赋权与排序模型开展方案评价：AHP-CRITIC 组合赋权叠加 GRA-TOPSIS 与累积前景理论用于电网规划方案适应性评价[45]；Fermatean 模糊 TOPSIS 配合 FAHP-熵权与 DEMATEL 因果分析处理专家评分不确定性[46]；最优最劣法（BWM）+ 反熵权 + 纳什博弈 + 马氏距离改进 TOPSIS 用于输电项目优选[47]；改进 AHP 叠加物元可拓评估实现效益分级[16]。多准则评价通过指标与权重表达方案差异，适用于技术可行方案的综合比较。</w:t>
      </w:r>
    </w:p>
    <w:p w14:paraId="0B5F13DB">
      <w:pPr>
        <w:pStyle w:val="4"/>
        <w:keepNext/>
        <w:numPr>
          <w:ilvl w:val="0"/>
          <w:numId w:val="0"/>
        </w:numPr>
        <w:spacing w:before="160" w:after="120" w:line="480" w:lineRule="exact"/>
        <w:ind w:firstLine="0"/>
      </w:pPr>
      <w:bookmarkStart w:id="300" w:name="Report1017_h122"/>
      <w:bookmarkEnd w:id="300"/>
      <w:bookmarkStart w:id="38" w:name="h122"/>
      <w:bookmarkStart w:id="39" w:name="国内研究现状"/>
      <w:r>
        <w:rPr>
          <w:rFonts w:ascii="Times New Roman" w:hAnsi="Times New Roman" w:eastAsia="方正仿宋_GBK"/>
          <w:b/>
          <w:sz w:val="32"/>
        </w:rPr>
        <w:t>2.2 国内研究现状</w:t>
      </w:r>
      <w:bookmarkEnd w:id="38"/>
      <w:bookmarkEnd w:id="39"/>
    </w:p>
    <w:p w14:paraId="74B34B9F">
      <w:pPr>
        <w:pStyle w:val="5"/>
        <w:keepNext/>
        <w:numPr>
          <w:ilvl w:val="0"/>
          <w:numId w:val="0"/>
        </w:numPr>
        <w:spacing w:before="160" w:after="120" w:line="390" w:lineRule="exact"/>
        <w:ind w:firstLine="0"/>
      </w:pPr>
      <w:bookmarkStart w:id="40" w:name="容载比与下级网络供电能力"/>
      <w:r>
        <w:rPr>
          <w:rFonts w:ascii="Times New Roman" w:hAnsi="Times New Roman" w:eastAsia="方正仿宋_GBK"/>
          <w:b/>
          <w:sz w:val="26"/>
        </w:rPr>
        <w:t>2.2.1 容载比与下级网络供电能力</w:t>
      </w:r>
      <w:bookmarkEnd w:id="40"/>
    </w:p>
    <w:p w14:paraId="17C23F75">
      <w:pPr>
        <w:pStyle w:val="115"/>
        <w:widowControl/>
        <w:spacing w:before="0" w:after="0" w:line="348" w:lineRule="exact"/>
        <w:ind w:firstLine="480"/>
        <w:jc w:val="both"/>
      </w:pPr>
      <w:r>
        <w:rPr>
          <w:rFonts w:ascii="Times New Roman" w:hAnsi="Times New Roman" w:eastAsia="方正仿宋_GBK"/>
          <w:b w:val="0"/>
          <w:sz w:val="24"/>
        </w:rPr>
        <w:t>国内容量配置研究从单电压等级逐步拓展到多电压等级协同。陈浩等建立高、低压两电压等级变电站的最优容载比模型，以年综合费用最小为目标，通过离散粒子群算法求解[11]。王凯亮等进一步统筹220/110/10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MW·km⁻²负荷密度分界和负荷增长率给出差异化推荐表[9]。</w:t>
      </w:r>
    </w:p>
    <w:p w14:paraId="475A9F7D">
      <w:pPr>
        <w:pStyle w:val="2"/>
        <w:widowControl/>
        <w:spacing w:before="0" w:after="0" w:line="348" w:lineRule="exact"/>
        <w:ind w:firstLine="480"/>
        <w:jc w:val="both"/>
      </w:pPr>
      <w:r>
        <w:rPr>
          <w:rFonts w:ascii="Times New Roman" w:hAnsi="Times New Roman" w:eastAsia="方正仿宋_GBK"/>
          <w:b w:val="0"/>
          <w:sz w:val="24"/>
        </w:rPr>
        <w:t>指标精细化研究尝试将容量储备与可靠性及负荷特征衔接。刘文霞等针对导则容载比区间较宽、与可靠性关联不足的问题，提出以理想值为基准的“容载比色带”，用供电可靠性与发展阶段评价区域充裕性[48]。刘炜彬等则从负荷分散系数、储备系数、变压器安全运行率和平均功率因数入手，采用BP神经网络拟合负荷同时率，并将N-1通过率纳入安全运行率，实现精细化、差异化配置[20]。</w:t>
      </w:r>
    </w:p>
    <w:p w14:paraId="4E0B5731">
      <w:pPr>
        <w:pStyle w:val="2"/>
        <w:widowControl/>
        <w:spacing w:before="0" w:after="0" w:line="348" w:lineRule="exact"/>
        <w:ind w:firstLine="480"/>
        <w:jc w:val="both"/>
      </w:pPr>
      <w:r>
        <w:rPr>
          <w:rFonts w:ascii="Times New Roman" w:hAnsi="Times New Roman" w:eastAsia="方正仿宋_GBK"/>
          <w:b w:val="0"/>
          <w:sz w:val="24"/>
        </w:rPr>
        <w:t>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[7]。张锐等进一步以改进供电能力指标指导低压柔性互联装置规划，分别评价设备容量与实际供电能力[49]。马雨欣、林凌雪则在精准规划的TSC评估中考虑二次转供，并讨论分布式电源接入的影响[50]。</w:t>
      </w:r>
    </w:p>
    <w:p w14:paraId="77FC6EC3">
      <w:pPr>
        <w:pStyle w:val="2"/>
        <w:widowControl/>
        <w:spacing w:before="0" w:after="0" w:line="348" w:lineRule="exact"/>
        <w:ind w:firstLine="480"/>
        <w:jc w:val="both"/>
      </w:pPr>
      <w:r>
        <w:rPr>
          <w:rFonts w:ascii="Times New Roman" w:hAnsi="Times New Roman" w:eastAsia="方正仿宋_GBK"/>
          <w:b w:val="0"/>
          <w:sz w:val="24"/>
        </w:rPr>
        <w:t>上述研究分别从费用寻优、参数构造和供电能力出发，对容载比提供了互相补充的解释。陈浩等将变压器类型与台数作为设备选配变量，同时评价不同电压等级的技术性和经济性，最终输出各站主变配置[11]。该研究说明，容载比的经济取值需要依托允许的设备组合，实际采购规格会影响容量与投资之间的关系。王凯亮等进一步将变电站和线路规划放在多层级模型中，得到容载比配比及相应网架方案[9]。对本项目而言，两项研究共同支持以具体工程组合解释区域容量指标。</w:t>
      </w:r>
    </w:p>
    <w:p w14:paraId="5D0EBD93">
      <w:pPr>
        <w:pStyle w:val="2"/>
        <w:widowControl/>
        <w:spacing w:before="0" w:after="0" w:line="348" w:lineRule="exact"/>
        <w:ind w:firstLine="480"/>
        <w:jc w:val="both"/>
      </w:pPr>
      <w:r>
        <w:rPr>
          <w:rFonts w:ascii="Times New Roman" w:hAnsi="Times New Roman" w:eastAsia="方正仿宋_GBK"/>
          <w:b w:val="0"/>
          <w:sz w:val="24"/>
        </w:rPr>
        <w:t>刘炜彬等对负荷分散系数的分析还表明，负荷构成和峰值时段会共同影响同时率。该文以行业高峰时刻差、峰谷时段差和高峰持续特征等变量建立预测关系，并将变压器安全运行率与电网安全及电能质量联系起来[20]。因此，区域最大负荷相同的两个片区，仍可能因站级负荷分布不同而需要不同的容量。参数规划需要既保留区域规模，也保留局部峰值条件，再由站级校核判断容量分布。</w:t>
      </w:r>
    </w:p>
    <w:p w14:paraId="64C8C1EF">
      <w:pPr>
        <w:pStyle w:val="2"/>
        <w:widowControl/>
        <w:spacing w:before="0" w:after="0" w:line="348" w:lineRule="exact"/>
        <w:ind w:firstLine="480"/>
        <w:jc w:val="both"/>
      </w:pPr>
      <w:r>
        <w:rPr>
          <w:rFonts w:ascii="Times New Roman" w:hAnsi="Times New Roman" w:eastAsia="方正仿宋_GBK"/>
          <w:b w:val="0"/>
          <w:sz w:val="24"/>
        </w:rPr>
        <w:t>肖峻等的TSC模型则从网络支援解释容量利用。其研究既约束馈线接收能力，也约束相邻主变承接能力，并通过改变联络位置和规模考察网络强度[7]。这使“下级网络较强”具有可计算的通道与设备含义。将该思路用于建设比选时，既有联络应按可用能力进入约束，新增联络再按工程投资进入目标函数，网络改善所减少的主变需求才能与建设费用相互对应。</w:t>
      </w:r>
    </w:p>
    <w:p w14:paraId="411F8FC6">
      <w:pPr>
        <w:pStyle w:val="5"/>
        <w:keepNext/>
        <w:numPr>
          <w:ilvl w:val="0"/>
          <w:numId w:val="0"/>
        </w:numPr>
        <w:spacing w:before="160" w:after="120" w:line="390" w:lineRule="exact"/>
        <w:ind w:firstLine="0"/>
      </w:pPr>
      <w:bookmarkStart w:id="41" w:name="分布式光伏承载力与安全经济评价"/>
      <w:r>
        <w:rPr>
          <w:rFonts w:ascii="Times New Roman" w:hAnsi="Times New Roman" w:eastAsia="方正仿宋_GBK"/>
          <w:b/>
          <w:sz w:val="26"/>
        </w:rPr>
        <w:t>2.2.2 分布式光伏承载力与安全经济评价</w:t>
      </w:r>
      <w:bookmarkEnd w:id="41"/>
    </w:p>
    <w:p w14:paraId="30DDD2B8">
      <w:pPr>
        <w:pStyle w:val="115"/>
        <w:widowControl/>
        <w:spacing w:before="0" w:after="0" w:line="348" w:lineRule="exact"/>
        <w:ind w:firstLine="480"/>
        <w:jc w:val="both"/>
      </w:pPr>
      <w:r>
        <w:rPr>
          <w:rFonts w:ascii="Times New Roman" w:hAnsi="Times New Roman" w:eastAsia="方正仿宋_GBK"/>
          <w:b w:val="0"/>
          <w:sz w:val="24"/>
        </w:rPr>
        <w:t>国内承载力研究同时开展多供电层级耦合、分层精细化及概率区间评估。多层级分析有助于识别接入限制出现的具体位置，概率与区间方法则反映源荷不确定性。在精细化评估上，王守相等提出“变电站—馈线—台区”多供电层级耦合的一体化评估，明确区分“消纳能力（运行角度，电力电量平衡）”与“接纳能力（规划角度，不越过载/电压/谐波约束）”，并指出单电压等级独立评估会使低压侧承载力估计过于乐观[21]。</w:t>
      </w:r>
    </w:p>
    <w:p w14:paraId="5555C5B0">
      <w:pPr>
        <w:pStyle w:val="2"/>
        <w:widowControl/>
        <w:spacing w:before="0" w:after="0" w:line="348" w:lineRule="exact"/>
        <w:ind w:firstLine="480"/>
        <w:jc w:val="both"/>
      </w:pPr>
      <w:r>
        <w:rPr>
          <w:rFonts w:ascii="Times New Roman" w:hAnsi="Times New Roman" w:eastAsia="方正仿宋_GBK"/>
          <w:b w:val="0"/>
          <w:sz w:val="24"/>
        </w:rPr>
        <w:t>概率与区间方法用于表达承载力的不确定性。王方敏等基于历史场景，以反向负载率划分红、黄、蓝、绿四级薄弱环节，并按不同置信水平给出可新增光伏容量[51]，徐非非等提出计及不确定性的承载能力区间分析方法[52]。针对含储能与软开关的柔性配电网，张伟等分别用确定性模型和双层鲁棒优化构造最乐观、最悲观边界，E-SOP端口容量增大时，区间从7.93～10.89 MW提高至9.32～11.34 MW且宽度收窄[53]。</w:t>
      </w:r>
    </w:p>
    <w:p w14:paraId="38C3A277">
      <w:pPr>
        <w:pStyle w:val="2"/>
        <w:widowControl/>
        <w:spacing w:before="0" w:after="0" w:line="348" w:lineRule="exact"/>
        <w:ind w:firstLine="480"/>
        <w:jc w:val="both"/>
      </w:pPr>
      <w:r>
        <w:rPr>
          <w:rFonts w:ascii="Times New Roman" w:hAnsi="Times New Roman" w:eastAsia="方正仿宋_GBK"/>
          <w:b w:val="0"/>
          <w:sz w:val="24"/>
        </w:rPr>
        <w:t>安全经济承载力研究将运行约束与经济目标共同纳入评估。宋钰等以年低碳经济收益最大为目标，构建确定性与分布鲁棒机会约束模型，考虑分布式光伏出力不确定性[54]。李敬如等先在输电网层面构建省域承载力区间，再在配电网层面结合潮流、电能质量和储能约束求取经济配置，使承载力与省域消纳条件相互校核[55]。</w:t>
      </w:r>
    </w:p>
    <w:p w14:paraId="02006DE6">
      <w:pPr>
        <w:pStyle w:val="2"/>
        <w:widowControl/>
        <w:spacing w:before="0" w:after="0" w:line="348" w:lineRule="exact"/>
        <w:ind w:firstLine="480"/>
        <w:jc w:val="both"/>
      </w:pPr>
      <w:r>
        <w:rPr>
          <w:rFonts w:ascii="Times New Roman" w:hAnsi="Times New Roman" w:eastAsia="方正仿宋_GBK"/>
          <w:b w:val="0"/>
          <w:sz w:val="24"/>
        </w:rPr>
        <w:t>龚锐等则提出“综合承载力”概念，将运行状态评估结果折算为系数与接入容量相乘得“期望接入容量”，通过运行评价系数反映接入容量的质量差异[56]。</w:t>
      </w:r>
    </w:p>
    <w:p w14:paraId="48310CAB">
      <w:pPr>
        <w:pStyle w:val="2"/>
        <w:widowControl/>
        <w:spacing w:before="0" w:after="0" w:line="348" w:lineRule="exact"/>
        <w:ind w:firstLine="480"/>
        <w:jc w:val="both"/>
      </w:pPr>
      <w:r>
        <w:rPr>
          <w:rFonts w:ascii="Times New Roman" w:hAnsi="Times New Roman" w:eastAsia="方正仿宋_GBK"/>
          <w:b w:val="0"/>
          <w:sz w:val="24"/>
        </w:rPr>
        <w:t>王守相等对多维现状指标作了明确分工：容量渗透率以装机与同层级最大负荷比较，能量渗透率以发电量与负荷电量比较，电量上传、就地消纳及弃光指标进一步表示电能去向[21]。这些指标覆盖从装机规模到实际运行的不同信息。同一供电区域具有较高全年光伏电量时，仍可能在若干日间时段出现超过负荷的瞬时出力，因而需要结合时间分布判断反送任务。</w:t>
      </w:r>
    </w:p>
    <w:p w14:paraId="04A4544E">
      <w:pPr>
        <w:pStyle w:val="2"/>
        <w:widowControl/>
        <w:spacing w:before="0" w:after="0" w:line="348" w:lineRule="exact"/>
        <w:ind w:firstLine="480"/>
        <w:jc w:val="both"/>
      </w:pPr>
      <w:r>
        <w:rPr>
          <w:rFonts w:ascii="Times New Roman" w:hAnsi="Times New Roman" w:eastAsia="方正仿宋_GBK"/>
          <w:b w:val="0"/>
          <w:sz w:val="24"/>
        </w:rPr>
        <w:t>该文以源荷瞬时功率关系分析就地消纳，并在接纳能力校核中继续考虑变压器和线路热约束及层级耦合[21]。其方法说明，年度电量平衡与瞬时设备承载需要在各自尺度上建立。若某台区日间富余功率需要向上输送，馈线、上级变电设备及其他层级的限制将共同影响可接入规模。容量规划因此需要逐层明确功率经过的设备，并保留限制出现的位置。</w:t>
      </w:r>
    </w:p>
    <w:p w14:paraId="76FBA854">
      <w:pPr>
        <w:pStyle w:val="2"/>
        <w:widowControl/>
        <w:spacing w:before="0" w:after="0" w:line="348" w:lineRule="exact"/>
        <w:ind w:firstLine="480"/>
        <w:jc w:val="both"/>
      </w:pPr>
      <w:r>
        <w:rPr>
          <w:rFonts w:ascii="Times New Roman" w:hAnsi="Times New Roman" w:eastAsia="方正仿宋_GBK"/>
          <w:b w:val="0"/>
          <w:sz w:val="24"/>
        </w:rPr>
        <w:t>从这一技术关系看，区域源荷指标适合描述发展水平和筛选需要重点分析的片区，站级及通道约束则用于确定建设措施能够解决哪些缺口。对于110 kV容量配置，可以用区域数据判断正反向任务的大体规模，再用同一工况下的站级分布计算转供及承接。不同层级的统计量按对应范围使用，便能把区域规模判断与具体设备建设衔接起来。</w:t>
      </w:r>
    </w:p>
    <w:p w14:paraId="3BD32175">
      <w:pPr>
        <w:pStyle w:val="5"/>
        <w:keepNext/>
        <w:numPr>
          <w:ilvl w:val="0"/>
          <w:numId w:val="0"/>
        </w:numPr>
        <w:spacing w:before="160" w:after="120" w:line="390" w:lineRule="exact"/>
        <w:ind w:firstLine="0"/>
      </w:pPr>
      <w:bookmarkStart w:id="42" w:name="源荷运行特征与净负荷"/>
      <w:r>
        <w:rPr>
          <w:rFonts w:ascii="Times New Roman" w:hAnsi="Times New Roman" w:eastAsia="方正仿宋_GBK"/>
          <w:b/>
          <w:sz w:val="26"/>
        </w:rPr>
        <w:t>2.2.3 源荷运行特征与净负荷</w:t>
      </w:r>
      <w:bookmarkEnd w:id="42"/>
    </w:p>
    <w:p w14:paraId="2CB8DE99">
      <w:pPr>
        <w:pStyle w:val="115"/>
        <w:widowControl/>
        <w:spacing w:before="0" w:after="0" w:line="348" w:lineRule="exact"/>
        <w:ind w:firstLine="480"/>
        <w:jc w:val="both"/>
      </w:pPr>
      <w:r>
        <w:rPr>
          <w:rFonts w:ascii="Times New Roman" w:hAnsi="Times New Roman" w:eastAsia="方正仿宋_GBK"/>
          <w:b w:val="0"/>
          <w:sz w:val="24"/>
        </w:rPr>
        <w:t>运行特征研究为本项目的源荷分析提供方法和区域参照。曹炜等综述德国可再生能源法与英国伦敦“8·9”大停电经验，分析高比例新能源接入后向主网反向输送功率的现象，并提示防孤岛与频率保护设定的重要性[57]。</w:t>
      </w:r>
    </w:p>
    <w:p w14:paraId="71B30AA5">
      <w:pPr>
        <w:pStyle w:val="2"/>
        <w:widowControl/>
        <w:spacing w:before="0" w:after="0" w:line="348" w:lineRule="exact"/>
        <w:ind w:firstLine="480"/>
        <w:jc w:val="both"/>
      </w:pPr>
      <w:r>
        <w:rPr>
          <w:rFonts w:ascii="Times New Roman" w:hAnsi="Times New Roman" w:eastAsia="方正仿宋_GBK"/>
          <w:b w:val="0"/>
          <w:sz w:val="24"/>
        </w:rPr>
        <w:t>在区域负荷特征上，龚玺等基于 2016—2021 年江苏逐小时负荷与南京气象数据，得出江苏夏季日最大负荷与日最高气温相关性达 0.90、负荷随气温呈“V/U 型”，为分析江苏地区负荷与气温的关系提供参考[58]。</w:t>
      </w:r>
    </w:p>
    <w:p w14:paraId="637B0C80">
      <w:pPr>
        <w:pStyle w:val="2"/>
        <w:widowControl/>
        <w:spacing w:before="0" w:after="0" w:line="348" w:lineRule="exact"/>
        <w:ind w:firstLine="480"/>
        <w:jc w:val="both"/>
      </w:pPr>
      <w:r>
        <w:rPr>
          <w:rFonts w:ascii="Times New Roman" w:hAnsi="Times New Roman" w:eastAsia="方正仿宋_GBK"/>
          <w:b w:val="0"/>
          <w:sz w:val="24"/>
        </w:rPr>
        <w:t>在风险评估与控制上，梁志峰等构建主配网“安全（电压越限、断面重载）、平衡、消纳”风险评估指标体系并提出分层分区紧急切负荷策略[59]，吕达夫等以多场景源荷不确定性模型评估承载能力、得出“储能提升承载能力优于需求响应”[60]，刘克权等则以甘肃为例定性论证高比例新能源下“承载力不足/潮流反转/N-1 不满足/网架联络率低”等工程问题[61]。</w:t>
      </w:r>
    </w:p>
    <w:p w14:paraId="26088883">
      <w:pPr>
        <w:pStyle w:val="5"/>
        <w:keepNext/>
        <w:numPr>
          <w:ilvl w:val="0"/>
          <w:numId w:val="0"/>
        </w:numPr>
        <w:spacing w:before="160" w:after="120" w:line="390" w:lineRule="exact"/>
        <w:ind w:firstLine="0"/>
      </w:pPr>
      <w:bookmarkStart w:id="43" w:name="源网荷储协同规划"/>
      <w:r>
        <w:rPr>
          <w:rFonts w:ascii="Times New Roman" w:hAnsi="Times New Roman" w:eastAsia="方正仿宋_GBK"/>
          <w:b/>
          <w:sz w:val="26"/>
        </w:rPr>
        <w:t>2.2.4 源网荷储协同规划</w:t>
      </w:r>
      <w:bookmarkEnd w:id="43"/>
    </w:p>
    <w:p w14:paraId="4DA54EE4">
      <w:pPr>
        <w:pStyle w:val="115"/>
        <w:widowControl/>
        <w:spacing w:before="0" w:after="0" w:line="348" w:lineRule="exact"/>
        <w:ind w:firstLine="480"/>
        <w:jc w:val="both"/>
      </w:pPr>
      <w:r>
        <w:rPr>
          <w:rFonts w:ascii="Times New Roman" w:hAnsi="Times New Roman" w:eastAsia="方正仿宋_GBK"/>
          <w:b w:val="0"/>
          <w:sz w:val="24"/>
        </w:rPr>
        <w:t>国内协同规划研究关注柔性互联与储能配置对潮流、供电能力及投资的共同影响，相关综述分别梳理分布式光伏规模化并网[62]、主动配电网规划[63]和新型配电网分布式储能配置[64]。贺春光等采用混合整数二阶锥规划统筹多电压等级SOP，算例年综合成本由457.30万元降至357.70万元，各节点电压保持在[0.95,1.05]，并缓解220 kV变电站倒送[65]。在源—网—储扩展规划中，徐峰亮等建立三层模型并定义净负荷适应率、净负荷波动率和线路负载裕度均衡性，推荐方案在五种方案中总成本最低，为1300.50万元，DG渗透率最高，约57%[22]。乐健等用Frank-Copula描述源荷时空相关，通过蒙特卡洛生成并削减典型场景，25节点算例方案4的综合费用较方案2降低约45%，说明场景与协同配置会影响经济比较[66]。</w:t>
      </w:r>
    </w:p>
    <w:p w14:paraId="0DB391CC">
      <w:pPr>
        <w:pStyle w:val="2"/>
        <w:widowControl/>
        <w:spacing w:before="0" w:after="0" w:line="348" w:lineRule="exact"/>
        <w:ind w:firstLine="480"/>
        <w:jc w:val="both"/>
      </w:pPr>
      <w:r>
        <w:rPr>
          <w:rFonts w:ascii="Times New Roman" w:hAnsi="Times New Roman" w:eastAsia="方正仿宋_GBK"/>
          <w:b w:val="0"/>
          <w:sz w:val="24"/>
        </w:rPr>
        <w:t>徐峰亮等将协同扩展规划分成线路规划、源储配置和运行优化三个层次。上层确定网架，中层配置分布式电源与储能，下层计算典型场景运行方式，再将上级电网注入功率、线路传输功率及储能充放电结果反馈给规划层[22]。这一组织方式把工程建设形成的可用能力与运行中能够实现的调节联系起来，建设投资需要接受具体场景的运行检验。</w:t>
      </w:r>
    </w:p>
    <w:p w14:paraId="61E7B822">
      <w:pPr>
        <w:pStyle w:val="2"/>
        <w:widowControl/>
        <w:spacing w:before="0" w:after="0" w:line="348" w:lineRule="exact"/>
        <w:ind w:firstLine="480"/>
        <w:jc w:val="both"/>
      </w:pPr>
      <w:r>
        <w:rPr>
          <w:rFonts w:ascii="Times New Roman" w:hAnsi="Times New Roman" w:eastAsia="方正仿宋_GBK"/>
          <w:b w:val="0"/>
          <w:sz w:val="24"/>
        </w:rPr>
        <w:t>该文的灵活性指标又分别观察供需平衡、净负荷波动及线路负载裕度。储能与上级电网提供节点调节能力，线路建设改变功率能够在哪些位置传输，资源配置与网络传输因而共同影响运行结果[22]。对于站群容量比选，这种关系可以落实为本地设备能力、转出负荷、接收余量和邻站剩余容量。增加一种资源后，其他措施的变化取决于它实际替代了哪一部分任务。</w:t>
      </w:r>
    </w:p>
    <w:p w14:paraId="75E90490">
      <w:pPr>
        <w:pStyle w:val="2"/>
        <w:widowControl/>
        <w:spacing w:before="0" w:after="0" w:line="348" w:lineRule="exact"/>
        <w:ind w:firstLine="480"/>
        <w:jc w:val="both"/>
      </w:pPr>
      <w:r>
        <w:rPr>
          <w:rFonts w:ascii="Times New Roman" w:hAnsi="Times New Roman" w:eastAsia="方正仿宋_GBK"/>
          <w:b w:val="0"/>
          <w:sz w:val="24"/>
        </w:rPr>
        <w:t>源网储协同模型的另一个特点是建设状态与运行状态相互依赖。某条线路只有在被建设后才能参与相应场景的功率分配，某组储能只有布置在能够缓解瓶颈的位置才能发挥规划作用。模型将这些联系写入约束后，费用目标才会在可实现的措施组合之间选择。已有研究据此输出网架、资源配置和运行结果[22]，为本项目同时列示设备与负荷转接提供了方法参照。</w:t>
      </w:r>
    </w:p>
    <w:p w14:paraId="0657D335">
      <w:pPr>
        <w:pStyle w:val="5"/>
        <w:keepNext/>
        <w:numPr>
          <w:ilvl w:val="0"/>
          <w:numId w:val="0"/>
        </w:numPr>
        <w:spacing w:before="160" w:after="120" w:line="390" w:lineRule="exact"/>
        <w:ind w:firstLine="0"/>
      </w:pPr>
      <w:bookmarkStart w:id="44" w:name="工程费用与评价方法"/>
      <w:r>
        <w:rPr>
          <w:rFonts w:ascii="Times New Roman" w:hAnsi="Times New Roman" w:eastAsia="方正仿宋_GBK"/>
          <w:b/>
          <w:sz w:val="26"/>
        </w:rPr>
        <w:t>2.2.5 工程费用与评价方法</w:t>
      </w:r>
      <w:bookmarkEnd w:id="44"/>
    </w:p>
    <w:p w14:paraId="68FDB7FA">
      <w:pPr>
        <w:pStyle w:val="115"/>
        <w:widowControl/>
        <w:spacing w:before="0" w:after="0" w:line="348" w:lineRule="exact"/>
        <w:ind w:firstLine="480"/>
        <w:jc w:val="both"/>
      </w:pPr>
      <w:r>
        <w:rPr>
          <w:rFonts w:ascii="Times New Roman" w:hAnsi="Times New Roman" w:eastAsia="方正仿宋_GBK"/>
          <w:b w:val="0"/>
          <w:sz w:val="24"/>
        </w:rPr>
        <w:t>建设费用与设备寿命共同决定措施的经济性。在投资优选方面，张全等建立电网规划全生命周期投入产出效益评价体系，选取 6 类典型投资场景按“先项目重要性、后投入产出效益”排序，区分“刚性必选”（如区域供电能力提升、配用电升级）与“弹性排序”（如 220 kV 网架、灵活资源）项目，按工程功能和投入产出组织投资排序[67]；何凯等提出“全成本电价”（节点边际电价 + 单位负荷建设与运维成本）并以基态/N-1 态负荷率为安全指标、“收入成本比”为经济指标做方案优选，其算例含 110 kV、155 MW 负荷接入（基态线路负荷率达 84%～92%），包含高压配电网的工程比选[68]。</w:t>
      </w:r>
    </w:p>
    <w:p w14:paraId="1F19B428">
      <w:pPr>
        <w:pStyle w:val="2"/>
        <w:widowControl/>
        <w:spacing w:before="0" w:after="0" w:line="348" w:lineRule="exact"/>
        <w:ind w:firstLine="480"/>
        <w:jc w:val="both"/>
      </w:pPr>
      <w:r>
        <w:rPr>
          <w:rFonts w:ascii="Times New Roman" w:hAnsi="Times New Roman" w:eastAsia="方正仿宋_GBK"/>
          <w:b w:val="0"/>
          <w:sz w:val="24"/>
        </w:rPr>
        <w:t>在造价参数化上，武小琳等以技术/组织/环境/造价四层因子构建 LM-CNN 模型预测输变电单位容量造价，平均精度达 98%、RMSE 7.38 元/(kV·A)，为工程造价的参数化分析提供参考[69]。</w:t>
      </w:r>
    </w:p>
    <w:p w14:paraId="5E540A6E">
      <w:pPr>
        <w:pStyle w:val="2"/>
        <w:widowControl/>
        <w:spacing w:before="0" w:after="0" w:line="348" w:lineRule="exact"/>
        <w:ind w:firstLine="480"/>
        <w:jc w:val="both"/>
      </w:pPr>
      <w:r>
        <w:rPr>
          <w:rFonts w:ascii="Times New Roman" w:hAnsi="Times New Roman" w:eastAsia="方正仿宋_GBK"/>
          <w:b w:val="0"/>
          <w:sz w:val="24"/>
        </w:rPr>
        <w:t>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14:paraId="709F1706">
      <w:pPr>
        <w:pStyle w:val="2"/>
        <w:widowControl/>
        <w:spacing w:before="0" w:after="0" w:line="348" w:lineRule="exact"/>
        <w:ind w:firstLine="480"/>
        <w:jc w:val="both"/>
      </w:pPr>
      <w:r>
        <w:rPr>
          <w:rFonts w:ascii="Times New Roman" w:hAnsi="Times New Roman" w:eastAsia="方正仿宋_GBK"/>
          <w:b w:val="0"/>
          <w:sz w:val="24"/>
        </w:rPr>
        <w:t>黄碧斌等将光伏接入形成的成本与效益分项计算，其中电网改造费用按需要改造的线路、单位长度费用及线路长度确定，维护费用与设备或改造规模对应，限电损失则与逐时未利用电量及单位电量价值联系[70]。不同费用项对应不同物理量，这使方案的经济差异能够追溯到具体工程或运行结果。评价范围扩大后，还需将降损、延缓投资和其他收益放在同一基准下处理。</w:t>
      </w:r>
    </w:p>
    <w:p w14:paraId="5E22A250">
      <w:pPr>
        <w:pStyle w:val="2"/>
        <w:widowControl/>
        <w:spacing w:before="0" w:after="0" w:line="348" w:lineRule="exact"/>
        <w:ind w:firstLine="480"/>
        <w:jc w:val="both"/>
      </w:pPr>
      <w:r>
        <w:rPr>
          <w:rFonts w:ascii="Times New Roman" w:hAnsi="Times New Roman" w:eastAsia="方正仿宋_GBK"/>
          <w:b w:val="0"/>
          <w:sz w:val="24"/>
        </w:rPr>
        <w:t>该研究采用全年运行分析识别需要改造的设备，原因是容量或电压限制可能仅在部分时段出现。规划中若允许限电，其发生时段和累计电量会改变改造选择；若以给定源荷功率作为承载任务，则需要在相应场景内配置足够能力。不同研究任务由此形成不同的技术可行集合与费用科目[70]。使用相关经济结论时，应一并读取其运行措施和投资范围，再确定哪些方法可以用于当前容量问题。</w:t>
      </w:r>
    </w:p>
    <w:p w14:paraId="1125C49F">
      <w:pPr>
        <w:pStyle w:val="5"/>
        <w:keepNext/>
        <w:numPr>
          <w:ilvl w:val="0"/>
          <w:numId w:val="0"/>
        </w:numPr>
        <w:spacing w:before="160" w:after="120" w:line="390" w:lineRule="exact"/>
        <w:ind w:firstLine="0"/>
      </w:pPr>
      <w:bookmarkStart w:id="45" w:name="多准则评价与差异化投资"/>
      <w:r>
        <w:rPr>
          <w:rFonts w:ascii="Times New Roman" w:hAnsi="Times New Roman" w:eastAsia="方正仿宋_GBK"/>
          <w:b/>
          <w:sz w:val="26"/>
        </w:rPr>
        <w:t>2.2.6 多准则评价与差异化投资</w:t>
      </w:r>
      <w:bookmarkEnd w:id="45"/>
    </w:p>
    <w:p w14:paraId="3CB64148">
      <w:pPr>
        <w:pStyle w:val="115"/>
        <w:widowControl/>
        <w:spacing w:before="0" w:after="0" w:line="348" w:lineRule="exact"/>
        <w:ind w:firstLine="480"/>
        <w:jc w:val="both"/>
      </w:pPr>
      <w:r>
        <w:rPr>
          <w:rFonts w:ascii="Times New Roman" w:hAnsi="Times New Roman" w:eastAsia="方正仿宋_GBK"/>
          <w:b w:val="0"/>
          <w:sz w:val="24"/>
        </w:rPr>
        <w:t>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容载比纳入评价指标并给出四级分级阈值，用于区域电网分类和综合评价[17]。</w:t>
      </w:r>
    </w:p>
    <w:p w14:paraId="158224AF">
      <w:pPr>
        <w:pStyle w:val="2"/>
        <w:widowControl/>
        <w:spacing w:before="0" w:after="0" w:line="348" w:lineRule="exact"/>
        <w:ind w:firstLine="480"/>
        <w:jc w:val="both"/>
      </w:pPr>
      <w:r>
        <w:rPr>
          <w:rFonts w:ascii="Times New Roman" w:hAnsi="Times New Roman" w:eastAsia="方正仿宋_GBK"/>
          <w:b w:val="0"/>
          <w:sz w:val="24"/>
        </w:rPr>
        <w:t>程智余等以改进 ELECTRE 法做电网规划投资多准则融合决策，将项目分为“安全提升型”与“需求驱动型”，其“不可补偿、否决阈值”机制可用于剔除不满足关键要求的规划方案[18]；汪志才等的“考虑功能差异的输变电项目效益评价及投资优化”将不同项目的工程功能纳入评价[71]。</w:t>
      </w:r>
    </w:p>
    <w:p w14:paraId="39238BA8">
      <w:pPr>
        <w:pStyle w:val="5"/>
        <w:keepNext/>
        <w:numPr>
          <w:ilvl w:val="0"/>
          <w:numId w:val="0"/>
        </w:numPr>
        <w:spacing w:before="160" w:after="120" w:line="390" w:lineRule="exact"/>
        <w:ind w:firstLine="0"/>
      </w:pPr>
      <w:bookmarkStart w:id="46" w:name="区域案例与分层规划"/>
      <w:r>
        <w:rPr>
          <w:rFonts w:ascii="Times New Roman" w:hAnsi="Times New Roman" w:eastAsia="方正仿宋_GBK"/>
          <w:b/>
          <w:sz w:val="26"/>
        </w:rPr>
        <w:t>2.2.7 区域案例与分层规划</w:t>
      </w:r>
      <w:bookmarkEnd w:id="46"/>
    </w:p>
    <w:p w14:paraId="22947216">
      <w:pPr>
        <w:pStyle w:val="115"/>
        <w:widowControl/>
        <w:spacing w:before="0" w:after="0" w:line="348" w:lineRule="exact"/>
        <w:ind w:firstLine="480"/>
        <w:jc w:val="both"/>
      </w:pPr>
      <w:r>
        <w:rPr>
          <w:rFonts w:ascii="Times New Roman" w:hAnsi="Times New Roman" w:eastAsia="方正仿宋_GBK"/>
          <w:b w:val="0"/>
          <w:sz w:val="24"/>
        </w:rPr>
        <w:t>区域案例将负荷预测、技术校核和工程投资结合起来。严小玉以江西兴国县为对象，构建“分电压层级消纳能力测算 + 多法负荷预测 + 分电压等级投资估算”的县域110 kV规划方法，给出丰小方式下光伏最大接入 149 MW、10 kV 及以下中压消纳能力约为总负荷的 20%～30%、“十三五”110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14:paraId="5EF766EA">
      <w:pPr>
        <w:pStyle w:val="2"/>
        <w:widowControl/>
        <w:spacing w:before="0" w:after="0" w:line="348" w:lineRule="exact"/>
        <w:ind w:firstLine="480"/>
        <w:jc w:val="both"/>
      </w:pPr>
      <w:r>
        <w:rPr>
          <w:rFonts w:ascii="Times New Roman" w:hAnsi="Times New Roman" w:eastAsia="方正仿宋_GBK"/>
          <w:b w:val="0"/>
          <w:sz w:val="24"/>
        </w:rPr>
        <w:t>在渗透率/消纳测算上，陈璨等以二分法快速定位边界渗透率并以四指标“满意度距离”做承德实际系统的消纳方案择优[74]；孙东磊等以 ADMM + 二阶锥松弛做多层级配电网消纳空间分解测算，论证层间协调可提升总消纳空间。其算例采用IEEE 6/7/9/10/12/15合成测试系统检验多层级协调方法[75]。</w:t>
      </w:r>
    </w:p>
    <w:p w14:paraId="0C499C3A">
      <w:pPr>
        <w:pStyle w:val="2"/>
        <w:widowControl/>
        <w:spacing w:before="0" w:after="0" w:line="348" w:lineRule="exact"/>
        <w:ind w:firstLine="480"/>
        <w:jc w:val="both"/>
      </w:pPr>
      <w:r>
        <w:rPr>
          <w:rFonts w:ascii="Times New Roman" w:hAnsi="Times New Roman" w:eastAsia="方正仿宋_GBK"/>
          <w:b w:val="0"/>
          <w:sz w:val="24"/>
        </w:rPr>
        <w:t>金勇等以“功能单元”概念建立某城市 110 kV 高压配电网负荷转供分层优化模型，为分析负荷转供与变电容量储备的关系提供参考[76]。</w:t>
      </w:r>
    </w:p>
    <w:p w14:paraId="4C6B8C39">
      <w:pPr>
        <w:pStyle w:val="2"/>
        <w:widowControl/>
        <w:spacing w:before="0" w:after="0" w:line="348" w:lineRule="exact"/>
        <w:ind w:firstLine="480"/>
        <w:jc w:val="both"/>
      </w:pPr>
      <w:r>
        <w:rPr>
          <w:rFonts w:ascii="Times New Roman" w:hAnsi="Times New Roman" w:eastAsia="方正仿宋_GBK"/>
          <w:b w:val="0"/>
          <w:sz w:val="24"/>
        </w:rPr>
        <w:t>Zhao 等还以浙江嘉兴/平湖示范区构建“源—网—荷—储四侧”投资测算模型，显示电网侧投资在四侧中占比最大（约 2312 万美元），说明电网侧工程是综合投资的重要组成部分[77]。</w:t>
      </w:r>
    </w:p>
    <w:p w14:paraId="51B9260C">
      <w:pPr>
        <w:pStyle w:val="5"/>
        <w:keepNext/>
        <w:numPr>
          <w:ilvl w:val="0"/>
          <w:numId w:val="0"/>
        </w:numPr>
        <w:spacing w:before="160" w:after="120" w:line="390" w:lineRule="exact"/>
        <w:ind w:firstLine="0"/>
      </w:pPr>
      <w:bookmarkStart w:id="47" w:name="弹性规划与容载比差异化优化"/>
      <w:r>
        <w:rPr>
          <w:rFonts w:ascii="Times New Roman" w:hAnsi="Times New Roman" w:eastAsia="方正仿宋_GBK"/>
          <w:b/>
          <w:sz w:val="26"/>
        </w:rPr>
        <w:t>2.2.8 弹性规划与容载比差异化优化</w:t>
      </w:r>
      <w:bookmarkEnd w:id="47"/>
    </w:p>
    <w:p w14:paraId="5ECEE80F">
      <w:pPr>
        <w:pStyle w:val="115"/>
        <w:widowControl/>
        <w:spacing w:before="0" w:after="0" w:line="348" w:lineRule="exact"/>
        <w:ind w:firstLine="480"/>
        <w:jc w:val="both"/>
      </w:pPr>
      <w:r>
        <w:rPr>
          <w:rFonts w:ascii="Times New Roman" w:hAnsi="Times New Roman" w:eastAsia="方正仿宋_GBK"/>
          <w:b w:val="0"/>
          <w:sz w:val="24"/>
        </w:rPr>
        <w:t>谢天祥等从变电站、中压线路和配变三个层级建立“三级弹性”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14:paraId="6500DF8D">
      <w:pPr>
        <w:pStyle w:val="2"/>
        <w:widowControl/>
        <w:spacing w:before="0" w:after="0" w:line="348" w:lineRule="exact"/>
        <w:ind w:firstLine="480"/>
        <w:jc w:val="both"/>
      </w:pPr>
      <w:r>
        <w:rPr>
          <w:rFonts w:ascii="Times New Roman" w:hAnsi="Times New Roman" w:eastAsia="方正仿宋_GBK"/>
          <w:b w:val="0"/>
          <w:sz w:val="24"/>
        </w:rPr>
        <w:t>刘炜彬等将负荷同时性、安全运行水平和负荷发展储备纳入容载比参数优化，结合负荷增长及密度分析容量储备年限[20]；王凯亮等研究多电压等级协同规划，说明上级容量与下级网络条件需要共同考虑[9]。这些研究为容载比按片区条件调整提供了依据。</w:t>
      </w:r>
    </w:p>
    <w:p w14:paraId="42EBA614">
      <w:pPr>
        <w:pStyle w:val="2"/>
        <w:widowControl/>
        <w:spacing w:before="0" w:after="0" w:line="348" w:lineRule="exact"/>
        <w:ind w:firstLine="480"/>
        <w:jc w:val="both"/>
      </w:pPr>
      <w:r>
        <w:rPr>
          <w:rFonts w:ascii="Times New Roman" w:hAnsi="Times New Roman" w:eastAsia="方正仿宋_GBK"/>
          <w:b w:val="0"/>
          <w:sz w:val="24"/>
        </w:rPr>
        <w:t>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三级弹性”研究的联系在于按运行条件调整容量配置，研究重点为110 kV容量与10 kV联络、储能的经济比选；极端灾害恢复需要另行建立故障及恢复过程模型。</w:t>
      </w:r>
    </w:p>
    <w:p w14:paraId="2B455D0A">
      <w:pPr>
        <w:pStyle w:val="5"/>
        <w:keepNext/>
        <w:numPr>
          <w:ilvl w:val="0"/>
          <w:numId w:val="0"/>
        </w:numPr>
        <w:spacing w:before="160" w:after="120" w:line="390" w:lineRule="exact"/>
        <w:ind w:firstLine="0"/>
      </w:pPr>
      <w:bookmarkStart w:id="48" w:name="政策与标准导向"/>
      <w:r>
        <w:rPr>
          <w:rFonts w:ascii="Times New Roman" w:hAnsi="Times New Roman" w:eastAsia="方正仿宋_GBK"/>
          <w:b/>
          <w:sz w:val="26"/>
        </w:rPr>
        <w:t>2.2.9 政策与标准导向</w:t>
      </w:r>
      <w:bookmarkEnd w:id="48"/>
    </w:p>
    <w:p w14:paraId="7B9B8593">
      <w:pPr>
        <w:pStyle w:val="115"/>
        <w:widowControl/>
        <w:spacing w:before="0" w:after="0" w:line="348" w:lineRule="exact"/>
        <w:ind w:firstLine="480"/>
        <w:jc w:val="both"/>
      </w:pPr>
      <w:r>
        <w:rPr>
          <w:rFonts w:ascii="Times New Roman" w:hAnsi="Times New Roman" w:eastAsia="方正仿宋_GBK"/>
          <w:b w:val="0"/>
          <w:sz w:val="24"/>
        </w:rPr>
        <w:t>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2041—2025《分布式电源接入电力系统承载力评估导则》规定系统级及设备级承载力计算、结果校核和可开放容量评估方法[12]。GB/T 45418—2025《配电网通用技术导则》为下级配电网技术分析提供补充依据[19]。2025年4月《配电网规划设计技术导则（修订稿）》提出分布式电源装机渗透率和分布式电源电量渗透率指标，用于判断源荷发展水平及反向容量校核需求[8]。</w:t>
      </w:r>
    </w:p>
    <w:p w14:paraId="3AC661BA">
      <w:pPr>
        <w:pStyle w:val="2"/>
        <w:widowControl/>
        <w:spacing w:before="0" w:after="0" w:line="348" w:lineRule="exact"/>
        <w:ind w:firstLine="480"/>
        <w:jc w:val="both"/>
      </w:pPr>
      <w:r>
        <w:rPr>
          <w:rFonts w:ascii="Times New Roman" w:hAnsi="Times New Roman" w:eastAsia="方正仿宋_GBK"/>
          <w:b w:val="0"/>
          <w:sz w:val="24"/>
        </w:rPr>
        <w:t>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14:paraId="377117DF">
      <w:pPr>
        <w:pStyle w:val="2"/>
        <w:widowControl/>
        <w:spacing w:before="0" w:after="0" w:line="348" w:lineRule="exact"/>
        <w:ind w:firstLine="480"/>
        <w:jc w:val="both"/>
      </w:pPr>
      <w:r>
        <w:rPr>
          <w:rFonts w:ascii="Times New Roman" w:hAnsi="Times New Roman" w:eastAsia="方正仿宋_GBK"/>
          <w:b w:val="0"/>
          <w:sz w:val="24"/>
        </w:rPr>
        <w:t>《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14:paraId="41AAEB77">
      <w:pPr>
        <w:pStyle w:val="5"/>
        <w:keepNext/>
        <w:numPr>
          <w:ilvl w:val="0"/>
          <w:numId w:val="0"/>
        </w:numPr>
        <w:spacing w:before="160" w:after="120" w:line="390" w:lineRule="exact"/>
        <w:ind w:firstLine="0"/>
      </w:pPr>
      <w:bookmarkStart w:id="49" w:name="国内研究小结"/>
      <w:r>
        <w:rPr>
          <w:rFonts w:ascii="Times New Roman" w:hAnsi="Times New Roman" w:eastAsia="方正仿宋_GBK"/>
          <w:b/>
          <w:sz w:val="26"/>
        </w:rPr>
        <w:t>2.2.10 国内研究小结</w:t>
      </w:r>
      <w:bookmarkEnd w:id="49"/>
    </w:p>
    <w:p w14:paraId="4C626E5A">
      <w:pPr>
        <w:pStyle w:val="115"/>
        <w:widowControl/>
        <w:spacing w:before="0" w:after="0" w:line="348" w:lineRule="exact"/>
        <w:ind w:firstLine="480"/>
        <w:jc w:val="both"/>
      </w:pPr>
      <w:r>
        <w:rPr>
          <w:rFonts w:ascii="Times New Roman" w:hAnsi="Times New Roman" w:eastAsia="方正仿宋_GBK"/>
          <w:b w:val="0"/>
          <w:sz w:val="24"/>
        </w:rPr>
        <w:t>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14:paraId="401A36D9">
      <w:pPr>
        <w:pStyle w:val="4"/>
        <w:keepNext/>
        <w:numPr>
          <w:ilvl w:val="0"/>
          <w:numId w:val="0"/>
        </w:numPr>
        <w:spacing w:before="160" w:after="120" w:line="480" w:lineRule="exact"/>
        <w:ind w:firstLine="0"/>
      </w:pPr>
      <w:bookmarkStart w:id="301" w:name="Report1017_h171"/>
      <w:bookmarkEnd w:id="301"/>
      <w:bookmarkStart w:id="50" w:name="国内外研究对比与述评"/>
      <w:bookmarkStart w:id="51" w:name="h171"/>
      <w:r>
        <w:rPr>
          <w:rFonts w:ascii="Times New Roman" w:hAnsi="Times New Roman" w:eastAsia="方正仿宋_GBK"/>
          <w:b/>
          <w:sz w:val="32"/>
        </w:rPr>
        <w:t>2.3 国内外研究对比与述评</w:t>
      </w:r>
      <w:bookmarkEnd w:id="50"/>
      <w:bookmarkEnd w:id="51"/>
    </w:p>
    <w:p w14:paraId="4E6EF92B">
      <w:pPr>
        <w:pStyle w:val="115"/>
        <w:widowControl/>
        <w:spacing w:before="0" w:after="0" w:line="348" w:lineRule="exact"/>
        <w:ind w:firstLine="480"/>
        <w:jc w:val="both"/>
      </w:pPr>
      <w:r>
        <w:rPr>
          <w:rFonts w:ascii="Times New Roman" w:hAnsi="Times New Roman" w:eastAsia="方正仿宋_GBK"/>
          <w:b w:val="0"/>
          <w:sz w:val="24"/>
        </w:rPr>
        <w:t>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14:paraId="14D34280">
      <w:pPr>
        <w:pStyle w:val="2"/>
        <w:widowControl/>
        <w:spacing w:before="0" w:after="0" w:line="348" w:lineRule="exact"/>
        <w:ind w:firstLine="480"/>
        <w:jc w:val="both"/>
      </w:pPr>
      <w:r>
        <w:rPr>
          <w:rFonts w:ascii="Times New Roman" w:hAnsi="Times New Roman" w:eastAsia="方正仿宋_GBK"/>
          <w:b w:val="0"/>
          <w:sz w:val="24"/>
        </w:rPr>
        <w:t>国内外研究主题与本项目的工程关注点见表2-1。</w:t>
      </w:r>
    </w:p>
    <w:p w14:paraId="1E28EB13">
      <w:pPr>
        <w:pStyle w:val="2"/>
        <w:keepNext/>
        <w:spacing w:before="120" w:after="80" w:line="280" w:lineRule="exact"/>
        <w:ind w:firstLine="0"/>
        <w:jc w:val="center"/>
      </w:pPr>
      <w:r>
        <w:rPr>
          <w:rFonts w:ascii="Times New Roman" w:hAnsi="Times New Roman" w:eastAsia="宋体"/>
          <w:b w:val="0"/>
          <w:sz w:val="21"/>
        </w:rPr>
        <w:t>表2-1 国内外研究主题与工程应用关注点</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485471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78CF0AE0">
            <w:pPr>
              <w:keepNext/>
              <w:spacing w:before="20" w:after="20" w:line="260" w:lineRule="exact"/>
              <w:ind w:left="0" w:leftChars="0" w:right="0" w:rightChars="0" w:firstLine="0" w:firstLineChars="0"/>
              <w:jc w:val="center"/>
            </w:pPr>
            <w:r>
              <w:rPr>
                <w:rFonts w:ascii="Times New Roman" w:hAnsi="Times New Roman" w:eastAsia="宋体"/>
                <w:b/>
                <w:sz w:val="18"/>
              </w:rPr>
              <w:t>研究主题</w:t>
            </w:r>
          </w:p>
        </w:tc>
        <w:tc>
          <w:tcPr>
            <w:tcW w:w="2078" w:type="dxa"/>
            <w:tcMar>
              <w:left w:w="70" w:type="dxa"/>
              <w:right w:w="70" w:type="dxa"/>
            </w:tcMar>
            <w:vAlign w:val="center"/>
          </w:tcPr>
          <w:p w14:paraId="368BE7CB">
            <w:pPr>
              <w:keepNext/>
              <w:spacing w:before="20" w:after="20" w:line="260" w:lineRule="exact"/>
              <w:ind w:left="0" w:leftChars="0" w:right="0" w:rightChars="0" w:firstLine="0" w:firstLineChars="0"/>
              <w:jc w:val="center"/>
            </w:pPr>
            <w:r>
              <w:rPr>
                <w:rFonts w:ascii="Times New Roman" w:hAnsi="Times New Roman" w:eastAsia="宋体"/>
                <w:b/>
                <w:sz w:val="18"/>
              </w:rPr>
              <w:t>本章对应小节</w:t>
            </w:r>
          </w:p>
        </w:tc>
        <w:tc>
          <w:tcPr>
            <w:tcW w:w="2078" w:type="dxa"/>
            <w:tcMar>
              <w:left w:w="70" w:type="dxa"/>
              <w:right w:w="70" w:type="dxa"/>
            </w:tcMar>
            <w:vAlign w:val="center"/>
          </w:tcPr>
          <w:p w14:paraId="76A9C943">
            <w:pPr>
              <w:keepNext/>
              <w:spacing w:before="20" w:after="20" w:line="260" w:lineRule="exact"/>
              <w:ind w:left="0" w:leftChars="0" w:right="0" w:rightChars="0" w:firstLine="0" w:firstLineChars="0"/>
              <w:jc w:val="center"/>
            </w:pPr>
            <w:r>
              <w:rPr>
                <w:rFonts w:ascii="Times New Roman" w:hAnsi="Times New Roman" w:eastAsia="宋体"/>
                <w:b/>
                <w:sz w:val="18"/>
              </w:rPr>
              <w:t>工程关注点</w:t>
            </w:r>
          </w:p>
        </w:tc>
        <w:tc>
          <w:tcPr>
            <w:tcW w:w="2078" w:type="dxa"/>
            <w:tcMar>
              <w:left w:w="70" w:type="dxa"/>
              <w:right w:w="70" w:type="dxa"/>
            </w:tcMar>
            <w:vAlign w:val="center"/>
          </w:tcPr>
          <w:p w14:paraId="2F0BD961">
            <w:pPr>
              <w:keepNext/>
              <w:spacing w:before="20" w:after="20" w:line="260" w:lineRule="exact"/>
              <w:ind w:left="0" w:leftChars="0" w:right="0" w:rightChars="0" w:firstLine="0" w:firstLineChars="0"/>
              <w:jc w:val="center"/>
            </w:pPr>
            <w:r>
              <w:rPr>
                <w:rFonts w:ascii="Times New Roman" w:hAnsi="Times New Roman" w:eastAsia="宋体"/>
                <w:b/>
                <w:sz w:val="18"/>
              </w:rPr>
              <w:t>本课题研究内容</w:t>
            </w:r>
          </w:p>
        </w:tc>
      </w:tr>
      <w:tr w14:paraId="74AA5F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3D748E0">
            <w:pPr>
              <w:keepNext/>
              <w:spacing w:before="20" w:after="20" w:line="260" w:lineRule="exact"/>
              <w:ind w:left="0" w:leftChars="0" w:right="0" w:rightChars="0" w:firstLine="0" w:firstLineChars="0"/>
              <w:jc w:val="center"/>
            </w:pPr>
            <w:r>
              <w:rPr>
                <w:rFonts w:ascii="Times New Roman" w:hAnsi="Times New Roman" w:eastAsia="宋体"/>
                <w:b w:val="0"/>
                <w:sz w:val="18"/>
              </w:rPr>
              <w:t>承载力评价</w:t>
            </w:r>
          </w:p>
        </w:tc>
        <w:tc>
          <w:tcPr>
            <w:tcW w:w="2078" w:type="dxa"/>
            <w:tcMar>
              <w:left w:w="70" w:type="dxa"/>
              <w:right w:w="70" w:type="dxa"/>
            </w:tcMar>
            <w:vAlign w:val="center"/>
          </w:tcPr>
          <w:p w14:paraId="0A673436">
            <w:pPr>
              <w:keepNext/>
              <w:spacing w:before="20" w:after="20" w:line="260" w:lineRule="exact"/>
              <w:ind w:left="0" w:leftChars="0" w:right="0" w:rightChars="0" w:firstLine="0" w:firstLineChars="0"/>
              <w:jc w:val="center"/>
            </w:pPr>
            <w:r>
              <w:rPr>
                <w:rFonts w:ascii="Times New Roman" w:hAnsi="Times New Roman" w:eastAsia="宋体"/>
                <w:b w:val="0"/>
                <w:sz w:val="18"/>
              </w:rPr>
              <w:t>2.1.1、2.2.2</w:t>
            </w:r>
          </w:p>
        </w:tc>
        <w:tc>
          <w:tcPr>
            <w:tcW w:w="2078" w:type="dxa"/>
            <w:tcMar>
              <w:left w:w="70" w:type="dxa"/>
              <w:right w:w="70" w:type="dxa"/>
            </w:tcMar>
            <w:vAlign w:val="center"/>
          </w:tcPr>
          <w:p w14:paraId="57F01F4A">
            <w:pPr>
              <w:keepNext/>
              <w:spacing w:before="20" w:after="20" w:line="260" w:lineRule="exact"/>
              <w:ind w:left="0" w:leftChars="0" w:right="0" w:rightChars="0" w:firstLine="0" w:firstLineChars="0"/>
              <w:jc w:val="center"/>
            </w:pPr>
            <w:r>
              <w:rPr>
                <w:rFonts w:ascii="Times New Roman" w:hAnsi="Times New Roman" w:eastAsia="宋体"/>
                <w:b w:val="0"/>
                <w:sz w:val="18"/>
              </w:rPr>
              <w:t>接入容量、网络条件与评价边界</w:t>
            </w:r>
          </w:p>
        </w:tc>
        <w:tc>
          <w:tcPr>
            <w:tcW w:w="2078" w:type="dxa"/>
            <w:tcMar>
              <w:left w:w="70" w:type="dxa"/>
              <w:right w:w="70" w:type="dxa"/>
            </w:tcMar>
            <w:vAlign w:val="center"/>
          </w:tcPr>
          <w:p w14:paraId="05E434C4">
            <w:pPr>
              <w:keepNext/>
              <w:spacing w:before="20" w:after="20" w:line="260" w:lineRule="exact"/>
              <w:ind w:left="0" w:leftChars="0" w:right="0" w:rightChars="0" w:firstLine="0" w:firstLineChars="0"/>
              <w:jc w:val="center"/>
            </w:pPr>
            <w:r>
              <w:rPr>
                <w:rFonts w:ascii="Times New Roman" w:hAnsi="Times New Roman" w:eastAsia="宋体"/>
                <w:b w:val="0"/>
                <w:sz w:val="18"/>
              </w:rPr>
              <w:t>结合110 kV容量配置开展规划比选</w:t>
            </w:r>
          </w:p>
        </w:tc>
      </w:tr>
      <w:tr w14:paraId="554EA5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175512F">
            <w:pPr>
              <w:keepNext/>
              <w:spacing w:before="20" w:after="20" w:line="260" w:lineRule="exact"/>
              <w:ind w:left="0" w:leftChars="0" w:right="0" w:rightChars="0" w:firstLine="0" w:firstLineChars="0"/>
              <w:jc w:val="center"/>
            </w:pPr>
            <w:r>
              <w:rPr>
                <w:rFonts w:ascii="Times New Roman" w:hAnsi="Times New Roman" w:eastAsia="宋体"/>
                <w:b w:val="0"/>
                <w:sz w:val="18"/>
              </w:rPr>
              <w:t>运行特征</w:t>
            </w:r>
          </w:p>
        </w:tc>
        <w:tc>
          <w:tcPr>
            <w:tcW w:w="2078" w:type="dxa"/>
            <w:tcMar>
              <w:left w:w="70" w:type="dxa"/>
              <w:right w:w="70" w:type="dxa"/>
            </w:tcMar>
            <w:vAlign w:val="center"/>
          </w:tcPr>
          <w:p w14:paraId="76CD21EA">
            <w:pPr>
              <w:keepNext/>
              <w:spacing w:before="20" w:after="20" w:line="260" w:lineRule="exact"/>
              <w:ind w:left="0" w:leftChars="0" w:right="0" w:rightChars="0" w:firstLine="0" w:firstLineChars="0"/>
              <w:jc w:val="center"/>
            </w:pPr>
            <w:r>
              <w:rPr>
                <w:rFonts w:ascii="Times New Roman" w:hAnsi="Times New Roman" w:eastAsia="宋体"/>
                <w:b w:val="0"/>
                <w:sz w:val="18"/>
              </w:rPr>
              <w:t>2.1.2、2.2.3</w:t>
            </w:r>
          </w:p>
        </w:tc>
        <w:tc>
          <w:tcPr>
            <w:tcW w:w="2078" w:type="dxa"/>
            <w:tcMar>
              <w:left w:w="70" w:type="dxa"/>
              <w:right w:w="70" w:type="dxa"/>
            </w:tcMar>
            <w:vAlign w:val="center"/>
          </w:tcPr>
          <w:p w14:paraId="45114A61">
            <w:pPr>
              <w:keepNext/>
              <w:spacing w:before="20" w:after="20" w:line="260" w:lineRule="exact"/>
              <w:ind w:left="0" w:leftChars="0" w:right="0" w:rightChars="0" w:firstLine="0" w:firstLineChars="0"/>
              <w:jc w:val="center"/>
            </w:pPr>
            <w:r>
              <w:rPr>
                <w:rFonts w:ascii="Times New Roman" w:hAnsi="Times New Roman" w:eastAsia="宋体"/>
                <w:b w:val="0"/>
                <w:sz w:val="18"/>
              </w:rPr>
              <w:t>净负荷、反向潮流与电压问题</w:t>
            </w:r>
          </w:p>
        </w:tc>
        <w:tc>
          <w:tcPr>
            <w:tcW w:w="2078" w:type="dxa"/>
            <w:tcMar>
              <w:left w:w="70" w:type="dxa"/>
              <w:right w:w="70" w:type="dxa"/>
            </w:tcMar>
            <w:vAlign w:val="center"/>
          </w:tcPr>
          <w:p w14:paraId="4B8C1905">
            <w:pPr>
              <w:keepNext/>
              <w:spacing w:before="20" w:after="20" w:line="260" w:lineRule="exact"/>
              <w:ind w:left="0" w:leftChars="0" w:right="0" w:rightChars="0" w:firstLine="0" w:firstLineChars="0"/>
              <w:jc w:val="center"/>
            </w:pPr>
            <w:r>
              <w:rPr>
                <w:rFonts w:ascii="Times New Roman" w:hAnsi="Times New Roman" w:eastAsia="宋体"/>
                <w:b w:val="0"/>
                <w:sz w:val="18"/>
              </w:rPr>
              <w:t>区分区域正向净峰与站级反向峰</w:t>
            </w:r>
          </w:p>
        </w:tc>
      </w:tr>
      <w:tr w14:paraId="76E3CD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6504A4">
            <w:pPr>
              <w:keepNext/>
              <w:spacing w:before="20" w:after="20" w:line="260" w:lineRule="exact"/>
              <w:ind w:left="0" w:leftChars="0" w:right="0" w:rightChars="0" w:firstLine="0" w:firstLineChars="0"/>
              <w:jc w:val="center"/>
            </w:pPr>
            <w:r>
              <w:rPr>
                <w:rFonts w:ascii="Times New Roman" w:hAnsi="Times New Roman" w:eastAsia="宋体"/>
                <w:b w:val="0"/>
                <w:sz w:val="18"/>
              </w:rPr>
              <w:t>灵活资源与网架</w:t>
            </w:r>
          </w:p>
        </w:tc>
        <w:tc>
          <w:tcPr>
            <w:tcW w:w="2078" w:type="dxa"/>
            <w:tcMar>
              <w:left w:w="70" w:type="dxa"/>
              <w:right w:w="70" w:type="dxa"/>
            </w:tcMar>
            <w:vAlign w:val="center"/>
          </w:tcPr>
          <w:p w14:paraId="76A29145">
            <w:pPr>
              <w:keepNext/>
              <w:spacing w:before="20" w:after="20" w:line="260" w:lineRule="exact"/>
              <w:ind w:left="0" w:leftChars="0" w:right="0" w:rightChars="0" w:firstLine="0" w:firstLineChars="0"/>
              <w:jc w:val="center"/>
            </w:pPr>
            <w:r>
              <w:rPr>
                <w:rFonts w:ascii="Times New Roman" w:hAnsi="Times New Roman" w:eastAsia="宋体"/>
                <w:b w:val="0"/>
                <w:sz w:val="18"/>
              </w:rPr>
              <w:t>2.1.3、2.2.4</w:t>
            </w:r>
          </w:p>
        </w:tc>
        <w:tc>
          <w:tcPr>
            <w:tcW w:w="2078" w:type="dxa"/>
            <w:tcMar>
              <w:left w:w="70" w:type="dxa"/>
              <w:right w:w="70" w:type="dxa"/>
            </w:tcMar>
            <w:vAlign w:val="center"/>
          </w:tcPr>
          <w:p w14:paraId="29BE813E">
            <w:pPr>
              <w:keepNext/>
              <w:spacing w:before="20" w:after="20" w:line="260" w:lineRule="exact"/>
              <w:ind w:left="0" w:leftChars="0" w:right="0" w:rightChars="0" w:firstLine="0" w:firstLineChars="0"/>
              <w:jc w:val="center"/>
            </w:pPr>
            <w:r>
              <w:rPr>
                <w:rFonts w:ascii="Times New Roman" w:hAnsi="Times New Roman" w:eastAsia="宋体"/>
                <w:b w:val="0"/>
                <w:sz w:val="18"/>
              </w:rPr>
              <w:t>储能、网络增强及协同配置</w:t>
            </w:r>
          </w:p>
        </w:tc>
        <w:tc>
          <w:tcPr>
            <w:tcW w:w="2078" w:type="dxa"/>
            <w:tcMar>
              <w:left w:w="70" w:type="dxa"/>
              <w:right w:w="70" w:type="dxa"/>
            </w:tcMar>
            <w:vAlign w:val="center"/>
          </w:tcPr>
          <w:p w14:paraId="11E1EE95">
            <w:pPr>
              <w:keepNext/>
              <w:spacing w:before="20" w:after="20" w:line="260" w:lineRule="exact"/>
              <w:ind w:left="0" w:leftChars="0" w:right="0" w:rightChars="0" w:firstLine="0" w:firstLineChars="0"/>
              <w:jc w:val="center"/>
            </w:pPr>
            <w:r>
              <w:rPr>
                <w:rFonts w:ascii="Times New Roman" w:hAnsi="Times New Roman" w:eastAsia="宋体"/>
                <w:b w:val="0"/>
                <w:sz w:val="18"/>
              </w:rPr>
              <w:t>比较主变、储能及已具备资料的局部互济</w:t>
            </w:r>
          </w:p>
        </w:tc>
      </w:tr>
      <w:tr w14:paraId="6F2254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C14CFD4">
            <w:pPr>
              <w:keepNext/>
              <w:spacing w:before="20" w:after="20" w:line="260" w:lineRule="exact"/>
              <w:ind w:left="0" w:leftChars="0" w:right="0" w:rightChars="0" w:firstLine="0" w:firstLineChars="0"/>
              <w:jc w:val="center"/>
            </w:pPr>
            <w:r>
              <w:rPr>
                <w:rFonts w:ascii="Times New Roman" w:hAnsi="Times New Roman" w:eastAsia="宋体"/>
                <w:b w:val="0"/>
                <w:sz w:val="18"/>
              </w:rPr>
              <w:t>费用与决策</w:t>
            </w:r>
          </w:p>
        </w:tc>
        <w:tc>
          <w:tcPr>
            <w:tcW w:w="2078" w:type="dxa"/>
            <w:tcMar>
              <w:left w:w="70" w:type="dxa"/>
              <w:right w:w="70" w:type="dxa"/>
            </w:tcMar>
            <w:vAlign w:val="center"/>
          </w:tcPr>
          <w:p w14:paraId="0FD3BB94">
            <w:pPr>
              <w:keepNext/>
              <w:spacing w:before="20" w:after="20" w:line="260" w:lineRule="exact"/>
              <w:ind w:left="0" w:leftChars="0" w:right="0" w:rightChars="0" w:firstLine="0" w:firstLineChars="0"/>
              <w:jc w:val="center"/>
            </w:pPr>
            <w:r>
              <w:rPr>
                <w:rFonts w:ascii="Times New Roman" w:hAnsi="Times New Roman" w:eastAsia="宋体"/>
                <w:b w:val="0"/>
                <w:sz w:val="18"/>
              </w:rPr>
              <w:t>2.1.4、2.2.5及2.2.6</w:t>
            </w:r>
          </w:p>
        </w:tc>
        <w:tc>
          <w:tcPr>
            <w:tcW w:w="2078" w:type="dxa"/>
            <w:tcMar>
              <w:left w:w="70" w:type="dxa"/>
              <w:right w:w="70" w:type="dxa"/>
            </w:tcMar>
            <w:vAlign w:val="center"/>
          </w:tcPr>
          <w:p w14:paraId="5CAC7E06">
            <w:pPr>
              <w:keepNext/>
              <w:spacing w:before="20" w:after="20" w:line="260" w:lineRule="exact"/>
              <w:ind w:left="0" w:leftChars="0" w:right="0" w:rightChars="0" w:firstLine="0" w:firstLineChars="0"/>
              <w:jc w:val="center"/>
            </w:pPr>
            <w:r>
              <w:rPr>
                <w:rFonts w:ascii="Times New Roman" w:hAnsi="Times New Roman" w:eastAsia="宋体"/>
                <w:b w:val="0"/>
                <w:sz w:val="18"/>
              </w:rPr>
              <w:t>投资、更新、运维与差异化投资</w:t>
            </w:r>
          </w:p>
        </w:tc>
        <w:tc>
          <w:tcPr>
            <w:tcW w:w="2078" w:type="dxa"/>
            <w:tcMar>
              <w:left w:w="70" w:type="dxa"/>
              <w:right w:w="70" w:type="dxa"/>
            </w:tcMar>
            <w:vAlign w:val="center"/>
          </w:tcPr>
          <w:p w14:paraId="7565BC9A">
            <w:pPr>
              <w:keepNext/>
              <w:spacing w:before="20" w:after="20" w:line="260" w:lineRule="exact"/>
              <w:ind w:left="0" w:leftChars="0" w:right="0" w:rightChars="0" w:firstLine="0" w:firstLineChars="0"/>
              <w:jc w:val="center"/>
            </w:pPr>
            <w:r>
              <w:rPr>
                <w:rFonts w:ascii="Times New Roman" w:hAnsi="Times New Roman" w:eastAsia="宋体"/>
                <w:b w:val="0"/>
                <w:sz w:val="18"/>
              </w:rPr>
              <w:t>以统一评价期费用比较完整规划路径</w:t>
            </w:r>
          </w:p>
        </w:tc>
      </w:tr>
      <w:tr w14:paraId="17B0B6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59C6589">
            <w:pPr>
              <w:keepNext w:val="0"/>
              <w:spacing w:before="20" w:after="20" w:line="260" w:lineRule="exact"/>
              <w:ind w:left="0" w:leftChars="0" w:right="0" w:rightChars="0" w:firstLine="0" w:firstLineChars="0"/>
              <w:jc w:val="center"/>
            </w:pPr>
            <w:r>
              <w:rPr>
                <w:rFonts w:ascii="Times New Roman" w:hAnsi="Times New Roman" w:eastAsia="宋体"/>
                <w:b w:val="0"/>
                <w:sz w:val="18"/>
              </w:rPr>
              <w:t>区域案例</w:t>
            </w:r>
          </w:p>
        </w:tc>
        <w:tc>
          <w:tcPr>
            <w:tcW w:w="2078" w:type="dxa"/>
            <w:tcMar>
              <w:left w:w="70" w:type="dxa"/>
              <w:right w:w="70" w:type="dxa"/>
            </w:tcMar>
            <w:vAlign w:val="center"/>
          </w:tcPr>
          <w:p w14:paraId="73D01387">
            <w:pPr>
              <w:keepNext w:val="0"/>
              <w:spacing w:before="20" w:after="20" w:line="260" w:lineRule="exact"/>
              <w:ind w:left="0" w:leftChars="0" w:right="0" w:rightChars="0" w:firstLine="0" w:firstLineChars="0"/>
              <w:jc w:val="center"/>
            </w:pPr>
            <w:r>
              <w:rPr>
                <w:rFonts w:ascii="Times New Roman" w:hAnsi="Times New Roman" w:eastAsia="宋体"/>
                <w:b w:val="0"/>
                <w:sz w:val="18"/>
              </w:rPr>
              <w:t>2.2.7、2.3</w:t>
            </w:r>
          </w:p>
        </w:tc>
        <w:tc>
          <w:tcPr>
            <w:tcW w:w="2078" w:type="dxa"/>
            <w:tcMar>
              <w:left w:w="70" w:type="dxa"/>
              <w:right w:w="70" w:type="dxa"/>
            </w:tcMar>
            <w:vAlign w:val="center"/>
          </w:tcPr>
          <w:p w14:paraId="43D488CB">
            <w:pPr>
              <w:keepNext w:val="0"/>
              <w:spacing w:before="20" w:after="20" w:line="260" w:lineRule="exact"/>
              <w:ind w:left="0" w:leftChars="0" w:right="0" w:rightChars="0" w:firstLine="0" w:firstLineChars="0"/>
              <w:jc w:val="center"/>
            </w:pPr>
            <w:r>
              <w:rPr>
                <w:rFonts w:ascii="Times New Roman" w:hAnsi="Times New Roman" w:eastAsia="宋体"/>
                <w:b w:val="0"/>
                <w:sz w:val="18"/>
              </w:rPr>
              <w:t>研究尺度与案例应用</w:t>
            </w:r>
          </w:p>
        </w:tc>
        <w:tc>
          <w:tcPr>
            <w:tcW w:w="2078" w:type="dxa"/>
            <w:tcMar>
              <w:left w:w="70" w:type="dxa"/>
              <w:right w:w="70" w:type="dxa"/>
            </w:tcMar>
            <w:vAlign w:val="center"/>
          </w:tcPr>
          <w:p w14:paraId="289BAA11">
            <w:pPr>
              <w:keepNext w:val="0"/>
              <w:spacing w:before="20" w:after="20" w:line="260" w:lineRule="exact"/>
              <w:ind w:left="0" w:leftChars="0" w:right="0" w:rightChars="0" w:firstLine="0" w:firstLineChars="0"/>
              <w:jc w:val="center"/>
            </w:pPr>
            <w:r>
              <w:rPr>
                <w:rFonts w:ascii="Times New Roman" w:hAnsi="Times New Roman" w:eastAsia="宋体"/>
                <w:b w:val="0"/>
                <w:sz w:val="18"/>
              </w:rPr>
              <w:t>分析邳州和市区的站级配置差异</w:t>
            </w:r>
          </w:p>
        </w:tc>
      </w:tr>
    </w:tbl>
    <w:p w14:paraId="302995F1">
      <w:pPr>
        <w:pStyle w:val="2"/>
        <w:widowControl/>
        <w:spacing w:before="0" w:after="0" w:line="348" w:lineRule="exact"/>
        <w:ind w:firstLine="480"/>
        <w:jc w:val="both"/>
      </w:pPr>
      <w:r>
        <w:rPr>
          <w:rFonts w:ascii="Times New Roman" w:hAnsi="Times New Roman" w:eastAsia="方正仿宋_GBK"/>
          <w:b w:val="0"/>
          <w:sz w:val="24"/>
        </w:rPr>
        <w:t>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14:paraId="26B3FCCD">
      <w:pPr>
        <w:pStyle w:val="5"/>
        <w:keepNext/>
        <w:numPr>
          <w:ilvl w:val="0"/>
          <w:numId w:val="0"/>
        </w:numPr>
        <w:spacing w:before="160" w:after="120" w:line="390" w:lineRule="exact"/>
        <w:ind w:firstLine="0"/>
      </w:pPr>
      <w:bookmarkStart w:id="52" w:name="承载力评估与容量规划的侧重点"/>
      <w:r>
        <w:rPr>
          <w:rFonts w:ascii="Times New Roman" w:hAnsi="Times New Roman" w:eastAsia="方正仿宋_GBK"/>
          <w:b/>
          <w:sz w:val="26"/>
        </w:rPr>
        <w:t>2.3.1 承载力评估与容量规划的侧重点</w:t>
      </w:r>
      <w:bookmarkEnd w:id="52"/>
    </w:p>
    <w:p w14:paraId="58648EA9">
      <w:pPr>
        <w:pStyle w:val="115"/>
        <w:widowControl/>
        <w:spacing w:before="0" w:after="0" w:line="348" w:lineRule="exact"/>
        <w:ind w:firstLine="480"/>
        <w:jc w:val="both"/>
      </w:pPr>
      <w:r>
        <w:rPr>
          <w:rFonts w:ascii="Times New Roman" w:hAnsi="Times New Roman" w:eastAsia="方正仿宋_GBK"/>
          <w:b w:val="0"/>
          <w:sz w:val="24"/>
        </w:rPr>
        <w:t>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14:paraId="72FB63C9">
      <w:pPr>
        <w:pStyle w:val="2"/>
        <w:widowControl/>
        <w:spacing w:before="0" w:after="0" w:line="348" w:lineRule="exact"/>
        <w:ind w:firstLine="480"/>
        <w:jc w:val="both"/>
      </w:pPr>
      <w:r>
        <w:rPr>
          <w:rFonts w:ascii="Times New Roman" w:hAnsi="Times New Roman" w:eastAsia="方正仿宋_GBK"/>
          <w:b w:val="0"/>
          <w:sz w:val="24"/>
        </w:rPr>
        <w:t>“承载力提高”与“容载比提高”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14:paraId="06EEA915">
      <w:pPr>
        <w:pStyle w:val="2"/>
        <w:widowControl/>
        <w:spacing w:before="0" w:after="0" w:line="348" w:lineRule="exact"/>
        <w:ind w:firstLine="480"/>
        <w:jc w:val="both"/>
      </w:pPr>
      <w:r>
        <w:rPr>
          <w:rFonts w:ascii="Times New Roman" w:hAnsi="Times New Roman" w:eastAsia="方正仿宋_GBK"/>
          <w:b w:val="0"/>
          <w:sz w:val="24"/>
        </w:rPr>
        <w:t>不同研究的优化目标决定了结果的读取方式。承载力研究通常固定已有网络及部分运行措施，以可接纳电源规模作为输出；容载比优化则允许变电设备或网络建设变化，以满足给定负荷时的容量和费用作为输出[9,11,23]。前者适合识别接入瓶颈，后者适合比较容量建设规模。两类问题结合时，可以先用源荷场景确定设备任务，再在候选建设集合中比较满足这些任务的配置。</w:t>
      </w:r>
    </w:p>
    <w:p w14:paraId="68D682EB">
      <w:pPr>
        <w:pStyle w:val="2"/>
        <w:widowControl/>
        <w:spacing w:before="0" w:after="0" w:line="348" w:lineRule="exact"/>
        <w:ind w:firstLine="480"/>
        <w:jc w:val="both"/>
      </w:pPr>
      <w:r>
        <w:rPr>
          <w:rFonts w:ascii="Times New Roman" w:hAnsi="Times New Roman" w:eastAsia="方正仿宋_GBK"/>
          <w:b w:val="0"/>
          <w:sz w:val="24"/>
        </w:rPr>
        <w:t>研究尺度同样影响结论的适用范围。低压网络的电压约束、中压馈线的支路容量约束与110 kV站群的主变及转供约束，需要按相应接线和参数建立。文献所列的承载力提升比例或经济阈值均依托其算例网络和控制条件[23,34]。本项目采用站级双向功率与具体转供通道，将这些方法中关于约束位置和资源协同的技术关系用于110 kV容量比选，推荐数值由本项目设备、网络和费用输入形成。</w:t>
      </w:r>
    </w:p>
    <w:p w14:paraId="5C44C794">
      <w:pPr>
        <w:pStyle w:val="5"/>
        <w:keepNext/>
        <w:numPr>
          <w:ilvl w:val="0"/>
          <w:numId w:val="0"/>
        </w:numPr>
        <w:spacing w:before="160" w:after="120" w:line="390" w:lineRule="exact"/>
        <w:ind w:firstLine="0"/>
      </w:pPr>
      <w:bookmarkStart w:id="53" w:name="储能与网架建设的经济比较"/>
      <w:r>
        <w:rPr>
          <w:rFonts w:ascii="Times New Roman" w:hAnsi="Times New Roman" w:eastAsia="方正仿宋_GBK"/>
          <w:b/>
          <w:sz w:val="26"/>
        </w:rPr>
        <w:t>2.3.2 储能与网架建设的经济比较</w:t>
      </w:r>
      <w:bookmarkEnd w:id="53"/>
    </w:p>
    <w:p w14:paraId="7738A26B">
      <w:pPr>
        <w:pStyle w:val="115"/>
        <w:widowControl/>
        <w:spacing w:before="0" w:after="0" w:line="348" w:lineRule="exact"/>
        <w:ind w:firstLine="480"/>
        <w:jc w:val="both"/>
      </w:pPr>
      <w:r>
        <w:rPr>
          <w:rFonts w:ascii="Times New Roman" w:hAnsi="Times New Roman" w:eastAsia="方正仿宋_GBK"/>
          <w:b w:val="0"/>
          <w:sz w:val="24"/>
        </w:rPr>
        <w:t>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14:paraId="297B5363">
      <w:pPr>
        <w:pStyle w:val="2"/>
        <w:widowControl/>
        <w:spacing w:before="0" w:after="0" w:line="348" w:lineRule="exact"/>
        <w:ind w:firstLine="480"/>
        <w:jc w:val="both"/>
      </w:pPr>
      <w:r>
        <w:rPr>
          <w:rFonts w:ascii="Times New Roman" w:hAnsi="Times New Roman" w:eastAsia="方正仿宋_GBK"/>
          <w:b w:val="0"/>
          <w:sz w:val="24"/>
        </w:rPr>
        <w:t>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14:paraId="70C26214">
      <w:pPr>
        <w:pStyle w:val="2"/>
        <w:widowControl/>
        <w:spacing w:before="0" w:after="0" w:line="348" w:lineRule="exact"/>
        <w:ind w:firstLine="480"/>
        <w:jc w:val="both"/>
      </w:pPr>
      <w:r>
        <w:rPr>
          <w:rFonts w:ascii="Times New Roman" w:hAnsi="Times New Roman" w:eastAsia="方正仿宋_GBK"/>
          <w:b w:val="0"/>
          <w:sz w:val="24"/>
        </w:rPr>
        <w:t>Martínez等以西班牙实际500节点中压网络比较分布式电池与传统网架加强，发现专用储能作为扩网替代的经济性受持续负荷增长条件影响，较低增长水平下才可能具有优势。文中进一步比较移动储能、资本补助及收益叠加等条件，以分析固定储能单独承担削峰任务时的费用回收[33]。其工程启示是，储能支撑少数高峰时段所需的能量规模，与长期负荷增长形成的容量需求应放在同一建设时间轴上比较。</w:t>
      </w:r>
    </w:p>
    <w:p w14:paraId="1F742516">
      <w:pPr>
        <w:pStyle w:val="2"/>
        <w:widowControl/>
        <w:spacing w:before="0" w:after="0" w:line="348" w:lineRule="exact"/>
        <w:ind w:firstLine="480"/>
        <w:jc w:val="both"/>
      </w:pPr>
      <w:r>
        <w:rPr>
          <w:rFonts w:ascii="Times New Roman" w:hAnsi="Times New Roman" w:eastAsia="方正仿宋_GBK"/>
          <w:b w:val="0"/>
          <w:sz w:val="24"/>
        </w:rPr>
        <w:t>Holweger等以低压网络为对象，假定配网运营者能够控制用户电池、光伏有功削减和逆变器无功，再与网架加强费用比较。该文还说明，其年化评价采用重复的运行条件，并对未来技术价格及光伏发展作了简化[34]。因此，灵活资源能否替代网架，既取决于设备本身，也取决于能够调用的运行措施和费用范围。比较结果应连同控制权限、网络约束和现金流假设读取。</w:t>
      </w:r>
    </w:p>
    <w:p w14:paraId="468A42EB">
      <w:pPr>
        <w:pStyle w:val="2"/>
        <w:keepNext/>
        <w:spacing w:before="120" w:after="80" w:line="280" w:lineRule="exact"/>
        <w:ind w:firstLine="0"/>
        <w:jc w:val="center"/>
      </w:pPr>
      <w:r>
        <w:rPr>
          <w:rFonts w:ascii="Times New Roman" w:hAnsi="Times New Roman" w:eastAsia="宋体"/>
          <w:b w:val="0"/>
          <w:sz w:val="21"/>
        </w:rPr>
        <w:t>表2-2 灵活资源与网架经济比较的主要条件</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C6D0A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5077B7DA">
            <w:pPr>
              <w:keepNext/>
              <w:spacing w:before="20" w:after="20" w:line="260" w:lineRule="exact"/>
              <w:ind w:left="0" w:leftChars="0" w:right="0" w:rightChars="0" w:firstLine="0" w:firstLineChars="0"/>
              <w:jc w:val="center"/>
            </w:pPr>
            <w:r>
              <w:rPr>
                <w:rFonts w:ascii="Times New Roman" w:hAnsi="Times New Roman" w:eastAsia="宋体"/>
                <w:b/>
                <w:sz w:val="18"/>
              </w:rPr>
              <w:t>研究</w:t>
            </w:r>
          </w:p>
        </w:tc>
        <w:tc>
          <w:tcPr>
            <w:tcW w:w="2078" w:type="dxa"/>
            <w:tcMar>
              <w:left w:w="70" w:type="dxa"/>
              <w:right w:w="70" w:type="dxa"/>
            </w:tcMar>
            <w:vAlign w:val="center"/>
          </w:tcPr>
          <w:p w14:paraId="3EB30B19">
            <w:pPr>
              <w:keepNext/>
              <w:spacing w:before="20" w:after="20" w:line="260" w:lineRule="exact"/>
              <w:ind w:left="0" w:leftChars="0" w:right="0" w:rightChars="0" w:firstLine="0" w:firstLineChars="0"/>
              <w:jc w:val="center"/>
            </w:pPr>
            <w:r>
              <w:rPr>
                <w:rFonts w:ascii="Times New Roman" w:hAnsi="Times New Roman" w:eastAsia="宋体"/>
                <w:b/>
                <w:sz w:val="18"/>
              </w:rPr>
              <w:t>比较对象及技术条件</w:t>
            </w:r>
          </w:p>
        </w:tc>
        <w:tc>
          <w:tcPr>
            <w:tcW w:w="2078" w:type="dxa"/>
            <w:tcMar>
              <w:left w:w="70" w:type="dxa"/>
              <w:right w:w="70" w:type="dxa"/>
            </w:tcMar>
            <w:vAlign w:val="center"/>
          </w:tcPr>
          <w:p w14:paraId="00F69EC5">
            <w:pPr>
              <w:keepNext/>
              <w:spacing w:before="20" w:after="20" w:line="260" w:lineRule="exact"/>
              <w:ind w:left="0" w:leftChars="0" w:right="0" w:rightChars="0" w:firstLine="0" w:firstLineChars="0"/>
              <w:jc w:val="center"/>
            </w:pPr>
            <w:r>
              <w:rPr>
                <w:rFonts w:ascii="Times New Roman" w:hAnsi="Times New Roman" w:eastAsia="宋体"/>
                <w:b/>
                <w:sz w:val="18"/>
              </w:rPr>
              <w:t>经济评价关注点</w:t>
            </w:r>
          </w:p>
        </w:tc>
        <w:tc>
          <w:tcPr>
            <w:tcW w:w="2078" w:type="dxa"/>
            <w:tcMar>
              <w:left w:w="70" w:type="dxa"/>
              <w:right w:w="70" w:type="dxa"/>
            </w:tcMar>
            <w:vAlign w:val="center"/>
          </w:tcPr>
          <w:p w14:paraId="1423BEDD">
            <w:pPr>
              <w:keepNext/>
              <w:spacing w:before="20" w:after="20" w:line="260" w:lineRule="exact"/>
              <w:ind w:left="0" w:leftChars="0" w:right="0" w:rightChars="0" w:firstLine="0" w:firstLineChars="0"/>
              <w:jc w:val="center"/>
            </w:pPr>
            <w:r>
              <w:rPr>
                <w:rFonts w:ascii="Times New Roman" w:hAnsi="Times New Roman" w:eastAsia="宋体"/>
                <w:b/>
                <w:sz w:val="18"/>
              </w:rPr>
              <w:t>对本项目的启示</w:t>
            </w:r>
          </w:p>
        </w:tc>
      </w:tr>
      <w:tr w14:paraId="5F919AD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BDB8E0E">
            <w:pPr>
              <w:keepNext/>
              <w:spacing w:before="20" w:after="20" w:line="260" w:lineRule="exact"/>
              <w:ind w:left="0" w:leftChars="0" w:right="0" w:rightChars="0" w:firstLine="0" w:firstLineChars="0"/>
              <w:jc w:val="center"/>
            </w:pPr>
            <w:r>
              <w:rPr>
                <w:rFonts w:ascii="Times New Roman" w:hAnsi="Times New Roman" w:eastAsia="宋体"/>
                <w:b w:val="0"/>
                <w:sz w:val="18"/>
              </w:rPr>
              <w:t>Martínez等[33]</w:t>
            </w:r>
          </w:p>
        </w:tc>
        <w:tc>
          <w:tcPr>
            <w:tcW w:w="2078" w:type="dxa"/>
            <w:tcMar>
              <w:left w:w="70" w:type="dxa"/>
              <w:right w:w="70" w:type="dxa"/>
            </w:tcMar>
            <w:vAlign w:val="center"/>
          </w:tcPr>
          <w:p w14:paraId="4948CDDF">
            <w:pPr>
              <w:keepNext/>
              <w:spacing w:before="20" w:after="20" w:line="260" w:lineRule="exact"/>
              <w:ind w:left="0" w:leftChars="0" w:right="0" w:rightChars="0" w:firstLine="0" w:firstLineChars="0"/>
              <w:jc w:val="center"/>
            </w:pPr>
            <w:r>
              <w:rPr>
                <w:rFonts w:ascii="Times New Roman" w:hAnsi="Times New Roman" w:eastAsia="宋体"/>
                <w:b w:val="0"/>
                <w:sz w:val="18"/>
              </w:rPr>
              <w:t>实际中压网络，持续负荷增长下的电池与传统扩网</w:t>
            </w:r>
          </w:p>
        </w:tc>
        <w:tc>
          <w:tcPr>
            <w:tcW w:w="2078" w:type="dxa"/>
            <w:tcMar>
              <w:left w:w="70" w:type="dxa"/>
              <w:right w:w="70" w:type="dxa"/>
            </w:tcMar>
            <w:vAlign w:val="center"/>
          </w:tcPr>
          <w:p w14:paraId="356A97A1">
            <w:pPr>
              <w:keepNext/>
              <w:spacing w:before="20" w:after="20" w:line="260" w:lineRule="exact"/>
              <w:ind w:left="0" w:leftChars="0" w:right="0" w:rightChars="0" w:firstLine="0" w:firstLineChars="0"/>
              <w:jc w:val="center"/>
            </w:pPr>
            <w:r>
              <w:rPr>
                <w:rFonts w:ascii="Times New Roman" w:hAnsi="Times New Roman" w:eastAsia="宋体"/>
                <w:b w:val="0"/>
                <w:sz w:val="18"/>
              </w:rPr>
              <w:t>专用储能费用、延缓投资及其他应用条件</w:t>
            </w:r>
          </w:p>
        </w:tc>
        <w:tc>
          <w:tcPr>
            <w:tcW w:w="2078" w:type="dxa"/>
            <w:tcMar>
              <w:left w:w="70" w:type="dxa"/>
              <w:right w:w="70" w:type="dxa"/>
            </w:tcMar>
            <w:vAlign w:val="center"/>
          </w:tcPr>
          <w:p w14:paraId="59AC0A2A">
            <w:pPr>
              <w:keepNext/>
              <w:spacing w:before="20" w:after="20" w:line="260" w:lineRule="exact"/>
              <w:ind w:left="0" w:leftChars="0" w:right="0" w:rightChars="0" w:firstLine="0" w:firstLineChars="0"/>
              <w:jc w:val="center"/>
            </w:pPr>
            <w:r>
              <w:rPr>
                <w:rFonts w:ascii="Times New Roman" w:hAnsi="Times New Roman" w:eastAsia="宋体"/>
                <w:b w:val="0"/>
                <w:sz w:val="18"/>
              </w:rPr>
              <w:t>将增长路径与容量缺口相联系，按投运时点比较工程组合</w:t>
            </w:r>
          </w:p>
        </w:tc>
      </w:tr>
      <w:tr w14:paraId="7F9F29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C5C6A5B">
            <w:pPr>
              <w:keepNext/>
              <w:spacing w:before="20" w:after="20" w:line="260" w:lineRule="exact"/>
              <w:ind w:left="0" w:leftChars="0" w:right="0" w:rightChars="0" w:firstLine="0" w:firstLineChars="0"/>
              <w:jc w:val="center"/>
            </w:pPr>
            <w:r>
              <w:rPr>
                <w:rFonts w:ascii="Times New Roman" w:hAnsi="Times New Roman" w:eastAsia="宋体"/>
                <w:b w:val="0"/>
                <w:sz w:val="18"/>
              </w:rPr>
              <w:t>Holweger等[34]</w:t>
            </w:r>
          </w:p>
        </w:tc>
        <w:tc>
          <w:tcPr>
            <w:tcW w:w="2078" w:type="dxa"/>
            <w:tcMar>
              <w:left w:w="70" w:type="dxa"/>
              <w:right w:w="70" w:type="dxa"/>
            </w:tcMar>
            <w:vAlign w:val="center"/>
          </w:tcPr>
          <w:p w14:paraId="07293C7B">
            <w:pPr>
              <w:keepNext/>
              <w:spacing w:before="20" w:after="20" w:line="260" w:lineRule="exact"/>
              <w:ind w:left="0" w:leftChars="0" w:right="0" w:rightChars="0" w:firstLine="0" w:firstLineChars="0"/>
              <w:jc w:val="center"/>
            </w:pPr>
            <w:r>
              <w:rPr>
                <w:rFonts w:ascii="Times New Roman" w:hAnsi="Times New Roman" w:eastAsia="宋体"/>
                <w:b w:val="0"/>
                <w:sz w:val="18"/>
              </w:rPr>
              <w:t>低压网络，用户电池、弃光与无功控制对比网架加强</w:t>
            </w:r>
          </w:p>
        </w:tc>
        <w:tc>
          <w:tcPr>
            <w:tcW w:w="2078" w:type="dxa"/>
            <w:tcMar>
              <w:left w:w="70" w:type="dxa"/>
              <w:right w:w="70" w:type="dxa"/>
            </w:tcMar>
            <w:vAlign w:val="center"/>
          </w:tcPr>
          <w:p w14:paraId="78C06C7D">
            <w:pPr>
              <w:keepNext/>
              <w:spacing w:before="20" w:after="20" w:line="260" w:lineRule="exact"/>
              <w:ind w:left="0" w:leftChars="0" w:right="0" w:rightChars="0" w:firstLine="0" w:firstLineChars="0"/>
              <w:jc w:val="center"/>
            </w:pPr>
            <w:r>
              <w:rPr>
                <w:rFonts w:ascii="Times New Roman" w:hAnsi="Times New Roman" w:eastAsia="宋体"/>
                <w:b w:val="0"/>
                <w:sz w:val="18"/>
              </w:rPr>
              <w:t>灵活资源调用与网架投资的年化费用</w:t>
            </w:r>
          </w:p>
        </w:tc>
        <w:tc>
          <w:tcPr>
            <w:tcW w:w="2078" w:type="dxa"/>
            <w:tcMar>
              <w:left w:w="70" w:type="dxa"/>
              <w:right w:w="70" w:type="dxa"/>
            </w:tcMar>
            <w:vAlign w:val="center"/>
          </w:tcPr>
          <w:p w14:paraId="79ABD75D">
            <w:pPr>
              <w:keepNext/>
              <w:spacing w:before="20" w:after="20" w:line="260" w:lineRule="exact"/>
              <w:ind w:left="0" w:leftChars="0" w:right="0" w:rightChars="0" w:firstLine="0" w:firstLineChars="0"/>
              <w:jc w:val="center"/>
            </w:pPr>
            <w:r>
              <w:rPr>
                <w:rFonts w:ascii="Times New Roman" w:hAnsi="Times New Roman" w:eastAsia="宋体"/>
                <w:b w:val="0"/>
                <w:sz w:val="18"/>
              </w:rPr>
              <w:t>先明确可调用措施及评价条件，再解释替代结论</w:t>
            </w:r>
          </w:p>
        </w:tc>
      </w:tr>
      <w:tr w14:paraId="4C78A0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4B7FE013">
            <w:pPr>
              <w:keepNext/>
              <w:spacing w:before="20" w:after="20" w:line="260" w:lineRule="exact"/>
              <w:ind w:left="0" w:leftChars="0" w:right="0" w:rightChars="0" w:firstLine="0" w:firstLineChars="0"/>
              <w:jc w:val="center"/>
            </w:pPr>
            <w:r>
              <w:rPr>
                <w:rFonts w:ascii="Times New Roman" w:hAnsi="Times New Roman" w:eastAsia="宋体"/>
                <w:b w:val="0"/>
                <w:sz w:val="18"/>
              </w:rPr>
              <w:t>Xu等[10]</w:t>
            </w:r>
          </w:p>
        </w:tc>
        <w:tc>
          <w:tcPr>
            <w:tcW w:w="2078" w:type="dxa"/>
            <w:tcMar>
              <w:left w:w="70" w:type="dxa"/>
              <w:right w:w="70" w:type="dxa"/>
            </w:tcMar>
            <w:vAlign w:val="center"/>
          </w:tcPr>
          <w:p w14:paraId="67765EAA">
            <w:pPr>
              <w:keepNext/>
              <w:spacing w:before="20" w:after="20" w:line="260" w:lineRule="exact"/>
              <w:ind w:left="0" w:leftChars="0" w:right="0" w:rightChars="0" w:firstLine="0" w:firstLineChars="0"/>
              <w:jc w:val="center"/>
            </w:pPr>
            <w:r>
              <w:rPr>
                <w:rFonts w:ascii="Times New Roman" w:hAnsi="Times New Roman" w:eastAsia="宋体"/>
                <w:b w:val="0"/>
                <w:sz w:val="18"/>
              </w:rPr>
              <w:t>分布式储能选址、经济运行与寿命费用</w:t>
            </w:r>
          </w:p>
        </w:tc>
        <w:tc>
          <w:tcPr>
            <w:tcW w:w="2078" w:type="dxa"/>
            <w:tcMar>
              <w:left w:w="70" w:type="dxa"/>
              <w:right w:w="70" w:type="dxa"/>
            </w:tcMar>
            <w:vAlign w:val="center"/>
          </w:tcPr>
          <w:p w14:paraId="6C1E1538">
            <w:pPr>
              <w:keepNext/>
              <w:spacing w:before="20" w:after="20" w:line="260" w:lineRule="exact"/>
              <w:ind w:left="0" w:leftChars="0" w:right="0" w:rightChars="0" w:firstLine="0" w:firstLineChars="0"/>
              <w:jc w:val="center"/>
            </w:pPr>
            <w:r>
              <w:rPr>
                <w:rFonts w:ascii="Times New Roman" w:hAnsi="Times New Roman" w:eastAsia="宋体"/>
                <w:b w:val="0"/>
                <w:sz w:val="18"/>
              </w:rPr>
              <w:t>储能配置及全寿命周期成本</w:t>
            </w:r>
          </w:p>
        </w:tc>
        <w:tc>
          <w:tcPr>
            <w:tcW w:w="2078" w:type="dxa"/>
            <w:tcMar>
              <w:left w:w="70" w:type="dxa"/>
              <w:right w:w="70" w:type="dxa"/>
            </w:tcMar>
            <w:vAlign w:val="center"/>
          </w:tcPr>
          <w:p w14:paraId="2D265E75">
            <w:pPr>
              <w:keepNext/>
              <w:spacing w:before="20" w:after="20" w:line="260" w:lineRule="exact"/>
              <w:ind w:left="0" w:leftChars="0" w:right="0" w:rightChars="0" w:firstLine="0" w:firstLineChars="0"/>
              <w:jc w:val="center"/>
            </w:pPr>
            <w:r>
              <w:rPr>
                <w:rFonts w:ascii="Times New Roman" w:hAnsi="Times New Roman" w:eastAsia="宋体"/>
                <w:b w:val="0"/>
                <w:sz w:val="18"/>
              </w:rPr>
              <w:t>同时考虑设备规模、有效支撑能力与评价期费用</w:t>
            </w:r>
          </w:p>
        </w:tc>
      </w:tr>
      <w:tr w14:paraId="5202F9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FC78355">
            <w:pPr>
              <w:keepNext/>
              <w:spacing w:before="20" w:after="20" w:line="260" w:lineRule="exact"/>
              <w:ind w:left="0" w:leftChars="0" w:right="0" w:rightChars="0" w:firstLine="0" w:firstLineChars="0"/>
              <w:jc w:val="center"/>
            </w:pPr>
            <w:r>
              <w:rPr>
                <w:rFonts w:ascii="Times New Roman" w:hAnsi="Times New Roman" w:eastAsia="宋体"/>
                <w:b w:val="0"/>
                <w:sz w:val="18"/>
              </w:rPr>
              <w:t>陈浩等[11]</w:t>
            </w:r>
          </w:p>
        </w:tc>
        <w:tc>
          <w:tcPr>
            <w:tcW w:w="2078" w:type="dxa"/>
            <w:tcMar>
              <w:left w:w="70" w:type="dxa"/>
              <w:right w:w="70" w:type="dxa"/>
            </w:tcMar>
            <w:vAlign w:val="center"/>
          </w:tcPr>
          <w:p w14:paraId="7E641387">
            <w:pPr>
              <w:keepNext/>
              <w:spacing w:before="20" w:after="20" w:line="260" w:lineRule="exact"/>
              <w:ind w:left="0" w:leftChars="0" w:right="0" w:rightChars="0" w:firstLine="0" w:firstLineChars="0"/>
              <w:jc w:val="center"/>
            </w:pPr>
            <w:r>
              <w:rPr>
                <w:rFonts w:ascii="Times New Roman" w:hAnsi="Times New Roman" w:eastAsia="宋体"/>
                <w:b w:val="0"/>
                <w:sz w:val="18"/>
              </w:rPr>
              <w:t>多电压等级主变类型与台数选择</w:t>
            </w:r>
          </w:p>
        </w:tc>
        <w:tc>
          <w:tcPr>
            <w:tcW w:w="2078" w:type="dxa"/>
            <w:tcMar>
              <w:left w:w="70" w:type="dxa"/>
              <w:right w:w="70" w:type="dxa"/>
            </w:tcMar>
            <w:vAlign w:val="center"/>
          </w:tcPr>
          <w:p w14:paraId="609C4ACB">
            <w:pPr>
              <w:keepNext/>
              <w:spacing w:before="20" w:after="20" w:line="260" w:lineRule="exact"/>
              <w:ind w:left="0" w:leftChars="0" w:right="0" w:rightChars="0" w:firstLine="0" w:firstLineChars="0"/>
              <w:jc w:val="center"/>
            </w:pPr>
            <w:r>
              <w:rPr>
                <w:rFonts w:ascii="Times New Roman" w:hAnsi="Times New Roman" w:eastAsia="宋体"/>
                <w:b w:val="0"/>
                <w:sz w:val="18"/>
              </w:rPr>
              <w:t>技术约束下的容量配置经济性</w:t>
            </w:r>
          </w:p>
        </w:tc>
        <w:tc>
          <w:tcPr>
            <w:tcW w:w="2078" w:type="dxa"/>
            <w:tcMar>
              <w:left w:w="70" w:type="dxa"/>
              <w:right w:w="70" w:type="dxa"/>
            </w:tcMar>
            <w:vAlign w:val="center"/>
          </w:tcPr>
          <w:p w14:paraId="357E5750">
            <w:pPr>
              <w:keepNext/>
              <w:spacing w:before="20" w:after="20" w:line="260" w:lineRule="exact"/>
              <w:ind w:left="0" w:leftChars="0" w:right="0" w:rightChars="0" w:firstLine="0" w:firstLineChars="0"/>
              <w:jc w:val="center"/>
            </w:pPr>
            <w:r>
              <w:rPr>
                <w:rFonts w:ascii="Times New Roman" w:hAnsi="Times New Roman" w:eastAsia="宋体"/>
                <w:b w:val="0"/>
                <w:sz w:val="18"/>
              </w:rPr>
              <w:t>按允许的主变规格和台数配置容量，采购费用与配置对应</w:t>
            </w:r>
          </w:p>
        </w:tc>
      </w:tr>
      <w:tr w14:paraId="794815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493776A">
            <w:pPr>
              <w:keepNext w:val="0"/>
              <w:spacing w:before="20" w:after="20" w:line="260" w:lineRule="exact"/>
              <w:ind w:left="0" w:leftChars="0" w:right="0" w:rightChars="0" w:firstLine="0" w:firstLineChars="0"/>
              <w:jc w:val="center"/>
            </w:pPr>
            <w:r>
              <w:rPr>
                <w:rFonts w:ascii="Times New Roman" w:hAnsi="Times New Roman" w:eastAsia="宋体"/>
                <w:b w:val="0"/>
                <w:sz w:val="18"/>
              </w:rPr>
              <w:t>王凯亮等[9]</w:t>
            </w:r>
          </w:p>
        </w:tc>
        <w:tc>
          <w:tcPr>
            <w:tcW w:w="2078" w:type="dxa"/>
            <w:tcMar>
              <w:left w:w="70" w:type="dxa"/>
              <w:right w:w="70" w:type="dxa"/>
            </w:tcMar>
            <w:vAlign w:val="center"/>
          </w:tcPr>
          <w:p w14:paraId="77D424BD">
            <w:pPr>
              <w:keepNext w:val="0"/>
              <w:spacing w:before="20" w:after="20" w:line="260" w:lineRule="exact"/>
              <w:ind w:left="0" w:leftChars="0" w:right="0" w:rightChars="0" w:firstLine="0" w:firstLineChars="0"/>
              <w:jc w:val="center"/>
            </w:pPr>
            <w:r>
              <w:rPr>
                <w:rFonts w:ascii="Times New Roman" w:hAnsi="Times New Roman" w:eastAsia="宋体"/>
                <w:b w:val="0"/>
                <w:sz w:val="18"/>
              </w:rPr>
              <w:t>多电压等级变电站与线路协同规划</w:t>
            </w:r>
          </w:p>
        </w:tc>
        <w:tc>
          <w:tcPr>
            <w:tcW w:w="2078" w:type="dxa"/>
            <w:tcMar>
              <w:left w:w="70" w:type="dxa"/>
              <w:right w:w="70" w:type="dxa"/>
            </w:tcMar>
            <w:vAlign w:val="center"/>
          </w:tcPr>
          <w:p w14:paraId="4EACEF54">
            <w:pPr>
              <w:keepNext w:val="0"/>
              <w:spacing w:before="20" w:after="20" w:line="260" w:lineRule="exact"/>
              <w:ind w:left="0" w:leftChars="0" w:right="0" w:rightChars="0" w:firstLine="0" w:firstLineChars="0"/>
              <w:jc w:val="center"/>
            </w:pPr>
            <w:r>
              <w:rPr>
                <w:rFonts w:ascii="Times New Roman" w:hAnsi="Times New Roman" w:eastAsia="宋体"/>
                <w:b w:val="0"/>
                <w:sz w:val="18"/>
              </w:rPr>
              <w:t>容载比配比与整体建设投资</w:t>
            </w:r>
          </w:p>
        </w:tc>
        <w:tc>
          <w:tcPr>
            <w:tcW w:w="2078" w:type="dxa"/>
            <w:tcMar>
              <w:left w:w="70" w:type="dxa"/>
              <w:right w:w="70" w:type="dxa"/>
            </w:tcMar>
            <w:vAlign w:val="center"/>
          </w:tcPr>
          <w:p w14:paraId="68D76858">
            <w:pPr>
              <w:keepNext w:val="0"/>
              <w:spacing w:before="20" w:after="20" w:line="260" w:lineRule="exact"/>
              <w:ind w:left="0" w:leftChars="0" w:right="0" w:rightChars="0" w:firstLine="0" w:firstLineChars="0"/>
              <w:jc w:val="center"/>
            </w:pPr>
            <w:r>
              <w:rPr>
                <w:rFonts w:ascii="Times New Roman" w:hAnsi="Times New Roman" w:eastAsia="宋体"/>
                <w:b w:val="0"/>
                <w:sz w:val="18"/>
              </w:rPr>
              <w:t>同时比较变电和网络建设，分析各项工程的费用变化</w:t>
            </w:r>
          </w:p>
        </w:tc>
      </w:tr>
    </w:tbl>
    <w:p w14:paraId="2E5A0EC8">
      <w:pPr>
        <w:pStyle w:val="2"/>
        <w:widowControl/>
        <w:spacing w:before="0" w:after="0" w:line="348" w:lineRule="exact"/>
        <w:ind w:firstLine="480"/>
        <w:jc w:val="both"/>
      </w:pPr>
      <w:r>
        <w:rPr>
          <w:rFonts w:ascii="Times New Roman" w:hAnsi="Times New Roman" w:eastAsia="方正仿宋_GBK"/>
          <w:b w:val="0"/>
          <w:sz w:val="24"/>
        </w:rPr>
        <w:t>本项目的经济问题由给定源荷和候选措施构成。已有联络能否使用由具体通道及两端容量决定，新增联络的数量和费用由建设项目决定。主变与储能则分别通过剩余设备容量和有效充放电功率满足局部需求。统一这些条件后，较多主变和较少储能、联络可以成为同一方案中的不同费用分项，其合计变化需要由每项工程费用支持。</w:t>
      </w:r>
    </w:p>
    <w:p w14:paraId="63D29781">
      <w:pPr>
        <w:pStyle w:val="5"/>
        <w:keepNext/>
        <w:numPr>
          <w:ilvl w:val="0"/>
          <w:numId w:val="0"/>
        </w:numPr>
        <w:spacing w:before="160" w:after="120" w:line="390" w:lineRule="exact"/>
        <w:ind w:firstLine="0"/>
      </w:pPr>
      <w:bookmarkStart w:id="54" w:name="区域案例与参数推荐表的联系"/>
      <w:r>
        <w:rPr>
          <w:rFonts w:ascii="Times New Roman" w:hAnsi="Times New Roman" w:eastAsia="方正仿宋_GBK"/>
          <w:b/>
          <w:sz w:val="26"/>
        </w:rPr>
        <w:t>2.3.3 区域案例与参数推荐表的联系</w:t>
      </w:r>
      <w:bookmarkEnd w:id="54"/>
    </w:p>
    <w:p w14:paraId="1C6B8CF9">
      <w:pPr>
        <w:pStyle w:val="115"/>
        <w:widowControl/>
        <w:spacing w:before="0" w:after="0" w:line="348" w:lineRule="exact"/>
        <w:ind w:firstLine="480"/>
        <w:jc w:val="both"/>
      </w:pPr>
      <w:r>
        <w:rPr>
          <w:rFonts w:ascii="Times New Roman" w:hAnsi="Times New Roman" w:eastAsia="方正仿宋_GBK"/>
          <w:b w:val="0"/>
          <w:sz w:val="24"/>
        </w:rPr>
        <w:t>王凯亮等的差异化取值表、刘文霞等的容载比色带以及谢天祥等的三级弹性案例，都通过区域条件解释容量配置差异[9,48,73]。本项目先用邳州与市区案例分析实际源荷、设备和网络条件下的配置，再另建五站模板，独立改变源荷规模、负荷增长、转供条件及工程费用，考察更广的参数组合。</w:t>
      </w:r>
    </w:p>
    <w:p w14:paraId="67E94AF4">
      <w:pPr>
        <w:pStyle w:val="2"/>
        <w:widowControl/>
        <w:spacing w:before="0" w:after="0" w:line="348" w:lineRule="exact"/>
        <w:ind w:firstLine="480"/>
        <w:jc w:val="both"/>
      </w:pPr>
      <w:r>
        <w:rPr>
          <w:rFonts w:ascii="Times New Roman" w:hAnsi="Times New Roman" w:eastAsia="方正仿宋_GBK"/>
          <w:b w:val="0"/>
          <w:sz w:val="24"/>
        </w:rPr>
        <w:t>推荐矩阵按电缆长度占比和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14:paraId="53C9319B">
      <w:pPr>
        <w:pStyle w:val="2"/>
        <w:widowControl/>
        <w:spacing w:before="0" w:after="0" w:line="348" w:lineRule="exact"/>
        <w:ind w:firstLine="480"/>
        <w:jc w:val="both"/>
      </w:pPr>
      <w:r>
        <w:rPr>
          <w:rFonts w:ascii="Times New Roman" w:hAnsi="Times New Roman" w:eastAsia="方正仿宋_GBK"/>
          <w:b w:val="0"/>
          <w:sz w:val="24"/>
        </w:rPr>
        <w:t>地区案例保留实际的站点组合及已有网络，可回答哪些站点需要建设、何年投运以及如何完成相邻站支援。参数模板通过固定其余条件、改变某一输入，可观察设备组合在何处切换。这两类分析分别提供具体工程依据和参数作用机制，矩阵再把同类有效节点归入分区。由于主变按额定容量整台选配，一个区间内可以出现多种规格组合，推荐范围应与对应的初始设备及网络条件一起使用。</w:t>
      </w:r>
    </w:p>
    <w:p w14:paraId="16039B81">
      <w:pPr>
        <w:pStyle w:val="2"/>
        <w:widowControl/>
        <w:spacing w:before="0" w:after="0" w:line="348" w:lineRule="exact"/>
        <w:ind w:firstLine="480"/>
        <w:jc w:val="both"/>
      </w:pPr>
      <w:r>
        <w:rPr>
          <w:rFonts w:ascii="Times New Roman" w:hAnsi="Times New Roman" w:eastAsia="方正仿宋_GBK"/>
          <w:b w:val="0"/>
          <w:sz w:val="24"/>
        </w:rPr>
        <w:t>文献中的推荐表也具有这样的条件性。王凯亮等结合地区发展水平和负荷体量给出推荐值，刘炜彬等通过地区数据确定负荷分散及安全运行参数，肖峻等则在给定主变与联络条件下研究容量利用[7,9,20]。本项目据此将影响作用不同的五项参数分别保留，并以受控序列和分区矩阵共同解释推荐值。矩阵中的上下界来自已计算设备方案，工程选取还需将片区参数落实到相应站点与通道。</w:t>
      </w:r>
    </w:p>
    <w:p w14:paraId="283E04B8">
      <w:pPr>
        <w:pStyle w:val="4"/>
        <w:keepNext/>
        <w:numPr>
          <w:ilvl w:val="0"/>
          <w:numId w:val="0"/>
        </w:numPr>
        <w:spacing w:before="160" w:after="120" w:line="480" w:lineRule="exact"/>
        <w:ind w:firstLine="0"/>
      </w:pPr>
      <w:bookmarkStart w:id="302" w:name="Report1017_h193"/>
      <w:bookmarkEnd w:id="302"/>
      <w:bookmarkStart w:id="55" w:name="h193"/>
      <w:bookmarkStart w:id="56" w:name="容载比与供电能力的理论联系"/>
      <w:r>
        <w:rPr>
          <w:rFonts w:ascii="Times New Roman" w:hAnsi="Times New Roman" w:eastAsia="方正仿宋_GBK"/>
          <w:b/>
          <w:sz w:val="32"/>
        </w:rPr>
        <w:t>2.4 容载比与供电能力的理论联系</w:t>
      </w:r>
      <w:bookmarkEnd w:id="55"/>
      <w:bookmarkEnd w:id="56"/>
    </w:p>
    <w:p w14:paraId="58B38D29">
      <w:pPr>
        <w:pStyle w:val="5"/>
        <w:keepNext/>
        <w:numPr>
          <w:ilvl w:val="0"/>
          <w:numId w:val="0"/>
        </w:numPr>
        <w:spacing w:before="160" w:after="120" w:line="390" w:lineRule="exact"/>
        <w:ind w:firstLine="0"/>
      </w:pPr>
      <w:bookmarkStart w:id="57" w:name="区域容量储备与局部容量分布"/>
      <w:r>
        <w:rPr>
          <w:rFonts w:ascii="Times New Roman" w:hAnsi="Times New Roman" w:eastAsia="方正仿宋_GBK"/>
          <w:b/>
          <w:sz w:val="26"/>
        </w:rPr>
        <w:t>2.4.1 区域容量储备与局部容量分布</w:t>
      </w:r>
      <w:bookmarkEnd w:id="57"/>
    </w:p>
    <w:p w14:paraId="33A94F03">
      <w:pPr>
        <w:pStyle w:val="115"/>
        <w:widowControl/>
        <w:spacing w:before="0" w:after="0" w:line="348" w:lineRule="exact"/>
        <w:ind w:firstLine="480"/>
        <w:jc w:val="both"/>
      </w:pPr>
      <w:r>
        <w:rPr>
          <w:rFonts w:ascii="Times New Roman" w:hAnsi="Times New Roman" w:eastAsia="方正仿宋_GBK"/>
          <w:b w:val="0"/>
          <w:sz w:val="24"/>
        </w:rPr>
        <w:t>容载比用区域主变容量和年度网供峰值构造，适于观察容量总量与发展储备。主变供电能力则取决于具体站点和接线方式，在主变N-1时还需考虑剩余主变、可转负荷与相邻站剩余容量[5,7]。区域内即使有较多空余容量，若下级网络不能把重载站的负荷转接出去，仍可能需要局部增容。容载比相同的两个地区，其局部供电能力和工程需求仍受站级结构影响。</w:t>
      </w:r>
    </w:p>
    <w:p w14:paraId="172227B8">
      <w:pPr>
        <w:pStyle w:val="2"/>
        <w:widowControl/>
        <w:spacing w:before="0" w:after="0" w:line="348" w:lineRule="exact"/>
        <w:ind w:firstLine="480"/>
        <w:jc w:val="both"/>
      </w:pPr>
      <w:r>
        <w:rPr>
          <w:rFonts w:ascii="Times New Roman" w:hAnsi="Times New Roman" w:eastAsia="方正仿宋_GBK"/>
          <w:b w:val="0"/>
          <w:sz w:val="24"/>
        </w:rPr>
        <w:t>扩建主变可以同时改变总容量和N-1后的剩余容量，其作用需要结合主变规格和供电需求分析。本研究将主变扩建作为独立建设变量，根据预留位置确定扩建条件，并计入相应工程费用。</w:t>
      </w:r>
    </w:p>
    <w:p w14:paraId="6D89603A">
      <w:pPr>
        <w:pStyle w:val="2"/>
        <w:widowControl/>
        <w:spacing w:before="0" w:after="0" w:line="348" w:lineRule="exact"/>
        <w:ind w:firstLine="480"/>
        <w:jc w:val="both"/>
      </w:pPr>
      <w:r>
        <w:rPr>
          <w:rFonts w:ascii="Times New Roman" w:hAnsi="Times New Roman" w:eastAsia="方正仿宋_GBK"/>
          <w:b w:val="0"/>
          <w:sz w:val="24"/>
        </w:rPr>
        <w:t>主变按规定额定容量整台配置，区域总容量随设备投运分步增加。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14:paraId="3070581A">
      <w:pPr>
        <w:pStyle w:val="2"/>
        <w:widowControl/>
        <w:spacing w:before="0" w:after="0" w:line="348" w:lineRule="exact"/>
        <w:ind w:firstLine="480"/>
        <w:jc w:val="both"/>
      </w:pPr>
      <w:r>
        <w:rPr>
          <w:rFonts w:ascii="Times New Roman" w:hAnsi="Times New Roman" w:eastAsia="方正仿宋_GBK"/>
          <w:b w:val="0"/>
          <w:sz w:val="24"/>
        </w:rPr>
        <w:t>容量储备的空间分布可以沿故障后剩余能力进一步分析。一个站点增加主变后，既可能减少本站需要向外转出的负荷，也可能增加其对邻站的承接能力；若新增设备同时改变最大单台容量，N-1后的剩余能力还会随设备组合调整。这些作用均通过具体台数和规格发生，因此地区总容量的增量与故障支援能力的增量需要分别计算。TSC方法和主变规格及台数规划研究分别为此提供了技术校核与设备选择依据[7,11]。</w:t>
      </w:r>
    </w:p>
    <w:p w14:paraId="416871EE">
      <w:pPr>
        <w:pStyle w:val="2"/>
        <w:widowControl/>
        <w:spacing w:before="0" w:after="0" w:line="348" w:lineRule="exact"/>
        <w:ind w:firstLine="480"/>
        <w:jc w:val="both"/>
      </w:pPr>
      <w:r>
        <w:rPr>
          <w:rFonts w:ascii="Times New Roman" w:hAnsi="Times New Roman" w:eastAsia="方正仿宋_GBK"/>
          <w:b w:val="0"/>
          <w:sz w:val="24"/>
        </w:rPr>
        <w:t>在持续建设的规划期内，容量分布还受已投运资产影响。先建成的主变会继续承担后续供电任务，前期通过储能或联络补足的缺口也可能形成持续在役工程。逐年方案应按同一设备位置衔接在役状态，并在每年负荷和故障工况下复核供电任务。这样的比较能够解释末年总容量接近、但期内采购和配套措施仍有差异的情况。</w:t>
      </w:r>
    </w:p>
    <w:p w14:paraId="701D786E">
      <w:pPr>
        <w:pStyle w:val="2"/>
        <w:widowControl/>
        <w:spacing w:before="0" w:after="0" w:line="348" w:lineRule="exact"/>
        <w:ind w:firstLine="480"/>
        <w:jc w:val="both"/>
      </w:pPr>
      <w:r>
        <w:rPr>
          <w:rFonts w:ascii="Times New Roman" w:hAnsi="Times New Roman" w:eastAsia="方正仿宋_GBK"/>
          <w:b w:val="0"/>
          <w:sz w:val="24"/>
        </w:rPr>
        <w:t>TSC研究对给定主变容量下的网络利用进行计算，设备配置研究则进一步改变主变类型和台数[7,11]。前者适合回答现有容量在特定联络条件下能够供应多少负荷，后者适合回答满足既定负荷需要购置哪些设备。两种问题的输出分别是可供负荷和设备配置，但都要求明确站内剩余能力、站间转带和设备限制。把这些条件统一后，才能将供电能力分析用于容量建设决策。</w:t>
      </w:r>
    </w:p>
    <w:p w14:paraId="23536B4B">
      <w:pPr>
        <w:pStyle w:val="2"/>
        <w:widowControl/>
        <w:spacing w:before="0" w:after="0" w:line="348" w:lineRule="exact"/>
        <w:ind w:firstLine="480"/>
        <w:jc w:val="both"/>
      </w:pPr>
      <w:r>
        <w:rPr>
          <w:rFonts w:ascii="Times New Roman" w:hAnsi="Times New Roman" w:eastAsia="方正仿宋_GBK"/>
          <w:b w:val="0"/>
          <w:sz w:val="24"/>
        </w:rPr>
        <w:t>同一地区容量合计相同，也可以具有不同的故障后可用能力。例如容量分布在两台主变还是三台主变、最大单台容量是否改变，都会影响单台停运后剩余设备。若局部负荷主要集中在一个站点，地区其他站的余量还需经过可用通道才能支援。由此，容量比值的比较需要同时保留设备结构与局部功率任务，逐站分析则用于判断哪一项结构变化实际改善了供电条件。</w:t>
      </w:r>
    </w:p>
    <w:p w14:paraId="033E85D0">
      <w:pPr>
        <w:pStyle w:val="5"/>
        <w:keepNext/>
        <w:numPr>
          <w:ilvl w:val="0"/>
          <w:numId w:val="0"/>
        </w:numPr>
        <w:spacing w:before="160" w:after="120" w:line="390" w:lineRule="exact"/>
        <w:ind w:firstLine="0"/>
      </w:pPr>
      <w:bookmarkStart w:id="58" w:name="中压联络对容量配置的作用"/>
      <w:r>
        <w:rPr>
          <w:rFonts w:ascii="Times New Roman" w:hAnsi="Times New Roman" w:eastAsia="方正仿宋_GBK"/>
          <w:b/>
          <w:sz w:val="26"/>
        </w:rPr>
        <w:t>2.4.2 中压联络对容量配置的作用</w:t>
      </w:r>
      <w:bookmarkEnd w:id="58"/>
    </w:p>
    <w:p w14:paraId="584A1364">
      <w:pPr>
        <w:pStyle w:val="115"/>
        <w:widowControl/>
        <w:spacing w:before="0" w:after="0" w:line="348" w:lineRule="exact"/>
        <w:ind w:firstLine="480"/>
        <w:jc w:val="both"/>
      </w:pPr>
      <w:r>
        <w:rPr>
          <w:rFonts w:ascii="Times New Roman" w:hAnsi="Times New Roman" w:eastAsia="方正仿宋_GBK"/>
          <w:b w:val="0"/>
          <w:sz w:val="24"/>
        </w:rPr>
        <w:t>肖峻等研究指出，变电容载比与下一级中压网络供电能力之间存在量化联系，联络位置和负荷分布影响转带能力[7]。由于可转负荷由通道条件与两端容量共同确定，工程上需同时核实负荷能否分段、通道是否可用及受端主变是否具有余量。</w:t>
      </w:r>
    </w:p>
    <w:p w14:paraId="3C3A6C9D">
      <w:pPr>
        <w:pStyle w:val="2"/>
        <w:widowControl/>
        <w:spacing w:before="0" w:after="0" w:line="348" w:lineRule="exact"/>
        <w:ind w:firstLine="480"/>
        <w:jc w:val="both"/>
      </w:pPr>
      <w:r>
        <w:rPr>
          <w:rFonts w:ascii="Times New Roman" w:hAnsi="Times New Roman" w:eastAsia="方正仿宋_GBK"/>
          <w:b w:val="0"/>
          <w:sz w:val="24"/>
        </w:rPr>
        <w:t>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14:paraId="2AD6EE1D">
      <w:pPr>
        <w:pStyle w:val="2"/>
        <w:widowControl/>
        <w:spacing w:before="0" w:after="0" w:line="348" w:lineRule="exact"/>
        <w:ind w:firstLine="480"/>
        <w:jc w:val="both"/>
      </w:pPr>
      <w:r>
        <w:rPr>
          <w:rFonts w:ascii="Times New Roman" w:hAnsi="Times New Roman" w:eastAsia="方正仿宋_GBK"/>
          <w:b w:val="0"/>
          <w:sz w:val="24"/>
        </w:rPr>
        <w:t>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14:paraId="2F11BB78">
      <w:pPr>
        <w:pStyle w:val="2"/>
        <w:widowControl/>
        <w:spacing w:before="0" w:after="0" w:line="348" w:lineRule="exact"/>
        <w:ind w:firstLine="480"/>
        <w:jc w:val="both"/>
      </w:pPr>
      <w:r>
        <w:rPr>
          <w:rFonts w:ascii="Times New Roman" w:hAnsi="Times New Roman" w:eastAsia="方正仿宋_GBK"/>
          <w:b w:val="0"/>
          <w:sz w:val="24"/>
        </w:rPr>
        <w:t>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14:paraId="14F7CF6A">
      <w:pPr>
        <w:pStyle w:val="2"/>
        <w:widowControl/>
        <w:spacing w:before="0" w:after="0" w:line="348" w:lineRule="exact"/>
        <w:ind w:firstLine="480"/>
        <w:jc w:val="both"/>
      </w:pPr>
      <w:r>
        <w:rPr>
          <w:rFonts w:ascii="Times New Roman" w:hAnsi="Times New Roman" w:eastAsia="方正仿宋_GBK"/>
          <w:b w:val="0"/>
          <w:sz w:val="24"/>
        </w:rPr>
        <w:t>联络规模与联络位置共同决定支援效果。若多条线路向同一邻站转供负荷，其可转功率会共同占用该邻站剩余主变能力；若多条通道共用接收馈线，还会共同占用馈线余量。增加线路数量只有在共享条件仍有余量时才能增加可用转供，线路热限也需要与源端可切负荷相匹配。肖峻等在同等联络规模下比较联络分布，说明连接位置会改变达到TSC时的容量利用[7]。</w:t>
      </w:r>
    </w:p>
    <w:p w14:paraId="5992D0C9">
      <w:pPr>
        <w:pStyle w:val="2"/>
        <w:widowControl/>
        <w:spacing w:before="0" w:after="0" w:line="348" w:lineRule="exact"/>
        <w:ind w:firstLine="480"/>
        <w:jc w:val="both"/>
      </w:pPr>
      <w:r>
        <w:rPr>
          <w:rFonts w:ascii="Times New Roman" w:hAnsi="Times New Roman" w:eastAsia="方正仿宋_GBK"/>
          <w:b w:val="0"/>
          <w:sz w:val="24"/>
        </w:rPr>
        <w:t>初始转供率用于概括既有网络支援程度，电缆长度占比则通过造价影响新增线路的经济选择。两者在实际片区可能具有网络建设背景上的联系，进入模型后的作用仍分别由能力约束和费用参数实现。受控比较可以固定其中一项观察另一项：转供率变化时分析既有网络释放的容量，电缆占比变化时分析新建联络与站内补强之间的费用替代。保持这种技术对应关系，有助于解释同样的容载比区间为何会对应不同的线路建设规模。</w:t>
      </w:r>
    </w:p>
    <w:p w14:paraId="3F36D238">
      <w:pPr>
        <w:pStyle w:val="5"/>
        <w:keepNext/>
        <w:numPr>
          <w:ilvl w:val="0"/>
          <w:numId w:val="0"/>
        </w:numPr>
        <w:spacing w:before="160" w:after="120" w:line="390" w:lineRule="exact"/>
        <w:ind w:firstLine="0"/>
      </w:pPr>
      <w:bookmarkStart w:id="59" w:name="负荷发展储备的时间特征"/>
      <w:r>
        <w:rPr>
          <w:rFonts w:ascii="Times New Roman" w:hAnsi="Times New Roman" w:eastAsia="方正仿宋_GBK"/>
          <w:b/>
          <w:sz w:val="26"/>
        </w:rPr>
        <w:t>2.4.3 负荷发展储备的时间特征</w:t>
      </w:r>
      <w:bookmarkEnd w:id="59"/>
    </w:p>
    <w:p w14:paraId="25A52685">
      <w:pPr>
        <w:pStyle w:val="115"/>
        <w:widowControl/>
        <w:spacing w:before="0" w:after="0" w:line="348" w:lineRule="exact"/>
        <w:ind w:firstLine="480"/>
        <w:jc w:val="both"/>
      </w:pPr>
      <w:r>
        <w:rPr>
          <w:rFonts w:ascii="Times New Roman" w:hAnsi="Times New Roman" w:eastAsia="方正仿宋_GBK"/>
          <w:b w:val="0"/>
          <w:sz w:val="24"/>
        </w:rPr>
        <w:t>主变投运后持续在役，而负荷可能在不同年份上升或下降，因此负荷发展储备需结合规划年份确定。年度规划路径同时处理设备持续在役与负荷波动，按投运年份计取建设费用，并校核各中间年份的容量需求。</w:t>
      </w:r>
    </w:p>
    <w:p w14:paraId="7FDFE2FA">
      <w:pPr>
        <w:pStyle w:val="2"/>
        <w:widowControl/>
        <w:spacing w:before="0" w:after="0" w:line="348" w:lineRule="exact"/>
        <w:ind w:firstLine="480"/>
        <w:jc w:val="both"/>
      </w:pPr>
      <w:r>
        <w:rPr>
          <w:rFonts w:ascii="Times New Roman" w:hAnsi="Times New Roman" w:eastAsia="方正仿宋_GBK"/>
          <w:b w:val="0"/>
          <w:sz w:val="24"/>
        </w:rPr>
        <w:t>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14:paraId="33A0E108">
      <w:pPr>
        <w:pStyle w:val="2"/>
        <w:widowControl/>
        <w:spacing w:before="0" w:after="0" w:line="348" w:lineRule="exact"/>
        <w:ind w:firstLine="480"/>
        <w:jc w:val="both"/>
      </w:pPr>
      <w:r>
        <w:rPr>
          <w:rFonts w:ascii="Times New Roman" w:hAnsi="Times New Roman" w:eastAsia="方正仿宋_GBK"/>
          <w:b w:val="0"/>
          <w:sz w:val="24"/>
        </w:rPr>
        <w:t>增长参数同时影响供电需求和容载比分母。在资产非减条件下，较低增长可能使已配置容量对应较高容载比，较高增长则可能触发新的主变或储能建设，因此连续的负荷变化会通过整台主变、储能及联络项目的选择形成台阶式配置响应，推荐矩阵据此归纳不同发展水平下的容量范围。</w:t>
      </w:r>
    </w:p>
    <w:p w14:paraId="24B7DCFC">
      <w:pPr>
        <w:pStyle w:val="2"/>
        <w:widowControl/>
        <w:spacing w:before="0" w:after="0" w:line="348" w:lineRule="exact"/>
        <w:ind w:firstLine="480"/>
        <w:jc w:val="both"/>
      </w:pPr>
      <w:r>
        <w:rPr>
          <w:rFonts w:ascii="Times New Roman" w:hAnsi="Times New Roman" w:eastAsia="方正仿宋_GBK"/>
          <w:b w:val="0"/>
          <w:sz w:val="24"/>
        </w:rPr>
        <w:t>刘炜彬等将负荷发展储备与增长水平、建设周期和实际工期联系起来，并讨论负荷密度对容量储备年限的影响[20]。这表明发展储备需要放在时间条件中解释：同样的容量增量，对快速增长片区和增长趋缓片区能够覆盖的年限不同；设备投运时点改变后，早期容量裕度及期内支出也会变化。多电压等级规划进一步把各层级建设配置共同纳入经济比选，使发展储备与整体网架投资联系起来[9,11]。</w:t>
      </w:r>
    </w:p>
    <w:p w14:paraId="12EFA934">
      <w:pPr>
        <w:pStyle w:val="2"/>
        <w:widowControl/>
        <w:spacing w:before="0" w:after="0" w:line="348" w:lineRule="exact"/>
        <w:ind w:firstLine="480"/>
        <w:jc w:val="both"/>
      </w:pPr>
      <w:r>
        <w:rPr>
          <w:rFonts w:ascii="Times New Roman" w:hAnsi="Times New Roman" w:eastAsia="方正仿宋_GBK"/>
          <w:b w:val="0"/>
          <w:sz w:val="24"/>
        </w:rPr>
        <w:t>本研究的年度案例使用已知负荷，重点比较同一负荷路径下措施的选择和投运安排。参数模板则通过统一时点的年最大净负荷平均增长率改变负荷规模，观察已有容量储备何时需要补强。两种处理对应不同研究任务：年度路径解释时序，参数序列解释发展水平。对增长参数形成的推荐结果，同时读取规划负荷与主变容量，可以明确比值下降来自负荷增长，还是伴随设备组合切换。</w:t>
      </w:r>
    </w:p>
    <w:p w14:paraId="3D6FFBF7">
      <w:pPr>
        <w:pStyle w:val="4"/>
        <w:keepNext/>
        <w:numPr>
          <w:ilvl w:val="0"/>
          <w:numId w:val="0"/>
        </w:numPr>
        <w:spacing w:before="160" w:after="120" w:line="480" w:lineRule="exact"/>
        <w:ind w:firstLine="0"/>
      </w:pPr>
      <w:bookmarkStart w:id="303" w:name="Report1017_h215"/>
      <w:bookmarkEnd w:id="303"/>
      <w:bookmarkStart w:id="60" w:name="高渗透率下的源荷特征与容量压力"/>
      <w:bookmarkStart w:id="61" w:name="h215"/>
      <w:r>
        <w:rPr>
          <w:rFonts w:ascii="Times New Roman" w:hAnsi="Times New Roman" w:eastAsia="方正仿宋_GBK"/>
          <w:b/>
          <w:sz w:val="32"/>
        </w:rPr>
        <w:t>2.5 高渗透率下的源荷特征与容量压力</w:t>
      </w:r>
      <w:bookmarkEnd w:id="60"/>
      <w:bookmarkEnd w:id="61"/>
    </w:p>
    <w:p w14:paraId="686D19D4">
      <w:pPr>
        <w:pStyle w:val="5"/>
        <w:keepNext/>
        <w:numPr>
          <w:ilvl w:val="0"/>
          <w:numId w:val="0"/>
        </w:numPr>
        <w:spacing w:before="160" w:after="120" w:line="390" w:lineRule="exact"/>
        <w:ind w:firstLine="0"/>
      </w:pPr>
      <w:bookmarkStart w:id="62" w:name="用户负荷网供负荷与净负荷"/>
      <w:r>
        <w:rPr>
          <w:rFonts w:ascii="Times New Roman" w:hAnsi="Times New Roman" w:eastAsia="方正仿宋_GBK"/>
          <w:b/>
          <w:sz w:val="26"/>
        </w:rPr>
        <w:t>2.5.1 用户负荷、网供负荷与净负荷</w:t>
      </w:r>
      <w:bookmarkEnd w:id="62"/>
    </w:p>
    <w:p w14:paraId="4B11FCE0">
      <w:pPr>
        <w:pStyle w:val="115"/>
        <w:widowControl/>
        <w:spacing w:before="0" w:after="0" w:line="348" w:lineRule="exact"/>
        <w:ind w:firstLine="480"/>
        <w:jc w:val="both"/>
      </w:pPr>
      <w:r>
        <w:rPr>
          <w:rFonts w:ascii="Times New Roman" w:hAnsi="Times New Roman" w:eastAsia="方正仿宋_GBK"/>
          <w:b w:val="0"/>
          <w:sz w:val="24"/>
        </w:rPr>
        <w:t>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14:paraId="0377E74A">
      <w:pPr>
        <w:pStyle w:val="2"/>
        <w:widowControl/>
        <w:spacing w:before="0" w:after="0" w:line="348" w:lineRule="exact"/>
        <w:ind w:firstLine="480"/>
        <w:jc w:val="both"/>
      </w:pPr>
      <w:r>
        <w:rPr>
          <w:rFonts w:ascii="Times New Roman" w:hAnsi="Times New Roman" w:eastAsia="方正仿宋_GBK"/>
          <w:b w:val="0"/>
          <w:sz w:val="24"/>
        </w:rPr>
        <w:t>分布式电源装机渗透率的分母是用户最大负荷，容载比的分母是年网供最大负荷；前者用于表达装机与用电规模，后者用于表达主变容量与区域供电峰值[5,8]。光伏增长时，两种分母可能发生不同变化。用户负荷按同期净交换功率与本地电源出力重建。</w:t>
      </w:r>
    </w:p>
    <w:p w14:paraId="203307D0">
      <w:pPr>
        <w:pStyle w:val="2"/>
        <w:widowControl/>
        <w:spacing w:before="0" w:after="0" w:line="348" w:lineRule="exact"/>
        <w:ind w:firstLine="480"/>
        <w:jc w:val="both"/>
      </w:pPr>
      <w:r>
        <w:rPr>
          <w:rFonts w:ascii="Times New Roman" w:hAnsi="Times New Roman" w:eastAsia="方正仿宋_GBK"/>
          <w:b w:val="0"/>
          <w:sz w:val="24"/>
        </w:rPr>
        <w:t>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14:paraId="3D0DF901">
      <w:pPr>
        <w:pStyle w:val="2"/>
        <w:widowControl/>
        <w:spacing w:before="0" w:after="0" w:line="348" w:lineRule="exact"/>
        <w:ind w:firstLine="480"/>
        <w:jc w:val="both"/>
      </w:pPr>
      <w:r>
        <w:rPr>
          <w:rFonts w:ascii="Times New Roman" w:hAnsi="Times New Roman" w:eastAsia="方正仿宋_GBK"/>
          <w:b w:val="0"/>
          <w:sz w:val="24"/>
        </w:rPr>
        <w:t>源荷统计还需保留峰值的时间对应。装机较高片区的日间发电可以降低当时的网供负荷，但若地区受电峰值转移到晚间，继续增加装机对该峰值的影响会减弱。概率鸭子曲线研究通过源荷相依性描述净负荷谷及爬坡的不确定性，说明仅用装机规模难以确定净负荷形态[3]。因此，年度装机和电量用于描述发展规模，站级同期功率用于识别正反向设备任务，两者通过同范围源荷平衡衔接。</w:t>
      </w:r>
    </w:p>
    <w:p w14:paraId="651A477E">
      <w:pPr>
        <w:pStyle w:val="2"/>
        <w:widowControl/>
        <w:spacing w:before="0" w:after="0" w:line="348" w:lineRule="exact"/>
        <w:ind w:firstLine="480"/>
        <w:jc w:val="both"/>
      </w:pPr>
      <w:r>
        <w:rPr>
          <w:rFonts w:ascii="Times New Roman" w:hAnsi="Times New Roman" w:eastAsia="方正仿宋_GBK"/>
          <w:b w:val="0"/>
          <w:sz w:val="24"/>
        </w:rPr>
        <w:t>这种时间对应关系在空间汇总时同样成立。各站最大负荷可能出现在不同时刻，逐站极值反映本站设备需要承担的最大任务；区域峰值则需要先逐时汇总各站功率。负荷分散系数把站级峰值之和与区域同时峰值联系起来，已有精细化容载比研究据此分析同时率和负荷构成的作用[20]。本项目分别使用区域年度峰值和站级场景，使容量分母与局部校核任务保持各自的统计含义。</w:t>
      </w:r>
    </w:p>
    <w:p w14:paraId="599D5EC2">
      <w:pPr>
        <w:pStyle w:val="5"/>
        <w:keepNext/>
        <w:numPr>
          <w:ilvl w:val="0"/>
          <w:numId w:val="0"/>
        </w:numPr>
        <w:spacing w:before="160" w:after="120" w:line="390" w:lineRule="exact"/>
        <w:ind w:firstLine="0"/>
      </w:pPr>
      <w:bookmarkStart w:id="63" w:name="正反向极值的设备含义"/>
      <w:r>
        <w:rPr>
          <w:rFonts w:ascii="Times New Roman" w:hAnsi="Times New Roman" w:eastAsia="方正仿宋_GBK"/>
          <w:b/>
          <w:sz w:val="26"/>
        </w:rPr>
        <w:t>2.5.2 正反向极值的设备含义</w:t>
      </w:r>
      <w:bookmarkEnd w:id="63"/>
    </w:p>
    <w:p w14:paraId="18F96F84">
      <w:pPr>
        <w:pStyle w:val="115"/>
        <w:widowControl/>
        <w:spacing w:before="0" w:after="0" w:line="348" w:lineRule="exact"/>
        <w:ind w:firstLine="480"/>
        <w:jc w:val="both"/>
      </w:pPr>
      <w:r>
        <w:rPr>
          <w:rFonts w:ascii="Times New Roman" w:hAnsi="Times New Roman" w:eastAsia="方正仿宋_GBK"/>
          <w:b w:val="0"/>
          <w:sz w:val="24"/>
        </w:rPr>
        <w:t>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14:paraId="6CD8AD07">
      <w:pPr>
        <w:pStyle w:val="2"/>
        <w:widowControl/>
        <w:spacing w:before="0" w:after="0" w:line="348" w:lineRule="exact"/>
        <w:ind w:firstLine="480"/>
        <w:jc w:val="both"/>
      </w:pPr>
      <w:r>
        <w:rPr>
          <w:rFonts w:ascii="Times New Roman" w:hAnsi="Times New Roman" w:eastAsia="方正仿宋_GBK"/>
          <w:b w:val="0"/>
          <w:sz w:val="24"/>
        </w:rPr>
        <w:t>正向供电安全涉及用户恢复供电，反向接入还涉及上级网络、电压和保护配合，两种场景的网络与保护条件可能不同。因此，即使用绝对峰值比较容量压力，仍需保留功率方向及对应场景，分别建立正反向净负荷约束。</w:t>
      </w:r>
    </w:p>
    <w:p w14:paraId="6674175D">
      <w:pPr>
        <w:pStyle w:val="2"/>
        <w:widowControl/>
        <w:spacing w:before="0" w:after="0" w:line="348" w:lineRule="exact"/>
        <w:ind w:firstLine="480"/>
        <w:jc w:val="both"/>
      </w:pPr>
      <w:r>
        <w:rPr>
          <w:rFonts w:ascii="Times New Roman" w:hAnsi="Times New Roman" w:eastAsia="方正仿宋_GBK"/>
          <w:b w:val="0"/>
          <w:sz w:val="24"/>
        </w:rPr>
        <w:t>各站非同时反向峰值之和仅用于反向容量压力的上界分析；形成区域峰值时，应先在同一时间轴上逐时汇总，再取极值。</w:t>
      </w:r>
    </w:p>
    <w:p w14:paraId="3A4EA59E">
      <w:pPr>
        <w:pStyle w:val="2"/>
        <w:widowControl/>
        <w:spacing w:before="0" w:after="0" w:line="348" w:lineRule="exact"/>
        <w:ind w:firstLine="480"/>
        <w:jc w:val="both"/>
      </w:pPr>
      <w:r>
        <w:rPr>
          <w:rFonts w:ascii="Times New Roman" w:hAnsi="Times New Roman" w:eastAsia="方正仿宋_GBK"/>
          <w:b w:val="0"/>
          <w:sz w:val="24"/>
        </w:rPr>
        <w:t>反向功率任务还会改变负荷转接的作用方向。正向高峰时将部分用电负荷转到邻站，可以减轻原站受电任务；日间本地光伏较高时，若电源保留原接入站、只将用电负荷转走，本地剩余电力可能增加。因此，各工况需要按自己的源荷分布确定转供方式，再分别校核两端设备。反向潮流研究所讨论的电压和热状态问题也以功率实际流经的支路及设备为基础[4,28,29]。</w:t>
      </w:r>
    </w:p>
    <w:p w14:paraId="5D8EA22F">
      <w:pPr>
        <w:pStyle w:val="2"/>
        <w:widowControl/>
        <w:spacing w:before="0" w:after="0" w:line="348" w:lineRule="exact"/>
        <w:ind w:firstLine="480"/>
        <w:jc w:val="both"/>
      </w:pPr>
      <w:r>
        <w:rPr>
          <w:rFonts w:ascii="Times New Roman" w:hAnsi="Times New Roman" w:eastAsia="方正仿宋_GBK"/>
          <w:b w:val="0"/>
          <w:sz w:val="24"/>
        </w:rPr>
        <w:t>对110 kV容量比选，正反向功率分别进入设备上限，主变故障后再扣除相应停运容量，储能充电和放电则按各自有效能力参与。若日间反向任务已决定某站所需主变规格，即使晚间正向负荷较低，该站也可能需要保留较大容量。将方向和故障状态共同列示，可以说明新能源增长为何会在部分片区增加主变需求，同时使其他片区更多依靠网络互济。</w:t>
      </w:r>
    </w:p>
    <w:p w14:paraId="401DFFEB">
      <w:pPr>
        <w:pStyle w:val="5"/>
        <w:keepNext/>
        <w:numPr>
          <w:ilvl w:val="0"/>
          <w:numId w:val="0"/>
        </w:numPr>
        <w:spacing w:before="160" w:after="120" w:line="390" w:lineRule="exact"/>
        <w:ind w:firstLine="0"/>
      </w:pPr>
      <w:bookmarkStart w:id="64" w:name="峰值持续时间与尖峰能量"/>
      <w:r>
        <w:rPr>
          <w:rFonts w:ascii="Times New Roman" w:hAnsi="Times New Roman" w:eastAsia="方正仿宋_GBK"/>
          <w:b/>
          <w:sz w:val="26"/>
        </w:rPr>
        <w:t>2.5.3 峰值持续时间与尖峰能量</w:t>
      </w:r>
      <w:bookmarkEnd w:id="64"/>
    </w:p>
    <w:p w14:paraId="7060B97F">
      <w:pPr>
        <w:pStyle w:val="115"/>
        <w:widowControl/>
        <w:spacing w:before="0" w:after="0" w:line="348" w:lineRule="exact"/>
        <w:ind w:firstLine="480"/>
        <w:jc w:val="both"/>
      </w:pPr>
      <w:r>
        <w:rPr>
          <w:rFonts w:ascii="Times New Roman" w:hAnsi="Times New Roman" w:eastAsia="方正仿宋_GBK"/>
          <w:b w:val="0"/>
          <w:sz w:val="24"/>
        </w:rPr>
        <w:t>本项目以区域净负荷绝对值达到全年最大绝对值的95%为近峰条件，统计最长连续时长和全年累计时数。最长连续时长反映单次近峰过程的持续支撑需求，累计时数反映近峰状态的全年占用时间。</w:t>
      </w:r>
    </w:p>
    <w:p w14:paraId="1455E47C">
      <w:pPr>
        <w:pStyle w:val="2"/>
        <w:widowControl/>
        <w:spacing w:before="0" w:after="0" w:line="348" w:lineRule="exact"/>
        <w:ind w:firstLine="480"/>
        <w:jc w:val="both"/>
      </w:pPr>
      <w:r>
        <w:rPr>
          <w:rFonts w:ascii="Times New Roman" w:hAnsi="Times New Roman" w:eastAsia="方正仿宋_GBK"/>
          <w:b w:val="0"/>
          <w:sz w:val="24"/>
        </w:rPr>
        <w:t xml:space="preserve">储能配置需要同时考虑缺口幅度与持续时间：相同的5 MW缺口持续1 </w:t>
      </w:r>
      <m:oMath>
        <m:r>
          <m:rPr>
            <m:nor/>
          </m:rPr>
          <w:rPr>
            <w:rFonts w:ascii="Times New Roman" w:hAnsi="Times New Roman" w:eastAsia="方正仿宋_GBK" w:cs="Times New Roman"/>
            <w:i/>
            <w:iCs/>
          </w:rPr>
          <m:t>h</m:t>
        </m:r>
      </m:oMath>
      <w:r>
        <w:rPr>
          <w:rFonts w:ascii="Times New Roman" w:hAnsi="Times New Roman" w:eastAsia="方正仿宋_GBK"/>
          <w:b w:val="0"/>
          <w:sz w:val="24"/>
        </w:rPr>
        <w:t xml:space="preserve">时，最低理想放电能量为5 MWh，持续5 </w:t>
      </w:r>
      <m:oMath>
        <m:r>
          <m:rPr>
            <m:nor/>
          </m:rPr>
          <w:rPr>
            <w:rFonts w:ascii="Times New Roman" w:hAnsi="Times New Roman" w:eastAsia="方正仿宋_GBK" w:cs="Times New Roman"/>
            <w:i/>
            <w:iCs/>
          </w:rPr>
          <m:t>h</m:t>
        </m:r>
      </m:oMath>
      <w:r>
        <w:rPr>
          <w:rFonts w:ascii="Times New Roman" w:hAnsi="Times New Roman" w:eastAsia="方正仿宋_GBK"/>
          <w:b w:val="0"/>
          <w:sz w:val="24"/>
        </w:rPr>
        <w:t>时所需能量相应增加，实际工程还需计及效率、可用荷电状态和容量衰减[10,33]。本项目据此在静态模型中，以铭牌功率和峰段可持续能量共同限制储能支撑。</w:t>
      </w:r>
    </w:p>
    <w:p w14:paraId="70E4AC43">
      <w:pPr>
        <w:pStyle w:val="2"/>
        <w:widowControl/>
        <w:spacing w:before="0" w:after="0" w:line="348" w:lineRule="exact"/>
        <w:ind w:firstLine="480"/>
        <w:jc w:val="both"/>
      </w:pPr>
      <w:r>
        <w:rPr>
          <w:rFonts w:ascii="Times New Roman" w:hAnsi="Times New Roman" w:eastAsia="方正仿宋_GBK"/>
          <w:b w:val="0"/>
          <w:sz w:val="24"/>
        </w:rPr>
        <w:t>持续时间按补齐后的全年小时序列统计，数据处理见第3.1.3节。</w:t>
      </w:r>
    </w:p>
    <w:p w14:paraId="0F00691D">
      <w:pPr>
        <w:pStyle w:val="2"/>
        <w:widowControl/>
        <w:spacing w:before="0" w:after="0" w:line="348" w:lineRule="exact"/>
        <w:ind w:firstLine="480"/>
        <w:jc w:val="both"/>
      </w:pPr>
      <w:r>
        <w:rPr>
          <w:rFonts w:ascii="Times New Roman" w:hAnsi="Times New Roman" w:eastAsia="方正仿宋_GBK"/>
          <w:b w:val="0"/>
          <w:sz w:val="24"/>
        </w:rPr>
        <w:t>峰段统计可以从时间轴和功率排序两个方向进行。按时间轴识别连续超出阈值的区段，可以分析一次持续任务；将全年功率按大小排序，则便于观察高功率状态累计占用多少小时。两种统计均依托同一小时数据，但排列方式承担不同分析任务。与全年电量结合时，可以进一步判断较大功率是集中在少数尖峰时段，还是伴随较长持续过程。源荷时序研究和全年规划评价分别从曲线变化与累计运行结果提供了相关分析思路[3,70]。</w:t>
      </w:r>
    </w:p>
    <w:p w14:paraId="0F75A76E">
      <w:pPr>
        <w:pStyle w:val="2"/>
        <w:widowControl/>
        <w:spacing w:before="0" w:after="0" w:line="348" w:lineRule="exact"/>
        <w:ind w:firstLine="480"/>
        <w:jc w:val="both"/>
      </w:pPr>
      <w:r>
        <w:rPr>
          <w:rFonts w:ascii="Times New Roman" w:hAnsi="Times New Roman" w:eastAsia="方正仿宋_GBK"/>
          <w:b w:val="0"/>
          <w:sz w:val="24"/>
        </w:rPr>
        <w:t>储能定容需要将功率缺口与持续要求联系起来。若缺口短而集中，能量需求可能较小，额定充放电功率会先限制可用支撑；若缺口持续时间延长，同样的功率任务将需要更多可用电量。全寿命周期储能规划进一步将这种规模需求与寿命费用共同处理[10]。因此，运行特征统计用于确定需要分析的峰段，设备比选再按可用功率和电量确定配置，费用评价使用相应采购规模。</w:t>
      </w:r>
    </w:p>
    <w:p w14:paraId="3DF53F15">
      <w:pPr>
        <w:pStyle w:val="5"/>
        <w:keepNext/>
        <w:numPr>
          <w:ilvl w:val="0"/>
          <w:numId w:val="0"/>
        </w:numPr>
        <w:spacing w:before="160" w:after="120" w:line="390" w:lineRule="exact"/>
        <w:ind w:firstLine="0"/>
      </w:pPr>
      <w:bookmarkStart w:id="65" w:name="分布式电源电量渗透率与负载率的相关性"/>
      <w:r>
        <w:rPr>
          <w:rFonts w:ascii="Times New Roman" w:hAnsi="Times New Roman" w:eastAsia="方正仿宋_GBK"/>
          <w:b/>
          <w:sz w:val="26"/>
        </w:rPr>
        <w:t>2.5.4 分布式电源电量渗透率与负载率的相关性</w:t>
      </w:r>
      <w:bookmarkEnd w:id="65"/>
    </w:p>
    <w:p w14:paraId="5FAA2C38">
      <w:pPr>
        <w:pStyle w:val="115"/>
        <w:widowControl/>
        <w:spacing w:before="0" w:after="0" w:line="348" w:lineRule="exact"/>
        <w:ind w:firstLine="480"/>
        <w:jc w:val="both"/>
      </w:pPr>
      <w:r>
        <w:rPr>
          <w:rFonts w:ascii="Times New Roman" w:hAnsi="Times New Roman" w:eastAsia="方正仿宋_GBK"/>
          <w:b w:val="0"/>
          <w:sz w:val="24"/>
        </w:rPr>
        <w:t>光伏增加可能降低部分日间净负荷，而年度设备最大负载率还可能由晚间高峰或局部反送决定。两项指标的相关方向受容量配置、负荷时段和统计边界共同影响[3,4,59]。</w:t>
      </w:r>
    </w:p>
    <w:p w14:paraId="7547CCAF">
      <w:pPr>
        <w:pStyle w:val="2"/>
        <w:widowControl/>
        <w:spacing w:before="0" w:after="0" w:line="348" w:lineRule="exact"/>
        <w:ind w:firstLine="480"/>
        <w:jc w:val="both"/>
      </w:pPr>
      <w:r>
        <w:rPr>
          <w:rFonts w:ascii="Times New Roman" w:hAnsi="Times New Roman" w:eastAsia="方正仿宋_GBK"/>
          <w:b w:val="0"/>
          <w:sz w:val="24"/>
        </w:rPr>
        <w:t>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14:paraId="6843DF5C">
      <w:pPr>
        <w:pStyle w:val="2"/>
        <w:widowControl/>
        <w:spacing w:before="0" w:after="0" w:line="348" w:lineRule="exact"/>
        <w:ind w:firstLine="480"/>
        <w:jc w:val="both"/>
      </w:pPr>
      <w:r>
        <w:rPr>
          <w:rFonts w:ascii="Times New Roman" w:hAnsi="Times New Roman" w:eastAsia="方正仿宋_GBK"/>
          <w:b w:val="0"/>
          <w:sz w:val="24"/>
        </w:rPr>
        <w:t>邳州和市区的年度地区指标用于比较县域与城区的源荷相对水平。对具有月度同范围资料的地区，还可计算月度关联并说明样本内性质，为扩大实际数据样本提供依据。</w:t>
      </w:r>
    </w:p>
    <w:p w14:paraId="2346F233">
      <w:pPr>
        <w:pStyle w:val="4"/>
        <w:keepNext/>
        <w:numPr>
          <w:ilvl w:val="0"/>
          <w:numId w:val="0"/>
        </w:numPr>
        <w:spacing w:before="160" w:after="120" w:line="480" w:lineRule="exact"/>
        <w:ind w:firstLine="0"/>
      </w:pPr>
      <w:bookmarkStart w:id="304" w:name="Report1017_h238"/>
      <w:bookmarkEnd w:id="304"/>
      <w:bookmarkStart w:id="66" w:name="主变联络与储能的经济替代条件"/>
      <w:bookmarkStart w:id="67" w:name="h238"/>
      <w:r>
        <w:rPr>
          <w:rFonts w:ascii="Times New Roman" w:hAnsi="Times New Roman" w:eastAsia="方正仿宋_GBK"/>
          <w:b/>
          <w:sz w:val="32"/>
        </w:rPr>
        <w:t>2.6 主变、联络与储能的经济替代条件</w:t>
      </w:r>
      <w:bookmarkEnd w:id="66"/>
      <w:bookmarkEnd w:id="67"/>
    </w:p>
    <w:p w14:paraId="4A21A3F7">
      <w:pPr>
        <w:pStyle w:val="5"/>
        <w:keepNext/>
        <w:numPr>
          <w:ilvl w:val="0"/>
          <w:numId w:val="0"/>
        </w:numPr>
        <w:spacing w:before="160" w:after="120" w:line="390" w:lineRule="exact"/>
        <w:ind w:firstLine="0"/>
      </w:pPr>
      <w:bookmarkStart w:id="68" w:name="供电能力与单位功率投资"/>
      <w:r>
        <w:rPr>
          <w:rFonts w:ascii="Times New Roman" w:hAnsi="Times New Roman" w:eastAsia="方正仿宋_GBK"/>
          <w:b/>
          <w:sz w:val="26"/>
        </w:rPr>
        <w:t>2.6.1 供电能力与单位功率投资</w:t>
      </w:r>
      <w:bookmarkEnd w:id="68"/>
    </w:p>
    <w:p w14:paraId="2EC77F07">
      <w:pPr>
        <w:pStyle w:val="115"/>
        <w:widowControl/>
        <w:spacing w:before="0" w:after="0" w:line="348" w:lineRule="exact"/>
        <w:ind w:firstLine="480"/>
        <w:jc w:val="both"/>
      </w:pPr>
      <w:r>
        <w:rPr>
          <w:rFonts w:ascii="Times New Roman" w:hAnsi="Times New Roman" w:eastAsia="方正仿宋_GBK"/>
          <w:b w:val="0"/>
          <w:sz w:val="24"/>
        </w:rPr>
        <w:t>主变增容、10 kV联络和储能配置分别通过增加变电容量、转移负荷及充放电调节改善供电条件。依据供电能力和转供能力的工程含义[5,7]，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14:paraId="1F2FBA35">
      <w:pPr>
        <w:pStyle w:val="2"/>
        <w:widowControl/>
        <w:spacing w:before="0" w:after="0" w:line="348" w:lineRule="exact"/>
        <w:ind w:firstLine="480"/>
        <w:jc w:val="both"/>
      </w:pPr>
      <w:r>
        <w:rPr>
          <w:rFonts w:ascii="Times New Roman" w:hAnsi="Times New Roman" w:eastAsia="方正仿宋_GBK"/>
          <w:b w:val="0"/>
          <w:sz w:val="24"/>
        </w:rPr>
        <w:t>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14:paraId="6185D8B0">
      <w:pPr>
        <w:pStyle w:val="2"/>
        <w:widowControl/>
        <w:spacing w:before="0" w:after="0" w:line="348" w:lineRule="exact"/>
        <w:ind w:firstLine="480"/>
        <w:jc w:val="both"/>
      </w:pPr>
      <w:r>
        <w:rPr>
          <w:rFonts w:ascii="Times New Roman" w:hAnsi="Times New Roman" w:eastAsia="方正仿宋_GBK"/>
          <w:b w:val="0"/>
          <w:sz w:val="24"/>
        </w:rPr>
        <w:t>新增联络线的可转负荷由线路热限、负荷可分段条件和受端可用容量共同限制，因此公开线路单位造价只能提供价格参考，实际可转任务仍需由网络资料确定[7]。</w:t>
      </w:r>
    </w:p>
    <w:p w14:paraId="68F91415">
      <w:pPr>
        <w:pStyle w:val="2"/>
        <w:widowControl/>
        <w:spacing w:before="0" w:after="0" w:line="348" w:lineRule="exact"/>
        <w:ind w:firstLine="480"/>
        <w:jc w:val="both"/>
      </w:pPr>
      <w:r>
        <w:rPr>
          <w:rFonts w:ascii="Times New Roman" w:hAnsi="Times New Roman" w:eastAsia="方正仿宋_GBK"/>
          <w:b w:val="0"/>
          <w:sz w:val="24"/>
        </w:rPr>
        <w:t>储能单位有效支撑功率投资随支撑持续时间变化。参考储能规划文献的参数设置，本研究取荷电状态（SOC）上下限为0.90、0.10，形成80%的可用窗口，单向放电效率取95%，将额定能量的76%计为正向支撑可用电量，可用电量系数为0.76[86]。额定功率1.00 MW、额定能量2.15 MWh的储能配置，在4.00 h条件下有效支撑功率为0.41 MW。经济比较应按可持续功率折算，并保留额定功率限制[10,87]。</w:t>
      </w:r>
    </w:p>
    <w:p w14:paraId="3FEE2030">
      <w:pPr>
        <w:pStyle w:val="2"/>
        <w:widowControl/>
        <w:spacing w:before="0" w:after="0" w:line="348" w:lineRule="exact"/>
        <w:ind w:firstLine="480"/>
        <w:jc w:val="both"/>
      </w:pPr>
      <w:r>
        <w:rPr>
          <w:rFonts w:ascii="Times New Roman" w:hAnsi="Times New Roman" w:eastAsia="方正仿宋_GBK"/>
          <w:b w:val="0"/>
          <w:sz w:val="24"/>
        </w:rPr>
        <w:t>单位功率投资适合比较措施的价格水平，其对应能力还需放到具体约束中使用。主变更换的铭牌容量增加后，正常运行能力与N-1剩余能力可能以不同幅度改变；联络线额定能力较大时，实际能够承担的负荷仍受源端与接收端限制。因而同样的单位价格，对不同站点和不同故障状态可以形成不同的工程效果。供电能力研究通过两端设备与通道约束处理这种位置差异，主变配置规划则通过具体类型和台数处理设备差异[7,11]。</w:t>
      </w:r>
    </w:p>
    <w:p w14:paraId="2E752056">
      <w:pPr>
        <w:pStyle w:val="2"/>
        <w:widowControl/>
        <w:spacing w:before="0" w:after="0" w:line="348" w:lineRule="exact"/>
        <w:ind w:firstLine="480"/>
        <w:jc w:val="both"/>
      </w:pPr>
      <w:r>
        <w:rPr>
          <w:rFonts w:ascii="Times New Roman" w:hAnsi="Times New Roman" w:eastAsia="方正仿宋_GBK"/>
          <w:b w:val="0"/>
          <w:sz w:val="24"/>
        </w:rPr>
        <w:t>价格变化与设备变化也应分别观察。若某一组设备在一段价格范围内保持，其费用会随相应单价改变；价格进一步变化后，模型可能转向另一组主变、储能或线路组合，容量和工程量才发生切换。多电压等级协同规划将变电和线路投资共同寻优，提供了分析这种组合替代的依据[9]。对参数结果逐项核对费用分项，可以说明切换由哪类支出变化支持。</w:t>
      </w:r>
    </w:p>
    <w:p w14:paraId="067B56AA">
      <w:pPr>
        <w:pStyle w:val="5"/>
        <w:keepNext/>
        <w:numPr>
          <w:ilvl w:val="0"/>
          <w:numId w:val="0"/>
        </w:numPr>
        <w:spacing w:before="160" w:after="120" w:line="390" w:lineRule="exact"/>
        <w:ind w:firstLine="0"/>
      </w:pPr>
      <w:bookmarkStart w:id="69" w:name="统一评价期与更新费用"/>
      <w:r>
        <w:rPr>
          <w:rFonts w:ascii="Times New Roman" w:hAnsi="Times New Roman" w:eastAsia="方正仿宋_GBK"/>
          <w:b/>
          <w:sz w:val="26"/>
        </w:rPr>
        <w:t>2.6.2 统一评价期与更新费用</w:t>
      </w:r>
      <w:bookmarkEnd w:id="69"/>
    </w:p>
    <w:p w14:paraId="2EBEEF59">
      <w:pPr>
        <w:pStyle w:val="115"/>
        <w:widowControl/>
        <w:spacing w:before="0" w:after="0" w:line="348" w:lineRule="exact"/>
        <w:ind w:firstLine="480"/>
        <w:jc w:val="both"/>
      </w:pPr>
      <w:r>
        <w:rPr>
          <w:rFonts w:ascii="Times New Roman" w:hAnsi="Times New Roman" w:eastAsia="方正仿宋_GBK"/>
          <w:b w:val="0"/>
          <w:sz w:val="24"/>
        </w:rPr>
        <w:t>评价期费用方法将初始投资、固定运维及寿命更新纳入同一评价基准[10,13,14]。当储能寿命短于网架设备且更新发生在评价期内时，更新投资会影响其替代长期容量建设的经济性，而延后投运则通过减少早期资金占用改变费用现值。</w:t>
      </w:r>
    </w:p>
    <w:p w14:paraId="1919D37D">
      <w:pPr>
        <w:pStyle w:val="2"/>
        <w:widowControl/>
        <w:spacing w:before="0" w:after="0" w:line="348" w:lineRule="exact"/>
        <w:ind w:firstLine="480"/>
        <w:jc w:val="both"/>
      </w:pPr>
      <w:r>
        <w:rPr>
          <w:rFonts w:ascii="Times New Roman" w:hAnsi="Times New Roman" w:eastAsia="方正仿宋_GBK"/>
          <w:b w:val="0"/>
          <w:sz w:val="24"/>
        </w:rPr>
        <w:t>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14:paraId="799A9C0A">
      <w:pPr>
        <w:pStyle w:val="2"/>
        <w:widowControl/>
        <w:spacing w:before="0" w:after="0" w:line="348" w:lineRule="exact"/>
        <w:ind w:firstLine="480"/>
        <w:jc w:val="both"/>
      </w:pPr>
      <w:r>
        <w:rPr>
          <w:rFonts w:ascii="Times New Roman" w:hAnsi="Times New Roman" w:eastAsia="方正仿宋_GBK"/>
          <w:b w:val="0"/>
          <w:sz w:val="24"/>
        </w:rPr>
        <w:t>本项目采用固定实价和固定运维比例。线路费用按电缆与架空线路的长度占比加权，储能按统一采购价计费，在相同技术条件下比较措施费用。</w:t>
      </w:r>
    </w:p>
    <w:p w14:paraId="7D9E07DE">
      <w:pPr>
        <w:pStyle w:val="2"/>
        <w:widowControl/>
        <w:spacing w:before="0" w:after="0" w:line="348" w:lineRule="exact"/>
        <w:ind w:firstLine="480"/>
        <w:jc w:val="both"/>
      </w:pPr>
      <w:r>
        <w:rPr>
          <w:rFonts w:ascii="Times New Roman" w:hAnsi="Times New Roman" w:eastAsia="方正仿宋_GBK"/>
          <w:b w:val="0"/>
          <w:sz w:val="24"/>
        </w:rPr>
        <w:t>不同文献的费用科目随研究目的变化。陈浩等在容量经济评价中考虑建设、机会、维护、电能损耗、资源浪费及残值等费用，采用等年费用比较方案[11]；Xu等围绕储能配置和寿命开展成本分析[10]；Holweger等则将灵活资源运行费用与网架加强的年化投资比较[34]。这些方法共同强调技术方案与费用范围的一致性，具体科目需要与研究资料及决策目的对应。</w:t>
      </w:r>
    </w:p>
    <w:p w14:paraId="66EF7E06">
      <w:pPr>
        <w:pStyle w:val="2"/>
        <w:widowControl/>
        <w:spacing w:before="0" w:after="0" w:line="348" w:lineRule="exact"/>
        <w:ind w:firstLine="480"/>
        <w:jc w:val="both"/>
      </w:pPr>
      <w:r>
        <w:rPr>
          <w:rFonts w:ascii="Times New Roman" w:hAnsi="Times New Roman" w:eastAsia="方正仿宋_GBK"/>
          <w:b w:val="0"/>
          <w:sz w:val="24"/>
        </w:rPr>
        <w:t>对本项目所比较的新增措施，建设费用由实际采购及工程量形成，固定运维与在役规模和运行年限对应。现状设备为两类方案提供共同起点，新增支出按各年投运批次计算。这样的费用组织可以直接说明，提前建设一组主变所增加的现值，是否由后续储能或线路支出的减少抵消。若需要进一步比较电价收益、充电损耗或残值，则应补充相应运行及资产资料后统一扩展费用范围。</w:t>
      </w:r>
    </w:p>
    <w:p w14:paraId="6C88AA9B">
      <w:pPr>
        <w:pStyle w:val="5"/>
        <w:keepNext/>
        <w:numPr>
          <w:ilvl w:val="0"/>
          <w:numId w:val="0"/>
        </w:numPr>
        <w:spacing w:before="160" w:after="120" w:line="390" w:lineRule="exact"/>
        <w:ind w:firstLine="0"/>
      </w:pPr>
      <w:bookmarkStart w:id="70" w:name="技术约束先于经济优选"/>
      <w:r>
        <w:rPr>
          <w:rFonts w:ascii="Times New Roman" w:hAnsi="Times New Roman" w:eastAsia="方正仿宋_GBK"/>
          <w:b/>
          <w:sz w:val="26"/>
        </w:rPr>
        <w:t>2.6.3 技术约束先于经济优选</w:t>
      </w:r>
      <w:bookmarkEnd w:id="70"/>
    </w:p>
    <w:p w14:paraId="689227A4">
      <w:pPr>
        <w:pStyle w:val="115"/>
        <w:widowControl/>
        <w:spacing w:before="0" w:after="0" w:line="348" w:lineRule="exact"/>
        <w:ind w:firstLine="480"/>
        <w:jc w:val="both"/>
      </w:pPr>
      <w:r>
        <w:rPr>
          <w:rFonts w:ascii="Times New Roman" w:hAnsi="Times New Roman" w:eastAsia="方正仿宋_GBK"/>
          <w:b w:val="0"/>
          <w:sz w:val="24"/>
        </w:rPr>
        <w:t>经济模型只在技术可行集合内选择措施。首先要明确正反向供电能力及主变N-1后剩余供电能力的计算方法，再比较设备采购和投运年份。</w:t>
      </w:r>
    </w:p>
    <w:p w14:paraId="6E3015B5">
      <w:pPr>
        <w:pStyle w:val="2"/>
        <w:widowControl/>
        <w:spacing w:before="0" w:after="0" w:line="348" w:lineRule="exact"/>
        <w:ind w:firstLine="480"/>
        <w:jc w:val="both"/>
      </w:pPr>
      <w:r>
        <w:rPr>
          <w:rFonts w:ascii="Times New Roman" w:hAnsi="Times New Roman" w:eastAsia="方正仿宋_GBK"/>
          <w:b w:val="0"/>
          <w:sz w:val="24"/>
        </w:rPr>
        <w:t>多准则评价适于对已通过技术筛查的方案比较实施条件和规划适应性[16,17,18]。本报告先按费用寻优形成经济参考，再在参考费用容差内比较联络工程较少的可行布局。供电安全和设备规格作为共同约束，工程实施条件作为应用前核对项。</w:t>
      </w:r>
    </w:p>
    <w:p w14:paraId="630A35BF">
      <w:pPr>
        <w:pStyle w:val="2"/>
        <w:widowControl/>
        <w:spacing w:before="0" w:after="0" w:line="348" w:lineRule="exact"/>
        <w:ind w:firstLine="480"/>
        <w:jc w:val="both"/>
      </w:pPr>
      <w:r>
        <w:rPr>
          <w:rFonts w:ascii="Times New Roman" w:hAnsi="Times New Roman" w:eastAsia="方正仿宋_GBK"/>
          <w:b w:val="0"/>
          <w:sz w:val="24"/>
        </w:rPr>
        <w:t>在矩阵中，推荐值应与电缆长度占比、转供条件、负荷分散系数和源荷条件一起给出。同一推荐容载比可对应不同设备布局，费用相同也可能出现多组可行配置。推荐区间结合主变与储能配置及站间负荷转接结果确定。地区案例的建设时序与具体配置在第五章逐站列示。</w:t>
      </w:r>
    </w:p>
    <w:p w14:paraId="0F29EF97">
      <w:pPr>
        <w:pStyle w:val="4"/>
        <w:keepNext/>
        <w:numPr>
          <w:ilvl w:val="0"/>
          <w:numId w:val="0"/>
        </w:numPr>
        <w:spacing w:before="160" w:after="120" w:line="480" w:lineRule="exact"/>
        <w:ind w:firstLine="0"/>
      </w:pPr>
      <w:bookmarkStart w:id="305" w:name="Report1017_h256"/>
      <w:bookmarkEnd w:id="305"/>
      <w:bookmarkStart w:id="71" w:name="h256"/>
      <w:bookmarkStart w:id="72" w:name="规划寻优方法与本项目选型"/>
      <w:r>
        <w:rPr>
          <w:rFonts w:ascii="Times New Roman" w:hAnsi="Times New Roman" w:eastAsia="方正仿宋_GBK"/>
          <w:b/>
          <w:sz w:val="32"/>
        </w:rPr>
        <w:t>2.7 规划寻优方法与本项目选型</w:t>
      </w:r>
      <w:bookmarkEnd w:id="71"/>
      <w:bookmarkEnd w:id="72"/>
    </w:p>
    <w:p w14:paraId="2761E684">
      <w:pPr>
        <w:pStyle w:val="5"/>
        <w:keepNext/>
        <w:numPr>
          <w:ilvl w:val="0"/>
          <w:numId w:val="0"/>
        </w:numPr>
        <w:spacing w:before="160" w:after="120" w:line="390" w:lineRule="exact"/>
        <w:ind w:firstLine="0"/>
      </w:pPr>
      <w:bookmarkStart w:id="73" w:name="整数规划与工程措施选择"/>
      <w:r>
        <w:rPr>
          <w:rFonts w:ascii="Times New Roman" w:hAnsi="Times New Roman" w:eastAsia="方正仿宋_GBK"/>
          <w:b/>
          <w:sz w:val="26"/>
        </w:rPr>
        <w:t>2.7.1 整数规划与工程措施选择</w:t>
      </w:r>
      <w:bookmarkEnd w:id="73"/>
    </w:p>
    <w:p w14:paraId="074076FF">
      <w:pPr>
        <w:pStyle w:val="115"/>
        <w:widowControl/>
        <w:spacing w:before="0" w:after="0" w:line="348" w:lineRule="exact"/>
        <w:ind w:firstLine="480"/>
        <w:jc w:val="both"/>
      </w:pPr>
      <w:r>
        <w:rPr>
          <w:rFonts w:ascii="Times New Roman" w:hAnsi="Times New Roman" w:eastAsia="方正仿宋_GBK"/>
          <w:b w:val="0"/>
          <w:sz w:val="24"/>
        </w:rPr>
        <w:t>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[9,11]。</w:t>
      </w:r>
    </w:p>
    <w:p w14:paraId="7D1615AD">
      <w:pPr>
        <w:pStyle w:val="2"/>
        <w:widowControl/>
        <w:spacing w:before="0" w:after="0" w:line="348" w:lineRule="exact"/>
        <w:ind w:firstLine="480"/>
        <w:jc w:val="both"/>
      </w:pPr>
      <w:r>
        <w:rPr>
          <w:rFonts w:ascii="Times New Roman" w:hAnsi="Times New Roman" w:eastAsia="方正仿宋_GBK"/>
          <w:b w:val="0"/>
          <w:sz w:val="24"/>
        </w:rPr>
        <w:t>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14:paraId="3FCB92EF">
      <w:pPr>
        <w:pStyle w:val="2"/>
        <w:widowControl/>
        <w:spacing w:before="0" w:after="0" w:line="348" w:lineRule="exact"/>
        <w:ind w:firstLine="480"/>
        <w:jc w:val="both"/>
      </w:pPr>
      <w:r>
        <w:rPr>
          <w:rFonts w:ascii="Times New Roman" w:hAnsi="Times New Roman" w:eastAsia="方正仿宋_GBK"/>
          <w:b w:val="0"/>
          <w:sz w:val="24"/>
        </w:rPr>
        <w:t>整数规划将设备规格与工程数量直接作为决策变量，在正常运行和供电安全约束下比较措施费用，并通过连续衔接各年设备状态形成建设路径。</w:t>
      </w:r>
    </w:p>
    <w:p w14:paraId="14A5C812">
      <w:pPr>
        <w:pStyle w:val="2"/>
        <w:widowControl/>
        <w:spacing w:before="0" w:after="0" w:line="348" w:lineRule="exact"/>
        <w:ind w:firstLine="480"/>
        <w:jc w:val="both"/>
      </w:pPr>
      <w:r>
        <w:rPr>
          <w:rFonts w:ascii="Times New Roman" w:hAnsi="Times New Roman" w:eastAsia="方正仿宋_GBK"/>
          <w:b w:val="0"/>
          <w:sz w:val="24"/>
        </w:rPr>
        <w:t>陈浩等采用离散粒子群算法搜索主变类型与台数，王凯亮等采用贝叶斯优化与遗传算法组织多层级网架规划，徐峰亮等则采用规划与运行分层交互的求解方式[9,11,22]。这些方法针对的变量结构和网络任务有所不同，共同要求在每个候选方案下检查技术条件，并用相应工程量计算费用。算法得到的比值最终都需要回到设备或网架配置，才能用于工程判断。</w:t>
      </w:r>
    </w:p>
    <w:p w14:paraId="7F689515">
      <w:pPr>
        <w:pStyle w:val="2"/>
        <w:widowControl/>
        <w:spacing w:before="0" w:after="0" w:line="348" w:lineRule="exact"/>
        <w:ind w:firstLine="480"/>
        <w:jc w:val="both"/>
      </w:pPr>
      <w:r>
        <w:rPr>
          <w:rFonts w:ascii="Times New Roman" w:hAnsi="Times New Roman" w:eastAsia="方正仿宋_GBK"/>
          <w:b w:val="0"/>
          <w:sz w:val="24"/>
        </w:rPr>
        <w:t>对于主变规格、储能柜数与联络项目均已明确的候选集合，可以直接用整数变量表示是否选用以及选用数量，运行分配再以连续功率变量表示。若功率折算、转供守恒和设备上限能够写成线性关系，就可以在同一模型内组织建设与运行约束。本项目采用这种变量组织方式，使每个年度的设备选择都能与对应场景的功率平衡相互核对。候选规格和费用保持明确，结果便可按工程量独立复算。</w:t>
      </w:r>
    </w:p>
    <w:p w14:paraId="2CAF3F14">
      <w:pPr>
        <w:pStyle w:val="5"/>
        <w:keepNext/>
        <w:numPr>
          <w:ilvl w:val="0"/>
          <w:numId w:val="0"/>
        </w:numPr>
        <w:spacing w:before="160" w:after="120" w:line="390" w:lineRule="exact"/>
        <w:ind w:firstLine="0"/>
      </w:pPr>
      <w:bookmarkStart w:id="74" w:name="评价期费用比选与方案形成"/>
      <w:r>
        <w:rPr>
          <w:rFonts w:ascii="Times New Roman" w:hAnsi="Times New Roman" w:eastAsia="方正仿宋_GBK"/>
          <w:b/>
          <w:sz w:val="26"/>
        </w:rPr>
        <w:t>2.7.2 评价期费用比选与方案形成</w:t>
      </w:r>
      <w:bookmarkEnd w:id="74"/>
    </w:p>
    <w:p w14:paraId="21899C31">
      <w:pPr>
        <w:pStyle w:val="115"/>
        <w:widowControl/>
        <w:spacing w:before="0" w:after="0" w:line="348" w:lineRule="exact"/>
        <w:ind w:firstLine="480"/>
        <w:jc w:val="both"/>
      </w:pPr>
      <w:r>
        <w:rPr>
          <w:rFonts w:ascii="Times New Roman" w:hAnsi="Times New Roman" w:eastAsia="方正仿宋_GBK"/>
          <w:b w:val="0"/>
          <w:sz w:val="24"/>
        </w:rPr>
        <w:t>评价期费用比选在满足技术约束的可行配置中进行。主变增容、储能配置和10 kV联络采用同一评价期，建设投资、运维和设备更新按投运年份折现，设备状态与站间负荷转接共同进入规划期优化。</w:t>
      </w:r>
    </w:p>
    <w:p w14:paraId="5D40AB64">
      <w:pPr>
        <w:pStyle w:val="2"/>
        <w:widowControl/>
        <w:spacing w:before="0" w:after="0" w:line="348" w:lineRule="exact"/>
        <w:ind w:firstLine="480"/>
        <w:jc w:val="both"/>
      </w:pPr>
      <w:r>
        <w:rPr>
          <w:rFonts w:ascii="Times New Roman" w:hAnsi="Times New Roman" w:eastAsia="方正仿宋_GBK"/>
          <w:b w:val="0"/>
          <w:sz w:val="24"/>
        </w:rPr>
        <w:t>刚性与弹性方案采用相同的初始资产、负荷情景和措施集合，分别满足各自容载比范围。比较结果同时列示设备配置、负荷转接与费用，使推荐容载比能够对应到具体建设方案。</w:t>
      </w:r>
    </w:p>
    <w:p w14:paraId="7B7A3962">
      <w:pPr>
        <w:pStyle w:val="2"/>
        <w:widowControl/>
        <w:spacing w:before="0" w:after="0" w:line="348" w:lineRule="exact"/>
        <w:ind w:firstLine="480"/>
        <w:jc w:val="both"/>
      </w:pPr>
      <w:r>
        <w:rPr>
          <w:rFonts w:ascii="Times New Roman" w:hAnsi="Times New Roman" w:eastAsia="方正仿宋_GBK"/>
          <w:b w:val="0"/>
          <w:sz w:val="24"/>
        </w:rPr>
        <w:t>费用目标附近可能存在多组可行配置，因此每个费用结果均与其对应的设备和联络项目共同列示。</w:t>
      </w:r>
    </w:p>
    <w:p w14:paraId="3892DD44">
      <w:pPr>
        <w:pStyle w:val="5"/>
        <w:keepNext/>
        <w:numPr>
          <w:ilvl w:val="0"/>
          <w:numId w:val="0"/>
        </w:numPr>
        <w:spacing w:before="160" w:after="120" w:line="390" w:lineRule="exact"/>
        <w:ind w:firstLine="0"/>
      </w:pPr>
      <w:bookmarkStart w:id="75" w:name="参数矩阵的适用范围"/>
      <w:r>
        <w:rPr>
          <w:rFonts w:ascii="Times New Roman" w:hAnsi="Times New Roman" w:eastAsia="方正仿宋_GBK"/>
          <w:b/>
          <w:sz w:val="26"/>
        </w:rPr>
        <w:t>2.7.3 参数矩阵的适用范围</w:t>
      </w:r>
      <w:bookmarkEnd w:id="75"/>
    </w:p>
    <w:p w14:paraId="57B9D80B">
      <w:pPr>
        <w:pStyle w:val="115"/>
        <w:widowControl/>
        <w:spacing w:before="0" w:after="0" w:line="348" w:lineRule="exact"/>
        <w:ind w:firstLine="480"/>
        <w:jc w:val="both"/>
      </w:pPr>
      <w:r>
        <w:rPr>
          <w:rFonts w:ascii="Times New Roman" w:hAnsi="Times New Roman" w:eastAsia="方正仿宋_GBK"/>
          <w:b w:val="0"/>
          <w:sz w:val="24"/>
        </w:rPr>
        <w:t>连续参数变化与主变规格、台数及工程项目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14:paraId="656BD4D9">
      <w:pPr>
        <w:pStyle w:val="2"/>
        <w:widowControl/>
        <w:spacing w:before="0" w:after="0" w:line="348" w:lineRule="exact"/>
        <w:ind w:firstLine="480"/>
        <w:jc w:val="both"/>
      </w:pPr>
      <w:r>
        <w:rPr>
          <w:rFonts w:ascii="Times New Roman" w:hAnsi="Times New Roman" w:eastAsia="方正仿宋_GBK"/>
          <w:b w:val="0"/>
          <w:sz w:val="24"/>
        </w:rPr>
        <w:t>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14:paraId="1B643203">
      <w:pPr>
        <w:pStyle w:val="2"/>
        <w:widowControl/>
        <w:spacing w:before="0" w:after="0" w:line="348" w:lineRule="exact"/>
        <w:ind w:firstLine="480"/>
        <w:jc w:val="both"/>
      </w:pPr>
      <w:r>
        <w:rPr>
          <w:rFonts w:ascii="Times New Roman" w:hAnsi="Times New Roman" w:eastAsia="方正仿宋_GBK"/>
          <w:b w:val="0"/>
          <w:sz w:val="24"/>
        </w:rPr>
        <w:t>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14:paraId="746E3DB1">
      <w:pPr>
        <w:pStyle w:val="2"/>
        <w:widowControl/>
        <w:spacing w:before="0" w:after="0" w:line="348" w:lineRule="exact"/>
        <w:ind w:firstLine="480"/>
        <w:jc w:val="both"/>
      </w:pPr>
      <w:r>
        <w:rPr>
          <w:rFonts w:ascii="Times New Roman" w:hAnsi="Times New Roman" w:eastAsia="方正仿宋_GBK"/>
          <w:b w:val="0"/>
          <w:sz w:val="24"/>
        </w:rPr>
        <w:t>分区矩阵将多个参数节点压缩为可阅读的推荐区间，受控序列则保留设备发生变化的位置，两者共同使用能够解释区间来源。矩阵适合回答某类条件下已得到哪些容量范围，完整序列适合回答参数改变后由哪项措施替代哪项措施。出现容量平台时，继续核对储能、联络和费用，可以识别设备规格保持而工程支出改变的情况。主变规格及台数选择与网络协同规划均表明，设备与投资需要随推荐值共同分析[9,11]。</w:t>
      </w:r>
    </w:p>
    <w:p w14:paraId="51C1D098">
      <w:pPr>
        <w:pStyle w:val="2"/>
        <w:widowControl/>
        <w:spacing w:before="0" w:after="0" w:line="348" w:lineRule="exact"/>
        <w:ind w:firstLine="480"/>
        <w:jc w:val="both"/>
      </w:pPr>
      <w:r>
        <w:rPr>
          <w:rFonts w:ascii="Times New Roman" w:hAnsi="Times New Roman" w:eastAsia="方正仿宋_GBK"/>
          <w:b w:val="0"/>
          <w:sz w:val="24"/>
        </w:rPr>
        <w:t>用于解释参数作用的示例应具有完整可比条件。首先检查相应参数的全部有效节点，再选择能表现设备切换或容量比值变化的序列，固定其余输入并交代适用场景。对于仅费用变化的相邻节点，可以合并列示固定配置及费用范围。这样既保留真实平台，也将正文分析集中到能够说明规划机制的变化位置。第五章据此选取电缆占比与负荷分散系数的响应场景，并在分区矩阵中保留五项参数的分类。</w:t>
      </w:r>
    </w:p>
    <w:p w14:paraId="4A883480">
      <w:pPr>
        <w:pStyle w:val="4"/>
        <w:keepNext/>
        <w:numPr>
          <w:ilvl w:val="0"/>
          <w:numId w:val="0"/>
        </w:numPr>
        <w:spacing w:before="160" w:after="120" w:line="480" w:lineRule="exact"/>
        <w:ind w:firstLine="0"/>
      </w:pPr>
      <w:bookmarkStart w:id="306" w:name="Report1017_h273"/>
      <w:bookmarkEnd w:id="306"/>
      <w:bookmarkStart w:id="76" w:name="h273"/>
      <w:bookmarkStart w:id="77" w:name="本项目方法选择与工程衔接"/>
      <w:r>
        <w:rPr>
          <w:rFonts w:ascii="Times New Roman" w:hAnsi="Times New Roman" w:eastAsia="方正仿宋_GBK"/>
          <w:b/>
          <w:sz w:val="32"/>
        </w:rPr>
        <w:t>2.8 本项目方法选择与工程衔接</w:t>
      </w:r>
      <w:bookmarkEnd w:id="76"/>
      <w:bookmarkEnd w:id="77"/>
    </w:p>
    <w:p w14:paraId="4F9242C2">
      <w:pPr>
        <w:pStyle w:val="5"/>
        <w:keepNext/>
        <w:numPr>
          <w:ilvl w:val="0"/>
          <w:numId w:val="0"/>
        </w:numPr>
        <w:spacing w:before="160" w:after="120" w:line="390" w:lineRule="exact"/>
        <w:ind w:firstLine="0"/>
      </w:pPr>
      <w:bookmarkStart w:id="78" w:name="运行特征与技术约束"/>
      <w:r>
        <w:rPr>
          <w:rFonts w:ascii="Times New Roman" w:hAnsi="Times New Roman" w:eastAsia="方正仿宋_GBK"/>
          <w:b/>
          <w:sz w:val="26"/>
        </w:rPr>
        <w:t>2.8.1 运行特征与技术约束</w:t>
      </w:r>
      <w:bookmarkEnd w:id="78"/>
    </w:p>
    <w:p w14:paraId="78F2FD20">
      <w:pPr>
        <w:pStyle w:val="115"/>
        <w:widowControl/>
        <w:spacing w:before="0" w:after="0" w:line="348" w:lineRule="exact"/>
        <w:ind w:firstLine="480"/>
        <w:jc w:val="both"/>
      </w:pPr>
      <w:r>
        <w:rPr>
          <w:rFonts w:ascii="Times New Roman" w:hAnsi="Times New Roman" w:eastAsia="方正仿宋_GBK"/>
          <w:b w:val="0"/>
          <w:sz w:val="24"/>
        </w:rPr>
        <w:t xml:space="preserve">负荷与光伏研究强调日内、季节和空间分布[3,58]；供电能力研究强调主变结构及下级网络互济[7,48]。本项目据此分别提取最大正向、反向净负荷及95%峰值持续时间，构造正常运行和主变N-1容量约束。</w:t>
      </w:r>
      <w:r>
        <w:rPr>
          <w:rFonts w:ascii="Times New Roman" w:hAnsi="Times New Roman" w:eastAsia="方正仿宋_GBK"/>
          <w:b w:val="0"/>
          <w:sz w:val="24"/>
        </w:rPr>
        <w:t xml:space="preserve">地区案例按源荷区段同时切换用电负荷与区段内光伏，</w:t>
      </w:r>
      <w:r>
        <w:rPr>
          <w:rFonts w:ascii="Times New Roman" w:hAnsi="Times New Roman" w:eastAsia="方正仿宋_GBK"/>
          <w:b w:val="0"/>
          <w:sz w:val="24"/>
        </w:rPr>
        <w:t xml:space="preserve">保持区县</w:t>
      </w:r>
      <w:r>
        <w:rPr>
          <w:rFonts w:ascii="Times New Roman" w:hAnsi="Times New Roman" w:eastAsia="方正仿宋_GBK"/>
          <w:b w:val="0"/>
          <w:sz w:val="24"/>
        </w:rPr>
        <w:t xml:space="preserve">源</w:t>
      </w:r>
      <w:r>
        <w:rPr>
          <w:rFonts w:ascii="Times New Roman" w:hAnsi="Times New Roman" w:eastAsia="方正仿宋_GBK"/>
          <w:b w:val="0"/>
          <w:sz w:val="24"/>
        </w:rPr>
        <w:t xml:space="preserve">荷总量</w:t>
      </w:r>
      <w:r>
        <w:rPr>
          <w:rFonts w:ascii="Times New Roman" w:hAnsi="Times New Roman" w:eastAsia="方正仿宋_GBK"/>
          <w:b w:val="0"/>
          <w:sz w:val="24"/>
        </w:rPr>
        <w:t xml:space="preserve">；年度正常供区及事故追加预案分别固定</w:t>
      </w:r>
      <w:r>
        <w:rPr>
          <w:rFonts w:ascii="Times New Roman" w:hAnsi="Times New Roman" w:eastAsia="方正仿宋_GBK"/>
          <w:b w:val="0"/>
          <w:sz w:val="24"/>
        </w:rPr>
        <w:t xml:space="preserve">，</w:t>
      </w:r>
      <w:r>
        <w:rPr>
          <w:rFonts w:ascii="Times New Roman" w:hAnsi="Times New Roman" w:eastAsia="方正仿宋_GBK"/>
          <w:b w:val="0"/>
          <w:sz w:val="24"/>
        </w:rPr>
        <w:t xml:space="preserve">正</w:t>
      </w:r>
      <w:r>
        <w:rPr>
          <w:rFonts w:ascii="Times New Roman" w:hAnsi="Times New Roman" w:eastAsia="方正仿宋_GBK"/>
          <w:b w:val="0"/>
          <w:sz w:val="24"/>
        </w:rPr>
        <w:t xml:space="preserve">反向</w:t>
      </w:r>
      <w:r>
        <w:rPr>
          <w:rFonts w:ascii="Times New Roman" w:hAnsi="Times New Roman" w:eastAsia="方正仿宋_GBK"/>
          <w:b w:val="0"/>
          <w:sz w:val="24"/>
        </w:rPr>
        <w:t xml:space="preserve">容量</w:t>
      </w:r>
      <w:r>
        <w:rPr>
          <w:rFonts w:ascii="Times New Roman" w:hAnsi="Times New Roman" w:eastAsia="方正仿宋_GBK"/>
          <w:b w:val="0"/>
          <w:sz w:val="24"/>
        </w:rPr>
        <w:t xml:space="preserve">同步校核。</w:t>
      </w:r>
    </w:p>
    <w:p w14:paraId="04DF181E">
      <w:pPr>
        <w:pStyle w:val="5"/>
        <w:keepNext/>
        <w:numPr>
          <w:ilvl w:val="0"/>
          <w:numId w:val="0"/>
        </w:numPr>
        <w:spacing w:before="160" w:after="120" w:line="390" w:lineRule="exact"/>
        <w:ind w:firstLine="0"/>
      </w:pPr>
      <w:bookmarkStart w:id="79" w:name="工程配置与费用寻优"/>
      <w:r>
        <w:rPr>
          <w:rFonts w:ascii="Times New Roman" w:hAnsi="Times New Roman" w:eastAsia="方正仿宋_GBK"/>
          <w:b/>
          <w:sz w:val="26"/>
        </w:rPr>
        <w:t>2.8.2 工程配置与费用寻优</w:t>
      </w:r>
      <w:bookmarkEnd w:id="79"/>
    </w:p>
    <w:p w14:paraId="5BA83100">
      <w:pPr>
        <w:pStyle w:val="115"/>
        <w:widowControl/>
        <w:spacing w:before="0" w:after="0" w:line="348" w:lineRule="exact"/>
        <w:ind w:firstLine="480"/>
        <w:jc w:val="both"/>
      </w:pPr>
      <w:r>
        <w:rPr>
          <w:rFonts w:ascii="Times New Roman" w:hAnsi="Times New Roman" w:eastAsia="方正仿宋_GBK"/>
          <w:b w:val="0"/>
          <w:sz w:val="24"/>
        </w:rPr>
        <w:t xml:space="preserve">主变按额定容量整台选配，扩建位置和联络项目按是否建设选择，储能按整数柜配置，</w:t>
      </w:r>
      <w:r>
        <w:rPr>
          <w:rFonts w:ascii="Times New Roman" w:hAnsi="Times New Roman" w:eastAsia="方正仿宋_GBK"/>
          <w:b w:val="0"/>
          <w:sz w:val="24"/>
        </w:rPr>
        <w:t xml:space="preserve">源荷区段按整数切换，</w:t>
      </w:r>
      <w:r>
        <w:rPr>
          <w:rFonts w:ascii="Times New Roman" w:hAnsi="Times New Roman" w:eastAsia="方正仿宋_GBK"/>
          <w:b w:val="0"/>
          <w:sz w:val="24"/>
        </w:rPr>
        <w:t xml:space="preserve">转接功率</w:t>
      </w:r>
      <w:r>
        <w:rPr>
          <w:rFonts w:ascii="Times New Roman" w:hAnsi="Times New Roman" w:eastAsia="方正仿宋_GBK"/>
          <w:b w:val="0"/>
          <w:sz w:val="24"/>
        </w:rPr>
        <w:t xml:space="preserve">随同期源荷变化</w:t>
      </w:r>
      <w:r>
        <w:rPr>
          <w:rFonts w:ascii="Times New Roman" w:hAnsi="Times New Roman" w:eastAsia="方正仿宋_GBK"/>
          <w:b w:val="0"/>
          <w:sz w:val="24"/>
        </w:rPr>
        <w:t xml:space="preserve">，采用混合整数线性规划共同求解。工程费用按购置批次和投运年份形成现金流，以建设、固定运维与寿命更新的现值之和比较方案[9,10,11,13,14]。同一区县刚性、弹性方案使用相同仿真起点和措施集合，全部配置满足当年技术约束。</w:t>
      </w:r>
    </w:p>
    <w:p w14:paraId="50E3FAEB">
      <w:pPr>
        <w:pStyle w:val="5"/>
        <w:keepNext/>
        <w:numPr>
          <w:ilvl w:val="0"/>
          <w:numId w:val="0"/>
        </w:numPr>
        <w:spacing w:before="160" w:after="120" w:line="390" w:lineRule="exact"/>
        <w:ind w:firstLine="0"/>
      </w:pPr>
      <w:bookmarkStart w:id="80" w:name="案例分析与通用矩阵"/>
      <w:r>
        <w:rPr>
          <w:rFonts w:ascii="Times New Roman" w:hAnsi="Times New Roman" w:eastAsia="方正仿宋_GBK"/>
          <w:b/>
          <w:sz w:val="26"/>
        </w:rPr>
        <w:t>2.8.3 案例分析与通用矩阵</w:t>
      </w:r>
      <w:bookmarkEnd w:id="80"/>
    </w:p>
    <w:p w14:paraId="6D3557B6">
      <w:pPr>
        <w:pStyle w:val="115"/>
        <w:widowControl/>
        <w:spacing w:before="0" w:after="0" w:line="348" w:lineRule="exact"/>
        <w:ind w:firstLine="480"/>
        <w:jc w:val="both"/>
      </w:pPr>
      <w:r>
        <w:rPr>
          <w:rFonts w:ascii="Times New Roman" w:hAnsi="Times New Roman" w:eastAsia="方正仿宋_GBK"/>
          <w:b w:val="0"/>
          <w:sz w:val="24"/>
        </w:rPr>
        <w:t xml:space="preserve">案例</w:t>
      </w:r>
      <w:r>
        <w:rPr>
          <w:rFonts w:ascii="Times New Roman" w:hAnsi="Times New Roman" w:eastAsia="方正仿宋_GBK"/>
          <w:b w:val="0"/>
          <w:sz w:val="24"/>
        </w:rPr>
        <w:t xml:space="preserve">以2021</w:t>
      </w:r>
      <w:r>
        <w:rPr>
          <w:rFonts w:ascii="Times New Roman" w:hAnsi="Times New Roman" w:eastAsia="方正仿宋_GBK"/>
          <w:b w:val="0"/>
          <w:sz w:val="24"/>
        </w:rPr>
        <w:t xml:space="preserve">年</w:t>
      </w:r>
      <w:r>
        <w:rPr>
          <w:rFonts w:ascii="Times New Roman" w:hAnsi="Times New Roman" w:eastAsia="方正仿宋_GBK"/>
          <w:b w:val="0"/>
          <w:sz w:val="24"/>
        </w:rPr>
        <w:t xml:space="preserve">实际地区容量为共同起点，2022—2035年承接上年在役</w:t>
      </w:r>
      <w:r>
        <w:rPr>
          <w:rFonts w:ascii="Times New Roman" w:hAnsi="Times New Roman" w:eastAsia="方正仿宋_GBK"/>
          <w:b w:val="0"/>
          <w:sz w:val="24"/>
        </w:rPr>
        <w:t xml:space="preserve">设备</w:t>
      </w:r>
      <w:r>
        <w:rPr>
          <w:rFonts w:ascii="Times New Roman" w:hAnsi="Times New Roman" w:eastAsia="方正仿宋_GBK"/>
          <w:b w:val="0"/>
          <w:sz w:val="24"/>
        </w:rPr>
        <w:t xml:space="preserve">逐年比选</w:t>
      </w:r>
      <w:r>
        <w:rPr>
          <w:rFonts w:ascii="Times New Roman" w:hAnsi="Times New Roman" w:eastAsia="方正仿宋_GBK"/>
          <w:b w:val="0"/>
          <w:sz w:val="24"/>
        </w:rPr>
        <w:t xml:space="preserve">，</w:t>
      </w:r>
      <w:r>
        <w:rPr>
          <w:rFonts w:ascii="Times New Roman" w:hAnsi="Times New Roman" w:eastAsia="方正仿宋_GBK"/>
          <w:b w:val="0"/>
          <w:sz w:val="24"/>
        </w:rPr>
        <w:t xml:space="preserve">历史阶段</w:t>
      </w:r>
      <w:r>
        <w:rPr>
          <w:rFonts w:ascii="Times New Roman" w:hAnsi="Times New Roman" w:eastAsia="方正仿宋_GBK"/>
          <w:b w:val="0"/>
          <w:sz w:val="24"/>
        </w:rPr>
        <w:t xml:space="preserve">保留实际年度负荷变化</w:t>
      </w:r>
      <w:r>
        <w:rPr>
          <w:rFonts w:ascii="Times New Roman" w:hAnsi="Times New Roman" w:eastAsia="方正仿宋_GBK"/>
          <w:b w:val="0"/>
          <w:sz w:val="24"/>
        </w:rPr>
        <w:t xml:space="preserve">，未来阶段采用区域预测比例缩放源荷</w:t>
      </w:r>
      <w:r>
        <w:rPr>
          <w:rFonts w:ascii="Times New Roman" w:hAnsi="Times New Roman" w:eastAsia="方正仿宋_GBK"/>
          <w:b w:val="0"/>
          <w:sz w:val="24"/>
        </w:rPr>
        <w:t xml:space="preserve">。通用模板通过参数情景的相关强度和信息重叠分析确定五项推广参数，再选取转供各档均有区间响应的典型源荷条件，归纳容量推荐范围。主变、储能与联络按统一工程价格和设备候选进行费用比选。</w:t>
      </w:r>
    </w:p>
    <w:p w14:paraId="03BBE0BD">
      <w:pPr>
        <w:pStyle w:val="5"/>
        <w:keepNext/>
        <w:numPr>
          <w:ilvl w:val="0"/>
          <w:numId w:val="0"/>
        </w:numPr>
        <w:spacing w:before="160" w:after="120" w:line="390" w:lineRule="exact"/>
        <w:ind w:firstLine="0"/>
      </w:pPr>
      <w:bookmarkStart w:id="81" w:name="运行指标的统计范围与联合解释"/>
      <w:r>
        <w:rPr>
          <w:rFonts w:ascii="Times New Roman" w:hAnsi="Times New Roman" w:eastAsia="方正仿宋_GBK"/>
          <w:b/>
          <w:sz w:val="26"/>
        </w:rPr>
        <w:t>2.8.4 运行指标的统计范围与联合解释</w:t>
      </w:r>
      <w:bookmarkEnd w:id="81"/>
    </w:p>
    <w:p w14:paraId="6C6BC43E">
      <w:pPr>
        <w:pStyle w:val="115"/>
        <w:widowControl/>
        <w:spacing w:before="0" w:after="0" w:line="348" w:lineRule="exact"/>
        <w:ind w:firstLine="480"/>
        <w:jc w:val="both"/>
      </w:pPr>
      <w:r>
        <w:rPr>
          <w:rFonts w:ascii="Times New Roman" w:hAnsi="Times New Roman" w:eastAsia="方正仿宋_GBK"/>
          <w:b w:val="0"/>
          <w:sz w:val="24"/>
        </w:rPr>
        <w:t>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[5,7]。</w:t>
      </w:r>
    </w:p>
    <w:p w14:paraId="0E21CB05">
      <w:pPr>
        <w:pStyle w:val="2"/>
        <w:widowControl/>
        <w:spacing w:before="0" w:after="0" w:line="348" w:lineRule="exact"/>
        <w:ind w:firstLine="480"/>
        <w:jc w:val="both"/>
      </w:pPr>
      <w:r>
        <w:rPr>
          <w:rFonts w:ascii="Times New Roman" w:hAnsi="Times New Roman" w:eastAsia="方正仿宋_GBK"/>
          <w:b w:val="0"/>
          <w:sz w:val="24"/>
        </w:rPr>
        <w:t>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[20]。</w:t>
      </w:r>
    </w:p>
    <w:p w14:paraId="31BEC8D1">
      <w:pPr>
        <w:pStyle w:val="2"/>
        <w:widowControl/>
        <w:spacing w:before="0" w:after="0" w:line="348" w:lineRule="exact"/>
        <w:ind w:firstLine="480"/>
        <w:jc w:val="both"/>
      </w:pPr>
      <w:r>
        <w:rPr>
          <w:rFonts w:ascii="Times New Roman" w:hAnsi="Times New Roman" w:eastAsia="方正仿宋_GBK"/>
          <w:b w:val="0"/>
          <w:sz w:val="24"/>
        </w:rPr>
        <w:t>分布式电源装机渗透率和分布式电源电量渗透率的分子、分母分别对应容量和电量。前者将分布式电源装机与用户最大负荷比较，后者将发电量与用户用电量比较[8]。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14:paraId="1A254DB9">
      <w:pPr>
        <w:pStyle w:val="2"/>
        <w:widowControl/>
        <w:spacing w:before="0" w:after="0" w:line="348" w:lineRule="exact"/>
        <w:ind w:firstLine="480"/>
        <w:jc w:val="both"/>
      </w:pPr>
      <w:r>
        <w:rPr>
          <w:rFonts w:ascii="Times New Roman" w:hAnsi="Times New Roman" w:eastAsia="方正仿宋_GBK"/>
          <w:b w:val="0"/>
          <w:sz w:val="24"/>
        </w:rPr>
        <w:t>净负荷的正反向符号需要在功率统计中保持。正向值表示从高电压等级流向低电压等级，反向值表示低电压等级向高电压等级输送[8]。当分析设备容量压力时，可以比较两个方向的峰值幅度；当分析电量时，则需要保留符号积分。</w:t>
      </w:r>
    </w:p>
    <w:p w14:paraId="15BAD25B">
      <w:pPr>
        <w:pStyle w:val="2"/>
        <w:widowControl/>
        <w:spacing w:before="0" w:after="0" w:line="348" w:lineRule="exact"/>
        <w:ind w:firstLine="480"/>
        <w:jc w:val="both"/>
      </w:pPr>
      <w:r>
        <w:rPr>
          <w:rFonts w:ascii="Times New Roman" w:hAnsi="Times New Roman" w:eastAsia="方正仿宋_GBK"/>
          <w:b w:val="0"/>
          <w:sz w:val="24"/>
        </w:rPr>
        <w:t>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14:paraId="09797E5C">
      <w:pPr>
        <w:pStyle w:val="2"/>
        <w:widowControl/>
        <w:spacing w:before="0" w:after="0" w:line="348" w:lineRule="exact"/>
        <w:ind w:firstLine="480"/>
        <w:jc w:val="both"/>
      </w:pPr>
      <w:r>
        <w:rPr>
          <w:rFonts w:ascii="Times New Roman" w:hAnsi="Times New Roman" w:eastAsia="方正仿宋_GBK"/>
          <w:b w:val="0"/>
          <w:sz w:val="24"/>
        </w:rPr>
        <w:t>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14:paraId="5D4067DD">
      <w:pPr>
        <w:pStyle w:val="5"/>
        <w:keepNext/>
        <w:numPr>
          <w:ilvl w:val="0"/>
          <w:numId w:val="0"/>
        </w:numPr>
        <w:spacing w:before="160" w:after="120" w:line="390" w:lineRule="exact"/>
        <w:ind w:firstLine="0"/>
      </w:pPr>
      <w:bookmarkStart w:id="82" w:name="参数分档与文献方法的衔接"/>
      <w:r>
        <w:rPr>
          <w:rFonts w:ascii="Times New Roman" w:hAnsi="Times New Roman" w:eastAsia="方正仿宋_GBK"/>
          <w:b/>
          <w:sz w:val="26"/>
        </w:rPr>
        <w:t>2.8.5 参数分档与文献方法的衔接</w:t>
      </w:r>
      <w:bookmarkEnd w:id="82"/>
    </w:p>
    <w:p w14:paraId="66172A1E">
      <w:pPr>
        <w:pStyle w:val="115"/>
        <w:widowControl/>
        <w:spacing w:before="0" w:after="0" w:line="348" w:lineRule="exact"/>
        <w:ind w:firstLine="480"/>
        <w:jc w:val="both"/>
      </w:pPr>
      <w:r>
        <w:rPr>
          <w:rFonts w:ascii="Times New Roman" w:hAnsi="Times New Roman" w:eastAsia="方正仿宋_GBK"/>
          <w:b w:val="0"/>
          <w:sz w:val="24"/>
        </w:rPr>
        <w:t>王凯亮等按负荷密度与增长水平给出差异化容载比建议[9]，刘炜彬等从负荷分散系数、安全运行及发展储备等因素分析参数取值[20]。这些研究强调容量储备与地区条件的对应关系。本报告采用分布式电源装机渗透率、年最大净负荷平均增长率、电缆长度占比、初始转供率及负荷分散系数五项参数组织矩阵，供电区域类别及设备条件用于解释应用范围。</w:t>
      </w:r>
    </w:p>
    <w:p w14:paraId="7D9AF2E3">
      <w:pPr>
        <w:pStyle w:val="2"/>
        <w:widowControl/>
        <w:spacing w:before="0" w:after="0" w:line="348" w:lineRule="exact"/>
        <w:ind w:firstLine="480"/>
        <w:jc w:val="both"/>
      </w:pPr>
      <w:r>
        <w:rPr>
          <w:rFonts w:ascii="Times New Roman" w:hAnsi="Times New Roman" w:eastAsia="方正仿宋_GBK"/>
          <w:b w:val="0"/>
          <w:sz w:val="24"/>
        </w:rPr>
        <w:t>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14:paraId="3A14CF0C">
      <w:pPr>
        <w:pStyle w:val="2"/>
        <w:widowControl/>
        <w:spacing w:before="0" w:after="0" w:line="348" w:lineRule="exact"/>
        <w:ind w:firstLine="480"/>
        <w:jc w:val="both"/>
      </w:pPr>
      <w:r>
        <w:rPr>
          <w:rFonts w:ascii="Times New Roman" w:hAnsi="Times New Roman" w:eastAsia="方正仿宋_GBK"/>
          <w:b w:val="0"/>
          <w:sz w:val="24"/>
        </w:rPr>
        <w:t>各单元的容载比范围由已核验配置归纳，具体取值对应允许主变规格和台数形成的具体配置。规划应用先核对输入与模板条件，再将容量规模落实到设备、联络及储能方案[9,11]。</w:t>
      </w:r>
    </w:p>
    <w:p w14:paraId="3848D0A4">
      <w:pPr>
        <w:pStyle w:val="2"/>
        <w:widowControl/>
        <w:spacing w:before="0" w:after="0" w:line="348" w:lineRule="exact"/>
        <w:ind w:firstLine="480"/>
        <w:jc w:val="both"/>
      </w:pPr>
      <w:r>
        <w:rPr>
          <w:rFonts w:ascii="Times New Roman" w:hAnsi="Times New Roman" w:eastAsia="方正仿宋_GBK"/>
          <w:b w:val="0"/>
          <w:sz w:val="24"/>
        </w:rPr>
        <w:t>五项参数还可以按作用环节与文献方法逐项对应。源荷参数决定正反向任务，负荷空间特征影响局部高峰，网络参数分别描述既有支援和新建线路的费用条件。相关分析用于判断这些信息在所设情景中的代表性，工程解释则需要落实到每项参数进入模型的位置。</w:t>
      </w:r>
    </w:p>
    <w:p w14:paraId="5DB51D4C">
      <w:pPr>
        <w:pStyle w:val="2"/>
        <w:keepNext/>
        <w:spacing w:before="120" w:after="80" w:line="280" w:lineRule="exact"/>
        <w:ind w:firstLine="0"/>
        <w:jc w:val="center"/>
      </w:pPr>
      <w:r>
        <w:rPr>
          <w:rFonts w:ascii="Times New Roman" w:hAnsi="Times New Roman" w:eastAsia="宋体"/>
          <w:b w:val="0"/>
          <w:sz w:val="21"/>
        </w:rPr>
        <w:t>表2-3 五项推广参数的文献联系与工程作用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3F11EB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71464DD3">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2078" w:type="dxa"/>
            <w:tcMar>
              <w:left w:w="70" w:type="dxa"/>
              <w:right w:w="70" w:type="dxa"/>
            </w:tcMar>
            <w:vAlign w:val="center"/>
          </w:tcPr>
          <w:p w14:paraId="704A655A">
            <w:pPr>
              <w:keepNext/>
              <w:spacing w:before="20" w:after="20" w:line="260" w:lineRule="exact"/>
              <w:ind w:left="0" w:leftChars="0" w:right="0" w:rightChars="0" w:firstLine="0" w:firstLineChars="0"/>
              <w:jc w:val="center"/>
            </w:pPr>
            <w:r>
              <w:rPr>
                <w:rFonts w:ascii="Times New Roman" w:hAnsi="Times New Roman" w:eastAsia="宋体"/>
                <w:b/>
                <w:sz w:val="18"/>
              </w:rPr>
              <w:t>文献依据及相关关系</w:t>
            </w:r>
          </w:p>
        </w:tc>
        <w:tc>
          <w:tcPr>
            <w:tcW w:w="2078" w:type="dxa"/>
            <w:tcMar>
              <w:left w:w="70" w:type="dxa"/>
              <w:right w:w="70" w:type="dxa"/>
            </w:tcMar>
            <w:vAlign w:val="center"/>
          </w:tcPr>
          <w:p w14:paraId="2D42B5B1">
            <w:pPr>
              <w:keepNext/>
              <w:spacing w:before="20" w:after="20" w:line="260" w:lineRule="exact"/>
              <w:ind w:left="0" w:leftChars="0" w:right="0" w:rightChars="0" w:firstLine="0" w:firstLineChars="0"/>
              <w:jc w:val="center"/>
            </w:pPr>
            <w:r>
              <w:rPr>
                <w:rFonts w:ascii="Times New Roman" w:hAnsi="Times New Roman" w:eastAsia="宋体"/>
                <w:b/>
                <w:sz w:val="18"/>
              </w:rPr>
              <w:t>进入容量比选的方式</w:t>
            </w:r>
          </w:p>
        </w:tc>
        <w:tc>
          <w:tcPr>
            <w:tcW w:w="2078" w:type="dxa"/>
            <w:tcMar>
              <w:left w:w="70" w:type="dxa"/>
              <w:right w:w="70" w:type="dxa"/>
            </w:tcMar>
            <w:vAlign w:val="center"/>
          </w:tcPr>
          <w:p w14:paraId="6452460E">
            <w:pPr>
              <w:keepNext/>
              <w:spacing w:before="20" w:after="20" w:line="260" w:lineRule="exact"/>
              <w:ind w:left="0" w:leftChars="0" w:right="0" w:rightChars="0" w:firstLine="0" w:firstLineChars="0"/>
              <w:jc w:val="center"/>
            </w:pPr>
            <w:r>
              <w:rPr>
                <w:rFonts w:ascii="Times New Roman" w:hAnsi="Times New Roman" w:eastAsia="宋体"/>
                <w:b/>
                <w:sz w:val="18"/>
              </w:rPr>
              <w:t>完整序列重点观察</w:t>
            </w:r>
          </w:p>
        </w:tc>
      </w:tr>
      <w:tr w14:paraId="6F8154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DA42583">
            <w:pPr>
              <w:keepNext/>
              <w:spacing w:before="20" w:after="20" w:line="260" w:lineRule="exact"/>
              <w:ind w:left="0" w:leftChars="0" w:right="0" w:rightChars="0" w:firstLine="0" w:firstLineChars="0"/>
              <w:jc w:val="center"/>
            </w:pPr>
            <w:r>
              <w:rPr>
                <w:rFonts w:ascii="Times New Roman" w:hAnsi="Times New Roman" w:eastAsia="宋体"/>
                <w:b w:val="0"/>
                <w:sz w:val="18"/>
              </w:rPr>
              <w:t>装机渗透率</w:t>
            </w:r>
          </w:p>
        </w:tc>
        <w:tc>
          <w:tcPr>
            <w:tcW w:w="2078" w:type="dxa"/>
            <w:tcMar>
              <w:left w:w="70" w:type="dxa"/>
              <w:right w:w="70" w:type="dxa"/>
            </w:tcMar>
            <w:vAlign w:val="center"/>
          </w:tcPr>
          <w:p w14:paraId="6675BA0A">
            <w:pPr>
              <w:keepNext/>
              <w:spacing w:before="20" w:after="20" w:line="260" w:lineRule="exact"/>
              <w:ind w:left="0" w:leftChars="0" w:right="0" w:rightChars="0" w:firstLine="0" w:firstLineChars="0"/>
              <w:jc w:val="center"/>
            </w:pPr>
            <w:r>
              <w:rPr>
                <w:rFonts w:ascii="Times New Roman" w:hAnsi="Times New Roman" w:eastAsia="宋体"/>
                <w:b w:val="0"/>
                <w:sz w:val="18"/>
              </w:rPr>
              <w:t>源荷时段关系及分层接纳能力[3,21]</w:t>
            </w:r>
          </w:p>
        </w:tc>
        <w:tc>
          <w:tcPr>
            <w:tcW w:w="2078" w:type="dxa"/>
            <w:tcMar>
              <w:left w:w="70" w:type="dxa"/>
              <w:right w:w="70" w:type="dxa"/>
            </w:tcMar>
            <w:vAlign w:val="center"/>
          </w:tcPr>
          <w:p w14:paraId="5F8F7C26">
            <w:pPr>
              <w:keepNext/>
              <w:spacing w:before="20" w:after="20" w:line="260" w:lineRule="exact"/>
              <w:ind w:left="0" w:leftChars="0" w:right="0" w:rightChars="0" w:firstLine="0" w:firstLineChars="0"/>
              <w:jc w:val="center"/>
            </w:pPr>
            <w:r>
              <w:rPr>
                <w:rFonts w:ascii="Times New Roman" w:hAnsi="Times New Roman" w:eastAsia="宋体"/>
                <w:b w:val="0"/>
                <w:sz w:val="18"/>
              </w:rPr>
              <w:t>光伏出力改变日间净负荷，形成相应反送任务</w:t>
            </w:r>
          </w:p>
        </w:tc>
        <w:tc>
          <w:tcPr>
            <w:tcW w:w="2078" w:type="dxa"/>
            <w:tcMar>
              <w:left w:w="70" w:type="dxa"/>
              <w:right w:w="70" w:type="dxa"/>
            </w:tcMar>
            <w:vAlign w:val="center"/>
          </w:tcPr>
          <w:p w14:paraId="21946DAA">
            <w:pPr>
              <w:keepNext/>
              <w:spacing w:before="20" w:after="20" w:line="260" w:lineRule="exact"/>
              <w:ind w:left="0" w:leftChars="0" w:right="0" w:rightChars="0" w:firstLine="0" w:firstLineChars="0"/>
              <w:jc w:val="center"/>
            </w:pPr>
            <w:r>
              <w:rPr>
                <w:rFonts w:ascii="Times New Roman" w:hAnsi="Times New Roman" w:eastAsia="宋体"/>
                <w:b w:val="0"/>
                <w:sz w:val="18"/>
              </w:rPr>
              <w:t>何时由原主变承担，何时新增主变或储能</w:t>
            </w:r>
          </w:p>
        </w:tc>
      </w:tr>
      <w:tr w14:paraId="3371C5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F2763E8">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078" w:type="dxa"/>
            <w:tcMar>
              <w:left w:w="70" w:type="dxa"/>
              <w:right w:w="70" w:type="dxa"/>
            </w:tcMar>
            <w:vAlign w:val="center"/>
          </w:tcPr>
          <w:p w14:paraId="3A4A95FD">
            <w:pPr>
              <w:keepNext/>
              <w:spacing w:before="20" w:after="20" w:line="260" w:lineRule="exact"/>
              <w:ind w:left="0" w:leftChars="0" w:right="0" w:rightChars="0" w:firstLine="0" w:firstLineChars="0"/>
              <w:jc w:val="center"/>
            </w:pPr>
            <w:r>
              <w:rPr>
                <w:rFonts w:ascii="Times New Roman" w:hAnsi="Times New Roman" w:eastAsia="宋体"/>
                <w:b w:val="0"/>
                <w:sz w:val="18"/>
              </w:rPr>
              <w:t>发展储备及多层级容量规划[9,20]</w:t>
            </w:r>
          </w:p>
        </w:tc>
        <w:tc>
          <w:tcPr>
            <w:tcW w:w="2078" w:type="dxa"/>
            <w:tcMar>
              <w:left w:w="70" w:type="dxa"/>
              <w:right w:w="70" w:type="dxa"/>
            </w:tcMar>
            <w:vAlign w:val="center"/>
          </w:tcPr>
          <w:p w14:paraId="0F7FE80A">
            <w:pPr>
              <w:keepNext/>
              <w:spacing w:before="20" w:after="20" w:line="260" w:lineRule="exact"/>
              <w:ind w:left="0" w:leftChars="0" w:right="0" w:rightChars="0" w:firstLine="0" w:firstLineChars="0"/>
              <w:jc w:val="center"/>
            </w:pPr>
            <w:r>
              <w:rPr>
                <w:rFonts w:ascii="Times New Roman" w:hAnsi="Times New Roman" w:eastAsia="宋体"/>
                <w:b w:val="0"/>
                <w:sz w:val="18"/>
              </w:rPr>
              <w:t>改变比选时点负荷规模，同时影响容载比分母</w:t>
            </w:r>
          </w:p>
        </w:tc>
        <w:tc>
          <w:tcPr>
            <w:tcW w:w="2078" w:type="dxa"/>
            <w:tcMar>
              <w:left w:w="70" w:type="dxa"/>
              <w:right w:w="70" w:type="dxa"/>
            </w:tcMar>
            <w:vAlign w:val="center"/>
          </w:tcPr>
          <w:p w14:paraId="38964E0B">
            <w:pPr>
              <w:keepNext/>
              <w:spacing w:before="20" w:after="20" w:line="260" w:lineRule="exact"/>
              <w:ind w:left="0" w:leftChars="0" w:right="0" w:rightChars="0" w:firstLine="0" w:firstLineChars="0"/>
              <w:jc w:val="center"/>
            </w:pPr>
            <w:r>
              <w:rPr>
                <w:rFonts w:ascii="Times New Roman" w:hAnsi="Times New Roman" w:eastAsia="宋体"/>
                <w:b w:val="0"/>
                <w:sz w:val="18"/>
              </w:rPr>
              <w:t>固定容量下储备如何消耗，在哪个节点需要设备补强</w:t>
            </w:r>
          </w:p>
        </w:tc>
      </w:tr>
      <w:tr w14:paraId="6A08ED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6821A0">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078" w:type="dxa"/>
            <w:tcMar>
              <w:left w:w="70" w:type="dxa"/>
              <w:right w:w="70" w:type="dxa"/>
            </w:tcMar>
            <w:vAlign w:val="center"/>
          </w:tcPr>
          <w:p w14:paraId="790EB761">
            <w:pPr>
              <w:keepNext/>
              <w:spacing w:before="20" w:after="20" w:line="260" w:lineRule="exact"/>
              <w:ind w:left="0" w:leftChars="0" w:right="0" w:rightChars="0" w:firstLine="0" w:firstLineChars="0"/>
              <w:jc w:val="center"/>
            </w:pPr>
            <w:r>
              <w:rPr>
                <w:rFonts w:ascii="Times New Roman" w:hAnsi="Times New Roman" w:eastAsia="宋体"/>
                <w:b w:val="0"/>
                <w:sz w:val="18"/>
              </w:rPr>
              <w:t>不同10 kV线路形式的寿命费用比较[14]</w:t>
            </w:r>
          </w:p>
        </w:tc>
        <w:tc>
          <w:tcPr>
            <w:tcW w:w="2078" w:type="dxa"/>
            <w:tcMar>
              <w:left w:w="70" w:type="dxa"/>
              <w:right w:w="70" w:type="dxa"/>
            </w:tcMar>
            <w:vAlign w:val="center"/>
          </w:tcPr>
          <w:p w14:paraId="7B9260B1">
            <w:pPr>
              <w:keepNext/>
              <w:spacing w:before="20" w:after="20" w:line="260" w:lineRule="exact"/>
              <w:ind w:left="0" w:leftChars="0" w:right="0" w:rightChars="0" w:firstLine="0" w:firstLineChars="0"/>
              <w:jc w:val="center"/>
            </w:pPr>
            <w:r>
              <w:rPr>
                <w:rFonts w:ascii="Times New Roman" w:hAnsi="Times New Roman" w:eastAsia="宋体"/>
                <w:b w:val="0"/>
                <w:sz w:val="18"/>
              </w:rPr>
              <w:t>按敷设比例折算新建联络费用，单位通道能力保持</w:t>
            </w:r>
          </w:p>
        </w:tc>
        <w:tc>
          <w:tcPr>
            <w:tcW w:w="2078" w:type="dxa"/>
            <w:tcMar>
              <w:left w:w="70" w:type="dxa"/>
              <w:right w:w="70" w:type="dxa"/>
            </w:tcMar>
            <w:vAlign w:val="center"/>
          </w:tcPr>
          <w:p w14:paraId="407060FA">
            <w:pPr>
              <w:keepNext/>
              <w:spacing w:before="20" w:after="20" w:line="260" w:lineRule="exact"/>
              <w:ind w:left="0" w:leftChars="0" w:right="0" w:rightChars="0" w:firstLine="0" w:firstLineChars="0"/>
              <w:jc w:val="center"/>
            </w:pPr>
            <w:r>
              <w:rPr>
                <w:rFonts w:ascii="Times New Roman" w:hAnsi="Times New Roman" w:eastAsia="宋体"/>
                <w:b w:val="0"/>
                <w:sz w:val="18"/>
              </w:rPr>
              <w:t>联络造价何时触发主变、储能与线路组合切换</w:t>
            </w:r>
          </w:p>
        </w:tc>
      </w:tr>
      <w:tr w14:paraId="1EACFF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37051F6">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078" w:type="dxa"/>
            <w:tcMar>
              <w:left w:w="70" w:type="dxa"/>
              <w:right w:w="70" w:type="dxa"/>
            </w:tcMar>
            <w:vAlign w:val="center"/>
          </w:tcPr>
          <w:p w14:paraId="34D77E79">
            <w:pPr>
              <w:keepNext/>
              <w:spacing w:before="20" w:after="20" w:line="260" w:lineRule="exact"/>
              <w:ind w:left="0" w:leftChars="0" w:right="0" w:rightChars="0" w:firstLine="0" w:firstLineChars="0"/>
              <w:jc w:val="center"/>
            </w:pPr>
            <w:r>
              <w:rPr>
                <w:rFonts w:ascii="Times New Roman" w:hAnsi="Times New Roman" w:eastAsia="宋体"/>
                <w:b w:val="0"/>
                <w:sz w:val="18"/>
              </w:rPr>
              <w:t>站内、站间转带及下级网络供电能力[7]</w:t>
            </w:r>
          </w:p>
        </w:tc>
        <w:tc>
          <w:tcPr>
            <w:tcW w:w="2078" w:type="dxa"/>
            <w:tcMar>
              <w:left w:w="70" w:type="dxa"/>
              <w:right w:w="70" w:type="dxa"/>
            </w:tcMar>
            <w:vAlign w:val="center"/>
          </w:tcPr>
          <w:p w14:paraId="2C6D766D">
            <w:pPr>
              <w:keepNext/>
              <w:spacing w:before="20" w:after="20" w:line="260" w:lineRule="exact"/>
              <w:ind w:left="0" w:leftChars="0" w:right="0" w:rightChars="0" w:firstLine="0" w:firstLineChars="0"/>
              <w:jc w:val="center"/>
            </w:pPr>
            <w:r>
              <w:rPr>
                <w:rFonts w:ascii="Times New Roman" w:hAnsi="Times New Roman" w:eastAsia="宋体"/>
                <w:b w:val="0"/>
                <w:sz w:val="18"/>
              </w:rPr>
              <w:t>标定既有通道能力及接收余量，实际使用由两端约束决定</w:t>
            </w:r>
          </w:p>
        </w:tc>
        <w:tc>
          <w:tcPr>
            <w:tcW w:w="2078" w:type="dxa"/>
            <w:tcMar>
              <w:left w:w="70" w:type="dxa"/>
              <w:right w:w="70" w:type="dxa"/>
            </w:tcMar>
            <w:vAlign w:val="center"/>
          </w:tcPr>
          <w:p w14:paraId="53280558">
            <w:pPr>
              <w:keepNext/>
              <w:spacing w:before="20" w:after="20" w:line="260" w:lineRule="exact"/>
              <w:ind w:left="0" w:leftChars="0" w:right="0" w:rightChars="0" w:firstLine="0" w:firstLineChars="0"/>
              <w:jc w:val="center"/>
            </w:pPr>
            <w:r>
              <w:rPr>
                <w:rFonts w:ascii="Times New Roman" w:hAnsi="Times New Roman" w:eastAsia="宋体"/>
                <w:b w:val="0"/>
                <w:sz w:val="18"/>
              </w:rPr>
              <w:t>主变规模与新增联络如何随既有支援条件改变</w:t>
            </w:r>
          </w:p>
        </w:tc>
      </w:tr>
      <w:tr w14:paraId="021768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6EF88FE">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078" w:type="dxa"/>
            <w:tcMar>
              <w:left w:w="70" w:type="dxa"/>
              <w:right w:w="70" w:type="dxa"/>
            </w:tcMar>
            <w:vAlign w:val="center"/>
          </w:tcPr>
          <w:p w14:paraId="58CA05BE">
            <w:pPr>
              <w:keepNext w:val="0"/>
              <w:spacing w:before="20" w:after="20" w:line="260" w:lineRule="exact"/>
              <w:ind w:left="0" w:leftChars="0" w:right="0" w:rightChars="0" w:firstLine="0" w:firstLineChars="0"/>
              <w:jc w:val="center"/>
            </w:pPr>
            <w:r>
              <w:rPr>
                <w:rFonts w:ascii="Times New Roman" w:hAnsi="Times New Roman" w:eastAsia="宋体"/>
                <w:b w:val="0"/>
                <w:sz w:val="18"/>
              </w:rPr>
              <w:t>同时率、负荷构成及局部峰值差异[20]</w:t>
            </w:r>
          </w:p>
        </w:tc>
        <w:tc>
          <w:tcPr>
            <w:tcW w:w="2078" w:type="dxa"/>
            <w:tcMar>
              <w:left w:w="70" w:type="dxa"/>
              <w:right w:w="70" w:type="dxa"/>
            </w:tcMar>
            <w:vAlign w:val="center"/>
          </w:tcPr>
          <w:p w14:paraId="6AD2DC63">
            <w:pPr>
              <w:keepNext w:val="0"/>
              <w:spacing w:before="20" w:after="20" w:line="260" w:lineRule="exact"/>
              <w:ind w:left="0" w:leftChars="0" w:right="0" w:rightChars="0" w:firstLine="0" w:firstLineChars="0"/>
              <w:jc w:val="center"/>
            </w:pPr>
            <w:r>
              <w:rPr>
                <w:rFonts w:ascii="Times New Roman" w:hAnsi="Times New Roman" w:eastAsia="宋体"/>
                <w:b w:val="0"/>
                <w:sz w:val="18"/>
              </w:rPr>
              <w:t>构造站级局部高峰，保持相应工况区域负荷合计</w:t>
            </w:r>
          </w:p>
        </w:tc>
        <w:tc>
          <w:tcPr>
            <w:tcW w:w="2078" w:type="dxa"/>
            <w:tcMar>
              <w:left w:w="70" w:type="dxa"/>
              <w:right w:w="70" w:type="dxa"/>
            </w:tcMar>
            <w:vAlign w:val="center"/>
          </w:tcPr>
          <w:p w14:paraId="624FB458">
            <w:pPr>
              <w:keepNext w:val="0"/>
              <w:spacing w:before="20" w:after="20" w:line="260" w:lineRule="exact"/>
              <w:ind w:left="0" w:leftChars="0" w:right="0" w:rightChars="0" w:firstLine="0" w:firstLineChars="0"/>
              <w:jc w:val="center"/>
            </w:pPr>
            <w:r>
              <w:rPr>
                <w:rFonts w:ascii="Times New Roman" w:hAnsi="Times New Roman" w:eastAsia="宋体"/>
                <w:b w:val="0"/>
                <w:sz w:val="18"/>
              </w:rPr>
              <w:t>相同区域任务下站内容量和网络支援如何重新配置</w:t>
            </w:r>
          </w:p>
        </w:tc>
      </w:tr>
    </w:tbl>
    <w:p w14:paraId="19E34600">
      <w:pPr>
        <w:pStyle w:val="2"/>
        <w:widowControl/>
        <w:spacing w:before="0" w:after="0" w:line="348" w:lineRule="exact"/>
        <w:ind w:firstLine="480"/>
        <w:jc w:val="both"/>
      </w:pPr>
      <w:r>
        <w:rPr>
          <w:rFonts w:ascii="Times New Roman" w:hAnsi="Times New Roman" w:eastAsia="方正仿宋_GBK"/>
          <w:b w:val="0"/>
          <w:sz w:val="24"/>
        </w:rPr>
        <w:t xml:space="preserve">其中，</w:t>
      </w:r>
      <w:r>
        <w:rPr>
          <w:rFonts w:ascii="Times New Roman" w:hAnsi="Times New Roman" w:eastAsia="方正仿宋_GBK"/>
          <w:b w:val="0"/>
          <w:sz w:val="24"/>
        </w:rPr>
        <w:t xml:space="preserve">学者</w:t>
      </w:r>
      <w:r>
        <w:rPr>
          <w:rFonts w:ascii="Times New Roman" w:hAnsi="Times New Roman" w:eastAsia="方正仿宋_GBK"/>
          <w:b w:val="0"/>
          <w:sz w:val="24"/>
        </w:rPr>
        <w:t xml:space="preserve">Zhu</w:t>
      </w:r>
      <w:r>
        <w:rPr>
          <w:woUserID w:val="2"/>
        </w:rPr>
      </w:r>
      <w:r>
        <w:rPr>
          <w:rFonts w:ascii="Times New Roman" w:hAnsi="Times New Roman" w:eastAsia="方正仿宋_GBK"/>
          <w:b w:val="0"/>
          <w:sz w:val="24"/>
        </w:rPr>
        <w:t xml:space="preserve">等对铜芯电缆、架空导线及铝合金电缆进行寿命费用评价，费用包括投资、运行维护、故障及报废，并以实际10 kV工程比较线路选择[14]。该文支持将线路形式及其费用差异纳入工程比较。本项目根据已有工程价格采用长度加权费用，电缆占比由此作为经济条件参与推荐矩阵；具体线路热限与转供能力仍按候选网络设置。</w:t>
      </w:r>
    </w:p>
    <w:p w14:paraId="47FB2FD7">
      <w:pPr>
        <w:pStyle w:val="2"/>
        <w:widowControl/>
        <w:spacing w:before="0" w:after="0" w:line="348" w:lineRule="exact"/>
        <w:ind w:firstLine="480"/>
        <w:jc w:val="both"/>
      </w:pPr>
      <w:r>
        <w:rPr>
          <w:rFonts w:ascii="Times New Roman" w:hAnsi="Times New Roman" w:eastAsia="方正仿宋_GBK"/>
          <w:b w:val="0"/>
          <w:sz w:val="24"/>
        </w:rPr>
        <w:t>五项参数分别对应上述作用环节后，示例场景可以沿完整节点识别变化位置。若电缆占比提高触发设备切换，进一步比较主变、线路和储能的费用增减；若负荷分散系数改变，则核对局部高峰所需站内支撑及邻站承接。容载比的变化最终由已选设备容量和同一场景负荷共同确定，矩阵分类与设备解释因而能够逐项衔接。</w:t>
      </w:r>
    </w:p>
    <w:p w14:paraId="18D74636">
      <w:pPr>
        <w:pStyle w:val="5"/>
        <w:keepNext/>
        <w:numPr>
          <w:ilvl w:val="0"/>
          <w:numId w:val="0"/>
        </w:numPr>
        <w:spacing w:before="160" w:after="120" w:line="390" w:lineRule="exact"/>
        <w:ind w:firstLine="0"/>
      </w:pPr>
      <w:bookmarkStart w:id="83" w:name="技术经济结论的比较层次"/>
      <w:r>
        <w:rPr>
          <w:rFonts w:ascii="Times New Roman" w:hAnsi="Times New Roman" w:eastAsia="方正仿宋_GBK"/>
          <w:b/>
          <w:sz w:val="26"/>
        </w:rPr>
        <w:t>2.8.6 技术经济结论的比较层次</w:t>
      </w:r>
      <w:bookmarkEnd w:id="83"/>
    </w:p>
    <w:p w14:paraId="2363142A">
      <w:pPr>
        <w:pStyle w:val="115"/>
        <w:widowControl/>
        <w:spacing w:before="0" w:after="0" w:line="348" w:lineRule="exact"/>
        <w:ind w:firstLine="480"/>
        <w:jc w:val="both"/>
      </w:pPr>
      <w:r>
        <w:rPr>
          <w:rFonts w:ascii="Times New Roman" w:hAnsi="Times New Roman" w:eastAsia="方正仿宋_GBK"/>
          <w:b w:val="0"/>
          <w:sz w:val="24"/>
        </w:rPr>
        <w:t>文献对储能与网架建设的经济比较采用不同评价范围：初始投资适合解释设备采购和工程规模，计及运行、更新和寿命的评价期费用适合比较不同建设年份及运维水平，而包含收益的财务分析还需电价、运行策略和市场机制[10,33,35]。使用这些研究结论时，应先明确评价目的及相应现金流范围。</w:t>
      </w:r>
    </w:p>
    <w:p w14:paraId="171BD5E0">
      <w:pPr>
        <w:pStyle w:val="2"/>
        <w:widowControl/>
        <w:spacing w:before="0" w:after="0" w:line="348" w:lineRule="exact"/>
        <w:ind w:firstLine="480"/>
        <w:jc w:val="both"/>
      </w:pPr>
      <w:r>
        <w:rPr>
          <w:rFonts w:ascii="Times New Roman" w:hAnsi="Times New Roman" w:eastAsia="方正仿宋_GBK"/>
          <w:b w:val="0"/>
          <w:sz w:val="24"/>
        </w:rPr>
        <w:t>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14:paraId="732E77BA">
      <w:pPr>
        <w:pStyle w:val="2"/>
        <w:widowControl/>
        <w:spacing w:before="0" w:after="0" w:line="348" w:lineRule="exact"/>
        <w:ind w:firstLine="480"/>
        <w:jc w:val="both"/>
      </w:pPr>
      <w:r>
        <w:rPr>
          <w:rFonts w:ascii="Times New Roman" w:hAnsi="Times New Roman" w:eastAsia="方正仿宋_GBK"/>
          <w:b w:val="0"/>
          <w:sz w:val="24"/>
        </w:rPr>
        <w:t>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14:paraId="5357DC33">
      <w:pPr>
        <w:pStyle w:val="2"/>
        <w:keepNext/>
        <w:spacing w:before="120" w:after="80" w:line="280" w:lineRule="exact"/>
        <w:ind w:firstLine="0"/>
        <w:jc w:val="center"/>
      </w:pPr>
      <w:r>
        <w:rPr>
          <w:rFonts w:ascii="Times New Roman" w:hAnsi="Times New Roman" w:eastAsia="宋体"/>
          <w:b w:val="0"/>
          <w:sz w:val="21"/>
        </w:rPr>
        <w:t>表2-4 相关方法对源荷输入、设备配置与费用解释的支持</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50B322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B2A37AA">
            <w:pPr>
              <w:keepNext/>
              <w:spacing w:before="20" w:after="20" w:line="260" w:lineRule="exact"/>
              <w:ind w:left="0" w:leftChars="0" w:right="0" w:rightChars="0" w:firstLine="0" w:firstLineChars="0"/>
              <w:jc w:val="center"/>
            </w:pPr>
            <w:r>
              <w:rPr>
                <w:rFonts w:ascii="Times New Roman" w:hAnsi="Times New Roman" w:eastAsia="宋体"/>
                <w:b/>
                <w:sz w:val="18"/>
              </w:rPr>
              <w:t>研究方法</w:t>
            </w:r>
          </w:p>
        </w:tc>
        <w:tc>
          <w:tcPr>
            <w:tcW w:w="2078" w:type="dxa"/>
            <w:tcMar>
              <w:left w:w="70" w:type="dxa"/>
              <w:right w:w="70" w:type="dxa"/>
            </w:tcMar>
            <w:vAlign w:val="center"/>
          </w:tcPr>
          <w:p w14:paraId="1D3A81CE">
            <w:pPr>
              <w:keepNext/>
              <w:spacing w:before="20" w:after="20" w:line="260" w:lineRule="exact"/>
              <w:ind w:left="0" w:leftChars="0" w:right="0" w:rightChars="0" w:firstLine="0" w:firstLineChars="0"/>
              <w:jc w:val="center"/>
            </w:pPr>
            <w:r>
              <w:rPr>
                <w:rFonts w:ascii="Times New Roman" w:hAnsi="Times New Roman" w:eastAsia="宋体"/>
                <w:b/>
                <w:sz w:val="18"/>
              </w:rPr>
              <w:t>主要输入与输出</w:t>
            </w:r>
          </w:p>
        </w:tc>
        <w:tc>
          <w:tcPr>
            <w:tcW w:w="2078" w:type="dxa"/>
            <w:tcMar>
              <w:left w:w="70" w:type="dxa"/>
              <w:right w:w="70" w:type="dxa"/>
            </w:tcMar>
            <w:vAlign w:val="center"/>
          </w:tcPr>
          <w:p w14:paraId="0F1B0782">
            <w:pPr>
              <w:keepNext/>
              <w:spacing w:before="20" w:after="20" w:line="260" w:lineRule="exact"/>
              <w:ind w:left="0" w:leftChars="0" w:right="0" w:rightChars="0" w:firstLine="0" w:firstLineChars="0"/>
              <w:jc w:val="center"/>
            </w:pPr>
            <w:r>
              <w:rPr>
                <w:rFonts w:ascii="Times New Roman" w:hAnsi="Times New Roman" w:eastAsia="宋体"/>
                <w:b/>
                <w:sz w:val="18"/>
              </w:rPr>
              <w:t>适合回答的规划问题</w:t>
            </w:r>
          </w:p>
        </w:tc>
        <w:tc>
          <w:tcPr>
            <w:tcW w:w="2078" w:type="dxa"/>
            <w:tcMar>
              <w:left w:w="70" w:type="dxa"/>
              <w:right w:w="70" w:type="dxa"/>
            </w:tcMar>
            <w:vAlign w:val="center"/>
          </w:tcPr>
          <w:p w14:paraId="3B95BCB6">
            <w:pPr>
              <w:keepNext/>
              <w:spacing w:before="20" w:after="20" w:line="260" w:lineRule="exact"/>
              <w:ind w:left="0" w:leftChars="0" w:right="0" w:rightChars="0" w:firstLine="0" w:firstLineChars="0"/>
              <w:jc w:val="center"/>
            </w:pPr>
            <w:r>
              <w:rPr>
                <w:rFonts w:ascii="Times New Roman" w:hAnsi="Times New Roman" w:eastAsia="宋体"/>
                <w:b/>
                <w:sz w:val="18"/>
              </w:rPr>
              <w:t>在本研究中的对应关系</w:t>
            </w:r>
          </w:p>
        </w:tc>
      </w:tr>
      <w:tr w14:paraId="400217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5FC8F53">
            <w:pPr>
              <w:keepNext/>
              <w:spacing w:before="20" w:after="20" w:line="260" w:lineRule="exact"/>
              <w:ind w:left="0" w:leftChars="0" w:right="0" w:rightChars="0" w:firstLine="0" w:firstLineChars="0"/>
              <w:jc w:val="center"/>
            </w:pPr>
            <w:r>
              <w:rPr>
                <w:rFonts w:ascii="Times New Roman" w:hAnsi="Times New Roman" w:eastAsia="宋体"/>
                <w:b w:val="0"/>
                <w:sz w:val="18"/>
              </w:rPr>
              <w:t>概率鸭子曲线与概率爬坡曲线[3]</w:t>
            </w:r>
          </w:p>
        </w:tc>
        <w:tc>
          <w:tcPr>
            <w:tcW w:w="2078" w:type="dxa"/>
            <w:tcMar>
              <w:left w:w="70" w:type="dxa"/>
              <w:right w:w="70" w:type="dxa"/>
            </w:tcMar>
            <w:vAlign w:val="center"/>
          </w:tcPr>
          <w:p w14:paraId="77E9C57F">
            <w:pPr>
              <w:keepNext/>
              <w:spacing w:before="20" w:after="20" w:line="260" w:lineRule="exact"/>
              <w:ind w:left="0" w:leftChars="0" w:right="0" w:rightChars="0" w:firstLine="0" w:firstLineChars="0"/>
              <w:jc w:val="center"/>
            </w:pPr>
            <w:r>
              <w:rPr>
                <w:rFonts w:ascii="Times New Roman" w:hAnsi="Times New Roman" w:eastAsia="宋体"/>
                <w:b w:val="0"/>
                <w:sz w:val="18"/>
              </w:rPr>
              <w:t>源荷边际分布及相依结构，输出净负荷与变化量的分布</w:t>
            </w:r>
          </w:p>
        </w:tc>
        <w:tc>
          <w:tcPr>
            <w:tcW w:w="2078" w:type="dxa"/>
            <w:tcMar>
              <w:left w:w="70" w:type="dxa"/>
              <w:right w:w="70" w:type="dxa"/>
            </w:tcMar>
            <w:vAlign w:val="center"/>
          </w:tcPr>
          <w:p w14:paraId="2D6D18B1">
            <w:pPr>
              <w:keepNext/>
              <w:spacing w:before="20" w:after="20" w:line="260" w:lineRule="exact"/>
              <w:ind w:left="0" w:leftChars="0" w:right="0" w:rightChars="0" w:firstLine="0" w:firstLineChars="0"/>
              <w:jc w:val="center"/>
            </w:pPr>
            <w:r>
              <w:rPr>
                <w:rFonts w:ascii="Times New Roman" w:hAnsi="Times New Roman" w:eastAsia="宋体"/>
                <w:b w:val="0"/>
                <w:sz w:val="18"/>
              </w:rPr>
              <w:t>高渗透率下低谷、峰值与调节需求如何随时段变化</w:t>
            </w:r>
          </w:p>
        </w:tc>
        <w:tc>
          <w:tcPr>
            <w:tcW w:w="2078" w:type="dxa"/>
            <w:tcMar>
              <w:left w:w="70" w:type="dxa"/>
              <w:right w:w="70" w:type="dxa"/>
            </w:tcMar>
            <w:vAlign w:val="center"/>
          </w:tcPr>
          <w:p w14:paraId="277BF3D9">
            <w:pPr>
              <w:keepNext/>
              <w:spacing w:before="20" w:after="20" w:line="260" w:lineRule="exact"/>
              <w:ind w:left="0" w:leftChars="0" w:right="0" w:rightChars="0" w:firstLine="0" w:firstLineChars="0"/>
              <w:jc w:val="center"/>
            </w:pPr>
            <w:r>
              <w:rPr>
                <w:rFonts w:ascii="Times New Roman" w:hAnsi="Times New Roman" w:eastAsia="宋体"/>
                <w:b w:val="0"/>
                <w:sz w:val="18"/>
              </w:rPr>
              <w:t>按同期源荷关系识别正反向功率，保留时段及持续特征</w:t>
            </w:r>
          </w:p>
        </w:tc>
      </w:tr>
      <w:tr w14:paraId="23BAFA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3443620">
            <w:pPr>
              <w:keepNext/>
              <w:spacing w:before="20" w:after="20" w:line="260" w:lineRule="exact"/>
              <w:ind w:left="0" w:leftChars="0" w:right="0" w:rightChars="0" w:firstLine="0" w:firstLineChars="0"/>
              <w:jc w:val="center"/>
            </w:pPr>
            <w:r>
              <w:rPr>
                <w:rFonts w:ascii="Times New Roman" w:hAnsi="Times New Roman" w:eastAsia="宋体"/>
                <w:b w:val="0"/>
                <w:sz w:val="18"/>
              </w:rPr>
              <w:t>多供电层级承载力评估[21]</w:t>
            </w:r>
          </w:p>
        </w:tc>
        <w:tc>
          <w:tcPr>
            <w:tcW w:w="2078" w:type="dxa"/>
            <w:tcMar>
              <w:left w:w="70" w:type="dxa"/>
              <w:right w:w="70" w:type="dxa"/>
            </w:tcMar>
            <w:vAlign w:val="center"/>
          </w:tcPr>
          <w:p w14:paraId="570DD5AD">
            <w:pPr>
              <w:keepNext/>
              <w:spacing w:before="20" w:after="20" w:line="260" w:lineRule="exact"/>
              <w:ind w:left="0" w:leftChars="0" w:right="0" w:rightChars="0" w:firstLine="0" w:firstLineChars="0"/>
              <w:jc w:val="center"/>
            </w:pPr>
            <w:r>
              <w:rPr>
                <w:rFonts w:ascii="Times New Roman" w:hAnsi="Times New Roman" w:eastAsia="宋体"/>
                <w:b w:val="0"/>
                <w:sz w:val="18"/>
              </w:rPr>
              <w:t>同层级装机、负荷和电量，输出消纳与接纳能力及薄弱位置</w:t>
            </w:r>
          </w:p>
        </w:tc>
        <w:tc>
          <w:tcPr>
            <w:tcW w:w="2078" w:type="dxa"/>
            <w:tcMar>
              <w:left w:w="70" w:type="dxa"/>
              <w:right w:w="70" w:type="dxa"/>
            </w:tcMar>
            <w:vAlign w:val="center"/>
          </w:tcPr>
          <w:p w14:paraId="004566E1">
            <w:pPr>
              <w:keepNext/>
              <w:spacing w:before="20" w:after="20" w:line="260" w:lineRule="exact"/>
              <w:ind w:left="0" w:leftChars="0" w:right="0" w:rightChars="0" w:firstLine="0" w:firstLineChars="0"/>
              <w:jc w:val="center"/>
            </w:pPr>
            <w:r>
              <w:rPr>
                <w:rFonts w:ascii="Times New Roman" w:hAnsi="Times New Roman" w:eastAsia="宋体"/>
                <w:b w:val="0"/>
                <w:sz w:val="18"/>
              </w:rPr>
              <w:t>哪一供电层级、哪类设备限制新增电源接入</w:t>
            </w:r>
          </w:p>
        </w:tc>
        <w:tc>
          <w:tcPr>
            <w:tcW w:w="2078" w:type="dxa"/>
            <w:tcMar>
              <w:left w:w="70" w:type="dxa"/>
              <w:right w:w="70" w:type="dxa"/>
            </w:tcMar>
            <w:vAlign w:val="center"/>
          </w:tcPr>
          <w:p w14:paraId="7C80DBF4">
            <w:pPr>
              <w:keepNext/>
              <w:spacing w:before="20" w:after="20" w:line="260" w:lineRule="exact"/>
              <w:ind w:left="0" w:leftChars="0" w:right="0" w:rightChars="0" w:firstLine="0" w:firstLineChars="0"/>
              <w:jc w:val="center"/>
            </w:pPr>
            <w:r>
              <w:rPr>
                <w:rFonts w:ascii="Times New Roman" w:hAnsi="Times New Roman" w:eastAsia="宋体"/>
                <w:b w:val="0"/>
                <w:sz w:val="18"/>
              </w:rPr>
              <w:t>区域源荷统计与站级承载校核分别组织，约束落实到设备</w:t>
            </w:r>
          </w:p>
        </w:tc>
      </w:tr>
      <w:tr w14:paraId="34E936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616AD099">
            <w:pPr>
              <w:keepNext/>
              <w:spacing w:before="20" w:after="20" w:line="260" w:lineRule="exact"/>
              <w:ind w:left="0" w:leftChars="0" w:right="0" w:rightChars="0" w:firstLine="0" w:firstLineChars="0"/>
              <w:jc w:val="center"/>
            </w:pPr>
            <w:r>
              <w:rPr>
                <w:rFonts w:ascii="Times New Roman" w:hAnsi="Times New Roman" w:eastAsia="宋体"/>
                <w:b w:val="0"/>
                <w:sz w:val="18"/>
              </w:rPr>
              <w:t>TSC及下级网络关系分析[7]</w:t>
            </w:r>
          </w:p>
        </w:tc>
        <w:tc>
          <w:tcPr>
            <w:tcW w:w="2078" w:type="dxa"/>
            <w:tcMar>
              <w:left w:w="70" w:type="dxa"/>
              <w:right w:w="70" w:type="dxa"/>
            </w:tcMar>
            <w:vAlign w:val="center"/>
          </w:tcPr>
          <w:p w14:paraId="1DC78145">
            <w:pPr>
              <w:keepNext/>
              <w:spacing w:before="20" w:after="20" w:line="260" w:lineRule="exact"/>
              <w:ind w:left="0" w:leftChars="0" w:right="0" w:rightChars="0" w:firstLine="0" w:firstLineChars="0"/>
              <w:jc w:val="center"/>
            </w:pPr>
            <w:r>
              <w:rPr>
                <w:rFonts w:ascii="Times New Roman" w:hAnsi="Times New Roman" w:eastAsia="宋体"/>
                <w:b w:val="0"/>
                <w:sz w:val="18"/>
              </w:rPr>
              <w:t>主变、馈线和联络关系，输出满足安全要求的可供负荷</w:t>
            </w:r>
          </w:p>
        </w:tc>
        <w:tc>
          <w:tcPr>
            <w:tcW w:w="2078" w:type="dxa"/>
            <w:tcMar>
              <w:left w:w="70" w:type="dxa"/>
              <w:right w:w="70" w:type="dxa"/>
            </w:tcMar>
            <w:vAlign w:val="center"/>
          </w:tcPr>
          <w:p w14:paraId="277E27A8">
            <w:pPr>
              <w:keepNext/>
              <w:spacing w:before="20" w:after="20" w:line="260" w:lineRule="exact"/>
              <w:ind w:left="0" w:leftChars="0" w:right="0" w:rightChars="0" w:firstLine="0" w:firstLineChars="0"/>
              <w:jc w:val="center"/>
            </w:pPr>
            <w:r>
              <w:rPr>
                <w:rFonts w:ascii="Times New Roman" w:hAnsi="Times New Roman" w:eastAsia="宋体"/>
                <w:b w:val="0"/>
                <w:sz w:val="18"/>
              </w:rPr>
              <w:t>既有容量能否通过站内、站间转带承担更多负荷</w:t>
            </w:r>
          </w:p>
        </w:tc>
        <w:tc>
          <w:tcPr>
            <w:tcW w:w="2078" w:type="dxa"/>
            <w:tcMar>
              <w:left w:w="70" w:type="dxa"/>
              <w:right w:w="70" w:type="dxa"/>
            </w:tcMar>
            <w:vAlign w:val="center"/>
          </w:tcPr>
          <w:p w14:paraId="1B5BD908">
            <w:pPr>
              <w:keepNext/>
              <w:spacing w:before="20" w:after="20" w:line="260" w:lineRule="exact"/>
              <w:ind w:left="0" w:leftChars="0" w:right="0" w:rightChars="0" w:firstLine="0" w:firstLineChars="0"/>
              <w:jc w:val="center"/>
            </w:pPr>
            <w:r>
              <w:rPr>
                <w:rFonts w:ascii="Times New Roman" w:hAnsi="Times New Roman" w:eastAsia="宋体"/>
                <w:b w:val="0"/>
                <w:sz w:val="18"/>
              </w:rPr>
              <w:t>校核送端负荷、通道及接收侧能力，解释联络支援</w:t>
            </w:r>
          </w:p>
        </w:tc>
      </w:tr>
      <w:tr w14:paraId="69B372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8866453">
            <w:pPr>
              <w:keepNext/>
              <w:spacing w:before="20" w:after="20" w:line="260" w:lineRule="exact"/>
              <w:ind w:left="0" w:leftChars="0" w:right="0" w:rightChars="0" w:firstLine="0" w:firstLineChars="0"/>
              <w:jc w:val="center"/>
            </w:pPr>
            <w:r>
              <w:rPr>
                <w:rFonts w:ascii="Times New Roman" w:hAnsi="Times New Roman" w:eastAsia="宋体"/>
                <w:b w:val="0"/>
                <w:sz w:val="18"/>
              </w:rPr>
              <w:t>多电压等级容载比优化[9,11]</w:t>
            </w:r>
          </w:p>
        </w:tc>
        <w:tc>
          <w:tcPr>
            <w:tcW w:w="2078" w:type="dxa"/>
            <w:tcMar>
              <w:left w:w="70" w:type="dxa"/>
              <w:right w:w="70" w:type="dxa"/>
            </w:tcMar>
            <w:vAlign w:val="center"/>
          </w:tcPr>
          <w:p w14:paraId="4B335F35">
            <w:pPr>
              <w:keepNext/>
              <w:spacing w:before="20" w:after="20" w:line="260" w:lineRule="exact"/>
              <w:ind w:left="0" w:leftChars="0" w:right="0" w:rightChars="0" w:firstLine="0" w:firstLineChars="0"/>
              <w:jc w:val="center"/>
            </w:pPr>
            <w:r>
              <w:rPr>
                <w:rFonts w:ascii="Times New Roman" w:hAnsi="Times New Roman" w:eastAsia="宋体"/>
                <w:b w:val="0"/>
                <w:sz w:val="18"/>
              </w:rPr>
              <w:t>可选设备及网络工程，输出容量配比与建设方案</w:t>
            </w:r>
          </w:p>
        </w:tc>
        <w:tc>
          <w:tcPr>
            <w:tcW w:w="2078" w:type="dxa"/>
            <w:tcMar>
              <w:left w:w="70" w:type="dxa"/>
              <w:right w:w="70" w:type="dxa"/>
            </w:tcMar>
            <w:vAlign w:val="center"/>
          </w:tcPr>
          <w:p w14:paraId="76ED7CBB">
            <w:pPr>
              <w:keepNext/>
              <w:spacing w:before="20" w:after="20" w:line="260" w:lineRule="exact"/>
              <w:ind w:left="0" w:leftChars="0" w:right="0" w:rightChars="0" w:firstLine="0" w:firstLineChars="0"/>
              <w:jc w:val="center"/>
            </w:pPr>
            <w:r>
              <w:rPr>
                <w:rFonts w:ascii="Times New Roman" w:hAnsi="Times New Roman" w:eastAsia="宋体"/>
                <w:b w:val="0"/>
                <w:sz w:val="18"/>
              </w:rPr>
              <w:t>何种容量及网架组合具有相应经济性</w:t>
            </w:r>
          </w:p>
        </w:tc>
        <w:tc>
          <w:tcPr>
            <w:tcW w:w="2078" w:type="dxa"/>
            <w:tcMar>
              <w:left w:w="70" w:type="dxa"/>
              <w:right w:w="70" w:type="dxa"/>
            </w:tcMar>
            <w:vAlign w:val="center"/>
          </w:tcPr>
          <w:p w14:paraId="0C5A0C00">
            <w:pPr>
              <w:keepNext/>
              <w:spacing w:before="20" w:after="20" w:line="260" w:lineRule="exact"/>
              <w:ind w:left="0" w:leftChars="0" w:right="0" w:rightChars="0" w:firstLine="0" w:firstLineChars="0"/>
              <w:jc w:val="center"/>
            </w:pPr>
            <w:r>
              <w:rPr>
                <w:rFonts w:ascii="Times New Roman" w:hAnsi="Times New Roman" w:eastAsia="宋体"/>
                <w:b w:val="0"/>
                <w:sz w:val="18"/>
              </w:rPr>
              <w:t>用主变规格和工程项目形成容量，比较各项建设费用</w:t>
            </w:r>
          </w:p>
        </w:tc>
      </w:tr>
      <w:tr w14:paraId="3770C2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0F0331F">
            <w:pPr>
              <w:keepNext/>
              <w:spacing w:before="20" w:after="20" w:line="260" w:lineRule="exact"/>
              <w:ind w:left="0" w:leftChars="0" w:right="0" w:rightChars="0" w:firstLine="0" w:firstLineChars="0"/>
              <w:jc w:val="center"/>
            </w:pPr>
            <w:r>
              <w:rPr>
                <w:rFonts w:ascii="Times New Roman" w:hAnsi="Times New Roman" w:eastAsia="宋体"/>
                <w:b w:val="0"/>
                <w:sz w:val="18"/>
              </w:rPr>
              <w:t>源网储分层协同规划[22]</w:t>
            </w:r>
          </w:p>
        </w:tc>
        <w:tc>
          <w:tcPr>
            <w:tcW w:w="2078" w:type="dxa"/>
            <w:tcMar>
              <w:left w:w="70" w:type="dxa"/>
              <w:right w:w="70" w:type="dxa"/>
            </w:tcMar>
            <w:vAlign w:val="center"/>
          </w:tcPr>
          <w:p w14:paraId="5DC42C6E">
            <w:pPr>
              <w:keepNext/>
              <w:spacing w:before="20" w:after="20" w:line="260" w:lineRule="exact"/>
              <w:ind w:left="0" w:leftChars="0" w:right="0" w:rightChars="0" w:firstLine="0" w:firstLineChars="0"/>
              <w:jc w:val="center"/>
            </w:pPr>
            <w:r>
              <w:rPr>
                <w:rFonts w:ascii="Times New Roman" w:hAnsi="Times New Roman" w:eastAsia="宋体"/>
                <w:b w:val="0"/>
                <w:sz w:val="18"/>
              </w:rPr>
              <w:t>网架候选、资源与运行场景，输出建设及运行方式</w:t>
            </w:r>
          </w:p>
        </w:tc>
        <w:tc>
          <w:tcPr>
            <w:tcW w:w="2078" w:type="dxa"/>
            <w:tcMar>
              <w:left w:w="70" w:type="dxa"/>
              <w:right w:w="70" w:type="dxa"/>
            </w:tcMar>
            <w:vAlign w:val="center"/>
          </w:tcPr>
          <w:p w14:paraId="36AF5B2B">
            <w:pPr>
              <w:keepNext/>
              <w:spacing w:before="20" w:after="20" w:line="260" w:lineRule="exact"/>
              <w:ind w:left="0" w:leftChars="0" w:right="0" w:rightChars="0" w:firstLine="0" w:firstLineChars="0"/>
              <w:jc w:val="center"/>
            </w:pPr>
            <w:r>
              <w:rPr>
                <w:rFonts w:ascii="Times New Roman" w:hAnsi="Times New Roman" w:eastAsia="宋体"/>
                <w:b w:val="0"/>
                <w:sz w:val="18"/>
              </w:rPr>
              <w:t>建设形成的资源能力能否在具体工况中发挥作用</w:t>
            </w:r>
          </w:p>
        </w:tc>
        <w:tc>
          <w:tcPr>
            <w:tcW w:w="2078" w:type="dxa"/>
            <w:tcMar>
              <w:left w:w="70" w:type="dxa"/>
              <w:right w:w="70" w:type="dxa"/>
            </w:tcMar>
            <w:vAlign w:val="center"/>
          </w:tcPr>
          <w:p w14:paraId="01E969C7">
            <w:pPr>
              <w:keepNext/>
              <w:spacing w:before="20" w:after="20" w:line="260" w:lineRule="exact"/>
              <w:ind w:left="0" w:leftChars="0" w:right="0" w:rightChars="0" w:firstLine="0" w:firstLineChars="0"/>
              <w:jc w:val="center"/>
            </w:pPr>
            <w:r>
              <w:rPr>
                <w:rFonts w:ascii="Times New Roman" w:hAnsi="Times New Roman" w:eastAsia="宋体"/>
                <w:b w:val="0"/>
                <w:sz w:val="18"/>
              </w:rPr>
              <w:t>多工况共享年度设备状态，转供与储能按工况使用</w:t>
            </w:r>
          </w:p>
        </w:tc>
      </w:tr>
      <w:tr w14:paraId="754010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1E6ACC9">
            <w:pPr>
              <w:keepNext w:val="0"/>
              <w:spacing w:before="20" w:after="20" w:line="260" w:lineRule="exact"/>
              <w:ind w:left="0" w:leftChars="0" w:right="0" w:rightChars="0" w:firstLine="0" w:firstLineChars="0"/>
              <w:jc w:val="center"/>
            </w:pPr>
            <w:r>
              <w:rPr>
                <w:rFonts w:ascii="Times New Roman" w:hAnsi="Times New Roman" w:eastAsia="宋体"/>
                <w:b w:val="0"/>
                <w:sz w:val="18"/>
              </w:rPr>
              <w:t>全年运行与成本效益分析[70]</w:t>
            </w:r>
          </w:p>
        </w:tc>
        <w:tc>
          <w:tcPr>
            <w:tcW w:w="2078" w:type="dxa"/>
            <w:tcMar>
              <w:left w:w="70" w:type="dxa"/>
              <w:right w:w="70" w:type="dxa"/>
            </w:tcMar>
            <w:vAlign w:val="center"/>
          </w:tcPr>
          <w:p w14:paraId="1AFC2B37">
            <w:pPr>
              <w:keepNext w:val="0"/>
              <w:spacing w:before="20" w:after="20" w:line="260" w:lineRule="exact"/>
              <w:ind w:left="0" w:leftChars="0" w:right="0" w:rightChars="0" w:firstLine="0" w:firstLineChars="0"/>
              <w:jc w:val="center"/>
            </w:pPr>
            <w:r>
              <w:rPr>
                <w:rFonts w:ascii="Times New Roman" w:hAnsi="Times New Roman" w:eastAsia="宋体"/>
                <w:b w:val="0"/>
                <w:sz w:val="18"/>
              </w:rPr>
              <w:t>逐时运行及价格，输出改造需求、运行费用与效益</w:t>
            </w:r>
          </w:p>
        </w:tc>
        <w:tc>
          <w:tcPr>
            <w:tcW w:w="2078" w:type="dxa"/>
            <w:tcMar>
              <w:left w:w="70" w:type="dxa"/>
              <w:right w:w="70" w:type="dxa"/>
            </w:tcMar>
            <w:vAlign w:val="center"/>
          </w:tcPr>
          <w:p w14:paraId="4DD5F60E">
            <w:pPr>
              <w:keepNext w:val="0"/>
              <w:spacing w:before="20" w:after="20" w:line="260" w:lineRule="exact"/>
              <w:ind w:left="0" w:leftChars="0" w:right="0" w:rightChars="0" w:firstLine="0" w:firstLineChars="0"/>
              <w:jc w:val="center"/>
            </w:pPr>
            <w:r>
              <w:rPr>
                <w:rFonts w:ascii="Times New Roman" w:hAnsi="Times New Roman" w:eastAsia="宋体"/>
                <w:b w:val="0"/>
                <w:sz w:val="18"/>
              </w:rPr>
              <w:t>运行限制在何时出现，对改造费用有何影响</w:t>
            </w:r>
          </w:p>
        </w:tc>
        <w:tc>
          <w:tcPr>
            <w:tcW w:w="2078" w:type="dxa"/>
            <w:tcMar>
              <w:left w:w="70" w:type="dxa"/>
              <w:right w:w="70" w:type="dxa"/>
            </w:tcMar>
            <w:vAlign w:val="center"/>
          </w:tcPr>
          <w:p w14:paraId="0F66F22D">
            <w:pPr>
              <w:keepNext w:val="0"/>
              <w:spacing w:before="20" w:after="20" w:line="260" w:lineRule="exact"/>
              <w:ind w:left="0" w:leftChars="0" w:right="0" w:rightChars="0" w:firstLine="0" w:firstLineChars="0"/>
              <w:jc w:val="center"/>
            </w:pPr>
            <w:r>
              <w:rPr>
                <w:rFonts w:ascii="Times New Roman" w:hAnsi="Times New Roman" w:eastAsia="宋体"/>
                <w:b w:val="0"/>
                <w:sz w:val="18"/>
              </w:rPr>
              <w:t>区分静态容量费用与全年运行分析所需的资料及任务</w:t>
            </w:r>
          </w:p>
        </w:tc>
      </w:tr>
    </w:tbl>
    <w:p w14:paraId="372316D7">
      <w:pPr>
        <w:pStyle w:val="2"/>
        <w:widowControl/>
        <w:spacing w:before="0" w:after="0" w:line="348" w:lineRule="exact"/>
        <w:ind w:firstLine="480"/>
        <w:jc w:val="both"/>
      </w:pPr>
      <w:r>
        <w:rPr>
          <w:rFonts w:ascii="Times New Roman" w:hAnsi="Times New Roman" w:eastAsia="方正仿宋_GBK"/>
          <w:b w:val="0"/>
          <w:sz w:val="24"/>
        </w:rPr>
        <w:t>上述方法的联系可以沿“源荷任务、设备可用能力、工程费用”逐项展开。源荷分析给出需要承担的功率及其分布，承载和供电能力模型判断现有设备与网络能否满足任务，建设模型再比较补强方式。某项技术改变后，先判断其影响的是任务规模、支援条件还是单位工程费用，再观察相应设备与比值响应，可以保持技术判断和经济解释的一致性。</w:t>
      </w:r>
    </w:p>
    <w:p w14:paraId="24F56D44">
      <w:pPr>
        <w:pStyle w:val="2"/>
        <w:widowControl/>
        <w:spacing w:before="0" w:after="0" w:line="348" w:lineRule="exact"/>
        <w:ind w:firstLine="480"/>
        <w:jc w:val="both"/>
      </w:pPr>
      <w:r>
        <w:rPr>
          <w:rFonts w:ascii="Times New Roman" w:hAnsi="Times New Roman" w:eastAsia="方正仿宋_GBK"/>
          <w:b w:val="0"/>
          <w:sz w:val="24"/>
        </w:rPr>
        <w:t>在方案评价层面，推荐容载比由满足约束的主变总容量与同年负荷形成，费用则由实际采用的措施共同形成。主变增加与费用降低可以同时出现，只要储能或线路支出的减少足以覆盖新增主变支出；网络改善也可以在容量保持时先体现为新增工程减少。这些关系需要由同一场景的配置和分项费用支持。第五章通过逐年设备、逐站功率及参数完整序列分别提供相应证据。</w:t>
      </w:r>
    </w:p>
    <w:p w14:paraId="237C76D0">
      <w:pPr>
        <w:pStyle w:val="4"/>
        <w:keepNext/>
        <w:numPr>
          <w:ilvl w:val="0"/>
          <w:numId w:val="0"/>
        </w:numPr>
        <w:spacing w:before="160" w:after="120" w:line="480" w:lineRule="exact"/>
        <w:ind w:firstLine="0"/>
      </w:pPr>
      <w:bookmarkStart w:id="307" w:name="Report1017_h302"/>
      <w:bookmarkEnd w:id="307"/>
      <w:bookmarkStart w:id="84" w:name="本章小结"/>
      <w:bookmarkStart w:id="85" w:name="h302"/>
      <w:r>
        <w:rPr>
          <w:rFonts w:ascii="Times New Roman" w:hAnsi="Times New Roman" w:eastAsia="方正仿宋_GBK"/>
          <w:b/>
          <w:sz w:val="32"/>
        </w:rPr>
        <w:t>2.9 本章小结</w:t>
      </w:r>
      <w:bookmarkEnd w:id="84"/>
      <w:bookmarkEnd w:id="85"/>
    </w:p>
    <w:p w14:paraId="4F01A316">
      <w:pPr>
        <w:pStyle w:val="115"/>
        <w:widowControl/>
        <w:spacing w:before="0" w:after="0" w:line="348" w:lineRule="exact"/>
        <w:ind w:firstLine="480"/>
        <w:jc w:val="both"/>
      </w:pPr>
      <w:r>
        <w:rPr>
          <w:rFonts w:ascii="Times New Roman" w:hAnsi="Times New Roman" w:eastAsia="方正仿宋_GBK"/>
          <w:b w:val="0"/>
          <w:sz w:val="24"/>
        </w:rPr>
        <w:t>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14:paraId="63437AB4">
      <w:pPr>
        <w:pStyle w:val="3"/>
        <w:keepNext/>
        <w:pageBreakBefore/>
        <w:numPr>
          <w:ilvl w:val="0"/>
          <w:numId w:val="0"/>
        </w:numPr>
        <w:spacing w:before="0" w:after="120" w:line="540" w:lineRule="exact"/>
        <w:ind w:firstLine="0"/>
      </w:pPr>
      <w:bookmarkStart w:id="308" w:name="Report1017_h304"/>
      <w:bookmarkEnd w:id="308"/>
      <w:bookmarkStart w:id="86" w:name="第三章-徐州典型地区运行特征分析"/>
      <w:bookmarkStart w:id="87" w:name="h304"/>
      <w:r>
        <w:rPr>
          <w:rFonts w:ascii="Times New Roman" w:hAnsi="Times New Roman" w:eastAsia="方正仿宋_GBK"/>
          <w:b/>
          <w:sz w:val="36"/>
        </w:rPr>
        <w:t>第三章 徐州典型地区运行特征分析</w:t>
      </w:r>
      <w:bookmarkEnd w:id="86"/>
      <w:bookmarkEnd w:id="87"/>
    </w:p>
    <w:p w14:paraId="6152279F">
      <w:pPr>
        <w:pStyle w:val="4"/>
        <w:keepNext/>
        <w:numPr>
          <w:ilvl w:val="0"/>
          <w:numId w:val="0"/>
        </w:numPr>
        <w:spacing w:before="160" w:after="120" w:line="480" w:lineRule="exact"/>
        <w:ind w:firstLine="0"/>
      </w:pPr>
      <w:bookmarkStart w:id="309" w:name="Report1017_h305"/>
      <w:bookmarkEnd w:id="309"/>
      <w:bookmarkStart w:id="88" w:name="h305"/>
      <w:bookmarkStart w:id="89" w:name="研究地区与原始资料"/>
      <w:r>
        <w:rPr>
          <w:rFonts w:ascii="Times New Roman" w:hAnsi="Times New Roman" w:eastAsia="方正仿宋_GBK"/>
          <w:b/>
          <w:sz w:val="32"/>
        </w:rPr>
        <w:t>3.1 研究地区与原始资料</w:t>
      </w:r>
      <w:bookmarkEnd w:id="88"/>
      <w:bookmarkEnd w:id="89"/>
    </w:p>
    <w:p w14:paraId="1C4C656C">
      <w:pPr>
        <w:pStyle w:val="5"/>
        <w:keepNext/>
        <w:numPr>
          <w:ilvl w:val="0"/>
          <w:numId w:val="0"/>
        </w:numPr>
        <w:spacing w:before="160" w:after="120" w:line="390" w:lineRule="exact"/>
        <w:ind w:firstLine="0"/>
      </w:pPr>
      <w:bookmarkStart w:id="90" w:name="地区选择及比较范围"/>
      <w:r>
        <w:rPr>
          <w:rFonts w:ascii="Times New Roman" w:hAnsi="Times New Roman" w:eastAsia="方正仿宋_GBK"/>
          <w:b/>
          <w:sz w:val="26"/>
        </w:rPr>
        <w:t>3.1.1 地区选择及比较范围</w:t>
      </w:r>
      <w:bookmarkEnd w:id="90"/>
    </w:p>
    <w:p w14:paraId="5E13550F">
      <w:pPr>
        <w:pStyle w:val="115"/>
        <w:widowControl/>
        <w:spacing w:before="0" w:after="0" w:line="348" w:lineRule="exact"/>
        <w:ind w:firstLine="480"/>
        <w:jc w:val="both"/>
      </w:pPr>
      <w:r>
        <w:rPr>
          <w:rFonts w:ascii="Times New Roman" w:hAnsi="Times New Roman" w:eastAsia="方正仿宋_GBK"/>
          <w:b w:val="0"/>
          <w:sz w:val="24"/>
        </w:rPr>
        <w:t>本研究以邳州和市区为规划计算对象。两类规划方案在同一区县使用相同负荷及仿真起点，区县间保留各自设备结构、供电区域类别和负荷分布。</w:t>
      </w:r>
    </w:p>
    <w:p w14:paraId="7B07007C">
      <w:pPr>
        <w:pStyle w:val="2"/>
        <w:widowControl/>
        <w:spacing w:before="0" w:after="0" w:line="348" w:lineRule="exact"/>
        <w:ind w:firstLine="480"/>
        <w:jc w:val="both"/>
      </w:pPr>
      <w:r>
        <w:rPr>
          <w:rFonts w:ascii="Times New Roman" w:hAnsi="Times New Roman" w:eastAsia="方正仿宋_GBK"/>
          <w:b w:val="0"/>
          <w:sz w:val="24"/>
        </w:rPr>
        <w:t>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14:paraId="730CD48F">
      <w:pPr>
        <w:pStyle w:val="5"/>
        <w:keepNext/>
        <w:numPr>
          <w:ilvl w:val="0"/>
          <w:numId w:val="0"/>
        </w:numPr>
        <w:spacing w:before="160" w:after="120" w:line="390" w:lineRule="exact"/>
        <w:ind w:firstLine="0"/>
      </w:pPr>
      <w:bookmarkStart w:id="91" w:name="历史分析与规划参数的衔接"/>
      <w:r>
        <w:rPr>
          <w:rFonts w:ascii="Times New Roman" w:hAnsi="Times New Roman" w:eastAsia="方正仿宋_GBK"/>
          <w:b/>
          <w:sz w:val="26"/>
        </w:rPr>
        <w:t>3.1.2 历史分析与规划参数的衔接</w:t>
      </w:r>
      <w:bookmarkEnd w:id="91"/>
    </w:p>
    <w:p w14:paraId="587CC51E">
      <w:pPr>
        <w:pStyle w:val="115"/>
        <w:widowControl/>
        <w:spacing w:before="0" w:after="0" w:line="348" w:lineRule="exact"/>
        <w:ind w:firstLine="480"/>
        <w:jc w:val="both"/>
      </w:pPr>
      <w:r>
        <w:rPr>
          <w:rFonts w:ascii="Times New Roman" w:hAnsi="Times New Roman" w:eastAsia="方正仿宋_GBK"/>
          <w:b w:val="0"/>
          <w:sz w:val="24"/>
        </w:rPr>
        <w:t>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14:paraId="7DF034BB">
      <w:pPr>
        <w:pStyle w:val="2"/>
        <w:widowControl/>
        <w:spacing w:before="0" w:after="0" w:line="348" w:lineRule="exact"/>
        <w:ind w:firstLine="480"/>
        <w:jc w:val="both"/>
      </w:pPr>
      <w:r>
        <w:rPr>
          <w:rFonts w:ascii="Times New Roman" w:hAnsi="Times New Roman" w:eastAsia="方正仿宋_GBK"/>
          <w:b w:val="0"/>
          <w:sz w:val="24"/>
        </w:rPr>
        <w:t>本章以历史容量和负荷分析现状，第五章则在各地区共同初始设备和2021年实际负荷下开展规划回算，基期容载比均约为2.00，后续容量由逐年优化确定。设备统计用于设置允许规格、供电区域类别及主变扩建位置，两类方案的正常负荷调整共用相同仿真通道。</w:t>
      </w:r>
    </w:p>
    <w:p w14:paraId="4CA2A580">
      <w:pPr>
        <w:pStyle w:val="5"/>
        <w:keepNext/>
        <w:numPr>
          <w:ilvl w:val="0"/>
          <w:numId w:val="0"/>
        </w:numPr>
        <w:spacing w:before="160" w:after="120" w:line="390" w:lineRule="exact"/>
        <w:ind w:firstLine="0"/>
      </w:pPr>
      <w:bookmarkStart w:id="92" w:name="时序处理与模型适用范围"/>
      <w:r>
        <w:rPr>
          <w:rFonts w:ascii="Times New Roman" w:hAnsi="Times New Roman" w:eastAsia="方正仿宋_GBK"/>
          <w:b/>
          <w:sz w:val="26"/>
        </w:rPr>
        <w:t>3.1.3 时序处理与模型适用范围</w:t>
      </w:r>
      <w:bookmarkEnd w:id="92"/>
    </w:p>
    <w:p w14:paraId="62B1CFBB">
      <w:pPr>
        <w:pStyle w:val="115"/>
        <w:widowControl/>
        <w:spacing w:before="0" w:after="0" w:line="348" w:lineRule="exact"/>
        <w:ind w:firstLine="480"/>
        <w:jc w:val="both"/>
      </w:pPr>
      <w:r>
        <w:rPr>
          <w:rFonts w:ascii="Times New Roman" w:hAnsi="Times New Roman" w:eastAsia="方正仿宋_GBK"/>
          <w:b w:val="0"/>
          <w:sz w:val="24"/>
        </w:rPr>
        <w:t>容量、功率、电量分别使用MVA、MW、MWh，净功率受入为正、反送为负。年度电量统一在2025年非闰年8760小时轴上估计。缺失记录补齐后统一形成8760小时序列：邳州采用相邻小时均值，市区采用相邻周同星期、同时刻的观测均值。</w:t>
      </w:r>
    </w:p>
    <w:p w14:paraId="43810C10">
      <w:pPr>
        <w:pStyle w:val="2"/>
        <w:widowControl/>
        <w:spacing w:before="0" w:after="0" w:line="348" w:lineRule="exact"/>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w:t>
      </w:r>
      <w:r>
        <w:rPr>
          <w:rFonts w:ascii="Times New Roman" w:hAnsi="Times New Roman" w:eastAsia="方正仿宋_GBK"/>
          <w:b w:val="0"/>
          <w:sz w:val="24"/>
        </w:rPr>
        <w:t xml:space="preserve">规划</w:t>
      </w:r>
      <w:r>
        <w:rPr>
          <w:rFonts w:ascii="Times New Roman" w:hAnsi="Times New Roman" w:eastAsia="方正仿宋_GBK"/>
          <w:b w:val="0"/>
          <w:sz w:val="24"/>
        </w:rPr>
        <w:t xml:space="preserve">案例</w:t>
      </w:r>
      <w:r>
        <w:rPr>
          <w:rFonts w:ascii="Times New Roman" w:hAnsi="Times New Roman" w:eastAsia="方正仿宋_GBK"/>
          <w:b w:val="0"/>
          <w:sz w:val="24"/>
        </w:rPr>
        <w:t xml:space="preserve">在各年8760小时序列上校核</w:t>
      </w:r>
      <w:r>
        <w:rPr>
          <w:rFonts w:ascii="Times New Roman" w:hAnsi="Times New Roman" w:eastAsia="方正仿宋_GBK"/>
          <w:b w:val="0"/>
          <w:sz w:val="24"/>
        </w:rPr>
        <w:t xml:space="preserve">正</w:t>
      </w:r>
      <w:r>
        <w:rPr>
          <w:rFonts w:ascii="Times New Roman" w:hAnsi="Times New Roman" w:eastAsia="方正仿宋_GBK"/>
          <w:b w:val="0"/>
          <w:sz w:val="24"/>
        </w:rPr>
        <w:t xml:space="preserve">常运行</w:t>
      </w:r>
      <w:r>
        <w:rPr>
          <w:rFonts w:ascii="Times New Roman" w:hAnsi="Times New Roman" w:eastAsia="方正仿宋_GBK"/>
          <w:b w:val="0"/>
          <w:sz w:val="24"/>
        </w:rPr>
        <w:t xml:space="preserve">及各站</w:t>
      </w:r>
      <w:r>
        <w:rPr>
          <w:rFonts w:ascii="Times New Roman" w:hAnsi="Times New Roman" w:eastAsia="方正仿宋_GBK"/>
          <w:b w:val="0"/>
          <w:sz w:val="24"/>
        </w:rPr>
        <w:t xml:space="preserve">最大单台主变N-1，保持站点之间</w:t>
      </w:r>
      <w:r>
        <w:rPr>
          <w:rFonts w:ascii="Times New Roman" w:hAnsi="Times New Roman" w:eastAsia="方正仿宋_GBK"/>
          <w:b w:val="0"/>
          <w:sz w:val="24"/>
        </w:rPr>
        <w:t xml:space="preserve">的同</w:t>
      </w:r>
      <w:r>
        <w:rPr>
          <w:rFonts w:ascii="Times New Roman" w:hAnsi="Times New Roman" w:eastAsia="方正仿宋_GBK"/>
          <w:b w:val="0"/>
          <w:sz w:val="24"/>
        </w:rPr>
        <w:t xml:space="preserve">小时</w:t>
      </w:r>
      <w:r>
        <w:rPr>
          <w:rFonts w:ascii="Times New Roman" w:hAnsi="Times New Roman" w:eastAsia="方正仿宋_GBK"/>
          <w:b w:val="0"/>
          <w:sz w:val="24"/>
        </w:rPr>
        <w:t xml:space="preserve">功率</w:t>
      </w:r>
      <w:r>
        <w:rPr>
          <w:rFonts w:ascii="Times New Roman" w:hAnsi="Times New Roman" w:eastAsia="方正仿宋_GBK"/>
          <w:b w:val="0"/>
          <w:sz w:val="24"/>
        </w:rPr>
        <w:t xml:space="preserve">关系</w:t>
      </w:r>
      <w:r>
        <w:rPr>
          <w:rFonts w:ascii="Times New Roman" w:hAnsi="Times New Roman" w:eastAsia="方正仿宋_GBK"/>
          <w:b w:val="0"/>
          <w:sz w:val="24"/>
        </w:rPr>
        <w:t xml:space="preserve">。</w:t>
      </w:r>
      <w:r>
        <w:rPr>
          <w:rFonts w:ascii="Times New Roman" w:hAnsi="Times New Roman" w:eastAsia="方正仿宋_GBK"/>
          <w:b w:val="0"/>
          <w:sz w:val="24"/>
        </w:rPr>
        <w:t xml:space="preserve">历史序列根据源荷模板及年度规模回算，</w:t>
      </w:r>
      <w:r>
        <w:rPr>
          <w:rFonts w:ascii="Times New Roman" w:hAnsi="Times New Roman" w:eastAsia="方正仿宋_GBK"/>
          <w:b w:val="0"/>
          <w:sz w:val="24"/>
        </w:rPr>
        <w:t xml:space="preserve">正向储能支撑持续时间分别取邳州2 h、市区6 h。</w:t>
      </w:r>
    </w:p>
    <w:p w14:paraId="5E00D9A3">
      <w:pPr>
        <w:pStyle w:val="4"/>
        <w:keepNext/>
        <w:numPr>
          <w:ilvl w:val="0"/>
          <w:numId w:val="0"/>
        </w:numPr>
        <w:spacing w:before="160" w:after="120" w:line="480" w:lineRule="exact"/>
        <w:ind w:firstLine="0"/>
      </w:pPr>
      <w:bookmarkStart w:id="310" w:name="Report1017_h315"/>
      <w:bookmarkEnd w:id="310"/>
      <w:bookmarkStart w:id="93" w:name="h315"/>
      <w:bookmarkStart w:id="94" w:name="年度容量负荷与增长特征"/>
      <w:r>
        <w:rPr>
          <w:rFonts w:ascii="Times New Roman" w:hAnsi="Times New Roman" w:eastAsia="方正仿宋_GBK"/>
          <w:b/>
          <w:sz w:val="32"/>
        </w:rPr>
        <w:t>3.2 年度容量、负荷与增长特征</w:t>
      </w:r>
      <w:bookmarkEnd w:id="93"/>
      <w:bookmarkEnd w:id="94"/>
    </w:p>
    <w:p w14:paraId="4977557B">
      <w:pPr>
        <w:pStyle w:val="5"/>
        <w:keepNext/>
        <w:numPr>
          <w:ilvl w:val="0"/>
          <w:numId w:val="0"/>
        </w:numPr>
        <w:spacing w:before="160" w:after="120" w:line="390" w:lineRule="exact"/>
        <w:ind w:firstLine="0"/>
      </w:pPr>
      <w:bookmarkStart w:id="95" w:name="邳州年度变化"/>
      <w:r>
        <w:rPr>
          <w:rFonts w:ascii="Times New Roman" w:hAnsi="Times New Roman" w:eastAsia="方正仿宋_GBK"/>
          <w:b/>
          <w:sz w:val="26"/>
        </w:rPr>
        <w:t>3.2.1 邳州年度变化</w:t>
      </w:r>
      <w:bookmarkEnd w:id="95"/>
    </w:p>
    <w:p w14:paraId="4DCEF9E3">
      <w:pPr>
        <w:pStyle w:val="115"/>
        <w:widowControl/>
        <w:spacing w:before="0" w:after="0" w:line="348" w:lineRule="exact"/>
        <w:ind w:firstLine="480"/>
        <w:jc w:val="both"/>
      </w:pPr>
      <w:r>
        <w:rPr>
          <w:rFonts w:ascii="Times New Roman" w:hAnsi="Times New Roman" w:eastAsia="方正仿宋_GBK"/>
          <w:b w:val="0"/>
          <w:sz w:val="24"/>
        </w:rPr>
        <w:t>邳州2021年公用主变总容量为2027 MVA，年网供最大负荷按降压负荷估计为731.77 MW。2022—2025年负荷分别为825.00、761.23、862.66和956.45 MW。容量与负荷的年度变化共同影响容载比。</w:t>
      </w:r>
    </w:p>
    <w:p w14:paraId="4AE49B54">
      <w:pPr>
        <w:pStyle w:val="2"/>
        <w:widowControl/>
        <w:spacing w:before="0" w:after="0" w:line="348" w:lineRule="exact"/>
        <w:ind w:firstLine="480"/>
        <w:jc w:val="both"/>
      </w:pPr>
      <w:r>
        <w:rPr>
          <w:rFonts w:ascii="Times New Roman" w:hAnsi="Times New Roman" w:eastAsia="方正仿宋_GBK"/>
          <w:b w:val="0"/>
          <w:sz w:val="24"/>
        </w:rPr>
        <w:t xml:space="preserve">历史统计保留原始年度波动，用于计算负荷增长和解释运行特征。</w:t>
      </w:r>
      <w:r>
        <w:rPr>
          <w:rFonts w:ascii="Times New Roman" w:hAnsi="Times New Roman" w:eastAsia="方正仿宋_GBK"/>
          <w:b w:val="0"/>
          <w:sz w:val="24"/>
        </w:rPr>
        <w:t xml:space="preserve">规划</w:t>
      </w:r>
      <w:r>
        <w:rPr>
          <w:rFonts w:ascii="Times New Roman" w:hAnsi="Times New Roman" w:eastAsia="方正仿宋_GBK"/>
          <w:b w:val="0"/>
          <w:sz w:val="24"/>
        </w:rPr>
        <w:t xml:space="preserve">基期</w:t>
      </w:r>
      <w:r>
        <w:rPr>
          <w:rFonts w:ascii="Times New Roman" w:hAnsi="Times New Roman" w:eastAsia="方正仿宋_GBK"/>
          <w:b w:val="0"/>
          <w:sz w:val="24"/>
        </w:rPr>
        <w:t xml:space="preserve">及2022—2035</w:t>
      </w:r>
      <w:r>
        <w:rPr>
          <w:rFonts w:ascii="Times New Roman" w:hAnsi="Times New Roman" w:eastAsia="方正仿宋_GBK"/>
          <w:b w:val="0"/>
          <w:sz w:val="24"/>
        </w:rPr>
        <w:t xml:space="preserve">年负荷在第五章</w:t>
      </w:r>
      <w:r>
        <w:rPr>
          <w:rFonts w:ascii="Times New Roman" w:hAnsi="Times New Roman" w:eastAsia="方正仿宋_GBK"/>
          <w:b w:val="0"/>
          <w:sz w:val="24"/>
        </w:rPr>
        <w:t xml:space="preserve">列示。</w:t>
      </w:r>
    </w:p>
    <w:p w14:paraId="18DC696B">
      <w:pPr>
        <w:pStyle w:val="2"/>
        <w:keepNext/>
        <w:spacing w:before="120" w:after="80" w:line="280" w:lineRule="exact"/>
        <w:ind w:firstLine="0"/>
        <w:jc w:val="center"/>
      </w:pPr>
      <w:r>
        <w:rPr>
          <w:rFonts w:ascii="Times New Roman" w:hAnsi="Times New Roman" w:eastAsia="宋体"/>
          <w:b w:val="0"/>
          <w:sz w:val="21"/>
        </w:rPr>
        <w:t>表3-1 邳州和市区年度主变容量与降压负荷</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624E26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75150D0D">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6CA988A5">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1662" w:type="dxa"/>
            <w:tcMar>
              <w:left w:w="70" w:type="dxa"/>
              <w:right w:w="70" w:type="dxa"/>
            </w:tcMar>
            <w:vAlign w:val="center"/>
          </w:tcPr>
          <w:p w14:paraId="3F9FCDFA">
            <w:pPr>
              <w:keepNext/>
              <w:spacing w:before="20" w:after="20" w:line="260" w:lineRule="exact"/>
              <w:ind w:left="0" w:leftChars="0" w:right="0" w:rightChars="0" w:firstLine="0" w:firstLineChars="0"/>
              <w:jc w:val="center"/>
            </w:pPr>
            <w:r>
              <w:rPr>
                <w:rFonts w:ascii="Times New Roman" w:hAnsi="Times New Roman" w:eastAsia="宋体"/>
                <w:b/>
                <w:sz w:val="18"/>
              </w:rPr>
              <w:t>公用主变总容量/MVA</w:t>
            </w:r>
          </w:p>
        </w:tc>
        <w:tc>
          <w:tcPr>
            <w:tcW w:w="1662" w:type="dxa"/>
            <w:tcMar>
              <w:left w:w="70" w:type="dxa"/>
              <w:right w:w="70" w:type="dxa"/>
            </w:tcMar>
            <w:vAlign w:val="center"/>
          </w:tcPr>
          <w:p w14:paraId="49DCE284">
            <w:pPr>
              <w:keepNext/>
              <w:spacing w:before="20" w:after="20" w:line="260" w:lineRule="exact"/>
              <w:ind w:left="0" w:leftChars="0" w:right="0" w:rightChars="0" w:firstLine="0" w:firstLineChars="0"/>
              <w:jc w:val="center"/>
            </w:pPr>
            <w:r>
              <w:rPr>
                <w:rFonts w:ascii="Times New Roman" w:hAnsi="Times New Roman" w:eastAsia="宋体"/>
                <w:b/>
                <w:sz w:val="18"/>
              </w:rPr>
              <w:t>年网供最大负荷/MW</w:t>
            </w:r>
          </w:p>
        </w:tc>
        <w:tc>
          <w:tcPr>
            <w:tcW w:w="1662" w:type="dxa"/>
            <w:tcMar>
              <w:left w:w="70" w:type="dxa"/>
              <w:right w:w="70" w:type="dxa"/>
            </w:tcMar>
            <w:vAlign w:val="center"/>
          </w:tcPr>
          <w:p w14:paraId="65D064F3">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r>
      <w:tr w14:paraId="4B0C1A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C1CD66">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731D542">
            <w:pPr>
              <w:keepNext w:val="0"/>
              <w:spacing w:before="20" w:after="20" w:line="260" w:lineRule="exact"/>
              <w:ind w:left="0" w:leftChars="0" w:right="0" w:rightChars="0" w:firstLine="0" w:firstLineChars="0"/>
              <w:jc w:val="center"/>
            </w:pPr>
            <w:r>
              <w:rPr>
                <w:rFonts w:ascii="Times New Roman" w:hAnsi="Times New Roman" w:eastAsia="宋体"/>
                <w:b w:val="0"/>
                <w:sz w:val="18"/>
              </w:rPr>
              <w:t>2021</w:t>
            </w:r>
          </w:p>
        </w:tc>
        <w:tc>
          <w:tcPr>
            <w:tcW w:w="1662" w:type="dxa"/>
            <w:tcMar>
              <w:left w:w="70" w:type="dxa"/>
              <w:right w:w="70" w:type="dxa"/>
            </w:tcMar>
            <w:vAlign w:val="center"/>
          </w:tcPr>
          <w:p w14:paraId="6EED24F1">
            <w:pPr>
              <w:keepNext w:val="0"/>
              <w:spacing w:before="20" w:after="20" w:line="260" w:lineRule="exact"/>
              <w:ind w:left="0" w:leftChars="0" w:right="0" w:rightChars="0" w:firstLine="0" w:firstLineChars="0"/>
              <w:jc w:val="center"/>
            </w:pPr>
            <w:r>
              <w:rPr>
                <w:rFonts w:ascii="Times New Roman" w:hAnsi="Times New Roman" w:eastAsia="宋体"/>
                <w:b w:val="0"/>
                <w:sz w:val="18"/>
              </w:rPr>
              <w:t>2027.00</w:t>
            </w:r>
          </w:p>
        </w:tc>
        <w:tc>
          <w:tcPr>
            <w:tcW w:w="1662" w:type="dxa"/>
            <w:tcMar>
              <w:left w:w="70" w:type="dxa"/>
              <w:right w:w="70" w:type="dxa"/>
            </w:tcMar>
            <w:vAlign w:val="center"/>
          </w:tcPr>
          <w:p w14:paraId="681B1500">
            <w:pPr>
              <w:keepNext w:val="0"/>
              <w:spacing w:before="20" w:after="20" w:line="260" w:lineRule="exact"/>
              <w:ind w:left="0" w:leftChars="0" w:right="0" w:rightChars="0" w:firstLine="0" w:firstLineChars="0"/>
              <w:jc w:val="center"/>
            </w:pPr>
            <w:r>
              <w:rPr>
                <w:rFonts w:ascii="Times New Roman" w:hAnsi="Times New Roman" w:eastAsia="宋体"/>
                <w:b w:val="0"/>
                <w:sz w:val="18"/>
              </w:rPr>
              <w:t>731.77</w:t>
            </w:r>
          </w:p>
        </w:tc>
        <w:tc>
          <w:tcPr>
            <w:tcW w:w="1662" w:type="dxa"/>
            <w:tcMar>
              <w:left w:w="70" w:type="dxa"/>
              <w:right w:w="70" w:type="dxa"/>
            </w:tcMar>
            <w:vAlign w:val="center"/>
          </w:tcPr>
          <w:p w14:paraId="0389A7AD">
            <w:pPr>
              <w:keepNext w:val="0"/>
              <w:spacing w:before="20" w:after="20" w:line="260" w:lineRule="exact"/>
              <w:ind w:left="0" w:leftChars="0" w:right="0" w:rightChars="0" w:firstLine="0" w:firstLineChars="0"/>
              <w:jc w:val="center"/>
            </w:pPr>
            <w:r>
              <w:rPr>
                <w:rFonts w:ascii="Times New Roman" w:hAnsi="Times New Roman" w:eastAsia="宋体"/>
                <w:b w:val="0"/>
                <w:sz w:val="18"/>
              </w:rPr>
              <w:t>2.77</w:t>
            </w:r>
          </w:p>
        </w:tc>
      </w:tr>
      <w:tr w14:paraId="2C5F2D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D0C9D4">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7DE09FB">
            <w:pPr>
              <w:keepNext w:val="0"/>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662" w:type="dxa"/>
            <w:tcMar>
              <w:left w:w="70" w:type="dxa"/>
              <w:right w:w="70" w:type="dxa"/>
            </w:tcMar>
            <w:vAlign w:val="center"/>
          </w:tcPr>
          <w:p w14:paraId="22FBA000">
            <w:pPr>
              <w:keepNext w:val="0"/>
              <w:spacing w:before="20" w:after="20" w:line="260" w:lineRule="exact"/>
              <w:ind w:left="0" w:leftChars="0" w:right="0" w:rightChars="0" w:firstLine="0" w:firstLineChars="0"/>
              <w:jc w:val="center"/>
            </w:pPr>
            <w:r>
              <w:rPr>
                <w:rFonts w:ascii="Times New Roman" w:hAnsi="Times New Roman" w:eastAsia="宋体"/>
                <w:b w:val="0"/>
                <w:sz w:val="18"/>
              </w:rPr>
              <w:t>2045.50</w:t>
            </w:r>
          </w:p>
        </w:tc>
        <w:tc>
          <w:tcPr>
            <w:tcW w:w="1662" w:type="dxa"/>
            <w:tcMar>
              <w:left w:w="70" w:type="dxa"/>
              <w:right w:w="70" w:type="dxa"/>
            </w:tcMar>
            <w:vAlign w:val="center"/>
          </w:tcPr>
          <w:p w14:paraId="3D6709F3">
            <w:pPr>
              <w:keepNext w:val="0"/>
              <w:spacing w:before="20" w:after="20" w:line="260" w:lineRule="exact"/>
              <w:ind w:left="0" w:leftChars="0" w:right="0" w:rightChars="0" w:firstLine="0" w:firstLineChars="0"/>
              <w:jc w:val="center"/>
            </w:pPr>
            <w:r>
              <w:rPr>
                <w:rFonts w:ascii="Times New Roman" w:hAnsi="Times New Roman" w:eastAsia="宋体"/>
                <w:b w:val="0"/>
                <w:sz w:val="18"/>
              </w:rPr>
              <w:t>825.00</w:t>
            </w:r>
          </w:p>
        </w:tc>
        <w:tc>
          <w:tcPr>
            <w:tcW w:w="1662" w:type="dxa"/>
            <w:tcMar>
              <w:left w:w="70" w:type="dxa"/>
              <w:right w:w="70" w:type="dxa"/>
            </w:tcMar>
            <w:vAlign w:val="center"/>
          </w:tcPr>
          <w:p w14:paraId="29A14CE4">
            <w:pPr>
              <w:keepNext w:val="0"/>
              <w:spacing w:before="20" w:after="20" w:line="260" w:lineRule="exact"/>
              <w:ind w:left="0" w:leftChars="0" w:right="0" w:rightChars="0" w:firstLine="0" w:firstLineChars="0"/>
              <w:jc w:val="center"/>
            </w:pPr>
            <w:r>
              <w:rPr>
                <w:rFonts w:ascii="Times New Roman" w:hAnsi="Times New Roman" w:eastAsia="宋体"/>
                <w:b w:val="0"/>
                <w:sz w:val="18"/>
              </w:rPr>
              <w:t>2.48</w:t>
            </w:r>
          </w:p>
        </w:tc>
      </w:tr>
      <w:tr w14:paraId="3E4B5E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9685017">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24647A71">
            <w:pPr>
              <w:keepNext w:val="0"/>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662" w:type="dxa"/>
            <w:tcMar>
              <w:left w:w="70" w:type="dxa"/>
              <w:right w:w="70" w:type="dxa"/>
            </w:tcMar>
            <w:vAlign w:val="center"/>
          </w:tcPr>
          <w:p w14:paraId="4E4A2C0D">
            <w:pPr>
              <w:keepNext w:val="0"/>
              <w:spacing w:before="20" w:after="20" w:line="260" w:lineRule="exact"/>
              <w:ind w:left="0" w:leftChars="0" w:right="0" w:rightChars="0" w:firstLine="0" w:firstLineChars="0"/>
              <w:jc w:val="center"/>
            </w:pPr>
            <w:r>
              <w:rPr>
                <w:rFonts w:ascii="Times New Roman" w:hAnsi="Times New Roman" w:eastAsia="宋体"/>
                <w:b w:val="0"/>
                <w:sz w:val="18"/>
              </w:rPr>
              <w:t>2151.00</w:t>
            </w:r>
          </w:p>
        </w:tc>
        <w:tc>
          <w:tcPr>
            <w:tcW w:w="1662" w:type="dxa"/>
            <w:tcMar>
              <w:left w:w="70" w:type="dxa"/>
              <w:right w:w="70" w:type="dxa"/>
            </w:tcMar>
            <w:vAlign w:val="center"/>
          </w:tcPr>
          <w:p w14:paraId="1DCE9E4F">
            <w:pPr>
              <w:keepNext w:val="0"/>
              <w:spacing w:before="20" w:after="20" w:line="260" w:lineRule="exact"/>
              <w:ind w:left="0" w:leftChars="0" w:right="0" w:rightChars="0" w:firstLine="0" w:firstLineChars="0"/>
              <w:jc w:val="center"/>
            </w:pPr>
            <w:r>
              <w:rPr>
                <w:rFonts w:ascii="Times New Roman" w:hAnsi="Times New Roman" w:eastAsia="宋体"/>
                <w:b w:val="0"/>
                <w:sz w:val="18"/>
              </w:rPr>
              <w:t>761.23</w:t>
            </w:r>
          </w:p>
        </w:tc>
        <w:tc>
          <w:tcPr>
            <w:tcW w:w="1662" w:type="dxa"/>
            <w:tcMar>
              <w:left w:w="70" w:type="dxa"/>
              <w:right w:w="70" w:type="dxa"/>
            </w:tcMar>
            <w:vAlign w:val="center"/>
          </w:tcPr>
          <w:p w14:paraId="2D1E5868">
            <w:pPr>
              <w:keepNext w:val="0"/>
              <w:spacing w:before="20" w:after="20" w:line="260" w:lineRule="exact"/>
              <w:ind w:left="0" w:leftChars="0" w:right="0" w:rightChars="0" w:firstLine="0" w:firstLineChars="0"/>
              <w:jc w:val="center"/>
            </w:pPr>
            <w:r>
              <w:rPr>
                <w:rFonts w:ascii="Times New Roman" w:hAnsi="Times New Roman" w:eastAsia="宋体"/>
                <w:b w:val="0"/>
                <w:sz w:val="18"/>
              </w:rPr>
              <w:t>2.83</w:t>
            </w:r>
          </w:p>
        </w:tc>
      </w:tr>
      <w:tr w14:paraId="6284DF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2A1FF93">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52871028">
            <w:pPr>
              <w:keepNext w:val="0"/>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662" w:type="dxa"/>
            <w:tcMar>
              <w:left w:w="70" w:type="dxa"/>
              <w:right w:w="70" w:type="dxa"/>
            </w:tcMar>
            <w:vAlign w:val="center"/>
          </w:tcPr>
          <w:p w14:paraId="6664F3F0">
            <w:pPr>
              <w:keepNext w:val="0"/>
              <w:spacing w:before="20" w:after="20" w:line="260" w:lineRule="exact"/>
              <w:ind w:left="0" w:leftChars="0" w:right="0" w:rightChars="0" w:firstLine="0" w:firstLineChars="0"/>
              <w:jc w:val="center"/>
            </w:pPr>
            <w:r>
              <w:rPr>
                <w:rFonts w:ascii="Times New Roman" w:hAnsi="Times New Roman" w:eastAsia="宋体"/>
                <w:b w:val="0"/>
                <w:sz w:val="18"/>
              </w:rPr>
              <w:t>2169.50</w:t>
            </w:r>
          </w:p>
        </w:tc>
        <w:tc>
          <w:tcPr>
            <w:tcW w:w="1662" w:type="dxa"/>
            <w:tcMar>
              <w:left w:w="70" w:type="dxa"/>
              <w:right w:w="70" w:type="dxa"/>
            </w:tcMar>
            <w:vAlign w:val="center"/>
          </w:tcPr>
          <w:p w14:paraId="6E880C37">
            <w:pPr>
              <w:keepNext w:val="0"/>
              <w:spacing w:before="20" w:after="20" w:line="260" w:lineRule="exact"/>
              <w:ind w:left="0" w:leftChars="0" w:right="0" w:rightChars="0" w:firstLine="0" w:firstLineChars="0"/>
              <w:jc w:val="center"/>
            </w:pPr>
            <w:r>
              <w:rPr>
                <w:rFonts w:ascii="Times New Roman" w:hAnsi="Times New Roman" w:eastAsia="宋体"/>
                <w:b w:val="0"/>
                <w:sz w:val="18"/>
              </w:rPr>
              <w:t>862.66</w:t>
            </w:r>
          </w:p>
        </w:tc>
        <w:tc>
          <w:tcPr>
            <w:tcW w:w="1662" w:type="dxa"/>
            <w:tcMar>
              <w:left w:w="70" w:type="dxa"/>
              <w:right w:w="70" w:type="dxa"/>
            </w:tcMar>
            <w:vAlign w:val="center"/>
          </w:tcPr>
          <w:p w14:paraId="6BB8711D">
            <w:pPr>
              <w:keepNext w:val="0"/>
              <w:spacing w:before="20" w:after="20" w:line="260" w:lineRule="exact"/>
              <w:ind w:left="0" w:leftChars="0" w:right="0" w:rightChars="0" w:firstLine="0" w:firstLineChars="0"/>
              <w:jc w:val="center"/>
            </w:pPr>
            <w:r>
              <w:rPr>
                <w:rFonts w:ascii="Times New Roman" w:hAnsi="Times New Roman" w:eastAsia="宋体"/>
                <w:b w:val="0"/>
                <w:sz w:val="18"/>
              </w:rPr>
              <w:t>2.51</w:t>
            </w:r>
          </w:p>
        </w:tc>
      </w:tr>
      <w:tr w14:paraId="71D079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E572ACE">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51C7A76">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662" w:type="dxa"/>
            <w:tcMar>
              <w:left w:w="70" w:type="dxa"/>
              <w:right w:w="70" w:type="dxa"/>
            </w:tcMar>
            <w:vAlign w:val="center"/>
          </w:tcPr>
          <w:p w14:paraId="5A05F1CD">
            <w:pPr>
              <w:keepNext w:val="0"/>
              <w:spacing w:before="20" w:after="20" w:line="260" w:lineRule="exact"/>
              <w:ind w:left="0" w:leftChars="0" w:right="0" w:rightChars="0" w:firstLine="0" w:firstLineChars="0"/>
              <w:jc w:val="center"/>
            </w:pPr>
            <w:r>
              <w:rPr>
                <w:rFonts w:ascii="Times New Roman" w:hAnsi="Times New Roman" w:eastAsia="宋体"/>
                <w:b w:val="0"/>
                <w:sz w:val="18"/>
              </w:rPr>
              <w:t>2139.50</w:t>
            </w:r>
          </w:p>
        </w:tc>
        <w:tc>
          <w:tcPr>
            <w:tcW w:w="1662" w:type="dxa"/>
            <w:tcMar>
              <w:left w:w="70" w:type="dxa"/>
              <w:right w:w="70" w:type="dxa"/>
            </w:tcMar>
            <w:vAlign w:val="center"/>
          </w:tcPr>
          <w:p w14:paraId="2A4CF440">
            <w:pPr>
              <w:keepNext w:val="0"/>
              <w:spacing w:before="20" w:after="20" w:line="260" w:lineRule="exact"/>
              <w:ind w:left="0" w:leftChars="0" w:right="0" w:rightChars="0" w:firstLine="0" w:firstLineChars="0"/>
              <w:jc w:val="center"/>
            </w:pPr>
            <w:r>
              <w:rPr>
                <w:rFonts w:ascii="Times New Roman" w:hAnsi="Times New Roman" w:eastAsia="宋体"/>
                <w:b w:val="0"/>
                <w:sz w:val="18"/>
              </w:rPr>
              <w:t>956.45</w:t>
            </w:r>
          </w:p>
        </w:tc>
        <w:tc>
          <w:tcPr>
            <w:tcW w:w="1662" w:type="dxa"/>
            <w:tcMar>
              <w:left w:w="70" w:type="dxa"/>
              <w:right w:w="70" w:type="dxa"/>
            </w:tcMar>
            <w:vAlign w:val="center"/>
          </w:tcPr>
          <w:p w14:paraId="2E92BAF4">
            <w:pPr>
              <w:keepNext w:val="0"/>
              <w:spacing w:before="20" w:after="20" w:line="260" w:lineRule="exact"/>
              <w:ind w:left="0" w:leftChars="0" w:right="0" w:rightChars="0" w:firstLine="0" w:firstLineChars="0"/>
              <w:jc w:val="center"/>
            </w:pPr>
            <w:r>
              <w:rPr>
                <w:rFonts w:ascii="Times New Roman" w:hAnsi="Times New Roman" w:eastAsia="宋体"/>
                <w:b w:val="0"/>
                <w:sz w:val="18"/>
              </w:rPr>
              <w:t>2.24</w:t>
            </w:r>
          </w:p>
        </w:tc>
      </w:tr>
      <w:tr w14:paraId="342F53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2677B9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96F41A4">
            <w:pPr>
              <w:keepNext w:val="0"/>
              <w:spacing w:before="20" w:after="20" w:line="260" w:lineRule="exact"/>
              <w:ind w:left="0" w:leftChars="0" w:right="0" w:rightChars="0" w:firstLine="0" w:firstLineChars="0"/>
              <w:jc w:val="center"/>
            </w:pPr>
            <w:r>
              <w:rPr>
                <w:rFonts w:ascii="Times New Roman" w:hAnsi="Times New Roman" w:eastAsia="宋体"/>
                <w:b w:val="0"/>
                <w:sz w:val="18"/>
              </w:rPr>
              <w:t>2021</w:t>
            </w:r>
          </w:p>
        </w:tc>
        <w:tc>
          <w:tcPr>
            <w:tcW w:w="1662" w:type="dxa"/>
            <w:tcMar>
              <w:left w:w="70" w:type="dxa"/>
              <w:right w:w="70" w:type="dxa"/>
            </w:tcMar>
            <w:vAlign w:val="center"/>
          </w:tcPr>
          <w:p w14:paraId="61BC50A6">
            <w:pPr>
              <w:keepNext w:val="0"/>
              <w:spacing w:before="20" w:after="20" w:line="260" w:lineRule="exact"/>
              <w:ind w:left="0" w:leftChars="0" w:right="0" w:rightChars="0" w:firstLine="0" w:firstLineChars="0"/>
              <w:jc w:val="center"/>
            </w:pPr>
            <w:r>
              <w:rPr>
                <w:rFonts w:ascii="Times New Roman" w:hAnsi="Times New Roman" w:eastAsia="宋体"/>
                <w:b w:val="0"/>
                <w:sz w:val="18"/>
              </w:rPr>
              <w:t>3113.50</w:t>
            </w:r>
          </w:p>
        </w:tc>
        <w:tc>
          <w:tcPr>
            <w:tcW w:w="1662" w:type="dxa"/>
            <w:tcMar>
              <w:left w:w="70" w:type="dxa"/>
              <w:right w:w="70" w:type="dxa"/>
            </w:tcMar>
            <w:vAlign w:val="center"/>
          </w:tcPr>
          <w:p w14:paraId="0FD66F85">
            <w:pPr>
              <w:keepNext w:val="0"/>
              <w:spacing w:before="20" w:after="20" w:line="260" w:lineRule="exact"/>
              <w:ind w:left="0" w:leftChars="0" w:right="0" w:rightChars="0" w:firstLine="0" w:firstLineChars="0"/>
              <w:jc w:val="center"/>
            </w:pPr>
            <w:r>
              <w:rPr>
                <w:rFonts w:ascii="Times New Roman" w:hAnsi="Times New Roman" w:eastAsia="宋体"/>
                <w:b w:val="0"/>
                <w:sz w:val="18"/>
              </w:rPr>
              <w:t>1449.77</w:t>
            </w:r>
          </w:p>
        </w:tc>
        <w:tc>
          <w:tcPr>
            <w:tcW w:w="1662" w:type="dxa"/>
            <w:tcMar>
              <w:left w:w="70" w:type="dxa"/>
              <w:right w:w="70" w:type="dxa"/>
            </w:tcMar>
            <w:vAlign w:val="center"/>
          </w:tcPr>
          <w:p w14:paraId="0EF0C5FD">
            <w:pPr>
              <w:keepNext w:val="0"/>
              <w:spacing w:before="20" w:after="20" w:line="260" w:lineRule="exact"/>
              <w:ind w:left="0" w:leftChars="0" w:right="0" w:rightChars="0" w:firstLine="0" w:firstLineChars="0"/>
              <w:jc w:val="center"/>
            </w:pPr>
            <w:r>
              <w:rPr>
                <w:rFonts w:ascii="Times New Roman" w:hAnsi="Times New Roman" w:eastAsia="宋体"/>
                <w:b w:val="0"/>
                <w:sz w:val="18"/>
              </w:rPr>
              <w:t>2.15</w:t>
            </w:r>
          </w:p>
        </w:tc>
      </w:tr>
      <w:tr w14:paraId="73BDB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0F6A50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07C01D36">
            <w:pPr>
              <w:keepNext w:val="0"/>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662" w:type="dxa"/>
            <w:tcMar>
              <w:left w:w="70" w:type="dxa"/>
              <w:right w:w="70" w:type="dxa"/>
            </w:tcMar>
            <w:vAlign w:val="center"/>
          </w:tcPr>
          <w:p w14:paraId="6CDDBD11">
            <w:pPr>
              <w:keepNext w:val="0"/>
              <w:spacing w:before="20" w:after="20" w:line="260" w:lineRule="exact"/>
              <w:ind w:left="0" w:leftChars="0" w:right="0" w:rightChars="0" w:firstLine="0" w:firstLineChars="0"/>
              <w:jc w:val="center"/>
            </w:pPr>
            <w:r>
              <w:rPr>
                <w:rFonts w:ascii="Times New Roman" w:hAnsi="Times New Roman" w:eastAsia="宋体"/>
                <w:b w:val="0"/>
                <w:sz w:val="18"/>
              </w:rPr>
              <w:t>3345.00</w:t>
            </w:r>
          </w:p>
        </w:tc>
        <w:tc>
          <w:tcPr>
            <w:tcW w:w="1662" w:type="dxa"/>
            <w:tcMar>
              <w:left w:w="70" w:type="dxa"/>
              <w:right w:w="70" w:type="dxa"/>
            </w:tcMar>
            <w:vAlign w:val="center"/>
          </w:tcPr>
          <w:p w14:paraId="2A384509">
            <w:pPr>
              <w:keepNext w:val="0"/>
              <w:spacing w:before="20" w:after="20" w:line="260" w:lineRule="exact"/>
              <w:ind w:left="0" w:leftChars="0" w:right="0" w:rightChars="0" w:firstLine="0" w:firstLineChars="0"/>
              <w:jc w:val="center"/>
            </w:pPr>
            <w:r>
              <w:rPr>
                <w:rFonts w:ascii="Times New Roman" w:hAnsi="Times New Roman" w:eastAsia="宋体"/>
                <w:b w:val="0"/>
                <w:sz w:val="18"/>
              </w:rPr>
              <w:t>1432.37</w:t>
            </w:r>
          </w:p>
        </w:tc>
        <w:tc>
          <w:tcPr>
            <w:tcW w:w="1662" w:type="dxa"/>
            <w:tcMar>
              <w:left w:w="70" w:type="dxa"/>
              <w:right w:w="70" w:type="dxa"/>
            </w:tcMar>
            <w:vAlign w:val="center"/>
          </w:tcPr>
          <w:p w14:paraId="4D670EBB">
            <w:pPr>
              <w:keepNext w:val="0"/>
              <w:spacing w:before="20" w:after="20" w:line="260" w:lineRule="exact"/>
              <w:ind w:left="0" w:leftChars="0" w:right="0" w:rightChars="0" w:firstLine="0" w:firstLineChars="0"/>
              <w:jc w:val="center"/>
            </w:pPr>
            <w:r>
              <w:rPr>
                <w:rFonts w:ascii="Times New Roman" w:hAnsi="Times New Roman" w:eastAsia="宋体"/>
                <w:b w:val="0"/>
                <w:sz w:val="18"/>
              </w:rPr>
              <w:t>2.34</w:t>
            </w:r>
          </w:p>
        </w:tc>
      </w:tr>
      <w:tr w14:paraId="3C2EFB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DC0655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688262DC">
            <w:pPr>
              <w:keepNext w:val="0"/>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662" w:type="dxa"/>
            <w:tcMar>
              <w:left w:w="70" w:type="dxa"/>
              <w:right w:w="70" w:type="dxa"/>
            </w:tcMar>
            <w:vAlign w:val="center"/>
          </w:tcPr>
          <w:p w14:paraId="79A06499">
            <w:pPr>
              <w:keepNext w:val="0"/>
              <w:spacing w:before="20" w:after="20" w:line="260" w:lineRule="exact"/>
              <w:ind w:left="0" w:leftChars="0" w:right="0" w:rightChars="0" w:firstLine="0" w:firstLineChars="0"/>
              <w:jc w:val="center"/>
            </w:pPr>
            <w:r>
              <w:rPr>
                <w:rFonts w:ascii="Times New Roman" w:hAnsi="Times New Roman" w:eastAsia="宋体"/>
                <w:b w:val="0"/>
                <w:sz w:val="18"/>
              </w:rPr>
              <w:t>3575.00</w:t>
            </w:r>
          </w:p>
        </w:tc>
        <w:tc>
          <w:tcPr>
            <w:tcW w:w="1662" w:type="dxa"/>
            <w:tcMar>
              <w:left w:w="70" w:type="dxa"/>
              <w:right w:w="70" w:type="dxa"/>
            </w:tcMar>
            <w:vAlign w:val="center"/>
          </w:tcPr>
          <w:p w14:paraId="44B716D5">
            <w:pPr>
              <w:keepNext w:val="0"/>
              <w:spacing w:before="20" w:after="20" w:line="260" w:lineRule="exact"/>
              <w:ind w:left="0" w:leftChars="0" w:right="0" w:rightChars="0" w:firstLine="0" w:firstLineChars="0"/>
              <w:jc w:val="center"/>
            </w:pPr>
            <w:r>
              <w:rPr>
                <w:rFonts w:ascii="Times New Roman" w:hAnsi="Times New Roman" w:eastAsia="宋体"/>
                <w:b w:val="0"/>
                <w:sz w:val="18"/>
              </w:rPr>
              <w:t>1542.22</w:t>
            </w:r>
          </w:p>
        </w:tc>
        <w:tc>
          <w:tcPr>
            <w:tcW w:w="1662" w:type="dxa"/>
            <w:tcMar>
              <w:left w:w="70" w:type="dxa"/>
              <w:right w:w="70" w:type="dxa"/>
            </w:tcMar>
            <w:vAlign w:val="center"/>
          </w:tcPr>
          <w:p w14:paraId="475A8DA4">
            <w:pPr>
              <w:keepNext w:val="0"/>
              <w:spacing w:before="20" w:after="20" w:line="260" w:lineRule="exact"/>
              <w:ind w:left="0" w:leftChars="0" w:right="0" w:rightChars="0" w:firstLine="0" w:firstLineChars="0"/>
              <w:jc w:val="center"/>
            </w:pPr>
            <w:r>
              <w:rPr>
                <w:rFonts w:ascii="Times New Roman" w:hAnsi="Times New Roman" w:eastAsia="宋体"/>
                <w:b w:val="0"/>
                <w:sz w:val="18"/>
              </w:rPr>
              <w:t>2.32</w:t>
            </w:r>
          </w:p>
        </w:tc>
      </w:tr>
      <w:tr w14:paraId="2C5112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59BC6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496E5D9">
            <w:pPr>
              <w:keepNext w:val="0"/>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662" w:type="dxa"/>
            <w:tcMar>
              <w:left w:w="70" w:type="dxa"/>
              <w:right w:w="70" w:type="dxa"/>
            </w:tcMar>
            <w:vAlign w:val="center"/>
          </w:tcPr>
          <w:p w14:paraId="56AF9A0E">
            <w:pPr>
              <w:keepNext w:val="0"/>
              <w:spacing w:before="20" w:after="20" w:line="260" w:lineRule="exact"/>
              <w:ind w:left="0" w:leftChars="0" w:right="0" w:rightChars="0" w:firstLine="0" w:firstLineChars="0"/>
              <w:jc w:val="center"/>
            </w:pPr>
            <w:r>
              <w:rPr>
                <w:rFonts w:ascii="Times New Roman" w:hAnsi="Times New Roman" w:eastAsia="宋体"/>
                <w:b w:val="0"/>
                <w:sz w:val="18"/>
              </w:rPr>
              <w:t>3675.00</w:t>
            </w:r>
          </w:p>
        </w:tc>
        <w:tc>
          <w:tcPr>
            <w:tcW w:w="1662" w:type="dxa"/>
            <w:tcMar>
              <w:left w:w="70" w:type="dxa"/>
              <w:right w:w="70" w:type="dxa"/>
            </w:tcMar>
            <w:vAlign w:val="center"/>
          </w:tcPr>
          <w:p w14:paraId="577A2300">
            <w:pPr>
              <w:keepNext w:val="0"/>
              <w:spacing w:before="20" w:after="20" w:line="260" w:lineRule="exact"/>
              <w:ind w:left="0" w:leftChars="0" w:right="0" w:rightChars="0" w:firstLine="0" w:firstLineChars="0"/>
              <w:jc w:val="center"/>
            </w:pPr>
            <w:r>
              <w:rPr>
                <w:rFonts w:ascii="Times New Roman" w:hAnsi="Times New Roman" w:eastAsia="宋体"/>
                <w:b w:val="0"/>
                <w:sz w:val="18"/>
              </w:rPr>
              <w:t>1449.40</w:t>
            </w:r>
          </w:p>
        </w:tc>
        <w:tc>
          <w:tcPr>
            <w:tcW w:w="1662" w:type="dxa"/>
            <w:tcMar>
              <w:left w:w="70" w:type="dxa"/>
              <w:right w:w="70" w:type="dxa"/>
            </w:tcMar>
            <w:vAlign w:val="center"/>
          </w:tcPr>
          <w:p w14:paraId="001738E4">
            <w:pPr>
              <w:keepNext w:val="0"/>
              <w:spacing w:before="20" w:after="20" w:line="260" w:lineRule="exact"/>
              <w:ind w:left="0" w:leftChars="0" w:right="0" w:rightChars="0" w:firstLine="0" w:firstLineChars="0"/>
              <w:jc w:val="center"/>
            </w:pPr>
            <w:r>
              <w:rPr>
                <w:rFonts w:ascii="Times New Roman" w:hAnsi="Times New Roman" w:eastAsia="宋体"/>
                <w:b w:val="0"/>
                <w:sz w:val="18"/>
              </w:rPr>
              <w:t>2.54</w:t>
            </w:r>
          </w:p>
        </w:tc>
      </w:tr>
      <w:tr w14:paraId="684579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EC33CBF">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4E0977D">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662" w:type="dxa"/>
            <w:tcMar>
              <w:left w:w="70" w:type="dxa"/>
              <w:right w:w="70" w:type="dxa"/>
            </w:tcMar>
            <w:vAlign w:val="center"/>
          </w:tcPr>
          <w:p w14:paraId="05A5AC00">
            <w:pPr>
              <w:keepNext w:val="0"/>
              <w:spacing w:before="20" w:after="20" w:line="260" w:lineRule="exact"/>
              <w:ind w:left="0" w:leftChars="0" w:right="0" w:rightChars="0" w:firstLine="0" w:firstLineChars="0"/>
              <w:jc w:val="center"/>
            </w:pPr>
            <w:r>
              <w:rPr>
                <w:rFonts w:ascii="Times New Roman" w:hAnsi="Times New Roman" w:eastAsia="宋体"/>
                <w:b w:val="0"/>
                <w:sz w:val="18"/>
              </w:rPr>
              <w:t>3701.00</w:t>
            </w:r>
          </w:p>
        </w:tc>
        <w:tc>
          <w:tcPr>
            <w:tcW w:w="1662" w:type="dxa"/>
            <w:tcMar>
              <w:left w:w="70" w:type="dxa"/>
              <w:right w:w="70" w:type="dxa"/>
            </w:tcMar>
            <w:vAlign w:val="center"/>
          </w:tcPr>
          <w:p w14:paraId="27931A24">
            <w:pPr>
              <w:keepNext w:val="0"/>
              <w:spacing w:before="20" w:after="20" w:line="260" w:lineRule="exact"/>
              <w:ind w:left="0" w:leftChars="0" w:right="0" w:rightChars="0" w:firstLine="0" w:firstLineChars="0"/>
              <w:jc w:val="center"/>
            </w:pPr>
            <w:r>
              <w:rPr>
                <w:rFonts w:ascii="Times New Roman" w:hAnsi="Times New Roman" w:eastAsia="宋体"/>
                <w:b w:val="0"/>
                <w:sz w:val="18"/>
              </w:rPr>
              <w:t>1528.82</w:t>
            </w:r>
          </w:p>
        </w:tc>
        <w:tc>
          <w:tcPr>
            <w:tcW w:w="1662" w:type="dxa"/>
            <w:tcMar>
              <w:left w:w="70" w:type="dxa"/>
              <w:right w:w="70" w:type="dxa"/>
            </w:tcMar>
            <w:vAlign w:val="center"/>
          </w:tcPr>
          <w:p w14:paraId="774F7B21">
            <w:pPr>
              <w:keepNext w:val="0"/>
              <w:spacing w:before="20" w:after="20" w:line="260" w:lineRule="exact"/>
              <w:ind w:left="0" w:leftChars="0" w:right="0" w:rightChars="0" w:firstLine="0" w:firstLineChars="0"/>
              <w:jc w:val="center"/>
            </w:pPr>
            <w:r>
              <w:rPr>
                <w:rFonts w:ascii="Times New Roman" w:hAnsi="Times New Roman" w:eastAsia="宋体"/>
                <w:b w:val="0"/>
                <w:sz w:val="18"/>
              </w:rPr>
              <w:t>2.42</w:t>
            </w:r>
          </w:p>
        </w:tc>
      </w:tr>
    </w:tbl>
    <w:p w14:paraId="5FAA34B9">
      <w:pPr>
        <w:pStyle w:val="5"/>
        <w:keepNext/>
        <w:numPr>
          <w:ilvl w:val="0"/>
          <w:numId w:val="0"/>
        </w:numPr>
        <w:spacing w:before="160" w:after="120" w:line="390" w:lineRule="exact"/>
        <w:ind w:firstLine="0"/>
      </w:pPr>
      <w:bookmarkStart w:id="96" w:name="市区年度变化"/>
      <w:r>
        <w:rPr>
          <w:rFonts w:ascii="Times New Roman" w:hAnsi="Times New Roman" w:eastAsia="方正仿宋_GBK"/>
          <w:b/>
          <w:sz w:val="26"/>
        </w:rPr>
        <w:t>3.2.2 市区年度变化</w:t>
      </w:r>
      <w:bookmarkEnd w:id="96"/>
    </w:p>
    <w:p w14:paraId="68ED2FCA">
      <w:pPr>
        <w:pStyle w:val="115"/>
        <w:widowControl/>
        <w:spacing w:before="0" w:after="0" w:line="348" w:lineRule="exact"/>
        <w:ind w:firstLine="480"/>
        <w:jc w:val="both"/>
      </w:pPr>
      <w:r>
        <w:rPr>
          <w:rFonts w:ascii="Times New Roman" w:hAnsi="Times New Roman" w:eastAsia="方正仿宋_GBK"/>
          <w:b w:val="0"/>
          <w:sz w:val="24"/>
        </w:rPr>
        <w:t>市区2021年公用主变总容量为3113.50 MVA，年网供最大负荷估计为1449.77 MW。2022—2025年负荷分别为1432.37、1542.22、1449.40和1528.82 MW。该序列在2022年和2024年出现回落，体现了年际波动。</w:t>
      </w:r>
    </w:p>
    <w:p w14:paraId="722FF77E">
      <w:pPr>
        <w:pStyle w:val="2"/>
        <w:widowControl/>
        <w:spacing w:before="0" w:after="0" w:line="348" w:lineRule="exact"/>
        <w:ind w:firstLine="480"/>
        <w:jc w:val="both"/>
      </w:pPr>
      <w:r>
        <w:rPr>
          <w:rFonts w:ascii="Times New Roman" w:hAnsi="Times New Roman" w:eastAsia="方正仿宋_GBK"/>
          <w:b w:val="0"/>
          <w:sz w:val="24"/>
        </w:rPr>
        <w:t>市区案例保留样本负荷的空间分布，设备候选按站级资料及研究假设设置。第五章保留统一仿真起点，采用2022—2025年实际年度负荷进行方案比较。</w:t>
      </w:r>
    </w:p>
    <w:p w14:paraId="0F0E665F">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7876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4"/>
                    <a:stretch>
                      <a:fillRect/>
                    </a:stretch>
                  </pic:blipFill>
                  <pic:spPr>
                    <a:xfrm>
                      <a:off x="0" y="0"/>
                      <a:ext cx="5120640" cy="2787963"/>
                    </a:xfrm>
                    <a:prstGeom prst="rect">
                      <a:avLst/>
                    </a:prstGeom>
                    <a:noFill/>
                    <a:ln w="9525">
                      <a:noFill/>
                    </a:ln>
                  </pic:spPr>
                </pic:pic>
              </a:graphicData>
            </a:graphic>
          </wp:inline>
        </w:drawing>
      </w:r>
    </w:p>
    <w:p w14:paraId="6CAEEA78">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 邳州和市区年网供最大负荷</w:t>
      </w:r>
    </w:p>
    <w:p w14:paraId="16943F62">
      <w:pPr>
        <w:pStyle w:val="2"/>
        <w:widowControl/>
        <w:spacing w:before="0" w:after="0" w:line="348" w:lineRule="exact"/>
        <w:ind w:firstLine="480"/>
        <w:jc w:val="both"/>
      </w:pPr>
      <w:r>
        <w:rPr>
          <w:rFonts w:ascii="Times New Roman" w:hAnsi="Times New Roman" w:eastAsia="方正仿宋_GBK"/>
          <w:b w:val="0"/>
          <w:sz w:val="24"/>
        </w:rPr>
        <w:t>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14:paraId="2D347F59">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12064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5"/>
                    <a:stretch>
                      <a:fillRect/>
                    </a:stretch>
                  </pic:blipFill>
                  <pic:spPr>
                    <a:xfrm>
                      <a:off x="0" y="0"/>
                      <a:ext cx="5120640" cy="5120640"/>
                    </a:xfrm>
                    <a:prstGeom prst="rect">
                      <a:avLst/>
                    </a:prstGeom>
                    <a:noFill/>
                    <a:ln w="9525">
                      <a:noFill/>
                    </a:ln>
                  </pic:spPr>
                </pic:pic>
              </a:graphicData>
            </a:graphic>
          </wp:inline>
        </w:drawing>
      </w:r>
    </w:p>
    <w:p w14:paraId="456AA969">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图3-2 两地区年度主变容量与网供最大负荷</w:t>
      </w:r>
    </w:p>
    <w:p w14:paraId="51B37702">
      <w:pPr>
        <w:pStyle w:val="5"/>
        <w:keepNext/>
        <w:numPr>
          <w:ilvl w:val="0"/>
          <w:numId w:val="0"/>
        </w:numPr>
        <w:spacing w:before="160" w:after="120" w:line="390" w:lineRule="exact"/>
        <w:ind w:firstLine="0"/>
      </w:pPr>
      <w:bookmarkStart w:id="97" w:name="年最大净负荷平均增长率"/>
      <w:r>
        <w:rPr>
          <w:rFonts w:ascii="Times New Roman" w:hAnsi="Times New Roman" w:eastAsia="方正仿宋_GBK"/>
          <w:b/>
          <w:sz w:val="26"/>
        </w:rPr>
        <w:t>3.2.3 年最大净负荷平均增长率</w:t>
      </w:r>
      <w:bookmarkEnd w:id="97"/>
    </w:p>
    <w:p w14:paraId="345CC77E">
      <w:pPr>
        <w:pStyle w:val="115"/>
        <w:widowControl/>
        <w:spacing w:before="0" w:after="0" w:line="348" w:lineRule="exact"/>
        <w:ind w:firstLine="480"/>
        <w:jc w:val="both"/>
      </w:pPr>
      <w:r>
        <w:rPr>
          <w:rFonts w:ascii="Times New Roman" w:hAnsi="Times New Roman" w:eastAsia="方正仿宋_GBK"/>
          <w:b w:val="0"/>
          <w:sz w:val="24"/>
        </w:rPr>
        <w:t>年最大净负荷平均增长率[8]由同范围起止年度负荷按复合增长形式计算。2021—2025年包含四个年度间隔，增长分档采用2025年4月《配电网规划设计技术导则（修订稿）》第6.2.2.1条及表2[8]。</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（3-1）</w:t>
            </w:r>
          </w:p>
        </w:tc>
      </w:tr>
    </w:tbl>
    <w:p w14:paraId="5CEC486B">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为第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年网供最大负荷估计值，单位MW；</w:t>
      </w:r>
      <m:oMath>
        <m:acc>
          <m:accPr>
            <m:chr m:val="‾"/>
          </m:accPr>
          <m:e>
            <m:r>
              <m:rPr>
                <m:nor/>
              </m:rPr>
              <w:rPr>
                <w:rFonts w:ascii="Times New Roman" w:hAnsi="Times New Roman" w:eastAsia="方正仿宋_GBK" w:cs="Times New Roman"/>
                <w:i/>
                <w:iCs/>
              </w:rPr>
              <m:t>g</m:t>
            </m:r>
          </m:e>
        </m:acc>
      </m:oMath>
      <w:r>
        <w:rPr>
          <w:rFonts w:ascii="Times New Roman" w:hAnsi="Times New Roman" w:eastAsia="方正仿宋_GBK"/>
          <w:b w:val="0"/>
          <w:sz w:val="24"/>
        </w:rPr>
        <w:t>为年最大净负荷平均增长率。</w:t>
      </w:r>
    </w:p>
    <w:p w14:paraId="281BE092">
      <w:pPr>
        <w:pStyle w:val="2"/>
        <w:keepNext/>
        <w:spacing w:before="120" w:after="80" w:line="280" w:lineRule="exact"/>
        <w:ind w:firstLine="0"/>
        <w:jc w:val="center"/>
      </w:pPr>
      <w:r>
        <w:rPr>
          <w:rFonts w:ascii="Times New Roman" w:hAnsi="Times New Roman" w:eastAsia="宋体"/>
          <w:b w:val="0"/>
          <w:sz w:val="21"/>
        </w:rPr>
        <w:t>表3-2 年最大净负荷平均增长率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38CF02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7BC1492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3E3C2D56">
            <w:pPr>
              <w:keepNext/>
              <w:spacing w:before="20" w:after="20" w:line="260" w:lineRule="exact"/>
              <w:ind w:left="0" w:leftChars="0" w:right="0" w:rightChars="0" w:firstLine="0" w:firstLineChars="0"/>
              <w:jc w:val="center"/>
            </w:pPr>
            <w:r>
              <w:rPr>
                <w:rFonts w:ascii="Times New Roman" w:hAnsi="Times New Roman" w:eastAsia="宋体"/>
                <w:b/>
                <w:sz w:val="18"/>
              </w:rPr>
              <w:t>2021年年网供最大负荷/MW</w:t>
            </w:r>
          </w:p>
        </w:tc>
        <w:tc>
          <w:tcPr>
            <w:tcW w:w="1187" w:type="dxa"/>
            <w:tcMar>
              <w:left w:w="70" w:type="dxa"/>
              <w:right w:w="70" w:type="dxa"/>
            </w:tcMar>
            <w:vAlign w:val="center"/>
          </w:tcPr>
          <w:p w14:paraId="643C7592">
            <w:pPr>
              <w:keepNext/>
              <w:spacing w:before="20" w:after="20" w:line="260" w:lineRule="exact"/>
              <w:ind w:left="0" w:leftChars="0" w:right="0" w:rightChars="0" w:firstLine="0" w:firstLineChars="0"/>
              <w:jc w:val="center"/>
            </w:pPr>
            <w:r>
              <w:rPr>
                <w:rFonts w:ascii="Times New Roman" w:hAnsi="Times New Roman" w:eastAsia="宋体"/>
                <w:b/>
                <w:sz w:val="18"/>
              </w:rPr>
              <w:t>2025年年网供最大负荷/MW</w:t>
            </w:r>
          </w:p>
        </w:tc>
        <w:tc>
          <w:tcPr>
            <w:tcW w:w="1187" w:type="dxa"/>
            <w:tcMar>
              <w:left w:w="70" w:type="dxa"/>
              <w:right w:w="70" w:type="dxa"/>
            </w:tcMar>
            <w:vAlign w:val="center"/>
          </w:tcPr>
          <w:p w14:paraId="2768ABC9">
            <w:pPr>
              <w:keepNext/>
              <w:spacing w:before="20" w:after="20" w:line="260" w:lineRule="exact"/>
              <w:ind w:left="0" w:leftChars="0" w:right="0" w:rightChars="0" w:firstLine="0" w:firstLineChars="0"/>
              <w:jc w:val="center"/>
            </w:pPr>
            <w:r>
              <w:rPr>
                <w:rFonts w:ascii="Times New Roman" w:hAnsi="Times New Roman" w:eastAsia="宋体"/>
                <w:b/>
                <w:sz w:val="18"/>
              </w:rPr>
              <w:t>间隔/年</w:t>
            </w:r>
          </w:p>
        </w:tc>
        <w:tc>
          <w:tcPr>
            <w:tcW w:w="1187" w:type="dxa"/>
            <w:tcMar>
              <w:left w:w="70" w:type="dxa"/>
              <w:right w:w="70" w:type="dxa"/>
            </w:tcMar>
            <w:vAlign w:val="center"/>
          </w:tcPr>
          <w:p w14:paraId="731E8029">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187" w:type="dxa"/>
            <w:tcMar>
              <w:left w:w="70" w:type="dxa"/>
              <w:right w:w="70" w:type="dxa"/>
            </w:tcMar>
            <w:vAlign w:val="center"/>
          </w:tcPr>
          <w:p w14:paraId="34FFAF41">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年最大净负荷平均增长率所属区间</w:t>
            </w:r>
          </w:p>
        </w:tc>
        <w:tc>
          <w:tcPr>
            <w:tcW w:w="1187" w:type="dxa"/>
            <w:tcMar>
              <w:left w:w="70" w:type="dxa"/>
              <w:right w:w="70" w:type="dxa"/>
            </w:tcMar>
            <w:vAlign w:val="center"/>
          </w:tcPr>
          <w:p w14:paraId="2FB6C9CB">
            <w:pPr>
              <w:keepNext/>
              <w:spacing w:before="20" w:after="20" w:line="260" w:lineRule="exact"/>
              <w:ind w:left="0" w:leftChars="0" w:right="0" w:rightChars="0" w:firstLine="0" w:firstLineChars="0"/>
              <w:jc w:val="center"/>
            </w:pPr>
            <w:r>
              <w:rPr>
                <w:rFonts w:ascii="Times New Roman" w:hAnsi="Times New Roman" w:eastAsia="宋体"/>
                <w:b/>
                <w:sz w:val="18"/>
              </w:rPr>
              <w:t>导则参考容载比</w:t>
            </w:r>
          </w:p>
        </w:tc>
      </w:tr>
      <w:tr w14:paraId="3E3155E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7119742">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44547BCD">
            <w:pPr>
              <w:keepNext/>
              <w:spacing w:before="20" w:after="20" w:line="260" w:lineRule="exact"/>
              <w:ind w:left="0" w:leftChars="0" w:right="0" w:rightChars="0" w:firstLine="0" w:firstLineChars="0"/>
              <w:jc w:val="center"/>
            </w:pPr>
            <w:r>
              <w:rPr>
                <w:rFonts w:ascii="Times New Roman" w:hAnsi="Times New Roman" w:eastAsia="宋体"/>
                <w:b w:val="0"/>
                <w:sz w:val="18"/>
              </w:rPr>
              <w:t>731.77</w:t>
            </w:r>
          </w:p>
        </w:tc>
        <w:tc>
          <w:tcPr>
            <w:tcW w:w="1187" w:type="dxa"/>
            <w:tcMar>
              <w:left w:w="70" w:type="dxa"/>
              <w:right w:w="70" w:type="dxa"/>
            </w:tcMar>
            <w:vAlign w:val="center"/>
          </w:tcPr>
          <w:p w14:paraId="23B39F34">
            <w:pPr>
              <w:keepNext/>
              <w:spacing w:before="20" w:after="20" w:line="260" w:lineRule="exact"/>
              <w:ind w:left="0" w:leftChars="0" w:right="0" w:rightChars="0" w:firstLine="0" w:firstLineChars="0"/>
              <w:jc w:val="center"/>
            </w:pPr>
            <w:r>
              <w:rPr>
                <w:rFonts w:ascii="Times New Roman" w:hAnsi="Times New Roman" w:eastAsia="宋体"/>
                <w:b w:val="0"/>
                <w:sz w:val="18"/>
              </w:rPr>
              <w:t>956.45</w:t>
            </w:r>
          </w:p>
        </w:tc>
        <w:tc>
          <w:tcPr>
            <w:tcW w:w="1187" w:type="dxa"/>
            <w:tcMar>
              <w:left w:w="70" w:type="dxa"/>
              <w:right w:w="70" w:type="dxa"/>
            </w:tcMar>
            <w:vAlign w:val="center"/>
          </w:tcPr>
          <w:p w14:paraId="64DCBE7F">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0626B8B7">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187" w:type="dxa"/>
            <w:tcMar>
              <w:left w:w="70" w:type="dxa"/>
              <w:right w:w="70" w:type="dxa"/>
            </w:tcMar>
            <w:vAlign w:val="center"/>
          </w:tcPr>
          <w:p w14:paraId="41A23D9B">
            <w:pPr>
              <w:keepNext/>
              <w:spacing w:before="20" w:after="20" w:line="260" w:lineRule="exact"/>
              <w:ind w:left="0" w:leftChars="0" w:right="0" w:rightChars="0" w:firstLine="0" w:firstLineChars="0"/>
              <w:jc w:val="center"/>
            </w:pPr>
            <w:r>
              <w:rPr>
                <w:rFonts w:ascii="Times New Roman" w:hAnsi="Times New Roman" w:eastAsia="宋体"/>
                <w:b w:val="0"/>
                <w:sz w:val="18"/>
              </w:rPr>
              <w:t>(4%, 7%]</w:t>
            </w:r>
          </w:p>
        </w:tc>
        <w:tc>
          <w:tcPr>
            <w:tcW w:w="1187" w:type="dxa"/>
            <w:tcMar>
              <w:left w:w="70" w:type="dxa"/>
              <w:right w:w="70" w:type="dxa"/>
            </w:tcMar>
            <w:vAlign w:val="center"/>
          </w:tcPr>
          <w:p w14:paraId="4BD46ABA">
            <w:pPr>
              <w:keepNext/>
              <w:spacing w:before="20" w:after="20" w:line="260" w:lineRule="exact"/>
              <w:ind w:left="0" w:leftChars="0" w:right="0" w:rightChars="0" w:firstLine="0" w:firstLineChars="0"/>
              <w:jc w:val="center"/>
            </w:pPr>
            <w:r>
              <w:rPr>
                <w:rFonts w:ascii="Times New Roman" w:hAnsi="Times New Roman" w:eastAsia="宋体"/>
                <w:b w:val="0"/>
                <w:sz w:val="18"/>
              </w:rPr>
              <w:t>1.70～1.90</w:t>
            </w:r>
          </w:p>
        </w:tc>
      </w:tr>
      <w:tr w14:paraId="216B8E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6714DA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7B729B83">
            <w:pPr>
              <w:keepNext w:val="0"/>
              <w:spacing w:before="20" w:after="20" w:line="260" w:lineRule="exact"/>
              <w:ind w:left="0" w:leftChars="0" w:right="0" w:rightChars="0" w:firstLine="0" w:firstLineChars="0"/>
              <w:jc w:val="center"/>
            </w:pPr>
            <w:r>
              <w:rPr>
                <w:rFonts w:ascii="Times New Roman" w:hAnsi="Times New Roman" w:eastAsia="宋体"/>
                <w:b w:val="0"/>
                <w:sz w:val="18"/>
              </w:rPr>
              <w:t>1449.77</w:t>
            </w:r>
          </w:p>
        </w:tc>
        <w:tc>
          <w:tcPr>
            <w:tcW w:w="1187" w:type="dxa"/>
            <w:tcMar>
              <w:left w:w="70" w:type="dxa"/>
              <w:right w:w="70" w:type="dxa"/>
            </w:tcMar>
            <w:vAlign w:val="center"/>
          </w:tcPr>
          <w:p w14:paraId="3E9B9FB6">
            <w:pPr>
              <w:keepNext w:val="0"/>
              <w:spacing w:before="20" w:after="20" w:line="260" w:lineRule="exact"/>
              <w:ind w:left="0" w:leftChars="0" w:right="0" w:rightChars="0" w:firstLine="0" w:firstLineChars="0"/>
              <w:jc w:val="center"/>
            </w:pPr>
            <w:r>
              <w:rPr>
                <w:rFonts w:ascii="Times New Roman" w:hAnsi="Times New Roman" w:eastAsia="宋体"/>
                <w:b w:val="0"/>
                <w:sz w:val="18"/>
              </w:rPr>
              <w:t>1528.82</w:t>
            </w:r>
          </w:p>
        </w:tc>
        <w:tc>
          <w:tcPr>
            <w:tcW w:w="1187" w:type="dxa"/>
            <w:tcMar>
              <w:left w:w="70" w:type="dxa"/>
              <w:right w:w="70" w:type="dxa"/>
            </w:tcMar>
            <w:vAlign w:val="center"/>
          </w:tcPr>
          <w:p w14:paraId="2916473B">
            <w:pPr>
              <w:keepNext w:val="0"/>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0C36870F">
            <w:pPr>
              <w:keepNext w:val="0"/>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187" w:type="dxa"/>
            <w:tcMar>
              <w:left w:w="70" w:type="dxa"/>
              <w:right w:w="70" w:type="dxa"/>
            </w:tcMar>
            <w:vAlign w:val="center"/>
          </w:tcPr>
          <w:p w14:paraId="6E34B6F4">
            <w:pPr>
              <w:keepNext w:val="0"/>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187" w:type="dxa"/>
            <w:tcMar>
              <w:left w:w="70" w:type="dxa"/>
              <w:right w:w="70" w:type="dxa"/>
            </w:tcMar>
            <w:vAlign w:val="center"/>
          </w:tcPr>
          <w:p w14:paraId="01B6A131">
            <w:pPr>
              <w:keepNext w:val="0"/>
              <w:spacing w:before="20" w:after="20" w:line="260" w:lineRule="exact"/>
              <w:ind w:left="0" w:leftChars="0" w:right="0" w:rightChars="0" w:firstLine="0" w:firstLineChars="0"/>
              <w:jc w:val="center"/>
            </w:pPr>
            <w:r>
              <w:rPr>
                <w:rFonts w:ascii="Times New Roman" w:hAnsi="Times New Roman" w:eastAsia="宋体"/>
                <w:b w:val="0"/>
                <w:sz w:val="18"/>
              </w:rPr>
              <w:t>1.50～1.70</w:t>
            </w:r>
          </w:p>
        </w:tc>
      </w:tr>
    </w:tbl>
    <w:p w14:paraId="2FA49CFA">
      <w:pPr>
        <w:pStyle w:val="2"/>
        <w:widowControl/>
        <w:spacing w:before="0" w:after="0" w:line="348" w:lineRule="exact"/>
        <w:ind w:firstLine="480"/>
        <w:jc w:val="both"/>
      </w:pPr>
      <w:r>
        <w:rPr>
          <w:rFonts w:ascii="Times New Roman" w:hAnsi="Times New Roman" w:eastAsia="方正仿宋_GBK"/>
          <w:b w:val="0"/>
          <w:sz w:val="24"/>
        </w:rPr>
        <w:t>邳州对应的容载比参考范围为1.70～1.90，市区为1.50～1.70。</w:t>
      </w:r>
    </w:p>
    <w:p w14:paraId="203982CF">
      <w:pPr>
        <w:pStyle w:val="5"/>
        <w:keepNext/>
        <w:numPr>
          <w:ilvl w:val="0"/>
          <w:numId w:val="0"/>
        </w:numPr>
        <w:spacing w:before="160" w:after="120" w:line="390" w:lineRule="exact"/>
        <w:ind w:firstLine="0"/>
      </w:pPr>
      <w:bookmarkStart w:id="98" w:name="历史统计与规划仿真的衔接"/>
      <w:r>
        <w:rPr>
          <w:rFonts w:ascii="Times New Roman" w:hAnsi="Times New Roman" w:eastAsia="方正仿宋_GBK"/>
          <w:b/>
          <w:sz w:val="26"/>
        </w:rPr>
        <w:t>3.2.4 历史统计与规划仿真的衔接</w:t>
      </w:r>
      <w:bookmarkEnd w:id="98"/>
    </w:p>
    <w:p w14:paraId="1313B978">
      <w:pPr>
        <w:pStyle w:val="115"/>
        <w:widowControl/>
        <w:spacing w:before="0" w:after="0" w:line="348" w:lineRule="exact"/>
        <w:ind w:firstLine="480"/>
        <w:jc w:val="both"/>
      </w:pPr>
      <w:r>
        <w:rPr>
          <w:rFonts w:ascii="Times New Roman" w:hAnsi="Times New Roman" w:eastAsia="方正仿宋_GBK"/>
          <w:b w:val="0"/>
          <w:sz w:val="24"/>
        </w:rPr>
        <w:t xml:space="preserve">2021—2025年实际容量与负荷用于现状分析，</w:t>
      </w:r>
      <w:r>
        <w:rPr>
          <w:rFonts w:ascii="Times New Roman" w:hAnsi="Times New Roman" w:eastAsia="方正仿宋_GBK"/>
          <w:b w:val="0"/>
          <w:sz w:val="24"/>
        </w:rPr>
        <w:t xml:space="preserve">历史</w:t>
      </w:r>
      <w:r>
        <w:rPr>
          <w:rFonts w:ascii="Times New Roman" w:hAnsi="Times New Roman" w:eastAsia="方正仿宋_GBK"/>
          <w:b w:val="0"/>
          <w:sz w:val="24"/>
        </w:rPr>
        <w:t xml:space="preserve">年度负荷直接进入地区案例。</w:t>
      </w:r>
      <w:r>
        <w:rPr>
          <w:rFonts w:ascii="Times New Roman" w:hAnsi="Times New Roman" w:eastAsia="方正仿宋_GBK"/>
          <w:b w:val="0"/>
          <w:sz w:val="24"/>
        </w:rPr>
        <w:t xml:space="preserve">规划以2021年</w:t>
      </w:r>
      <w:r>
        <w:rPr>
          <w:rFonts w:ascii="Times New Roman" w:hAnsi="Times New Roman" w:eastAsia="方正仿宋_GBK"/>
          <w:b w:val="0"/>
          <w:sz w:val="24"/>
        </w:rPr>
        <w:t xml:space="preserve">市区</w:t>
      </w:r>
      <w:r>
        <w:rPr>
          <w:rFonts w:ascii="Times New Roman" w:hAnsi="Times New Roman" w:eastAsia="方正仿宋_GBK"/>
          <w:b w:val="0"/>
          <w:sz w:val="24"/>
        </w:rPr>
        <w:t xml:space="preserve">3113</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MVA、邳州</w:t>
      </w:r>
      <w:r>
        <w:rPr>
          <w:rFonts w:ascii="Times New Roman" w:hAnsi="Times New Roman" w:eastAsia="方正仿宋_GBK"/>
          <w:b w:val="0"/>
          <w:sz w:val="24"/>
        </w:rPr>
        <w:t xml:space="preserve">2027</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w:t>
      </w:r>
      <w:r>
        <w:rPr>
          <w:rFonts w:ascii="Times New Roman" w:hAnsi="Times New Roman" w:eastAsia="方正仿宋_GBK"/>
          <w:b w:val="0"/>
          <w:sz w:val="24"/>
        </w:rPr>
        <w:t xml:space="preserve">实际容量为共同起点，2022—2035年按上年在役</w:t>
      </w:r>
      <w:r>
        <w:rPr>
          <w:rFonts w:ascii="Times New Roman" w:hAnsi="Times New Roman" w:eastAsia="方正仿宋_GBK"/>
          <w:b w:val="0"/>
          <w:sz w:val="24"/>
        </w:rPr>
        <w:t xml:space="preserve">设备</w:t>
      </w:r>
      <w:r>
        <w:rPr>
          <w:rFonts w:ascii="Times New Roman" w:hAnsi="Times New Roman" w:eastAsia="方正仿宋_GBK"/>
          <w:b w:val="0"/>
          <w:sz w:val="24"/>
        </w:rPr>
        <w:t xml:space="preserve">和当年源荷选择新增措施。2026年以后的区域预测比例作用于规划峰值与基准源荷曲线</w:t>
      </w:r>
      <w:r>
        <w:rPr>
          <w:rFonts w:ascii="Times New Roman" w:hAnsi="Times New Roman" w:eastAsia="方正仿宋_GBK"/>
          <w:b w:val="0"/>
          <w:sz w:val="24"/>
        </w:rPr>
        <w:t xml:space="preserve">，</w:t>
      </w:r>
      <w:r>
        <w:rPr>
          <w:rFonts w:ascii="Times New Roman" w:hAnsi="Times New Roman" w:eastAsia="方正仿宋_GBK"/>
          <w:b w:val="0"/>
          <w:sz w:val="24"/>
        </w:rPr>
        <w:t xml:space="preserve">计算和现状</w:t>
      </w:r>
      <w:r>
        <w:rPr>
          <w:rFonts w:ascii="Times New Roman" w:hAnsi="Times New Roman" w:eastAsia="方正仿宋_GBK"/>
          <w:b w:val="0"/>
          <w:sz w:val="24"/>
        </w:rPr>
        <w:t xml:space="preserve">统计</w:t>
      </w:r>
      <w:r>
        <w:rPr>
          <w:rFonts w:ascii="Times New Roman" w:hAnsi="Times New Roman" w:eastAsia="方正仿宋_GBK"/>
          <w:b w:val="0"/>
          <w:sz w:val="24"/>
        </w:rPr>
        <w:t xml:space="preserve">分别</w:t>
      </w:r>
      <w:r>
        <w:rPr>
          <w:rFonts w:ascii="Times New Roman" w:hAnsi="Times New Roman" w:eastAsia="方正仿宋_GBK"/>
          <w:b w:val="0"/>
          <w:sz w:val="24"/>
        </w:rPr>
        <w:t xml:space="preserve">保留其适用范围</w:t>
      </w:r>
      <w:r>
        <w:rPr>
          <w:rFonts w:ascii="Times New Roman" w:hAnsi="Times New Roman" w:eastAsia="方正仿宋_GBK"/>
          <w:b w:val="0"/>
          <w:sz w:val="24"/>
        </w:rPr>
        <w:t xml:space="preserve">。</w:t>
      </w:r>
    </w:p>
    <w:p w14:paraId="3E52E9DA">
      <w:pPr>
        <w:pStyle w:val="2"/>
        <w:widowControl/>
        <w:spacing w:before="0" w:after="0" w:line="348" w:lineRule="exact"/>
        <w:ind w:firstLine="480"/>
        <w:jc w:val="both"/>
      </w:pPr>
      <w:r>
        <w:rPr>
          <w:rFonts w:ascii="Times New Roman" w:hAnsi="Times New Roman" w:eastAsia="方正仿宋_GBK"/>
          <w:b w:val="0"/>
          <w:sz w:val="24"/>
        </w:rPr>
        <w:t>通用参数推广需要构造不同发展水平，采用基期峰值乘以</w:t>
      </w:r>
      <m:oMath>
        <m:r>
          <m:rPr>
            <m:nor/>
            <m:sty m:val="p"/>
          </m:rPr>
          <w:rPr>
            <w:rFonts w:ascii="Times New Roman" w:hAnsi="Times New Roman" w:eastAsia="方正仿宋_GBK" w:cs="Times New Roman"/>
            <w:b w:val="0"/>
            <w:i w:val="0"/>
            <w:iCs w:val="0"/>
          </w:rPr>
          <m:t>(1+</m:t>
        </m:r>
        <m:acc>
          <m:accPr>
            <m:chr m:val="‾"/>
          </m:accPr>
          <m:e>
            <m:r>
              <m:rPr>
                <m:nor/>
              </m:rPr>
              <w:rPr>
                <w:rFonts w:ascii="Times New Roman" w:hAnsi="Times New Roman" w:eastAsia="方正仿宋_GBK" w:cs="Times New Roman"/>
                <w:i/>
                <w:iCs/>
              </w:rPr>
              <m:t>g</m:t>
            </m:r>
          </m:e>
        </m:acc>
        <m:sSup>
          <m:sSupPr/>
          <m:e>
            <m:r>
              <m:rPr>
                <m:nor/>
                <m:sty m:val="p"/>
              </m:rPr>
              <w:rPr>
                <w:rFonts w:ascii="Times New Roman" w:hAnsi="Times New Roman" w:eastAsia="方正仿宋_GBK" w:cs="Times New Roman"/>
                <w:b w:val="0"/>
                <w:i w:val="0"/>
                <w:iCs w:val="0"/>
              </w:rPr>
              <m:t>)</m:t>
            </m:r>
          </m:e>
          <m:sup>
            <m:r>
              <m:rPr>
                <m:nor/>
                <m:sty m:val="p"/>
              </m:rPr>
              <w:rPr>
                <w:rFonts w:ascii="Times New Roman" w:hAnsi="Times New Roman" w:eastAsia="方正仿宋_GBK" w:cs="Times New Roman"/>
                <w:b w:val="0"/>
                <w:i w:val="0"/>
                <w:iCs w:val="0"/>
              </w:rPr>
              <m:t>4</m:t>
            </m:r>
          </m:sup>
        </m:sSup>
      </m:oMath>
      <w:r>
        <w:rPr>
          <w:rFonts w:ascii="Times New Roman" w:hAnsi="Times New Roman" w:eastAsia="方正仿宋_GBK"/>
          <w:b w:val="0"/>
          <w:sz w:val="24"/>
        </w:rPr>
        <w:t>确定目标年负荷。地区案例与通用模板的用途不同，分别保留其负荷来源和计算条件。</w:t>
      </w:r>
    </w:p>
    <w:p w14:paraId="5EEBCEAE">
      <w:pPr>
        <w:pStyle w:val="4"/>
        <w:keepNext/>
        <w:numPr>
          <w:ilvl w:val="0"/>
          <w:numId w:val="0"/>
        </w:numPr>
        <w:spacing w:before="160" w:after="120" w:line="480" w:lineRule="exact"/>
        <w:ind w:firstLine="0"/>
      </w:pPr>
      <w:bookmarkStart w:id="311" w:name="Report1017_h336"/>
      <w:bookmarkEnd w:id="311"/>
      <w:bookmarkStart w:id="99" w:name="分布式光伏装机与电量"/>
      <w:bookmarkStart w:id="100" w:name="h336"/>
      <w:r>
        <w:rPr>
          <w:rFonts w:ascii="Times New Roman" w:hAnsi="Times New Roman" w:eastAsia="方正仿宋_GBK"/>
          <w:b/>
          <w:sz w:val="32"/>
        </w:rPr>
        <w:t>3.3 分布式光伏装机与电量</w:t>
      </w:r>
      <w:bookmarkEnd w:id="99"/>
      <w:bookmarkEnd w:id="100"/>
    </w:p>
    <w:p w14:paraId="7551DC90">
      <w:pPr>
        <w:pStyle w:val="5"/>
        <w:keepNext/>
        <w:numPr>
          <w:ilvl w:val="0"/>
          <w:numId w:val="0"/>
        </w:numPr>
        <w:spacing w:before="160" w:after="120" w:line="390" w:lineRule="exact"/>
        <w:ind w:firstLine="0"/>
      </w:pPr>
      <w:bookmarkStart w:id="101" w:name="装机规模与月度变化"/>
      <w:r>
        <w:rPr>
          <w:rFonts w:ascii="Times New Roman" w:hAnsi="Times New Roman" w:eastAsia="方正仿宋_GBK"/>
          <w:b/>
          <w:sz w:val="26"/>
        </w:rPr>
        <w:t>3.3.1 装机规模与月度变化</w:t>
      </w:r>
      <w:bookmarkEnd w:id="101"/>
    </w:p>
    <w:p w14:paraId="4A5CC9E8">
      <w:pPr>
        <w:pStyle w:val="115"/>
        <w:widowControl/>
        <w:spacing w:before="0" w:after="0" w:line="348" w:lineRule="exact"/>
        <w:ind w:firstLine="480"/>
        <w:jc w:val="both"/>
      </w:pPr>
      <w:r>
        <w:rPr>
          <w:rFonts w:ascii="Times New Roman" w:hAnsi="Times New Roman" w:eastAsia="方正仿宋_GBK"/>
          <w:b w:val="0"/>
          <w:sz w:val="24"/>
        </w:rPr>
        <w:t>邳州年末分布式光伏装机容量由2023年564.70 MW增加到2024年1126.58 MW、2025年1559.64 MW，市区同期为253.68、362.44和491.18 MW。图中以虚线区分2021—2022年估计结果与2023年起的月末统计记录。</w:t>
      </w:r>
    </w:p>
    <w:p w14:paraId="7A7E68A4">
      <w:pPr>
        <w:pStyle w:val="2"/>
        <w:widowControl/>
        <w:spacing w:before="0" w:after="0" w:line="348" w:lineRule="exact"/>
        <w:ind w:firstLine="480"/>
        <w:jc w:val="both"/>
      </w:pPr>
      <w:r>
        <w:rPr>
          <w:rFonts w:ascii="Times New Roman" w:hAnsi="Times New Roman" w:eastAsia="方正仿宋_GBK"/>
          <w:b w:val="0"/>
          <w:sz w:val="24"/>
        </w:rPr>
        <w:t>年度发电量采用相邻月末容量的平均值乘逐时出力系数累加，计入年内容量投运变化。</w:t>
      </w:r>
    </w:p>
    <w:p w14:paraId="08E450FD">
      <w:pPr>
        <w:pStyle w:val="2"/>
        <w:widowControl/>
        <w:spacing w:before="0" w:after="0" w:line="348" w:lineRule="exact"/>
        <w:ind w:firstLine="480"/>
        <w:jc w:val="both"/>
      </w:pPr>
      <w:r>
        <w:rPr>
          <w:rFonts w:ascii="Times New Roman" w:hAnsi="Times New Roman" w:eastAsia="方正仿宋_GBK"/>
          <w:b w:val="0"/>
          <w:sz w:val="24"/>
        </w:rPr>
        <w:t>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（3-2）</w:t>
            </w:r>
          </w:p>
        </w:tc>
      </w:tr>
    </w:tbl>
    <w:p w14:paraId="43998F23">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C</m:t>
                </m:r>
              </m:e>
            </m:acc>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m</m:t>
            </m:r>
          </m:sub>
        </m:sSub>
      </m:oMath>
      <w:r>
        <w:rPr>
          <w:rFonts w:ascii="Times New Roman" w:hAnsi="Times New Roman" w:eastAsia="方正仿宋_GBK"/>
          <w:b w:val="0"/>
          <w:sz w:val="24"/>
        </w:rPr>
        <w:t>为第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年第</w:t>
      </w:r>
      <m:oMath>
        <m:r>
          <m:rPr>
            <m:nor/>
          </m:rPr>
          <w:rPr>
            <w:rFonts w:ascii="Times New Roman" w:hAnsi="Times New Roman" w:eastAsia="方正仿宋_GBK" w:cs="Times New Roman"/>
            <w:i/>
            <w:iCs/>
          </w:rPr>
          <m:t>m</m:t>
        </m:r>
      </m:oMath>
      <w:r>
        <w:rPr>
          <w:rFonts w:ascii="Times New Roman" w:hAnsi="Times New Roman" w:eastAsia="方正仿宋_GBK"/>
          <w:b w:val="0"/>
          <w:sz w:val="24"/>
        </w:rPr>
        <w:t>月末光伏装机容量估计值，</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2023,</m:t>
            </m:r>
            <m:r>
              <m:rPr>
                <m:nor/>
              </m:rPr>
              <w:rPr>
                <w:rFonts w:ascii="Times New Roman" w:hAnsi="Times New Roman" w:eastAsia="方正仿宋_GBK" w:cs="Times New Roman"/>
                <w:i/>
                <w:iCs/>
              </w:rPr>
              <m:t>m</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2024,</m:t>
            </m:r>
            <m:r>
              <m:rPr>
                <m:nor/>
              </m:rPr>
              <w:rPr>
                <w:rFonts w:ascii="Times New Roman" w:hAnsi="Times New Roman" w:eastAsia="方正仿宋_GBK" w:cs="Times New Roman"/>
                <w:i/>
                <w:iCs/>
              </w:rPr>
              <m:t>m</m:t>
            </m:r>
          </m:sub>
        </m:sSub>
      </m:oMath>
      <w:r>
        <w:rPr>
          <w:rFonts w:ascii="Times New Roman" w:hAnsi="Times New Roman" w:eastAsia="方正仿宋_GBK"/>
          <w:b w:val="0"/>
          <w:sz w:val="24"/>
        </w:rPr>
        <w:t>为对应月份记录，单位MW；</w:t>
      </w:r>
      <m:oMath>
        <m:r>
          <m:rPr>
            <m:nor/>
          </m:rPr>
          <w:rPr>
            <w:rFonts w:ascii="Times New Roman" w:hAnsi="Times New Roman" w:eastAsia="方正仿宋_GBK" w:cs="Times New Roman"/>
            <w:i/>
            <w:iCs/>
          </w:rPr>
          <m:t>y</m:t>
        </m:r>
      </m:oMath>
      <w:r>
        <w:rPr>
          <w:rFonts w:ascii="Times New Roman" w:hAnsi="Times New Roman" w:eastAsia="方正仿宋_GBK"/>
          <w:b w:val="0"/>
          <w:sz w:val="24"/>
        </w:rPr>
        <w:t>为年份，</w:t>
      </w:r>
      <m:oMath>
        <m:r>
          <m:rPr>
            <m:nor/>
          </m:rPr>
          <w:rPr>
            <w:rFonts w:ascii="Times New Roman" w:hAnsi="Times New Roman" w:eastAsia="方正仿宋_GBK" w:cs="Times New Roman"/>
            <w:i/>
            <w:iCs/>
          </w:rPr>
          <m:t>m</m:t>
        </m:r>
      </m:oMath>
      <w:r>
        <w:rPr>
          <w:rFonts w:ascii="Times New Roman" w:hAnsi="Times New Roman" w:eastAsia="方正仿宋_GBK"/>
          <w:b w:val="0"/>
          <w:sz w:val="24"/>
        </w:rPr>
        <w:t>为月份。</w:t>
      </w:r>
    </w:p>
    <w:p w14:paraId="0A6FA4CD">
      <w:pPr>
        <w:pStyle w:val="2"/>
        <w:keepNext/>
        <w:spacing w:before="120" w:after="80" w:line="280" w:lineRule="exact"/>
        <w:ind w:firstLine="0"/>
        <w:jc w:val="center"/>
      </w:pPr>
      <w:r>
        <w:rPr>
          <w:rFonts w:ascii="Times New Roman" w:hAnsi="Times New Roman" w:eastAsia="宋体"/>
          <w:b w:val="0"/>
          <w:sz w:val="21"/>
        </w:rPr>
        <w:t>表3-3 年末分布式光伏装机容量</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F7169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7E74D171">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385" w:type="dxa"/>
            <w:tcMar>
              <w:left w:w="70" w:type="dxa"/>
              <w:right w:w="70" w:type="dxa"/>
            </w:tcMar>
            <w:vAlign w:val="center"/>
          </w:tcPr>
          <w:p w14:paraId="1C9D0470">
            <w:pPr>
              <w:keepNext/>
              <w:spacing w:before="20" w:after="20" w:line="260" w:lineRule="exact"/>
              <w:ind w:left="0" w:leftChars="0" w:right="0" w:rightChars="0" w:firstLine="0" w:firstLineChars="0"/>
              <w:jc w:val="center"/>
            </w:pPr>
            <w:r>
              <w:rPr>
                <w:rFonts w:ascii="Times New Roman" w:hAnsi="Times New Roman" w:eastAsia="宋体"/>
                <w:b/>
                <w:sz w:val="18"/>
              </w:rPr>
              <w:t>2021年/MW</w:t>
            </w:r>
          </w:p>
        </w:tc>
        <w:tc>
          <w:tcPr>
            <w:tcW w:w="1385" w:type="dxa"/>
            <w:tcMar>
              <w:left w:w="70" w:type="dxa"/>
              <w:right w:w="70" w:type="dxa"/>
            </w:tcMar>
            <w:vAlign w:val="center"/>
          </w:tcPr>
          <w:p w14:paraId="14499A3E">
            <w:pPr>
              <w:keepNext/>
              <w:spacing w:before="20" w:after="20" w:line="260" w:lineRule="exact"/>
              <w:ind w:left="0" w:leftChars="0" w:right="0" w:rightChars="0" w:firstLine="0" w:firstLineChars="0"/>
              <w:jc w:val="center"/>
            </w:pPr>
            <w:r>
              <w:rPr>
                <w:rFonts w:ascii="Times New Roman" w:hAnsi="Times New Roman" w:eastAsia="宋体"/>
                <w:b/>
                <w:sz w:val="18"/>
              </w:rPr>
              <w:t>2022年/MW</w:t>
            </w:r>
          </w:p>
        </w:tc>
        <w:tc>
          <w:tcPr>
            <w:tcW w:w="1385" w:type="dxa"/>
            <w:tcMar>
              <w:left w:w="70" w:type="dxa"/>
              <w:right w:w="70" w:type="dxa"/>
            </w:tcMar>
            <w:vAlign w:val="center"/>
          </w:tcPr>
          <w:p w14:paraId="66A1D87A">
            <w:pPr>
              <w:keepNext/>
              <w:spacing w:before="20" w:after="20" w:line="260" w:lineRule="exact"/>
              <w:ind w:left="0" w:leftChars="0" w:right="0" w:rightChars="0" w:firstLine="0" w:firstLineChars="0"/>
              <w:jc w:val="center"/>
            </w:pPr>
            <w:r>
              <w:rPr>
                <w:rFonts w:ascii="Times New Roman" w:hAnsi="Times New Roman" w:eastAsia="宋体"/>
                <w:b/>
                <w:sz w:val="18"/>
              </w:rPr>
              <w:t>2023年/MW</w:t>
            </w:r>
          </w:p>
        </w:tc>
        <w:tc>
          <w:tcPr>
            <w:tcW w:w="1385" w:type="dxa"/>
            <w:tcMar>
              <w:left w:w="70" w:type="dxa"/>
              <w:right w:w="70" w:type="dxa"/>
            </w:tcMar>
            <w:vAlign w:val="center"/>
          </w:tcPr>
          <w:p w14:paraId="11475C2C">
            <w:pPr>
              <w:keepNext/>
              <w:spacing w:before="20" w:after="20" w:line="260" w:lineRule="exact"/>
              <w:ind w:left="0" w:leftChars="0" w:right="0" w:rightChars="0" w:firstLine="0" w:firstLineChars="0"/>
              <w:jc w:val="center"/>
            </w:pPr>
            <w:r>
              <w:rPr>
                <w:rFonts w:ascii="Times New Roman" w:hAnsi="Times New Roman" w:eastAsia="宋体"/>
                <w:b/>
                <w:sz w:val="18"/>
              </w:rPr>
              <w:t>2024年/MW</w:t>
            </w:r>
          </w:p>
        </w:tc>
        <w:tc>
          <w:tcPr>
            <w:tcW w:w="1385" w:type="dxa"/>
            <w:tcMar>
              <w:left w:w="70" w:type="dxa"/>
              <w:right w:w="70" w:type="dxa"/>
            </w:tcMar>
            <w:vAlign w:val="center"/>
          </w:tcPr>
          <w:p w14:paraId="30E9D86A">
            <w:pPr>
              <w:keepNext/>
              <w:spacing w:before="20" w:after="20" w:line="260" w:lineRule="exact"/>
              <w:ind w:left="0" w:leftChars="0" w:right="0" w:rightChars="0" w:firstLine="0" w:firstLineChars="0"/>
              <w:jc w:val="center"/>
            </w:pPr>
            <w:r>
              <w:rPr>
                <w:rFonts w:ascii="Times New Roman" w:hAnsi="Times New Roman" w:eastAsia="宋体"/>
                <w:b/>
                <w:sz w:val="18"/>
              </w:rPr>
              <w:t>2025年/MW</w:t>
            </w:r>
          </w:p>
        </w:tc>
      </w:tr>
      <w:tr w14:paraId="188913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FA869A">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385" w:type="dxa"/>
            <w:tcMar>
              <w:left w:w="70" w:type="dxa"/>
              <w:right w:w="70" w:type="dxa"/>
            </w:tcMar>
            <w:vAlign w:val="center"/>
          </w:tcPr>
          <w:p w14:paraId="38A10DC3">
            <w:pPr>
              <w:keepNext/>
              <w:spacing w:before="20" w:after="20" w:line="260" w:lineRule="exact"/>
              <w:ind w:left="0" w:leftChars="0" w:right="0" w:rightChars="0" w:firstLine="0" w:firstLineChars="0"/>
              <w:jc w:val="center"/>
            </w:pPr>
            <w:r>
              <w:rPr>
                <w:rFonts w:ascii="Times New Roman" w:hAnsi="Times New Roman" w:eastAsia="宋体"/>
                <w:b w:val="0"/>
                <w:sz w:val="18"/>
              </w:rPr>
              <w:t>141.89</w:t>
            </w:r>
          </w:p>
        </w:tc>
        <w:tc>
          <w:tcPr>
            <w:tcW w:w="1385" w:type="dxa"/>
            <w:tcMar>
              <w:left w:w="70" w:type="dxa"/>
              <w:right w:w="70" w:type="dxa"/>
            </w:tcMar>
            <w:vAlign w:val="center"/>
          </w:tcPr>
          <w:p w14:paraId="4E018BBC">
            <w:pPr>
              <w:keepNext/>
              <w:spacing w:before="20" w:after="20" w:line="260" w:lineRule="exact"/>
              <w:ind w:left="0" w:leftChars="0" w:right="0" w:rightChars="0" w:firstLine="0" w:firstLineChars="0"/>
              <w:jc w:val="center"/>
            </w:pPr>
            <w:r>
              <w:rPr>
                <w:rFonts w:ascii="Times New Roman" w:hAnsi="Times New Roman" w:eastAsia="宋体"/>
                <w:b w:val="0"/>
                <w:sz w:val="18"/>
              </w:rPr>
              <w:t>283.06</w:t>
            </w:r>
          </w:p>
        </w:tc>
        <w:tc>
          <w:tcPr>
            <w:tcW w:w="1385" w:type="dxa"/>
            <w:tcMar>
              <w:left w:w="70" w:type="dxa"/>
              <w:right w:w="70" w:type="dxa"/>
            </w:tcMar>
            <w:vAlign w:val="center"/>
          </w:tcPr>
          <w:p w14:paraId="447EDB76">
            <w:pPr>
              <w:keepNext/>
              <w:spacing w:before="20" w:after="20" w:line="260" w:lineRule="exact"/>
              <w:ind w:left="0" w:leftChars="0" w:right="0" w:rightChars="0" w:firstLine="0" w:firstLineChars="0"/>
              <w:jc w:val="center"/>
            </w:pPr>
            <w:r>
              <w:rPr>
                <w:rFonts w:ascii="Times New Roman" w:hAnsi="Times New Roman" w:eastAsia="宋体"/>
                <w:b w:val="0"/>
                <w:sz w:val="18"/>
              </w:rPr>
              <w:t>564.70</w:t>
            </w:r>
          </w:p>
        </w:tc>
        <w:tc>
          <w:tcPr>
            <w:tcW w:w="1385" w:type="dxa"/>
            <w:tcMar>
              <w:left w:w="70" w:type="dxa"/>
              <w:right w:w="70" w:type="dxa"/>
            </w:tcMar>
            <w:vAlign w:val="center"/>
          </w:tcPr>
          <w:p w14:paraId="7B8425FF">
            <w:pPr>
              <w:keepNext/>
              <w:spacing w:before="20" w:after="20" w:line="260" w:lineRule="exact"/>
              <w:ind w:left="0" w:leftChars="0" w:right="0" w:rightChars="0" w:firstLine="0" w:firstLineChars="0"/>
              <w:jc w:val="center"/>
            </w:pPr>
            <w:r>
              <w:rPr>
                <w:rFonts w:ascii="Times New Roman" w:hAnsi="Times New Roman" w:eastAsia="宋体"/>
                <w:b w:val="0"/>
                <w:sz w:val="18"/>
              </w:rPr>
              <w:t>1126.58</w:t>
            </w:r>
          </w:p>
        </w:tc>
        <w:tc>
          <w:tcPr>
            <w:tcW w:w="1385" w:type="dxa"/>
            <w:tcMar>
              <w:left w:w="70" w:type="dxa"/>
              <w:right w:w="70" w:type="dxa"/>
            </w:tcMar>
            <w:vAlign w:val="center"/>
          </w:tcPr>
          <w:p w14:paraId="5B8D1E06">
            <w:pPr>
              <w:keepNext/>
              <w:spacing w:before="20" w:after="20" w:line="260" w:lineRule="exact"/>
              <w:ind w:left="0" w:leftChars="0" w:right="0" w:rightChars="0" w:firstLine="0" w:firstLineChars="0"/>
              <w:jc w:val="center"/>
            </w:pPr>
            <w:r>
              <w:rPr>
                <w:rFonts w:ascii="Times New Roman" w:hAnsi="Times New Roman" w:eastAsia="宋体"/>
                <w:b w:val="0"/>
                <w:sz w:val="18"/>
              </w:rPr>
              <w:t>1559.64</w:t>
            </w:r>
          </w:p>
        </w:tc>
      </w:tr>
      <w:tr w14:paraId="094BD1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242826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385" w:type="dxa"/>
            <w:tcMar>
              <w:left w:w="70" w:type="dxa"/>
              <w:right w:w="70" w:type="dxa"/>
            </w:tcMar>
            <w:vAlign w:val="center"/>
          </w:tcPr>
          <w:p w14:paraId="5B615BD0">
            <w:pPr>
              <w:keepNext w:val="0"/>
              <w:spacing w:before="20" w:after="20" w:line="260" w:lineRule="exact"/>
              <w:ind w:left="0" w:leftChars="0" w:right="0" w:rightChars="0" w:firstLine="0" w:firstLineChars="0"/>
              <w:jc w:val="center"/>
            </w:pPr>
            <w:r>
              <w:rPr>
                <w:rFonts w:ascii="Times New Roman" w:hAnsi="Times New Roman" w:eastAsia="宋体"/>
                <w:b w:val="0"/>
                <w:sz w:val="18"/>
              </w:rPr>
              <w:t>124.28</w:t>
            </w:r>
          </w:p>
        </w:tc>
        <w:tc>
          <w:tcPr>
            <w:tcW w:w="1385" w:type="dxa"/>
            <w:tcMar>
              <w:left w:w="70" w:type="dxa"/>
              <w:right w:w="70" w:type="dxa"/>
            </w:tcMar>
            <w:vAlign w:val="center"/>
          </w:tcPr>
          <w:p w14:paraId="58106CD9">
            <w:pPr>
              <w:keepNext w:val="0"/>
              <w:spacing w:before="20" w:after="20" w:line="260" w:lineRule="exact"/>
              <w:ind w:left="0" w:leftChars="0" w:right="0" w:rightChars="0" w:firstLine="0" w:firstLineChars="0"/>
              <w:jc w:val="center"/>
            </w:pPr>
            <w:r>
              <w:rPr>
                <w:rFonts w:ascii="Times New Roman" w:hAnsi="Times New Roman" w:eastAsia="宋体"/>
                <w:b w:val="0"/>
                <w:sz w:val="18"/>
              </w:rPr>
              <w:t>177.56</w:t>
            </w:r>
          </w:p>
        </w:tc>
        <w:tc>
          <w:tcPr>
            <w:tcW w:w="1385" w:type="dxa"/>
            <w:tcMar>
              <w:left w:w="70" w:type="dxa"/>
              <w:right w:w="70" w:type="dxa"/>
            </w:tcMar>
            <w:vAlign w:val="center"/>
          </w:tcPr>
          <w:p w14:paraId="0117263F">
            <w:pPr>
              <w:keepNext w:val="0"/>
              <w:spacing w:before="20" w:after="20" w:line="260" w:lineRule="exact"/>
              <w:ind w:left="0" w:leftChars="0" w:right="0" w:rightChars="0" w:firstLine="0" w:firstLineChars="0"/>
              <w:jc w:val="center"/>
            </w:pPr>
            <w:r>
              <w:rPr>
                <w:rFonts w:ascii="Times New Roman" w:hAnsi="Times New Roman" w:eastAsia="宋体"/>
                <w:b w:val="0"/>
                <w:sz w:val="18"/>
              </w:rPr>
              <w:t>253.68</w:t>
            </w:r>
          </w:p>
        </w:tc>
        <w:tc>
          <w:tcPr>
            <w:tcW w:w="1385" w:type="dxa"/>
            <w:tcMar>
              <w:left w:w="70" w:type="dxa"/>
              <w:right w:w="70" w:type="dxa"/>
            </w:tcMar>
            <w:vAlign w:val="center"/>
          </w:tcPr>
          <w:p w14:paraId="3240804E">
            <w:pPr>
              <w:keepNext w:val="0"/>
              <w:spacing w:before="20" w:after="20" w:line="260" w:lineRule="exact"/>
              <w:ind w:left="0" w:leftChars="0" w:right="0" w:rightChars="0" w:firstLine="0" w:firstLineChars="0"/>
              <w:jc w:val="center"/>
            </w:pPr>
            <w:r>
              <w:rPr>
                <w:rFonts w:ascii="Times New Roman" w:hAnsi="Times New Roman" w:eastAsia="宋体"/>
                <w:b w:val="0"/>
                <w:sz w:val="18"/>
              </w:rPr>
              <w:t>362.44</w:t>
            </w:r>
          </w:p>
        </w:tc>
        <w:tc>
          <w:tcPr>
            <w:tcW w:w="1385" w:type="dxa"/>
            <w:tcMar>
              <w:left w:w="70" w:type="dxa"/>
              <w:right w:w="70" w:type="dxa"/>
            </w:tcMar>
            <w:vAlign w:val="center"/>
          </w:tcPr>
          <w:p w14:paraId="6EB69C52">
            <w:pPr>
              <w:keepNext w:val="0"/>
              <w:spacing w:before="20" w:after="20" w:line="260" w:lineRule="exact"/>
              <w:ind w:left="0" w:leftChars="0" w:right="0" w:rightChars="0" w:firstLine="0" w:firstLineChars="0"/>
              <w:jc w:val="center"/>
            </w:pPr>
            <w:r>
              <w:rPr>
                <w:rFonts w:ascii="Times New Roman" w:hAnsi="Times New Roman" w:eastAsia="宋体"/>
                <w:b w:val="0"/>
                <w:sz w:val="18"/>
              </w:rPr>
              <w:t>491.18</w:t>
            </w:r>
          </w:p>
        </w:tc>
      </w:tr>
    </w:tbl>
    <w:p w14:paraId="3AE0522A">
      <w:pPr>
        <w:pStyle w:val="2"/>
        <w:widowControl/>
        <w:spacing w:before="0" w:after="0" w:line="348" w:lineRule="exact"/>
        <w:ind w:firstLine="480"/>
        <w:jc w:val="both"/>
      </w:pPr>
      <w:r>
        <w:rPr>
          <w:rFonts w:ascii="Times New Roman" w:hAnsi="Times New Roman" w:eastAsia="方正仿宋_GBK"/>
          <w:b w:val="0"/>
          <w:sz w:val="24"/>
        </w:rPr>
        <w:t>注：2021—2022年为几何回推估计，2023—2025年采用月末装机统计，统一以MW列示。</w:t>
      </w:r>
    </w:p>
    <w:p w14:paraId="6F6DF669">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45535"/>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a:picLocks noChangeAspect="1" noChangeArrowheads="1"/>
                    </pic:cNvPicPr>
                  </pic:nvPicPr>
                  <pic:blipFill>
                    <a:blip r:embed="rId16"/>
                    <a:stretch>
                      <a:fillRect/>
                    </a:stretch>
                  </pic:blipFill>
                  <pic:spPr>
                    <a:xfrm>
                      <a:off x="0" y="0"/>
                      <a:ext cx="5120640" cy="3646082"/>
                    </a:xfrm>
                    <a:prstGeom prst="rect">
                      <a:avLst/>
                    </a:prstGeom>
                    <a:noFill/>
                    <a:ln w="9525">
                      <a:noFill/>
                    </a:ln>
                  </pic:spPr>
                </pic:pic>
              </a:graphicData>
            </a:graphic>
          </wp:inline>
        </w:drawing>
      </w:r>
    </w:p>
    <w:p w14:paraId="7BB326E6">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图3-3 2021—2025年月末分布式光伏装机容量</w:t>
      </w:r>
    </w:p>
    <w:p w14:paraId="3181F0BD">
      <w:pPr>
        <w:pStyle w:val="5"/>
        <w:keepNext/>
        <w:numPr>
          <w:ilvl w:val="0"/>
          <w:numId w:val="0"/>
        </w:numPr>
        <w:spacing w:before="160" w:after="120" w:line="390" w:lineRule="exact"/>
        <w:ind w:firstLine="0"/>
      </w:pPr>
      <w:bookmarkStart w:id="102" w:name="年发电量估计方法"/>
      <w:r>
        <w:rPr>
          <w:rFonts w:ascii="Times New Roman" w:hAnsi="Times New Roman" w:eastAsia="方正仿宋_GBK"/>
          <w:b/>
          <w:sz w:val="26"/>
        </w:rPr>
        <w:t>3.3.2 年发电量估计方法</w:t>
      </w:r>
      <w:bookmarkEnd w:id="102"/>
    </w:p>
    <w:p w14:paraId="376293B2">
      <w:pPr>
        <w:pStyle w:val="115"/>
        <w:widowControl/>
        <w:spacing w:before="0" w:after="0" w:line="348" w:lineRule="exact"/>
        <w:ind w:firstLine="480"/>
        <w:jc w:val="both"/>
      </w:pPr>
      <w:r>
        <w:rPr>
          <w:rFonts w:ascii="Times New Roman" w:hAnsi="Times New Roman" w:eastAsia="方正仿宋_GBK"/>
          <w:b w:val="0"/>
          <w:sz w:val="24"/>
        </w:rPr>
        <w:t>光伏发电量由月度装机与统一典型出力曲线估计。对月份</w:t>
      </w:r>
      <m:oMath>
        <m:r>
          <m:rPr>
            <m:nor/>
          </m:rPr>
          <w:rPr>
            <w:rFonts w:ascii="Times New Roman" w:hAnsi="Times New Roman" w:eastAsia="方正仿宋_GBK" w:cs="Times New Roman"/>
            <w:i/>
            <w:iCs/>
          </w:rPr>
          <m:t>m</m:t>
        </m:r>
      </m:oMath>
      <w:r>
        <w:rPr>
          <w:rFonts w:ascii="Times New Roman" w:hAnsi="Times New Roman" w:eastAsia="方正仿宋_GBK"/>
          <w:b w:val="0"/>
          <w:sz w:val="24"/>
        </w:rPr>
        <w:t>，使用本月末和前月末容量均值；1月前月取2024年12月。式（3-3）为本研究积分估计方法，典型出力系数来自原始光伏曲线。</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（3-3）</w:t>
            </w:r>
          </w:p>
        </w:tc>
      </w:tr>
    </w:tbl>
    <w:p w14:paraId="082574F8">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oMath>
      <w:r>
        <w:rPr>
          <w:rFonts w:ascii="Times New Roman" w:hAnsi="Times New Roman" w:eastAsia="方正仿宋_GBK"/>
          <w:b w:val="0"/>
          <w:sz w:val="24"/>
        </w:rPr>
        <w:t>为估计光伏年发电量，单位MWh；</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m</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m</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分别为本月及前月末光伏装机，单位MW；</w:t>
      </w:r>
      <m:oMath>
        <m:sSub>
          <m:sSubPr/>
          <m:e>
            <m:r>
              <m:rPr>
                <m:nor/>
              </m:rPr>
              <w:rPr>
                <w:rFonts w:ascii="Times New Roman" w:hAnsi="Times New Roman" w:eastAsia="方正仿宋_GBK" w:cs="Times New Roman"/>
                <w:i/>
                <w:iCs/>
              </w:rPr>
              <m:t>ϕ</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的典型光伏出力系数，</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t</m:t>
        </m:r>
      </m:oMath>
      <w:r>
        <w:rPr>
          <w:rFonts w:ascii="Times New Roman" w:hAnsi="Times New Roman" w:eastAsia="方正仿宋_GBK"/>
          <w:b w:val="0"/>
          <w:sz w:val="24"/>
        </w:rPr>
        <w:t xml:space="preserve">为1 </w:t>
      </w:r>
      <m:oMath>
        <m:r>
          <m:rPr>
            <m:nor/>
          </m:rPr>
          <w:rPr>
            <w:rFonts w:ascii="Times New Roman" w:hAnsi="Times New Roman" w:eastAsia="方正仿宋_GBK" w:cs="Times New Roman"/>
            <w:i/>
            <w:iCs/>
          </w:rPr>
          <m:t>h</m:t>
        </m:r>
      </m:oMath>
      <w:r>
        <w:rPr>
          <w:rFonts w:ascii="Times New Roman" w:hAnsi="Times New Roman" w:eastAsia="方正仿宋_GBK"/>
          <w:b w:val="0"/>
          <w:sz w:val="24"/>
        </w:rPr>
        <w:t>，</w:t>
      </w:r>
      <m:oMath>
        <m:r>
          <m:rPr>
            <m:nor/>
          </m:rPr>
          <w:rPr>
            <w:rFonts w:ascii="Times New Roman" w:hAnsi="Times New Roman" w:eastAsia="方正仿宋_GBK" w:cs="Times New Roman"/>
            <w:i/>
            <w:iCs/>
          </w:rPr>
          <m:t>m</m:t>
        </m:r>
      </m:oMath>
      <w:r>
        <w:rPr>
          <w:rFonts w:ascii="Times New Roman" w:hAnsi="Times New Roman" w:eastAsia="方正仿宋_GBK"/>
          <w:b w:val="0"/>
          <w:sz w:val="24"/>
        </w:rPr>
        <w:t>为月份。典型出力曲线采用项目系统光伏资料，计算值用于区县光伏电量估计。</w:t>
      </w:r>
    </w:p>
    <w:p w14:paraId="6A8FFFD1">
      <w:pPr>
        <w:pStyle w:val="2"/>
        <w:widowControl/>
        <w:spacing w:before="0" w:after="0" w:line="348" w:lineRule="exact"/>
        <w:ind w:firstLine="480"/>
        <w:jc w:val="both"/>
      </w:pPr>
      <w:r>
        <w:rPr>
          <w:rFonts w:ascii="Times New Roman" w:hAnsi="Times New Roman" w:eastAsia="方正仿宋_GBK"/>
          <w:b w:val="0"/>
          <w:sz w:val="24"/>
        </w:rPr>
        <w:t>按该方法，邳州2025年发电量估计为1698270.73 MWh，市区为590451.12 MWh。不同地区的年内投运速度和月末装机差异均进入计算。</w:t>
      </w:r>
    </w:p>
    <w:p w14:paraId="53B27795">
      <w:pPr>
        <w:pStyle w:val="5"/>
        <w:keepNext/>
        <w:numPr>
          <w:ilvl w:val="0"/>
          <w:numId w:val="0"/>
        </w:numPr>
        <w:spacing w:before="160" w:after="120" w:line="390" w:lineRule="exact"/>
        <w:ind w:firstLine="0"/>
      </w:pPr>
      <w:bookmarkStart w:id="103" w:name="用户最大负荷与分布式电源装机渗透率"/>
      <w:r>
        <w:rPr>
          <w:rFonts w:ascii="Times New Roman" w:hAnsi="Times New Roman" w:eastAsia="方正仿宋_GBK"/>
          <w:b/>
          <w:sz w:val="26"/>
        </w:rPr>
        <w:t>3.3.3 用户最大负荷与分布式电源装机渗透率</w:t>
      </w:r>
      <w:bookmarkEnd w:id="103"/>
    </w:p>
    <w:p w14:paraId="2FC11013">
      <w:pPr>
        <w:pStyle w:val="115"/>
        <w:widowControl/>
        <w:spacing w:before="0" w:after="0" w:line="348" w:lineRule="exact"/>
        <w:ind w:firstLine="480"/>
        <w:jc w:val="both"/>
      </w:pPr>
      <w:r>
        <w:rPr>
          <w:rFonts w:ascii="Times New Roman" w:hAnsi="Times New Roman" w:eastAsia="方正仿宋_GBK"/>
          <w:b w:val="0"/>
          <w:sz w:val="24"/>
        </w:rPr>
        <w:t>分布式电源装机渗透率采用《配电网规划设计技术导则》的指标定义，作为描述源荷条件的研究参数[8]。</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（3-4）</w:t>
            </w:r>
          </w:p>
        </w:tc>
      </w:tr>
    </w:tbl>
    <w:p w14:paraId="36DF8F3C">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C</m:t>
            </m:r>
          </m:sub>
        </m:sSub>
      </m:oMath>
      <w:r>
        <w:rPr>
          <w:rFonts w:ascii="Times New Roman" w:hAnsi="Times New Roman" w:eastAsia="方正仿宋_GBK"/>
          <w:b w:val="0"/>
          <w:sz w:val="24"/>
        </w:rPr>
        <w:t>为分布式电源装机渗透率，无量纲；</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DG</m:t>
            </m:r>
          </m:sub>
        </m:sSub>
      </m:oMath>
      <w:r>
        <w:rPr>
          <w:rFonts w:ascii="Times New Roman" w:hAnsi="Times New Roman" w:eastAsia="方正仿宋_GBK"/>
          <w:b w:val="0"/>
          <w:sz w:val="24"/>
        </w:rPr>
        <w:t>为同范围分布式电源并网装机容量，单位MW；</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user,max</m:t>
            </m:r>
          </m:sub>
        </m:sSub>
      </m:oMath>
      <w:r>
        <w:rPr>
          <w:rFonts w:ascii="Times New Roman" w:hAnsi="Times New Roman" w:eastAsia="方正仿宋_GBK"/>
          <w:b w:val="0"/>
          <w:sz w:val="24"/>
        </w:rPr>
        <w:t>为用户最大负荷，单位MW。DG为分布式电源的英文缩写[8]。用户日间负荷由设备典型时刻净功率加回相应光伏出力估计，夜间候选负荷由设备夜间统计得到，再取两者较大值。该方法得到的用户最大负荷为典型场景估计值。</w:t>
      </w:r>
    </w:p>
    <w:p w14:paraId="46176FD4">
      <w:pPr>
        <w:pStyle w:val="2"/>
        <w:widowControl/>
        <w:spacing w:before="0" w:after="0" w:line="348" w:lineRule="exact"/>
        <w:ind w:firstLine="480"/>
        <w:jc w:val="both"/>
      </w:pPr>
      <w:r>
        <w:rPr>
          <w:rFonts w:ascii="Times New Roman" w:hAnsi="Times New Roman" w:eastAsia="方正仿宋_GBK"/>
          <w:b w:val="0"/>
          <w:sz w:val="24"/>
        </w:rPr>
        <w:t>邳州估计用户最大负荷为956.45 MW，分布式电源装机渗透率为1.63，市区估计用户最大负荷为1545.20 MW，分布式电源装机渗透率为0.32。</w:t>
      </w:r>
    </w:p>
    <w:p w14:paraId="27C05F3D">
      <w:pPr>
        <w:pStyle w:val="5"/>
        <w:keepNext/>
        <w:numPr>
          <w:ilvl w:val="0"/>
          <w:numId w:val="0"/>
        </w:numPr>
        <w:spacing w:before="160" w:after="120" w:line="390" w:lineRule="exact"/>
        <w:ind w:firstLine="0"/>
      </w:pPr>
      <w:bookmarkStart w:id="104" w:name="用户电量与分布式电源电量渗透率"/>
      <w:r>
        <w:rPr>
          <w:rFonts w:ascii="Times New Roman" w:hAnsi="Times New Roman" w:eastAsia="方正仿宋_GBK"/>
          <w:b/>
          <w:sz w:val="26"/>
        </w:rPr>
        <w:t>3.3.4 用户电量与分布式电源电量渗透率</w:t>
      </w:r>
      <w:bookmarkEnd w:id="104"/>
    </w:p>
    <w:p w14:paraId="13C01A4E">
      <w:pPr>
        <w:pStyle w:val="115"/>
        <w:widowControl/>
        <w:spacing w:before="0" w:after="0" w:line="348" w:lineRule="exact"/>
        <w:ind w:firstLine="480"/>
        <w:jc w:val="both"/>
      </w:pPr>
      <w:r>
        <w:rPr>
          <w:rFonts w:ascii="Times New Roman" w:hAnsi="Times New Roman" w:eastAsia="方正仿宋_GBK"/>
          <w:b w:val="0"/>
          <w:sz w:val="24"/>
        </w:rPr>
        <w:t>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（3-5）</w:t>
            </w:r>
          </w:p>
        </w:tc>
      </w:tr>
    </w:tbl>
    <w:p w14:paraId="57A37BDB">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user</m:t>
            </m:r>
          </m:sub>
        </m:sSub>
      </m:oMath>
      <w:r>
        <w:rPr>
          <w:rFonts w:ascii="Times New Roman" w:hAnsi="Times New Roman" w:eastAsia="方正仿宋_GBK"/>
          <w:b w:val="0"/>
          <w:sz w:val="24"/>
        </w:rPr>
        <w:t>为用户年用电量估计值，</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oMath>
      <w:r>
        <w:rPr>
          <w:rFonts w:ascii="Times New Roman" w:hAnsi="Times New Roman" w:eastAsia="方正仿宋_GBK"/>
          <w:b w:val="0"/>
          <w:sz w:val="24"/>
        </w:rPr>
        <w:t>为光伏年发电量估计值，单位MWh；</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为分布式电源电量渗透率；</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net,</m:t>
            </m:r>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的样本净交换功率，单位MW，</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t</m:t>
        </m:r>
      </m:oMath>
      <w:r>
        <w:rPr>
          <w:rFonts w:ascii="Times New Roman" w:hAnsi="Times New Roman" w:eastAsia="方正仿宋_GBK"/>
          <w:b w:val="0"/>
          <w:sz w:val="24"/>
        </w:rPr>
        <w:t>为1 h。</w:t>
      </w:r>
      <m:oMath>
        <m:r>
          <m:rPr>
            <m:nor/>
          </m:rPr>
          <w:rPr>
            <w:rFonts w:ascii="Times New Roman" w:hAnsi="Times New Roman" w:eastAsia="方正仿宋_GBK" w:cs="Times New Roman"/>
            <w:i/>
            <w:iCs/>
          </w:rPr>
          <m:t>a</m:t>
        </m:r>
      </m:oMath>
      <w:r>
        <w:rPr>
          <w:rFonts w:ascii="Times New Roman" w:hAnsi="Times New Roman" w:eastAsia="方正仿宋_GBK"/>
          <w:b w:val="0"/>
          <w:sz w:val="24"/>
        </w:rPr>
        <w:t>为按设备典型夜间负荷与样本最大净负荷构造的覆盖外推系数，邳州为1.01、市区为1.17。该参数按区县分布式光伏装机与110 kV样本净负荷估计。</w:t>
      </w:r>
    </w:p>
    <w:p w14:paraId="2E16D215">
      <w:pPr>
        <w:pStyle w:val="2"/>
        <w:widowControl/>
        <w:spacing w:before="0" w:after="0" w:line="348" w:lineRule="exact"/>
        <w:ind w:firstLine="480"/>
        <w:jc w:val="both"/>
      </w:pPr>
      <w:r>
        <w:rPr>
          <w:rFonts w:ascii="Times New Roman" w:hAnsi="Times New Roman" w:eastAsia="方正仿宋_GBK"/>
          <w:b w:val="0"/>
          <w:sz w:val="24"/>
        </w:rPr>
        <w:t>邳州估计用户年电量为4216392.40 MWh，分布式电源电量渗透率为40%，市区为6791485.10 MWh和9%。上述估计值用于源荷背景分析，费用目标采用第四章规定的新增措施支出。</w:t>
      </w:r>
    </w:p>
    <w:p w14:paraId="7F552F67">
      <w:pPr>
        <w:pStyle w:val="4"/>
        <w:keepNext/>
        <w:numPr>
          <w:ilvl w:val="0"/>
          <w:numId w:val="0"/>
        </w:numPr>
        <w:spacing w:before="160" w:after="120" w:line="480" w:lineRule="exact"/>
        <w:ind w:firstLine="0"/>
      </w:pPr>
      <w:bookmarkStart w:id="312" w:name="Report1017_h358"/>
      <w:bookmarkEnd w:id="312"/>
      <w:bookmarkStart w:id="105" w:name="h358"/>
      <w:bookmarkStart w:id="106" w:name="主变负载率与双向净负荷"/>
      <w:r>
        <w:rPr>
          <w:rFonts w:ascii="Times New Roman" w:hAnsi="Times New Roman" w:eastAsia="方正仿宋_GBK"/>
          <w:b/>
          <w:sz w:val="32"/>
        </w:rPr>
        <w:t>3.4 主变负载率与双向净负荷</w:t>
      </w:r>
      <w:bookmarkEnd w:id="105"/>
      <w:bookmarkEnd w:id="106"/>
    </w:p>
    <w:p w14:paraId="5CFFC0DF">
      <w:pPr>
        <w:pStyle w:val="5"/>
        <w:keepNext/>
        <w:numPr>
          <w:ilvl w:val="0"/>
          <w:numId w:val="0"/>
        </w:numPr>
        <w:spacing w:before="160" w:after="120" w:line="390" w:lineRule="exact"/>
        <w:ind w:firstLine="0"/>
      </w:pPr>
      <w:bookmarkStart w:id="107" w:name="主变年最大负载率统计"/>
      <w:r>
        <w:rPr>
          <w:rFonts w:ascii="Times New Roman" w:hAnsi="Times New Roman" w:eastAsia="方正仿宋_GBK"/>
          <w:b/>
          <w:sz w:val="26"/>
        </w:rPr>
        <w:t>3.4.1 主变年最大负载率统计</w:t>
      </w:r>
      <w:bookmarkEnd w:id="107"/>
    </w:p>
    <w:p w14:paraId="4C0705BF">
      <w:pPr>
        <w:pStyle w:val="115"/>
        <w:widowControl/>
        <w:spacing w:before="0" w:after="0" w:line="348" w:lineRule="exact"/>
        <w:ind w:firstLine="480"/>
        <w:jc w:val="both"/>
      </w:pPr>
      <w:r>
        <w:rPr>
          <w:rFonts w:ascii="Times New Roman" w:hAnsi="Times New Roman" w:eastAsia="方正仿宋_GBK"/>
          <w:b w:val="0"/>
          <w:sz w:val="24"/>
        </w:rPr>
        <w:t>设备统计表记录逐台主变年最大负载率。按110 kV及区县筛选，计算样本均值、中位数及较高负载设备数量。分布统计采用各台设备的年度极值，各自最大时刻可能不同。</w:t>
      </w:r>
    </w:p>
    <w:p w14:paraId="61E8B089">
      <w:pPr>
        <w:pStyle w:val="2"/>
        <w:keepNext/>
        <w:spacing w:before="120" w:after="80" w:line="280" w:lineRule="exact"/>
        <w:ind w:firstLine="0"/>
        <w:jc w:val="center"/>
      </w:pPr>
      <w:r>
        <w:rPr>
          <w:rFonts w:ascii="Times New Roman" w:hAnsi="Times New Roman" w:eastAsia="宋体"/>
          <w:b w:val="0"/>
          <w:sz w:val="21"/>
        </w:rPr>
        <w:t>表3-4 逐台110 kV主变年最大负载率统计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AA9F3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58E581A0">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385" w:type="dxa"/>
            <w:tcMar>
              <w:left w:w="70" w:type="dxa"/>
              <w:right w:w="70" w:type="dxa"/>
            </w:tcMar>
            <w:vAlign w:val="center"/>
          </w:tcPr>
          <w:p w14:paraId="3257369E">
            <w:pPr>
              <w:keepNext/>
              <w:spacing w:before="20" w:after="20" w:line="260" w:lineRule="exact"/>
              <w:ind w:left="0" w:leftChars="0" w:right="0" w:rightChars="0" w:firstLine="0" w:firstLineChars="0"/>
              <w:jc w:val="center"/>
            </w:pPr>
            <w:r>
              <w:rPr>
                <w:rFonts w:ascii="Times New Roman" w:hAnsi="Times New Roman" w:eastAsia="宋体"/>
                <w:b/>
                <w:sz w:val="18"/>
              </w:rPr>
              <w:t>样本台数</w:t>
            </w:r>
          </w:p>
        </w:tc>
        <w:tc>
          <w:tcPr>
            <w:tcW w:w="1385" w:type="dxa"/>
            <w:tcMar>
              <w:left w:w="70" w:type="dxa"/>
              <w:right w:w="70" w:type="dxa"/>
            </w:tcMar>
            <w:vAlign w:val="center"/>
          </w:tcPr>
          <w:p w14:paraId="09D9521A">
            <w:pPr>
              <w:keepNext/>
              <w:spacing w:before="20" w:after="20" w:line="260" w:lineRule="exact"/>
              <w:ind w:left="0" w:leftChars="0" w:right="0" w:rightChars="0" w:firstLine="0" w:firstLineChars="0"/>
              <w:jc w:val="center"/>
            </w:pPr>
            <w:r>
              <w:rPr>
                <w:rFonts w:ascii="Times New Roman" w:hAnsi="Times New Roman" w:eastAsia="宋体"/>
                <w:b/>
                <w:sz w:val="18"/>
              </w:rPr>
              <w:t>均值/%</w:t>
            </w:r>
          </w:p>
        </w:tc>
        <w:tc>
          <w:tcPr>
            <w:tcW w:w="1385" w:type="dxa"/>
            <w:tcMar>
              <w:left w:w="70" w:type="dxa"/>
              <w:right w:w="70" w:type="dxa"/>
            </w:tcMar>
            <w:vAlign w:val="center"/>
          </w:tcPr>
          <w:p w14:paraId="721F5A6A">
            <w:pPr>
              <w:keepNext/>
              <w:spacing w:before="20" w:after="20" w:line="260" w:lineRule="exact"/>
              <w:ind w:left="0" w:leftChars="0" w:right="0" w:rightChars="0" w:firstLine="0" w:firstLineChars="0"/>
              <w:jc w:val="center"/>
            </w:pPr>
            <w:r>
              <w:rPr>
                <w:rFonts w:ascii="Times New Roman" w:hAnsi="Times New Roman" w:eastAsia="宋体"/>
                <w:b/>
                <w:sz w:val="18"/>
              </w:rPr>
              <w:t>中位数/%</w:t>
            </w:r>
          </w:p>
        </w:tc>
        <w:tc>
          <w:tcPr>
            <w:tcW w:w="1385" w:type="dxa"/>
            <w:tcMar>
              <w:left w:w="70" w:type="dxa"/>
              <w:right w:w="70" w:type="dxa"/>
            </w:tcMar>
            <w:vAlign w:val="center"/>
          </w:tcPr>
          <w:p w14:paraId="567F2108">
            <w:pPr>
              <w:keepNext/>
              <w:spacing w:before="20" w:after="20" w:line="260" w:lineRule="exact"/>
              <w:ind w:left="0" w:leftChars="0" w:right="0" w:rightChars="0" w:firstLine="0" w:firstLineChars="0"/>
              <w:jc w:val="center"/>
            </w:pPr>
            <w:r>
              <w:rPr>
                <w:rFonts w:ascii="Times New Roman" w:hAnsi="Times New Roman" w:eastAsia="宋体"/>
                <w:b/>
                <w:sz w:val="18"/>
              </w:rPr>
              <w:t>≥80%台数</w:t>
            </w:r>
          </w:p>
        </w:tc>
        <w:tc>
          <w:tcPr>
            <w:tcW w:w="1385" w:type="dxa"/>
            <w:tcMar>
              <w:left w:w="70" w:type="dxa"/>
              <w:right w:w="70" w:type="dxa"/>
            </w:tcMar>
            <w:vAlign w:val="center"/>
          </w:tcPr>
          <w:p w14:paraId="0C1F2276">
            <w:pPr>
              <w:keepNext/>
              <w:spacing w:before="20" w:after="20" w:line="260" w:lineRule="exact"/>
              <w:ind w:left="0" w:leftChars="0" w:right="0" w:rightChars="0" w:firstLine="0" w:firstLineChars="0"/>
              <w:jc w:val="center"/>
            </w:pPr>
            <w:r>
              <w:rPr>
                <w:rFonts w:ascii="Times New Roman" w:hAnsi="Times New Roman" w:eastAsia="宋体"/>
                <w:b/>
                <w:sz w:val="18"/>
              </w:rPr>
              <w:t>最大值/%</w:t>
            </w:r>
          </w:p>
        </w:tc>
      </w:tr>
      <w:tr w14:paraId="46CB06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48C2CA9">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385" w:type="dxa"/>
            <w:tcMar>
              <w:left w:w="70" w:type="dxa"/>
              <w:right w:w="70" w:type="dxa"/>
            </w:tcMar>
            <w:vAlign w:val="center"/>
          </w:tcPr>
          <w:p w14:paraId="0D8250A9">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37525489">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748E47C4">
            <w:pPr>
              <w:keepNext/>
              <w:spacing w:before="20" w:after="20" w:line="260" w:lineRule="exact"/>
              <w:ind w:left="0" w:leftChars="0" w:right="0" w:rightChars="0" w:firstLine="0" w:firstLineChars="0"/>
              <w:jc w:val="center"/>
            </w:pPr>
            <w:r>
              <w:rPr>
                <w:rFonts w:ascii="Times New Roman" w:hAnsi="Times New Roman" w:eastAsia="宋体"/>
                <w:b w:val="0"/>
                <w:sz w:val="18"/>
              </w:rPr>
              <w:t>53</w:t>
            </w:r>
          </w:p>
        </w:tc>
        <w:tc>
          <w:tcPr>
            <w:tcW w:w="1385" w:type="dxa"/>
            <w:tcMar>
              <w:left w:w="70" w:type="dxa"/>
              <w:right w:w="70" w:type="dxa"/>
            </w:tcMar>
            <w:vAlign w:val="center"/>
          </w:tcPr>
          <w:p w14:paraId="5CE1E445">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2706F38C">
            <w:pPr>
              <w:keepNext/>
              <w:spacing w:before="20" w:after="20" w:line="260" w:lineRule="exact"/>
              <w:ind w:left="0" w:leftChars="0" w:right="0" w:rightChars="0" w:firstLine="0" w:firstLineChars="0"/>
              <w:jc w:val="center"/>
            </w:pPr>
            <w:r>
              <w:rPr>
                <w:rFonts w:ascii="Times New Roman" w:hAnsi="Times New Roman" w:eastAsia="宋体"/>
                <w:b w:val="0"/>
                <w:sz w:val="18"/>
              </w:rPr>
              <w:t>92</w:t>
            </w:r>
          </w:p>
        </w:tc>
      </w:tr>
      <w:tr w14:paraId="7BB155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6D33004">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385" w:type="dxa"/>
            <w:tcMar>
              <w:left w:w="70" w:type="dxa"/>
              <w:right w:w="70" w:type="dxa"/>
            </w:tcMar>
            <w:vAlign w:val="center"/>
          </w:tcPr>
          <w:p w14:paraId="10B1A46B">
            <w:pPr>
              <w:keepNext w:val="0"/>
              <w:spacing w:before="20" w:after="20" w:line="260" w:lineRule="exact"/>
              <w:ind w:left="0" w:leftChars="0" w:right="0" w:rightChars="0" w:firstLine="0" w:firstLineChars="0"/>
              <w:jc w:val="center"/>
            </w:pPr>
            <w:r>
              <w:rPr>
                <w:rFonts w:ascii="Times New Roman" w:hAnsi="Times New Roman" w:eastAsia="宋体"/>
                <w:b w:val="0"/>
                <w:sz w:val="18"/>
              </w:rPr>
              <w:t>61</w:t>
            </w:r>
          </w:p>
        </w:tc>
        <w:tc>
          <w:tcPr>
            <w:tcW w:w="1385" w:type="dxa"/>
            <w:tcMar>
              <w:left w:w="70" w:type="dxa"/>
              <w:right w:w="70" w:type="dxa"/>
            </w:tcMar>
            <w:vAlign w:val="center"/>
          </w:tcPr>
          <w:p w14:paraId="60C6BB59">
            <w:pPr>
              <w:keepNext w:val="0"/>
              <w:spacing w:before="20" w:after="20" w:line="260" w:lineRule="exact"/>
              <w:ind w:left="0" w:leftChars="0" w:right="0" w:rightChars="0" w:firstLine="0" w:firstLineChars="0"/>
              <w:jc w:val="center"/>
            </w:pPr>
            <w:r>
              <w:rPr>
                <w:rFonts w:ascii="Times New Roman" w:hAnsi="Times New Roman" w:eastAsia="宋体"/>
                <w:b w:val="0"/>
                <w:sz w:val="18"/>
              </w:rPr>
              <w:t>53</w:t>
            </w:r>
          </w:p>
        </w:tc>
        <w:tc>
          <w:tcPr>
            <w:tcW w:w="1385" w:type="dxa"/>
            <w:tcMar>
              <w:left w:w="70" w:type="dxa"/>
              <w:right w:w="70" w:type="dxa"/>
            </w:tcMar>
            <w:vAlign w:val="center"/>
          </w:tcPr>
          <w:p w14:paraId="5C081F04">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400F5EBB">
            <w:pPr>
              <w:keepNext w:val="0"/>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7AF8494D">
            <w:pPr>
              <w:keepNext w:val="0"/>
              <w:spacing w:before="20" w:after="20" w:line="260" w:lineRule="exact"/>
              <w:ind w:left="0" w:leftChars="0" w:right="0" w:rightChars="0" w:firstLine="0" w:firstLineChars="0"/>
              <w:jc w:val="center"/>
            </w:pPr>
            <w:r>
              <w:rPr>
                <w:rFonts w:ascii="Times New Roman" w:hAnsi="Times New Roman" w:eastAsia="宋体"/>
                <w:b w:val="0"/>
                <w:sz w:val="18"/>
              </w:rPr>
              <w:t>97</w:t>
            </w:r>
          </w:p>
        </w:tc>
      </w:tr>
    </w:tbl>
    <w:p w14:paraId="1A37E3A6">
      <w:pPr>
        <w:pStyle w:val="2"/>
        <w:widowControl/>
        <w:spacing w:before="0" w:after="0" w:line="348" w:lineRule="exact"/>
        <w:ind w:firstLine="480"/>
        <w:jc w:val="both"/>
      </w:pPr>
      <w:r>
        <w:rPr>
          <w:rFonts w:ascii="Times New Roman" w:hAnsi="Times New Roman" w:eastAsia="方正仿宋_GBK"/>
          <w:b w:val="0"/>
          <w:sz w:val="24"/>
        </w:rPr>
        <w:t>邳州逐台主变年最大负载率中位数为53%，市区为55%，两地区均有设备达到80%及以上。中位水平与较高负载设备并存，表明容量需求在设备之间存在差异，建设措施需落实到具体站点。</w:t>
      </w:r>
    </w:p>
    <w:p w14:paraId="74721377">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926080"/>
            <wp:effectExtent l="0" t="0" r="0" b="0"/>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a:picLocks noChangeAspect="1" noChangeArrowheads="1"/>
                    </pic:cNvPicPr>
                  </pic:nvPicPr>
                  <pic:blipFill>
                    <a:blip r:embed="rId17"/>
                    <a:stretch>
                      <a:fillRect/>
                    </a:stretch>
                  </pic:blipFill>
                  <pic:spPr>
                    <a:xfrm>
                      <a:off x="0" y="0"/>
                      <a:ext cx="5120640" cy="2926080"/>
                    </a:xfrm>
                    <a:prstGeom prst="rect">
                      <a:avLst/>
                    </a:prstGeom>
                    <a:noFill/>
                    <a:ln w="9525">
                      <a:noFill/>
                    </a:ln>
                  </pic:spPr>
                </pic:pic>
              </a:graphicData>
            </a:graphic>
          </wp:inline>
        </w:drawing>
      </w:r>
    </w:p>
    <w:p w14:paraId="105D0AE6">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图3-4 邳州和市区逐台主变最大负载率分布</w:t>
      </w:r>
    </w:p>
    <w:p w14:paraId="1F99B020">
      <w:pPr>
        <w:pStyle w:val="5"/>
        <w:keepNext/>
        <w:numPr>
          <w:ilvl w:val="0"/>
          <w:numId w:val="0"/>
        </w:numPr>
        <w:spacing w:before="160" w:after="120" w:line="390" w:lineRule="exact"/>
        <w:ind w:firstLine="0"/>
      </w:pPr>
      <w:bookmarkStart w:id="108" w:name="最大正向反向净负荷"/>
      <w:r>
        <w:rPr>
          <w:rFonts w:ascii="Times New Roman" w:hAnsi="Times New Roman" w:eastAsia="方正仿宋_GBK"/>
          <w:b/>
          <w:sz w:val="26"/>
        </w:rPr>
        <w:t>3.4.2 最大正向、反向净负荷</w:t>
      </w:r>
      <w:bookmarkEnd w:id="108"/>
    </w:p>
    <w:p w14:paraId="6EF1FB06">
      <w:pPr>
        <w:pStyle w:val="115"/>
        <w:widowControl/>
        <w:spacing w:before="0" w:after="0" w:line="348" w:lineRule="exact"/>
        <w:ind w:firstLine="480"/>
        <w:jc w:val="both"/>
      </w:pPr>
      <w:r>
        <w:rPr>
          <w:rFonts w:ascii="Times New Roman" w:hAnsi="Times New Roman" w:eastAsia="方正仿宋_GBK"/>
          <w:b w:val="0"/>
          <w:sz w:val="24"/>
        </w:rPr>
        <w:t>净负荷序列以受电为正、反送为负。容量压力采用最大绝对值，同时列示正向和反向极值用于容量校核。由带符号序列分别提取方向峰值：</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（3-6）</w:t>
            </w:r>
          </w:p>
        </w:tc>
      </w:tr>
    </w:tbl>
    <w:p w14:paraId="781E54E4">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的净负荷，受电为正、反送为负；</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oMath>
      <w:r>
        <w:rPr>
          <w:rFonts w:ascii="Times New Roman" w:hAnsi="Times New Roman" w:eastAsia="方正仿宋_GBK"/>
          <w:b w:val="0"/>
          <w:sz w:val="24"/>
        </w:rPr>
        <w:t>和</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oMath>
      <w:r>
        <w:rPr>
          <w:rFonts w:ascii="Times New Roman" w:hAnsi="Times New Roman" w:eastAsia="方正仿宋_GBK"/>
          <w:b w:val="0"/>
          <w:sz w:val="24"/>
        </w:rPr>
        <w:t>分别为最大正向、反向净负荷，</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abs</m:t>
            </m:r>
          </m:sup>
        </m:sSup>
      </m:oMath>
      <w:r>
        <w:rPr>
          <w:rFonts w:ascii="Times New Roman" w:hAnsi="Times New Roman" w:eastAsia="方正仿宋_GBK"/>
          <w:b w:val="0"/>
          <w:sz w:val="24"/>
        </w:rPr>
        <w:t>为净负荷最大绝对值，单位均为MW。站级负载率按</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abs</m:t>
            </m:r>
          </m:sup>
        </m:sSup>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S</m:t>
        </m:r>
        <m:r>
          <m:rPr>
            <m:nor/>
            <m:sty m:val="p"/>
          </m:rPr>
          <w:rPr>
            <w:rFonts w:ascii="Times New Roman" w:hAnsi="Times New Roman" w:eastAsia="方正仿宋_GBK" w:cs="Times New Roman"/>
            <w:b w:val="0"/>
            <w:i w:val="0"/>
            <w:iCs w:val="0"/>
          </w:rPr>
          <m:t>cos</m:t>
        </m:r>
        <m:r>
          <m:rPr>
            <m:nor/>
          </m:rPr>
          <w:rPr>
            <w:rFonts w:ascii="Times New Roman" w:hAnsi="Times New Roman" w:eastAsia="方正仿宋_GBK" w:cs="Times New Roman"/>
            <w:i/>
            <w:iCs/>
          </w:rPr>
          <m:t>φ</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计算，</w:t>
      </w:r>
      <m:oMath>
        <m:r>
          <m:rPr>
            <m:nor/>
          </m:rPr>
          <w:rPr>
            <w:rFonts w:ascii="Times New Roman" w:hAnsi="Times New Roman" w:eastAsia="方正仿宋_GBK" w:cs="Times New Roman"/>
            <w:i/>
            <w:iCs/>
          </w:rPr>
          <m:t>S</m:t>
        </m:r>
      </m:oMath>
      <w:r>
        <w:rPr>
          <w:rFonts w:ascii="Times New Roman" w:hAnsi="Times New Roman" w:eastAsia="方正仿宋_GBK"/>
          <w:b w:val="0"/>
          <w:sz w:val="24"/>
        </w:rPr>
        <w:t>为本站主变总容量，功率因数取0.95。本章采用初始容量和所设静态工况，第五章采用方案配置容量；均为按视在功率折算的站级计算值。正反向运行分别校核网络、电压及保护条件[4,5]。</w:t>
      </w:r>
    </w:p>
    <w:p w14:paraId="5DCDC63E">
      <w:pPr>
        <w:pStyle w:val="2"/>
        <w:keepNext/>
        <w:spacing w:before="120" w:after="80" w:line="280" w:lineRule="exact"/>
        <w:ind w:firstLine="0"/>
        <w:jc w:val="center"/>
      </w:pPr>
      <w:r>
        <w:rPr>
          <w:rFonts w:ascii="Times New Roman" w:hAnsi="Times New Roman" w:eastAsia="宋体"/>
          <w:b w:val="0"/>
          <w:sz w:val="21"/>
        </w:rPr>
        <w:t>表3-5 2025年站级样本最大正向、反向净负荷</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110 kV变电站</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八义集变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14.08</w:t>
            </w:r>
          </w:p>
        </w:tc>
      </w:tr>
    </w:tbl>
    <w:p w14:paraId="00674831">
      <w:pPr>
        <w:pStyle w:val="2"/>
        <w:widowControl/>
        <w:spacing w:before="0" w:after="0" w:line="348" w:lineRule="exact"/>
        <w:ind w:firstLine="480"/>
        <w:jc w:val="both"/>
      </w:pPr>
      <w:r>
        <w:rPr>
          <w:rFonts w:ascii="Times New Roman" w:hAnsi="Times New Roman" w:eastAsia="方正仿宋_GBK"/>
          <w:b w:val="0"/>
          <w:sz w:val="24"/>
        </w:rPr>
        <w:t>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14:paraId="09366722">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518025"/>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18"/>
                    <a:stretch>
                      <a:fillRect/>
                    </a:stretch>
                  </pic:blipFill>
                  <pic:spPr>
                    <a:xfrm>
                      <a:off x="0" y="0"/>
                      <a:ext cx="5120640" cy="4518211"/>
                    </a:xfrm>
                    <a:prstGeom prst="rect">
                      <a:avLst/>
                    </a:prstGeom>
                    <a:noFill/>
                    <a:ln w="9525">
                      <a:noFill/>
                    </a:ln>
                  </pic:spPr>
                </pic:pic>
              </a:graphicData>
            </a:graphic>
          </wp:inline>
        </w:drawing>
      </w:r>
    </w:p>
    <w:p w14:paraId="46A8E4EB">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图3-5 邳州2025年逐站正反向净负荷极值</w:t>
      </w:r>
    </w:p>
    <w:p w14:paraId="1040BE5A">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796155"/>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19"/>
                    <a:stretch>
                      <a:fillRect/>
                    </a:stretch>
                  </pic:blipFill>
                  <pic:spPr>
                    <a:xfrm>
                      <a:off x="0" y="0"/>
                      <a:ext cx="5120640" cy="4796416"/>
                    </a:xfrm>
                    <a:prstGeom prst="rect">
                      <a:avLst/>
                    </a:prstGeom>
                    <a:noFill/>
                    <a:ln w="9525">
                      <a:noFill/>
                    </a:ln>
                  </pic:spPr>
                </pic:pic>
              </a:graphicData>
            </a:graphic>
          </wp:inline>
        </w:drawing>
      </w:r>
    </w:p>
    <w:p w14:paraId="59953002">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图3-6 市区2025年逐站正反向净负荷极值</w:t>
      </w:r>
    </w:p>
    <w:p w14:paraId="26289010">
      <w:pPr>
        <w:pStyle w:val="2"/>
        <w:keepNext/>
        <w:spacing w:before="120" w:after="80" w:line="280" w:lineRule="exact"/>
        <w:ind w:firstLine="0"/>
        <w:jc w:val="center"/>
      </w:pPr>
      <w:r>
        <w:rPr>
          <w:rFonts w:ascii="Times New Roman" w:hAnsi="Times New Roman" w:eastAsia="宋体"/>
          <w:b w:val="0"/>
          <w:sz w:val="21"/>
        </w:rPr>
        <w:t>表3-6 两地区站级负载率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41.47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38.27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74.88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44.08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84.86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52.46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101.85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68.67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109.66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64.54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68.08</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108.71</w:t>
            </w:r>
          </w:p>
        </w:tc>
      </w:tr>
    </w:tbl>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2926080"/>
            <wp:effectExtent b="0" l="0" r="0" t="0"/>
            <wp:docPr descr="" title="" id="83"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ReportRevision1"/>
                    <a:stretch>
                      <a:fillRect/>
                    </a:stretch>
                  </pic:blipFill>
                  <pic:spPr bwMode="auto">
                    <a:xfrm>
                      <a:off x="0" y="0"/>
                      <a:ext cx="5120640" cy="2926080"/>
                    </a:xfrm>
                    <a:prstGeom prst="rect">
                      <a:avLst/>
                    </a:prstGeom>
                    <a:noFill/>
                    <a:ln w="9525">
                      <a:noFill/>
                      <a:headEnd/>
                      <a:tailEnd/>
                    </a:ln>
                  </pic:spPr>
                </pic:pic>
              </a:graphicData>
            </a:graphic>
          </wp:inline>
        </w:drawing>
      </w:r>
    </w:p>
    <w:p w14:paraId="568CF0FE">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图3-7 两地区静态工况下的站级负载率</w:t>
      </w:r>
    </w:p>
    <w:p w14:paraId="567E8E53">
      <w:pPr>
        <w:pStyle w:val="5"/>
        <w:keepNext/>
        <w:numPr>
          <w:ilvl w:val="0"/>
          <w:numId w:val="0"/>
        </w:numPr>
        <w:spacing w:before="160" w:after="120" w:line="390" w:lineRule="exact"/>
        <w:ind w:firstLine="0"/>
      </w:pPr>
      <w:bookmarkStart w:id="109" w:name="区域同步净负荷曲线"/>
      <w:r>
        <w:rPr>
          <w:rFonts w:ascii="Times New Roman" w:hAnsi="Times New Roman" w:eastAsia="方正仿宋_GBK"/>
          <w:b/>
          <w:sz w:val="26"/>
        </w:rPr>
        <w:t>3.4.3 区域同步净负荷曲线</w:t>
      </w:r>
      <w:bookmarkEnd w:id="109"/>
    </w:p>
    <w:p w14:paraId="0BFD3725">
      <w:pPr>
        <w:pStyle w:val="115"/>
        <w:widowControl/>
        <w:spacing w:before="0" w:after="0" w:line="348" w:lineRule="exact"/>
        <w:ind w:firstLine="480"/>
        <w:jc w:val="both"/>
      </w:pPr>
      <w:r>
        <w:rPr>
          <w:rFonts w:ascii="Times New Roman" w:hAnsi="Times New Roman" w:eastAsia="方正仿宋_GBK"/>
          <w:b w:val="0"/>
          <w:sz w:val="24"/>
        </w:rPr>
        <w:t>在统一小时轴上汇总区域内各站净负荷，得到区域同步净负荷曲线。图中按净负荷绝对值绘制全年过程，并放大最长近峰时段。邳州和市区的绝对值峰值均出现在正向受电时段。</w:t>
      </w:r>
    </w:p>
    <w:p w14:paraId="62672E1D">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510915"/>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a:picLocks noChangeAspect="1" noChangeArrowheads="1"/>
                    </pic:cNvPicPr>
                  </pic:nvPicPr>
                  <pic:blipFill>
                    <a:blip r:embed="rId21"/>
                    <a:stretch>
                      <a:fillRect/>
                    </a:stretch>
                  </pic:blipFill>
                  <pic:spPr>
                    <a:xfrm>
                      <a:off x="0" y="0"/>
                      <a:ext cx="5120640" cy="3510927"/>
                    </a:xfrm>
                    <a:prstGeom prst="rect">
                      <a:avLst/>
                    </a:prstGeom>
                    <a:noFill/>
                    <a:ln w="9525">
                      <a:noFill/>
                    </a:ln>
                  </pic:spPr>
                </pic:pic>
              </a:graphicData>
            </a:graphic>
          </wp:inline>
        </w:drawing>
      </w:r>
    </w:p>
    <w:p w14:paraId="37556EAC">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图3-8 邳州区域净负荷曲线及95%近峰时段</w:t>
      </w:r>
    </w:p>
    <w:p w14:paraId="5550D725">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510915"/>
            <wp:effectExtent l="0" t="0" r="0" b="0"/>
            <wp:docPr id="1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a:picLocks noChangeAspect="1" noChangeArrowheads="1"/>
                    </pic:cNvPicPr>
                  </pic:nvPicPr>
                  <pic:blipFill>
                    <a:blip r:embed="rId22"/>
                    <a:stretch>
                      <a:fillRect/>
                    </a:stretch>
                  </pic:blipFill>
                  <pic:spPr>
                    <a:xfrm>
                      <a:off x="0" y="0"/>
                      <a:ext cx="5120640" cy="3510927"/>
                    </a:xfrm>
                    <a:prstGeom prst="rect">
                      <a:avLst/>
                    </a:prstGeom>
                    <a:noFill/>
                    <a:ln w="9525">
                      <a:noFill/>
                    </a:ln>
                  </pic:spPr>
                </pic:pic>
              </a:graphicData>
            </a:graphic>
          </wp:inline>
        </w:drawing>
      </w:r>
    </w:p>
    <w:p w14:paraId="673D4C34">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图3-9 市区区域净负荷曲线及95%近峰时段</w:t>
      </w:r>
    </w:p>
    <w:p w14:paraId="69D5FD2C">
      <w:pPr>
        <w:pStyle w:val="5"/>
        <w:keepNext/>
        <w:numPr>
          <w:ilvl w:val="0"/>
          <w:numId w:val="0"/>
        </w:numPr>
        <w:spacing w:before="160" w:after="120" w:line="390" w:lineRule="exact"/>
        <w:ind w:firstLine="0"/>
      </w:pPr>
      <w:bookmarkStart w:id="110" w:name="峰值持续时间"/>
      <w:r>
        <w:rPr>
          <w:rFonts w:ascii="Times New Roman" w:hAnsi="Times New Roman" w:eastAsia="方正仿宋_GBK"/>
          <w:b/>
          <w:sz w:val="26"/>
        </w:rPr>
        <w:t>3.4.4 95%峰值持续时间</w:t>
      </w:r>
      <w:bookmarkEnd w:id="110"/>
    </w:p>
    <w:p w14:paraId="3E3D5D15">
      <w:pPr>
        <w:pStyle w:val="115"/>
        <w:widowControl/>
        <w:spacing w:before="0" w:after="0" w:line="348" w:lineRule="exact"/>
        <w:ind w:firstLine="480"/>
        <w:jc w:val="both"/>
      </w:pPr>
      <w:r>
        <w:rPr>
          <w:rFonts w:ascii="Times New Roman" w:hAnsi="Times New Roman" w:eastAsia="方正仿宋_GBK"/>
          <w:b w:val="0"/>
          <w:sz w:val="24"/>
        </w:rPr>
        <w:t>以区域净负荷最大绝对值的95%为阈值，统计达到阈值的最长连续时长和全年累计时数。</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（3-7）</w:t>
            </w:r>
          </w:p>
        </w:tc>
      </w:tr>
    </w:tbl>
    <w:p w14:paraId="7ECCDAB7">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H</m:t>
            </m:r>
          </m:e>
          <m:sub>
            <m:r>
              <m:rPr>
                <m:nor/>
                <m:sty m:val="p"/>
              </m:rPr>
              <w:rPr>
                <w:rFonts w:ascii="Times New Roman" w:hAnsi="Times New Roman" w:eastAsia="方正仿宋_GBK" w:cs="Times New Roman"/>
                <w:b w:val="0"/>
                <w:i w:val="0"/>
                <w:iCs w:val="0"/>
              </w:rPr>
              <m:t>95</m:t>
            </m:r>
          </m:sub>
        </m:sSub>
      </m:oMath>
      <w:r>
        <w:rPr>
          <w:rFonts w:ascii="Times New Roman" w:hAnsi="Times New Roman" w:eastAsia="方正仿宋_GBK"/>
          <w:b w:val="0"/>
          <w:sz w:val="24"/>
        </w:rPr>
        <w:t>为95%峰值持续时间，单位h；</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t>
            </m:r>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的区域净负荷，</w:t>
      </w:r>
      <m:oMath>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t>
            </m:r>
          </m:sub>
          <m:sup>
            <m:r>
              <m:rPr>
                <m:nor/>
                <m:sty m:val="p"/>
              </m:rPr>
              <w:rPr>
                <w:rFonts w:ascii="Times New Roman" w:hAnsi="Times New Roman" w:eastAsia="方正仿宋_GBK" w:cs="Times New Roman"/>
                <w:b w:val="0"/>
                <w:i w:val="0"/>
                <w:iCs w:val="0"/>
              </w:rPr>
              <m:t>abs</m:t>
            </m:r>
          </m:sup>
        </m:sSubSup>
      </m:oMath>
      <w:r>
        <w:rPr>
          <w:rFonts w:ascii="Times New Roman" w:hAnsi="Times New Roman" w:eastAsia="方正仿宋_GBK"/>
          <w:b w:val="0"/>
          <w:sz w:val="24"/>
        </w:rPr>
        <w:t>为其全年最大绝对值，单位MW。</w:t>
      </w:r>
    </w:p>
    <w:p w14:paraId="2AF21EB9">
      <w:pPr>
        <w:pStyle w:val="2"/>
        <w:keepNext/>
        <w:spacing w:before="120" w:after="80" w:line="280" w:lineRule="exact"/>
        <w:ind w:firstLine="0"/>
        <w:jc w:val="center"/>
      </w:pPr>
      <w:r>
        <w:rPr>
          <w:rFonts w:ascii="Times New Roman" w:hAnsi="Times New Roman" w:eastAsia="宋体"/>
          <w:b w:val="0"/>
          <w:sz w:val="21"/>
        </w:rPr>
        <w:t>表3-7 两地区净负荷95%峰值持续时间</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79A927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0A3ADED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41844BAA">
            <w:pPr>
              <w:keepNext/>
              <w:spacing w:before="20" w:after="20" w:line="260" w:lineRule="exact"/>
              <w:ind w:left="0" w:leftChars="0" w:right="0" w:rightChars="0" w:firstLine="0" w:firstLineChars="0"/>
              <w:jc w:val="center"/>
            </w:pPr>
            <w:r>
              <w:rPr>
                <w:rFonts w:ascii="Times New Roman" w:hAnsi="Times New Roman" w:eastAsia="宋体"/>
                <w:b/>
                <w:sz w:val="18"/>
              </w:rPr>
              <w:t>净负荷最大绝对值/MW</w:t>
            </w:r>
          </w:p>
        </w:tc>
        <w:tc>
          <w:tcPr>
            <w:tcW w:w="1662" w:type="dxa"/>
            <w:tcMar>
              <w:left w:w="70" w:type="dxa"/>
              <w:right w:w="70" w:type="dxa"/>
            </w:tcMar>
            <w:vAlign w:val="center"/>
          </w:tcPr>
          <w:p w14:paraId="05B4F31A">
            <w:pPr>
              <w:keepNext/>
              <w:spacing w:before="20" w:after="20" w:line="260" w:lineRule="exact"/>
              <w:ind w:left="0" w:leftChars="0" w:right="0" w:rightChars="0" w:firstLine="0" w:firstLineChars="0"/>
              <w:jc w:val="center"/>
            </w:pPr>
            <w:r>
              <w:rPr>
                <w:rFonts w:ascii="Times New Roman" w:hAnsi="Times New Roman" w:eastAsia="宋体"/>
                <w:b/>
                <w:sz w:val="18"/>
              </w:rPr>
              <w:t>95%峰值阈值/MW</w:t>
            </w:r>
          </w:p>
        </w:tc>
        <w:tc>
          <w:tcPr>
            <w:tcW w:w="1662" w:type="dxa"/>
            <w:tcMar>
              <w:left w:w="70" w:type="dxa"/>
              <w:right w:w="70" w:type="dxa"/>
            </w:tcMar>
            <w:vAlign w:val="center"/>
          </w:tcPr>
          <w:p w14:paraId="069C8714">
            <w:pPr>
              <w:keepNext/>
              <w:spacing w:before="20" w:after="20" w:line="260" w:lineRule="exact"/>
              <w:ind w:left="0" w:leftChars="0" w:right="0" w:rightChars="0" w:firstLine="0" w:firstLineChars="0"/>
              <w:jc w:val="center"/>
            </w:pPr>
            <w:r>
              <w:rPr>
                <w:rFonts w:ascii="Times New Roman" w:hAnsi="Times New Roman" w:eastAsia="宋体"/>
                <w:b/>
                <w:sz w:val="18"/>
              </w:rPr>
              <w:t>最长连续时长/h</w:t>
            </w:r>
          </w:p>
        </w:tc>
        <w:tc>
          <w:tcPr>
            <w:tcW w:w="1662" w:type="dxa"/>
            <w:tcMar>
              <w:left w:w="70" w:type="dxa"/>
              <w:right w:w="70" w:type="dxa"/>
            </w:tcMar>
            <w:vAlign w:val="center"/>
          </w:tcPr>
          <w:p w14:paraId="11905C69">
            <w:pPr>
              <w:keepNext/>
              <w:spacing w:before="20" w:after="20" w:line="260" w:lineRule="exact"/>
              <w:ind w:left="0" w:leftChars="0" w:right="0" w:rightChars="0" w:firstLine="0" w:firstLineChars="0"/>
              <w:jc w:val="center"/>
            </w:pPr>
            <w:r>
              <w:rPr>
                <w:rFonts w:ascii="Times New Roman" w:hAnsi="Times New Roman" w:eastAsia="宋体"/>
                <w:b/>
                <w:sz w:val="18"/>
              </w:rPr>
              <w:t>累计时数/h</w:t>
            </w:r>
          </w:p>
        </w:tc>
      </w:tr>
      <w:tr w14:paraId="12AE84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C132F2E">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09DA0E6F">
            <w:pPr>
              <w:keepNext/>
              <w:spacing w:before="20" w:after="20" w:line="260" w:lineRule="exact"/>
              <w:ind w:left="0" w:leftChars="0" w:right="0" w:rightChars="0" w:firstLine="0" w:firstLineChars="0"/>
              <w:jc w:val="center"/>
            </w:pPr>
            <w:r>
              <w:rPr>
                <w:rFonts w:ascii="Times New Roman" w:hAnsi="Times New Roman" w:eastAsia="宋体"/>
                <w:b w:val="0"/>
                <w:sz w:val="18"/>
              </w:rPr>
              <w:t>951.66</w:t>
            </w:r>
          </w:p>
        </w:tc>
        <w:tc>
          <w:tcPr>
            <w:tcW w:w="1662" w:type="dxa"/>
            <w:tcMar>
              <w:left w:w="70" w:type="dxa"/>
              <w:right w:w="70" w:type="dxa"/>
            </w:tcMar>
            <w:vAlign w:val="center"/>
          </w:tcPr>
          <w:p w14:paraId="12B2DCD7">
            <w:pPr>
              <w:keepNext/>
              <w:spacing w:before="20" w:after="20" w:line="260" w:lineRule="exact"/>
              <w:ind w:left="0" w:leftChars="0" w:right="0" w:rightChars="0" w:firstLine="0" w:firstLineChars="0"/>
              <w:jc w:val="center"/>
            </w:pPr>
            <w:r>
              <w:rPr>
                <w:rFonts w:ascii="Times New Roman" w:hAnsi="Times New Roman" w:eastAsia="宋体"/>
                <w:b w:val="0"/>
                <w:sz w:val="18"/>
              </w:rPr>
              <w:t>904.08</w:t>
            </w:r>
          </w:p>
        </w:tc>
        <w:tc>
          <w:tcPr>
            <w:tcW w:w="1662" w:type="dxa"/>
            <w:tcMar>
              <w:left w:w="70" w:type="dxa"/>
              <w:right w:w="70" w:type="dxa"/>
            </w:tcMar>
            <w:vAlign w:val="center"/>
          </w:tcPr>
          <w:p w14:paraId="6F4E69EE">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662" w:type="dxa"/>
            <w:tcMar>
              <w:left w:w="70" w:type="dxa"/>
              <w:right w:w="70" w:type="dxa"/>
            </w:tcMar>
            <w:vAlign w:val="center"/>
          </w:tcPr>
          <w:p w14:paraId="4C9E2B26">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r>
      <w:tr w14:paraId="65D6D11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4205A7C">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2A99961">
            <w:pPr>
              <w:keepNext w:val="0"/>
              <w:spacing w:before="20" w:after="20" w:line="260" w:lineRule="exact"/>
              <w:ind w:left="0" w:leftChars="0" w:right="0" w:rightChars="0" w:firstLine="0" w:firstLineChars="0"/>
              <w:jc w:val="center"/>
            </w:pPr>
            <w:r>
              <w:rPr>
                <w:rFonts w:ascii="Times New Roman" w:hAnsi="Times New Roman" w:eastAsia="宋体"/>
                <w:b w:val="0"/>
                <w:sz w:val="18"/>
              </w:rPr>
              <w:t>1307.32</w:t>
            </w:r>
          </w:p>
        </w:tc>
        <w:tc>
          <w:tcPr>
            <w:tcW w:w="1662" w:type="dxa"/>
            <w:tcMar>
              <w:left w:w="70" w:type="dxa"/>
              <w:right w:w="70" w:type="dxa"/>
            </w:tcMar>
            <w:vAlign w:val="center"/>
          </w:tcPr>
          <w:p w14:paraId="40142472">
            <w:pPr>
              <w:keepNext w:val="0"/>
              <w:spacing w:before="20" w:after="20" w:line="260" w:lineRule="exact"/>
              <w:ind w:left="0" w:leftChars="0" w:right="0" w:rightChars="0" w:firstLine="0" w:firstLineChars="0"/>
              <w:jc w:val="center"/>
            </w:pPr>
            <w:r>
              <w:rPr>
                <w:rFonts w:ascii="Times New Roman" w:hAnsi="Times New Roman" w:eastAsia="宋体"/>
                <w:b w:val="0"/>
                <w:sz w:val="18"/>
              </w:rPr>
              <w:t>1241.95</w:t>
            </w:r>
          </w:p>
        </w:tc>
        <w:tc>
          <w:tcPr>
            <w:tcW w:w="1662" w:type="dxa"/>
            <w:tcMar>
              <w:left w:w="70" w:type="dxa"/>
              <w:right w:w="70" w:type="dxa"/>
            </w:tcMar>
            <w:vAlign w:val="center"/>
          </w:tcPr>
          <w:p w14:paraId="40A60AC4">
            <w:pPr>
              <w:keepNext w:val="0"/>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662" w:type="dxa"/>
            <w:tcMar>
              <w:left w:w="70" w:type="dxa"/>
              <w:right w:w="70" w:type="dxa"/>
            </w:tcMar>
            <w:vAlign w:val="center"/>
          </w:tcPr>
          <w:p w14:paraId="749F79F5">
            <w:pPr>
              <w:keepNext w:val="0"/>
              <w:spacing w:before="20" w:after="20" w:line="260" w:lineRule="exact"/>
              <w:ind w:left="0" w:leftChars="0" w:right="0" w:rightChars="0" w:firstLine="0" w:firstLineChars="0"/>
              <w:jc w:val="center"/>
            </w:pPr>
            <w:r>
              <w:rPr>
                <w:rFonts w:ascii="Times New Roman" w:hAnsi="Times New Roman" w:eastAsia="宋体"/>
                <w:b w:val="0"/>
                <w:sz w:val="18"/>
              </w:rPr>
              <w:t>11</w:t>
            </w:r>
          </w:p>
        </w:tc>
      </w:tr>
    </w:tbl>
    <w:p w14:paraId="4ED72D8C">
      <w:pPr>
        <w:pStyle w:val="2"/>
        <w:widowControl/>
        <w:spacing w:before="0" w:after="0" w:line="348" w:lineRule="exact"/>
        <w:ind w:firstLine="480"/>
        <w:jc w:val="both"/>
      </w:pPr>
      <w:r>
        <w:rPr>
          <w:rFonts w:ascii="Times New Roman" w:hAnsi="Times New Roman" w:eastAsia="方正仿宋_GBK"/>
          <w:b w:val="0"/>
          <w:sz w:val="24"/>
        </w:rPr>
        <w:t>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14:paraId="644615E9">
      <w:pPr>
        <w:pStyle w:val="2"/>
        <w:widowControl/>
        <w:spacing w:before="0" w:after="0" w:line="348" w:lineRule="exact"/>
        <w:ind w:firstLine="480"/>
        <w:jc w:val="both"/>
      </w:pPr>
      <w:r>
        <w:rPr>
          <w:rFonts w:ascii="Times New Roman" w:hAnsi="Times New Roman" w:eastAsia="方正仿宋_GBK"/>
          <w:b w:val="0"/>
          <w:sz w:val="24"/>
        </w:rPr>
        <w:t>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14:paraId="0ABE0224">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120640"/>
            <wp:effectExtent l="0" t="0" r="0" b="0"/>
            <wp:docPr id="2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pic:cNvPicPr>
                      <a:picLocks noChangeAspect="1" noChangeArrowheads="1"/>
                    </pic:cNvPicPr>
                  </pic:nvPicPr>
                  <pic:blipFill>
                    <a:blip r:embed="rId23"/>
                    <a:stretch>
                      <a:fillRect/>
                    </a:stretch>
                  </pic:blipFill>
                  <pic:spPr>
                    <a:xfrm>
                      <a:off x="0" y="0"/>
                      <a:ext cx="5120640" cy="5120640"/>
                    </a:xfrm>
                    <a:prstGeom prst="rect">
                      <a:avLst/>
                    </a:prstGeom>
                    <a:noFill/>
                    <a:ln w="9525">
                      <a:noFill/>
                    </a:ln>
                  </pic:spPr>
                </pic:pic>
              </a:graphicData>
            </a:graphic>
          </wp:inline>
        </w:drawing>
      </w:r>
    </w:p>
    <w:p w14:paraId="33885FD3">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图3-10 两地区全年净负荷绝对值持续曲线及高值端</w:t>
      </w:r>
    </w:p>
    <w:p w14:paraId="4464CD51">
      <w:pPr>
        <w:pStyle w:val="5"/>
        <w:keepNext/>
        <w:numPr>
          <w:ilvl w:val="0"/>
          <w:numId w:val="0"/>
        </w:numPr>
        <w:spacing w:before="160" w:after="120" w:line="390" w:lineRule="exact"/>
        <w:ind w:firstLine="0"/>
      </w:pPr>
      <w:bookmarkStart w:id="111" w:name="峰段与储能容量的联系"/>
      <w:r>
        <w:rPr>
          <w:rFonts w:ascii="Times New Roman" w:hAnsi="Times New Roman" w:eastAsia="方正仿宋_GBK"/>
          <w:b/>
          <w:sz w:val="26"/>
        </w:rPr>
        <w:t>3.4.5 峰段与储能容量的联系</w:t>
      </w:r>
      <w:bookmarkEnd w:id="111"/>
    </w:p>
    <w:p w14:paraId="697A6855">
      <w:pPr>
        <w:pStyle w:val="115"/>
        <w:widowControl/>
        <w:spacing w:before="0" w:after="0" w:line="348" w:lineRule="exact"/>
        <w:ind w:firstLine="480"/>
        <w:jc w:val="both"/>
      </w:pPr>
      <w:r>
        <w:rPr>
          <w:rFonts w:ascii="Times New Roman" w:hAnsi="Times New Roman" w:eastAsia="方正仿宋_GBK"/>
          <w:b w:val="0"/>
          <w:sz w:val="24"/>
        </w:rPr>
        <w:t>储能额定功率限制瞬时支撑幅度，可用能量限制连续支撑时长，因此静态支撑能力需同时满足峰值幅度与持续时间要求，模型取铭牌功率和峰段可持续能量折算功率的较小值确定充放电功率。</w:t>
      </w:r>
    </w:p>
    <w:p w14:paraId="0F31D46D">
      <w:pPr>
        <w:pStyle w:val="2"/>
        <w:widowControl/>
        <w:spacing w:before="0" w:after="0" w:line="348" w:lineRule="exact"/>
        <w:ind w:firstLine="480"/>
        <w:jc w:val="both"/>
      </w:pPr>
      <w:r>
        <w:rPr>
          <w:rFonts w:ascii="Times New Roman" w:hAnsi="Times New Roman" w:eastAsia="方正仿宋_GBK"/>
          <w:b w:val="0"/>
          <w:sz w:val="24"/>
        </w:rPr>
        <w:t>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h。当前研究采用可用电量系数0.76作静态折算，未开展逐时荷电状态仿真[10,33]。</w:t>
      </w:r>
    </w:p>
    <w:p w14:paraId="54B76D8B">
      <w:pPr>
        <w:pStyle w:val="4"/>
        <w:keepNext/>
        <w:numPr>
          <w:ilvl w:val="0"/>
          <w:numId w:val="0"/>
        </w:numPr>
        <w:spacing w:before="160" w:after="120" w:line="480" w:lineRule="exact"/>
        <w:ind w:firstLine="0"/>
      </w:pPr>
      <w:bookmarkStart w:id="313" w:name="Report1017_h394"/>
      <w:bookmarkEnd w:id="313"/>
      <w:bookmarkStart w:id="112" w:name="h394"/>
      <w:bookmarkStart w:id="113" w:name="核心参数依据与相关性分析"/>
      <w:r>
        <w:rPr>
          <w:rFonts w:ascii="Times New Roman" w:hAnsi="Times New Roman" w:eastAsia="方正仿宋_GBK"/>
          <w:b/>
          <w:sz w:val="32"/>
        </w:rPr>
        <w:t>3.5 核心参数依据与相关性分析</w:t>
      </w:r>
      <w:bookmarkEnd w:id="112"/>
      <w:bookmarkEnd w:id="113"/>
    </w:p>
    <w:p w14:paraId="5848A71D">
      <w:pPr>
        <w:pStyle w:val="5"/>
        <w:keepNext/>
        <w:numPr>
          <w:ilvl w:val="0"/>
          <w:numId w:val="0"/>
        </w:numPr>
        <w:spacing w:before="160" w:after="120" w:line="390" w:lineRule="exact"/>
        <w:ind w:firstLine="0"/>
      </w:pPr>
      <w:bookmarkStart w:id="114" w:name="十三项候选指标及工程依据"/>
      <w:r>
        <w:rPr>
          <w:rFonts w:ascii="Times New Roman" w:hAnsi="Times New Roman" w:eastAsia="方正仿宋_GBK"/>
          <w:b/>
          <w:sz w:val="26"/>
        </w:rPr>
        <w:t>3.5.1 十三项候选指标及工程依据</w:t>
      </w:r>
      <w:bookmarkEnd w:id="114"/>
    </w:p>
    <w:p w14:paraId="79B5D2CE">
      <w:pPr>
        <w:pStyle w:val="115"/>
        <w:widowControl/>
        <w:spacing w:before="0" w:after="0" w:line="348" w:lineRule="exact"/>
        <w:ind w:firstLine="480"/>
        <w:jc w:val="both"/>
      </w:pPr>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[8]。本研究围绕源荷规模、站级运行压力、网络支援和措施费用构造</w:t>
      </w:r>
      <w:r>
        <w:rPr>
          <w:rFonts w:ascii="Times New Roman" w:hAnsi="Times New Roman" w:eastAsia="方正仿宋_GBK"/>
          <w:b w:val="0"/>
          <w:sz w:val="24"/>
        </w:rPr>
        <w:t xml:space="preserve">十三项候选指标</w:t>
      </w:r>
      <w:r>
        <w:rPr>
          <w:woUserID w:val="2"/>
        </w:rPr>
      </w:r>
      <w:r>
        <w:rPr>
          <w:rFonts w:ascii="Times New Roman" w:hAnsi="Times New Roman" w:eastAsia="方正仿宋_GBK"/>
          <w:b w:val="0"/>
          <w:sz w:val="24"/>
        </w:rPr>
        <w:t xml:space="preserve">，先评价其与容载比的关联，再比较指标之间的信息重叠，确定推广矩阵的参数。</w:t>
      </w:r>
      <w:r>
        <w:rPr>
          <w:rFonts w:ascii="Times New Roman" w:hAnsi="Times New Roman" w:eastAsia="方正仿宋_GBK"/>
          <w:b w:val="0"/>
          <w:sz w:val="24"/>
        </w:rPr>
        <w:t xml:space="preserve">十三项候选基本覆盖所引规范与文献涉及的源荷规模、负荷发展及分散程度、设备负载、网络转移能力和措施经济性等主要影响方面[7,8,10]。平均功率因数与储备要求分别落实为统一功率因数及供电安全、容量下限条件，主变台数和额定容量作为设备决策进入模型。</w:t>
      </w:r>
    </w:p>
    <w:p w14:paraId="16017231">
      <w:pPr>
        <w:pStyle w:val="2"/>
        <w:keepNext/>
        <w:spacing w:before="120" w:after="80" w:line="280" w:lineRule="exact"/>
        <w:ind w:firstLine="0"/>
        <w:jc w:val="center"/>
      </w:pPr>
      <w:r>
        <w:rPr>
          <w:rFonts w:ascii="Times New Roman" w:hAnsi="Times New Roman" w:eastAsia="宋体"/>
          <w:b w:val="0"/>
          <w:sz w:val="21"/>
        </w:rPr>
        <w:t>表3-8 十三项候选指标的定义、依据与规划作用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022EFF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44ACAAFB">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2771" w:type="dxa"/>
            <w:tcMar>
              <w:left w:w="70" w:type="dxa"/>
              <w:right w:w="70" w:type="dxa"/>
            </w:tcMar>
            <w:vAlign w:val="center"/>
          </w:tcPr>
          <w:p w14:paraId="0D0406BA">
            <w:pPr>
              <w:keepNext/>
              <w:spacing w:before="20" w:after="20" w:line="260" w:lineRule="exact"/>
              <w:ind w:left="0" w:leftChars="0" w:right="0" w:rightChars="0" w:firstLine="0" w:firstLineChars="0"/>
              <w:jc w:val="center"/>
            </w:pPr>
            <w:r>
              <w:rPr>
                <w:rFonts w:ascii="Times New Roman" w:hAnsi="Times New Roman" w:eastAsia="宋体"/>
                <w:b/>
                <w:sz w:val="18"/>
              </w:rPr>
              <w:t>定义及单位</w:t>
            </w:r>
          </w:p>
        </w:tc>
        <w:tc>
          <w:tcPr>
            <w:tcW w:w="2771" w:type="dxa"/>
            <w:tcMar>
              <w:left w:w="70" w:type="dxa"/>
              <w:right w:w="70" w:type="dxa"/>
            </w:tcMar>
            <w:vAlign w:val="center"/>
          </w:tcPr>
          <w:p w14:paraId="20AD3290">
            <w:pPr>
              <w:keepNext/>
              <w:spacing w:before="20" w:after="20" w:line="260" w:lineRule="exact"/>
              <w:ind w:left="0" w:leftChars="0" w:right="0" w:rightChars="0" w:firstLine="0" w:firstLineChars="0"/>
              <w:jc w:val="center"/>
            </w:pPr>
            <w:r>
              <w:rPr>
                <w:rFonts w:ascii="Times New Roman" w:hAnsi="Times New Roman" w:eastAsia="宋体"/>
                <w:b/>
                <w:sz w:val="18"/>
              </w:rPr>
              <w:t>依据与规划作用</w:t>
            </w:r>
          </w:p>
        </w:tc>
      </w:tr>
      <w:tr w14:paraId="235105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449E22E">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771" w:type="dxa"/>
            <w:tcMar>
              <w:left w:w="70" w:type="dxa"/>
              <w:right w:w="70" w:type="dxa"/>
            </w:tcMar>
            <w:vAlign w:val="center"/>
          </w:tcPr>
          <w:p w14:paraId="1C7AEB4A">
            <w:pPr>
              <w:keepNext w:val="0"/>
              <w:spacing w:before="20" w:after="20" w:line="260" w:lineRule="exact"/>
              <w:ind w:left="0" w:leftChars="0" w:right="0" w:rightChars="0" w:firstLine="0" w:firstLineChars="0"/>
              <w:jc w:val="center"/>
            </w:pPr>
            <w:r>
              <w:rPr>
                <w:rFonts w:ascii="Times New Roman" w:hAnsi="Times New Roman" w:eastAsia="宋体"/>
                <w:b w:val="0"/>
                <w:sz w:val="18"/>
              </w:rPr>
              <w:t>同范围分布式电源并网装机容量与用户最大负荷之比，无量纲</w:t>
            </w:r>
          </w:p>
        </w:tc>
        <w:tc>
          <w:tcPr>
            <w:tcW w:w="2771" w:type="dxa"/>
            <w:tcMar>
              <w:left w:w="70" w:type="dxa"/>
              <w:right w:w="70" w:type="dxa"/>
            </w:tcMar>
            <w:vAlign w:val="center"/>
          </w:tcPr>
          <w:p w14:paraId="431BF78C">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导则第6.5.4条给出定义，第7.4.2.2条联系反向容量校核[8]；装机及负荷资料见第3.3节</w:t>
            </w:r>
          </w:p>
        </w:tc>
      </w:tr>
      <w:tr w14:paraId="54BC85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0A4E150A">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771" w:type="dxa"/>
            <w:tcMar>
              <w:left w:w="70" w:type="dxa"/>
              <w:right w:w="70" w:type="dxa"/>
            </w:tcMar>
            <w:vAlign w:val="center"/>
          </w:tcPr>
          <w:p w14:paraId="5B3894B3">
            <w:pPr>
              <w:keepNext w:val="0"/>
              <w:spacing w:before="20" w:after="20" w:line="260" w:lineRule="exact"/>
              <w:ind w:left="0" w:leftChars="0" w:right="0" w:rightChars="0" w:firstLine="0" w:firstLineChars="0"/>
              <w:jc w:val="center"/>
            </w:pPr>
            <w:r>
              <w:rPr>
                <w:rFonts w:ascii="Times New Roman" w:hAnsi="Times New Roman" w:eastAsia="宋体"/>
                <w:b w:val="0"/>
                <w:sz w:val="18"/>
              </w:rPr>
              <w:t>同范围分布式电源年发电量与用户年用电量之比，%</w:t>
            </w:r>
          </w:p>
        </w:tc>
        <w:tc>
          <w:tcPr>
            <w:tcW w:w="2771" w:type="dxa"/>
            <w:tcMar>
              <w:left w:w="70" w:type="dxa"/>
              <w:right w:w="70" w:type="dxa"/>
            </w:tcMar>
            <w:vAlign w:val="center"/>
          </w:tcPr>
          <w:p w14:paraId="37CA0661">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导则第6.5.4条给出定义[8]；描述本地电源的年度供能水平</w:t>
            </w:r>
          </w:p>
        </w:tc>
      </w:tr>
      <w:tr w14:paraId="287586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0C1EA9BE">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771" w:type="dxa"/>
            <w:tcMar>
              <w:left w:w="70" w:type="dxa"/>
              <w:right w:w="70" w:type="dxa"/>
            </w:tcMar>
            <w:vAlign w:val="center"/>
          </w:tcPr>
          <w:p w14:paraId="627C05D9">
            <w:pPr>
              <w:keepNext w:val="0"/>
              <w:spacing w:before="20" w:after="20" w:line="260" w:lineRule="exact"/>
              <w:ind w:left="0" w:leftChars="0" w:right="0" w:rightChars="0" w:firstLine="0" w:firstLineChars="0"/>
              <w:jc w:val="center"/>
            </w:pPr>
            <w:r>
              <w:rPr>
                <w:rFonts w:ascii="Times New Roman" w:hAnsi="Times New Roman" w:eastAsia="宋体"/>
                <w:b w:val="0"/>
                <w:sz w:val="18"/>
              </w:rPr>
              <w:t>各站净负荷绝对峰值与本站初始主变有功容量之比的最大值，%</w:t>
            </w:r>
          </w:p>
        </w:tc>
        <w:tc>
          <w:tcPr>
            <w:tcW w:w="2771" w:type="dxa"/>
            <w:tcMar>
              <w:left w:w="70" w:type="dxa"/>
              <w:right w:w="70" w:type="dxa"/>
            </w:tcMar>
            <w:vAlign w:val="center"/>
          </w:tcPr>
          <w:p w14:paraId="013ADC29">
            <w:pPr>
              <w:keepNext w:val="0"/>
              <w:spacing w:before="20" w:after="20" w:line="260" w:lineRule="exact"/>
              <w:ind w:left="0" w:leftChars="0" w:right="0" w:rightChars="0" w:firstLine="0" w:firstLineChars="0"/>
              <w:jc w:val="center"/>
            </w:pPr>
            <w:r>
              <w:rPr>
                <w:rFonts w:ascii="Times New Roman" w:hAnsi="Times New Roman" w:eastAsia="宋体"/>
                <w:b w:val="0"/>
                <w:sz w:val="18"/>
              </w:rPr>
              <w:t>按第3.4.2节计算，功率因数取0.95；描述局部容量压力[4,5]</w:t>
            </w:r>
          </w:p>
        </w:tc>
      </w:tr>
      <w:tr w14:paraId="28C24B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FE3FE10">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771" w:type="dxa"/>
            <w:tcMar>
              <w:left w:w="70" w:type="dxa"/>
              <w:right w:w="70" w:type="dxa"/>
            </w:tcMar>
            <w:vAlign w:val="center"/>
          </w:tcPr>
          <w:p w14:paraId="70AD4DC2">
            <w:pPr>
              <w:keepNext w:val="0"/>
              <w:spacing w:before="20" w:after="20" w:line="260" w:lineRule="exact"/>
              <w:ind w:left="0" w:leftChars="0" w:right="0" w:rightChars="0" w:firstLine="0" w:firstLineChars="0"/>
              <w:jc w:val="center"/>
            </w:pPr>
            <w:r>
              <w:rPr>
                <w:rFonts w:ascii="Times New Roman" w:hAnsi="Times New Roman" w:eastAsia="宋体"/>
                <w:b w:val="0"/>
                <w:sz w:val="18"/>
              </w:rPr>
              <w:t>区域同期净负荷曲线的最大受电功率，MW</w:t>
            </w:r>
          </w:p>
        </w:tc>
        <w:tc>
          <w:tcPr>
            <w:tcW w:w="2771" w:type="dxa"/>
            <w:tcMar>
              <w:left w:w="70" w:type="dxa"/>
              <w:right w:w="70" w:type="dxa"/>
            </w:tcMar>
            <w:vAlign w:val="center"/>
          </w:tcPr>
          <w:p w14:paraId="657E8C3F">
            <w:pPr>
              <w:keepNext w:val="0"/>
              <w:spacing w:before="20" w:after="20" w:line="260" w:lineRule="exact"/>
              <w:ind w:left="0" w:leftChars="0" w:right="0" w:rightChars="0" w:firstLine="0" w:firstLineChars="0"/>
              <w:jc w:val="center"/>
            </w:pPr>
            <w:r>
              <w:rPr>
                <w:rFonts w:ascii="Times New Roman" w:hAnsi="Times New Roman" w:eastAsia="宋体"/>
                <w:b w:val="0"/>
                <w:sz w:val="18"/>
              </w:rPr>
              <w:t>按式（3-6）计算；对应正向供电任务[4,5]</w:t>
            </w:r>
          </w:p>
        </w:tc>
      </w:tr>
      <w:tr w14:paraId="09DEE2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4E6E7148">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771" w:type="dxa"/>
            <w:tcMar>
              <w:left w:w="70" w:type="dxa"/>
              <w:right w:w="70" w:type="dxa"/>
            </w:tcMar>
            <w:vAlign w:val="center"/>
          </w:tcPr>
          <w:p w14:paraId="365971B0">
            <w:pPr>
              <w:keepNext w:val="0"/>
              <w:spacing w:before="20" w:after="20" w:line="260" w:lineRule="exact"/>
              <w:ind w:left="0" w:leftChars="0" w:right="0" w:rightChars="0" w:firstLine="0" w:firstLineChars="0"/>
              <w:jc w:val="center"/>
            </w:pPr>
            <w:r>
              <w:rPr>
                <w:rFonts w:ascii="Times New Roman" w:hAnsi="Times New Roman" w:eastAsia="宋体"/>
                <w:b w:val="0"/>
                <w:sz w:val="18"/>
              </w:rPr>
              <w:t>区域同期净负荷曲线的最大反送功率幅值，MW</w:t>
            </w:r>
          </w:p>
        </w:tc>
        <w:tc>
          <w:tcPr>
            <w:tcW w:w="2771" w:type="dxa"/>
            <w:tcMar>
              <w:left w:w="70" w:type="dxa"/>
              <w:right w:w="70" w:type="dxa"/>
            </w:tcMar>
            <w:vAlign w:val="center"/>
          </w:tcPr>
          <w:p w14:paraId="1D1A9527">
            <w:pPr>
              <w:keepNext w:val="0"/>
              <w:spacing w:before="20" w:after="20" w:line="260" w:lineRule="exact"/>
              <w:ind w:left="0" w:leftChars="0" w:right="0" w:rightChars="0" w:firstLine="0" w:firstLineChars="0"/>
              <w:jc w:val="center"/>
            </w:pPr>
            <w:r>
              <w:rPr>
                <w:rFonts w:ascii="Times New Roman" w:hAnsi="Times New Roman" w:eastAsia="宋体"/>
                <w:b w:val="0"/>
                <w:sz w:val="18"/>
              </w:rPr>
              <w:t>按式（3-6）计算；对应新能源反向输送任务[4,5]</w:t>
            </w:r>
          </w:p>
        </w:tc>
      </w:tr>
      <w:tr w14:paraId="275CDB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0235949">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771" w:type="dxa"/>
            <w:tcMar>
              <w:left w:w="70" w:type="dxa"/>
              <w:right w:w="70" w:type="dxa"/>
            </w:tcMar>
            <w:vAlign w:val="center"/>
          </w:tcPr>
          <w:p w14:paraId="2C7CE2D2">
            <w:pPr>
              <w:keepNext w:val="0"/>
              <w:spacing w:before="20" w:after="20" w:line="260" w:lineRule="exact"/>
              <w:ind w:left="0" w:leftChars="0" w:right="0" w:rightChars="0" w:firstLine="0" w:firstLineChars="0"/>
              <w:jc w:val="center"/>
            </w:pPr>
            <w:r>
              <w:rPr>
                <w:rFonts w:ascii="Times New Roman" w:hAnsi="Times New Roman" w:eastAsia="宋体"/>
                <w:b w:val="0"/>
                <w:sz w:val="18"/>
              </w:rPr>
              <w:t>同范围起止年度网供最大负荷之比按年度间隔开根后减1，%/年</w:t>
            </w:r>
          </w:p>
        </w:tc>
        <w:tc>
          <w:tcPr>
            <w:tcW w:w="2771" w:type="dxa"/>
            <w:tcMar>
              <w:left w:w="70" w:type="dxa"/>
              <w:right w:w="70" w:type="dxa"/>
            </w:tcMar>
            <w:vAlign w:val="center"/>
          </w:tcPr>
          <w:p w14:paraId="29769A48">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导则第6.2.2.1条据此划分负荷发展阶段[8]</w:t>
            </w:r>
          </w:p>
        </w:tc>
      </w:tr>
      <w:tr w14:paraId="0D1212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7F4CE39">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2771" w:type="dxa"/>
            <w:tcMar>
              <w:left w:w="70" w:type="dxa"/>
              <w:right w:w="70" w:type="dxa"/>
            </w:tcMar>
            <w:vAlign w:val="center"/>
          </w:tcPr>
          <w:p w14:paraId="644B7F65">
            <w:pPr>
              <w:keepNext w:val="0"/>
              <w:spacing w:before="20" w:after="20" w:line="260" w:lineRule="exact"/>
              <w:ind w:left="0" w:leftChars="0" w:right="0" w:rightChars="0" w:firstLine="0" w:firstLineChars="0"/>
              <w:jc w:val="center"/>
            </w:pPr>
            <w:r>
              <w:rPr>
                <w:rFonts w:ascii="Times New Roman" w:hAnsi="Times New Roman" w:eastAsia="宋体"/>
                <w:b w:val="0"/>
                <w:sz w:val="18"/>
              </w:rPr>
              <w:t>净负荷绝对值达到全年最大绝对值95%的最长连续时长，h</w:t>
            </w:r>
          </w:p>
        </w:tc>
        <w:tc>
          <w:tcPr>
            <w:tcW w:w="2771" w:type="dxa"/>
            <w:tcMar>
              <w:left w:w="70" w:type="dxa"/>
              <w:right w:w="70" w:type="dxa"/>
            </w:tcMar>
            <w:vAlign w:val="center"/>
          </w:tcPr>
          <w:p w14:paraId="2FBD1277">
            <w:pPr>
              <w:keepNext w:val="0"/>
              <w:spacing w:before="20" w:after="20" w:line="260" w:lineRule="exact"/>
              <w:ind w:left="0" w:leftChars="0" w:right="0" w:rightChars="0" w:firstLine="0" w:firstLineChars="0"/>
              <w:jc w:val="center"/>
            </w:pPr>
            <w:r>
              <w:rPr>
                <w:rFonts w:ascii="Times New Roman" w:hAnsi="Times New Roman" w:eastAsia="宋体"/>
                <w:b w:val="0"/>
                <w:sz w:val="18"/>
              </w:rPr>
              <w:t>按第3.4.4节由补齐后的8760小时曲线统计；描述连续近峰过程</w:t>
            </w:r>
          </w:p>
        </w:tc>
      </w:tr>
      <w:tr w14:paraId="6D4D9D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7FD5F6C">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771" w:type="dxa"/>
            <w:tcMar>
              <w:left w:w="70" w:type="dxa"/>
              <w:right w:w="70" w:type="dxa"/>
            </w:tcMar>
            <w:vAlign w:val="center"/>
          </w:tcPr>
          <w:p w14:paraId="3264B874">
            <w:pPr>
              <w:keepNext w:val="0"/>
              <w:spacing w:before="20" w:after="20" w:line="260" w:lineRule="exact"/>
              <w:ind w:left="0" w:leftChars="0" w:right="0" w:rightChars="0" w:firstLine="0" w:firstLineChars="0"/>
              <w:jc w:val="center"/>
            </w:pPr>
            <w:r>
              <w:rPr>
                <w:rFonts w:ascii="Times New Roman" w:hAnsi="Times New Roman" w:eastAsia="宋体"/>
                <w:b w:val="0"/>
                <w:sz w:val="18"/>
              </w:rPr>
              <w:t>各站正向峰值之和与区域同时正向峰值之比，无量纲</w:t>
            </w:r>
          </w:p>
        </w:tc>
        <w:tc>
          <w:tcPr>
            <w:tcW w:w="2771" w:type="dxa"/>
            <w:tcMar>
              <w:left w:w="70" w:type="dxa"/>
              <w:right w:w="70" w:type="dxa"/>
            </w:tcMar>
            <w:vAlign w:val="center"/>
          </w:tcPr>
          <w:p w14:paraId="4FFCA55C">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导则第6.2.2条列为容量储备影响因素[8]；联系局部峰值与区域同时峰值</w:t>
            </w:r>
          </w:p>
        </w:tc>
      </w:tr>
      <w:tr w14:paraId="4A9BC4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5AC4EDD">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771" w:type="dxa"/>
            <w:tcMar>
              <w:left w:w="70" w:type="dxa"/>
              <w:right w:w="70" w:type="dxa"/>
            </w:tcMar>
            <w:vAlign w:val="center"/>
          </w:tcPr>
          <w:p w14:paraId="514D6835">
            <w:pPr>
              <w:keepNext w:val="0"/>
              <w:spacing w:before="20" w:after="20" w:line="260" w:lineRule="exact"/>
              <w:ind w:left="0" w:leftChars="0" w:right="0" w:rightChars="0" w:firstLine="0" w:firstLineChars="0"/>
              <w:jc w:val="center"/>
            </w:pPr>
            <w:r>
              <w:rPr>
                <w:rFonts w:ascii="Times New Roman" w:hAnsi="Times New Roman" w:eastAsia="宋体"/>
                <w:b w:val="0"/>
                <w:sz w:val="18"/>
              </w:rPr>
              <w:t>基期可转负荷与基期网供最大负荷之比，%</w:t>
            </w:r>
          </w:p>
        </w:tc>
        <w:tc>
          <w:tcPr>
            <w:tcW w:w="2771" w:type="dxa"/>
            <w:tcMar>
              <w:left w:w="70" w:type="dxa"/>
              <w:right w:w="70" w:type="dxa"/>
            </w:tcMar>
            <w:vAlign w:val="center"/>
          </w:tcPr>
          <w:p w14:paraId="4AE6AB48">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导则第6.2.2.1条及馈线联络研究说明转供能力与容量储备的关系[7,8]</w:t>
            </w:r>
          </w:p>
        </w:tc>
      </w:tr>
      <w:tr w14:paraId="783DF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02363A6">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2771" w:type="dxa"/>
            <w:tcMar>
              <w:left w:w="70" w:type="dxa"/>
              <w:right w:w="70" w:type="dxa"/>
            </w:tcMar>
            <w:vAlign w:val="center"/>
          </w:tcPr>
          <w:p w14:paraId="5A46F8DB">
            <w:pPr>
              <w:keepNext w:val="0"/>
              <w:spacing w:before="20" w:after="20" w:line="260" w:lineRule="exact"/>
              <w:ind w:left="0" w:leftChars="0" w:right="0" w:rightChars="0" w:firstLine="0" w:firstLineChars="0"/>
              <w:jc w:val="center"/>
            </w:pPr>
            <w:r>
              <w:rPr>
                <w:rFonts w:ascii="Times New Roman" w:hAnsi="Times New Roman" w:eastAsia="宋体"/>
                <w:b w:val="0"/>
                <w:sz w:val="18"/>
              </w:rPr>
              <w:t>新购主变单位有功容量投资与联络单位有效转供功率投资之比，无量纲</w:t>
            </w:r>
          </w:p>
        </w:tc>
        <w:tc>
          <w:tcPr>
            <w:tcW w:w="2771" w:type="dxa"/>
            <w:tcMar>
              <w:left w:w="70" w:type="dxa"/>
              <w:right w:w="70" w:type="dxa"/>
            </w:tcMar>
            <w:vAlign w:val="center"/>
          </w:tcPr>
          <w:p w14:paraId="7B42CEC9">
            <w:pPr>
              <w:keepNext w:val="0"/>
              <w:spacing w:before="20" w:after="20" w:line="260" w:lineRule="exact"/>
              <w:ind w:left="0" w:leftChars="0" w:right="0" w:rightChars="0" w:firstLine="0" w:firstLineChars="0"/>
              <w:jc w:val="center"/>
            </w:pPr>
            <w:r>
              <w:rPr>
                <w:rFonts w:ascii="Times New Roman" w:hAnsi="Times New Roman" w:eastAsia="宋体"/>
                <w:b w:val="0"/>
                <w:sz w:val="18"/>
              </w:rPr>
              <w:t>按第4.5.4节由工程价格与有效能力折算；描述主变、线路的相对投资[85,87,88,89]</w:t>
            </w:r>
          </w:p>
        </w:tc>
      </w:tr>
      <w:tr w14:paraId="67149F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057F2C20">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2771" w:type="dxa"/>
            <w:tcMar>
              <w:left w:w="70" w:type="dxa"/>
              <w:right w:w="70" w:type="dxa"/>
            </w:tcMar>
            <w:vAlign w:val="center"/>
          </w:tcPr>
          <w:p w14:paraId="6EE4681F">
            <w:pPr>
              <w:keepNext w:val="0"/>
              <w:spacing w:before="20" w:after="20" w:line="260" w:lineRule="exact"/>
              <w:ind w:left="0" w:leftChars="0" w:right="0" w:rightChars="0" w:firstLine="0" w:firstLineChars="0"/>
              <w:jc w:val="center"/>
            </w:pPr>
            <w:r>
              <w:rPr>
                <w:rFonts w:ascii="Times New Roman" w:hAnsi="Times New Roman" w:eastAsia="宋体"/>
                <w:b w:val="0"/>
                <w:sz w:val="18"/>
              </w:rPr>
              <w:t>新购主变单位有功容量投资与储能单位有效支撑功率投资之比，无量纲</w:t>
            </w:r>
          </w:p>
        </w:tc>
        <w:tc>
          <w:tcPr>
            <w:tcW w:w="2771" w:type="dxa"/>
            <w:tcMar>
              <w:left w:w="70" w:type="dxa"/>
              <w:right w:w="70" w:type="dxa"/>
            </w:tcMar>
            <w:vAlign w:val="center"/>
          </w:tcPr>
          <w:p w14:paraId="1F381292">
            <w:pPr>
              <w:keepNext w:val="0"/>
              <w:spacing w:before="20" w:after="20" w:line="260" w:lineRule="exact"/>
              <w:ind w:left="0" w:leftChars="0" w:right="0" w:rightChars="0" w:firstLine="0" w:firstLineChars="0"/>
              <w:jc w:val="center"/>
            </w:pPr>
            <w:r>
              <w:rPr>
                <w:rFonts w:ascii="Times New Roman" w:hAnsi="Times New Roman" w:eastAsia="宋体"/>
                <w:b w:val="0"/>
                <w:sz w:val="18"/>
              </w:rPr>
              <w:t>按第4.5.4节折算；联系参考价格、可用能量和支撑时长[85,87,88,89]</w:t>
            </w:r>
          </w:p>
        </w:tc>
      </w:tr>
      <w:tr w14:paraId="738583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4DC3488">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771" w:type="dxa"/>
            <w:tcMar>
              <w:left w:w="70" w:type="dxa"/>
              <w:right w:w="70" w:type="dxa"/>
            </w:tcMar>
            <w:vAlign w:val="center"/>
          </w:tcPr>
          <w:p w14:paraId="2DFA6BCB">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电缆长度占电缆与架空线路总长度的比例，%</w:t>
            </w:r>
          </w:p>
        </w:tc>
        <w:tc>
          <w:tcPr>
            <w:tcW w:w="2771" w:type="dxa"/>
            <w:tcMar>
              <w:left w:w="70" w:type="dxa"/>
              <w:right w:w="70" w:type="dxa"/>
            </w:tcMar>
            <w:vAlign w:val="center"/>
          </w:tcPr>
          <w:p w14:paraId="37C08100">
            <w:pPr>
              <w:keepNext w:val="0"/>
              <w:spacing w:before="20" w:after="20" w:line="260" w:lineRule="exact"/>
              <w:ind w:left="0" w:leftChars="0" w:right="0" w:rightChars="0" w:firstLine="0" w:firstLineChars="0"/>
              <w:jc w:val="center"/>
            </w:pPr>
            <w:r>
              <w:rPr>
                <w:rFonts w:ascii="Times New Roman" w:hAnsi="Times New Roman" w:eastAsia="宋体"/>
                <w:b w:val="0"/>
                <w:sz w:val="18"/>
              </w:rPr>
              <w:t>线路形式影响工程费用[14]；邳州约11%、市区约80%，按第4.3节折算新增联络费用</w:t>
            </w:r>
          </w:p>
        </w:tc>
      </w:tr>
      <w:tr w14:paraId="6749C4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20D6C86">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2771" w:type="dxa"/>
            <w:tcMar>
              <w:left w:w="70" w:type="dxa"/>
              <w:right w:w="70" w:type="dxa"/>
            </w:tcMar>
            <w:vAlign w:val="center"/>
          </w:tcPr>
          <w:p w14:paraId="341119DD">
            <w:pPr>
              <w:keepNext w:val="0"/>
              <w:spacing w:before="20" w:after="20" w:line="260" w:lineRule="exact"/>
              <w:ind w:left="0" w:leftChars="0" w:right="0" w:rightChars="0" w:firstLine="0" w:firstLineChars="0"/>
              <w:jc w:val="center"/>
            </w:pPr>
            <w:r>
              <w:rPr>
                <w:rFonts w:ascii="Times New Roman" w:hAnsi="Times New Roman" w:eastAsia="宋体"/>
                <w:b w:val="0"/>
                <w:sz w:val="18"/>
              </w:rPr>
              <w:t>给定功率缺口需连续支撑的时间，h</w:t>
            </w:r>
          </w:p>
        </w:tc>
        <w:tc>
          <w:tcPr>
            <w:tcW w:w="2771" w:type="dxa"/>
            <w:tcMar>
              <w:left w:w="70" w:type="dxa"/>
              <w:right w:w="70" w:type="dxa"/>
            </w:tcMar>
            <w:vAlign w:val="center"/>
          </w:tcPr>
          <w:p w14:paraId="2994EE5E">
            <w:pPr>
              <w:keepNext w:val="0"/>
              <w:spacing w:before="20" w:after="20" w:line="260" w:lineRule="exact"/>
              <w:ind w:left="0" w:leftChars="0" w:right="0" w:rightChars="0" w:firstLine="0" w:firstLineChars="0"/>
              <w:jc w:val="center"/>
            </w:pPr>
            <w:r>
              <w:rPr>
                <w:rFonts w:ascii="Times New Roman" w:hAnsi="Times New Roman" w:eastAsia="宋体"/>
                <w:b w:val="0"/>
                <w:sz w:val="18"/>
              </w:rPr>
              <w:t>储能定容同时考虑功率、能量及持续过程[10,33]；按第4.4节参与设备比选</w:t>
            </w:r>
          </w:p>
        </w:tc>
      </w:tr>
    </w:tbl>
    <w:p w14:paraId="204FDEC4">
      <w:pPr>
        <w:pStyle w:val="2"/>
        <w:widowControl/>
        <w:spacing w:before="0" w:after="0" w:line="348" w:lineRule="atLeast"/>
        <w:ind w:firstLine="480"/>
        <w:jc w:val="both"/>
      </w:pPr>
      <w:r>
        <w:rPr>
          <w:rFonts w:ascii="Times New Roman" w:hAnsi="Times New Roman" w:eastAsia="方正仿宋_GBK"/>
          <w:b w:val="0"/>
          <w:sz w:val="24"/>
        </w:rPr>
        <w:t>装机、电量及功率极值的计算见第3.3—3.4节。网络与负荷分布参数分别采用</w:t>
      </w:r>
      <m:oMath>
        <m:r>
          <m:rPr>
            <m:nor/>
          </m:rPr>
          <w:rPr>
            <w:rFonts w:ascii="Times New Roman" w:hAnsi="Times New Roman" w:eastAsia="方正仿宋_GBK" w:cs="Times New Roman"/>
            <w:i/>
            <w:iCs/>
          </w:rPr>
          <m:t>α</m:t>
        </m:r>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overhead</m:t>
            </m:r>
          </m:sub>
        </m:sSub>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r</m:t>
            </m:r>
          </m:e>
          <m:sub>
            <m:r>
              <m:rPr>
                <m:nor/>
                <m:sty m:val="p"/>
              </m:rPr>
              <w:rPr>
                <w:rFonts w:ascii="Times New Roman" w:hAnsi="Times New Roman" w:eastAsia="方正仿宋_GBK" w:cs="Times New Roman"/>
                <w:b w:val="0"/>
                <w:i w:val="0"/>
                <w:iCs w:val="0"/>
              </w:rPr>
              <m:t>0</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Q</m:t>
            </m:r>
          </m:e>
          <m:sub>
            <m:r>
              <m:rPr>
                <m:nor/>
                <m:sty m:val="p"/>
              </m:rPr>
              <w:rPr>
                <w:rFonts w:ascii="Times New Roman" w:hAnsi="Times New Roman" w:eastAsia="方正仿宋_GBK" w:cs="Times New Roman"/>
                <w:b w:val="0"/>
                <w:i w:val="0"/>
                <w:iCs w:val="0"/>
              </w:rPr>
              <m:t>transfer,0</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0</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D</m:t>
            </m:r>
          </m:sub>
        </m:sSub>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,max</m:t>
                </m:r>
              </m:sub>
              <m:sup>
                <m:r>
                  <m:rPr>
                    <m:nor/>
                    <m:sty m:val="p"/>
                  </m:rPr>
                  <w:rPr>
                    <w:rFonts w:ascii="Times New Roman" w:hAnsi="Times New Roman" w:eastAsia="方正仿宋_GBK" w:cs="Times New Roman"/>
                    <w:b w:val="0"/>
                    <w:i w:val="0"/>
                    <w:iCs w:val="0"/>
                  </w:rPr>
                  <m:t>+</m:t>
                </m:r>
              </m:sup>
            </m:sSubSup>
          </m:e>
        </m:nary>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。其中</w:t>
      </w:r>
      <m:oMath>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overhead</m:t>
            </m:r>
          </m:sub>
        </m:sSub>
      </m:oMath>
      <w:r>
        <w:rPr>
          <w:rFonts w:ascii="Times New Roman" w:hAnsi="Times New Roman" w:eastAsia="方正仿宋_GBK"/>
          <w:b w:val="0"/>
          <w:sz w:val="24"/>
        </w:rPr>
        <w:t>为电缆、架空线路长度，单位km；</w:t>
      </w:r>
      <m:oMath>
        <m:sSub>
          <m:sSubPr/>
          <m:e>
            <m:r>
              <m:rPr>
                <m:nor/>
              </m:rPr>
              <w:rPr>
                <w:rFonts w:ascii="Times New Roman" w:hAnsi="Times New Roman" w:eastAsia="方正仿宋_GBK" w:cs="Times New Roman"/>
                <w:i/>
                <w:iCs/>
              </w:rPr>
              <m:t>Q</m:t>
            </m:r>
          </m:e>
          <m:sub>
            <m:r>
              <m:rPr>
                <m:nor/>
                <m:sty m:val="p"/>
              </m:rPr>
              <w:rPr>
                <w:rFonts w:ascii="Times New Roman" w:hAnsi="Times New Roman" w:eastAsia="方正仿宋_GBK" w:cs="Times New Roman"/>
                <w:b w:val="0"/>
                <w:i w:val="0"/>
                <w:iCs w:val="0"/>
              </w:rPr>
              <m:t>transfer,0</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0</m:t>
            </m:r>
          </m:sub>
        </m:sSub>
      </m:oMath>
      <w:r>
        <w:rPr>
          <w:rFonts w:ascii="Times New Roman" w:hAnsi="Times New Roman" w:eastAsia="方正仿宋_GBK"/>
          <w:b w:val="0"/>
          <w:sz w:val="24"/>
        </w:rPr>
        <w:t>为基期可转负荷与网供最大负荷，单位MW；</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和</w:t>
      </w:r>
      <m:oMath>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分别为站级及区域正向峰值，单位MW。</w:t>
      </w:r>
    </w:p>
    <w:p w14:paraId="27FC7836">
      <w:pPr>
        <w:pStyle w:val="2"/>
        <w:keepNext/>
        <w:spacing w:before="120" w:after="80" w:line="280" w:lineRule="exact"/>
        <w:ind w:firstLine="0"/>
        <w:jc w:val="center"/>
      </w:pPr>
      <w:r>
        <w:rPr>
          <w:rFonts w:ascii="Times New Roman" w:hAnsi="Times New Roman" w:eastAsia="宋体"/>
          <w:b w:val="0"/>
          <w:sz w:val="21"/>
        </w:rPr>
        <w:t>表3-9 邳州和市区2025年指标对照</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581325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EB6BC01">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38F2BB83">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分布式电源装机渗透率估计值</w:t>
            </w:r>
          </w:p>
        </w:tc>
        <w:tc>
          <w:tcPr>
            <w:tcW w:w="1662" w:type="dxa"/>
            <w:tcMar>
              <w:left w:w="70" w:type="dxa"/>
              <w:right w:w="70" w:type="dxa"/>
            </w:tcMar>
            <w:vAlign w:val="center"/>
          </w:tcPr>
          <w:p w14:paraId="1CAFD5A3">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分布式电源电量渗透率估计值</w:t>
            </w:r>
          </w:p>
        </w:tc>
        <w:tc>
          <w:tcPr>
            <w:tcW w:w="1662" w:type="dxa"/>
            <w:tcMar>
              <w:left w:w="70" w:type="dxa"/>
              <w:right w:w="70" w:type="dxa"/>
            </w:tcMar>
            <w:vAlign w:val="center"/>
          </w:tcPr>
          <w:p w14:paraId="5147FE0C">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662" w:type="dxa"/>
            <w:tcMar>
              <w:left w:w="70" w:type="dxa"/>
              <w:right w:w="70" w:type="dxa"/>
            </w:tcMar>
            <w:vAlign w:val="center"/>
          </w:tcPr>
          <w:p w14:paraId="7E5B0050">
            <w:pPr>
              <w:keepNext/>
              <w:spacing w:before="20" w:after="20" w:line="260" w:lineRule="exact"/>
              <w:ind w:left="0" w:leftChars="0" w:right="0" w:rightChars="0" w:firstLine="0" w:firstLineChars="0"/>
              <w:jc w:val="center"/>
            </w:pPr>
            <w:r>
              <w:rPr>
                <w:rFonts w:ascii="Times New Roman" w:hAnsi="Times New Roman" w:eastAsia="宋体"/>
                <w:b/>
                <w:sz w:val="18"/>
              </w:rPr>
              <w:t>主变年最大负载率中位数</w:t>
            </w:r>
          </w:p>
        </w:tc>
      </w:tr>
      <w:tr w14:paraId="7B5ECD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71A192E">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2E122D39">
            <w:pPr>
              <w:keepNext/>
              <w:spacing w:before="20" w:after="20" w:line="260" w:lineRule="exact"/>
              <w:ind w:left="0" w:leftChars="0" w:right="0" w:rightChars="0" w:firstLine="0" w:firstLineChars="0"/>
              <w:jc w:val="center"/>
            </w:pPr>
            <w:r>
              <w:rPr>
                <w:rFonts w:ascii="Times New Roman" w:hAnsi="Times New Roman" w:eastAsia="宋体"/>
                <w:b w:val="0"/>
                <w:sz w:val="18"/>
              </w:rPr>
              <w:t>1.63</w:t>
            </w:r>
          </w:p>
        </w:tc>
        <w:tc>
          <w:tcPr>
            <w:tcW w:w="1662" w:type="dxa"/>
            <w:tcMar>
              <w:left w:w="70" w:type="dxa"/>
              <w:right w:w="70" w:type="dxa"/>
            </w:tcMar>
            <w:vAlign w:val="center"/>
          </w:tcPr>
          <w:p w14:paraId="55B65736">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662" w:type="dxa"/>
            <w:tcMar>
              <w:left w:w="70" w:type="dxa"/>
              <w:right w:w="70" w:type="dxa"/>
            </w:tcMar>
            <w:vAlign w:val="center"/>
          </w:tcPr>
          <w:p w14:paraId="7FE9DF34">
            <w:pPr>
              <w:keepNext/>
              <w:spacing w:before="20" w:after="20" w:line="260" w:lineRule="exact"/>
              <w:ind w:left="0" w:leftChars="0" w:right="0" w:rightChars="0" w:firstLine="0" w:firstLineChars="0"/>
              <w:jc w:val="center"/>
            </w:pPr>
            <w:r>
              <w:rPr>
                <w:rFonts w:ascii="Times New Roman" w:hAnsi="Times New Roman" w:eastAsia="宋体"/>
                <w:b w:val="0"/>
                <w:sz w:val="18"/>
              </w:rPr>
              <w:t>2.24</w:t>
            </w:r>
          </w:p>
        </w:tc>
        <w:tc>
          <w:tcPr>
            <w:tcW w:w="1662" w:type="dxa"/>
            <w:tcMar>
              <w:left w:w="70" w:type="dxa"/>
              <w:right w:w="70" w:type="dxa"/>
            </w:tcMar>
            <w:vAlign w:val="center"/>
          </w:tcPr>
          <w:p w14:paraId="755E0715">
            <w:pPr>
              <w:keepNext/>
              <w:spacing w:before="20" w:after="20" w:line="260" w:lineRule="exact"/>
              <w:ind w:left="0" w:leftChars="0" w:right="0" w:rightChars="0" w:firstLine="0" w:firstLineChars="0"/>
              <w:jc w:val="center"/>
            </w:pPr>
            <w:r>
              <w:rPr>
                <w:rFonts w:ascii="Times New Roman" w:hAnsi="Times New Roman" w:eastAsia="宋体"/>
                <w:b w:val="0"/>
                <w:sz w:val="18"/>
              </w:rPr>
              <w:t>53%</w:t>
            </w:r>
          </w:p>
        </w:tc>
      </w:tr>
      <w:tr w14:paraId="459CDD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238BF3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E27D5E8">
            <w:pPr>
              <w:keepNext w:val="0"/>
              <w:spacing w:before="20" w:after="20" w:line="260" w:lineRule="exact"/>
              <w:ind w:left="0" w:leftChars="0" w:right="0" w:rightChars="0" w:firstLine="0" w:firstLineChars="0"/>
              <w:jc w:val="center"/>
            </w:pPr>
            <w:r>
              <w:rPr>
                <w:rFonts w:ascii="Times New Roman" w:hAnsi="Times New Roman" w:eastAsia="宋体"/>
                <w:b w:val="0"/>
                <w:sz w:val="18"/>
              </w:rPr>
              <w:t>0.32</w:t>
            </w:r>
          </w:p>
        </w:tc>
        <w:tc>
          <w:tcPr>
            <w:tcW w:w="1662" w:type="dxa"/>
            <w:tcMar>
              <w:left w:w="70" w:type="dxa"/>
              <w:right w:w="70" w:type="dxa"/>
            </w:tcMar>
            <w:vAlign w:val="center"/>
          </w:tcPr>
          <w:p w14:paraId="004EAE93">
            <w:pPr>
              <w:keepNext w:val="0"/>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1662" w:type="dxa"/>
            <w:tcMar>
              <w:left w:w="70" w:type="dxa"/>
              <w:right w:w="70" w:type="dxa"/>
            </w:tcMar>
            <w:vAlign w:val="center"/>
          </w:tcPr>
          <w:p w14:paraId="6D86D204">
            <w:pPr>
              <w:keepNext w:val="0"/>
              <w:spacing w:before="20" w:after="20" w:line="260" w:lineRule="exact"/>
              <w:ind w:left="0" w:leftChars="0" w:right="0" w:rightChars="0" w:firstLine="0" w:firstLineChars="0"/>
              <w:jc w:val="center"/>
            </w:pPr>
            <w:r>
              <w:rPr>
                <w:rFonts w:ascii="Times New Roman" w:hAnsi="Times New Roman" w:eastAsia="宋体"/>
                <w:b w:val="0"/>
                <w:sz w:val="18"/>
              </w:rPr>
              <w:t>2.42</w:t>
            </w:r>
          </w:p>
        </w:tc>
        <w:tc>
          <w:tcPr>
            <w:tcW w:w="1662" w:type="dxa"/>
            <w:tcMar>
              <w:left w:w="70" w:type="dxa"/>
              <w:right w:w="70" w:type="dxa"/>
            </w:tcMar>
            <w:vAlign w:val="center"/>
          </w:tcPr>
          <w:p w14:paraId="436727E7">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r>
    </w:tbl>
    <w:p w14:paraId="131839C0">
      <w:pPr>
        <w:pStyle w:val="2"/>
        <w:keepNext/>
        <w:spacing w:before="120" w:after="80" w:line="280" w:lineRule="exact"/>
        <w:ind w:firstLine="0"/>
        <w:jc w:val="center"/>
      </w:pPr>
      <w:r>
        <w:rPr>
          <w:rFonts w:ascii="Times New Roman" w:hAnsi="Times New Roman" w:eastAsia="宋体"/>
          <w:b w:val="0"/>
          <w:sz w:val="21"/>
        </w:rPr>
        <w:t>表3-10 两地区负荷分散系数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1D715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02609B2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2078" w:type="dxa"/>
            <w:tcMar>
              <w:left w:w="70" w:type="dxa"/>
              <w:right w:w="70" w:type="dxa"/>
            </w:tcMar>
            <w:vAlign w:val="center"/>
          </w:tcPr>
          <w:p w14:paraId="47EBFA1F">
            <w:pPr>
              <w:keepNext/>
              <w:spacing w:before="20" w:after="20" w:line="260" w:lineRule="exact"/>
              <w:ind w:left="0" w:leftChars="0" w:right="0" w:rightChars="0" w:firstLine="0" w:firstLineChars="0"/>
              <w:jc w:val="center"/>
            </w:pPr>
            <w:r>
              <w:rPr>
                <w:rFonts w:ascii="Times New Roman" w:hAnsi="Times New Roman" w:eastAsia="宋体"/>
                <w:b/>
                <w:sz w:val="18"/>
              </w:rPr>
              <w:t>各站最大正向净负荷之和/MW</w:t>
            </w:r>
          </w:p>
        </w:tc>
        <w:tc>
          <w:tcPr>
            <w:tcW w:w="2078" w:type="dxa"/>
            <w:tcMar>
              <w:left w:w="70" w:type="dxa"/>
              <w:right w:w="70" w:type="dxa"/>
            </w:tcMar>
            <w:vAlign w:val="center"/>
          </w:tcPr>
          <w:p w14:paraId="154A3351">
            <w:pPr>
              <w:keepNext/>
              <w:spacing w:before="20" w:after="20" w:line="260" w:lineRule="exact"/>
              <w:ind w:left="0" w:leftChars="0" w:right="0" w:rightChars="0" w:firstLine="0" w:firstLineChars="0"/>
              <w:jc w:val="center"/>
            </w:pPr>
            <w:r>
              <w:rPr>
                <w:rFonts w:ascii="Times New Roman" w:hAnsi="Times New Roman" w:eastAsia="宋体"/>
                <w:b/>
                <w:sz w:val="18"/>
              </w:rPr>
              <w:t>区域最大正向净负荷/MW</w:t>
            </w:r>
          </w:p>
        </w:tc>
        <w:tc>
          <w:tcPr>
            <w:tcW w:w="2078" w:type="dxa"/>
            <w:tcMar>
              <w:left w:w="70" w:type="dxa"/>
              <w:right w:w="70" w:type="dxa"/>
            </w:tcMar>
            <w:vAlign w:val="center"/>
          </w:tcPr>
          <w:p w14:paraId="067E49E9">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r>
      <w:tr w14:paraId="6AA0D4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EEABFDC">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2078" w:type="dxa"/>
            <w:tcMar>
              <w:left w:w="70" w:type="dxa"/>
              <w:right w:w="70" w:type="dxa"/>
            </w:tcMar>
            <w:vAlign w:val="center"/>
          </w:tcPr>
          <w:p w14:paraId="75E51678">
            <w:pPr>
              <w:keepNext/>
              <w:spacing w:before="20" w:after="20" w:line="260" w:lineRule="exact"/>
              <w:ind w:left="0" w:leftChars="0" w:right="0" w:rightChars="0" w:firstLine="0" w:firstLineChars="0"/>
              <w:jc w:val="center"/>
            </w:pPr>
            <w:r>
              <w:rPr>
                <w:rFonts w:ascii="Times New Roman" w:hAnsi="Times New Roman" w:eastAsia="宋体"/>
                <w:b w:val="0"/>
                <w:sz w:val="18"/>
              </w:rPr>
              <w:t>1005.50</w:t>
            </w:r>
          </w:p>
        </w:tc>
        <w:tc>
          <w:tcPr>
            <w:tcW w:w="2078" w:type="dxa"/>
            <w:tcMar>
              <w:left w:w="70" w:type="dxa"/>
              <w:right w:w="70" w:type="dxa"/>
            </w:tcMar>
            <w:vAlign w:val="center"/>
          </w:tcPr>
          <w:p w14:paraId="3515BCEF">
            <w:pPr>
              <w:keepNext/>
              <w:spacing w:before="20" w:after="20" w:line="260" w:lineRule="exact"/>
              <w:ind w:left="0" w:leftChars="0" w:right="0" w:rightChars="0" w:firstLine="0" w:firstLineChars="0"/>
              <w:jc w:val="center"/>
            </w:pPr>
            <w:r>
              <w:rPr>
                <w:rFonts w:ascii="Times New Roman" w:hAnsi="Times New Roman" w:eastAsia="宋体"/>
                <w:b w:val="0"/>
                <w:sz w:val="18"/>
              </w:rPr>
              <w:t>951.66</w:t>
            </w:r>
          </w:p>
        </w:tc>
        <w:tc>
          <w:tcPr>
            <w:tcW w:w="2078" w:type="dxa"/>
            <w:tcMar>
              <w:left w:w="70" w:type="dxa"/>
              <w:right w:w="70" w:type="dxa"/>
            </w:tcMar>
            <w:vAlign w:val="center"/>
          </w:tcPr>
          <w:p w14:paraId="7DC3D941">
            <w:pPr>
              <w:keepNext/>
              <w:spacing w:before="20" w:after="20" w:line="260" w:lineRule="exact"/>
              <w:ind w:left="0" w:leftChars="0" w:right="0" w:rightChars="0" w:firstLine="0" w:firstLineChars="0"/>
              <w:jc w:val="center"/>
            </w:pPr>
            <w:r>
              <w:rPr>
                <w:rFonts w:ascii="Times New Roman" w:hAnsi="Times New Roman" w:eastAsia="宋体"/>
                <w:b w:val="0"/>
                <w:sz w:val="18"/>
              </w:rPr>
              <w:t>1.06</w:t>
            </w:r>
          </w:p>
        </w:tc>
      </w:tr>
      <w:tr w14:paraId="088230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68AB4E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2078" w:type="dxa"/>
            <w:tcMar>
              <w:left w:w="70" w:type="dxa"/>
              <w:right w:w="70" w:type="dxa"/>
            </w:tcMar>
            <w:vAlign w:val="center"/>
          </w:tcPr>
          <w:p w14:paraId="720A2905">
            <w:pPr>
              <w:keepNext w:val="0"/>
              <w:spacing w:before="20" w:after="20" w:line="260" w:lineRule="exact"/>
              <w:ind w:left="0" w:leftChars="0" w:right="0" w:rightChars="0" w:firstLine="0" w:firstLineChars="0"/>
              <w:jc w:val="center"/>
            </w:pPr>
            <w:r>
              <w:rPr>
                <w:rFonts w:ascii="Times New Roman" w:hAnsi="Times New Roman" w:eastAsia="宋体"/>
                <w:b w:val="0"/>
                <w:sz w:val="18"/>
              </w:rPr>
              <w:t>1455.10</w:t>
            </w:r>
          </w:p>
        </w:tc>
        <w:tc>
          <w:tcPr>
            <w:tcW w:w="2078" w:type="dxa"/>
            <w:tcMar>
              <w:left w:w="70" w:type="dxa"/>
              <w:right w:w="70" w:type="dxa"/>
            </w:tcMar>
            <w:vAlign w:val="center"/>
          </w:tcPr>
          <w:p w14:paraId="263E741E">
            <w:pPr>
              <w:keepNext w:val="0"/>
              <w:spacing w:before="20" w:after="20" w:line="260" w:lineRule="exact"/>
              <w:ind w:left="0" w:leftChars="0" w:right="0" w:rightChars="0" w:firstLine="0" w:firstLineChars="0"/>
              <w:jc w:val="center"/>
            </w:pPr>
            <w:r>
              <w:rPr>
                <w:rFonts w:ascii="Times New Roman" w:hAnsi="Times New Roman" w:eastAsia="宋体"/>
                <w:b w:val="0"/>
                <w:sz w:val="18"/>
              </w:rPr>
              <w:t>1307.32</w:t>
            </w:r>
          </w:p>
        </w:tc>
        <w:tc>
          <w:tcPr>
            <w:tcW w:w="2078" w:type="dxa"/>
            <w:tcMar>
              <w:left w:w="70" w:type="dxa"/>
              <w:right w:w="70" w:type="dxa"/>
            </w:tcMar>
            <w:vAlign w:val="center"/>
          </w:tcPr>
          <w:p w14:paraId="03B72A3D">
            <w:pPr>
              <w:keepNext w:val="0"/>
              <w:spacing w:before="20" w:after="20" w:line="260" w:lineRule="exact"/>
              <w:ind w:left="0" w:leftChars="0" w:right="0" w:rightChars="0" w:firstLine="0" w:firstLineChars="0"/>
              <w:jc w:val="center"/>
            </w:pPr>
            <w:r>
              <w:rPr>
                <w:rFonts w:ascii="Times New Roman" w:hAnsi="Times New Roman" w:eastAsia="宋体"/>
                <w:b w:val="0"/>
                <w:sz w:val="18"/>
              </w:rPr>
              <w:t>1.11</w:t>
            </w:r>
          </w:p>
        </w:tc>
      </w:tr>
    </w:tbl>
    <w:p w14:paraId="6AF48568">
      <w:pPr>
        <w:pStyle w:val="2"/>
        <w:widowControl/>
        <w:spacing w:before="0" w:after="0" w:line="348" w:lineRule="exact"/>
        <w:ind w:firstLine="480"/>
        <w:jc w:val="both"/>
      </w:pPr>
      <w:r>
        <w:rPr>
          <w:rFonts w:ascii="Times New Roman" w:hAnsi="Times New Roman" w:eastAsia="方正仿宋_GBK"/>
          <w:b w:val="0"/>
          <w:sz w:val="24"/>
        </w:rPr>
        <w:t>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14:paraId="7D8D8E7C">
      <w:pPr>
        <w:pStyle w:val="5"/>
        <w:keepNext/>
        <w:numPr>
          <w:ilvl w:val="0"/>
          <w:numId w:val="0"/>
        </w:numPr>
        <w:spacing w:before="160" w:after="120" w:line="390" w:lineRule="exact"/>
        <w:ind w:firstLine="0"/>
      </w:pPr>
      <w:bookmarkStart w:id="115" w:name="情景采样与两层分析方法"/>
      <w:r>
        <w:rPr>
          <w:rFonts w:ascii="Times New Roman" w:hAnsi="Times New Roman" w:eastAsia="方正仿宋_GBK"/>
          <w:b/>
          <w:sz w:val="26"/>
        </w:rPr>
        <w:t>3.5.2 情景采样与两层分析方法</w:t>
      </w:r>
      <w:bookmarkEnd w:id="115"/>
    </w:p>
    <w:p w14:paraId="0FA594C5">
      <w:pPr>
        <w:pStyle w:val="115"/>
        <w:widowControl/>
        <w:spacing w:before="0" w:after="0" w:line="348" w:lineRule="exact"/>
        <w:ind w:firstLine="480"/>
        <w:jc w:val="both"/>
      </w:pPr>
      <w:r>
        <w:rPr>
          <w:rFonts w:ascii="Times New Roman" w:hAnsi="Times New Roman" w:eastAsia="方正仿宋_GBK"/>
          <w:b w:val="0"/>
          <w:sz w:val="24"/>
        </w:rPr>
        <w:t>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14:paraId="7294AD30">
      <w:pPr>
        <w:pStyle w:val="2"/>
        <w:widowControl/>
        <w:spacing w:before="0" w:after="0" w:line="348" w:lineRule="exact"/>
        <w:ind w:firstLine="480"/>
        <w:jc w:val="both"/>
      </w:pPr>
      <w:r>
        <w:rPr>
          <w:rFonts w:ascii="Times New Roman" w:hAnsi="Times New Roman" w:eastAsia="方正仿宋_GBK"/>
          <w:b w:val="0"/>
          <w:sz w:val="24"/>
        </w:rPr>
        <w:t>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h。装机与电量节点用于构造不同出力水平，时间节点用于比较连续支撑要求，两类价格节点用于分析参考工程价格附近的措施替代[85,87,88,89]。</w:t>
      </w:r>
    </w:p>
    <w:p w14:paraId="23B900A1">
      <w:pPr>
        <w:pStyle w:val="2"/>
        <w:keepNext/>
        <w:spacing w:before="120" w:after="80" w:line="280" w:lineRule="exact"/>
        <w:ind w:firstLine="0"/>
        <w:jc w:val="center"/>
      </w:pPr>
      <w:r>
        <w:rPr>
          <w:rFonts w:ascii="Times New Roman" w:hAnsi="Times New Roman" w:eastAsia="宋体"/>
          <w:b w:val="0"/>
          <w:sz w:val="21"/>
        </w:rPr>
        <w:t>表3-11 候选指标的采样节点与点数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123219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73B0F19E">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2771" w:type="dxa"/>
            <w:tcMar>
              <w:left w:w="70" w:type="dxa"/>
              <w:right w:w="70" w:type="dxa"/>
            </w:tcMar>
            <w:vAlign w:val="center"/>
          </w:tcPr>
          <w:p w14:paraId="70BFC53A">
            <w:pPr>
              <w:keepNext/>
              <w:spacing w:before="20" w:after="20" w:line="260" w:lineRule="exact"/>
              <w:ind w:left="0" w:leftChars="0" w:right="0" w:rightChars="0" w:firstLine="0" w:firstLineChars="0"/>
              <w:jc w:val="center"/>
            </w:pPr>
            <w:r>
              <w:rPr>
                <w:rFonts w:ascii="Times New Roman" w:hAnsi="Times New Roman" w:eastAsia="宋体"/>
                <w:b/>
                <w:sz w:val="18"/>
              </w:rPr>
              <w:t>采样节点或计算方式</w:t>
            </w:r>
          </w:p>
        </w:tc>
        <w:tc>
          <w:tcPr>
            <w:tcW w:w="2771" w:type="dxa"/>
            <w:tcMar>
              <w:left w:w="70" w:type="dxa"/>
              <w:right w:w="70" w:type="dxa"/>
            </w:tcMar>
            <w:vAlign w:val="center"/>
          </w:tcPr>
          <w:p w14:paraId="280BF6FC">
            <w:pPr>
              <w:keepNext/>
              <w:spacing w:before="20" w:after="20" w:line="260" w:lineRule="exact"/>
              <w:ind w:left="0" w:leftChars="0" w:right="0" w:rightChars="0" w:firstLine="0" w:firstLineChars="0"/>
              <w:jc w:val="center"/>
            </w:pPr>
            <w:r>
              <w:rPr>
                <w:rFonts w:ascii="Times New Roman" w:hAnsi="Times New Roman" w:eastAsia="宋体"/>
                <w:b/>
                <w:sz w:val="18"/>
              </w:rPr>
              <w:t>点数</w:t>
            </w:r>
          </w:p>
        </w:tc>
      </w:tr>
      <w:tr w14:paraId="4DB9CB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04E55A9">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771" w:type="dxa"/>
            <w:tcMar>
              <w:left w:w="70" w:type="dxa"/>
              <w:right w:w="70" w:type="dxa"/>
            </w:tcMar>
            <w:vAlign w:val="center"/>
          </w:tcPr>
          <w:p w14:paraId="2EBB9CBF">
            <w:pPr>
              <w:keepNext w:val="0"/>
              <w:spacing w:before="20" w:after="20" w:line="260" w:lineRule="exact"/>
              <w:ind w:left="0" w:leftChars="0" w:right="0" w:rightChars="0" w:firstLine="0" w:firstLineChars="0"/>
              <w:jc w:val="center"/>
            </w:pPr>
            <w:r>
              <w:rPr>
                <w:rFonts w:ascii="Times New Roman" w:hAnsi="Times New Roman" w:eastAsia="宋体"/>
                <w:b w:val="0"/>
                <w:sz w:val="18"/>
              </w:rPr>
              <w:t>0～3.00，步长0.125</w:t>
            </w:r>
          </w:p>
        </w:tc>
        <w:tc>
          <w:tcPr>
            <w:tcW w:w="2771" w:type="dxa"/>
            <w:tcMar>
              <w:left w:w="70" w:type="dxa"/>
              <w:right w:w="70" w:type="dxa"/>
            </w:tcMar>
            <w:vAlign w:val="center"/>
          </w:tcPr>
          <w:p w14:paraId="4A9FCE67">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r>
      <w:tr w14:paraId="6D3178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22DF922">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771" w:type="dxa"/>
            <w:tcMar>
              <w:left w:w="70" w:type="dxa"/>
              <w:right w:w="70" w:type="dxa"/>
            </w:tcMar>
            <w:vAlign w:val="center"/>
          </w:tcPr>
          <w:p w14:paraId="3DCC194C">
            <w:pPr>
              <w:keepNext w:val="0"/>
              <w:spacing w:before="20" w:after="20" w:line="260" w:lineRule="exact"/>
              <w:ind w:left="0" w:leftChars="0" w:right="0" w:rightChars="0" w:firstLine="0" w:firstLineChars="0"/>
              <w:jc w:val="center"/>
            </w:pPr>
            <w:r>
              <w:rPr>
                <w:rFonts w:ascii="Times New Roman" w:hAnsi="Times New Roman" w:eastAsia="宋体"/>
                <w:b w:val="0"/>
                <w:sz w:val="18"/>
              </w:rPr>
              <w:t>0～65%，步长2.5个百分点</w:t>
            </w:r>
          </w:p>
        </w:tc>
        <w:tc>
          <w:tcPr>
            <w:tcW w:w="2771" w:type="dxa"/>
            <w:tcMar>
              <w:left w:w="70" w:type="dxa"/>
              <w:right w:w="70" w:type="dxa"/>
            </w:tcMar>
            <w:vAlign w:val="center"/>
          </w:tcPr>
          <w:p w14:paraId="0CC7EED4">
            <w:pPr>
              <w:keepNext w:val="0"/>
              <w:spacing w:before="20" w:after="20" w:line="260" w:lineRule="exact"/>
              <w:ind w:left="0" w:leftChars="0" w:right="0" w:rightChars="0" w:firstLine="0" w:firstLineChars="0"/>
              <w:jc w:val="center"/>
            </w:pPr>
            <w:r>
              <w:rPr>
                <w:rFonts w:ascii="Times New Roman" w:hAnsi="Times New Roman" w:eastAsia="宋体"/>
                <w:b w:val="0"/>
                <w:sz w:val="18"/>
              </w:rPr>
              <w:t>27</w:t>
            </w:r>
          </w:p>
        </w:tc>
      </w:tr>
      <w:tr w14:paraId="258CCBD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D75696E">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771" w:type="dxa"/>
            <w:tcMar>
              <w:left w:w="70" w:type="dxa"/>
              <w:right w:w="70" w:type="dxa"/>
            </w:tcMar>
            <w:vAlign w:val="center"/>
          </w:tcPr>
          <w:p w14:paraId="6AC5BFF3">
            <w:pPr>
              <w:keepNext w:val="0"/>
              <w:spacing w:before="20" w:after="20" w:line="260" w:lineRule="exact"/>
              <w:ind w:left="0" w:leftChars="0" w:right="0" w:rightChars="0" w:firstLine="0" w:firstLineChars="0"/>
              <w:jc w:val="center"/>
            </w:pPr>
            <w:r>
              <w:rPr>
                <w:rFonts w:ascii="Times New Roman" w:hAnsi="Times New Roman" w:eastAsia="宋体"/>
                <w:b w:val="0"/>
                <w:sz w:val="18"/>
              </w:rPr>
              <w:t>随源荷情景计算各站负载率并取最大值</w:t>
            </w:r>
          </w:p>
        </w:tc>
        <w:tc>
          <w:tcPr>
            <w:tcW w:w="2771" w:type="dxa"/>
            <w:tcMar>
              <w:left w:w="70" w:type="dxa"/>
              <w:right w:w="70" w:type="dxa"/>
            </w:tcMar>
            <w:vAlign w:val="center"/>
          </w:tcPr>
          <w:p w14:paraId="0E56AA3C">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5B68D0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6D624F5">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771" w:type="dxa"/>
            <w:tcMar>
              <w:left w:w="70" w:type="dxa"/>
              <w:right w:w="70" w:type="dxa"/>
            </w:tcMar>
            <w:vAlign w:val="center"/>
          </w:tcPr>
          <w:p w14:paraId="337DA6F3">
            <w:pPr>
              <w:keepNext w:val="0"/>
              <w:spacing w:before="20" w:after="20" w:line="260" w:lineRule="exact"/>
              <w:ind w:left="0" w:leftChars="0" w:right="0" w:rightChars="0" w:firstLine="0" w:firstLineChars="0"/>
              <w:jc w:val="center"/>
            </w:pPr>
            <w:r>
              <w:rPr>
                <w:rFonts w:ascii="Times New Roman" w:hAnsi="Times New Roman" w:eastAsia="宋体"/>
                <w:b w:val="0"/>
                <w:sz w:val="18"/>
              </w:rPr>
              <w:t>按同期区域净负荷取正向极值</w:t>
            </w:r>
          </w:p>
        </w:tc>
        <w:tc>
          <w:tcPr>
            <w:tcW w:w="2771" w:type="dxa"/>
            <w:tcMar>
              <w:left w:w="70" w:type="dxa"/>
              <w:right w:w="70" w:type="dxa"/>
            </w:tcMar>
            <w:vAlign w:val="center"/>
          </w:tcPr>
          <w:p w14:paraId="70902982">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4E6E43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33B9862">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771" w:type="dxa"/>
            <w:tcMar>
              <w:left w:w="70" w:type="dxa"/>
              <w:right w:w="70" w:type="dxa"/>
            </w:tcMar>
            <w:vAlign w:val="center"/>
          </w:tcPr>
          <w:p w14:paraId="2E7D7BEA">
            <w:pPr>
              <w:keepNext w:val="0"/>
              <w:spacing w:before="20" w:after="20" w:line="260" w:lineRule="exact"/>
              <w:ind w:left="0" w:leftChars="0" w:right="0" w:rightChars="0" w:firstLine="0" w:firstLineChars="0"/>
              <w:jc w:val="center"/>
            </w:pPr>
            <w:r>
              <w:rPr>
                <w:rFonts w:ascii="Times New Roman" w:hAnsi="Times New Roman" w:eastAsia="宋体"/>
                <w:b w:val="0"/>
                <w:sz w:val="18"/>
              </w:rPr>
              <w:t>按同期区域净负荷取反向极值</w:t>
            </w:r>
          </w:p>
        </w:tc>
        <w:tc>
          <w:tcPr>
            <w:tcW w:w="2771" w:type="dxa"/>
            <w:tcMar>
              <w:left w:w="70" w:type="dxa"/>
              <w:right w:w="70" w:type="dxa"/>
            </w:tcMar>
            <w:vAlign w:val="center"/>
          </w:tcPr>
          <w:p w14:paraId="422E0A96">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5D7485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F411C4B">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771" w:type="dxa"/>
            <w:tcMar>
              <w:left w:w="70" w:type="dxa"/>
              <w:right w:w="70" w:type="dxa"/>
            </w:tcMar>
            <w:vAlign w:val="center"/>
          </w:tcPr>
          <w:p w14:paraId="2D0BDE9F">
            <w:pPr>
              <w:keepNext w:val="0"/>
              <w:spacing w:before="20" w:after="20" w:line="260" w:lineRule="exact"/>
              <w:ind w:left="0" w:leftChars="0" w:right="0" w:rightChars="0" w:firstLine="0" w:firstLineChars="0"/>
              <w:jc w:val="center"/>
            </w:pPr>
            <w:r>
              <w:rPr>
                <w:rFonts w:ascii="Times New Roman" w:hAnsi="Times New Roman" w:eastAsia="宋体"/>
                <w:b w:val="0"/>
                <w:sz w:val="18"/>
              </w:rPr>
              <w:t>0、1%、2%、3%、4%、5%、5.5%、6%、7%、7.1%、7.5%、8%、9%、10%</w:t>
            </w:r>
          </w:p>
        </w:tc>
        <w:tc>
          <w:tcPr>
            <w:tcW w:w="2771" w:type="dxa"/>
            <w:tcMar>
              <w:left w:w="70" w:type="dxa"/>
              <w:right w:w="70" w:type="dxa"/>
            </w:tcMar>
            <w:vAlign w:val="center"/>
          </w:tcPr>
          <w:p w14:paraId="4A19C908">
            <w:pPr>
              <w:keepNext w:val="0"/>
              <w:spacing w:before="20" w:after="20" w:line="260" w:lineRule="exact"/>
              <w:ind w:left="0" w:leftChars="0" w:right="0" w:rightChars="0" w:firstLine="0" w:firstLineChars="0"/>
              <w:jc w:val="center"/>
            </w:pPr>
            <w:r>
              <w:rPr>
                <w:rFonts w:ascii="Times New Roman" w:hAnsi="Times New Roman" w:eastAsia="宋体"/>
                <w:b w:val="0"/>
                <w:sz w:val="18"/>
              </w:rPr>
              <w:t>14</w:t>
            </w:r>
          </w:p>
        </w:tc>
      </w:tr>
      <w:tr w14:paraId="19D320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362CEDE">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2771" w:type="dxa"/>
            <w:tcMar>
              <w:left w:w="70" w:type="dxa"/>
              <w:right w:w="70" w:type="dxa"/>
            </w:tcMar>
            <w:vAlign w:val="center"/>
          </w:tcPr>
          <w:p w14:paraId="7CCC4E6D">
            <w:pPr>
              <w:keepNext w:val="0"/>
              <w:spacing w:before="20" w:after="20" w:line="260" w:lineRule="exact"/>
              <w:ind w:left="0" w:leftChars="0" w:right="0" w:rightChars="0" w:firstLine="0" w:firstLineChars="0"/>
              <w:jc w:val="center"/>
            </w:pPr>
            <w:r>
              <w:rPr>
                <w:rFonts w:ascii="Times New Roman" w:hAnsi="Times New Roman" w:eastAsia="宋体"/>
                <w:b w:val="0"/>
                <w:sz w:val="18"/>
              </w:rPr>
              <w:t>1～8 h，步长1 h</w:t>
            </w:r>
          </w:p>
        </w:tc>
        <w:tc>
          <w:tcPr>
            <w:tcW w:w="2771" w:type="dxa"/>
            <w:tcMar>
              <w:left w:w="70" w:type="dxa"/>
              <w:right w:w="70" w:type="dxa"/>
            </w:tcMar>
            <w:vAlign w:val="center"/>
          </w:tcPr>
          <w:p w14:paraId="3CD62589">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r w14:paraId="2F5F73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384191A">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771" w:type="dxa"/>
            <w:tcMar>
              <w:left w:w="70" w:type="dxa"/>
              <w:right w:w="70" w:type="dxa"/>
            </w:tcMar>
            <w:vAlign w:val="center"/>
          </w:tcPr>
          <w:p w14:paraId="736C426E">
            <w:pPr>
              <w:keepNext w:val="0"/>
              <w:spacing w:before="20" w:after="20" w:line="260" w:lineRule="exact"/>
              <w:ind w:left="0" w:leftChars="0" w:right="0" w:rightChars="0" w:firstLine="0" w:firstLineChars="0"/>
              <w:jc w:val="center"/>
            </w:pPr>
            <w:r>
              <w:rPr>
                <w:rFonts w:ascii="Times New Roman" w:hAnsi="Times New Roman" w:eastAsia="宋体"/>
                <w:b w:val="0"/>
                <w:sz w:val="18"/>
              </w:rPr>
              <w:t>1.00、1.05、1.10、1.15</w:t>
            </w:r>
          </w:p>
        </w:tc>
        <w:tc>
          <w:tcPr>
            <w:tcW w:w="2771" w:type="dxa"/>
            <w:tcMar>
              <w:left w:w="70" w:type="dxa"/>
              <w:right w:w="70" w:type="dxa"/>
            </w:tcMar>
            <w:vAlign w:val="center"/>
          </w:tcPr>
          <w:p w14:paraId="384903B4">
            <w:pPr>
              <w:keepNext w:val="0"/>
              <w:spacing w:before="20" w:after="20" w:line="260" w:lineRule="exact"/>
              <w:ind w:left="0" w:leftChars="0" w:right="0" w:rightChars="0" w:firstLine="0" w:firstLineChars="0"/>
              <w:jc w:val="center"/>
            </w:pPr>
            <w:r>
              <w:rPr>
                <w:rFonts w:ascii="Times New Roman" w:hAnsi="Times New Roman" w:eastAsia="宋体"/>
                <w:b w:val="0"/>
                <w:sz w:val="18"/>
              </w:rPr>
              <w:t>4</w:t>
            </w:r>
          </w:p>
        </w:tc>
      </w:tr>
      <w:tr w14:paraId="1658C5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CD6A667">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771" w:type="dxa"/>
            <w:tcMar>
              <w:left w:w="70" w:type="dxa"/>
              <w:right w:w="70" w:type="dxa"/>
            </w:tcMar>
            <w:vAlign w:val="center"/>
          </w:tcPr>
          <w:p w14:paraId="00945FE4">
            <w:pPr>
              <w:keepNext w:val="0"/>
              <w:spacing w:before="20" w:after="20" w:line="260" w:lineRule="exact"/>
              <w:ind w:left="0" w:leftChars="0" w:right="0" w:rightChars="0" w:firstLine="0" w:firstLineChars="0"/>
              <w:jc w:val="center"/>
            </w:pPr>
            <w:r>
              <w:rPr>
                <w:rFonts w:ascii="Times New Roman" w:hAnsi="Times New Roman" w:eastAsia="宋体"/>
                <w:b w:val="0"/>
                <w:sz w:val="18"/>
              </w:rPr>
              <w:t>10%～90%，步长10个百分点</w:t>
            </w:r>
          </w:p>
        </w:tc>
        <w:tc>
          <w:tcPr>
            <w:tcW w:w="2771" w:type="dxa"/>
            <w:tcMar>
              <w:left w:w="70" w:type="dxa"/>
              <w:right w:w="70" w:type="dxa"/>
            </w:tcMar>
            <w:vAlign w:val="center"/>
          </w:tcPr>
          <w:p w14:paraId="68EC2553">
            <w:pPr>
              <w:keepNext w:val="0"/>
              <w:spacing w:before="20" w:after="20" w:line="260" w:lineRule="exact"/>
              <w:ind w:left="0" w:leftChars="0" w:right="0" w:rightChars="0" w:firstLine="0" w:firstLineChars="0"/>
              <w:jc w:val="center"/>
            </w:pPr>
            <w:r>
              <w:rPr>
                <w:rFonts w:ascii="Times New Roman" w:hAnsi="Times New Roman" w:eastAsia="宋体"/>
                <w:b w:val="0"/>
                <w:sz w:val="18"/>
              </w:rPr>
              <w:t>9</w:t>
            </w:r>
          </w:p>
        </w:tc>
      </w:tr>
      <w:tr w14:paraId="1DD928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06C57B6">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2771" w:type="dxa"/>
            <w:tcMar>
              <w:left w:w="70" w:type="dxa"/>
              <w:right w:w="70" w:type="dxa"/>
            </w:tcMar>
            <w:vAlign w:val="center"/>
          </w:tcPr>
          <w:p w14:paraId="52B491EA">
            <w:pPr>
              <w:keepNext w:val="0"/>
              <w:spacing w:before="20" w:after="20" w:line="260" w:lineRule="exact"/>
              <w:ind w:left="0" w:leftChars="0" w:right="0" w:rightChars="0" w:firstLine="0" w:firstLineChars="0"/>
              <w:jc w:val="center"/>
            </w:pPr>
            <w:r>
              <w:rPr>
                <w:rFonts w:ascii="Times New Roman" w:hAnsi="Times New Roman" w:eastAsia="宋体"/>
                <w:b w:val="0"/>
                <w:sz w:val="18"/>
              </w:rPr>
              <w:t>线路价格取参考值的70%～130%，步长10个百分点，按有效功率折算</w:t>
            </w:r>
          </w:p>
        </w:tc>
        <w:tc>
          <w:tcPr>
            <w:tcW w:w="2771" w:type="dxa"/>
            <w:tcMar>
              <w:left w:w="70" w:type="dxa"/>
              <w:right w:w="70" w:type="dxa"/>
            </w:tcMar>
            <w:vAlign w:val="center"/>
          </w:tcPr>
          <w:p w14:paraId="6847954D">
            <w:pPr>
              <w:keepNext w:val="0"/>
              <w:spacing w:before="20" w:after="20" w:line="260" w:lineRule="exact"/>
              <w:ind w:left="0" w:leftChars="0" w:right="0" w:rightChars="0" w:firstLine="0" w:firstLineChars="0"/>
              <w:jc w:val="center"/>
            </w:pPr>
            <w:r>
              <w:rPr>
                <w:rFonts w:ascii="Times New Roman" w:hAnsi="Times New Roman" w:eastAsia="宋体"/>
                <w:b w:val="0"/>
                <w:sz w:val="18"/>
              </w:rPr>
              <w:t>7个价格节点</w:t>
            </w:r>
          </w:p>
        </w:tc>
      </w:tr>
      <w:tr w14:paraId="04C4C6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1FF6FC5">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2771" w:type="dxa"/>
            <w:tcMar>
              <w:left w:w="70" w:type="dxa"/>
              <w:right w:w="70" w:type="dxa"/>
            </w:tcMar>
            <w:vAlign w:val="center"/>
          </w:tcPr>
          <w:p w14:paraId="5060A94D">
            <w:pPr>
              <w:keepNext w:val="0"/>
              <w:spacing w:before="20" w:after="20" w:line="260" w:lineRule="exact"/>
              <w:ind w:left="0" w:leftChars="0" w:right="0" w:rightChars="0" w:firstLine="0" w:firstLineChars="0"/>
              <w:jc w:val="center"/>
            </w:pPr>
            <w:r>
              <w:rPr>
                <w:rFonts w:ascii="Times New Roman" w:hAnsi="Times New Roman" w:eastAsia="宋体"/>
                <w:b w:val="0"/>
                <w:sz w:val="18"/>
              </w:rPr>
              <w:t>储能价格取参考值的70%～130%，步长10个百分点，按有效功率折算</w:t>
            </w:r>
          </w:p>
        </w:tc>
        <w:tc>
          <w:tcPr>
            <w:tcW w:w="2771" w:type="dxa"/>
            <w:tcMar>
              <w:left w:w="70" w:type="dxa"/>
              <w:right w:w="70" w:type="dxa"/>
            </w:tcMar>
            <w:vAlign w:val="center"/>
          </w:tcPr>
          <w:p w14:paraId="1BCDBAD3">
            <w:pPr>
              <w:keepNext w:val="0"/>
              <w:spacing w:before="20" w:after="20" w:line="260" w:lineRule="exact"/>
              <w:ind w:left="0" w:leftChars="0" w:right="0" w:rightChars="0" w:firstLine="0" w:firstLineChars="0"/>
              <w:jc w:val="center"/>
            </w:pPr>
            <w:r>
              <w:rPr>
                <w:rFonts w:ascii="Times New Roman" w:hAnsi="Times New Roman" w:eastAsia="宋体"/>
                <w:b w:val="0"/>
                <w:sz w:val="18"/>
              </w:rPr>
              <w:t>7个价格节点</w:t>
            </w:r>
          </w:p>
        </w:tc>
      </w:tr>
      <w:tr w14:paraId="28E1F4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4308FC8">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771" w:type="dxa"/>
            <w:tcMar>
              <w:left w:w="70" w:type="dxa"/>
              <w:right w:w="70" w:type="dxa"/>
            </w:tcMar>
            <w:vAlign w:val="center"/>
          </w:tcPr>
          <w:p w14:paraId="46AED8A6">
            <w:pPr>
              <w:keepNext w:val="0"/>
              <w:spacing w:before="20" w:after="20" w:line="260" w:lineRule="exact"/>
              <w:ind w:left="0" w:leftChars="0" w:right="0" w:rightChars="0" w:firstLine="0" w:firstLineChars="0"/>
              <w:jc w:val="center"/>
            </w:pPr>
            <w:r>
              <w:rPr>
                <w:rFonts w:ascii="Times New Roman" w:hAnsi="Times New Roman" w:eastAsia="宋体"/>
                <w:b w:val="0"/>
                <w:sz w:val="18"/>
              </w:rPr>
              <w:t>10%、30%、50%、80%、90%</w:t>
            </w:r>
          </w:p>
        </w:tc>
        <w:tc>
          <w:tcPr>
            <w:tcW w:w="2771" w:type="dxa"/>
            <w:tcMar>
              <w:left w:w="70" w:type="dxa"/>
              <w:right w:w="70" w:type="dxa"/>
            </w:tcMar>
            <w:vAlign w:val="center"/>
          </w:tcPr>
          <w:p w14:paraId="2EAF2CF4">
            <w:pPr>
              <w:keepNext w:val="0"/>
              <w:spacing w:before="20" w:after="20" w:line="260" w:lineRule="exact"/>
              <w:ind w:left="0" w:leftChars="0" w:right="0" w:rightChars="0" w:firstLine="0" w:firstLineChars="0"/>
              <w:jc w:val="center"/>
            </w:pPr>
            <w:r>
              <w:rPr>
                <w:rFonts w:ascii="Times New Roman" w:hAnsi="Times New Roman" w:eastAsia="宋体"/>
                <w:b w:val="0"/>
                <w:sz w:val="18"/>
              </w:rPr>
              <w:t>5</w:t>
            </w:r>
          </w:p>
        </w:tc>
      </w:tr>
      <w:tr w14:paraId="47C1EB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60E0DC7">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2771" w:type="dxa"/>
            <w:tcMar>
              <w:left w:w="70" w:type="dxa"/>
              <w:right w:w="70" w:type="dxa"/>
            </w:tcMar>
            <w:vAlign w:val="center"/>
          </w:tcPr>
          <w:p w14:paraId="5E4ADB5D">
            <w:pPr>
              <w:keepNext w:val="0"/>
              <w:spacing w:before="20" w:after="20" w:line="260" w:lineRule="exact"/>
              <w:ind w:left="0" w:leftChars="0" w:right="0" w:rightChars="0" w:firstLine="0" w:firstLineChars="0"/>
              <w:jc w:val="center"/>
            </w:pPr>
            <w:r>
              <w:rPr>
                <w:rFonts w:ascii="Times New Roman" w:hAnsi="Times New Roman" w:eastAsia="宋体"/>
                <w:b w:val="0"/>
                <w:sz w:val="18"/>
              </w:rPr>
              <w:t>1～8 h，步长1 h</w:t>
            </w:r>
          </w:p>
        </w:tc>
        <w:tc>
          <w:tcPr>
            <w:tcW w:w="2771" w:type="dxa"/>
            <w:tcMar>
              <w:left w:w="70" w:type="dxa"/>
              <w:right w:w="70" w:type="dxa"/>
            </w:tcMar>
            <w:vAlign w:val="center"/>
          </w:tcPr>
          <w:p w14:paraId="63A80386">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bl>
    <w:p w14:paraId="6211D60B">
      <w:pPr>
        <w:pStyle w:val="2"/>
        <w:widowControl/>
        <w:spacing w:before="0" w:after="0" w:line="348" w:lineRule="exact"/>
        <w:ind w:firstLine="480"/>
        <w:jc w:val="both"/>
      </w:pPr>
      <w:r>
        <w:rPr>
          <w:rFonts w:ascii="Times New Roman" w:hAnsi="Times New Roman" w:eastAsia="方正仿宋_GBK"/>
          <w:b w:val="0"/>
          <w:sz w:val="24"/>
        </w:rPr>
        <w:t>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14:paraId="5275E081">
      <w:pPr>
        <w:pStyle w:val="2"/>
        <w:widowControl/>
        <w:spacing w:before="0" w:after="0" w:line="348" w:lineRule="exact"/>
        <w:ind w:firstLine="480"/>
        <w:jc w:val="both"/>
      </w:pPr>
      <w:r>
        <w:rPr>
          <w:rFonts w:ascii="Times New Roman" w:hAnsi="Times New Roman" w:eastAsia="方正仿宋_GBK"/>
          <w:b w:val="0"/>
          <w:sz w:val="24"/>
        </w:rPr>
        <w:t>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14:paraId="5B3D3DE7">
      <w:pPr>
        <w:pStyle w:val="2"/>
        <w:widowControl/>
        <w:spacing w:before="0" w:after="0" w:line="348" w:lineRule="exact"/>
        <w:ind w:firstLine="480"/>
        <w:jc w:val="both"/>
      </w:pPr>
      <w:r>
        <w:rPr>
          <w:rFonts w:ascii="Times New Roman" w:hAnsi="Times New Roman" w:eastAsia="方正仿宋_GBK"/>
          <w:b w:val="0"/>
          <w:sz w:val="24"/>
        </w:rPr>
        <w:t>第一层评价指标与容载比的关联。针对每项指标组织受控取值序列，在组内固定其他源荷、网络、时间及价格条件，每组至少包含两个有效节点。对组内指标</w:t>
      </w:r>
      <m:oMath>
        <m:r>
          <m:rPr>
            <m:nor/>
          </m:rPr>
          <w:rPr>
            <w:rFonts w:ascii="Times New Roman" w:hAnsi="Times New Roman" w:eastAsia="方正仿宋_GBK" w:cs="Times New Roman"/>
            <w:i/>
            <w:iCs/>
          </w:rPr>
          <m:t>x</m:t>
        </m:r>
      </m:oMath>
      <w:r>
        <w:rPr>
          <w:rFonts w:ascii="Times New Roman" w:hAnsi="Times New Roman" w:eastAsia="方正仿宋_GBK"/>
          <w:b w:val="0"/>
          <w:sz w:val="24"/>
        </w:rPr>
        <w:t>和容载比</w:t>
      </w:r>
      <m:oMath>
        <m:r>
          <m:rPr>
            <m:nor/>
          </m:rPr>
          <w:rPr>
            <w:rFonts w:ascii="Times New Roman" w:hAnsi="Times New Roman" w:eastAsia="方正仿宋_GBK" w:cs="Times New Roman"/>
            <w:i/>
            <w:iCs/>
          </w:rPr>
          <m:t>R</m:t>
        </m:r>
      </m:oMath>
      <w:r>
        <w:rPr>
          <w:rFonts w:ascii="Times New Roman" w:hAnsi="Times New Roman" w:eastAsia="方正仿宋_GBK"/>
          <w:b w:val="0"/>
          <w:sz w:val="24"/>
        </w:rPr>
        <w:t>分别计算</w:t>
      </w:r>
      <m:oMath>
        <m:r>
          <m:rPr>
            <m:nor/>
          </m:rPr>
          <w:rPr>
            <w:rFonts w:ascii="Times New Roman" w:hAnsi="Times New Roman" w:eastAsia="方正仿宋_GBK" w:cs="Times New Roman"/>
            <w:i/>
            <w:iCs/>
          </w:rPr>
          <m:t>x</m:t>
        </m:r>
        <m:r>
          <m:rPr>
            <m:nor/>
            <m:sty m:val="p"/>
          </m:rPr>
          <w:rPr>
            <w:rFonts w:ascii="Times New Roman" w:hAnsi="Times New Roman" w:eastAsia="方正仿宋_GBK" w:cs="Times New Roman"/>
            <w:b w:val="0"/>
            <w:i w:val="0"/>
            <w:iCs w:val="0"/>
          </w:rPr>
          <m:t>−</m:t>
        </m:r>
        <m:sSub>
          <m:sSubPr/>
          <m:e>
            <m:bar>
              <m:barPr>
                <m:pos m:val="top"/>
              </m:barPr>
              <m:e>
                <m:r>
                  <m:rPr>
                    <m:nor/>
                  </m:rPr>
                  <w:rPr>
                    <w:rFonts w:ascii="Times New Roman" w:hAnsi="Times New Roman" w:eastAsia="方正仿宋_GBK" w:cs="Times New Roman"/>
                    <w:i/>
                    <w:iCs/>
                  </w:rPr>
                  <m:t>x</m:t>
                </m:r>
              </m:e>
            </m:bar>
          </m:e>
          <m:sub>
            <m:r>
              <m:rPr>
                <m:nor/>
                <m:sty m:val="p"/>
              </m:rPr>
              <w:rPr>
                <w:rFonts w:ascii="Times New Roman" w:hAnsi="Times New Roman" w:eastAsia="方正仿宋_GBK" w:cs="Times New Roman"/>
                <w:b w:val="0"/>
                <w:i w:val="0"/>
                <w:iCs w:val="0"/>
              </w:rPr>
              <m:t>group</m:t>
            </m:r>
          </m:sub>
        </m:sSub>
      </m:oMath>
      <w:r>
        <w:rPr>
          <w:rFonts w:ascii="Times New Roman" w:hAnsi="Times New Roman" w:eastAsia="方正仿宋_GBK"/>
          <w:b w:val="0"/>
          <w:sz w:val="24"/>
        </w:rPr>
        <w:t>、</w:t>
      </w:r>
      <m:oMath>
        <m:r>
          <m:rPr>
            <m:nor/>
          </m:rPr>
          <w:rPr>
            <w:rFonts w:ascii="Times New Roman" w:hAnsi="Times New Roman" w:eastAsia="方正仿宋_GBK" w:cs="Times New Roman"/>
            <w:i/>
            <w:iCs/>
          </w:rPr>
          <m:t>R</m:t>
        </m:r>
        <m:r>
          <m:rPr>
            <m:nor/>
            <m:sty m:val="p"/>
          </m:rPr>
          <w:rPr>
            <w:rFonts w:ascii="Times New Roman" w:hAnsi="Times New Roman" w:eastAsia="方正仿宋_GBK" w:cs="Times New Roman"/>
            <w:b w:val="0"/>
            <w:i w:val="0"/>
            <w:iCs w:val="0"/>
          </w:rPr>
          <m:t>−</m:t>
        </m:r>
        <m:sSub>
          <m:sSubPr/>
          <m:e>
            <m:bar>
              <m:barPr>
                <m:pos m:val="top"/>
              </m:barPr>
              <m:e>
                <m:r>
                  <m:rPr>
                    <m:nor/>
                  </m:rPr>
                  <w:rPr>
                    <w:rFonts w:ascii="Times New Roman" w:hAnsi="Times New Roman" w:eastAsia="方正仿宋_GBK" w:cs="Times New Roman"/>
                    <w:i/>
                    <w:iCs/>
                  </w:rPr>
                  <m:t>R</m:t>
                </m:r>
              </m:e>
            </m:bar>
          </m:e>
          <m:sub>
            <m:r>
              <m:rPr>
                <m:nor/>
                <m:sty m:val="p"/>
              </m:rPr>
              <w:rPr>
                <w:rFonts w:ascii="Times New Roman" w:hAnsi="Times New Roman" w:eastAsia="方正仿宋_GBK" w:cs="Times New Roman"/>
                <w:b w:val="0"/>
                <w:i w:val="0"/>
                <w:iCs w:val="0"/>
              </w:rPr>
              <m:t>group</m:t>
            </m:r>
          </m:sub>
        </m:sSub>
      </m:oMath>
      <w:r>
        <w:rPr>
          <w:rFonts w:ascii="Times New Roman" w:hAnsi="Times New Roman" w:eastAsia="方正仿宋_GBK"/>
          <w:b w:val="0"/>
          <w:sz w:val="24"/>
        </w:rPr>
        <w:t>，汇总节点计算Pearson系数，节点等权并保留零容量响应组[90]。正向净负荷沿年最大净负荷平均增长率序列分析，反向净负荷和站级负载率沿电量序列分析，两项投资比分别沿独立价格序列分析。</w:t>
      </w:r>
    </w:p>
    <w:p w14:paraId="6A54FF53">
      <w:pPr>
        <w:pStyle w:val="2"/>
        <w:widowControl/>
        <w:spacing w:before="0" w:after="0" w:line="348" w:lineRule="exact"/>
        <w:ind w:firstLine="480"/>
        <w:jc w:val="both"/>
      </w:pPr>
      <w:r>
        <w:rPr>
          <w:rFonts w:ascii="Times New Roman" w:hAnsi="Times New Roman" w:eastAsia="方正仿宋_GBK"/>
          <w:b w:val="0"/>
          <w:sz w:val="24"/>
        </w:rPr>
        <w:t>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14:paraId="4A4D06CF">
      <w:pPr>
        <w:pStyle w:val="5"/>
        <w:keepNext/>
        <w:numPr>
          <w:ilvl w:val="0"/>
          <w:numId w:val="0"/>
        </w:numPr>
        <w:spacing w:before="160" w:after="120" w:line="390" w:lineRule="exact"/>
        <w:ind w:firstLine="0"/>
      </w:pPr>
      <w:bookmarkStart w:id="116" w:name="与容载比的相关性筛选"/>
      <w:r>
        <w:rPr>
          <w:rFonts w:ascii="Times New Roman" w:hAnsi="Times New Roman" w:eastAsia="方正仿宋_GBK"/>
          <w:b/>
          <w:sz w:val="26"/>
        </w:rPr>
        <w:t>3.5.3 与容载比的相关性筛选</w:t>
      </w:r>
      <w:bookmarkEnd w:id="116"/>
    </w:p>
    <w:p w14:paraId="6E0B7570">
      <w:pPr>
        <w:pStyle w:val="115"/>
        <w:keepNext/>
        <w:spacing w:before="120" w:after="80" w:line="280" w:lineRule="exact"/>
        <w:ind w:firstLine="0"/>
        <w:jc w:val="center"/>
      </w:pPr>
      <w:r>
        <w:rPr>
          <w:rFonts w:ascii="Times New Roman" w:hAnsi="Times New Roman" w:eastAsia="宋体"/>
          <w:b w:val="0"/>
          <w:sz w:val="21"/>
        </w:rPr>
        <w:t>表3-12 十三项指标与容载比的组内相关</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AED4C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A514E05">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662" w:type="dxa"/>
            <w:tcMar>
              <w:left w:w="70" w:type="dxa"/>
              <w:right w:w="70" w:type="dxa"/>
            </w:tcMar>
            <w:vAlign w:val="center"/>
          </w:tcPr>
          <w:p w14:paraId="18609FB5">
            <w:pPr>
              <w:keepNext/>
              <w:spacing w:before="20" w:after="20" w:line="260" w:lineRule="exact"/>
              <w:ind w:left="0" w:leftChars="0" w:right="0" w:rightChars="0" w:firstLine="0" w:firstLineChars="0"/>
              <w:jc w:val="center"/>
            </w:pPr>
            <w:r>
              <w:rPr>
                <w:rFonts w:ascii="Times New Roman" w:hAnsi="Times New Roman" w:eastAsia="宋体"/>
                <w:b/>
                <w:sz w:val="18"/>
              </w:rPr>
              <w:t>有效组数</w:t>
            </w:r>
          </w:p>
        </w:tc>
        <w:tc>
          <w:tcPr>
            <w:tcW w:w="1662" w:type="dxa"/>
            <w:tcMar>
              <w:left w:w="70" w:type="dxa"/>
              <w:right w:w="70" w:type="dxa"/>
            </w:tcMar>
            <w:vAlign w:val="center"/>
          </w:tcPr>
          <w:p w14:paraId="2A972811">
            <w:pPr>
              <w:keepNext/>
              <w:spacing w:before="20" w:after="20" w:line="260" w:lineRule="exact"/>
              <w:ind w:left="0" w:leftChars="0" w:right="0" w:rightChars="0" w:firstLine="0" w:firstLineChars="0"/>
              <w:jc w:val="center"/>
            </w:pPr>
            <w:r>
              <w:rPr>
                <w:rFonts w:ascii="Times New Roman" w:hAnsi="Times New Roman" w:eastAsia="宋体"/>
                <w:b/>
                <w:sz w:val="18"/>
              </w:rPr>
              <w:t>有效节点数</w:t>
            </w:r>
          </w:p>
        </w:tc>
        <w:tc>
          <w:tcPr>
            <w:tcW w:w="1662" w:type="dxa"/>
            <w:tcMar>
              <w:left w:w="70" w:type="dxa"/>
              <w:right w:w="70" w:type="dxa"/>
            </w:tcMar>
            <w:vAlign w:val="center"/>
          </w:tcPr>
          <w:p w14:paraId="04AA82F2">
            <w:pPr>
              <w:keepNext/>
              <w:spacing w:before="20" w:after="20" w:line="260" w:lineRule="exact"/>
              <w:ind w:left="0" w:leftChars="0" w:right="0" w:rightChars="0" w:firstLine="0" w:firstLineChars="0"/>
              <w:jc w:val="center"/>
            </w:pPr>
            <w:r>
              <w:rPr>
                <w:rFonts w:ascii="Times New Roman" w:hAnsi="Times New Roman" w:eastAsia="宋体"/>
                <w:b/>
                <w:sz w:val="18"/>
              </w:rPr>
              <w:t>Pearson</w:t>
            </w:r>
          </w:p>
        </w:tc>
        <w:tc>
          <w:tcPr>
            <w:tcW w:w="1662" w:type="dxa"/>
            <w:tcMar>
              <w:left w:w="70" w:type="dxa"/>
              <w:right w:w="70" w:type="dxa"/>
            </w:tcMar>
            <w:vAlign w:val="center"/>
          </w:tcPr>
          <w:p w14:paraId="3208EF42">
            <w:pPr>
              <w:keepNext/>
              <w:spacing w:before="20" w:after="20" w:line="260" w:lineRule="exact"/>
              <w:ind w:left="0" w:leftChars="0" w:right="0" w:rightChars="0" w:firstLine="0" w:firstLineChars="0"/>
              <w:jc w:val="center"/>
            </w:pPr>
            <w:r>
              <w:rPr>
                <w:rFonts w:ascii="Times New Roman" w:hAnsi="Times New Roman" w:eastAsia="宋体"/>
                <w:b/>
                <w:sz w:val="18"/>
              </w:rPr>
              <w:t>容量响应组占比</w:t>
            </w:r>
          </w:p>
        </w:tc>
      </w:tr>
      <w:tr w14:paraId="4067D0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68B3317">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662" w:type="dxa"/>
            <w:tcMar>
              <w:left w:w="70" w:type="dxa"/>
              <w:right w:w="70" w:type="dxa"/>
            </w:tcMar>
            <w:vAlign w:val="center"/>
          </w:tcPr>
          <w:p w14:paraId="2E4EC09F">
            <w:pPr>
              <w:keepNext w:val="0"/>
              <w:spacing w:before="20" w:after="20" w:line="260" w:lineRule="exact"/>
              <w:ind w:left="0" w:leftChars="0" w:right="0" w:rightChars="0" w:firstLine="0" w:firstLineChars="0"/>
              <w:jc w:val="center"/>
            </w:pPr>
            <w:r>
              <w:rPr>
                <w:rFonts w:ascii="Times New Roman" w:hAnsi="Times New Roman" w:eastAsia="宋体"/>
                <w:b w:val="0"/>
                <w:sz w:val="18"/>
              </w:rPr>
              <w:t>2484</w:t>
            </w:r>
          </w:p>
        </w:tc>
        <w:tc>
          <w:tcPr>
            <w:tcW w:w="1662" w:type="dxa"/>
            <w:tcMar>
              <w:left w:w="70" w:type="dxa"/>
              <w:right w:w="70" w:type="dxa"/>
            </w:tcMar>
            <w:vAlign w:val="center"/>
          </w:tcPr>
          <w:p w14:paraId="12F68CD3">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6639E528">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662" w:type="dxa"/>
            <w:tcMar>
              <w:left w:w="70" w:type="dxa"/>
              <w:right w:w="70" w:type="dxa"/>
            </w:tcMar>
            <w:vAlign w:val="center"/>
          </w:tcPr>
          <w:p w14:paraId="044E016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5E333B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C11BD64">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662" w:type="dxa"/>
            <w:tcMar>
              <w:left w:w="70" w:type="dxa"/>
              <w:right w:w="70" w:type="dxa"/>
            </w:tcMar>
            <w:vAlign w:val="center"/>
          </w:tcPr>
          <w:p w14:paraId="5BA5152E">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3DADE71C">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3688293F">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662" w:type="dxa"/>
            <w:tcMar>
              <w:left w:w="70" w:type="dxa"/>
              <w:right w:w="70" w:type="dxa"/>
            </w:tcMar>
            <w:vAlign w:val="center"/>
          </w:tcPr>
          <w:p w14:paraId="2FA7E98A">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536D5F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D900612">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662" w:type="dxa"/>
            <w:tcMar>
              <w:left w:w="70" w:type="dxa"/>
              <w:right w:w="70" w:type="dxa"/>
            </w:tcMar>
            <w:vAlign w:val="center"/>
          </w:tcPr>
          <w:p w14:paraId="5001DAA9">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058D17AA">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089467E4">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662" w:type="dxa"/>
            <w:tcMar>
              <w:left w:w="70" w:type="dxa"/>
              <w:right w:w="70" w:type="dxa"/>
            </w:tcMar>
            <w:vAlign w:val="center"/>
          </w:tcPr>
          <w:p w14:paraId="4D80C6A0">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566454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A6CCC56">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662" w:type="dxa"/>
            <w:tcMar>
              <w:left w:w="70" w:type="dxa"/>
              <w:right w:w="70" w:type="dxa"/>
            </w:tcMar>
            <w:vAlign w:val="center"/>
          </w:tcPr>
          <w:p w14:paraId="15FFCD25">
            <w:pPr>
              <w:keepNext w:val="0"/>
              <w:spacing w:before="20" w:after="20" w:line="260" w:lineRule="exact"/>
              <w:ind w:left="0" w:leftChars="0" w:right="0" w:rightChars="0" w:firstLine="0" w:firstLineChars="0"/>
              <w:jc w:val="center"/>
            </w:pPr>
            <w:r>
              <w:rPr>
                <w:rFonts w:ascii="Times New Roman" w:hAnsi="Times New Roman" w:eastAsia="宋体"/>
                <w:b w:val="0"/>
                <w:sz w:val="18"/>
              </w:rPr>
              <w:t>11988</w:t>
            </w:r>
          </w:p>
        </w:tc>
        <w:tc>
          <w:tcPr>
            <w:tcW w:w="1662" w:type="dxa"/>
            <w:tcMar>
              <w:left w:w="70" w:type="dxa"/>
              <w:right w:w="70" w:type="dxa"/>
            </w:tcMar>
            <w:vAlign w:val="center"/>
          </w:tcPr>
          <w:p w14:paraId="600D40BA">
            <w:pPr>
              <w:keepNext w:val="0"/>
              <w:spacing w:before="20" w:after="20" w:line="260" w:lineRule="exact"/>
              <w:ind w:left="0" w:leftChars="0" w:right="0" w:rightChars="0" w:firstLine="0" w:firstLineChars="0"/>
              <w:jc w:val="center"/>
            </w:pPr>
            <w:r>
              <w:rPr>
                <w:rFonts w:ascii="Times New Roman" w:hAnsi="Times New Roman" w:eastAsia="宋体"/>
                <w:b w:val="0"/>
                <w:sz w:val="18"/>
              </w:rPr>
              <w:t>88781</w:t>
            </w:r>
          </w:p>
        </w:tc>
        <w:tc>
          <w:tcPr>
            <w:tcW w:w="1662" w:type="dxa"/>
            <w:tcMar>
              <w:left w:w="70" w:type="dxa"/>
              <w:right w:w="70" w:type="dxa"/>
            </w:tcMar>
            <w:vAlign w:val="center"/>
          </w:tcPr>
          <w:p w14:paraId="50088AAE">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662" w:type="dxa"/>
            <w:tcMar>
              <w:left w:w="70" w:type="dxa"/>
              <w:right w:w="70" w:type="dxa"/>
            </w:tcMar>
            <w:vAlign w:val="center"/>
          </w:tcPr>
          <w:p w14:paraId="37289B4A">
            <w:pPr>
              <w:keepNext w:val="0"/>
              <w:spacing w:before="20" w:after="20" w:line="260" w:lineRule="exact"/>
              <w:ind w:left="0" w:leftChars="0" w:right="0" w:rightChars="0" w:firstLine="0" w:firstLineChars="0"/>
              <w:jc w:val="center"/>
            </w:pPr>
            <w:r>
              <w:rPr>
                <w:rFonts w:ascii="Times New Roman" w:hAnsi="Times New Roman" w:eastAsia="宋体"/>
                <w:b w:val="0"/>
                <w:sz w:val="18"/>
              </w:rPr>
              <w:t>93%</w:t>
            </w:r>
          </w:p>
        </w:tc>
      </w:tr>
      <w:tr w14:paraId="74F7A3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020AECA">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662" w:type="dxa"/>
            <w:tcMar>
              <w:left w:w="70" w:type="dxa"/>
              <w:right w:w="70" w:type="dxa"/>
            </w:tcMar>
            <w:vAlign w:val="center"/>
          </w:tcPr>
          <w:p w14:paraId="626781A5">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77E8D5B8">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6D087002">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662" w:type="dxa"/>
            <w:tcMar>
              <w:left w:w="70" w:type="dxa"/>
              <w:right w:w="70" w:type="dxa"/>
            </w:tcMar>
            <w:vAlign w:val="center"/>
          </w:tcPr>
          <w:p w14:paraId="2E065E42">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31727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D7E6D21">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662" w:type="dxa"/>
            <w:tcMar>
              <w:left w:w="70" w:type="dxa"/>
              <w:right w:w="70" w:type="dxa"/>
            </w:tcMar>
            <w:vAlign w:val="center"/>
          </w:tcPr>
          <w:p w14:paraId="0FDBC5F0">
            <w:pPr>
              <w:keepNext w:val="0"/>
              <w:spacing w:before="20" w:after="20" w:line="260" w:lineRule="exact"/>
              <w:ind w:left="0" w:leftChars="0" w:right="0" w:rightChars="0" w:firstLine="0" w:firstLineChars="0"/>
              <w:jc w:val="center"/>
            </w:pPr>
            <w:r>
              <w:rPr>
                <w:rFonts w:ascii="Times New Roman" w:hAnsi="Times New Roman" w:eastAsia="宋体"/>
                <w:b w:val="0"/>
                <w:sz w:val="18"/>
              </w:rPr>
              <w:t>4329</w:t>
            </w:r>
          </w:p>
        </w:tc>
        <w:tc>
          <w:tcPr>
            <w:tcW w:w="1662" w:type="dxa"/>
            <w:tcMar>
              <w:left w:w="70" w:type="dxa"/>
              <w:right w:w="70" w:type="dxa"/>
            </w:tcMar>
            <w:vAlign w:val="center"/>
          </w:tcPr>
          <w:p w14:paraId="39170FFE">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38D99A2C">
            <w:pPr>
              <w:keepNext w:val="0"/>
              <w:spacing w:before="20" w:after="20" w:line="260" w:lineRule="exact"/>
              <w:ind w:left="0" w:leftChars="0" w:right="0" w:rightChars="0" w:firstLine="0" w:firstLineChars="0"/>
              <w:jc w:val="center"/>
            </w:pPr>
            <w:r>
              <w:rPr>
                <w:rFonts w:ascii="Times New Roman" w:hAnsi="Times New Roman" w:eastAsia="宋体"/>
                <w:b w:val="0"/>
                <w:sz w:val="18"/>
              </w:rPr>
              <w:t>-0.80</w:t>
            </w:r>
          </w:p>
        </w:tc>
        <w:tc>
          <w:tcPr>
            <w:tcW w:w="1662" w:type="dxa"/>
            <w:tcMar>
              <w:left w:w="70" w:type="dxa"/>
              <w:right w:w="70" w:type="dxa"/>
            </w:tcMar>
            <w:vAlign w:val="center"/>
          </w:tcPr>
          <w:p w14:paraId="2C385B63">
            <w:pPr>
              <w:keepNext w:val="0"/>
              <w:spacing w:before="20" w:after="20" w:line="260" w:lineRule="exact"/>
              <w:ind w:left="0" w:leftChars="0" w:right="0" w:rightChars="0" w:firstLine="0" w:firstLineChars="0"/>
              <w:jc w:val="center"/>
            </w:pPr>
            <w:r>
              <w:rPr>
                <w:rFonts w:ascii="Times New Roman" w:hAnsi="Times New Roman" w:eastAsia="宋体"/>
                <w:b w:val="0"/>
                <w:sz w:val="18"/>
              </w:rPr>
              <w:t>89%</w:t>
            </w:r>
          </w:p>
        </w:tc>
      </w:tr>
      <w:tr w14:paraId="065767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6D30BA9">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662" w:type="dxa"/>
            <w:tcMar>
              <w:left w:w="70" w:type="dxa"/>
              <w:right w:w="70" w:type="dxa"/>
            </w:tcMar>
            <w:vAlign w:val="center"/>
          </w:tcPr>
          <w:p w14:paraId="6EC790B1">
            <w:pPr>
              <w:keepNext w:val="0"/>
              <w:spacing w:before="20" w:after="20" w:line="260" w:lineRule="exact"/>
              <w:ind w:left="0" w:leftChars="0" w:right="0" w:rightChars="0" w:firstLine="0" w:firstLineChars="0"/>
              <w:jc w:val="center"/>
            </w:pPr>
            <w:r>
              <w:rPr>
                <w:rFonts w:ascii="Times New Roman" w:hAnsi="Times New Roman" w:eastAsia="宋体"/>
                <w:b w:val="0"/>
                <w:sz w:val="18"/>
              </w:rPr>
              <w:t>5140</w:t>
            </w:r>
          </w:p>
        </w:tc>
        <w:tc>
          <w:tcPr>
            <w:tcW w:w="1662" w:type="dxa"/>
            <w:tcMar>
              <w:left w:w="70" w:type="dxa"/>
              <w:right w:w="70" w:type="dxa"/>
            </w:tcMar>
            <w:vAlign w:val="center"/>
          </w:tcPr>
          <w:p w14:paraId="36FD91E9">
            <w:pPr>
              <w:keepNext w:val="0"/>
              <w:spacing w:before="20" w:after="20" w:line="260" w:lineRule="exact"/>
              <w:ind w:left="0" w:leftChars="0" w:right="0" w:rightChars="0" w:firstLine="0" w:firstLineChars="0"/>
              <w:jc w:val="center"/>
            </w:pPr>
            <w:r>
              <w:rPr>
                <w:rFonts w:ascii="Times New Roman" w:hAnsi="Times New Roman" w:eastAsia="宋体"/>
                <w:b w:val="0"/>
                <w:sz w:val="18"/>
              </w:rPr>
              <w:t>41118</w:t>
            </w:r>
          </w:p>
        </w:tc>
        <w:tc>
          <w:tcPr>
            <w:tcW w:w="1662" w:type="dxa"/>
            <w:tcMar>
              <w:left w:w="70" w:type="dxa"/>
              <w:right w:w="70" w:type="dxa"/>
            </w:tcMar>
            <w:vAlign w:val="center"/>
          </w:tcPr>
          <w:p w14:paraId="04DF84B4">
            <w:pPr>
              <w:keepNext w:val="0"/>
              <w:spacing w:before="20" w:after="20" w:line="260" w:lineRule="exact"/>
              <w:ind w:left="0" w:leftChars="0" w:right="0" w:rightChars="0" w:firstLine="0" w:firstLineChars="0"/>
              <w:jc w:val="center"/>
            </w:pPr>
            <w:r>
              <w:rPr>
                <w:rFonts w:ascii="Times New Roman" w:hAnsi="Times New Roman" w:eastAsia="宋体"/>
                <w:b w:val="0"/>
                <w:sz w:val="18"/>
              </w:rPr>
              <w:t>0.26</w:t>
            </w:r>
          </w:p>
        </w:tc>
        <w:tc>
          <w:tcPr>
            <w:tcW w:w="1662" w:type="dxa"/>
            <w:tcMar>
              <w:left w:w="70" w:type="dxa"/>
              <w:right w:w="70" w:type="dxa"/>
            </w:tcMar>
            <w:vAlign w:val="center"/>
          </w:tcPr>
          <w:p w14:paraId="469B1127">
            <w:pPr>
              <w:keepNext w:val="0"/>
              <w:spacing w:before="20" w:after="20" w:line="260" w:lineRule="exact"/>
              <w:ind w:left="0" w:leftChars="0" w:right="0" w:rightChars="0" w:firstLine="0" w:firstLineChars="0"/>
              <w:jc w:val="center"/>
            </w:pPr>
            <w:r>
              <w:rPr>
                <w:rFonts w:ascii="Times New Roman" w:hAnsi="Times New Roman" w:eastAsia="宋体"/>
                <w:b w:val="0"/>
                <w:sz w:val="18"/>
              </w:rPr>
              <w:t>17%</w:t>
            </w:r>
          </w:p>
        </w:tc>
      </w:tr>
      <w:tr w14:paraId="2CB9F5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B13B1EA">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662" w:type="dxa"/>
            <w:tcMar>
              <w:left w:w="70" w:type="dxa"/>
              <w:right w:w="70" w:type="dxa"/>
            </w:tcMar>
            <w:vAlign w:val="center"/>
          </w:tcPr>
          <w:p w14:paraId="72F6848E">
            <w:pPr>
              <w:keepNext w:val="0"/>
              <w:spacing w:before="20" w:after="20" w:line="260" w:lineRule="exact"/>
              <w:ind w:left="0" w:leftChars="0" w:right="0" w:rightChars="0" w:firstLine="0" w:firstLineChars="0"/>
              <w:jc w:val="center"/>
            </w:pPr>
            <w:r>
              <w:rPr>
                <w:rFonts w:ascii="Times New Roman" w:hAnsi="Times New Roman" w:eastAsia="宋体"/>
                <w:b w:val="0"/>
                <w:sz w:val="18"/>
              </w:rPr>
              <w:t>10608</w:t>
            </w:r>
          </w:p>
        </w:tc>
        <w:tc>
          <w:tcPr>
            <w:tcW w:w="1662" w:type="dxa"/>
            <w:tcMar>
              <w:left w:w="70" w:type="dxa"/>
              <w:right w:w="70" w:type="dxa"/>
            </w:tcMar>
            <w:vAlign w:val="center"/>
          </w:tcPr>
          <w:p w14:paraId="2DE18467">
            <w:pPr>
              <w:keepNext w:val="0"/>
              <w:spacing w:before="20" w:after="20" w:line="260" w:lineRule="exact"/>
              <w:ind w:left="0" w:leftChars="0" w:right="0" w:rightChars="0" w:firstLine="0" w:firstLineChars="0"/>
              <w:jc w:val="center"/>
            </w:pPr>
            <w:r>
              <w:rPr>
                <w:rFonts w:ascii="Times New Roman" w:hAnsi="Times New Roman" w:eastAsia="宋体"/>
                <w:b w:val="0"/>
                <w:sz w:val="18"/>
              </w:rPr>
              <w:t>31473</w:t>
            </w:r>
          </w:p>
        </w:tc>
        <w:tc>
          <w:tcPr>
            <w:tcW w:w="1662" w:type="dxa"/>
            <w:tcMar>
              <w:left w:w="70" w:type="dxa"/>
              <w:right w:w="70" w:type="dxa"/>
            </w:tcMar>
            <w:vAlign w:val="center"/>
          </w:tcPr>
          <w:p w14:paraId="34C16849">
            <w:pPr>
              <w:keepNext w:val="0"/>
              <w:spacing w:before="20" w:after="20" w:line="260" w:lineRule="exact"/>
              <w:ind w:left="0" w:leftChars="0" w:right="0" w:rightChars="0" w:firstLine="0" w:firstLineChars="0"/>
              <w:jc w:val="center"/>
            </w:pPr>
            <w:r>
              <w:rPr>
                <w:rFonts w:ascii="Times New Roman" w:hAnsi="Times New Roman" w:eastAsia="宋体"/>
                <w:b w:val="0"/>
                <w:sz w:val="18"/>
              </w:rPr>
              <w:t>0.52</w:t>
            </w:r>
          </w:p>
        </w:tc>
        <w:tc>
          <w:tcPr>
            <w:tcW w:w="1662" w:type="dxa"/>
            <w:tcMar>
              <w:left w:w="70" w:type="dxa"/>
              <w:right w:w="70" w:type="dxa"/>
            </w:tcMar>
            <w:vAlign w:val="center"/>
          </w:tcPr>
          <w:p w14:paraId="2E989776">
            <w:pPr>
              <w:keepNext w:val="0"/>
              <w:spacing w:before="20" w:after="20" w:line="260" w:lineRule="exact"/>
              <w:ind w:left="0" w:leftChars="0" w:right="0" w:rightChars="0" w:firstLine="0" w:firstLineChars="0"/>
              <w:jc w:val="center"/>
            </w:pPr>
            <w:r>
              <w:rPr>
                <w:rFonts w:ascii="Times New Roman" w:hAnsi="Times New Roman" w:eastAsia="宋体"/>
                <w:b w:val="0"/>
                <w:sz w:val="18"/>
              </w:rPr>
              <w:t>37%</w:t>
            </w:r>
          </w:p>
        </w:tc>
      </w:tr>
      <w:tr w14:paraId="1359A7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5ACF5FB">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662" w:type="dxa"/>
            <w:tcMar>
              <w:left w:w="70" w:type="dxa"/>
              <w:right w:w="70" w:type="dxa"/>
            </w:tcMar>
            <w:vAlign w:val="center"/>
          </w:tcPr>
          <w:p w14:paraId="55DDD0F6">
            <w:pPr>
              <w:keepNext w:val="0"/>
              <w:spacing w:before="20" w:after="20" w:line="260" w:lineRule="exact"/>
              <w:ind w:left="0" w:leftChars="0" w:right="0" w:rightChars="0" w:firstLine="0" w:firstLineChars="0"/>
              <w:jc w:val="center"/>
            </w:pPr>
            <w:r>
              <w:rPr>
                <w:rFonts w:ascii="Times New Roman" w:hAnsi="Times New Roman" w:eastAsia="宋体"/>
                <w:b w:val="0"/>
                <w:sz w:val="18"/>
              </w:rPr>
              <w:t>4680</w:t>
            </w:r>
          </w:p>
        </w:tc>
        <w:tc>
          <w:tcPr>
            <w:tcW w:w="1662" w:type="dxa"/>
            <w:tcMar>
              <w:left w:w="70" w:type="dxa"/>
              <w:right w:w="70" w:type="dxa"/>
            </w:tcMar>
            <w:vAlign w:val="center"/>
          </w:tcPr>
          <w:p w14:paraId="14BA4716">
            <w:pPr>
              <w:keepNext w:val="0"/>
              <w:spacing w:before="20" w:after="20" w:line="260" w:lineRule="exact"/>
              <w:ind w:left="0" w:leftChars="0" w:right="0" w:rightChars="0" w:firstLine="0" w:firstLineChars="0"/>
              <w:jc w:val="center"/>
            </w:pPr>
            <w:r>
              <w:rPr>
                <w:rFonts w:ascii="Times New Roman" w:hAnsi="Times New Roman" w:eastAsia="宋体"/>
                <w:b w:val="0"/>
                <w:sz w:val="18"/>
              </w:rPr>
              <w:t>32058</w:t>
            </w:r>
          </w:p>
        </w:tc>
        <w:tc>
          <w:tcPr>
            <w:tcW w:w="1662" w:type="dxa"/>
            <w:tcMar>
              <w:left w:w="70" w:type="dxa"/>
              <w:right w:w="70" w:type="dxa"/>
            </w:tcMar>
            <w:vAlign w:val="center"/>
          </w:tcPr>
          <w:p w14:paraId="175D4810">
            <w:pPr>
              <w:keepNext w:val="0"/>
              <w:spacing w:before="20" w:after="20" w:line="260" w:lineRule="exact"/>
              <w:ind w:left="0" w:leftChars="0" w:right="0" w:rightChars="0" w:firstLine="0" w:firstLineChars="0"/>
              <w:jc w:val="center"/>
            </w:pPr>
            <w:r>
              <w:rPr>
                <w:rFonts w:ascii="Times New Roman" w:hAnsi="Times New Roman" w:eastAsia="宋体"/>
                <w:b w:val="0"/>
                <w:sz w:val="18"/>
              </w:rPr>
              <w:t>-0.74</w:t>
            </w:r>
          </w:p>
        </w:tc>
        <w:tc>
          <w:tcPr>
            <w:tcW w:w="1662" w:type="dxa"/>
            <w:tcMar>
              <w:left w:w="70" w:type="dxa"/>
              <w:right w:w="70" w:type="dxa"/>
            </w:tcMar>
            <w:vAlign w:val="center"/>
          </w:tcPr>
          <w:p w14:paraId="232E3A30">
            <w:pPr>
              <w:keepNext w:val="0"/>
              <w:spacing w:before="20" w:after="20" w:line="260" w:lineRule="exact"/>
              <w:ind w:left="0" w:leftChars="0" w:right="0" w:rightChars="0" w:firstLine="0" w:firstLineChars="0"/>
              <w:jc w:val="center"/>
            </w:pPr>
            <w:r>
              <w:rPr>
                <w:rFonts w:ascii="Times New Roman" w:hAnsi="Times New Roman" w:eastAsia="宋体"/>
                <w:b w:val="0"/>
                <w:sz w:val="18"/>
              </w:rPr>
              <w:t>81%</w:t>
            </w:r>
          </w:p>
        </w:tc>
      </w:tr>
      <w:tr w14:paraId="3285F1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6CFC883">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662" w:type="dxa"/>
            <w:tcMar>
              <w:left w:w="70" w:type="dxa"/>
              <w:right w:w="70" w:type="dxa"/>
            </w:tcMar>
            <w:vAlign w:val="center"/>
          </w:tcPr>
          <w:p w14:paraId="77694A92">
            <w:pPr>
              <w:keepNext w:val="0"/>
              <w:spacing w:before="20" w:after="20" w:line="260" w:lineRule="exact"/>
              <w:ind w:left="0" w:leftChars="0" w:right="0" w:rightChars="0" w:firstLine="0" w:firstLineChars="0"/>
              <w:jc w:val="center"/>
            </w:pPr>
            <w:r>
              <w:rPr>
                <w:rFonts w:ascii="Times New Roman" w:hAnsi="Times New Roman" w:eastAsia="宋体"/>
                <w:b w:val="0"/>
                <w:sz w:val="18"/>
              </w:rPr>
              <w:t>2466</w:t>
            </w:r>
          </w:p>
        </w:tc>
        <w:tc>
          <w:tcPr>
            <w:tcW w:w="1662" w:type="dxa"/>
            <w:tcMar>
              <w:left w:w="70" w:type="dxa"/>
              <w:right w:w="70" w:type="dxa"/>
            </w:tcMar>
            <w:vAlign w:val="center"/>
          </w:tcPr>
          <w:p w14:paraId="5FB9880C">
            <w:pPr>
              <w:keepNext w:val="0"/>
              <w:spacing w:before="20" w:after="20" w:line="260" w:lineRule="exact"/>
              <w:ind w:left="0" w:leftChars="0" w:right="0" w:rightChars="0" w:firstLine="0" w:firstLineChars="0"/>
              <w:jc w:val="center"/>
            </w:pPr>
            <w:r>
              <w:rPr>
                <w:rFonts w:ascii="Times New Roman" w:hAnsi="Times New Roman" w:eastAsia="宋体"/>
                <w:b w:val="0"/>
                <w:sz w:val="18"/>
              </w:rPr>
              <w:t>17262</w:t>
            </w:r>
          </w:p>
        </w:tc>
        <w:tc>
          <w:tcPr>
            <w:tcW w:w="1662" w:type="dxa"/>
            <w:tcMar>
              <w:left w:w="70" w:type="dxa"/>
              <w:right w:w="70" w:type="dxa"/>
            </w:tcMar>
            <w:vAlign w:val="center"/>
          </w:tcPr>
          <w:p w14:paraId="636B187F">
            <w:pPr>
              <w:keepNext w:val="0"/>
              <w:spacing w:before="20" w:after="20" w:line="260" w:lineRule="exact"/>
              <w:ind w:left="0" w:leftChars="0" w:right="0" w:rightChars="0" w:firstLine="0" w:firstLineChars="0"/>
              <w:jc w:val="center"/>
            </w:pPr>
            <w:r>
              <w:rPr>
                <w:rFonts w:ascii="Times New Roman" w:hAnsi="Times New Roman" w:eastAsia="宋体"/>
                <w:b w:val="0"/>
                <w:sz w:val="18"/>
              </w:rPr>
              <w:t>-0.16</w:t>
            </w:r>
          </w:p>
        </w:tc>
        <w:tc>
          <w:tcPr>
            <w:tcW w:w="1662" w:type="dxa"/>
            <w:tcMar>
              <w:left w:w="70" w:type="dxa"/>
              <w:right w:w="70" w:type="dxa"/>
            </w:tcMar>
            <w:vAlign w:val="center"/>
          </w:tcPr>
          <w:p w14:paraId="1B30E85F">
            <w:pPr>
              <w:keepNext w:val="0"/>
              <w:spacing w:before="20" w:after="20" w:line="260" w:lineRule="exact"/>
              <w:ind w:left="0" w:leftChars="0" w:right="0" w:rightChars="0" w:firstLine="0" w:firstLineChars="0"/>
              <w:jc w:val="center"/>
            </w:pPr>
            <w:r>
              <w:rPr>
                <w:rFonts w:ascii="Times New Roman" w:hAnsi="Times New Roman" w:eastAsia="宋体"/>
                <w:b w:val="0"/>
                <w:sz w:val="18"/>
              </w:rPr>
              <w:t>14%</w:t>
            </w:r>
          </w:p>
        </w:tc>
      </w:tr>
      <w:tr w14:paraId="5BFA2F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81B58F0">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662" w:type="dxa"/>
            <w:tcMar>
              <w:left w:w="70" w:type="dxa"/>
              <w:right w:w="70" w:type="dxa"/>
            </w:tcMar>
            <w:vAlign w:val="center"/>
          </w:tcPr>
          <w:p w14:paraId="0DCA97E4">
            <w:pPr>
              <w:keepNext w:val="0"/>
              <w:spacing w:before="20" w:after="20" w:line="260" w:lineRule="exact"/>
              <w:ind w:left="0" w:leftChars="0" w:right="0" w:rightChars="0" w:firstLine="0" w:firstLineChars="0"/>
              <w:jc w:val="center"/>
            </w:pPr>
            <w:r>
              <w:rPr>
                <w:rFonts w:ascii="Times New Roman" w:hAnsi="Times New Roman" w:eastAsia="宋体"/>
                <w:b w:val="0"/>
                <w:sz w:val="18"/>
              </w:rPr>
              <w:t>2466</w:t>
            </w:r>
          </w:p>
        </w:tc>
        <w:tc>
          <w:tcPr>
            <w:tcW w:w="1662" w:type="dxa"/>
            <w:tcMar>
              <w:left w:w="70" w:type="dxa"/>
              <w:right w:w="70" w:type="dxa"/>
            </w:tcMar>
            <w:vAlign w:val="center"/>
          </w:tcPr>
          <w:p w14:paraId="63F2CC5F">
            <w:pPr>
              <w:keepNext w:val="0"/>
              <w:spacing w:before="20" w:after="20" w:line="260" w:lineRule="exact"/>
              <w:ind w:left="0" w:leftChars="0" w:right="0" w:rightChars="0" w:firstLine="0" w:firstLineChars="0"/>
              <w:jc w:val="center"/>
            </w:pPr>
            <w:r>
              <w:rPr>
                <w:rFonts w:ascii="Times New Roman" w:hAnsi="Times New Roman" w:eastAsia="宋体"/>
                <w:b w:val="0"/>
                <w:sz w:val="18"/>
              </w:rPr>
              <w:t>17262</w:t>
            </w:r>
          </w:p>
        </w:tc>
        <w:tc>
          <w:tcPr>
            <w:tcW w:w="1662" w:type="dxa"/>
            <w:tcMar>
              <w:left w:w="70" w:type="dxa"/>
              <w:right w:w="70" w:type="dxa"/>
            </w:tcMar>
            <w:vAlign w:val="center"/>
          </w:tcPr>
          <w:p w14:paraId="5F941DCB">
            <w:pPr>
              <w:keepNext w:val="0"/>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662" w:type="dxa"/>
            <w:tcMar>
              <w:left w:w="70" w:type="dxa"/>
              <w:right w:w="70" w:type="dxa"/>
            </w:tcMar>
            <w:vAlign w:val="center"/>
          </w:tcPr>
          <w:p w14:paraId="7D57D388">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r w14:paraId="730487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D3398EE">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662" w:type="dxa"/>
            <w:tcMar>
              <w:left w:w="70" w:type="dxa"/>
              <w:right w:w="70" w:type="dxa"/>
            </w:tcMar>
            <w:vAlign w:val="center"/>
          </w:tcPr>
          <w:p w14:paraId="27A25817">
            <w:pPr>
              <w:keepNext w:val="0"/>
              <w:spacing w:before="20" w:after="20" w:line="260" w:lineRule="exact"/>
              <w:ind w:left="0" w:leftChars="0" w:right="0" w:rightChars="0" w:firstLine="0" w:firstLineChars="0"/>
              <w:jc w:val="center"/>
            </w:pPr>
            <w:r>
              <w:rPr>
                <w:rFonts w:ascii="Times New Roman" w:hAnsi="Times New Roman" w:eastAsia="宋体"/>
                <w:b w:val="0"/>
                <w:sz w:val="18"/>
              </w:rPr>
              <w:t>7584</w:t>
            </w:r>
          </w:p>
        </w:tc>
        <w:tc>
          <w:tcPr>
            <w:tcW w:w="1662" w:type="dxa"/>
            <w:tcMar>
              <w:left w:w="70" w:type="dxa"/>
              <w:right w:w="70" w:type="dxa"/>
            </w:tcMar>
            <w:vAlign w:val="center"/>
          </w:tcPr>
          <w:p w14:paraId="6D810A83">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7381CF44">
            <w:pPr>
              <w:keepNext w:val="0"/>
              <w:spacing w:before="20" w:after="20" w:line="260" w:lineRule="exact"/>
              <w:ind w:left="0" w:leftChars="0" w:right="0" w:rightChars="0" w:firstLine="0" w:firstLineChars="0"/>
              <w:jc w:val="center"/>
            </w:pPr>
            <w:r>
              <w:rPr>
                <w:rFonts w:ascii="Times New Roman" w:hAnsi="Times New Roman" w:eastAsia="宋体"/>
                <w:b w:val="0"/>
                <w:sz w:val="18"/>
              </w:rPr>
              <w:t>0.45</w:t>
            </w:r>
          </w:p>
        </w:tc>
        <w:tc>
          <w:tcPr>
            <w:tcW w:w="1662" w:type="dxa"/>
            <w:tcMar>
              <w:left w:w="70" w:type="dxa"/>
              <w:right w:w="70" w:type="dxa"/>
            </w:tcMar>
            <w:vAlign w:val="center"/>
          </w:tcPr>
          <w:p w14:paraId="1D86DBF2">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r>
      <w:tr w14:paraId="6E49C0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2936C2A">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662" w:type="dxa"/>
            <w:tcMar>
              <w:left w:w="70" w:type="dxa"/>
              <w:right w:w="70" w:type="dxa"/>
            </w:tcMar>
            <w:vAlign w:val="center"/>
          </w:tcPr>
          <w:p w14:paraId="6F030B4D">
            <w:pPr>
              <w:keepNext w:val="0"/>
              <w:spacing w:before="20" w:after="20" w:line="260" w:lineRule="exact"/>
              <w:ind w:left="0" w:leftChars="0" w:right="0" w:rightChars="0" w:firstLine="0" w:firstLineChars="0"/>
              <w:jc w:val="center"/>
            </w:pPr>
            <w:r>
              <w:rPr>
                <w:rFonts w:ascii="Times New Roman" w:hAnsi="Times New Roman" w:eastAsia="宋体"/>
                <w:b w:val="0"/>
                <w:sz w:val="18"/>
              </w:rPr>
              <w:t>10704</w:t>
            </w:r>
          </w:p>
        </w:tc>
        <w:tc>
          <w:tcPr>
            <w:tcW w:w="1662" w:type="dxa"/>
            <w:tcMar>
              <w:left w:w="70" w:type="dxa"/>
              <w:right w:w="70" w:type="dxa"/>
            </w:tcMar>
            <w:vAlign w:val="center"/>
          </w:tcPr>
          <w:p w14:paraId="20A966F9">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6A8B2F6F">
            <w:pPr>
              <w:keepNext w:val="0"/>
              <w:spacing w:before="20" w:after="20" w:line="260" w:lineRule="exact"/>
              <w:ind w:left="0" w:leftChars="0" w:right="0" w:rightChars="0" w:firstLine="0" w:firstLineChars="0"/>
              <w:jc w:val="center"/>
            </w:pPr>
            <w:r>
              <w:rPr>
                <w:rFonts w:ascii="Times New Roman" w:hAnsi="Times New Roman" w:eastAsia="宋体"/>
                <w:b w:val="0"/>
                <w:sz w:val="18"/>
              </w:rPr>
              <w:t>0.27</w:t>
            </w:r>
          </w:p>
        </w:tc>
        <w:tc>
          <w:tcPr>
            <w:tcW w:w="1662" w:type="dxa"/>
            <w:tcMar>
              <w:left w:w="70" w:type="dxa"/>
              <w:right w:w="70" w:type="dxa"/>
            </w:tcMar>
            <w:vAlign w:val="center"/>
          </w:tcPr>
          <w:p w14:paraId="06C24E3D">
            <w:pPr>
              <w:keepNext w:val="0"/>
              <w:spacing w:before="20" w:after="20" w:line="260" w:lineRule="exact"/>
              <w:ind w:left="0" w:leftChars="0" w:right="0" w:rightChars="0" w:firstLine="0" w:firstLineChars="0"/>
              <w:jc w:val="center"/>
            </w:pPr>
            <w:r>
              <w:rPr>
                <w:rFonts w:ascii="Times New Roman" w:hAnsi="Times New Roman" w:eastAsia="宋体"/>
                <w:b w:val="0"/>
                <w:sz w:val="18"/>
              </w:rPr>
              <w:t>12%</w:t>
            </w:r>
          </w:p>
        </w:tc>
      </w:tr>
    </w:tbl>
    <w:p w14:paraId="7ACFCACF">
      <w:pPr>
        <w:pStyle w:val="2"/>
        <w:widowControl/>
        <w:spacing w:before="0" w:after="0" w:line="348" w:lineRule="exact"/>
        <w:ind w:firstLine="480"/>
        <w:jc w:val="both"/>
      </w:pPr>
      <w:r>
        <w:rPr>
          <w:rFonts w:ascii="Times New Roman" w:hAnsi="Times New Roman" w:eastAsia="方正仿宋_GBK"/>
          <w:b w:val="0"/>
          <w:sz w:val="24"/>
        </w:rPr>
        <w:t>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14:paraId="2C0198D6">
      <w:pPr>
        <w:pStyle w:val="2"/>
        <w:widowControl/>
        <w:spacing w:before="0" w:after="0" w:line="348" w:lineRule="exact"/>
        <w:ind w:firstLine="480"/>
        <w:jc w:val="both"/>
      </w:pPr>
      <w:r>
        <w:rPr>
          <w:rFonts w:ascii="Times New Roman" w:hAnsi="Times New Roman" w:eastAsia="方正仿宋_GBK"/>
          <w:b w:val="0"/>
          <w:sz w:val="24"/>
        </w:rPr>
        <w:t>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14:paraId="34243333">
      <w:pPr>
        <w:pStyle w:val="2"/>
        <w:widowControl/>
        <w:spacing w:before="0" w:after="0" w:line="348" w:lineRule="exact"/>
        <w:ind w:firstLine="480"/>
        <w:jc w:val="both"/>
      </w:pPr>
      <w:r>
        <w:rPr>
          <w:rFonts w:ascii="Times New Roman" w:hAnsi="Times New Roman" w:eastAsia="方正仿宋_GBK"/>
          <w:b w:val="0"/>
          <w:sz w:val="24"/>
        </w:rPr>
        <w:t>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14:paraId="34BD8ABF">
      <w:pPr>
        <w:pStyle w:val="2"/>
        <w:widowControl/>
        <w:spacing w:before="0" w:after="0" w:line="348" w:lineRule="exact"/>
        <w:ind w:firstLine="480"/>
        <w:jc w:val="both"/>
      </w:pPr>
      <w:r>
        <w:rPr>
          <w:rFonts w:ascii="Times New Roman" w:hAnsi="Times New Roman" w:eastAsia="方正仿宋_GBK"/>
          <w:b w:val="0"/>
          <w:sz w:val="24"/>
        </w:rPr>
        <w:t>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14:paraId="4E594ECB">
      <w:pPr>
        <w:pStyle w:val="2"/>
        <w:widowControl/>
        <w:spacing w:before="0" w:after="0" w:line="348" w:lineRule="exact"/>
        <w:ind w:firstLine="480"/>
        <w:jc w:val="both"/>
      </w:pPr>
      <w:r>
        <w:rPr>
          <w:rFonts w:ascii="Times New Roman" w:hAnsi="Times New Roman" w:eastAsia="方正仿宋_GBK"/>
          <w:b w:val="0"/>
          <w:sz w:val="24"/>
        </w:rPr>
        <w:t>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14:paraId="1786BCD1">
      <w:pPr>
        <w:pStyle w:val="2"/>
        <w:widowControl/>
        <w:spacing w:before="0" w:after="0" w:line="348" w:lineRule="exact"/>
        <w:ind w:firstLine="480"/>
        <w:jc w:val="both"/>
      </w:pPr>
      <w:r>
        <w:rPr>
          <w:rFonts w:ascii="Times New Roman" w:hAnsi="Times New Roman" w:eastAsia="方正仿宋_GBK"/>
          <w:b w:val="0"/>
          <w:sz w:val="24"/>
        </w:rPr>
        <w:t>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14:paraId="5FA243E0">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045075"/>
            <wp:effectExtent l="0" t="0" r="0" b="0"/>
            <wp:docPr id="2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a:picLocks noChangeAspect="1" noChangeArrowheads="1"/>
                    </pic:cNvPicPr>
                  </pic:nvPicPr>
                  <pic:blipFill>
                    <a:blip r:embed="rId24"/>
                    <a:stretch>
                      <a:fillRect/>
                    </a:stretch>
                  </pic:blipFill>
                  <pic:spPr>
                    <a:xfrm>
                      <a:off x="0" y="0"/>
                      <a:ext cx="5120640" cy="5045336"/>
                    </a:xfrm>
                    <a:prstGeom prst="rect">
                      <a:avLst/>
                    </a:prstGeom>
                    <a:noFill/>
                    <a:ln w="9525">
                      <a:noFill/>
                    </a:ln>
                  </pic:spPr>
                </pic:pic>
              </a:graphicData>
            </a:graphic>
          </wp:inline>
        </w:drawing>
      </w:r>
    </w:p>
    <w:p w14:paraId="1AF9AE4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图3-11 十三项候选指标与容载比的组内相关</w:t>
      </w:r>
    </w:p>
    <w:p w14:paraId="2A0D2D84">
      <w:pPr>
        <w:pStyle w:val="5"/>
        <w:keepNext/>
        <w:numPr>
          <w:ilvl w:val="0"/>
          <w:numId w:val="0"/>
        </w:numPr>
        <w:spacing w:before="160" w:after="120" w:line="390" w:lineRule="exact"/>
        <w:ind w:firstLine="0"/>
      </w:pPr>
      <w:bookmarkStart w:id="117" w:name="高相关指标归并与代表参数"/>
      <w:r>
        <w:rPr>
          <w:rFonts w:ascii="Times New Roman" w:hAnsi="Times New Roman" w:eastAsia="方正仿宋_GBK"/>
          <w:b/>
          <w:sz w:val="26"/>
        </w:rPr>
        <w:t>3.5.4 高相关指标归并与代表参数</w:t>
      </w:r>
      <w:bookmarkEnd w:id="117"/>
    </w:p>
    <w:p w14:paraId="51D4580E">
      <w:pPr>
        <w:pStyle w:val="115"/>
        <w:keepNext/>
        <w:spacing w:before="120" w:after="80" w:line="280" w:lineRule="exact"/>
        <w:ind w:firstLine="0"/>
        <w:jc w:val="center"/>
      </w:pPr>
      <w:r>
        <w:rPr>
          <w:rFonts w:ascii="Times New Roman" w:hAnsi="Times New Roman" w:eastAsia="宋体"/>
          <w:b w:val="0"/>
          <w:sz w:val="21"/>
        </w:rPr>
        <w:t>表3-13 十三项指标的Pearson相关矩阵（1）</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B8468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039" w:type="dxa"/>
            <w:tcMar>
              <w:left w:w="70" w:type="dxa"/>
              <w:right w:w="70" w:type="dxa"/>
            </w:tcMar>
            <w:vAlign w:val="center"/>
          </w:tcPr>
          <w:p w14:paraId="2B413471">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039" w:type="dxa"/>
            <w:tcMar>
              <w:left w:w="70" w:type="dxa"/>
              <w:right w:w="70" w:type="dxa"/>
            </w:tcMar>
            <w:vAlign w:val="center"/>
          </w:tcPr>
          <w:p w14:paraId="5333DEDF">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w:t>
            </w:r>
          </w:p>
        </w:tc>
        <w:tc>
          <w:tcPr>
            <w:tcW w:w="1039" w:type="dxa"/>
            <w:tcMar>
              <w:left w:w="70" w:type="dxa"/>
              <w:right w:w="70" w:type="dxa"/>
            </w:tcMar>
            <w:vAlign w:val="center"/>
          </w:tcPr>
          <w:p w14:paraId="7DE79651">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w:t>
            </w:r>
          </w:p>
        </w:tc>
        <w:tc>
          <w:tcPr>
            <w:tcW w:w="1039" w:type="dxa"/>
            <w:tcMar>
              <w:left w:w="70" w:type="dxa"/>
              <w:right w:w="70" w:type="dxa"/>
            </w:tcMar>
            <w:vAlign w:val="center"/>
          </w:tcPr>
          <w:p w14:paraId="2F559EB1">
            <w:pPr>
              <w:keepNext/>
              <w:spacing w:before="20" w:after="20" w:line="260" w:lineRule="exact"/>
              <w:ind w:left="0" w:leftChars="0" w:right="0" w:rightChars="0" w:firstLine="0" w:firstLineChars="0"/>
              <w:jc w:val="center"/>
            </w:pPr>
            <w:r>
              <w:rPr>
                <w:rFonts w:ascii="Times New Roman" w:hAnsi="Times New Roman" w:eastAsia="宋体"/>
                <w:b/>
                <w:sz w:val="18"/>
              </w:rPr>
              <w:t>站级负载率最大值</w:t>
            </w:r>
          </w:p>
        </w:tc>
        <w:tc>
          <w:tcPr>
            <w:tcW w:w="1039" w:type="dxa"/>
            <w:tcMar>
              <w:left w:w="70" w:type="dxa"/>
              <w:right w:w="70" w:type="dxa"/>
            </w:tcMar>
            <w:vAlign w:val="center"/>
          </w:tcPr>
          <w:p w14:paraId="0B7DA50E">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w:t>
            </w:r>
          </w:p>
        </w:tc>
        <w:tc>
          <w:tcPr>
            <w:tcW w:w="1039" w:type="dxa"/>
            <w:tcMar>
              <w:left w:w="70" w:type="dxa"/>
              <w:right w:w="70" w:type="dxa"/>
            </w:tcMar>
            <w:vAlign w:val="center"/>
          </w:tcPr>
          <w:p w14:paraId="4591D390">
            <w:pPr>
              <w:keepNext/>
              <w:spacing w:before="20" w:after="20" w:line="260" w:lineRule="exact"/>
              <w:ind w:left="0" w:leftChars="0" w:right="0" w:rightChars="0" w:firstLine="0" w:firstLineChars="0"/>
              <w:jc w:val="center"/>
            </w:pPr>
            <w:r>
              <w:rPr>
                <w:rFonts w:ascii="Times New Roman" w:hAnsi="Times New Roman" w:eastAsia="宋体"/>
                <w:b/>
                <w:sz w:val="18"/>
              </w:rPr>
              <w:t>最大反向净负荷</w:t>
            </w:r>
          </w:p>
        </w:tc>
        <w:tc>
          <w:tcPr>
            <w:tcW w:w="1039" w:type="dxa"/>
            <w:tcMar>
              <w:left w:w="70" w:type="dxa"/>
              <w:right w:w="70" w:type="dxa"/>
            </w:tcMar>
            <w:vAlign w:val="center"/>
          </w:tcPr>
          <w:p w14:paraId="37D35DF5">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039" w:type="dxa"/>
            <w:tcMar>
              <w:left w:w="70" w:type="dxa"/>
              <w:right w:w="70" w:type="dxa"/>
            </w:tcMar>
            <w:vAlign w:val="center"/>
          </w:tcPr>
          <w:p w14:paraId="136BDDBB">
            <w:pPr>
              <w:keepNext/>
              <w:spacing w:before="20" w:after="20" w:line="260" w:lineRule="exact"/>
              <w:ind w:left="0" w:leftChars="0" w:right="0" w:rightChars="0" w:firstLine="0" w:firstLineChars="0"/>
              <w:jc w:val="center"/>
            </w:pPr>
            <w:r>
              <w:rPr>
                <w:rFonts w:ascii="Times New Roman" w:hAnsi="Times New Roman" w:eastAsia="宋体"/>
                <w:b/>
                <w:sz w:val="18"/>
              </w:rPr>
              <w:t>95%峰值持续时间</w:t>
            </w:r>
          </w:p>
        </w:tc>
      </w:tr>
      <w:tr w14:paraId="0FC059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2B253E2F">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039" w:type="dxa"/>
            <w:tcMar>
              <w:left w:w="70" w:type="dxa"/>
              <w:right w:w="70" w:type="dxa"/>
            </w:tcMar>
            <w:vAlign w:val="center"/>
          </w:tcPr>
          <w:p w14:paraId="33A9C7C4">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0F9DF61">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039" w:type="dxa"/>
            <w:tcMar>
              <w:left w:w="70" w:type="dxa"/>
              <w:right w:w="70" w:type="dxa"/>
            </w:tcMar>
            <w:vAlign w:val="center"/>
          </w:tcPr>
          <w:p w14:paraId="5E46CA84">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039" w:type="dxa"/>
            <w:tcMar>
              <w:left w:w="70" w:type="dxa"/>
              <w:right w:w="70" w:type="dxa"/>
            </w:tcMar>
            <w:vAlign w:val="center"/>
          </w:tcPr>
          <w:p w14:paraId="5B33808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4ADA00E">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039" w:type="dxa"/>
            <w:tcMar>
              <w:left w:w="70" w:type="dxa"/>
              <w:right w:w="70" w:type="dxa"/>
            </w:tcMar>
            <w:vAlign w:val="center"/>
          </w:tcPr>
          <w:p w14:paraId="2FEFA2E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59D35D4">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3D20EC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0B57EE41">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039" w:type="dxa"/>
            <w:tcMar>
              <w:left w:w="70" w:type="dxa"/>
              <w:right w:w="70" w:type="dxa"/>
            </w:tcMar>
            <w:vAlign w:val="center"/>
          </w:tcPr>
          <w:p w14:paraId="4C873E8F">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039" w:type="dxa"/>
            <w:tcMar>
              <w:left w:w="70" w:type="dxa"/>
              <w:right w:w="70" w:type="dxa"/>
            </w:tcMar>
            <w:vAlign w:val="center"/>
          </w:tcPr>
          <w:p w14:paraId="3CD49EC5">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8F1316D">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039" w:type="dxa"/>
            <w:tcMar>
              <w:left w:w="70" w:type="dxa"/>
              <w:right w:w="70" w:type="dxa"/>
            </w:tcMar>
            <w:vAlign w:val="center"/>
          </w:tcPr>
          <w:p w14:paraId="51003B5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CD2A9A5">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1039" w:type="dxa"/>
            <w:tcMar>
              <w:left w:w="70" w:type="dxa"/>
              <w:right w:w="70" w:type="dxa"/>
            </w:tcMar>
            <w:vAlign w:val="center"/>
          </w:tcPr>
          <w:p w14:paraId="55E59B8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A47908E">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309840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34A4F6F3">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039" w:type="dxa"/>
            <w:tcMar>
              <w:left w:w="70" w:type="dxa"/>
              <w:right w:w="70" w:type="dxa"/>
            </w:tcMar>
            <w:vAlign w:val="center"/>
          </w:tcPr>
          <w:p w14:paraId="601C6776">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039" w:type="dxa"/>
            <w:tcMar>
              <w:left w:w="70" w:type="dxa"/>
              <w:right w:w="70" w:type="dxa"/>
            </w:tcMar>
            <w:vAlign w:val="center"/>
          </w:tcPr>
          <w:p w14:paraId="3B0C6B0D">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039" w:type="dxa"/>
            <w:tcMar>
              <w:left w:w="70" w:type="dxa"/>
              <w:right w:w="70" w:type="dxa"/>
            </w:tcMar>
            <w:vAlign w:val="center"/>
          </w:tcPr>
          <w:p w14:paraId="3D7FA04A">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107B1BC2">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6AD6BDB7">
            <w:pPr>
              <w:keepNext w:val="0"/>
              <w:spacing w:before="20" w:after="20" w:line="260" w:lineRule="exact"/>
              <w:ind w:left="0" w:leftChars="0" w:right="0" w:rightChars="0" w:firstLine="0" w:firstLineChars="0"/>
              <w:jc w:val="center"/>
            </w:pPr>
            <w:r>
              <w:rPr>
                <w:rFonts w:ascii="Times New Roman" w:hAnsi="Times New Roman" w:eastAsia="宋体"/>
                <w:b w:val="0"/>
                <w:sz w:val="18"/>
              </w:rPr>
              <w:t>0.94</w:t>
            </w:r>
          </w:p>
        </w:tc>
        <w:tc>
          <w:tcPr>
            <w:tcW w:w="1039" w:type="dxa"/>
            <w:tcMar>
              <w:left w:w="70" w:type="dxa"/>
              <w:right w:w="70" w:type="dxa"/>
            </w:tcMar>
            <w:vAlign w:val="center"/>
          </w:tcPr>
          <w:p w14:paraId="0142819F">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2B7C2682">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4CFF7C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4C1D8066">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039" w:type="dxa"/>
            <w:tcMar>
              <w:left w:w="70" w:type="dxa"/>
              <w:right w:w="70" w:type="dxa"/>
            </w:tcMar>
            <w:vAlign w:val="center"/>
          </w:tcPr>
          <w:p w14:paraId="3CA575F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653A0A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DA0550C">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02A4ADE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592381A1">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0E37C21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4AD1580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7C721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696DA762">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039" w:type="dxa"/>
            <w:tcMar>
              <w:left w:w="70" w:type="dxa"/>
              <w:right w:w="70" w:type="dxa"/>
            </w:tcMar>
            <w:vAlign w:val="center"/>
          </w:tcPr>
          <w:p w14:paraId="55432CE0">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039" w:type="dxa"/>
            <w:tcMar>
              <w:left w:w="70" w:type="dxa"/>
              <w:right w:w="70" w:type="dxa"/>
            </w:tcMar>
            <w:vAlign w:val="center"/>
          </w:tcPr>
          <w:p w14:paraId="051BB69F">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1039" w:type="dxa"/>
            <w:tcMar>
              <w:left w:w="70" w:type="dxa"/>
              <w:right w:w="70" w:type="dxa"/>
            </w:tcMar>
            <w:vAlign w:val="center"/>
          </w:tcPr>
          <w:p w14:paraId="69BE7376">
            <w:pPr>
              <w:keepNext w:val="0"/>
              <w:spacing w:before="20" w:after="20" w:line="260" w:lineRule="exact"/>
              <w:ind w:left="0" w:leftChars="0" w:right="0" w:rightChars="0" w:firstLine="0" w:firstLineChars="0"/>
              <w:jc w:val="center"/>
            </w:pPr>
            <w:r>
              <w:rPr>
                <w:rFonts w:ascii="Times New Roman" w:hAnsi="Times New Roman" w:eastAsia="宋体"/>
                <w:b w:val="0"/>
                <w:sz w:val="18"/>
              </w:rPr>
              <w:t>0.94</w:t>
            </w:r>
          </w:p>
        </w:tc>
        <w:tc>
          <w:tcPr>
            <w:tcW w:w="1039" w:type="dxa"/>
            <w:tcMar>
              <w:left w:w="70" w:type="dxa"/>
              <w:right w:w="70" w:type="dxa"/>
            </w:tcMar>
            <w:vAlign w:val="center"/>
          </w:tcPr>
          <w:p w14:paraId="37A10844">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37A8C61B">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8B5A627">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0BD63AEA">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157EF9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4E29E0B">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039" w:type="dxa"/>
            <w:tcMar>
              <w:left w:w="70" w:type="dxa"/>
              <w:right w:w="70" w:type="dxa"/>
            </w:tcMar>
            <w:vAlign w:val="center"/>
          </w:tcPr>
          <w:p w14:paraId="563FFE3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3D3B5B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9868EB9">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3056A40E">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D0FE761">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3F33E20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56D567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0679E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1E89AD13">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039" w:type="dxa"/>
            <w:tcMar>
              <w:left w:w="70" w:type="dxa"/>
              <w:right w:w="70" w:type="dxa"/>
            </w:tcMar>
            <w:vAlign w:val="center"/>
          </w:tcPr>
          <w:p w14:paraId="2C96D948">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5DDC448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50959262">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F90822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B70E92F">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C41385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1F700D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3FB6EF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66212AFB">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039" w:type="dxa"/>
            <w:tcMar>
              <w:left w:w="70" w:type="dxa"/>
              <w:right w:w="70" w:type="dxa"/>
            </w:tcMar>
            <w:vAlign w:val="center"/>
          </w:tcPr>
          <w:p w14:paraId="7EEC93D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F58828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053CA0C">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48DFF82B">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3A77319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3E45DD64">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6F2FB01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B0009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09552255">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039" w:type="dxa"/>
            <w:tcMar>
              <w:left w:w="70" w:type="dxa"/>
              <w:right w:w="70" w:type="dxa"/>
            </w:tcMar>
            <w:vAlign w:val="center"/>
          </w:tcPr>
          <w:p w14:paraId="2B60D64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80B1E8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26A3A4D">
            <w:pPr>
              <w:keepNext w:val="0"/>
              <w:spacing w:before="20" w:after="20" w:line="260" w:lineRule="exact"/>
              <w:ind w:left="0" w:leftChars="0" w:right="0" w:rightChars="0" w:firstLine="0" w:firstLineChars="0"/>
              <w:jc w:val="center"/>
            </w:pPr>
            <w:r>
              <w:rPr>
                <w:rFonts w:ascii="Times New Roman" w:hAnsi="Times New Roman" w:eastAsia="宋体"/>
                <w:b w:val="0"/>
                <w:sz w:val="18"/>
              </w:rPr>
              <w:t>0.06</w:t>
            </w:r>
          </w:p>
        </w:tc>
        <w:tc>
          <w:tcPr>
            <w:tcW w:w="1039" w:type="dxa"/>
            <w:tcMar>
              <w:left w:w="70" w:type="dxa"/>
              <w:right w:w="70" w:type="dxa"/>
            </w:tcMar>
            <w:vAlign w:val="center"/>
          </w:tcPr>
          <w:p w14:paraId="49F8B547">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039" w:type="dxa"/>
            <w:tcMar>
              <w:left w:w="70" w:type="dxa"/>
              <w:right w:w="70" w:type="dxa"/>
            </w:tcMar>
            <w:vAlign w:val="center"/>
          </w:tcPr>
          <w:p w14:paraId="305E01DC">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2971DA8D">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039" w:type="dxa"/>
            <w:tcMar>
              <w:left w:w="70" w:type="dxa"/>
              <w:right w:w="70" w:type="dxa"/>
            </w:tcMar>
            <w:vAlign w:val="center"/>
          </w:tcPr>
          <w:p w14:paraId="5D4CC2F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4EAB0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4D6F791E">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039" w:type="dxa"/>
            <w:tcMar>
              <w:left w:w="70" w:type="dxa"/>
              <w:right w:w="70" w:type="dxa"/>
            </w:tcMar>
            <w:vAlign w:val="center"/>
          </w:tcPr>
          <w:p w14:paraId="598B76A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DBCB11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A2A1AEE">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5BF96672">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36726FCF">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7C258C56">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09637A8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3A9962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35151B74">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039" w:type="dxa"/>
            <w:tcMar>
              <w:left w:w="70" w:type="dxa"/>
              <w:right w:w="70" w:type="dxa"/>
            </w:tcMar>
            <w:vAlign w:val="center"/>
          </w:tcPr>
          <w:p w14:paraId="687F7FA2">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51149173">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5416A5E5">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7F7325F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2EC6C84">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35E423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CD218D9">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r>
      <w:tr w14:paraId="791744E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8E82EC9">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039" w:type="dxa"/>
            <w:tcMar>
              <w:left w:w="70" w:type="dxa"/>
              <w:right w:w="70" w:type="dxa"/>
            </w:tcMar>
            <w:vAlign w:val="center"/>
          </w:tcPr>
          <w:p w14:paraId="4719C1D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D7D86C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5F60B2F">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516948B4">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039" w:type="dxa"/>
            <w:tcMar>
              <w:left w:w="70" w:type="dxa"/>
              <w:right w:w="70" w:type="dxa"/>
            </w:tcMar>
            <w:vAlign w:val="center"/>
          </w:tcPr>
          <w:p w14:paraId="4A3FC0EE">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4EA4718F">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039" w:type="dxa"/>
            <w:tcMar>
              <w:left w:w="70" w:type="dxa"/>
              <w:right w:w="70" w:type="dxa"/>
            </w:tcMar>
            <w:vAlign w:val="center"/>
          </w:tcPr>
          <w:p w14:paraId="1438022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422423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FC06515">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039" w:type="dxa"/>
            <w:tcMar>
              <w:left w:w="70" w:type="dxa"/>
              <w:right w:w="70" w:type="dxa"/>
            </w:tcMar>
            <w:vAlign w:val="center"/>
          </w:tcPr>
          <w:p w14:paraId="2F749BB6">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3E4473E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B982B1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805738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1A55AA8">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FB3197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3ED7932">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08AE7D70">
      <w:pPr>
        <w:pStyle w:val="2"/>
        <w:keepNext/>
        <w:spacing w:before="120" w:after="80" w:line="280" w:lineRule="exact"/>
        <w:ind w:firstLine="0"/>
        <w:jc w:val="center"/>
      </w:pPr>
      <w:r>
        <w:rPr>
          <w:rFonts w:ascii="Times New Roman" w:hAnsi="Times New Roman" w:eastAsia="宋体"/>
          <w:b w:val="0"/>
          <w:sz w:val="21"/>
        </w:rPr>
        <w:t>表3-14 十三项指标的Pearson相关矩阵（2）</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930"/>
        <w:gridCol w:w="1054"/>
        <w:gridCol w:w="868"/>
        <w:gridCol w:w="1551"/>
        <w:gridCol w:w="1489"/>
        <w:gridCol w:w="992"/>
        <w:gridCol w:w="1427"/>
      </w:tblGrid>
      <w:tr w14:paraId="4A9528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930" w:type="dxa"/>
            <w:tcMar>
              <w:left w:w="70" w:type="dxa"/>
              <w:right w:w="70" w:type="dxa"/>
            </w:tcMar>
            <w:vAlign w:val="center"/>
          </w:tcPr>
          <w:p w14:paraId="36C50D80">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054" w:type="dxa"/>
            <w:tcMar>
              <w:left w:w="70" w:type="dxa"/>
              <w:right w:w="70" w:type="dxa"/>
            </w:tcMar>
            <w:vAlign w:val="center"/>
          </w:tcPr>
          <w:p w14:paraId="5501FEF9">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c>
          <w:tcPr>
            <w:tcW w:w="868" w:type="dxa"/>
            <w:tcMar>
              <w:left w:w="70" w:type="dxa"/>
              <w:right w:w="70" w:type="dxa"/>
            </w:tcMar>
            <w:vAlign w:val="center"/>
          </w:tcPr>
          <w:p w14:paraId="7997E829">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551" w:type="dxa"/>
            <w:tcMar>
              <w:left w:w="70" w:type="dxa"/>
              <w:right w:w="70" w:type="dxa"/>
            </w:tcMar>
            <w:vAlign w:val="center"/>
          </w:tcPr>
          <w:p w14:paraId="48C822D8">
            <w:pPr>
              <w:keepNext/>
              <w:spacing w:before="20" w:after="20" w:line="260" w:lineRule="exact"/>
              <w:ind w:left="0" w:leftChars="0" w:right="0" w:rightChars="0" w:firstLine="0" w:firstLineChars="0"/>
              <w:jc w:val="center"/>
            </w:pPr>
            <w:r>
              <w:rPr>
                <w:rFonts w:ascii="Times New Roman" w:hAnsi="Times New Roman" w:eastAsia="宋体"/>
                <w:b/>
                <w:sz w:val="18"/>
              </w:rPr>
              <w:t>主变与线路单位功率投资比</w:t>
            </w:r>
          </w:p>
        </w:tc>
        <w:tc>
          <w:tcPr>
            <w:tcW w:w="1489" w:type="dxa"/>
            <w:tcMar>
              <w:left w:w="70" w:type="dxa"/>
              <w:right w:w="70" w:type="dxa"/>
            </w:tcMar>
            <w:vAlign w:val="center"/>
          </w:tcPr>
          <w:p w14:paraId="4D57EEE5">
            <w:pPr>
              <w:keepNext/>
              <w:spacing w:before="20" w:after="20" w:line="260" w:lineRule="exact"/>
              <w:ind w:left="0" w:leftChars="0" w:right="0" w:rightChars="0" w:firstLine="0" w:firstLineChars="0"/>
              <w:jc w:val="center"/>
            </w:pPr>
            <w:r>
              <w:rPr>
                <w:rFonts w:ascii="Times New Roman" w:hAnsi="Times New Roman" w:eastAsia="宋体"/>
                <w:b/>
                <w:sz w:val="18"/>
              </w:rPr>
              <w:t>主变与储能单位功率投资比</w:t>
            </w:r>
          </w:p>
        </w:tc>
        <w:tc>
          <w:tcPr>
            <w:tcW w:w="992" w:type="dxa"/>
            <w:tcMar>
              <w:left w:w="70" w:type="dxa"/>
              <w:right w:w="70" w:type="dxa"/>
            </w:tcMar>
            <w:vAlign w:val="center"/>
          </w:tcPr>
          <w:p w14:paraId="11E647B9">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427" w:type="dxa"/>
            <w:tcMar>
              <w:left w:w="70" w:type="dxa"/>
              <w:right w:w="70" w:type="dxa"/>
            </w:tcMar>
            <w:vAlign w:val="center"/>
          </w:tcPr>
          <w:p w14:paraId="03382B2D">
            <w:pPr>
              <w:keepNext/>
              <w:spacing w:before="20" w:after="20" w:line="260" w:lineRule="exact"/>
              <w:ind w:left="0" w:leftChars="0" w:right="0" w:rightChars="0" w:firstLine="0" w:firstLineChars="0"/>
              <w:jc w:val="center"/>
            </w:pPr>
            <w:r>
              <w:rPr>
                <w:rFonts w:ascii="Times New Roman" w:hAnsi="Times New Roman" w:eastAsia="宋体"/>
                <w:b/>
                <w:sz w:val="18"/>
              </w:rPr>
              <w:t>储能支撑持续时间</w:t>
            </w:r>
          </w:p>
        </w:tc>
      </w:tr>
      <w:tr w14:paraId="090BB8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37A6394F">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054" w:type="dxa"/>
            <w:tcMar>
              <w:left w:w="70" w:type="dxa"/>
              <w:right w:w="70" w:type="dxa"/>
            </w:tcMar>
            <w:vAlign w:val="center"/>
          </w:tcPr>
          <w:p w14:paraId="4DCA129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364898A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2AE56BB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6376C132">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992" w:type="dxa"/>
            <w:tcMar>
              <w:left w:w="70" w:type="dxa"/>
              <w:right w:w="70" w:type="dxa"/>
            </w:tcMar>
            <w:vAlign w:val="center"/>
          </w:tcPr>
          <w:p w14:paraId="35106E3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2BD49CE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593BA7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1AEE7483">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054" w:type="dxa"/>
            <w:tcMar>
              <w:left w:w="70" w:type="dxa"/>
              <w:right w:w="70" w:type="dxa"/>
            </w:tcMar>
            <w:vAlign w:val="center"/>
          </w:tcPr>
          <w:p w14:paraId="17AF837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3A2C5E9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36562B1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7368BC37">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992" w:type="dxa"/>
            <w:tcMar>
              <w:left w:w="70" w:type="dxa"/>
              <w:right w:w="70" w:type="dxa"/>
            </w:tcMar>
            <w:vAlign w:val="center"/>
          </w:tcPr>
          <w:p w14:paraId="2884623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7AE74C00">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7867AF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D980E5D">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054" w:type="dxa"/>
            <w:tcMar>
              <w:left w:w="70" w:type="dxa"/>
              <w:right w:w="70" w:type="dxa"/>
            </w:tcMar>
            <w:vAlign w:val="center"/>
          </w:tcPr>
          <w:p w14:paraId="183CC2B3">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868" w:type="dxa"/>
            <w:tcMar>
              <w:left w:w="70" w:type="dxa"/>
              <w:right w:w="70" w:type="dxa"/>
            </w:tcMar>
            <w:vAlign w:val="center"/>
          </w:tcPr>
          <w:p w14:paraId="3141F06D">
            <w:pPr>
              <w:keepNext w:val="0"/>
              <w:spacing w:before="20" w:after="20" w:line="260" w:lineRule="exact"/>
              <w:ind w:left="0" w:leftChars="0" w:right="0" w:rightChars="0" w:firstLine="0" w:firstLineChars="0"/>
              <w:jc w:val="center"/>
            </w:pPr>
            <w:r>
              <w:rPr>
                <w:rFonts w:ascii="Times New Roman" w:hAnsi="Times New Roman" w:eastAsia="宋体"/>
                <w:b w:val="0"/>
                <w:sz w:val="18"/>
              </w:rPr>
              <w:t>0.06</w:t>
            </w:r>
          </w:p>
        </w:tc>
        <w:tc>
          <w:tcPr>
            <w:tcW w:w="1551" w:type="dxa"/>
            <w:tcMar>
              <w:left w:w="70" w:type="dxa"/>
              <w:right w:w="70" w:type="dxa"/>
            </w:tcMar>
            <w:vAlign w:val="center"/>
          </w:tcPr>
          <w:p w14:paraId="4A10F9E2">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489" w:type="dxa"/>
            <w:tcMar>
              <w:left w:w="70" w:type="dxa"/>
              <w:right w:w="70" w:type="dxa"/>
            </w:tcMar>
            <w:vAlign w:val="center"/>
          </w:tcPr>
          <w:p w14:paraId="78703FEC">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992" w:type="dxa"/>
            <w:tcMar>
              <w:left w:w="70" w:type="dxa"/>
              <w:right w:w="70" w:type="dxa"/>
            </w:tcMar>
            <w:vAlign w:val="center"/>
          </w:tcPr>
          <w:p w14:paraId="53EB43E7">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427" w:type="dxa"/>
            <w:tcMar>
              <w:left w:w="70" w:type="dxa"/>
              <w:right w:w="70" w:type="dxa"/>
            </w:tcMar>
            <w:vAlign w:val="center"/>
          </w:tcPr>
          <w:p w14:paraId="6B0668D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613E03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300B42BA">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054" w:type="dxa"/>
            <w:tcMar>
              <w:left w:w="70" w:type="dxa"/>
              <w:right w:w="70" w:type="dxa"/>
            </w:tcMar>
            <w:vAlign w:val="center"/>
          </w:tcPr>
          <w:p w14:paraId="5BB297A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868" w:type="dxa"/>
            <w:tcMar>
              <w:left w:w="70" w:type="dxa"/>
              <w:right w:w="70" w:type="dxa"/>
            </w:tcMar>
            <w:vAlign w:val="center"/>
          </w:tcPr>
          <w:p w14:paraId="5E2DC58D">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551" w:type="dxa"/>
            <w:tcMar>
              <w:left w:w="70" w:type="dxa"/>
              <w:right w:w="70" w:type="dxa"/>
            </w:tcMar>
            <w:vAlign w:val="center"/>
          </w:tcPr>
          <w:p w14:paraId="47739E31">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489" w:type="dxa"/>
            <w:tcMar>
              <w:left w:w="70" w:type="dxa"/>
              <w:right w:w="70" w:type="dxa"/>
            </w:tcMar>
            <w:vAlign w:val="center"/>
          </w:tcPr>
          <w:p w14:paraId="74364D4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1219F27E">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427" w:type="dxa"/>
            <w:tcMar>
              <w:left w:w="70" w:type="dxa"/>
              <w:right w:w="70" w:type="dxa"/>
            </w:tcMar>
            <w:vAlign w:val="center"/>
          </w:tcPr>
          <w:p w14:paraId="1DBE286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7F5354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6B08C7B6">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054" w:type="dxa"/>
            <w:tcMar>
              <w:left w:w="70" w:type="dxa"/>
              <w:right w:w="70" w:type="dxa"/>
            </w:tcMar>
            <w:vAlign w:val="center"/>
          </w:tcPr>
          <w:p w14:paraId="2A37CBC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3BDE68F1">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551" w:type="dxa"/>
            <w:tcMar>
              <w:left w:w="70" w:type="dxa"/>
              <w:right w:w="70" w:type="dxa"/>
            </w:tcMar>
            <w:vAlign w:val="center"/>
          </w:tcPr>
          <w:p w14:paraId="1AB84D54">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89" w:type="dxa"/>
            <w:tcMar>
              <w:left w:w="70" w:type="dxa"/>
              <w:right w:w="70" w:type="dxa"/>
            </w:tcMar>
            <w:vAlign w:val="center"/>
          </w:tcPr>
          <w:p w14:paraId="0F2E6EED">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992" w:type="dxa"/>
            <w:tcMar>
              <w:left w:w="70" w:type="dxa"/>
              <w:right w:w="70" w:type="dxa"/>
            </w:tcMar>
            <w:vAlign w:val="center"/>
          </w:tcPr>
          <w:p w14:paraId="0FEE56C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27" w:type="dxa"/>
            <w:tcMar>
              <w:left w:w="70" w:type="dxa"/>
              <w:right w:w="70" w:type="dxa"/>
            </w:tcMar>
            <w:vAlign w:val="center"/>
          </w:tcPr>
          <w:p w14:paraId="620FC621">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54D590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1F9C118">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054" w:type="dxa"/>
            <w:tcMar>
              <w:left w:w="70" w:type="dxa"/>
              <w:right w:w="70" w:type="dxa"/>
            </w:tcMar>
            <w:vAlign w:val="center"/>
          </w:tcPr>
          <w:p w14:paraId="5CED46B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868" w:type="dxa"/>
            <w:tcMar>
              <w:left w:w="70" w:type="dxa"/>
              <w:right w:w="70" w:type="dxa"/>
            </w:tcMar>
            <w:vAlign w:val="center"/>
          </w:tcPr>
          <w:p w14:paraId="28D5E653">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551" w:type="dxa"/>
            <w:tcMar>
              <w:left w:w="70" w:type="dxa"/>
              <w:right w:w="70" w:type="dxa"/>
            </w:tcMar>
            <w:vAlign w:val="center"/>
          </w:tcPr>
          <w:p w14:paraId="54AEA03C">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489" w:type="dxa"/>
            <w:tcMar>
              <w:left w:w="70" w:type="dxa"/>
              <w:right w:w="70" w:type="dxa"/>
            </w:tcMar>
            <w:vAlign w:val="center"/>
          </w:tcPr>
          <w:p w14:paraId="24F8219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59D749D2">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427" w:type="dxa"/>
            <w:tcMar>
              <w:left w:w="70" w:type="dxa"/>
              <w:right w:w="70" w:type="dxa"/>
            </w:tcMar>
            <w:vAlign w:val="center"/>
          </w:tcPr>
          <w:p w14:paraId="336C39D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EBCE5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3506DA5">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054" w:type="dxa"/>
            <w:tcMar>
              <w:left w:w="70" w:type="dxa"/>
              <w:right w:w="70" w:type="dxa"/>
            </w:tcMar>
            <w:vAlign w:val="center"/>
          </w:tcPr>
          <w:p w14:paraId="5E1E430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1E57DBC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6C5ECDC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1B20B9F3">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c>
          <w:tcPr>
            <w:tcW w:w="992" w:type="dxa"/>
            <w:tcMar>
              <w:left w:w="70" w:type="dxa"/>
              <w:right w:w="70" w:type="dxa"/>
            </w:tcMar>
            <w:vAlign w:val="center"/>
          </w:tcPr>
          <w:p w14:paraId="2B4384A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4529B91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34F9AE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6B75AB1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054" w:type="dxa"/>
            <w:tcMar>
              <w:left w:w="70" w:type="dxa"/>
              <w:right w:w="70" w:type="dxa"/>
            </w:tcMar>
            <w:vAlign w:val="center"/>
          </w:tcPr>
          <w:p w14:paraId="0AEF85D6">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868" w:type="dxa"/>
            <w:tcMar>
              <w:left w:w="70" w:type="dxa"/>
              <w:right w:w="70" w:type="dxa"/>
            </w:tcMar>
            <w:vAlign w:val="center"/>
          </w:tcPr>
          <w:p w14:paraId="30CD2588">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551" w:type="dxa"/>
            <w:tcMar>
              <w:left w:w="70" w:type="dxa"/>
              <w:right w:w="70" w:type="dxa"/>
            </w:tcMar>
            <w:vAlign w:val="center"/>
          </w:tcPr>
          <w:p w14:paraId="1170BDD8">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89" w:type="dxa"/>
            <w:tcMar>
              <w:left w:w="70" w:type="dxa"/>
              <w:right w:w="70" w:type="dxa"/>
            </w:tcMar>
            <w:vAlign w:val="center"/>
          </w:tcPr>
          <w:p w14:paraId="2AAADAD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22627529">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27" w:type="dxa"/>
            <w:tcMar>
              <w:left w:w="70" w:type="dxa"/>
              <w:right w:w="70" w:type="dxa"/>
            </w:tcMar>
            <w:vAlign w:val="center"/>
          </w:tcPr>
          <w:p w14:paraId="76ED8CD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11EE6C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3C7B54E">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054" w:type="dxa"/>
            <w:tcMar>
              <w:left w:w="70" w:type="dxa"/>
              <w:right w:w="70" w:type="dxa"/>
            </w:tcMar>
            <w:vAlign w:val="center"/>
          </w:tcPr>
          <w:p w14:paraId="2E881B44">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868" w:type="dxa"/>
            <w:tcMar>
              <w:left w:w="70" w:type="dxa"/>
              <w:right w:w="70" w:type="dxa"/>
            </w:tcMar>
            <w:vAlign w:val="center"/>
          </w:tcPr>
          <w:p w14:paraId="0FCE9C5E">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551" w:type="dxa"/>
            <w:tcMar>
              <w:left w:w="70" w:type="dxa"/>
              <w:right w:w="70" w:type="dxa"/>
            </w:tcMar>
            <w:vAlign w:val="center"/>
          </w:tcPr>
          <w:p w14:paraId="1E33D8A0">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489" w:type="dxa"/>
            <w:tcMar>
              <w:left w:w="70" w:type="dxa"/>
              <w:right w:w="70" w:type="dxa"/>
            </w:tcMar>
            <w:vAlign w:val="center"/>
          </w:tcPr>
          <w:p w14:paraId="2252E67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6C05D72">
            <w:pPr>
              <w:keepNext w:val="0"/>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427" w:type="dxa"/>
            <w:tcMar>
              <w:left w:w="70" w:type="dxa"/>
              <w:right w:w="70" w:type="dxa"/>
            </w:tcMar>
            <w:vAlign w:val="center"/>
          </w:tcPr>
          <w:p w14:paraId="68909C5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14CB54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B7E8BC6">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054" w:type="dxa"/>
            <w:tcMar>
              <w:left w:w="70" w:type="dxa"/>
              <w:right w:w="70" w:type="dxa"/>
            </w:tcMar>
            <w:vAlign w:val="center"/>
          </w:tcPr>
          <w:p w14:paraId="4EF26686">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01F0479A">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551" w:type="dxa"/>
            <w:tcMar>
              <w:left w:w="70" w:type="dxa"/>
              <w:right w:w="70" w:type="dxa"/>
            </w:tcMar>
            <w:vAlign w:val="center"/>
          </w:tcPr>
          <w:p w14:paraId="35E907A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489" w:type="dxa"/>
            <w:tcMar>
              <w:left w:w="70" w:type="dxa"/>
              <w:right w:w="70" w:type="dxa"/>
            </w:tcMar>
            <w:vAlign w:val="center"/>
          </w:tcPr>
          <w:p w14:paraId="222846D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5F8FF2E">
            <w:pPr>
              <w:keepNext w:val="0"/>
              <w:spacing w:before="20" w:after="20" w:line="260" w:lineRule="exact"/>
              <w:ind w:left="0" w:leftChars="0" w:right="0" w:rightChars="0" w:firstLine="0" w:firstLineChars="0"/>
              <w:jc w:val="center"/>
            </w:pPr>
            <w:r>
              <w:rPr>
                <w:rFonts w:ascii="Times New Roman" w:hAnsi="Times New Roman" w:eastAsia="宋体"/>
                <w:b w:val="0"/>
                <w:sz w:val="18"/>
              </w:rPr>
              <w:t>-0.90</w:t>
            </w:r>
          </w:p>
        </w:tc>
        <w:tc>
          <w:tcPr>
            <w:tcW w:w="1427" w:type="dxa"/>
            <w:tcMar>
              <w:left w:w="70" w:type="dxa"/>
              <w:right w:w="70" w:type="dxa"/>
            </w:tcMar>
            <w:vAlign w:val="center"/>
          </w:tcPr>
          <w:p w14:paraId="058F634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0B153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1A0D2305">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054" w:type="dxa"/>
            <w:tcMar>
              <w:left w:w="70" w:type="dxa"/>
              <w:right w:w="70" w:type="dxa"/>
            </w:tcMar>
            <w:vAlign w:val="center"/>
          </w:tcPr>
          <w:p w14:paraId="2A869FD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2D3A078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6BC9AA2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2C83AC6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992" w:type="dxa"/>
            <w:tcMar>
              <w:left w:w="70" w:type="dxa"/>
              <w:right w:w="70" w:type="dxa"/>
            </w:tcMar>
            <w:vAlign w:val="center"/>
          </w:tcPr>
          <w:p w14:paraId="45F414D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7F4C646A">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r>
      <w:tr w14:paraId="5D6C16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AED94B0">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054" w:type="dxa"/>
            <w:tcMar>
              <w:left w:w="70" w:type="dxa"/>
              <w:right w:w="70" w:type="dxa"/>
            </w:tcMar>
            <w:vAlign w:val="center"/>
          </w:tcPr>
          <w:p w14:paraId="59A388E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360A8DE7">
            <w:pPr>
              <w:keepNext w:val="0"/>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551" w:type="dxa"/>
            <w:tcMar>
              <w:left w:w="70" w:type="dxa"/>
              <w:right w:w="70" w:type="dxa"/>
            </w:tcMar>
            <w:vAlign w:val="center"/>
          </w:tcPr>
          <w:p w14:paraId="78AD2A15">
            <w:pPr>
              <w:keepNext w:val="0"/>
              <w:spacing w:before="20" w:after="20" w:line="260" w:lineRule="exact"/>
              <w:ind w:left="0" w:leftChars="0" w:right="0" w:rightChars="0" w:firstLine="0" w:firstLineChars="0"/>
              <w:jc w:val="center"/>
            </w:pPr>
            <w:r>
              <w:rPr>
                <w:rFonts w:ascii="Times New Roman" w:hAnsi="Times New Roman" w:eastAsia="宋体"/>
                <w:b w:val="0"/>
                <w:sz w:val="18"/>
              </w:rPr>
              <w:t>-0.90</w:t>
            </w:r>
          </w:p>
        </w:tc>
        <w:tc>
          <w:tcPr>
            <w:tcW w:w="1489" w:type="dxa"/>
            <w:tcMar>
              <w:left w:w="70" w:type="dxa"/>
              <w:right w:w="70" w:type="dxa"/>
            </w:tcMar>
            <w:vAlign w:val="center"/>
          </w:tcPr>
          <w:p w14:paraId="471DB3E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5CF30B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427" w:type="dxa"/>
            <w:tcMar>
              <w:left w:w="70" w:type="dxa"/>
              <w:right w:w="70" w:type="dxa"/>
            </w:tcMar>
            <w:vAlign w:val="center"/>
          </w:tcPr>
          <w:p w14:paraId="70452D9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0C97CE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1041167">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054" w:type="dxa"/>
            <w:tcMar>
              <w:left w:w="70" w:type="dxa"/>
              <w:right w:w="70" w:type="dxa"/>
            </w:tcMar>
            <w:vAlign w:val="center"/>
          </w:tcPr>
          <w:p w14:paraId="16814D6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13FD1CD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1E9C7CB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33E9948C">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c>
          <w:tcPr>
            <w:tcW w:w="992" w:type="dxa"/>
            <w:tcMar>
              <w:left w:w="70" w:type="dxa"/>
              <w:right w:w="70" w:type="dxa"/>
            </w:tcMar>
            <w:vAlign w:val="center"/>
          </w:tcPr>
          <w:p w14:paraId="58D6F81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067FA15D">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758B4D05">
      <w:pPr>
        <w:pStyle w:val="2"/>
        <w:keepNext/>
        <w:spacing w:before="120" w:after="80" w:line="280" w:lineRule="exact"/>
        <w:ind w:firstLine="0"/>
        <w:jc w:val="center"/>
      </w:pPr>
      <w:r>
        <w:rPr>
          <w:rFonts w:ascii="Times New Roman" w:hAnsi="Times New Roman" w:eastAsia="宋体"/>
          <w:b w:val="0"/>
          <w:sz w:val="21"/>
        </w:rPr>
        <w:t>表3-15 高相关指标归并及代表参数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3ED864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CCA88D2">
            <w:pPr>
              <w:keepNext/>
              <w:spacing w:before="20" w:after="20" w:line="260" w:lineRule="exact"/>
              <w:ind w:left="0" w:leftChars="0" w:right="0" w:rightChars="0" w:firstLine="0" w:firstLineChars="0"/>
              <w:jc w:val="center"/>
            </w:pPr>
            <w:r>
              <w:rPr>
                <w:rFonts w:ascii="Times New Roman" w:hAnsi="Times New Roman" w:eastAsia="宋体"/>
                <w:b/>
                <w:sz w:val="18"/>
              </w:rPr>
              <w:t>候选指标</w:t>
            </w:r>
          </w:p>
        </w:tc>
        <w:tc>
          <w:tcPr>
            <w:tcW w:w="2078" w:type="dxa"/>
            <w:tcMar>
              <w:left w:w="70" w:type="dxa"/>
              <w:right w:w="70" w:type="dxa"/>
            </w:tcMar>
            <w:vAlign w:val="center"/>
          </w:tcPr>
          <w:p w14:paraId="18A2FBBB">
            <w:pPr>
              <w:keepNext/>
              <w:spacing w:before="20" w:after="20" w:line="260" w:lineRule="exact"/>
              <w:ind w:left="0" w:leftChars="0" w:right="0" w:rightChars="0" w:firstLine="0" w:firstLineChars="0"/>
              <w:jc w:val="center"/>
            </w:pPr>
            <w:r>
              <w:rPr>
                <w:rFonts w:ascii="Times New Roman" w:hAnsi="Times New Roman" w:eastAsia="宋体"/>
                <w:b/>
                <w:sz w:val="18"/>
              </w:rPr>
              <w:t>对应基础参数</w:t>
            </w:r>
          </w:p>
        </w:tc>
        <w:tc>
          <w:tcPr>
            <w:tcW w:w="2078" w:type="dxa"/>
            <w:tcMar>
              <w:left w:w="70" w:type="dxa"/>
              <w:right w:w="70" w:type="dxa"/>
            </w:tcMar>
            <w:vAlign w:val="center"/>
          </w:tcPr>
          <w:p w14:paraId="13E25400">
            <w:pPr>
              <w:keepNext/>
              <w:spacing w:before="20" w:after="20" w:line="260" w:lineRule="exact"/>
              <w:ind w:left="0" w:leftChars="0" w:right="0" w:rightChars="0" w:firstLine="0" w:firstLineChars="0"/>
              <w:jc w:val="center"/>
            </w:pPr>
            <w:r>
              <w:rPr>
                <w:rFonts w:ascii="Times New Roman" w:hAnsi="Times New Roman" w:eastAsia="宋体"/>
                <w:b/>
                <w:sz w:val="18"/>
              </w:rPr>
              <w:t>Pearson</w:t>
            </w:r>
          </w:p>
        </w:tc>
        <w:tc>
          <w:tcPr>
            <w:tcW w:w="2078" w:type="dxa"/>
            <w:tcMar>
              <w:left w:w="70" w:type="dxa"/>
              <w:right w:w="70" w:type="dxa"/>
            </w:tcMar>
            <w:vAlign w:val="center"/>
          </w:tcPr>
          <w:p w14:paraId="290B114B">
            <w:pPr>
              <w:keepNext/>
              <w:spacing w:before="20" w:after="20" w:line="260" w:lineRule="exact"/>
              <w:ind w:left="0" w:leftChars="0" w:right="0" w:rightChars="0" w:firstLine="0" w:firstLineChars="0"/>
              <w:jc w:val="center"/>
            </w:pPr>
            <w:r>
              <w:rPr>
                <w:rFonts w:ascii="Times New Roman" w:hAnsi="Times New Roman" w:eastAsia="宋体"/>
                <w:b/>
                <w:sz w:val="18"/>
              </w:rPr>
              <w:t>代表参数</w:t>
            </w:r>
          </w:p>
        </w:tc>
      </w:tr>
      <w:tr w14:paraId="1B03E0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CC3C4E8">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078" w:type="dxa"/>
            <w:tcMar>
              <w:left w:w="70" w:type="dxa"/>
              <w:right w:w="70" w:type="dxa"/>
            </w:tcMar>
            <w:vAlign w:val="center"/>
          </w:tcPr>
          <w:p w14:paraId="059E8650">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55E97FE4">
            <w:pPr>
              <w:keepNext/>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2078" w:type="dxa"/>
            <w:tcMar>
              <w:left w:w="70" w:type="dxa"/>
              <w:right w:w="70" w:type="dxa"/>
            </w:tcMar>
            <w:vAlign w:val="center"/>
          </w:tcPr>
          <w:p w14:paraId="00CC0FC3">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6E57F5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6FD5438">
            <w:pPr>
              <w:keepNext/>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078" w:type="dxa"/>
            <w:tcMar>
              <w:left w:w="70" w:type="dxa"/>
              <w:right w:w="70" w:type="dxa"/>
            </w:tcMar>
            <w:vAlign w:val="center"/>
          </w:tcPr>
          <w:p w14:paraId="65E76D10">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10601B6C">
            <w:pPr>
              <w:keepNext/>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2078" w:type="dxa"/>
            <w:tcMar>
              <w:left w:w="70" w:type="dxa"/>
              <w:right w:w="70" w:type="dxa"/>
            </w:tcMar>
            <w:vAlign w:val="center"/>
          </w:tcPr>
          <w:p w14:paraId="6FDF5EEC">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7032F2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3BC273C0">
            <w:pPr>
              <w:keepNext/>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078" w:type="dxa"/>
            <w:tcMar>
              <w:left w:w="70" w:type="dxa"/>
              <w:right w:w="70" w:type="dxa"/>
            </w:tcMar>
            <w:vAlign w:val="center"/>
          </w:tcPr>
          <w:p w14:paraId="61DA8A7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07138334">
            <w:pPr>
              <w:keepNext/>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2078" w:type="dxa"/>
            <w:tcMar>
              <w:left w:w="70" w:type="dxa"/>
              <w:right w:w="70" w:type="dxa"/>
            </w:tcMar>
            <w:vAlign w:val="center"/>
          </w:tcPr>
          <w:p w14:paraId="067286C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4FD242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5A2DA5C">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078" w:type="dxa"/>
            <w:tcMar>
              <w:left w:w="70" w:type="dxa"/>
              <w:right w:w="70" w:type="dxa"/>
            </w:tcMar>
            <w:vAlign w:val="center"/>
          </w:tcPr>
          <w:p w14:paraId="3F2D7153">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078" w:type="dxa"/>
            <w:tcMar>
              <w:left w:w="70" w:type="dxa"/>
              <w:right w:w="70" w:type="dxa"/>
            </w:tcMar>
            <w:vAlign w:val="center"/>
          </w:tcPr>
          <w:p w14:paraId="2D61BE1D">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2078" w:type="dxa"/>
            <w:tcMar>
              <w:left w:w="70" w:type="dxa"/>
              <w:right w:w="70" w:type="dxa"/>
            </w:tcMar>
            <w:vAlign w:val="center"/>
          </w:tcPr>
          <w:p w14:paraId="5F579F4D">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r>
    </w:tbl>
    <w:p w14:paraId="1AA4BA86">
      <w:pPr>
        <w:pStyle w:val="2"/>
        <w:widowControl/>
        <w:spacing w:before="0" w:after="0" w:line="348" w:lineRule="exact"/>
        <w:ind w:firstLine="480"/>
        <w:jc w:val="both"/>
      </w:pPr>
      <w:r>
        <w:rPr>
          <w:rFonts w:ascii="Times New Roman" w:hAnsi="Times New Roman" w:eastAsia="方正仿宋_GBK"/>
          <w:b w:val="0"/>
          <w:sz w:val="24"/>
        </w:rPr>
        <w:t>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14:paraId="2447B5EB">
      <w:pPr>
        <w:pStyle w:val="2"/>
        <w:widowControl/>
        <w:spacing w:before="0" w:after="0" w:line="348" w:lineRule="exact"/>
        <w:ind w:firstLine="480"/>
        <w:jc w:val="both"/>
      </w:pPr>
      <w:r>
        <w:rPr>
          <w:rFonts w:ascii="Times New Roman" w:hAnsi="Times New Roman" w:eastAsia="方正仿宋_GBK"/>
          <w:b w:val="0"/>
          <w:sz w:val="24"/>
        </w:rPr>
        <w:t>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14:paraId="0EF4091C">
      <w:pPr>
        <w:pStyle w:val="2"/>
        <w:widowControl/>
        <w:spacing w:before="0" w:after="0" w:line="348" w:lineRule="exact"/>
        <w:ind w:firstLine="480"/>
        <w:jc w:val="both"/>
      </w:pPr>
      <w:r>
        <w:rPr>
          <w:rFonts w:ascii="Times New Roman" w:hAnsi="Times New Roman" w:eastAsia="方正仿宋_GBK"/>
          <w:b w:val="0"/>
          <w:sz w:val="24"/>
        </w:rPr>
        <w:t>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14:paraId="2FD57E76">
      <w:pPr>
        <w:pStyle w:val="5"/>
        <w:keepNext/>
        <w:numPr>
          <w:ilvl w:val="0"/>
          <w:numId w:val="0"/>
        </w:numPr>
        <w:spacing w:before="160" w:after="120" w:line="390" w:lineRule="exact"/>
        <w:ind w:firstLine="0"/>
      </w:pPr>
      <w:bookmarkStart w:id="118" w:name="五项参数的相关关系与矩阵组织"/>
      <w:r>
        <w:rPr>
          <w:rFonts w:ascii="Times New Roman" w:hAnsi="Times New Roman" w:eastAsia="方正仿宋_GBK"/>
          <w:b/>
          <w:sz w:val="26"/>
        </w:rPr>
        <w:t>3.5.5 五项参数的相关关系与矩阵组织</w:t>
      </w:r>
      <w:bookmarkEnd w:id="118"/>
    </w:p>
    <w:p w14:paraId="6DA84E12">
      <w:pPr>
        <w:pStyle w:val="115"/>
        <w:keepNext/>
        <w:spacing w:before="120" w:after="80" w:line="280" w:lineRule="exact"/>
        <w:ind w:firstLine="0"/>
        <w:jc w:val="center"/>
      </w:pPr>
      <w:r>
        <w:rPr>
          <w:rFonts w:ascii="Times New Roman" w:hAnsi="Times New Roman" w:eastAsia="宋体"/>
          <w:b w:val="0"/>
          <w:sz w:val="21"/>
        </w:rPr>
        <w:t>表3-16 五项推广参数的Pearson相关矩阵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48F0B8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174B078C">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1385" w:type="dxa"/>
            <w:tcMar>
              <w:left w:w="70" w:type="dxa"/>
              <w:right w:w="70" w:type="dxa"/>
            </w:tcMar>
            <w:vAlign w:val="center"/>
          </w:tcPr>
          <w:p w14:paraId="7C31B451">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w:t>
            </w:r>
          </w:p>
        </w:tc>
        <w:tc>
          <w:tcPr>
            <w:tcW w:w="1385" w:type="dxa"/>
            <w:tcMar>
              <w:left w:w="70" w:type="dxa"/>
              <w:right w:w="70" w:type="dxa"/>
            </w:tcMar>
            <w:vAlign w:val="center"/>
          </w:tcPr>
          <w:p w14:paraId="0A02C962">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1E415947">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385" w:type="dxa"/>
            <w:tcMar>
              <w:left w:w="70" w:type="dxa"/>
              <w:right w:w="70" w:type="dxa"/>
            </w:tcMar>
            <w:vAlign w:val="center"/>
          </w:tcPr>
          <w:p w14:paraId="3E4C5068">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25B6A1A0">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r>
      <w:tr w14:paraId="76EB37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AA6D06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385" w:type="dxa"/>
            <w:tcMar>
              <w:left w:w="70" w:type="dxa"/>
              <w:right w:w="70" w:type="dxa"/>
            </w:tcMar>
            <w:vAlign w:val="center"/>
          </w:tcPr>
          <w:p w14:paraId="5B9BCA4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6BBEBAB9">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96782A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1F109F5">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F77962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7D050A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417CCC5">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385" w:type="dxa"/>
            <w:tcMar>
              <w:left w:w="70" w:type="dxa"/>
              <w:right w:w="70" w:type="dxa"/>
            </w:tcMar>
            <w:vAlign w:val="center"/>
          </w:tcPr>
          <w:p w14:paraId="5D262E21">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9D18FE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2F109ED0">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0B9E0673">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385" w:type="dxa"/>
            <w:tcMar>
              <w:left w:w="70" w:type="dxa"/>
              <w:right w:w="70" w:type="dxa"/>
            </w:tcMar>
            <w:vAlign w:val="center"/>
          </w:tcPr>
          <w:p w14:paraId="4D90B91D">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6E80DE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BFC8FED">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385" w:type="dxa"/>
            <w:tcMar>
              <w:left w:w="70" w:type="dxa"/>
              <w:right w:w="70" w:type="dxa"/>
            </w:tcMar>
            <w:vAlign w:val="center"/>
          </w:tcPr>
          <w:p w14:paraId="6A0881F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909B111">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472DD18E">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52656A25">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385" w:type="dxa"/>
            <w:tcMar>
              <w:left w:w="70" w:type="dxa"/>
              <w:right w:w="70" w:type="dxa"/>
            </w:tcMar>
            <w:vAlign w:val="center"/>
          </w:tcPr>
          <w:p w14:paraId="5A31A969">
            <w:pPr>
              <w:keepNext/>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349400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95BC5C4">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385" w:type="dxa"/>
            <w:tcMar>
              <w:left w:w="70" w:type="dxa"/>
              <w:right w:w="70" w:type="dxa"/>
            </w:tcMar>
            <w:vAlign w:val="center"/>
          </w:tcPr>
          <w:p w14:paraId="243AADB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910D750">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385" w:type="dxa"/>
            <w:tcMar>
              <w:left w:w="70" w:type="dxa"/>
              <w:right w:w="70" w:type="dxa"/>
            </w:tcMar>
            <w:vAlign w:val="center"/>
          </w:tcPr>
          <w:p w14:paraId="46A191A6">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385" w:type="dxa"/>
            <w:tcMar>
              <w:left w:w="70" w:type="dxa"/>
              <w:right w:w="70" w:type="dxa"/>
            </w:tcMar>
            <w:vAlign w:val="center"/>
          </w:tcPr>
          <w:p w14:paraId="2C19E06F">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5BD7E3A1">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r>
      <w:tr w14:paraId="36C1F6F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159696E">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385" w:type="dxa"/>
            <w:tcMar>
              <w:left w:w="70" w:type="dxa"/>
              <w:right w:w="70" w:type="dxa"/>
            </w:tcMar>
            <w:vAlign w:val="center"/>
          </w:tcPr>
          <w:p w14:paraId="24A5B62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4F8CD8A">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385" w:type="dxa"/>
            <w:tcMar>
              <w:left w:w="70" w:type="dxa"/>
              <w:right w:w="70" w:type="dxa"/>
            </w:tcMar>
            <w:vAlign w:val="center"/>
          </w:tcPr>
          <w:p w14:paraId="19428433">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385" w:type="dxa"/>
            <w:tcMar>
              <w:left w:w="70" w:type="dxa"/>
              <w:right w:w="70" w:type="dxa"/>
            </w:tcMar>
            <w:vAlign w:val="center"/>
          </w:tcPr>
          <w:p w14:paraId="10B227C5">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1B24B86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49B80FD6">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291965"/>
            <wp:effectExtent l="0" t="0" r="0" b="0"/>
            <wp:docPr id="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pic:cNvPicPr>
                      <a:picLocks noChangeAspect="1" noChangeArrowheads="1"/>
                    </pic:cNvPicPr>
                  </pic:nvPicPr>
                  <pic:blipFill>
                    <a:blip r:embed="rId25"/>
                    <a:stretch>
                      <a:fillRect/>
                    </a:stretch>
                  </pic:blipFill>
                  <pic:spPr>
                    <a:xfrm>
                      <a:off x="0" y="0"/>
                      <a:ext cx="5120640" cy="4292301"/>
                    </a:xfrm>
                    <a:prstGeom prst="rect">
                      <a:avLst/>
                    </a:prstGeom>
                    <a:noFill/>
                    <a:ln w="9525">
                      <a:noFill/>
                    </a:ln>
                  </pic:spPr>
                </pic:pic>
              </a:graphicData>
            </a:graphic>
          </wp:inline>
        </w:drawing>
      </w:r>
    </w:p>
    <w:p w14:paraId="01A35E90">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图3-12 五项推广参数的Pearson相关矩阵</w:t>
      </w:r>
    </w:p>
    <w:p w14:paraId="60A9C9AB">
      <w:pPr>
        <w:pStyle w:val="2"/>
        <w:widowControl/>
        <w:spacing w:before="0" w:after="0" w:line="348" w:lineRule="exact"/>
        <w:ind w:firstLine="480"/>
        <w:jc w:val="both"/>
      </w:pPr>
      <w:r>
        <w:rPr>
          <w:rFonts w:ascii="Times New Roman" w:hAnsi="Times New Roman" w:eastAsia="方正仿宋_GBK"/>
          <w:b w:val="0"/>
          <w:sz w:val="24"/>
        </w:rPr>
        <w:t>五项参数中，电缆长度占比与初始转供率的Pearson系数为0.29，其余配对绝对值均不超过0.15。二者在联合取值中具有一定地区网络背景联系，但分别通过线路造价和既有支援能力作用于设备选择。</w:t>
      </w:r>
    </w:p>
    <w:p w14:paraId="1D463318">
      <w:pPr>
        <w:pStyle w:val="2"/>
        <w:widowControl/>
        <w:spacing w:before="0" w:after="0" w:line="348" w:lineRule="exact"/>
        <w:ind w:firstLine="480"/>
        <w:jc w:val="both"/>
      </w:pPr>
      <w:r>
        <w:rPr>
          <w:rFonts w:ascii="Times New Roman" w:hAnsi="Times New Roman" w:eastAsia="方正仿宋_GBK"/>
          <w:b w:val="0"/>
          <w:sz w:val="24"/>
        </w:rPr>
        <w:t>五项参数之间的相关绝对值均低于本研究的信息归并阈值，分别保留电源规模、负荷发展、线路经济条件、既有网络支援及局部峰值分布的信息，能够从不同规划条件解释容载比差异。</w:t>
      </w:r>
    </w:p>
    <w:p w14:paraId="29C750C4">
      <w:pPr>
        <w:pStyle w:val="2"/>
        <w:keepNext/>
        <w:spacing w:before="120" w:after="80" w:line="280" w:lineRule="exact"/>
        <w:ind w:firstLine="0"/>
        <w:jc w:val="center"/>
      </w:pPr>
      <w:r>
        <w:rPr>
          <w:rFonts w:ascii="Times New Roman" w:hAnsi="Times New Roman" w:eastAsia="宋体"/>
          <w:b w:val="0"/>
          <w:sz w:val="21"/>
        </w:rPr>
        <w:t>表3-17 十三项指标至五项推广参数的筛选结果</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409B6B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4327A769">
            <w:pPr>
              <w:keepNext/>
              <w:spacing w:before="20" w:after="20" w:line="260" w:lineRule="exact"/>
              <w:ind w:left="0" w:leftChars="0" w:right="0" w:rightChars="0" w:firstLine="0" w:firstLineChars="0"/>
              <w:jc w:val="center"/>
            </w:pPr>
            <w:r>
              <w:rPr>
                <w:rFonts w:ascii="Times New Roman" w:hAnsi="Times New Roman" w:eastAsia="宋体"/>
                <w:b/>
                <w:sz w:val="18"/>
              </w:rPr>
              <w:t>环节</w:t>
            </w:r>
          </w:p>
        </w:tc>
        <w:tc>
          <w:tcPr>
            <w:tcW w:w="2771" w:type="dxa"/>
            <w:tcMar>
              <w:left w:w="70" w:type="dxa"/>
              <w:right w:w="70" w:type="dxa"/>
            </w:tcMar>
            <w:vAlign w:val="center"/>
          </w:tcPr>
          <w:p w14:paraId="667E2111">
            <w:pPr>
              <w:keepNext/>
              <w:spacing w:before="20" w:after="20" w:line="260" w:lineRule="exact"/>
              <w:ind w:left="0" w:leftChars="0" w:right="0" w:rightChars="0" w:firstLine="0" w:firstLineChars="0"/>
              <w:jc w:val="center"/>
            </w:pPr>
            <w:r>
              <w:rPr>
                <w:rFonts w:ascii="Times New Roman" w:hAnsi="Times New Roman" w:eastAsia="宋体"/>
                <w:b/>
                <w:sz w:val="18"/>
              </w:rPr>
              <w:t>指标数</w:t>
            </w:r>
          </w:p>
        </w:tc>
        <w:tc>
          <w:tcPr>
            <w:tcW w:w="2771" w:type="dxa"/>
            <w:tcMar>
              <w:left w:w="70" w:type="dxa"/>
              <w:right w:w="70" w:type="dxa"/>
            </w:tcMar>
            <w:vAlign w:val="center"/>
          </w:tcPr>
          <w:p w14:paraId="3B52D19F">
            <w:pPr>
              <w:keepNext/>
              <w:spacing w:before="20" w:after="20" w:line="260" w:lineRule="exact"/>
              <w:ind w:left="0" w:leftChars="0" w:right="0" w:rightChars="0" w:firstLine="0" w:firstLineChars="0"/>
              <w:jc w:val="center"/>
            </w:pPr>
            <w:r>
              <w:rPr>
                <w:rFonts w:ascii="Times New Roman" w:hAnsi="Times New Roman" w:eastAsia="宋体"/>
                <w:b/>
                <w:sz w:val="18"/>
              </w:rPr>
              <w:t>处理结果</w:t>
            </w:r>
          </w:p>
        </w:tc>
      </w:tr>
      <w:tr w14:paraId="1B8DC3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C3F7209">
            <w:pPr>
              <w:keepNext/>
              <w:spacing w:before="20" w:after="20" w:line="260" w:lineRule="exact"/>
              <w:ind w:left="0" w:leftChars="0" w:right="0" w:rightChars="0" w:firstLine="0" w:firstLineChars="0"/>
              <w:jc w:val="center"/>
            </w:pPr>
            <w:r>
              <w:rPr>
                <w:rFonts w:ascii="Times New Roman" w:hAnsi="Times New Roman" w:eastAsia="宋体"/>
                <w:b w:val="0"/>
                <w:sz w:val="18"/>
              </w:rPr>
              <w:t>候选指标</w:t>
            </w:r>
          </w:p>
        </w:tc>
        <w:tc>
          <w:tcPr>
            <w:tcW w:w="2771" w:type="dxa"/>
            <w:tcMar>
              <w:left w:w="70" w:type="dxa"/>
              <w:right w:w="70" w:type="dxa"/>
            </w:tcMar>
            <w:vAlign w:val="center"/>
          </w:tcPr>
          <w:p w14:paraId="0B0C8037">
            <w:pPr>
              <w:keepNext/>
              <w:spacing w:before="20" w:after="20" w:line="260" w:lineRule="exact"/>
              <w:ind w:left="0" w:leftChars="0" w:right="0" w:rightChars="0" w:firstLine="0" w:firstLineChars="0"/>
              <w:jc w:val="center"/>
            </w:pPr>
            <w:r>
              <w:rPr>
                <w:rFonts w:ascii="Times New Roman" w:hAnsi="Times New Roman" w:eastAsia="宋体"/>
                <w:b w:val="0"/>
                <w:sz w:val="18"/>
              </w:rPr>
              <w:t>13</w:t>
            </w:r>
          </w:p>
        </w:tc>
        <w:tc>
          <w:tcPr>
            <w:tcW w:w="2771" w:type="dxa"/>
            <w:tcMar>
              <w:left w:w="70" w:type="dxa"/>
              <w:right w:w="70" w:type="dxa"/>
            </w:tcMar>
            <w:vAlign w:val="center"/>
          </w:tcPr>
          <w:p w14:paraId="28B8882A">
            <w:pPr>
              <w:keepNext/>
              <w:spacing w:before="20" w:after="20" w:line="260" w:lineRule="exact"/>
              <w:ind w:left="0" w:leftChars="0" w:right="0" w:rightChars="0" w:firstLine="0" w:firstLineChars="0"/>
              <w:jc w:val="center"/>
            </w:pPr>
            <w:r>
              <w:rPr>
                <w:rFonts w:ascii="Times New Roman" w:hAnsi="Times New Roman" w:eastAsia="宋体"/>
                <w:b w:val="0"/>
                <w:sz w:val="18"/>
              </w:rPr>
              <w:t>涵盖源荷规模、运行压力、网络支援、时间及相对投资</w:t>
            </w:r>
          </w:p>
        </w:tc>
      </w:tr>
      <w:tr w14:paraId="7FB84E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2576DA1">
            <w:pPr>
              <w:keepNext/>
              <w:spacing w:before="20" w:after="20" w:line="260" w:lineRule="exact"/>
              <w:ind w:left="0" w:leftChars="0" w:right="0" w:rightChars="0" w:firstLine="0" w:firstLineChars="0"/>
              <w:jc w:val="center"/>
            </w:pPr>
            <w:r>
              <w:rPr>
                <w:rFonts w:ascii="Times New Roman" w:hAnsi="Times New Roman" w:eastAsia="宋体"/>
                <w:b w:val="0"/>
                <w:sz w:val="18"/>
              </w:rPr>
              <w:t>容载比相关性筛选</w:t>
            </w:r>
          </w:p>
        </w:tc>
        <w:tc>
          <w:tcPr>
            <w:tcW w:w="2771" w:type="dxa"/>
            <w:tcMar>
              <w:left w:w="70" w:type="dxa"/>
              <w:right w:w="70" w:type="dxa"/>
            </w:tcMar>
            <w:vAlign w:val="center"/>
          </w:tcPr>
          <w:p w14:paraId="0DEB2088">
            <w:pPr>
              <w:keepNext/>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2771" w:type="dxa"/>
            <w:tcMar>
              <w:left w:w="70" w:type="dxa"/>
              <w:right w:w="70" w:type="dxa"/>
            </w:tcMar>
            <w:vAlign w:val="center"/>
          </w:tcPr>
          <w:p w14:paraId="4F0CE7A7">
            <w:pPr>
              <w:keepNext/>
              <w:spacing w:before="20" w:after="20" w:line="260" w:lineRule="exact"/>
              <w:ind w:left="0" w:leftChars="0" w:right="0" w:rightChars="0" w:firstLine="0" w:firstLineChars="0"/>
              <w:jc w:val="center"/>
            </w:pPr>
            <w:r>
              <w:rPr>
                <w:rFonts w:ascii="Times New Roman" w:hAnsi="Times New Roman" w:eastAsia="宋体"/>
                <w:b w:val="0"/>
                <w:sz w:val="18"/>
              </w:rPr>
              <w:t>95%峰值持续时间、储能支撑持续时间及两项投资比的相关强度较低</w:t>
            </w:r>
          </w:p>
        </w:tc>
      </w:tr>
      <w:tr w14:paraId="4262E7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C2575E2">
            <w:pPr>
              <w:keepNext/>
              <w:spacing w:before="20" w:after="20" w:line="260" w:lineRule="exact"/>
              <w:ind w:left="0" w:leftChars="0" w:right="0" w:rightChars="0" w:firstLine="0" w:firstLineChars="0"/>
              <w:jc w:val="center"/>
            </w:pPr>
            <w:r>
              <w:rPr>
                <w:rFonts w:ascii="Times New Roman" w:hAnsi="Times New Roman" w:eastAsia="宋体"/>
                <w:b w:val="0"/>
                <w:sz w:val="18"/>
              </w:rPr>
              <w:t>高相关指标归并</w:t>
            </w:r>
          </w:p>
        </w:tc>
        <w:tc>
          <w:tcPr>
            <w:tcW w:w="2771" w:type="dxa"/>
            <w:tcMar>
              <w:left w:w="70" w:type="dxa"/>
              <w:right w:w="70" w:type="dxa"/>
            </w:tcMar>
            <w:vAlign w:val="center"/>
          </w:tcPr>
          <w:p w14:paraId="310C4564">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2771" w:type="dxa"/>
            <w:tcMar>
              <w:left w:w="70" w:type="dxa"/>
              <w:right w:w="70" w:type="dxa"/>
            </w:tcMar>
            <w:vAlign w:val="center"/>
          </w:tcPr>
          <w:p w14:paraId="05D30AC4">
            <w:pPr>
              <w:keepNext/>
              <w:spacing w:before="20" w:after="20" w:line="260" w:lineRule="exact"/>
              <w:ind w:left="0" w:leftChars="0" w:right="0" w:rightChars="0" w:firstLine="0" w:firstLineChars="0"/>
              <w:jc w:val="center"/>
            </w:pPr>
            <w:r>
              <w:rPr>
                <w:rFonts w:ascii="Times New Roman" w:hAnsi="Times New Roman" w:eastAsia="宋体"/>
                <w:b w:val="0"/>
                <w:sz w:val="18"/>
              </w:rPr>
              <w:t>电量、反向净负荷和站级负载率归入装机指标组，正向净负荷归入增长指标组</w:t>
            </w:r>
          </w:p>
        </w:tc>
      </w:tr>
      <w:tr w14:paraId="406F22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0CFE08C9">
            <w:pPr>
              <w:keepNext w:val="0"/>
              <w:spacing w:before="20" w:after="20" w:line="260" w:lineRule="exact"/>
              <w:ind w:left="0" w:leftChars="0" w:right="0" w:rightChars="0" w:firstLine="0" w:firstLineChars="0"/>
              <w:jc w:val="center"/>
            </w:pPr>
            <w:r>
              <w:rPr>
                <w:rFonts w:ascii="Times New Roman" w:hAnsi="Times New Roman" w:eastAsia="宋体"/>
                <w:b w:val="0"/>
                <w:sz w:val="18"/>
              </w:rPr>
              <w:t>参数间相关核验</w:t>
            </w:r>
          </w:p>
        </w:tc>
        <w:tc>
          <w:tcPr>
            <w:tcW w:w="2771" w:type="dxa"/>
            <w:tcMar>
              <w:left w:w="70" w:type="dxa"/>
              <w:right w:w="70" w:type="dxa"/>
            </w:tcMar>
            <w:vAlign w:val="center"/>
          </w:tcPr>
          <w:p w14:paraId="3C158862">
            <w:pPr>
              <w:keepNext w:val="0"/>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2771" w:type="dxa"/>
            <w:tcMar>
              <w:left w:w="70" w:type="dxa"/>
              <w:right w:w="70" w:type="dxa"/>
            </w:tcMar>
            <w:vAlign w:val="center"/>
          </w:tcPr>
          <w:p w14:paraId="2EC5AC15">
            <w:pPr>
              <w:keepNext w:val="0"/>
              <w:spacing w:before="20" w:after="20" w:line="260" w:lineRule="exact"/>
              <w:ind w:left="0" w:leftChars="0" w:right="0" w:rightChars="0" w:firstLine="0" w:firstLineChars="0"/>
              <w:jc w:val="center"/>
            </w:pPr>
            <w:r>
              <w:rPr>
                <w:rFonts w:ascii="Times New Roman" w:hAnsi="Times New Roman" w:eastAsia="宋体"/>
                <w:b w:val="0"/>
                <w:sz w:val="18"/>
              </w:rPr>
              <w:t>最大Pearson绝对值为0.29，五项间信息重叠较少</w:t>
            </w:r>
          </w:p>
        </w:tc>
      </w:tr>
    </w:tbl>
    <w:p w14:paraId="566380FB">
      <w:pPr>
        <w:pStyle w:val="2"/>
        <w:widowControl/>
        <w:spacing w:before="0" w:after="0" w:line="348" w:lineRule="exact"/>
        <w:ind w:firstLine="480"/>
        <w:jc w:val="both"/>
      </w:pPr>
      <w:r>
        <w:rPr>
          <w:rFonts w:ascii="Times New Roman" w:hAnsi="Times New Roman" w:eastAsia="方正仿宋_GBK"/>
          <w:b w:val="0"/>
          <w:sz w:val="24"/>
        </w:rPr>
        <w:t>两层分析由十三项候选指标得到五项推广参数：分布式电源装机渗透率、年最大净负荷平均增长率、电缆长度占比、初始转供率和负荷分散系数。其对应的矩阵分类如下。</w:t>
      </w:r>
    </w:p>
    <w:p w14:paraId="1E29118D">
      <w:pPr>
        <w:pStyle w:val="2"/>
        <w:keepNext/>
        <w:spacing w:before="120" w:after="80" w:line="280" w:lineRule="exact"/>
        <w:ind w:firstLine="0"/>
        <w:jc w:val="center"/>
      </w:pPr>
      <w:r>
        <w:rPr>
          <w:rFonts w:ascii="Times New Roman" w:hAnsi="Times New Roman" w:eastAsia="宋体"/>
          <w:b w:val="0"/>
          <w:sz w:val="21"/>
        </w:rPr>
        <w:t>表3-18 采用指标与推广矩阵分类</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4156"/>
        <w:gridCol w:w="4156"/>
      </w:tblGrid>
      <w:tr w14:paraId="215DE5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4156" w:type="dxa"/>
            <w:tcMar>
              <w:left w:w="70" w:type="dxa"/>
              <w:right w:w="70" w:type="dxa"/>
            </w:tcMar>
            <w:vAlign w:val="center"/>
          </w:tcPr>
          <w:p w14:paraId="4F1F5FF2">
            <w:pPr>
              <w:keepNext/>
              <w:spacing w:before="20" w:after="20" w:line="260" w:lineRule="exact"/>
              <w:ind w:left="0" w:leftChars="0" w:right="0" w:rightChars="0" w:firstLine="0" w:firstLineChars="0"/>
              <w:jc w:val="center"/>
            </w:pPr>
            <w:r>
              <w:rPr>
                <w:rFonts w:ascii="Times New Roman" w:hAnsi="Times New Roman" w:eastAsia="宋体"/>
                <w:b/>
                <w:sz w:val="18"/>
              </w:rPr>
              <w:t>采用指标</w:t>
            </w:r>
          </w:p>
        </w:tc>
        <w:tc>
          <w:tcPr>
            <w:tcW w:w="4156" w:type="dxa"/>
            <w:tcMar>
              <w:left w:w="70" w:type="dxa"/>
              <w:right w:w="70" w:type="dxa"/>
            </w:tcMar>
            <w:vAlign w:val="center"/>
          </w:tcPr>
          <w:p w14:paraId="222B0A41">
            <w:pPr>
              <w:keepNext/>
              <w:spacing w:before="20" w:after="20" w:line="260" w:lineRule="exact"/>
              <w:ind w:left="0" w:leftChars="0" w:right="0" w:rightChars="0" w:firstLine="0" w:firstLineChars="0"/>
              <w:jc w:val="center"/>
            </w:pPr>
            <w:r>
              <w:rPr>
                <w:rFonts w:ascii="Times New Roman" w:hAnsi="Times New Roman" w:eastAsia="宋体"/>
                <w:b/>
                <w:sz w:val="18"/>
              </w:rPr>
              <w:t>矩阵分类</w:t>
            </w:r>
          </w:p>
        </w:tc>
      </w:tr>
      <w:tr w14:paraId="78EDA6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2FCECDFD">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4156" w:type="dxa"/>
            <w:tcMar>
              <w:left w:w="70" w:type="dxa"/>
              <w:right w:w="70" w:type="dxa"/>
            </w:tcMar>
            <w:vAlign w:val="center"/>
          </w:tcPr>
          <w:p w14:paraId="5B67E321">
            <w:pPr>
              <w:keepNext/>
              <w:spacing w:before="20" w:after="20" w:line="260" w:lineRule="exact"/>
              <w:ind w:left="0" w:leftChars="0" w:right="0" w:rightChars="0" w:firstLine="0" w:firstLineChars="0"/>
              <w:jc w:val="center"/>
            </w:pPr>
            <w:r>
              <w:rPr>
                <w:rFonts w:ascii="Times New Roman" w:hAnsi="Times New Roman" w:eastAsia="宋体"/>
                <w:b w:val="0"/>
                <w:sz w:val="18"/>
              </w:rPr>
              <w:t>≤1；(1,2]；&gt;2</w:t>
            </w:r>
          </w:p>
        </w:tc>
      </w:tr>
      <w:tr w14:paraId="1BFE88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6F5E16A1">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4156" w:type="dxa"/>
            <w:tcMar>
              <w:left w:w="70" w:type="dxa"/>
              <w:right w:w="70" w:type="dxa"/>
            </w:tcMar>
            <w:vAlign w:val="center"/>
          </w:tcPr>
          <w:p w14:paraId="13E47EEF">
            <w:pPr>
              <w:keepNext/>
              <w:spacing w:before="20" w:after="20" w:line="260" w:lineRule="exact"/>
              <w:ind w:left="0" w:leftChars="0" w:right="0" w:rightChars="0" w:firstLine="0" w:firstLineChars="0"/>
              <w:jc w:val="center"/>
            </w:pPr>
            <w:r>
              <w:rPr>
                <w:rFonts w:ascii="Times New Roman" w:hAnsi="Times New Roman" w:eastAsia="宋体"/>
                <w:b w:val="0"/>
                <w:sz w:val="18"/>
              </w:rPr>
              <w:t>≤2%；(2%,4%]；(4%,7%]；&gt;7%</w:t>
            </w:r>
          </w:p>
        </w:tc>
      </w:tr>
      <w:tr w14:paraId="0041B1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2675472C">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4156" w:type="dxa"/>
            <w:tcMar>
              <w:left w:w="70" w:type="dxa"/>
              <w:right w:w="70" w:type="dxa"/>
            </w:tcMar>
            <w:vAlign w:val="center"/>
          </w:tcPr>
          <w:p w14:paraId="0292D5AD">
            <w:pPr>
              <w:keepNext/>
              <w:spacing w:before="20" w:after="20" w:line="260" w:lineRule="exact"/>
              <w:ind w:left="0" w:leftChars="0" w:right="0" w:rightChars="0" w:firstLine="0" w:firstLineChars="0"/>
              <w:jc w:val="center"/>
            </w:pPr>
            <w:r>
              <w:rPr>
                <w:rFonts w:ascii="Times New Roman" w:hAnsi="Times New Roman" w:eastAsia="宋体"/>
                <w:b w:val="0"/>
                <w:sz w:val="18"/>
              </w:rPr>
              <w:t>≤10%；(10%,30%]；&gt;30%</w:t>
            </w:r>
          </w:p>
        </w:tc>
      </w:tr>
      <w:tr w14:paraId="113CE1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0C5652F9">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4156" w:type="dxa"/>
            <w:tcMar>
              <w:left w:w="70" w:type="dxa"/>
              <w:right w:w="70" w:type="dxa"/>
            </w:tcMar>
            <w:vAlign w:val="center"/>
          </w:tcPr>
          <w:p w14:paraId="7B1E52AC">
            <w:pPr>
              <w:keepNext/>
              <w:spacing w:before="20" w:after="20" w:line="260" w:lineRule="exact"/>
              <w:ind w:left="0" w:leftChars="0" w:right="0" w:rightChars="0" w:firstLine="0" w:firstLineChars="0"/>
              <w:jc w:val="center"/>
            </w:pPr>
            <w:r>
              <w:rPr>
                <w:rFonts w:ascii="Times New Roman" w:hAnsi="Times New Roman" w:eastAsia="宋体"/>
                <w:b w:val="0"/>
                <w:sz w:val="18"/>
              </w:rPr>
              <w:t>≤30%；(30%,50%]；(50%,70%]；&gt;70%</w:t>
            </w:r>
          </w:p>
        </w:tc>
      </w:tr>
      <w:tr w14:paraId="03EACD3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F4838A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4156" w:type="dxa"/>
            <w:tcMar>
              <w:left w:w="70" w:type="dxa"/>
              <w:right w:w="70" w:type="dxa"/>
            </w:tcMar>
            <w:vAlign w:val="center"/>
          </w:tcPr>
          <w:p w14:paraId="3CB6B52A">
            <w:pPr>
              <w:keepNext w:val="0"/>
              <w:spacing w:before="20" w:after="20" w:line="260" w:lineRule="exact"/>
              <w:ind w:left="0" w:leftChars="0" w:right="0" w:rightChars="0" w:firstLine="0" w:firstLineChars="0"/>
              <w:jc w:val="center"/>
            </w:pPr>
            <w:r>
              <w:rPr>
                <w:rFonts w:ascii="Times New Roman" w:hAnsi="Times New Roman" w:eastAsia="宋体"/>
                <w:b w:val="0"/>
                <w:sz w:val="18"/>
              </w:rPr>
              <w:t>1.00；1.10；1.15</w:t>
            </w:r>
          </w:p>
        </w:tc>
      </w:tr>
    </w:tbl>
    <w:p w14:paraId="08BD7548">
      <w:pPr>
        <w:pStyle w:val="2"/>
        <w:widowControl/>
        <w:spacing w:before="0" w:after="0" w:line="348" w:lineRule="exact"/>
        <w:ind w:firstLine="480"/>
        <w:jc w:val="both"/>
      </w:pPr>
      <w:r>
        <w:rPr>
          <w:rFonts w:ascii="Times New Roman" w:hAnsi="Times New Roman" w:eastAsia="方正仿宋_GBK"/>
          <w:b w:val="0"/>
          <w:sz w:val="24"/>
        </w:rPr>
        <w:t>年最大净负荷平均增长率采用2%、4%、7%的分界[8]，装机和转供参数按表列区间组织。电缆长度占比以10%、30%为分界，形成≤10%、(10%,30%]、&gt;30%三档，负荷分散系数按三个定值分别列示。第五章据此形成九张区间矩阵，以年最大净负荷平均增长率和装机渗透率选行、初始转供率选列，首尾输入档按表列开口形式组织。统一工程价格进入对应设备方案的比选。</w:t>
      </w:r>
    </w:p>
    <w:p w14:paraId="3A2492AE">
      <w:pPr>
        <w:pStyle w:val="4"/>
        <w:keepNext/>
        <w:numPr>
          <w:ilvl w:val="0"/>
          <w:numId w:val="0"/>
        </w:numPr>
        <w:spacing w:before="160" w:after="120" w:line="480" w:lineRule="exact"/>
        <w:ind w:firstLine="0"/>
      </w:pPr>
      <w:bookmarkStart w:id="314" w:name="Report1017_h437"/>
      <w:bookmarkEnd w:id="314"/>
      <w:bookmarkStart w:id="119" w:name="kv负荷转接资料与仿真条件"/>
      <w:bookmarkStart w:id="120" w:name="h437"/>
      <w:r>
        <w:rPr>
          <w:rFonts w:ascii="Times New Roman" w:hAnsi="Times New Roman" w:eastAsia="方正仿宋_GBK"/>
          <w:b/>
          <w:sz w:val="32"/>
        </w:rPr>
        <w:t>3.6 10 kV负荷转接资料与仿真条件</w:t>
      </w:r>
      <w:bookmarkEnd w:id="119"/>
      <w:bookmarkEnd w:id="120"/>
    </w:p>
    <w:p w14:paraId="5D55ADD8">
      <w:pPr>
        <w:pStyle w:val="5"/>
        <w:keepNext/>
        <w:numPr>
          <w:ilvl w:val="0"/>
          <w:numId w:val="0"/>
        </w:numPr>
        <w:spacing w:before="160" w:after="120" w:line="390" w:lineRule="exact"/>
        <w:ind w:firstLine="0"/>
      </w:pPr>
      <w:bookmarkStart w:id="121" w:name="地区转供统计与计算方法"/>
      <w:r>
        <w:rPr>
          <w:rFonts w:ascii="Times New Roman" w:hAnsi="Times New Roman" w:eastAsia="方正仿宋_GBK"/>
          <w:b/>
          <w:sz w:val="26"/>
        </w:rPr>
        <w:t>3.6.1 地区转供统计与计算方法</w:t>
      </w:r>
      <w:bookmarkEnd w:id="121"/>
    </w:p>
    <w:p w14:paraId="6362FF7B">
      <w:pPr>
        <w:pStyle w:val="115"/>
        <w:widowControl/>
        <w:spacing w:before="0" w:after="0" w:line="348" w:lineRule="exact"/>
        <w:ind w:firstLine="480"/>
        <w:jc w:val="both"/>
      </w:pPr>
      <w:r>
        <w:rPr>
          <w:rFonts w:ascii="Times New Roman" w:hAnsi="Times New Roman" w:eastAsia="方正仿宋_GBK"/>
          <w:b w:val="0"/>
          <w:sz w:val="24"/>
        </w:rPr>
        <w:t>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（3-8）</w:t>
            </w:r>
          </w:p>
        </w:tc>
      </w:tr>
    </w:tbl>
    <w:p w14:paraId="009C9620">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Sub>
      </m:oMath>
      <w:r>
        <w:rPr>
          <w:rFonts w:ascii="Times New Roman" w:hAnsi="Times New Roman" w:eastAsia="方正仿宋_GBK"/>
          <w:b w:val="0"/>
          <w:sz w:val="24"/>
        </w:rPr>
        <w:t>为变电站</w:t>
      </w:r>
      <m:oMath>
        <m:r>
          <m:rPr>
            <m:nor/>
          </m:rPr>
          <w:rPr>
            <w:rFonts w:ascii="Times New Roman" w:hAnsi="Times New Roman" w:eastAsia="方正仿宋_GBK" w:cs="Times New Roman"/>
            <w:i/>
            <w:iCs/>
          </w:rPr>
          <m:t>i</m:t>
        </m:r>
      </m:oMath>
      <w:r>
        <w:rPr>
          <w:rFonts w:ascii="Times New Roman" w:hAnsi="Times New Roman" w:eastAsia="方正仿宋_GBK"/>
          <w:b w:val="0"/>
          <w:sz w:val="24"/>
        </w:rPr>
        <w:t>全停时站外最大可供负荷，</w:t>
      </w:r>
      <m:oMath>
        <m:sSub>
          <m:sSubPr/>
          <m:e>
            <m:r>
              <m:rPr>
                <m:nor/>
              </m:rPr>
              <w:rPr>
                <w:rFonts w:ascii="Times New Roman" w:hAnsi="Times New Roman" w:eastAsia="方正仿宋_GBK" w:cs="Times New Roman"/>
                <w:i/>
                <w:iCs/>
              </w:rPr>
              <m:t>U</m:t>
            </m:r>
          </m:e>
          <m:sub>
            <m:r>
              <m:rPr>
                <m:nor/>
              </m:rPr>
              <w:rPr>
                <w:rFonts w:ascii="Times New Roman" w:hAnsi="Times New Roman" w:eastAsia="方正仿宋_GBK" w:cs="Times New Roman"/>
                <w:i/>
                <w:iCs/>
              </w:rPr>
              <m:t>i</m:t>
            </m:r>
          </m:sub>
        </m:sSub>
      </m:oMath>
      <w:r>
        <w:rPr>
          <w:rFonts w:ascii="Times New Roman" w:hAnsi="Times New Roman" w:eastAsia="方正仿宋_GBK"/>
          <w:b w:val="0"/>
          <w:sz w:val="24"/>
        </w:rPr>
        <w:t>为相应损失负荷，单位MW；</w:t>
      </w:r>
      <m:oMath>
        <m:sSub>
          <m:sSubPr/>
          <m:e>
            <m:r>
              <m:rPr>
                <m:nor/>
              </m:rPr>
              <w:rPr>
                <w:rFonts w:ascii="Times New Roman" w:hAnsi="Times New Roman" w:eastAsia="方正仿宋_GBK" w:cs="Times New Roman"/>
                <w:i/>
                <w:iCs/>
              </w:rPr>
              <m:t>r</m:t>
            </m:r>
          </m:e>
          <m:sub>
            <m:r>
              <m:rPr>
                <m:nor/>
                <m:sty m:val="p"/>
              </m:rPr>
              <w:rPr>
                <w:rFonts w:ascii="Times New Roman" w:hAnsi="Times New Roman" w:eastAsia="方正仿宋_GBK" w:cs="Times New Roman"/>
                <w:b w:val="0"/>
                <w:i w:val="0"/>
                <w:iCs w:val="0"/>
              </w:rPr>
              <m:t>region</m:t>
            </m:r>
          </m:sub>
        </m:sSub>
      </m:oMath>
      <w:r>
        <w:rPr>
          <w:rFonts w:ascii="Times New Roman" w:hAnsi="Times New Roman" w:eastAsia="方正仿宋_GBK"/>
          <w:b w:val="0"/>
          <w:sz w:val="24"/>
        </w:rPr>
        <w:t>为地区负荷加权转供率。按原表全部电压等级记录汇总，市区约92%、邳州约67%，用于描述地区网络背景和确定推广采样范围。</w:t>
      </w:r>
    </w:p>
    <w:p w14:paraId="6D6A0C03">
      <w:pPr>
        <w:pStyle w:val="5"/>
        <w:keepNext/>
        <w:numPr>
          <w:ilvl w:val="0"/>
          <w:numId w:val="0"/>
        </w:numPr>
        <w:spacing w:before="160" w:after="120" w:line="390" w:lineRule="exact"/>
        <w:ind w:firstLine="0"/>
      </w:pPr>
      <w:bookmarkStart w:id="122" w:name="逐站能力及网络约束"/>
      <w:r>
        <w:rPr>
          <w:rFonts w:ascii="Times New Roman" w:hAnsi="Times New Roman" w:eastAsia="方正仿宋_GBK"/>
          <w:b/>
          <w:sz w:val="26"/>
        </w:rPr>
        <w:t>3.6.2 逐站能力及网络约束</w:t>
      </w:r>
      <w:bookmarkEnd w:id="122"/>
    </w:p>
    <w:p w14:paraId="058038DA">
      <w:pPr>
        <w:pStyle w:val="115"/>
        <w:widowControl/>
        <w:spacing w:before="0" w:after="0" w:line="348" w:lineRule="exact"/>
        <w:ind w:firstLine="480"/>
        <w:jc w:val="both"/>
      </w:pPr>
      <w:r>
        <w:rPr>
          <w:rFonts w:ascii="Times New Roman" w:hAnsi="Times New Roman" w:eastAsia="方正仿宋_GBK"/>
          <w:b w:val="0"/>
          <w:sz w:val="24"/>
        </w:rPr>
        <w:t xml:space="preserve">地区案例将全停转供统计与110 kV站点逐一匹配，市区26座具有对应资料的变电站、邳州20座站采用对应记录</w:t>
      </w:r>
      <w:r>
        <w:rPr>
          <w:rFonts w:ascii="Times New Roman" w:hAnsi="Times New Roman" w:eastAsia="方正仿宋_GBK"/>
          <w:b w:val="0"/>
          <w:sz w:val="24"/>
        </w:rPr>
        <w:t xml:space="preserve">。</w:t>
      </w:r>
      <w:r>
        <w:rPr>
          <w:rFonts w:ascii="Times New Roman" w:hAnsi="Times New Roman" w:eastAsia="方正仿宋_GBK"/>
          <w:b w:val="0"/>
          <w:sz w:val="24"/>
        </w:rPr>
        <w:t xml:space="preserve">每站</w:t>
      </w:r>
      <w:r>
        <w:rPr>
          <w:rFonts w:ascii="Times New Roman" w:hAnsi="Times New Roman" w:eastAsia="方正仿宋_GBK"/>
          <w:b w:val="0"/>
          <w:sz w:val="24"/>
        </w:rPr>
        <w:t xml:space="preserve">统</w:t>
      </w:r>
      <w:r>
        <w:rPr>
          <w:rFonts w:ascii="Times New Roman" w:hAnsi="Times New Roman" w:eastAsia="方正仿宋_GBK"/>
          <w:b w:val="0"/>
          <w:sz w:val="24"/>
        </w:rPr>
        <w:t xml:space="preserve">计</w:t>
      </w:r>
      <w:r>
        <w:rPr>
          <w:rFonts w:ascii="Times New Roman" w:hAnsi="Times New Roman" w:eastAsia="方正仿宋_GBK"/>
          <w:b w:val="0"/>
          <w:sz w:val="24"/>
        </w:rPr>
        <w:t xml:space="preserve">转供率</w:t>
      </w:r>
      <w:r>
        <w:rPr>
          <w:rFonts w:ascii="Times New Roman" w:hAnsi="Times New Roman" w:eastAsia="方正仿宋_GBK"/>
          <w:b w:val="0"/>
          <w:sz w:val="24"/>
        </w:rPr>
        <w:t xml:space="preserve">用于描述网络背景</w:t>
      </w:r>
      <w:r>
        <w:rPr>
          <w:rFonts w:ascii="Times New Roman" w:hAnsi="Times New Roman" w:eastAsia="方正仿宋_GBK"/>
          <w:b w:val="0"/>
          <w:sz w:val="24"/>
        </w:rPr>
        <w:t xml:space="preserve">，</w:t>
      </w:r>
      <w:r>
        <w:rPr>
          <w:rFonts w:ascii="Times New Roman" w:hAnsi="Times New Roman" w:eastAsia="方正仿宋_GBK"/>
          <w:b w:val="0"/>
          <w:sz w:val="24"/>
        </w:rPr>
        <w:t xml:space="preserve">计算中的既有可转能力直接采用原始MW值，所有年份固定封顶，正常固定与事故追加切换共同占用</w:t>
      </w:r>
      <w:r>
        <w:rPr>
          <w:rFonts w:ascii="Times New Roman" w:hAnsi="Times New Roman" w:eastAsia="方正仿宋_GBK"/>
          <w:b w:val="0"/>
          <w:sz w:val="24"/>
        </w:rPr>
        <w:t xml:space="preserve">该</w:t>
      </w:r>
      <w:r>
        <w:rPr>
          <w:rFonts w:ascii="Times New Roman" w:hAnsi="Times New Roman" w:eastAsia="方正仿宋_GBK"/>
          <w:b w:val="0"/>
          <w:sz w:val="24"/>
        </w:rPr>
        <w:t xml:space="preserve">额</w:t>
      </w:r>
      <w:r>
        <w:rPr>
          <w:rFonts w:ascii="Times New Roman" w:hAnsi="Times New Roman" w:eastAsia="方正仿宋_GBK"/>
          <w:b w:val="0"/>
          <w:sz w:val="24"/>
        </w:rPr>
        <w:t xml:space="preserve">度</w:t>
      </w:r>
      <w:r>
        <w:rPr>
          <w:rFonts w:ascii="Times New Roman" w:hAnsi="Times New Roman" w:eastAsia="方正仿宋_GBK"/>
          <w:b w:val="0"/>
          <w:sz w:val="24"/>
        </w:rPr>
        <w:t xml:space="preserve">。</w:t>
      </w:r>
    </w:p>
    <w:p w14:paraId="75C052A2">
      <w:pPr>
        <w:pStyle w:val="2"/>
        <w:widowControl/>
        <w:spacing w:before="0" w:after="0" w:line="348" w:lineRule="exact"/>
        <w:ind w:firstLine="480"/>
        <w:jc w:val="both"/>
      </w:pPr>
      <w:r>
        <w:rPr>
          <w:rFonts w:ascii="Times New Roman" w:hAnsi="Times New Roman" w:eastAsia="方正仿宋_GBK"/>
          <w:b w:val="0"/>
          <w:sz w:val="24"/>
        </w:rPr>
        <w:t xml:space="preserve">既有通道与新增候选分别记录馈线端点和有效容量，</w:t>
      </w:r>
      <w:r>
        <w:rPr>
          <w:rFonts w:ascii="Times New Roman" w:hAnsi="Times New Roman" w:eastAsia="方正仿宋_GBK"/>
          <w:b w:val="0"/>
          <w:sz w:val="24"/>
        </w:rPr>
        <w:t xml:space="preserve">年度</w:t>
      </w:r>
      <w:r>
        <w:rPr>
          <w:rFonts w:ascii="Times New Roman" w:hAnsi="Times New Roman" w:eastAsia="方正仿宋_GBK"/>
          <w:b w:val="0"/>
          <w:sz w:val="24"/>
        </w:rPr>
        <w:t xml:space="preserve">正常</w:t>
      </w:r>
      <w:r>
        <w:rPr>
          <w:rFonts w:ascii="Times New Roman" w:hAnsi="Times New Roman" w:eastAsia="方正仿宋_GBK"/>
          <w:b w:val="0"/>
          <w:sz w:val="24"/>
        </w:rPr>
        <w:t xml:space="preserve">供区</w:t>
      </w:r>
      <w:r>
        <w:rPr>
          <w:rFonts w:ascii="Times New Roman" w:hAnsi="Times New Roman" w:eastAsia="方正仿宋_GBK"/>
          <w:b w:val="0"/>
          <w:sz w:val="24"/>
        </w:rPr>
        <w:t xml:space="preserve">与各站</w:t>
      </w:r>
      <w:r>
        <w:rPr>
          <w:rFonts w:ascii="Times New Roman" w:hAnsi="Times New Roman" w:eastAsia="方正仿宋_GBK"/>
          <w:b w:val="0"/>
          <w:sz w:val="24"/>
        </w:rPr>
        <w:t xml:space="preserve">故障</w:t>
      </w:r>
      <w:r>
        <w:rPr>
          <w:rFonts w:ascii="Times New Roman" w:hAnsi="Times New Roman" w:eastAsia="方正仿宋_GBK"/>
          <w:b w:val="0"/>
          <w:sz w:val="24"/>
        </w:rPr>
        <w:t xml:space="preserve">追加切换预案固定，故障追加仅将故障站原属区段切换到直接邻站</w:t>
      </w:r>
      <w:r>
        <w:rPr>
          <w:rFonts w:ascii="Times New Roman" w:hAnsi="Times New Roman" w:eastAsia="方正仿宋_GBK"/>
          <w:b w:val="0"/>
          <w:sz w:val="24"/>
        </w:rPr>
        <w:t xml:space="preserve">。各通道共同校核源端可切负荷、共享馈线余量和接收站容量，新增联络单项有效能力为7.49 MW，工程费用按地区电缆长度占比计算。</w:t>
      </w:r>
    </w:p>
    <w:p w14:paraId="3A4A9FBE">
      <w:pPr>
        <w:pStyle w:val="2"/>
        <w:widowControl/>
        <w:spacing w:before="0" w:after="0" w:line="348" w:lineRule="exact"/>
        <w:ind w:firstLine="480"/>
        <w:jc w:val="both"/>
      </w:pPr>
      <w:r>
        <w:rPr>
          <w:rFonts w:ascii="Times New Roman" w:hAnsi="Times New Roman" w:eastAsia="方正仿宋_GBK"/>
          <w:b w:val="0"/>
          <w:sz w:val="24"/>
        </w:rPr>
        <w:t>DL/T 5729—2023第7.1.2条对A+、A类及B、C类供电区域的中压负荷转移比例分别给出50%～70%、30%～50%的参考[5]。本研究保留上述分区依据，地区案例采用补充资料的逐站MW能力，推广模板按10%～90%初始转供率设置基期网络。</w:t>
      </w:r>
    </w:p>
    <w:p w14:paraId="4EC4FD69">
      <w:pPr>
        <w:pStyle w:val="5"/>
        <w:keepNext/>
        <w:numPr>
          <w:ilvl w:val="0"/>
          <w:numId w:val="0"/>
        </w:numPr>
        <w:spacing w:before="160" w:after="120" w:line="390" w:lineRule="exact"/>
        <w:ind w:firstLine="0"/>
      </w:pPr>
      <w:bookmarkStart w:id="123" w:name="电源归属及反向功率"/>
      <w:r>
        <w:rPr>
          <w:rFonts w:ascii="Times New Roman" w:hAnsi="Times New Roman" w:eastAsia="方正仿宋_GBK"/>
          <w:b/>
          <w:sz w:val="26"/>
        </w:rPr>
        <w:t>3.6.3 电源归属及反向功率</w:t>
      </w:r>
      <w:bookmarkEnd w:id="123"/>
    </w:p>
    <w:p w14:paraId="7FB94A5B">
      <w:pPr>
        <w:pStyle w:val="115"/>
        <w:widowControl/>
        <w:spacing w:before="0" w:after="0" w:line="348" w:lineRule="exact"/>
        <w:ind w:firstLine="480"/>
        <w:jc w:val="both"/>
      </w:pPr>
      <w:r>
        <w:rPr>
          <w:rFonts w:ascii="Times New Roman" w:hAnsi="Times New Roman" w:eastAsia="方正仿宋_GBK"/>
          <w:b w:val="0"/>
          <w:sz w:val="24"/>
        </w:rPr>
        <w:t xml:space="preserve">地区案例按源荷区段同时切换</w:t>
      </w:r>
      <w:r>
        <w:rPr>
          <w:rFonts w:ascii="Times New Roman" w:hAnsi="Times New Roman" w:eastAsia="方正仿宋_GBK"/>
          <w:b w:val="0"/>
          <w:sz w:val="24"/>
        </w:rPr>
        <w:t xml:space="preserve">用电负荷</w:t>
      </w:r>
      <w:r>
        <w:rPr>
          <w:rFonts w:ascii="Times New Roman" w:hAnsi="Times New Roman" w:eastAsia="方正仿宋_GBK"/>
          <w:b w:val="0"/>
          <w:sz w:val="24"/>
        </w:rPr>
        <w:t xml:space="preserve">和区段内光伏</w:t>
      </w:r>
      <w:r>
        <w:rPr>
          <w:rFonts w:ascii="Times New Roman" w:hAnsi="Times New Roman" w:eastAsia="方正仿宋_GBK"/>
          <w:b w:val="0"/>
          <w:sz w:val="24"/>
        </w:rPr>
        <w:t xml:space="preserve">，</w:t>
      </w:r>
      <w:r>
        <w:rPr>
          <w:rFonts w:ascii="Times New Roman" w:hAnsi="Times New Roman" w:eastAsia="方正仿宋_GBK"/>
          <w:b w:val="0"/>
          <w:sz w:val="24"/>
        </w:rPr>
        <w:t xml:space="preserve">按转</w:t>
      </w:r>
      <w:r>
        <w:rPr>
          <w:rFonts w:ascii="Times New Roman" w:hAnsi="Times New Roman" w:eastAsia="方正仿宋_GBK"/>
          <w:b w:val="0"/>
          <w:sz w:val="24"/>
        </w:rPr>
        <w:t xml:space="preserve">接后的带符号净</w:t>
      </w:r>
      <w:r>
        <w:rPr>
          <w:rFonts w:ascii="Times New Roman" w:hAnsi="Times New Roman" w:eastAsia="方正仿宋_GBK"/>
          <w:b w:val="0"/>
          <w:sz w:val="24"/>
        </w:rPr>
        <w:t xml:space="preserve">功率</w:t>
      </w:r>
      <w:r>
        <w:rPr>
          <w:rFonts w:ascii="Times New Roman" w:hAnsi="Times New Roman" w:eastAsia="方正仿宋_GBK"/>
          <w:b w:val="0"/>
          <w:sz w:val="24"/>
        </w:rPr>
        <w:t xml:space="preserve">校核正向供电</w:t>
      </w:r>
      <w:r>
        <w:rPr>
          <w:rFonts w:ascii="Times New Roman" w:hAnsi="Times New Roman" w:eastAsia="方正仿宋_GBK"/>
          <w:b w:val="0"/>
          <w:sz w:val="24"/>
        </w:rPr>
        <w:t xml:space="preserve">与</w:t>
      </w:r>
      <w:r>
        <w:rPr>
          <w:rFonts w:ascii="Times New Roman" w:hAnsi="Times New Roman" w:eastAsia="方正仿宋_GBK"/>
          <w:b w:val="0"/>
          <w:sz w:val="24"/>
        </w:rPr>
        <w:t xml:space="preserve">反向容量。转出</w:t>
      </w:r>
      <w:r>
        <w:rPr>
          <w:rFonts w:ascii="Times New Roman" w:hAnsi="Times New Roman" w:eastAsia="方正仿宋_GBK"/>
          <w:b w:val="0"/>
          <w:sz w:val="24"/>
        </w:rPr>
        <w:t xml:space="preserve">区段受</w:t>
      </w:r>
      <w:r>
        <w:rPr>
          <w:rFonts w:ascii="Times New Roman" w:hAnsi="Times New Roman" w:eastAsia="方正仿宋_GBK"/>
          <w:b w:val="0"/>
          <w:sz w:val="24"/>
        </w:rPr>
        <w:t xml:space="preserve">本站</w:t>
      </w:r>
      <w:r>
        <w:rPr>
          <w:rFonts w:ascii="Times New Roman" w:hAnsi="Times New Roman" w:eastAsia="方正仿宋_GBK"/>
          <w:b w:val="0"/>
          <w:sz w:val="24"/>
        </w:rPr>
        <w:t xml:space="preserve">可</w:t>
      </w:r>
      <w:r>
        <w:rPr>
          <w:rFonts w:ascii="Times New Roman" w:hAnsi="Times New Roman" w:eastAsia="方正仿宋_GBK"/>
          <w:b w:val="0"/>
          <w:sz w:val="24"/>
        </w:rPr>
        <w:t xml:space="preserve">切换区段、既有MW预算及可用路径</w:t>
      </w:r>
      <w:r>
        <w:rPr>
          <w:rFonts w:ascii="Times New Roman" w:hAnsi="Times New Roman" w:eastAsia="方正仿宋_GBK"/>
          <w:b w:val="0"/>
          <w:sz w:val="24"/>
        </w:rPr>
        <w:t xml:space="preserve">限</w:t>
      </w:r>
      <w:r>
        <w:rPr>
          <w:rFonts w:ascii="Times New Roman" w:hAnsi="Times New Roman" w:eastAsia="方正仿宋_GBK"/>
          <w:b w:val="0"/>
          <w:sz w:val="24"/>
        </w:rPr>
        <w:t xml:space="preserve">制</w:t>
      </w:r>
      <w:r>
        <w:rPr>
          <w:rFonts w:ascii="Times New Roman" w:hAnsi="Times New Roman" w:eastAsia="方正仿宋_GBK"/>
          <w:b w:val="0"/>
          <w:sz w:val="24"/>
        </w:rPr>
        <w:t xml:space="preserve">，区域内部转入</w:t>
      </w:r>
      <w:r>
        <w:rPr>
          <w:rFonts w:ascii="Times New Roman" w:hAnsi="Times New Roman" w:eastAsia="方正仿宋_GBK"/>
          <w:b w:val="0"/>
          <w:sz w:val="24"/>
        </w:rPr>
        <w:t xml:space="preserve">与</w:t>
      </w:r>
      <w:r>
        <w:rPr>
          <w:rFonts w:ascii="Times New Roman" w:hAnsi="Times New Roman" w:eastAsia="方正仿宋_GBK"/>
          <w:b w:val="0"/>
          <w:sz w:val="24"/>
        </w:rPr>
        <w:t xml:space="preserve">转出</w:t>
      </w:r>
      <w:r>
        <w:rPr>
          <w:rFonts w:ascii="Times New Roman" w:hAnsi="Times New Roman" w:eastAsia="方正仿宋_GBK"/>
          <w:b w:val="0"/>
          <w:sz w:val="24"/>
        </w:rPr>
        <w:t xml:space="preserve">保持同小时平衡</w:t>
      </w:r>
      <w:r>
        <w:rPr>
          <w:rFonts w:ascii="Times New Roman" w:hAnsi="Times New Roman" w:eastAsia="方正仿宋_GBK"/>
          <w:b w:val="0"/>
          <w:sz w:val="24"/>
        </w:rPr>
        <w:t xml:space="preserve">。</w:t>
      </w:r>
    </w:p>
    <w:p w14:paraId="2BB3D8DC">
      <w:pPr>
        <w:pStyle w:val="4"/>
        <w:keepNext/>
        <w:numPr>
          <w:ilvl w:val="0"/>
          <w:numId w:val="0"/>
        </w:numPr>
        <w:spacing w:before="160" w:after="120" w:line="480" w:lineRule="exact"/>
        <w:ind w:firstLine="0"/>
      </w:pPr>
      <w:bookmarkStart w:id="315" w:name="Report1017_h447"/>
      <w:bookmarkEnd w:id="315"/>
      <w:bookmarkStart w:id="124" w:name="h447"/>
      <w:bookmarkStart w:id="125" w:name="站级负载率与配置需求"/>
      <w:r>
        <w:rPr>
          <w:rFonts w:ascii="Times New Roman" w:hAnsi="Times New Roman" w:eastAsia="方正仿宋_GBK"/>
          <w:b/>
          <w:sz w:val="32"/>
        </w:rPr>
        <w:t>3.7 站级负载率与配置需求</w:t>
      </w:r>
      <w:bookmarkEnd w:id="124"/>
      <w:bookmarkEnd w:id="125"/>
    </w:p>
    <w:p w14:paraId="5D62BA70">
      <w:pPr>
        <w:pStyle w:val="5"/>
        <w:keepNext/>
        <w:numPr>
          <w:ilvl w:val="0"/>
          <w:numId w:val="0"/>
        </w:numPr>
        <w:spacing w:before="160" w:after="120" w:line="390" w:lineRule="exact"/>
        <w:ind w:firstLine="0"/>
      </w:pPr>
      <w:bookmarkStart w:id="126" w:name="邳州站级相对负载"/>
      <w:r>
        <w:rPr>
          <w:rFonts w:ascii="Times New Roman" w:hAnsi="Times New Roman" w:eastAsia="方正仿宋_GBK"/>
          <w:b/>
          <w:sz w:val="26"/>
        </w:rPr>
        <w:t>3.7.1 邳州站级相对负载</w:t>
      </w:r>
      <w:bookmarkEnd w:id="126"/>
    </w:p>
    <w:p w14:paraId="5B6BD0CC">
      <w:pPr>
        <w:pStyle w:val="115"/>
        <w:widowControl/>
        <w:spacing w:before="0" w:after="0" w:line="348" w:lineRule="exact"/>
        <w:ind w:firstLine="480"/>
        <w:jc w:val="both"/>
      </w:pPr>
      <w:r>
        <w:rPr>
          <w:rFonts w:ascii="Times New Roman" w:hAnsi="Times New Roman" w:eastAsia="方正仿宋_GBK"/>
          <w:b w:val="0"/>
          <w:sz w:val="24"/>
        </w:rPr>
        <w:t>图中比较各站2022—2025年的负载率，反映年度负荷变化对相同设备结构的影响。</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3511296"/>
            <wp:effectExtent b="0" l="0" r="0" t="0"/>
            <wp:docPr descr="" title="" id="84"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ReportRevision2"/>
                    <a:stretch>
                      <a:fillRect/>
                    </a:stretch>
                  </pic:blipFill>
                  <pic:spPr bwMode="auto">
                    <a:xfrm>
                      <a:off x="0" y="0"/>
                      <a:ext cx="5120640" cy="3511296"/>
                    </a:xfrm>
                    <a:prstGeom prst="rect">
                      <a:avLst/>
                    </a:prstGeom>
                    <a:noFill/>
                    <a:ln w="9525">
                      <a:noFill/>
                      <a:headEnd/>
                      <a:tailEnd/>
                    </a:ln>
                  </pic:spPr>
                </pic:pic>
              </a:graphicData>
            </a:graphic>
          </wp:inline>
        </w:drawing>
      </w:r>
    </w:p>
    <w:p w14:paraId="092E1474">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图3-13 邳州站级负载率</w:t>
      </w:r>
    </w:p>
    <w:p w14:paraId="73E71056">
      <w:pPr>
        <w:pStyle w:val="5"/>
        <w:keepNext/>
        <w:numPr>
          <w:ilvl w:val="0"/>
          <w:numId w:val="0"/>
        </w:numPr>
        <w:spacing w:before="160" w:after="120" w:line="390" w:lineRule="exact"/>
        <w:ind w:firstLine="0"/>
      </w:pPr>
      <w:bookmarkStart w:id="127" w:name="市区站级相对负载"/>
      <w:r>
        <w:rPr>
          <w:rFonts w:ascii="Times New Roman" w:hAnsi="Times New Roman" w:eastAsia="方正仿宋_GBK"/>
          <w:b/>
          <w:sz w:val="26"/>
        </w:rPr>
        <w:t>3.7.2 市区站级相对负载</w:t>
      </w:r>
      <w:bookmarkEnd w:id="127"/>
    </w:p>
    <w:p xmlns:a="http://schemas.openxmlformats.org/drawingml/2006/main" xmlns:pic="http://schemas.openxmlformats.org/drawingml/2006/picture">
      <w:pPr>
        <w:pStyle w:val="115"/>
        <w:keepNext/>
        <w:spacing w:line="240" w:lineRule="auto" w:before="120" w:after="0"/>
        <w:ind w:firstLine="0" w:firstLineChars="0" w:hanging="0" w:hangingChars="0" w:left="0" w:right="0" w:start="0" w:end="0" w:leftChars="0" w:rightChars="0" w:startChars="0" w:endChars="0"/>
        <w:jc w:val="center"/>
        <w:rPr/>
      </w:pPr>
      <w:r>
        <w:drawing>
          <wp:inline>
            <wp:extent cx="5120640" cy="4564684"/>
            <wp:effectExtent b="0" l="0" r="0" t="0"/>
            <wp:docPr descr="" title="" id="85"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ReportRevision3"/>
                    <a:stretch>
                      <a:fillRect/>
                    </a:stretch>
                  </pic:blipFill>
                  <pic:spPr bwMode="auto">
                    <a:xfrm>
                      <a:off x="0" y="0"/>
                      <a:ext cx="5120640" cy="4564684"/>
                    </a:xfrm>
                    <a:prstGeom prst="rect">
                      <a:avLst/>
                    </a:prstGeom>
                    <a:noFill/>
                    <a:ln w="9525">
                      <a:noFill/>
                      <a:headEnd/>
                      <a:tailEnd/>
                    </a:ln>
                  </pic:spPr>
                </pic:pic>
              </a:graphicData>
            </a:graphic>
          </wp:inline>
        </w:drawing>
      </w:r>
    </w:p>
    <w:p w14:paraId="28B2C74B">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图3-14 市区站级负载率</w:t>
      </w:r>
    </w:p>
    <w:p w14:paraId="14CB5BF3">
      <w:pPr>
        <w:pStyle w:val="5"/>
        <w:keepNext/>
        <w:numPr>
          <w:ilvl w:val="0"/>
          <w:numId w:val="0"/>
        </w:numPr>
        <w:spacing w:before="160" w:after="120" w:line="390" w:lineRule="exact"/>
        <w:ind w:firstLine="0"/>
      </w:pPr>
      <w:bookmarkStart w:id="128" w:name="负载率与规划措施的联系"/>
      <w:r>
        <w:rPr>
          <w:rFonts w:ascii="Times New Roman" w:hAnsi="Times New Roman" w:eastAsia="方正仿宋_GBK"/>
          <w:b/>
          <w:sz w:val="26"/>
        </w:rPr>
        <w:t>3.7.3 负载率与规划措施的联系</w:t>
      </w:r>
      <w:bookmarkEnd w:id="128"/>
    </w:p>
    <w:p w14:paraId="6EF08554">
      <w:pPr>
        <w:pStyle w:val="115"/>
        <w:widowControl/>
        <w:spacing w:before="0" w:after="0" w:line="348" w:lineRule="exact"/>
        <w:ind w:firstLine="480"/>
        <w:jc w:val="both"/>
      </w:pPr>
      <w:r>
        <w:rPr>
          <w:rFonts w:ascii="Times New Roman" w:hAnsi="Times New Roman" w:eastAsia="方正仿宋_GBK"/>
          <w:b w:val="0"/>
          <w:sz w:val="24"/>
        </w:rPr>
        <w:t>站级负载率超过100%时，需要通过转供、扩容或储能满足容量需求。具体配置结合正常运行与主变N-1约束在第五章比较。</w:t>
      </w:r>
    </w:p>
    <w:p w14:paraId="458C0912">
      <w:pPr>
        <w:pStyle w:val="5"/>
        <w:keepNext/>
        <w:numPr>
          <w:ilvl w:val="0"/>
          <w:numId w:val="0"/>
        </w:numPr>
        <w:spacing w:before="160" w:after="120" w:line="390" w:lineRule="exact"/>
        <w:ind w:firstLine="0"/>
      </w:pPr>
      <w:bookmarkStart w:id="129" w:name="较高负载率站的方向与配置条件"/>
      <w:r>
        <w:rPr>
          <w:rFonts w:ascii="Times New Roman" w:hAnsi="Times New Roman" w:eastAsia="方正仿宋_GBK"/>
          <w:b/>
          <w:sz w:val="26"/>
        </w:rPr>
        <w:t>3.7.4 较高负载率站的方向与配置条件</w:t>
      </w:r>
      <w:bookmarkEnd w:id="129"/>
    </w:p>
    <w:p w14:paraId="562B0DC6">
      <w:pPr>
        <w:pStyle w:val="115"/>
        <w:keepNext/>
        <w:spacing w:before="120" w:after="80" w:line="280" w:lineRule="exact"/>
        <w:ind w:firstLine="0"/>
        <w:jc w:val="center"/>
      </w:pPr>
      <w:r>
        <w:rPr>
          <w:rFonts w:ascii="Times New Roman" w:hAnsi="Times New Roman" w:eastAsia="宋体"/>
          <w:b w:val="0"/>
          <w:sz w:val="21"/>
        </w:rPr>
        <w:t>表3-19 2025年站级负载率较高的站</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68.68%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66.30%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62.78%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108.71%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107.16%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85.93%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76.91%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75.83%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w:t>
            </w:r>
          </w:p>
        </w:tc>
      </w:tr>
    </w:tbl>
    <w:p w14:paraId="669EF4F0">
      <w:pPr>
        <w:pStyle w:val="2"/>
        <w:widowControl/>
        <w:spacing w:before="0" w:after="0" w:line="348" w:lineRule="exact"/>
        <w:ind w:firstLine="480"/>
        <w:jc w:val="both"/>
      </w:pPr>
      <w:r>
        <w:rPr>
          <w:rFonts w:ascii="Times New Roman" w:hAnsi="Times New Roman" w:eastAsia="方正仿宋_GBK"/>
          <w:b w:val="0"/>
          <w:sz w:val="24"/>
        </w:rPr>
        <w:t>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14:paraId="409D0468">
      <w:pPr>
        <w:pStyle w:val="5"/>
        <w:keepNext/>
        <w:numPr>
          <w:ilvl w:val="0"/>
          <w:numId w:val="0"/>
        </w:numPr>
        <w:spacing w:before="160" w:after="120" w:line="390" w:lineRule="exact"/>
        <w:ind w:firstLine="0"/>
      </w:pPr>
      <w:bookmarkStart w:id="130" w:name="站级功率的主导方向"/>
      <w:r>
        <w:rPr>
          <w:rFonts w:ascii="Times New Roman" w:hAnsi="Times New Roman" w:eastAsia="方正仿宋_GBK"/>
          <w:b/>
          <w:sz w:val="26"/>
        </w:rPr>
        <w:t>3.7.5 站级功率的主导方向</w:t>
      </w:r>
      <w:bookmarkEnd w:id="130"/>
    </w:p>
    <w:p w14:paraId="3A577ED6">
      <w:pPr>
        <w:pStyle w:val="115"/>
        <w:keepNext/>
        <w:spacing w:before="120" w:after="80" w:line="280" w:lineRule="exact"/>
        <w:ind w:firstLine="0"/>
        <w:jc w:val="center"/>
      </w:pPr>
      <w:r>
        <w:rPr>
          <w:rFonts w:ascii="Times New Roman" w:hAnsi="Times New Roman" w:eastAsia="宋体"/>
          <w:b w:val="0"/>
          <w:sz w:val="21"/>
        </w:rPr>
        <w:t>表3-20 站级展示范围内的功率方向及相对压力</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r>
    </w:tbl>
    <w:p w14:paraId="4E6EF3D8">
      <w:pPr>
        <w:pStyle w:val="2"/>
        <w:widowControl/>
        <w:spacing w:before="0" w:after="0" w:line="348" w:lineRule="exact"/>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w:t>
      </w:r>
      <w:r>
        <w:rPr>
          <w:rFonts w:ascii="Times New Roman" w:hAnsi="Times New Roman" w:eastAsia="方正仿宋_GBK"/>
          <w:b w:val="0"/>
          <w:sz w:val="24"/>
        </w:rPr>
        <w:t xml:space="preserve">校核区段源</w:t>
      </w:r>
      <w:r>
        <w:rPr>
          <w:rFonts w:ascii="Times New Roman" w:hAnsi="Times New Roman" w:eastAsia="方正仿宋_GBK"/>
          <w:b w:val="0"/>
          <w:sz w:val="24"/>
        </w:rPr>
        <w:t xml:space="preserve">荷</w:t>
      </w:r>
      <w:r>
        <w:rPr>
          <w:rFonts w:ascii="Times New Roman" w:hAnsi="Times New Roman" w:eastAsia="方正仿宋_GBK"/>
          <w:b w:val="0"/>
          <w:sz w:val="24"/>
        </w:rPr>
        <w:t xml:space="preserve">共同切换</w:t>
      </w:r>
      <w:r>
        <w:rPr>
          <w:rFonts w:ascii="Times New Roman" w:hAnsi="Times New Roman" w:eastAsia="方正仿宋_GBK"/>
          <w:b w:val="0"/>
          <w:sz w:val="24"/>
        </w:rPr>
        <w:t xml:space="preserve">后</w:t>
      </w:r>
      <w:r>
        <w:rPr>
          <w:rFonts w:ascii="Times New Roman" w:hAnsi="Times New Roman" w:eastAsia="方正仿宋_GBK"/>
          <w:b w:val="0"/>
          <w:sz w:val="24"/>
        </w:rPr>
        <w:t xml:space="preserve">的</w:t>
      </w:r>
      <w:r>
        <w:rPr>
          <w:rFonts w:ascii="Times New Roman" w:hAnsi="Times New Roman" w:eastAsia="方正仿宋_GBK"/>
          <w:b w:val="0"/>
          <w:sz w:val="24"/>
        </w:rPr>
        <w:t xml:space="preserve">本站</w:t>
      </w:r>
      <w:r>
        <w:rPr>
          <w:rFonts w:ascii="Times New Roman" w:hAnsi="Times New Roman" w:eastAsia="方正仿宋_GBK"/>
          <w:b w:val="0"/>
          <w:sz w:val="24"/>
        </w:rPr>
        <w:t xml:space="preserve">及邻站</w:t>
      </w:r>
      <w:r>
        <w:rPr>
          <w:rFonts w:ascii="Times New Roman" w:hAnsi="Times New Roman" w:eastAsia="方正仿宋_GBK"/>
          <w:b w:val="0"/>
          <w:sz w:val="24"/>
        </w:rPr>
        <w:t xml:space="preserve">反</w:t>
      </w:r>
      <w:r>
        <w:rPr>
          <w:rFonts w:ascii="Times New Roman" w:hAnsi="Times New Roman" w:eastAsia="方正仿宋_GBK"/>
          <w:b w:val="0"/>
          <w:sz w:val="24"/>
        </w:rPr>
        <w:t xml:space="preserve">向输</w:t>
      </w:r>
      <w:r>
        <w:rPr>
          <w:rFonts w:ascii="Times New Roman" w:hAnsi="Times New Roman" w:eastAsia="方正仿宋_GBK"/>
          <w:b w:val="0"/>
          <w:sz w:val="24"/>
        </w:rPr>
        <w:t xml:space="preserve">送需求。建设方案以第五章逐工况网络校核为依据。</w:t>
      </w:r>
    </w:p>
    <w:p w14:paraId="36577011">
      <w:pPr>
        <w:pStyle w:val="4"/>
        <w:keepNext/>
        <w:numPr>
          <w:ilvl w:val="0"/>
          <w:numId w:val="0"/>
        </w:numPr>
        <w:spacing w:before="160" w:after="120" w:line="480" w:lineRule="exact"/>
        <w:ind w:firstLine="0"/>
      </w:pPr>
      <w:bookmarkStart w:id="316" w:name="Report1017_h463"/>
      <w:bookmarkEnd w:id="316"/>
      <w:bookmarkStart w:id="131" w:name="运行特征的综合分析"/>
      <w:bookmarkStart w:id="132" w:name="h463"/>
      <w:r>
        <w:rPr>
          <w:rFonts w:ascii="Times New Roman" w:hAnsi="Times New Roman" w:eastAsia="方正仿宋_GBK"/>
          <w:b/>
          <w:sz w:val="32"/>
        </w:rPr>
        <w:t>3.8 运行特征的综合分析</w:t>
      </w:r>
      <w:bookmarkEnd w:id="131"/>
      <w:bookmarkEnd w:id="132"/>
    </w:p>
    <w:p w14:paraId="77BAB190">
      <w:pPr>
        <w:pStyle w:val="5"/>
        <w:keepNext/>
        <w:numPr>
          <w:ilvl w:val="0"/>
          <w:numId w:val="0"/>
        </w:numPr>
        <w:spacing w:before="160" w:after="120" w:line="390" w:lineRule="exact"/>
        <w:ind w:firstLine="0"/>
      </w:pPr>
      <w:bookmarkStart w:id="133" w:name="容量建设与负荷变化的不同作用"/>
      <w:r>
        <w:rPr>
          <w:rFonts w:ascii="Times New Roman" w:hAnsi="Times New Roman" w:eastAsia="方正仿宋_GBK"/>
          <w:b/>
          <w:sz w:val="26"/>
        </w:rPr>
        <w:t>3.8.1 容量建设与负荷变化的不同作用</w:t>
      </w:r>
      <w:bookmarkEnd w:id="133"/>
    </w:p>
    <w:p w14:paraId="7409F631">
      <w:pPr>
        <w:pStyle w:val="115"/>
        <w:widowControl/>
        <w:spacing w:before="0" w:after="0" w:line="348" w:lineRule="exact"/>
        <w:ind w:firstLine="480"/>
        <w:jc w:val="both"/>
      </w:pPr>
      <w:r>
        <w:rPr>
          <w:rFonts w:ascii="Times New Roman" w:hAnsi="Times New Roman" w:eastAsia="方正仿宋_GBK"/>
          <w:b w:val="0"/>
          <w:sz w:val="24"/>
        </w:rPr>
        <w:t>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14:paraId="4F58E28E">
      <w:pPr>
        <w:pStyle w:val="2"/>
        <w:widowControl/>
        <w:spacing w:before="0" w:after="0" w:line="348" w:lineRule="exact"/>
        <w:ind w:firstLine="480"/>
        <w:jc w:val="both"/>
      </w:pPr>
      <w:r>
        <w:rPr>
          <w:rFonts w:ascii="Times New Roman" w:hAnsi="Times New Roman" w:eastAsia="方正仿宋_GBK"/>
          <w:b w:val="0"/>
          <w:sz w:val="24"/>
        </w:rPr>
        <w:t>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14:paraId="3294BFD9">
      <w:pPr>
        <w:pStyle w:val="2"/>
        <w:keepNext/>
        <w:spacing w:before="120" w:after="80" w:line="280" w:lineRule="exact"/>
        <w:ind w:firstLine="0"/>
        <w:jc w:val="center"/>
      </w:pPr>
      <w:r>
        <w:rPr>
          <w:rFonts w:ascii="Times New Roman" w:hAnsi="Times New Roman" w:eastAsia="宋体"/>
          <w:b w:val="0"/>
          <w:sz w:val="21"/>
        </w:rPr>
        <w:t>表3-21 年度容载比变化的容量与负荷分解</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44FD15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766C5018">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664FBD10">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1187" w:type="dxa"/>
            <w:tcMar>
              <w:left w:w="70" w:type="dxa"/>
              <w:right w:w="70" w:type="dxa"/>
            </w:tcMar>
            <w:vAlign w:val="center"/>
          </w:tcPr>
          <w:p w14:paraId="4CFA3A44">
            <w:pPr>
              <w:keepNext/>
              <w:spacing w:before="20" w:after="20" w:line="260" w:lineRule="exact"/>
              <w:ind w:left="0" w:leftChars="0" w:right="0" w:rightChars="0" w:firstLine="0" w:firstLineChars="0"/>
              <w:jc w:val="center"/>
            </w:pPr>
            <w:r>
              <w:rPr>
                <w:rFonts w:ascii="Times New Roman" w:hAnsi="Times New Roman" w:eastAsia="宋体"/>
                <w:b/>
                <w:sz w:val="18"/>
              </w:rPr>
              <w:t>公用主变总容量变化/MVA</w:t>
            </w:r>
          </w:p>
        </w:tc>
        <w:tc>
          <w:tcPr>
            <w:tcW w:w="1187" w:type="dxa"/>
            <w:tcMar>
              <w:left w:w="70" w:type="dxa"/>
              <w:right w:w="70" w:type="dxa"/>
            </w:tcMar>
            <w:vAlign w:val="center"/>
          </w:tcPr>
          <w:p w14:paraId="4CE29B61">
            <w:pPr>
              <w:keepNext/>
              <w:spacing w:before="20" w:after="20" w:line="260" w:lineRule="exact"/>
              <w:ind w:left="0" w:leftChars="0" w:right="0" w:rightChars="0" w:firstLine="0" w:firstLineChars="0"/>
              <w:jc w:val="center"/>
            </w:pPr>
            <w:r>
              <w:rPr>
                <w:rFonts w:ascii="Times New Roman" w:hAnsi="Times New Roman" w:eastAsia="宋体"/>
                <w:b/>
                <w:sz w:val="18"/>
              </w:rPr>
              <w:t>年网供最大负荷变化/MW</w:t>
            </w:r>
          </w:p>
        </w:tc>
        <w:tc>
          <w:tcPr>
            <w:tcW w:w="1187" w:type="dxa"/>
            <w:tcMar>
              <w:left w:w="70" w:type="dxa"/>
              <w:right w:w="70" w:type="dxa"/>
            </w:tcMar>
            <w:vAlign w:val="center"/>
          </w:tcPr>
          <w:p w14:paraId="11365F07">
            <w:pPr>
              <w:keepNext/>
              <w:spacing w:before="20" w:after="20" w:line="260" w:lineRule="exact"/>
              <w:ind w:left="0" w:leftChars="0" w:right="0" w:rightChars="0" w:firstLine="0" w:firstLineChars="0"/>
              <w:jc w:val="center"/>
            </w:pPr>
            <w:r>
              <w:rPr>
                <w:rFonts w:ascii="Times New Roman" w:hAnsi="Times New Roman" w:eastAsia="宋体"/>
                <w:b/>
                <w:sz w:val="18"/>
              </w:rPr>
              <w:t>容量变化贡献</w:t>
            </w:r>
          </w:p>
        </w:tc>
        <w:tc>
          <w:tcPr>
            <w:tcW w:w="1187" w:type="dxa"/>
            <w:tcMar>
              <w:left w:w="70" w:type="dxa"/>
              <w:right w:w="70" w:type="dxa"/>
            </w:tcMar>
            <w:vAlign w:val="center"/>
          </w:tcPr>
          <w:p w14:paraId="4F6E5F3E">
            <w:pPr>
              <w:keepNext/>
              <w:spacing w:before="20" w:after="20" w:line="260" w:lineRule="exact"/>
              <w:ind w:left="0" w:leftChars="0" w:right="0" w:rightChars="0" w:firstLine="0" w:firstLineChars="0"/>
              <w:jc w:val="center"/>
            </w:pPr>
            <w:r>
              <w:rPr>
                <w:rFonts w:ascii="Times New Roman" w:hAnsi="Times New Roman" w:eastAsia="宋体"/>
                <w:b/>
                <w:sz w:val="18"/>
              </w:rPr>
              <w:t>负荷变化贡献</w:t>
            </w:r>
          </w:p>
        </w:tc>
        <w:tc>
          <w:tcPr>
            <w:tcW w:w="1187" w:type="dxa"/>
            <w:tcMar>
              <w:left w:w="70" w:type="dxa"/>
              <w:right w:w="70" w:type="dxa"/>
            </w:tcMar>
            <w:vAlign w:val="center"/>
          </w:tcPr>
          <w:p w14:paraId="3FB82B34">
            <w:pPr>
              <w:keepNext/>
              <w:spacing w:before="20" w:after="20" w:line="260" w:lineRule="exact"/>
              <w:ind w:left="0" w:leftChars="0" w:right="0" w:rightChars="0" w:firstLine="0" w:firstLineChars="0"/>
              <w:jc w:val="center"/>
            </w:pPr>
            <w:r>
              <w:rPr>
                <w:rFonts w:ascii="Times New Roman" w:hAnsi="Times New Roman" w:eastAsia="宋体"/>
                <w:b/>
                <w:sz w:val="18"/>
              </w:rPr>
              <w:t>容载比变化</w:t>
            </w:r>
          </w:p>
        </w:tc>
      </w:tr>
      <w:tr w14:paraId="5010D4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366079FB">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12147AC0">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187" w:type="dxa"/>
            <w:tcMar>
              <w:left w:w="70" w:type="dxa"/>
              <w:right w:w="70" w:type="dxa"/>
            </w:tcMar>
            <w:vAlign w:val="center"/>
          </w:tcPr>
          <w:p w14:paraId="1224D935">
            <w:pPr>
              <w:keepNext/>
              <w:spacing w:before="20" w:after="20" w:line="260" w:lineRule="exact"/>
              <w:ind w:left="0" w:leftChars="0" w:right="0" w:rightChars="0" w:firstLine="0" w:firstLineChars="0"/>
              <w:jc w:val="center"/>
            </w:pPr>
            <w:r>
              <w:rPr>
                <w:rFonts w:ascii="Times New Roman" w:hAnsi="Times New Roman" w:eastAsia="宋体"/>
                <w:b w:val="0"/>
                <w:sz w:val="18"/>
              </w:rPr>
              <w:t>18.50</w:t>
            </w:r>
          </w:p>
        </w:tc>
        <w:tc>
          <w:tcPr>
            <w:tcW w:w="1187" w:type="dxa"/>
            <w:tcMar>
              <w:left w:w="70" w:type="dxa"/>
              <w:right w:w="70" w:type="dxa"/>
            </w:tcMar>
            <w:vAlign w:val="center"/>
          </w:tcPr>
          <w:p w14:paraId="7BEEBBC9">
            <w:pPr>
              <w:keepNext/>
              <w:spacing w:before="20" w:after="20" w:line="260" w:lineRule="exact"/>
              <w:ind w:left="0" w:leftChars="0" w:right="0" w:rightChars="0" w:firstLine="0" w:firstLineChars="0"/>
              <w:jc w:val="center"/>
            </w:pPr>
            <w:r>
              <w:rPr>
                <w:rFonts w:ascii="Times New Roman" w:hAnsi="Times New Roman" w:eastAsia="宋体"/>
                <w:b w:val="0"/>
                <w:sz w:val="18"/>
              </w:rPr>
              <w:t>93.23</w:t>
            </w:r>
          </w:p>
        </w:tc>
        <w:tc>
          <w:tcPr>
            <w:tcW w:w="1187" w:type="dxa"/>
            <w:tcMar>
              <w:left w:w="70" w:type="dxa"/>
              <w:right w:w="70" w:type="dxa"/>
            </w:tcMar>
            <w:vAlign w:val="center"/>
          </w:tcPr>
          <w:p w14:paraId="21983A6F">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1B77C657">
            <w:pPr>
              <w:keepNext/>
              <w:spacing w:before="20" w:after="20" w:line="260" w:lineRule="exact"/>
              <w:ind w:left="0" w:leftChars="0" w:right="0" w:rightChars="0" w:firstLine="0" w:firstLineChars="0"/>
              <w:jc w:val="center"/>
            </w:pPr>
            <w:r>
              <w:rPr>
                <w:rFonts w:ascii="Times New Roman" w:hAnsi="Times New Roman" w:eastAsia="宋体"/>
                <w:b w:val="0"/>
                <w:sz w:val="18"/>
              </w:rPr>
              <w:t>-0.31</w:t>
            </w:r>
          </w:p>
        </w:tc>
        <w:tc>
          <w:tcPr>
            <w:tcW w:w="1187" w:type="dxa"/>
            <w:tcMar>
              <w:left w:w="70" w:type="dxa"/>
              <w:right w:w="70" w:type="dxa"/>
            </w:tcMar>
            <w:vAlign w:val="center"/>
          </w:tcPr>
          <w:p w14:paraId="176B38D0">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r>
      <w:tr w14:paraId="60AC5D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4546EB0">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71CCECE4">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187" w:type="dxa"/>
            <w:tcMar>
              <w:left w:w="70" w:type="dxa"/>
              <w:right w:w="70" w:type="dxa"/>
            </w:tcMar>
            <w:vAlign w:val="center"/>
          </w:tcPr>
          <w:p w14:paraId="366E7EF8">
            <w:pPr>
              <w:keepNext/>
              <w:spacing w:before="20" w:after="20" w:line="260" w:lineRule="exact"/>
              <w:ind w:left="0" w:leftChars="0" w:right="0" w:rightChars="0" w:firstLine="0" w:firstLineChars="0"/>
              <w:jc w:val="center"/>
            </w:pPr>
            <w:r>
              <w:rPr>
                <w:rFonts w:ascii="Times New Roman" w:hAnsi="Times New Roman" w:eastAsia="宋体"/>
                <w:b w:val="0"/>
                <w:sz w:val="18"/>
              </w:rPr>
              <w:t>105.50</w:t>
            </w:r>
          </w:p>
        </w:tc>
        <w:tc>
          <w:tcPr>
            <w:tcW w:w="1187" w:type="dxa"/>
            <w:tcMar>
              <w:left w:w="70" w:type="dxa"/>
              <w:right w:w="70" w:type="dxa"/>
            </w:tcMar>
            <w:vAlign w:val="center"/>
          </w:tcPr>
          <w:p w14:paraId="09A89E74">
            <w:pPr>
              <w:keepNext/>
              <w:spacing w:before="20" w:after="20" w:line="260" w:lineRule="exact"/>
              <w:ind w:left="0" w:leftChars="0" w:right="0" w:rightChars="0" w:firstLine="0" w:firstLineChars="0"/>
              <w:jc w:val="center"/>
            </w:pPr>
            <w:r>
              <w:rPr>
                <w:rFonts w:ascii="Times New Roman" w:hAnsi="Times New Roman" w:eastAsia="宋体"/>
                <w:b w:val="0"/>
                <w:sz w:val="18"/>
              </w:rPr>
              <w:t>-63.77</w:t>
            </w:r>
          </w:p>
        </w:tc>
        <w:tc>
          <w:tcPr>
            <w:tcW w:w="1187" w:type="dxa"/>
            <w:tcMar>
              <w:left w:w="70" w:type="dxa"/>
              <w:right w:w="70" w:type="dxa"/>
            </w:tcMar>
            <w:vAlign w:val="center"/>
          </w:tcPr>
          <w:p w14:paraId="1094B011">
            <w:pPr>
              <w:keepNext/>
              <w:spacing w:before="20" w:after="20" w:line="260" w:lineRule="exact"/>
              <w:ind w:left="0" w:leftChars="0" w:right="0" w:rightChars="0" w:firstLine="0" w:firstLineChars="0"/>
              <w:jc w:val="center"/>
            </w:pPr>
            <w:r>
              <w:rPr>
                <w:rFonts w:ascii="Times New Roman" w:hAnsi="Times New Roman" w:eastAsia="宋体"/>
                <w:b w:val="0"/>
                <w:sz w:val="18"/>
              </w:rPr>
              <w:t>0.14</w:t>
            </w:r>
          </w:p>
        </w:tc>
        <w:tc>
          <w:tcPr>
            <w:tcW w:w="1187" w:type="dxa"/>
            <w:tcMar>
              <w:left w:w="70" w:type="dxa"/>
              <w:right w:w="70" w:type="dxa"/>
            </w:tcMar>
            <w:vAlign w:val="center"/>
          </w:tcPr>
          <w:p w14:paraId="6A7341AC">
            <w:pPr>
              <w:keepNext/>
              <w:spacing w:before="20" w:after="20" w:line="260" w:lineRule="exact"/>
              <w:ind w:left="0" w:leftChars="0" w:right="0" w:rightChars="0" w:firstLine="0" w:firstLineChars="0"/>
              <w:jc w:val="center"/>
            </w:pPr>
            <w:r>
              <w:rPr>
                <w:rFonts w:ascii="Times New Roman" w:hAnsi="Times New Roman" w:eastAsia="宋体"/>
                <w:b w:val="0"/>
                <w:sz w:val="18"/>
              </w:rPr>
              <w:t>0.21</w:t>
            </w:r>
          </w:p>
        </w:tc>
        <w:tc>
          <w:tcPr>
            <w:tcW w:w="1187" w:type="dxa"/>
            <w:tcMar>
              <w:left w:w="70" w:type="dxa"/>
              <w:right w:w="70" w:type="dxa"/>
            </w:tcMar>
            <w:vAlign w:val="center"/>
          </w:tcPr>
          <w:p w14:paraId="5D29EF61">
            <w:pPr>
              <w:keepNext/>
              <w:spacing w:before="20" w:after="20" w:line="260" w:lineRule="exact"/>
              <w:ind w:left="0" w:leftChars="0" w:right="0" w:rightChars="0" w:firstLine="0" w:firstLineChars="0"/>
              <w:jc w:val="center"/>
            </w:pPr>
            <w:r>
              <w:rPr>
                <w:rFonts w:ascii="Times New Roman" w:hAnsi="Times New Roman" w:eastAsia="宋体"/>
                <w:b w:val="0"/>
                <w:sz w:val="18"/>
              </w:rPr>
              <w:t>0.35</w:t>
            </w:r>
          </w:p>
        </w:tc>
      </w:tr>
      <w:tr w14:paraId="64DA08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A48B19A">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206BA666">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187" w:type="dxa"/>
            <w:tcMar>
              <w:left w:w="70" w:type="dxa"/>
              <w:right w:w="70" w:type="dxa"/>
            </w:tcMar>
            <w:vAlign w:val="center"/>
          </w:tcPr>
          <w:p w14:paraId="39DE958E">
            <w:pPr>
              <w:keepNext/>
              <w:spacing w:before="20" w:after="20" w:line="260" w:lineRule="exact"/>
              <w:ind w:left="0" w:leftChars="0" w:right="0" w:rightChars="0" w:firstLine="0" w:firstLineChars="0"/>
              <w:jc w:val="center"/>
            </w:pPr>
            <w:r>
              <w:rPr>
                <w:rFonts w:ascii="Times New Roman" w:hAnsi="Times New Roman" w:eastAsia="宋体"/>
                <w:b w:val="0"/>
                <w:sz w:val="18"/>
              </w:rPr>
              <w:t>18.50</w:t>
            </w:r>
          </w:p>
        </w:tc>
        <w:tc>
          <w:tcPr>
            <w:tcW w:w="1187" w:type="dxa"/>
            <w:tcMar>
              <w:left w:w="70" w:type="dxa"/>
              <w:right w:w="70" w:type="dxa"/>
            </w:tcMar>
            <w:vAlign w:val="center"/>
          </w:tcPr>
          <w:p w14:paraId="5B39D15D">
            <w:pPr>
              <w:keepNext/>
              <w:spacing w:before="20" w:after="20" w:line="260" w:lineRule="exact"/>
              <w:ind w:left="0" w:leftChars="0" w:right="0" w:rightChars="0" w:firstLine="0" w:firstLineChars="0"/>
              <w:jc w:val="center"/>
            </w:pPr>
            <w:r>
              <w:rPr>
                <w:rFonts w:ascii="Times New Roman" w:hAnsi="Times New Roman" w:eastAsia="宋体"/>
                <w:b w:val="0"/>
                <w:sz w:val="18"/>
              </w:rPr>
              <w:t>101.43</w:t>
            </w:r>
          </w:p>
        </w:tc>
        <w:tc>
          <w:tcPr>
            <w:tcW w:w="1187" w:type="dxa"/>
            <w:tcMar>
              <w:left w:w="70" w:type="dxa"/>
              <w:right w:w="70" w:type="dxa"/>
            </w:tcMar>
            <w:vAlign w:val="center"/>
          </w:tcPr>
          <w:p w14:paraId="523CFD45">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7F042ED6">
            <w:pPr>
              <w:keepNext/>
              <w:spacing w:before="20" w:after="20" w:line="260" w:lineRule="exact"/>
              <w:ind w:left="0" w:leftChars="0" w:right="0" w:rightChars="0" w:firstLine="0" w:firstLineChars="0"/>
              <w:jc w:val="center"/>
            </w:pPr>
            <w:r>
              <w:rPr>
                <w:rFonts w:ascii="Times New Roman" w:hAnsi="Times New Roman" w:eastAsia="宋体"/>
                <w:b w:val="0"/>
                <w:sz w:val="18"/>
              </w:rPr>
              <w:t>-0.33</w:t>
            </w:r>
          </w:p>
        </w:tc>
        <w:tc>
          <w:tcPr>
            <w:tcW w:w="1187" w:type="dxa"/>
            <w:tcMar>
              <w:left w:w="70" w:type="dxa"/>
              <w:right w:w="70" w:type="dxa"/>
            </w:tcMar>
            <w:vAlign w:val="center"/>
          </w:tcPr>
          <w:p w14:paraId="6FDC601D">
            <w:pPr>
              <w:keepNext/>
              <w:spacing w:before="20" w:after="20" w:line="260" w:lineRule="exact"/>
              <w:ind w:left="0" w:leftChars="0" w:right="0" w:rightChars="0" w:firstLine="0" w:firstLineChars="0"/>
              <w:jc w:val="center"/>
            </w:pPr>
            <w:r>
              <w:rPr>
                <w:rFonts w:ascii="Times New Roman" w:hAnsi="Times New Roman" w:eastAsia="宋体"/>
                <w:b w:val="0"/>
                <w:sz w:val="18"/>
              </w:rPr>
              <w:t>-0.31</w:t>
            </w:r>
          </w:p>
        </w:tc>
      </w:tr>
      <w:tr w14:paraId="51ED61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258804E3">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391E8C21">
            <w:pPr>
              <w:keepNext/>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187" w:type="dxa"/>
            <w:tcMar>
              <w:left w:w="70" w:type="dxa"/>
              <w:right w:w="70" w:type="dxa"/>
            </w:tcMar>
            <w:vAlign w:val="center"/>
          </w:tcPr>
          <w:p w14:paraId="7D1B5158">
            <w:pPr>
              <w:keepNext/>
              <w:spacing w:before="20" w:after="20" w:line="260" w:lineRule="exact"/>
              <w:ind w:left="0" w:leftChars="0" w:right="0" w:rightChars="0" w:firstLine="0" w:firstLineChars="0"/>
              <w:jc w:val="center"/>
            </w:pPr>
            <w:r>
              <w:rPr>
                <w:rFonts w:ascii="Times New Roman" w:hAnsi="Times New Roman" w:eastAsia="宋体"/>
                <w:b w:val="0"/>
                <w:sz w:val="18"/>
              </w:rPr>
              <w:t>-30.00</w:t>
            </w:r>
          </w:p>
        </w:tc>
        <w:tc>
          <w:tcPr>
            <w:tcW w:w="1187" w:type="dxa"/>
            <w:tcMar>
              <w:left w:w="70" w:type="dxa"/>
              <w:right w:w="70" w:type="dxa"/>
            </w:tcMar>
            <w:vAlign w:val="center"/>
          </w:tcPr>
          <w:p w14:paraId="657A5672">
            <w:pPr>
              <w:keepNext/>
              <w:spacing w:before="20" w:after="20" w:line="260" w:lineRule="exact"/>
              <w:ind w:left="0" w:leftChars="0" w:right="0" w:rightChars="0" w:firstLine="0" w:firstLineChars="0"/>
              <w:jc w:val="center"/>
            </w:pPr>
            <w:r>
              <w:rPr>
                <w:rFonts w:ascii="Times New Roman" w:hAnsi="Times New Roman" w:eastAsia="宋体"/>
                <w:b w:val="0"/>
                <w:sz w:val="18"/>
              </w:rPr>
              <w:t>93.79</w:t>
            </w:r>
          </w:p>
        </w:tc>
        <w:tc>
          <w:tcPr>
            <w:tcW w:w="1187" w:type="dxa"/>
            <w:tcMar>
              <w:left w:w="70" w:type="dxa"/>
              <w:right w:w="70" w:type="dxa"/>
            </w:tcMar>
            <w:vAlign w:val="center"/>
          </w:tcPr>
          <w:p w14:paraId="2ED0DBD8">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187" w:type="dxa"/>
            <w:tcMar>
              <w:left w:w="70" w:type="dxa"/>
              <w:right w:w="70" w:type="dxa"/>
            </w:tcMar>
            <w:vAlign w:val="center"/>
          </w:tcPr>
          <w:p w14:paraId="46488649">
            <w:pPr>
              <w:keepNext/>
              <w:spacing w:before="20" w:after="20" w:line="260" w:lineRule="exact"/>
              <w:ind w:left="0" w:leftChars="0" w:right="0" w:rightChars="0" w:firstLine="0" w:firstLineChars="0"/>
              <w:jc w:val="center"/>
            </w:pPr>
            <w:r>
              <w:rPr>
                <w:rFonts w:ascii="Times New Roman" w:hAnsi="Times New Roman" w:eastAsia="宋体"/>
                <w:b w:val="0"/>
                <w:sz w:val="18"/>
              </w:rPr>
              <w:t>-0.25</w:t>
            </w:r>
          </w:p>
        </w:tc>
        <w:tc>
          <w:tcPr>
            <w:tcW w:w="1187" w:type="dxa"/>
            <w:tcMar>
              <w:left w:w="70" w:type="dxa"/>
              <w:right w:w="70" w:type="dxa"/>
            </w:tcMar>
            <w:vAlign w:val="center"/>
          </w:tcPr>
          <w:p w14:paraId="6909BF06">
            <w:pPr>
              <w:keepNext/>
              <w:spacing w:before="20" w:after="20" w:line="260" w:lineRule="exact"/>
              <w:ind w:left="0" w:leftChars="0" w:right="0" w:rightChars="0" w:firstLine="0" w:firstLineChars="0"/>
              <w:jc w:val="center"/>
            </w:pPr>
            <w:r>
              <w:rPr>
                <w:rFonts w:ascii="Times New Roman" w:hAnsi="Times New Roman" w:eastAsia="宋体"/>
                <w:b w:val="0"/>
                <w:sz w:val="18"/>
              </w:rPr>
              <w:t>-0.28</w:t>
            </w:r>
          </w:p>
        </w:tc>
      </w:tr>
      <w:tr w14:paraId="63933B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0DCB3CB">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1A387554">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187" w:type="dxa"/>
            <w:tcMar>
              <w:left w:w="70" w:type="dxa"/>
              <w:right w:w="70" w:type="dxa"/>
            </w:tcMar>
            <w:vAlign w:val="center"/>
          </w:tcPr>
          <w:p w14:paraId="5491C551">
            <w:pPr>
              <w:keepNext/>
              <w:spacing w:before="20" w:after="20" w:line="260" w:lineRule="exact"/>
              <w:ind w:left="0" w:leftChars="0" w:right="0" w:rightChars="0" w:firstLine="0" w:firstLineChars="0"/>
              <w:jc w:val="center"/>
            </w:pPr>
            <w:r>
              <w:rPr>
                <w:rFonts w:ascii="Times New Roman" w:hAnsi="Times New Roman" w:eastAsia="宋体"/>
                <w:b w:val="0"/>
                <w:sz w:val="18"/>
              </w:rPr>
              <w:t>231.50</w:t>
            </w:r>
          </w:p>
        </w:tc>
        <w:tc>
          <w:tcPr>
            <w:tcW w:w="1187" w:type="dxa"/>
            <w:tcMar>
              <w:left w:w="70" w:type="dxa"/>
              <w:right w:w="70" w:type="dxa"/>
            </w:tcMar>
            <w:vAlign w:val="center"/>
          </w:tcPr>
          <w:p w14:paraId="46675192">
            <w:pPr>
              <w:keepNext/>
              <w:spacing w:before="20" w:after="20" w:line="260" w:lineRule="exact"/>
              <w:ind w:left="0" w:leftChars="0" w:right="0" w:rightChars="0" w:firstLine="0" w:firstLineChars="0"/>
              <w:jc w:val="center"/>
            </w:pPr>
            <w:r>
              <w:rPr>
                <w:rFonts w:ascii="Times New Roman" w:hAnsi="Times New Roman" w:eastAsia="宋体"/>
                <w:b w:val="0"/>
                <w:sz w:val="18"/>
              </w:rPr>
              <w:t>-17.40</w:t>
            </w:r>
          </w:p>
        </w:tc>
        <w:tc>
          <w:tcPr>
            <w:tcW w:w="1187" w:type="dxa"/>
            <w:tcMar>
              <w:left w:w="70" w:type="dxa"/>
              <w:right w:w="70" w:type="dxa"/>
            </w:tcMar>
            <w:vAlign w:val="center"/>
          </w:tcPr>
          <w:p w14:paraId="0647D197">
            <w:pPr>
              <w:keepNext/>
              <w:spacing w:before="20" w:after="20" w:line="260" w:lineRule="exact"/>
              <w:ind w:left="0" w:leftChars="0" w:right="0" w:rightChars="0" w:firstLine="0" w:firstLineChars="0"/>
              <w:jc w:val="center"/>
            </w:pPr>
            <w:r>
              <w:rPr>
                <w:rFonts w:ascii="Times New Roman" w:hAnsi="Times New Roman" w:eastAsia="宋体"/>
                <w:b w:val="0"/>
                <w:sz w:val="18"/>
              </w:rPr>
              <w:t>0.16</w:t>
            </w:r>
          </w:p>
        </w:tc>
        <w:tc>
          <w:tcPr>
            <w:tcW w:w="1187" w:type="dxa"/>
            <w:tcMar>
              <w:left w:w="70" w:type="dxa"/>
              <w:right w:w="70" w:type="dxa"/>
            </w:tcMar>
            <w:vAlign w:val="center"/>
          </w:tcPr>
          <w:p w14:paraId="4AE67B41">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187" w:type="dxa"/>
            <w:tcMar>
              <w:left w:w="70" w:type="dxa"/>
              <w:right w:w="70" w:type="dxa"/>
            </w:tcMar>
            <w:vAlign w:val="center"/>
          </w:tcPr>
          <w:p w14:paraId="1C71EED1">
            <w:pPr>
              <w:keepNext/>
              <w:spacing w:before="20" w:after="20" w:line="260" w:lineRule="exact"/>
              <w:ind w:left="0" w:leftChars="0" w:right="0" w:rightChars="0" w:firstLine="0" w:firstLineChars="0"/>
              <w:jc w:val="center"/>
            </w:pPr>
            <w:r>
              <w:rPr>
                <w:rFonts w:ascii="Times New Roman" w:hAnsi="Times New Roman" w:eastAsia="宋体"/>
                <w:b w:val="0"/>
                <w:sz w:val="18"/>
              </w:rPr>
              <w:t>0.19</w:t>
            </w:r>
          </w:p>
        </w:tc>
      </w:tr>
      <w:tr w14:paraId="019D8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77E1069">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31E1C28E">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187" w:type="dxa"/>
            <w:tcMar>
              <w:left w:w="70" w:type="dxa"/>
              <w:right w:w="70" w:type="dxa"/>
            </w:tcMar>
            <w:vAlign w:val="center"/>
          </w:tcPr>
          <w:p w14:paraId="5462F262">
            <w:pPr>
              <w:keepNext/>
              <w:spacing w:before="20" w:after="20" w:line="260" w:lineRule="exact"/>
              <w:ind w:left="0" w:leftChars="0" w:right="0" w:rightChars="0" w:firstLine="0" w:firstLineChars="0"/>
              <w:jc w:val="center"/>
            </w:pPr>
            <w:r>
              <w:rPr>
                <w:rFonts w:ascii="Times New Roman" w:hAnsi="Times New Roman" w:eastAsia="宋体"/>
                <w:b w:val="0"/>
                <w:sz w:val="18"/>
              </w:rPr>
              <w:t>230.00</w:t>
            </w:r>
          </w:p>
        </w:tc>
        <w:tc>
          <w:tcPr>
            <w:tcW w:w="1187" w:type="dxa"/>
            <w:tcMar>
              <w:left w:w="70" w:type="dxa"/>
              <w:right w:w="70" w:type="dxa"/>
            </w:tcMar>
            <w:vAlign w:val="center"/>
          </w:tcPr>
          <w:p w14:paraId="1B72E10F">
            <w:pPr>
              <w:keepNext/>
              <w:spacing w:before="20" w:after="20" w:line="260" w:lineRule="exact"/>
              <w:ind w:left="0" w:leftChars="0" w:right="0" w:rightChars="0" w:firstLine="0" w:firstLineChars="0"/>
              <w:jc w:val="center"/>
            </w:pPr>
            <w:r>
              <w:rPr>
                <w:rFonts w:ascii="Times New Roman" w:hAnsi="Times New Roman" w:eastAsia="宋体"/>
                <w:b w:val="0"/>
                <w:sz w:val="18"/>
              </w:rPr>
              <w:t>109.85</w:t>
            </w:r>
          </w:p>
        </w:tc>
        <w:tc>
          <w:tcPr>
            <w:tcW w:w="1187" w:type="dxa"/>
            <w:tcMar>
              <w:left w:w="70" w:type="dxa"/>
              <w:right w:w="70" w:type="dxa"/>
            </w:tcMar>
            <w:vAlign w:val="center"/>
          </w:tcPr>
          <w:p w14:paraId="15FA0FF7">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187" w:type="dxa"/>
            <w:tcMar>
              <w:left w:w="70" w:type="dxa"/>
              <w:right w:w="70" w:type="dxa"/>
            </w:tcMar>
            <w:vAlign w:val="center"/>
          </w:tcPr>
          <w:p w14:paraId="597E3DAC">
            <w:pPr>
              <w:keepNext/>
              <w:spacing w:before="20" w:after="20" w:line="260" w:lineRule="exact"/>
              <w:ind w:left="0" w:leftChars="0" w:right="0" w:rightChars="0" w:firstLine="0" w:firstLineChars="0"/>
              <w:jc w:val="center"/>
            </w:pPr>
            <w:r>
              <w:rPr>
                <w:rFonts w:ascii="Times New Roman" w:hAnsi="Times New Roman" w:eastAsia="宋体"/>
                <w:b w:val="0"/>
                <w:sz w:val="18"/>
              </w:rPr>
              <w:t>-0.17</w:t>
            </w:r>
          </w:p>
        </w:tc>
        <w:tc>
          <w:tcPr>
            <w:tcW w:w="1187" w:type="dxa"/>
            <w:tcMar>
              <w:left w:w="70" w:type="dxa"/>
              <w:right w:w="70" w:type="dxa"/>
            </w:tcMar>
            <w:vAlign w:val="center"/>
          </w:tcPr>
          <w:p w14:paraId="41729072">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r>
      <w:tr w14:paraId="5F3556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2A339408">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7DE09922">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187" w:type="dxa"/>
            <w:tcMar>
              <w:left w:w="70" w:type="dxa"/>
              <w:right w:w="70" w:type="dxa"/>
            </w:tcMar>
            <w:vAlign w:val="center"/>
          </w:tcPr>
          <w:p w14:paraId="732AE702">
            <w:pPr>
              <w:keepNext/>
              <w:spacing w:before="20" w:after="20" w:line="260" w:lineRule="exact"/>
              <w:ind w:left="0" w:leftChars="0" w:right="0" w:rightChars="0" w:firstLine="0" w:firstLineChars="0"/>
              <w:jc w:val="center"/>
            </w:pPr>
            <w:r>
              <w:rPr>
                <w:rFonts w:ascii="Times New Roman" w:hAnsi="Times New Roman" w:eastAsia="宋体"/>
                <w:b w:val="0"/>
                <w:sz w:val="18"/>
              </w:rPr>
              <w:t>100.00</w:t>
            </w:r>
          </w:p>
        </w:tc>
        <w:tc>
          <w:tcPr>
            <w:tcW w:w="1187" w:type="dxa"/>
            <w:tcMar>
              <w:left w:w="70" w:type="dxa"/>
              <w:right w:w="70" w:type="dxa"/>
            </w:tcMar>
            <w:vAlign w:val="center"/>
          </w:tcPr>
          <w:p w14:paraId="6E6CB228">
            <w:pPr>
              <w:keepNext/>
              <w:spacing w:before="20" w:after="20" w:line="260" w:lineRule="exact"/>
              <w:ind w:left="0" w:leftChars="0" w:right="0" w:rightChars="0" w:firstLine="0" w:firstLineChars="0"/>
              <w:jc w:val="center"/>
            </w:pPr>
            <w:r>
              <w:rPr>
                <w:rFonts w:ascii="Times New Roman" w:hAnsi="Times New Roman" w:eastAsia="宋体"/>
                <w:b w:val="0"/>
                <w:sz w:val="18"/>
              </w:rPr>
              <w:t>-92.82</w:t>
            </w:r>
          </w:p>
        </w:tc>
        <w:tc>
          <w:tcPr>
            <w:tcW w:w="1187" w:type="dxa"/>
            <w:tcMar>
              <w:left w:w="70" w:type="dxa"/>
              <w:right w:w="70" w:type="dxa"/>
            </w:tcMar>
            <w:vAlign w:val="center"/>
          </w:tcPr>
          <w:p w14:paraId="7E6A9D7F">
            <w:pPr>
              <w:keepNext/>
              <w:spacing w:before="20" w:after="20" w:line="260" w:lineRule="exact"/>
              <w:ind w:left="0" w:leftChars="0" w:right="0" w:rightChars="0" w:firstLine="0" w:firstLineChars="0"/>
              <w:jc w:val="center"/>
            </w:pPr>
            <w:r>
              <w:rPr>
                <w:rFonts w:ascii="Times New Roman" w:hAnsi="Times New Roman" w:eastAsia="宋体"/>
                <w:b w:val="0"/>
                <w:sz w:val="18"/>
              </w:rPr>
              <w:t>0.07</w:t>
            </w:r>
          </w:p>
        </w:tc>
        <w:tc>
          <w:tcPr>
            <w:tcW w:w="1187" w:type="dxa"/>
            <w:tcMar>
              <w:left w:w="70" w:type="dxa"/>
              <w:right w:w="70" w:type="dxa"/>
            </w:tcMar>
            <w:vAlign w:val="center"/>
          </w:tcPr>
          <w:p w14:paraId="578422C7">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187" w:type="dxa"/>
            <w:tcMar>
              <w:left w:w="70" w:type="dxa"/>
              <w:right w:w="70" w:type="dxa"/>
            </w:tcMar>
            <w:vAlign w:val="center"/>
          </w:tcPr>
          <w:p w14:paraId="0BB6AFE3">
            <w:pPr>
              <w:keepNext/>
              <w:spacing w:before="20" w:after="20" w:line="260" w:lineRule="exact"/>
              <w:ind w:left="0" w:leftChars="0" w:right="0" w:rightChars="0" w:firstLine="0" w:firstLineChars="0"/>
              <w:jc w:val="center"/>
            </w:pPr>
            <w:r>
              <w:rPr>
                <w:rFonts w:ascii="Times New Roman" w:hAnsi="Times New Roman" w:eastAsia="宋体"/>
                <w:b w:val="0"/>
                <w:sz w:val="18"/>
              </w:rPr>
              <w:t>0.22</w:t>
            </w:r>
          </w:p>
        </w:tc>
      </w:tr>
      <w:tr w14:paraId="143140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3B5D67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0518795B">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187" w:type="dxa"/>
            <w:tcMar>
              <w:left w:w="70" w:type="dxa"/>
              <w:right w:w="70" w:type="dxa"/>
            </w:tcMar>
            <w:vAlign w:val="center"/>
          </w:tcPr>
          <w:p w14:paraId="298C01D1">
            <w:pPr>
              <w:keepNext w:val="0"/>
              <w:spacing w:before="20" w:after="20" w:line="260" w:lineRule="exact"/>
              <w:ind w:left="0" w:leftChars="0" w:right="0" w:rightChars="0" w:firstLine="0" w:firstLineChars="0"/>
              <w:jc w:val="center"/>
            </w:pPr>
            <w:r>
              <w:rPr>
                <w:rFonts w:ascii="Times New Roman" w:hAnsi="Times New Roman" w:eastAsia="宋体"/>
                <w:b w:val="0"/>
                <w:sz w:val="18"/>
              </w:rPr>
              <w:t>26.00</w:t>
            </w:r>
          </w:p>
        </w:tc>
        <w:tc>
          <w:tcPr>
            <w:tcW w:w="1187" w:type="dxa"/>
            <w:tcMar>
              <w:left w:w="70" w:type="dxa"/>
              <w:right w:w="70" w:type="dxa"/>
            </w:tcMar>
            <w:vAlign w:val="center"/>
          </w:tcPr>
          <w:p w14:paraId="071B331F">
            <w:pPr>
              <w:keepNext w:val="0"/>
              <w:spacing w:before="20" w:after="20" w:line="260" w:lineRule="exact"/>
              <w:ind w:left="0" w:leftChars="0" w:right="0" w:rightChars="0" w:firstLine="0" w:firstLineChars="0"/>
              <w:jc w:val="center"/>
            </w:pPr>
            <w:r>
              <w:rPr>
                <w:rFonts w:ascii="Times New Roman" w:hAnsi="Times New Roman" w:eastAsia="宋体"/>
                <w:b w:val="0"/>
                <w:sz w:val="18"/>
              </w:rPr>
              <w:t>79.42</w:t>
            </w:r>
          </w:p>
        </w:tc>
        <w:tc>
          <w:tcPr>
            <w:tcW w:w="1187" w:type="dxa"/>
            <w:tcMar>
              <w:left w:w="70" w:type="dxa"/>
              <w:right w:w="70" w:type="dxa"/>
            </w:tcMar>
            <w:vAlign w:val="center"/>
          </w:tcPr>
          <w:p w14:paraId="113471A2">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6626CB5E">
            <w:pPr>
              <w:keepNext w:val="0"/>
              <w:spacing w:before="20" w:after="20" w:line="260" w:lineRule="exact"/>
              <w:ind w:left="0" w:leftChars="0" w:right="0" w:rightChars="0" w:firstLine="0" w:firstLineChars="0"/>
              <w:jc w:val="center"/>
            </w:pPr>
            <w:r>
              <w:rPr>
                <w:rFonts w:ascii="Times New Roman" w:hAnsi="Times New Roman" w:eastAsia="宋体"/>
                <w:b w:val="0"/>
                <w:sz w:val="18"/>
              </w:rPr>
              <w:t>-0.13</w:t>
            </w:r>
          </w:p>
        </w:tc>
        <w:tc>
          <w:tcPr>
            <w:tcW w:w="1187" w:type="dxa"/>
            <w:tcMar>
              <w:left w:w="70" w:type="dxa"/>
              <w:right w:w="70" w:type="dxa"/>
            </w:tcMar>
            <w:vAlign w:val="center"/>
          </w:tcPr>
          <w:p w14:paraId="4A1E62C1">
            <w:pPr>
              <w:keepNext w:val="0"/>
              <w:spacing w:before="20" w:after="20" w:line="260" w:lineRule="exact"/>
              <w:ind w:left="0" w:leftChars="0" w:right="0" w:rightChars="0" w:firstLine="0" w:firstLineChars="0"/>
              <w:jc w:val="center"/>
            </w:pPr>
            <w:r>
              <w:rPr>
                <w:rFonts w:ascii="Times New Roman" w:hAnsi="Times New Roman" w:eastAsia="宋体"/>
                <w:b w:val="0"/>
                <w:sz w:val="18"/>
              </w:rPr>
              <w:t>-0.11</w:t>
            </w:r>
          </w:p>
        </w:tc>
      </w:tr>
    </w:tbl>
    <w:p w14:paraId="39B962B1">
      <w:pPr>
        <w:pStyle w:val="2"/>
        <w:widowControl/>
        <w:spacing w:before="0" w:after="0" w:line="348" w:lineRule="exact"/>
        <w:ind w:firstLine="480"/>
        <w:jc w:val="both"/>
      </w:pPr>
      <w:r>
        <w:rPr>
          <w:rFonts w:ascii="Times New Roman" w:hAnsi="Times New Roman" w:eastAsia="方正仿宋_GBK"/>
          <w:b w:val="0"/>
          <w:sz w:val="24"/>
        </w:rPr>
        <w:t>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14:paraId="7E2A878A">
      <w:pPr>
        <w:pStyle w:val="2"/>
        <w:widowControl/>
        <w:spacing w:before="0" w:after="0" w:line="348" w:lineRule="exact"/>
        <w:ind w:firstLine="480"/>
        <w:jc w:val="both"/>
      </w:pPr>
      <w:r>
        <w:rPr>
          <w:rFonts w:ascii="Times New Roman" w:hAnsi="Times New Roman" w:eastAsia="方正仿宋_GBK"/>
          <w:b w:val="0"/>
          <w:sz w:val="24"/>
        </w:rPr>
        <w:t>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14:paraId="6564940D">
      <w:pPr>
        <w:pStyle w:val="2"/>
        <w:widowControl/>
        <w:spacing w:before="0" w:after="0" w:line="348" w:lineRule="exact"/>
        <w:ind w:firstLine="480"/>
        <w:jc w:val="both"/>
      </w:pPr>
      <w:r>
        <w:rPr>
          <w:rFonts w:ascii="Times New Roman" w:hAnsi="Times New Roman" w:eastAsia="方正仿宋_GBK"/>
          <w:b w:val="0"/>
          <w:sz w:val="24"/>
        </w:rPr>
        <w:t>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14:paraId="6EC4DE7A">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819015"/>
            <wp:effectExtent l="0" t="0" r="0" b="0"/>
            <wp:docPr id="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28"/>
                    <a:stretch>
                      <a:fillRect/>
                    </a:stretch>
                  </pic:blipFill>
                  <pic:spPr>
                    <a:xfrm>
                      <a:off x="0" y="0"/>
                      <a:ext cx="5120640" cy="4819425"/>
                    </a:xfrm>
                    <a:prstGeom prst="rect">
                      <a:avLst/>
                    </a:prstGeom>
                    <a:noFill/>
                    <a:ln w="9525">
                      <a:noFill/>
                    </a:ln>
                  </pic:spPr>
                </pic:pic>
              </a:graphicData>
            </a:graphic>
          </wp:inline>
        </w:drawing>
      </w:r>
    </w:p>
    <w:p w14:paraId="497D66BB">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图3-15 两地区年度容载比变化的容量与负荷贡献</w:t>
      </w:r>
    </w:p>
    <w:p w14:paraId="2A65BC46">
      <w:pPr>
        <w:pStyle w:val="5"/>
        <w:keepNext/>
        <w:numPr>
          <w:ilvl w:val="0"/>
          <w:numId w:val="0"/>
        </w:numPr>
        <w:spacing w:before="160" w:after="120" w:line="390" w:lineRule="exact"/>
        <w:ind w:firstLine="0"/>
      </w:pPr>
      <w:bookmarkStart w:id="134" w:name="光伏发电与用电高峰的季节关系"/>
      <w:r>
        <w:rPr>
          <w:rFonts w:ascii="Times New Roman" w:hAnsi="Times New Roman" w:eastAsia="方正仿宋_GBK"/>
          <w:b/>
          <w:sz w:val="26"/>
        </w:rPr>
        <w:t>3.8.2 光伏发电与用电高峰的季节关系</w:t>
      </w:r>
      <w:bookmarkEnd w:id="134"/>
    </w:p>
    <w:p w14:paraId="61B545E9">
      <w:pPr>
        <w:pStyle w:val="115"/>
        <w:widowControl/>
        <w:spacing w:before="0" w:after="0" w:line="348" w:lineRule="exact"/>
        <w:ind w:firstLine="480"/>
        <w:jc w:val="both"/>
      </w:pPr>
      <w:r>
        <w:rPr>
          <w:rFonts w:ascii="Times New Roman" w:hAnsi="Times New Roman" w:eastAsia="方正仿宋_GBK"/>
          <w:b w:val="0"/>
          <w:sz w:val="24"/>
        </w:rPr>
        <w:t>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14:paraId="66DFF98E">
      <w:pPr>
        <w:pStyle w:val="2"/>
        <w:keepNext/>
        <w:spacing w:before="120" w:after="80" w:line="280" w:lineRule="exact"/>
        <w:ind w:firstLine="0"/>
        <w:jc w:val="center"/>
      </w:pPr>
      <w:r>
        <w:rPr>
          <w:rFonts w:ascii="Times New Roman" w:hAnsi="Times New Roman" w:eastAsia="宋体"/>
          <w:b w:val="0"/>
          <w:sz w:val="21"/>
        </w:rPr>
        <w:t>表3-22 邳州2025年分季度源荷电量特征</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092050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172D2B9">
            <w:pPr>
              <w:keepNext/>
              <w:spacing w:before="20" w:after="20" w:line="260" w:lineRule="exact"/>
              <w:ind w:left="0" w:leftChars="0" w:right="0" w:rightChars="0" w:firstLine="0" w:firstLineChars="0"/>
              <w:jc w:val="center"/>
            </w:pPr>
            <w:r>
              <w:rPr>
                <w:rFonts w:ascii="Times New Roman" w:hAnsi="Times New Roman" w:eastAsia="宋体"/>
                <w:b/>
                <w:sz w:val="18"/>
              </w:rPr>
              <w:t>季度</w:t>
            </w:r>
          </w:p>
        </w:tc>
        <w:tc>
          <w:tcPr>
            <w:tcW w:w="1662" w:type="dxa"/>
            <w:tcMar>
              <w:left w:w="70" w:type="dxa"/>
              <w:right w:w="70" w:type="dxa"/>
            </w:tcMar>
            <w:vAlign w:val="center"/>
          </w:tcPr>
          <w:p w14:paraId="226C18D2">
            <w:pPr>
              <w:keepNext/>
              <w:spacing w:before="20" w:after="20" w:line="260" w:lineRule="exact"/>
              <w:ind w:left="0" w:leftChars="0" w:right="0" w:rightChars="0" w:firstLine="0" w:firstLineChars="0"/>
              <w:jc w:val="center"/>
            </w:pPr>
            <w:r>
              <w:rPr>
                <w:rFonts w:ascii="Times New Roman" w:hAnsi="Times New Roman" w:eastAsia="宋体"/>
                <w:b/>
                <w:sz w:val="18"/>
              </w:rPr>
              <w:t>光伏发电量估计/MWh</w:t>
            </w:r>
          </w:p>
        </w:tc>
        <w:tc>
          <w:tcPr>
            <w:tcW w:w="1662" w:type="dxa"/>
            <w:tcMar>
              <w:left w:w="70" w:type="dxa"/>
              <w:right w:w="70" w:type="dxa"/>
            </w:tcMar>
            <w:vAlign w:val="center"/>
          </w:tcPr>
          <w:p w14:paraId="3F938795">
            <w:pPr>
              <w:keepNext/>
              <w:spacing w:before="20" w:after="20" w:line="260" w:lineRule="exact"/>
              <w:ind w:left="0" w:leftChars="0" w:right="0" w:rightChars="0" w:firstLine="0" w:firstLineChars="0"/>
              <w:jc w:val="center"/>
            </w:pPr>
            <w:r>
              <w:rPr>
                <w:rFonts w:ascii="Times New Roman" w:hAnsi="Times New Roman" w:eastAsia="宋体"/>
                <w:b/>
                <w:sz w:val="18"/>
              </w:rPr>
              <w:t>用户用电量估计/MWh</w:t>
            </w:r>
          </w:p>
        </w:tc>
        <w:tc>
          <w:tcPr>
            <w:tcW w:w="1662" w:type="dxa"/>
            <w:tcMar>
              <w:left w:w="70" w:type="dxa"/>
              <w:right w:w="70" w:type="dxa"/>
            </w:tcMar>
            <w:vAlign w:val="center"/>
          </w:tcPr>
          <w:p w14:paraId="3FF89EE9">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w:t>
            </w:r>
          </w:p>
        </w:tc>
        <w:tc>
          <w:tcPr>
            <w:tcW w:w="1662" w:type="dxa"/>
            <w:tcMar>
              <w:left w:w="70" w:type="dxa"/>
              <w:right w:w="70" w:type="dxa"/>
            </w:tcMar>
            <w:vAlign w:val="center"/>
          </w:tcPr>
          <w:p w14:paraId="66F38C63">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最大正向净负荷/MW</w:t>
            </w:r>
          </w:p>
        </w:tc>
      </w:tr>
      <w:tr w14:paraId="1CA78A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A3D7F9">
            <w:pPr>
              <w:keepNext/>
              <w:spacing w:before="20" w:after="20" w:line="260" w:lineRule="exact"/>
              <w:ind w:left="0" w:leftChars="0" w:right="0" w:rightChars="0" w:firstLine="0" w:firstLineChars="0"/>
              <w:jc w:val="center"/>
            </w:pPr>
            <w:r>
              <w:rPr>
                <w:rFonts w:ascii="Times New Roman" w:hAnsi="Times New Roman" w:eastAsia="宋体"/>
                <w:b w:val="0"/>
                <w:sz w:val="18"/>
              </w:rPr>
              <w:t>第1季度</w:t>
            </w:r>
          </w:p>
        </w:tc>
        <w:tc>
          <w:tcPr>
            <w:tcW w:w="1662" w:type="dxa"/>
            <w:tcMar>
              <w:left w:w="70" w:type="dxa"/>
              <w:right w:w="70" w:type="dxa"/>
            </w:tcMar>
            <w:vAlign w:val="center"/>
          </w:tcPr>
          <w:p w14:paraId="61954067">
            <w:pPr>
              <w:keepNext/>
              <w:spacing w:before="20" w:after="20" w:line="260" w:lineRule="exact"/>
              <w:ind w:left="0" w:leftChars="0" w:right="0" w:rightChars="0" w:firstLine="0" w:firstLineChars="0"/>
              <w:jc w:val="center"/>
            </w:pPr>
            <w:r>
              <w:rPr>
                <w:rFonts w:ascii="Times New Roman" w:hAnsi="Times New Roman" w:eastAsia="宋体"/>
                <w:b w:val="0"/>
                <w:sz w:val="18"/>
              </w:rPr>
              <w:t>321354.59</w:t>
            </w:r>
          </w:p>
        </w:tc>
        <w:tc>
          <w:tcPr>
            <w:tcW w:w="1662" w:type="dxa"/>
            <w:tcMar>
              <w:left w:w="70" w:type="dxa"/>
              <w:right w:w="70" w:type="dxa"/>
            </w:tcMar>
            <w:vAlign w:val="center"/>
          </w:tcPr>
          <w:p w14:paraId="21229A17">
            <w:pPr>
              <w:keepNext/>
              <w:spacing w:before="20" w:after="20" w:line="260" w:lineRule="exact"/>
              <w:ind w:left="0" w:leftChars="0" w:right="0" w:rightChars="0" w:firstLine="0" w:firstLineChars="0"/>
              <w:jc w:val="center"/>
            </w:pPr>
            <w:r>
              <w:rPr>
                <w:rFonts w:ascii="Times New Roman" w:hAnsi="Times New Roman" w:eastAsia="宋体"/>
                <w:b w:val="0"/>
                <w:sz w:val="18"/>
              </w:rPr>
              <w:t>975677.35</w:t>
            </w:r>
          </w:p>
        </w:tc>
        <w:tc>
          <w:tcPr>
            <w:tcW w:w="1662" w:type="dxa"/>
            <w:tcMar>
              <w:left w:w="70" w:type="dxa"/>
              <w:right w:w="70" w:type="dxa"/>
            </w:tcMar>
            <w:vAlign w:val="center"/>
          </w:tcPr>
          <w:p w14:paraId="0890783A">
            <w:pPr>
              <w:keepNext/>
              <w:spacing w:before="20" w:after="20" w:line="260" w:lineRule="exact"/>
              <w:ind w:left="0" w:leftChars="0" w:right="0" w:rightChars="0" w:firstLine="0" w:firstLineChars="0"/>
              <w:jc w:val="center"/>
            </w:pPr>
            <w:r>
              <w:rPr>
                <w:rFonts w:ascii="Times New Roman" w:hAnsi="Times New Roman" w:eastAsia="宋体"/>
                <w:b w:val="0"/>
                <w:sz w:val="18"/>
              </w:rPr>
              <w:t>33%</w:t>
            </w:r>
          </w:p>
        </w:tc>
        <w:tc>
          <w:tcPr>
            <w:tcW w:w="1662" w:type="dxa"/>
            <w:tcMar>
              <w:left w:w="70" w:type="dxa"/>
              <w:right w:w="70" w:type="dxa"/>
            </w:tcMar>
            <w:vAlign w:val="center"/>
          </w:tcPr>
          <w:p w14:paraId="426E6273">
            <w:pPr>
              <w:keepNext/>
              <w:spacing w:before="20" w:after="20" w:line="260" w:lineRule="exact"/>
              <w:ind w:left="0" w:leftChars="0" w:right="0" w:rightChars="0" w:firstLine="0" w:firstLineChars="0"/>
              <w:jc w:val="center"/>
            </w:pPr>
            <w:r>
              <w:rPr>
                <w:rFonts w:ascii="Times New Roman" w:hAnsi="Times New Roman" w:eastAsia="宋体"/>
                <w:b w:val="0"/>
                <w:sz w:val="18"/>
              </w:rPr>
              <w:t>755.80</w:t>
            </w:r>
          </w:p>
        </w:tc>
      </w:tr>
      <w:tr w14:paraId="26ACCA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35FB902">
            <w:pPr>
              <w:keepNext/>
              <w:spacing w:before="20" w:after="20" w:line="260" w:lineRule="exact"/>
              <w:ind w:left="0" w:leftChars="0" w:right="0" w:rightChars="0" w:firstLine="0" w:firstLineChars="0"/>
              <w:jc w:val="center"/>
            </w:pPr>
            <w:r>
              <w:rPr>
                <w:rFonts w:ascii="Times New Roman" w:hAnsi="Times New Roman" w:eastAsia="宋体"/>
                <w:b w:val="0"/>
                <w:sz w:val="18"/>
              </w:rPr>
              <w:t>第2季度</w:t>
            </w:r>
          </w:p>
        </w:tc>
        <w:tc>
          <w:tcPr>
            <w:tcW w:w="1662" w:type="dxa"/>
            <w:tcMar>
              <w:left w:w="70" w:type="dxa"/>
              <w:right w:w="70" w:type="dxa"/>
            </w:tcMar>
            <w:vAlign w:val="center"/>
          </w:tcPr>
          <w:p w14:paraId="69CA2CBE">
            <w:pPr>
              <w:keepNext/>
              <w:spacing w:before="20" w:after="20" w:line="260" w:lineRule="exact"/>
              <w:ind w:left="0" w:leftChars="0" w:right="0" w:rightChars="0" w:firstLine="0" w:firstLineChars="0"/>
              <w:jc w:val="center"/>
            </w:pPr>
            <w:r>
              <w:rPr>
                <w:rFonts w:ascii="Times New Roman" w:hAnsi="Times New Roman" w:eastAsia="宋体"/>
                <w:b w:val="0"/>
                <w:sz w:val="18"/>
              </w:rPr>
              <w:t>485794.73</w:t>
            </w:r>
          </w:p>
        </w:tc>
        <w:tc>
          <w:tcPr>
            <w:tcW w:w="1662" w:type="dxa"/>
            <w:tcMar>
              <w:left w:w="70" w:type="dxa"/>
              <w:right w:w="70" w:type="dxa"/>
            </w:tcMar>
            <w:vAlign w:val="center"/>
          </w:tcPr>
          <w:p w14:paraId="31F2BC84">
            <w:pPr>
              <w:keepNext/>
              <w:spacing w:before="20" w:after="20" w:line="260" w:lineRule="exact"/>
              <w:ind w:left="0" w:leftChars="0" w:right="0" w:rightChars="0" w:firstLine="0" w:firstLineChars="0"/>
              <w:jc w:val="center"/>
            </w:pPr>
            <w:r>
              <w:rPr>
                <w:rFonts w:ascii="Times New Roman" w:hAnsi="Times New Roman" w:eastAsia="宋体"/>
                <w:b w:val="0"/>
                <w:sz w:val="18"/>
              </w:rPr>
              <w:t>880481.11</w:t>
            </w:r>
          </w:p>
        </w:tc>
        <w:tc>
          <w:tcPr>
            <w:tcW w:w="1662" w:type="dxa"/>
            <w:tcMar>
              <w:left w:w="70" w:type="dxa"/>
              <w:right w:w="70" w:type="dxa"/>
            </w:tcMar>
            <w:vAlign w:val="center"/>
          </w:tcPr>
          <w:p w14:paraId="36349CD5">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662" w:type="dxa"/>
            <w:tcMar>
              <w:left w:w="70" w:type="dxa"/>
              <w:right w:w="70" w:type="dxa"/>
            </w:tcMar>
            <w:vAlign w:val="center"/>
          </w:tcPr>
          <w:p w14:paraId="381E6ED7">
            <w:pPr>
              <w:keepNext/>
              <w:spacing w:before="20" w:after="20" w:line="260" w:lineRule="exact"/>
              <w:ind w:left="0" w:leftChars="0" w:right="0" w:rightChars="0" w:firstLine="0" w:firstLineChars="0"/>
              <w:jc w:val="center"/>
            </w:pPr>
            <w:r>
              <w:rPr>
                <w:rFonts w:ascii="Times New Roman" w:hAnsi="Times New Roman" w:eastAsia="宋体"/>
                <w:b w:val="0"/>
                <w:sz w:val="18"/>
              </w:rPr>
              <w:t>700.77</w:t>
            </w:r>
          </w:p>
        </w:tc>
      </w:tr>
      <w:tr w14:paraId="2FDFD0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9E1B71C">
            <w:pPr>
              <w:keepNext/>
              <w:spacing w:before="20" w:after="20" w:line="260" w:lineRule="exact"/>
              <w:ind w:left="0" w:leftChars="0" w:right="0" w:rightChars="0" w:firstLine="0" w:firstLineChars="0"/>
              <w:jc w:val="center"/>
            </w:pPr>
            <w:r>
              <w:rPr>
                <w:rFonts w:ascii="Times New Roman" w:hAnsi="Times New Roman" w:eastAsia="宋体"/>
                <w:b w:val="0"/>
                <w:sz w:val="18"/>
              </w:rPr>
              <w:t>第3季度</w:t>
            </w:r>
          </w:p>
        </w:tc>
        <w:tc>
          <w:tcPr>
            <w:tcW w:w="1662" w:type="dxa"/>
            <w:tcMar>
              <w:left w:w="70" w:type="dxa"/>
              <w:right w:w="70" w:type="dxa"/>
            </w:tcMar>
            <w:vAlign w:val="center"/>
          </w:tcPr>
          <w:p w14:paraId="7138DEB6">
            <w:pPr>
              <w:keepNext/>
              <w:spacing w:before="20" w:after="20" w:line="260" w:lineRule="exact"/>
              <w:ind w:left="0" w:leftChars="0" w:right="0" w:rightChars="0" w:firstLine="0" w:firstLineChars="0"/>
              <w:jc w:val="center"/>
            </w:pPr>
            <w:r>
              <w:rPr>
                <w:rFonts w:ascii="Times New Roman" w:hAnsi="Times New Roman" w:eastAsia="宋体"/>
                <w:b w:val="0"/>
                <w:sz w:val="18"/>
              </w:rPr>
              <w:t>435215.49</w:t>
            </w:r>
          </w:p>
        </w:tc>
        <w:tc>
          <w:tcPr>
            <w:tcW w:w="1662" w:type="dxa"/>
            <w:tcMar>
              <w:left w:w="70" w:type="dxa"/>
              <w:right w:w="70" w:type="dxa"/>
            </w:tcMar>
            <w:vAlign w:val="center"/>
          </w:tcPr>
          <w:p w14:paraId="0FF645F2">
            <w:pPr>
              <w:keepNext/>
              <w:spacing w:before="20" w:after="20" w:line="260" w:lineRule="exact"/>
              <w:ind w:left="0" w:leftChars="0" w:right="0" w:rightChars="0" w:firstLine="0" w:firstLineChars="0"/>
              <w:jc w:val="center"/>
            </w:pPr>
            <w:r>
              <w:rPr>
                <w:rFonts w:ascii="Times New Roman" w:hAnsi="Times New Roman" w:eastAsia="宋体"/>
                <w:b w:val="0"/>
                <w:sz w:val="18"/>
              </w:rPr>
              <w:t>1310676.45</w:t>
            </w:r>
          </w:p>
        </w:tc>
        <w:tc>
          <w:tcPr>
            <w:tcW w:w="1662" w:type="dxa"/>
            <w:tcMar>
              <w:left w:w="70" w:type="dxa"/>
              <w:right w:w="70" w:type="dxa"/>
            </w:tcMar>
            <w:vAlign w:val="center"/>
          </w:tcPr>
          <w:p w14:paraId="728C21E3">
            <w:pPr>
              <w:keepNext/>
              <w:spacing w:before="20" w:after="20" w:line="260" w:lineRule="exact"/>
              <w:ind w:left="0" w:leftChars="0" w:right="0" w:rightChars="0" w:firstLine="0" w:firstLineChars="0"/>
              <w:jc w:val="center"/>
            </w:pPr>
            <w:r>
              <w:rPr>
                <w:rFonts w:ascii="Times New Roman" w:hAnsi="Times New Roman" w:eastAsia="宋体"/>
                <w:b w:val="0"/>
                <w:sz w:val="18"/>
              </w:rPr>
              <w:t>33%</w:t>
            </w:r>
          </w:p>
        </w:tc>
        <w:tc>
          <w:tcPr>
            <w:tcW w:w="1662" w:type="dxa"/>
            <w:tcMar>
              <w:left w:w="70" w:type="dxa"/>
              <w:right w:w="70" w:type="dxa"/>
            </w:tcMar>
            <w:vAlign w:val="center"/>
          </w:tcPr>
          <w:p w14:paraId="5FDED539">
            <w:pPr>
              <w:keepNext/>
              <w:spacing w:before="20" w:after="20" w:line="260" w:lineRule="exact"/>
              <w:ind w:left="0" w:leftChars="0" w:right="0" w:rightChars="0" w:firstLine="0" w:firstLineChars="0"/>
              <w:jc w:val="center"/>
            </w:pPr>
            <w:r>
              <w:rPr>
                <w:rFonts w:ascii="Times New Roman" w:hAnsi="Times New Roman" w:eastAsia="宋体"/>
                <w:b w:val="0"/>
                <w:sz w:val="18"/>
              </w:rPr>
              <w:t>956.45</w:t>
            </w:r>
          </w:p>
        </w:tc>
      </w:tr>
      <w:tr w14:paraId="433629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B04827">
            <w:pPr>
              <w:keepNext w:val="0"/>
              <w:spacing w:before="20" w:after="20" w:line="260" w:lineRule="exact"/>
              <w:ind w:left="0" w:leftChars="0" w:right="0" w:rightChars="0" w:firstLine="0" w:firstLineChars="0"/>
              <w:jc w:val="center"/>
            </w:pPr>
            <w:r>
              <w:rPr>
                <w:rFonts w:ascii="Times New Roman" w:hAnsi="Times New Roman" w:eastAsia="宋体"/>
                <w:b w:val="0"/>
                <w:sz w:val="18"/>
              </w:rPr>
              <w:t>第4季度</w:t>
            </w:r>
          </w:p>
        </w:tc>
        <w:tc>
          <w:tcPr>
            <w:tcW w:w="1662" w:type="dxa"/>
            <w:tcMar>
              <w:left w:w="70" w:type="dxa"/>
              <w:right w:w="70" w:type="dxa"/>
            </w:tcMar>
            <w:vAlign w:val="center"/>
          </w:tcPr>
          <w:p w14:paraId="2FF7B621">
            <w:pPr>
              <w:keepNext w:val="0"/>
              <w:spacing w:before="20" w:after="20" w:line="260" w:lineRule="exact"/>
              <w:ind w:left="0" w:leftChars="0" w:right="0" w:rightChars="0" w:firstLine="0" w:firstLineChars="0"/>
              <w:jc w:val="center"/>
            </w:pPr>
            <w:r>
              <w:rPr>
                <w:rFonts w:ascii="Times New Roman" w:hAnsi="Times New Roman" w:eastAsia="宋体"/>
                <w:b w:val="0"/>
                <w:sz w:val="18"/>
              </w:rPr>
              <w:t>455905.92</w:t>
            </w:r>
          </w:p>
        </w:tc>
        <w:tc>
          <w:tcPr>
            <w:tcW w:w="1662" w:type="dxa"/>
            <w:tcMar>
              <w:left w:w="70" w:type="dxa"/>
              <w:right w:w="70" w:type="dxa"/>
            </w:tcMar>
            <w:vAlign w:val="center"/>
          </w:tcPr>
          <w:p w14:paraId="6D7919C9">
            <w:pPr>
              <w:keepNext w:val="0"/>
              <w:spacing w:before="20" w:after="20" w:line="260" w:lineRule="exact"/>
              <w:ind w:left="0" w:leftChars="0" w:right="0" w:rightChars="0" w:firstLine="0" w:firstLineChars="0"/>
              <w:jc w:val="center"/>
            </w:pPr>
            <w:r>
              <w:rPr>
                <w:rFonts w:ascii="Times New Roman" w:hAnsi="Times New Roman" w:eastAsia="宋体"/>
                <w:b w:val="0"/>
                <w:sz w:val="18"/>
              </w:rPr>
              <w:t>1049556.71</w:t>
            </w:r>
          </w:p>
        </w:tc>
        <w:tc>
          <w:tcPr>
            <w:tcW w:w="1662" w:type="dxa"/>
            <w:tcMar>
              <w:left w:w="70" w:type="dxa"/>
              <w:right w:w="70" w:type="dxa"/>
            </w:tcMar>
            <w:vAlign w:val="center"/>
          </w:tcPr>
          <w:p w14:paraId="6205AF14">
            <w:pPr>
              <w:keepNext w:val="0"/>
              <w:spacing w:before="20" w:after="20" w:line="260" w:lineRule="exact"/>
              <w:ind w:left="0" w:leftChars="0" w:right="0" w:rightChars="0" w:firstLine="0" w:firstLineChars="0"/>
              <w:jc w:val="center"/>
            </w:pPr>
            <w:r>
              <w:rPr>
                <w:rFonts w:ascii="Times New Roman" w:hAnsi="Times New Roman" w:eastAsia="宋体"/>
                <w:b w:val="0"/>
                <w:sz w:val="18"/>
              </w:rPr>
              <w:t>43%</w:t>
            </w:r>
          </w:p>
        </w:tc>
        <w:tc>
          <w:tcPr>
            <w:tcW w:w="1662" w:type="dxa"/>
            <w:tcMar>
              <w:left w:w="70" w:type="dxa"/>
              <w:right w:w="70" w:type="dxa"/>
            </w:tcMar>
            <w:vAlign w:val="center"/>
          </w:tcPr>
          <w:p w14:paraId="54B34516">
            <w:pPr>
              <w:keepNext w:val="0"/>
              <w:spacing w:before="20" w:after="20" w:line="260" w:lineRule="exact"/>
              <w:ind w:left="0" w:leftChars="0" w:right="0" w:rightChars="0" w:firstLine="0" w:firstLineChars="0"/>
              <w:jc w:val="center"/>
            </w:pPr>
            <w:r>
              <w:rPr>
                <w:rFonts w:ascii="Times New Roman" w:hAnsi="Times New Roman" w:eastAsia="宋体"/>
                <w:b w:val="0"/>
                <w:sz w:val="18"/>
              </w:rPr>
              <w:t>589.21</w:t>
            </w:r>
          </w:p>
        </w:tc>
      </w:tr>
    </w:tbl>
    <w:p w14:paraId="5E255A51">
      <w:pPr>
        <w:pStyle w:val="2"/>
        <w:widowControl/>
        <w:spacing w:before="0" w:after="0" w:line="348" w:lineRule="exact"/>
        <w:ind w:firstLine="480"/>
        <w:jc w:val="both"/>
      </w:pPr>
      <w:r>
        <w:rPr>
          <w:rFonts w:ascii="Times New Roman" w:hAnsi="Times New Roman" w:eastAsia="方正仿宋_GBK"/>
          <w:b w:val="0"/>
          <w:sz w:val="24"/>
        </w:rPr>
        <w:t>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14:paraId="3D61E08C">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668520"/>
            <wp:effectExtent l="0" t="0" r="0" b="0"/>
            <wp:docPr id="3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pic:cNvPicPr>
                      <a:picLocks noChangeAspect="1" noChangeArrowheads="1"/>
                    </pic:cNvPicPr>
                  </pic:nvPicPr>
                  <pic:blipFill>
                    <a:blip r:embed="rId29"/>
                    <a:stretch>
                      <a:fillRect/>
                    </a:stretch>
                  </pic:blipFill>
                  <pic:spPr>
                    <a:xfrm>
                      <a:off x="0" y="0"/>
                      <a:ext cx="5120640" cy="4668818"/>
                    </a:xfrm>
                    <a:prstGeom prst="rect">
                      <a:avLst/>
                    </a:prstGeom>
                    <a:noFill/>
                    <a:ln w="9525">
                      <a:noFill/>
                    </a:ln>
                  </pic:spPr>
                </pic:pic>
              </a:graphicData>
            </a:graphic>
          </wp:inline>
        </w:drawing>
      </w:r>
    </w:p>
    <w:p w14:paraId="53AFD40F">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图3-16 邳州2025年分季度电量规模与电量渗透率</w:t>
      </w:r>
    </w:p>
    <w:p w14:paraId="205CA63E">
      <w:pPr>
        <w:pStyle w:val="2"/>
        <w:widowControl/>
        <w:spacing w:before="0" w:after="0" w:line="348" w:lineRule="exact"/>
        <w:ind w:firstLine="480"/>
        <w:jc w:val="both"/>
      </w:pPr>
      <w:r>
        <w:rPr>
          <w:rFonts w:ascii="Times New Roman" w:hAnsi="Times New Roman" w:eastAsia="方正仿宋_GBK"/>
          <w:b w:val="0"/>
          <w:sz w:val="24"/>
        </w:rPr>
        <w:t>季度统计采用各月发电量与用电量分别加总后再计算比值，保留各月电量规模的差异。区域年度指标同样采用全年电量合计，月度指标则用于分析季节变化。</w:t>
      </w:r>
    </w:p>
    <w:p w14:paraId="1E717A19">
      <w:pPr>
        <w:pStyle w:val="2"/>
        <w:widowControl/>
        <w:spacing w:before="0" w:after="0" w:line="348" w:lineRule="exact"/>
        <w:ind w:firstLine="480"/>
        <w:jc w:val="both"/>
      </w:pPr>
      <w:r>
        <w:rPr>
          <w:rFonts w:ascii="Times New Roman" w:hAnsi="Times New Roman" w:eastAsia="方正仿宋_GBK"/>
          <w:b w:val="0"/>
          <w:sz w:val="24"/>
        </w:rPr>
        <w:t>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14:paraId="7CE0B6A6">
      <w:pPr>
        <w:pStyle w:val="2"/>
        <w:widowControl/>
        <w:spacing w:before="0" w:after="0" w:line="348" w:lineRule="exact"/>
        <w:ind w:firstLine="480"/>
        <w:jc w:val="both"/>
      </w:pPr>
      <w:r>
        <w:rPr>
          <w:rFonts w:ascii="Times New Roman" w:hAnsi="Times New Roman" w:eastAsia="方正仿宋_GBK"/>
          <w:b w:val="0"/>
          <w:sz w:val="24"/>
        </w:rPr>
        <w:t>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14:paraId="2554F0A3">
      <w:pPr>
        <w:pStyle w:val="5"/>
        <w:keepNext/>
        <w:numPr>
          <w:ilvl w:val="0"/>
          <w:numId w:val="0"/>
        </w:numPr>
        <w:spacing w:before="160" w:after="120" w:line="390" w:lineRule="exact"/>
        <w:ind w:firstLine="0"/>
      </w:pPr>
      <w:bookmarkStart w:id="135" w:name="区域容量储备与重载设备并存"/>
      <w:r>
        <w:rPr>
          <w:rFonts w:ascii="Times New Roman" w:hAnsi="Times New Roman" w:eastAsia="方正仿宋_GBK"/>
          <w:b/>
          <w:sz w:val="26"/>
        </w:rPr>
        <w:t>3.8.3 区域容量储备与重载设备并存</w:t>
      </w:r>
      <w:bookmarkEnd w:id="135"/>
    </w:p>
    <w:p w14:paraId="664625E8">
      <w:pPr>
        <w:pStyle w:val="115"/>
        <w:widowControl/>
        <w:spacing w:before="0" w:after="0" w:line="348" w:lineRule="exact"/>
        <w:ind w:firstLine="480"/>
        <w:jc w:val="both"/>
      </w:pPr>
      <w:r>
        <w:rPr>
          <w:rFonts w:ascii="Times New Roman" w:hAnsi="Times New Roman" w:eastAsia="方正仿宋_GBK"/>
          <w:b w:val="0"/>
          <w:sz w:val="24"/>
        </w:rPr>
        <w:t>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14:paraId="34E9930E">
      <w:pPr>
        <w:pStyle w:val="2"/>
        <w:widowControl/>
        <w:spacing w:before="0" w:after="0" w:line="348" w:lineRule="exact"/>
        <w:ind w:firstLine="480"/>
        <w:jc w:val="both"/>
      </w:pPr>
      <w:r>
        <w:rPr>
          <w:rFonts w:ascii="Times New Roman" w:hAnsi="Times New Roman" w:eastAsia="方正仿宋_GBK"/>
          <w:b w:val="0"/>
          <w:sz w:val="24"/>
        </w:rPr>
        <w:t>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14:paraId="0A819EE3">
      <w:pPr>
        <w:pStyle w:val="2"/>
        <w:widowControl/>
        <w:spacing w:before="0" w:after="0" w:line="348" w:lineRule="exact"/>
        <w:ind w:firstLine="480"/>
        <w:jc w:val="both"/>
      </w:pPr>
      <w:r>
        <w:rPr>
          <w:rFonts w:ascii="Times New Roman" w:hAnsi="Times New Roman" w:eastAsia="方正仿宋_GBK"/>
          <w:b w:val="0"/>
          <w:sz w:val="24"/>
        </w:rPr>
        <w:t xml:space="preserve">主变台数</w:t>
      </w:r>
      <w:r>
        <w:rPr>
          <w:rFonts w:ascii="Times New Roman" w:hAnsi="Times New Roman" w:eastAsia="方正仿宋_GBK"/>
          <w:b w:val="0"/>
          <w:sz w:val="24"/>
        </w:rPr>
        <w:t xml:space="preserve">和额定容量共同决定</w:t>
      </w:r>
      <w:r>
        <w:rPr>
          <w:rFonts w:ascii="Times New Roman" w:hAnsi="Times New Roman" w:eastAsia="方正仿宋_GBK"/>
          <w:b w:val="0"/>
          <w:sz w:val="24"/>
        </w:rPr>
        <w:t xml:space="preserve">N-1后的剩余容量。</w:t>
      </w:r>
      <w:r>
        <w:rPr>
          <w:rFonts w:ascii="Times New Roman" w:hAnsi="Times New Roman" w:eastAsia="方正仿宋_GBK"/>
          <w:b w:val="0"/>
          <w:sz w:val="24"/>
        </w:rPr>
        <w:t xml:space="preserve">第三</w:t>
      </w:r>
      <w:r>
        <w:rPr>
          <w:rFonts w:ascii="Times New Roman" w:hAnsi="Times New Roman" w:eastAsia="方正仿宋_GBK"/>
          <w:b w:val="0"/>
          <w:sz w:val="24"/>
        </w:rPr>
        <w:t xml:space="preserve">台</w:t>
      </w:r>
      <w:r>
        <w:rPr>
          <w:rFonts w:ascii="Times New Roman" w:hAnsi="Times New Roman" w:eastAsia="方正仿宋_GBK"/>
          <w:b w:val="0"/>
          <w:sz w:val="24"/>
        </w:rPr>
        <w:t xml:space="preserve">投运能够</w:t>
      </w:r>
      <w:r>
        <w:rPr>
          <w:rFonts w:ascii="Times New Roman" w:hAnsi="Times New Roman" w:eastAsia="方正仿宋_GBK"/>
          <w:b w:val="0"/>
          <w:sz w:val="24"/>
        </w:rPr>
        <w:t xml:space="preserve">增加</w:t>
      </w:r>
      <w:r>
        <w:rPr>
          <w:rFonts w:ascii="Times New Roman" w:hAnsi="Times New Roman" w:eastAsia="方正仿宋_GBK"/>
          <w:b w:val="0"/>
          <w:sz w:val="24"/>
        </w:rPr>
        <w:t xml:space="preserve">故障</w:t>
      </w:r>
      <w:r>
        <w:rPr>
          <w:rFonts w:ascii="Times New Roman" w:hAnsi="Times New Roman" w:eastAsia="方正仿宋_GBK"/>
          <w:b w:val="0"/>
          <w:sz w:val="24"/>
        </w:rPr>
        <w:t xml:space="preserve">后</w:t>
      </w:r>
      <w:r>
        <w:rPr>
          <w:rFonts w:ascii="Times New Roman" w:hAnsi="Times New Roman" w:eastAsia="方正仿宋_GBK"/>
          <w:b w:val="0"/>
          <w:sz w:val="24"/>
        </w:rPr>
        <w:t xml:space="preserve">可用容量</w:t>
      </w:r>
      <w:r>
        <w:rPr>
          <w:rFonts w:ascii="Times New Roman" w:hAnsi="Times New Roman" w:eastAsia="方正仿宋_GBK"/>
          <w:b w:val="0"/>
          <w:sz w:val="24"/>
        </w:rPr>
        <w:t xml:space="preserve">，两台共同升档也</w:t>
      </w:r>
      <w:r>
        <w:rPr>
          <w:rFonts w:ascii="Times New Roman" w:hAnsi="Times New Roman" w:eastAsia="方正仿宋_GBK"/>
          <w:b w:val="0"/>
          <w:sz w:val="24"/>
        </w:rPr>
        <w:t xml:space="preserve">能</w:t>
      </w:r>
      <w:r>
        <w:rPr>
          <w:rFonts w:ascii="Times New Roman" w:hAnsi="Times New Roman" w:eastAsia="方正仿宋_GBK"/>
          <w:b w:val="0"/>
          <w:sz w:val="24"/>
        </w:rPr>
        <w:t xml:space="preserve">提高</w:t>
      </w:r>
      <w:r>
        <w:rPr>
          <w:rFonts w:ascii="Times New Roman" w:hAnsi="Times New Roman" w:eastAsia="方正仿宋_GBK"/>
          <w:b w:val="0"/>
          <w:sz w:val="24"/>
        </w:rPr>
        <w:t xml:space="preserve">最大单台停运后的剩余能力</w:t>
      </w:r>
      <w:r>
        <w:rPr>
          <w:rFonts w:ascii="Times New Roman" w:hAnsi="Times New Roman" w:eastAsia="方正仿宋_GBK"/>
          <w:b w:val="0"/>
          <w:sz w:val="24"/>
        </w:rPr>
        <w:t xml:space="preserve">。第五章</w:t>
      </w:r>
      <w:r>
        <w:rPr>
          <w:rFonts w:ascii="Times New Roman" w:hAnsi="Times New Roman" w:eastAsia="方正仿宋_GBK"/>
          <w:b w:val="0"/>
          <w:sz w:val="24"/>
        </w:rPr>
        <w:t xml:space="preserve">以实际基期设备为起点，按</w:t>
      </w:r>
      <w:r>
        <w:rPr>
          <w:rFonts w:ascii="Times New Roman" w:hAnsi="Times New Roman" w:eastAsia="方正仿宋_GBK"/>
          <w:b w:val="0"/>
          <w:sz w:val="24"/>
        </w:rPr>
        <w:t xml:space="preserve">年</w:t>
      </w:r>
      <w:r>
        <w:rPr>
          <w:rFonts w:ascii="Times New Roman" w:hAnsi="Times New Roman" w:eastAsia="方正仿宋_GBK"/>
          <w:b w:val="0"/>
          <w:sz w:val="24"/>
        </w:rPr>
        <w:t xml:space="preserve">度源荷和转供条件比较各站的更换</w:t>
      </w:r>
      <w:r>
        <w:rPr>
          <w:rFonts w:ascii="Times New Roman" w:hAnsi="Times New Roman" w:eastAsia="方正仿宋_GBK"/>
          <w:b w:val="0"/>
          <w:sz w:val="24"/>
        </w:rPr>
        <w:t xml:space="preserve">、</w:t>
      </w:r>
      <w:r>
        <w:rPr>
          <w:rFonts w:ascii="Times New Roman" w:hAnsi="Times New Roman" w:eastAsia="方正仿宋_GBK"/>
          <w:b w:val="0"/>
          <w:sz w:val="24"/>
        </w:rPr>
        <w:t xml:space="preserve">扩建及</w:t>
      </w:r>
      <w:r>
        <w:rPr>
          <w:rFonts w:ascii="Times New Roman" w:hAnsi="Times New Roman" w:eastAsia="方正仿宋_GBK"/>
          <w:b w:val="0"/>
          <w:sz w:val="24"/>
        </w:rPr>
        <w:t xml:space="preserve">配储</w:t>
      </w:r>
      <w:r>
        <w:rPr>
          <w:rFonts w:ascii="Times New Roman" w:hAnsi="Times New Roman" w:eastAsia="方正仿宋_GBK"/>
          <w:b w:val="0"/>
          <w:sz w:val="24"/>
        </w:rPr>
        <w:t xml:space="preserve">需</w:t>
      </w:r>
      <w:r>
        <w:rPr>
          <w:rFonts w:ascii="Times New Roman" w:hAnsi="Times New Roman" w:eastAsia="方正仿宋_GBK"/>
          <w:b w:val="0"/>
          <w:sz w:val="24"/>
        </w:rPr>
        <w:t xml:space="preserve">求</w:t>
      </w:r>
      <w:r>
        <w:rPr>
          <w:rFonts w:ascii="Times New Roman" w:hAnsi="Times New Roman" w:eastAsia="方正仿宋_GBK"/>
          <w:b w:val="0"/>
          <w:sz w:val="24"/>
        </w:rPr>
        <w:t xml:space="preserve">。</w:t>
      </w:r>
    </w:p>
    <w:p w14:paraId="204E8071">
      <w:pPr>
        <w:pStyle w:val="2"/>
        <w:widowControl/>
        <w:spacing w:before="0" w:after="0" w:line="348" w:lineRule="exact"/>
        <w:ind w:firstLine="480"/>
        <w:jc w:val="both"/>
      </w:pPr>
      <w:r>
        <w:rPr>
          <w:rFonts w:ascii="Times New Roman" w:hAnsi="Times New Roman" w:eastAsia="方正仿宋_GBK"/>
          <w:b w:val="0"/>
          <w:sz w:val="24"/>
        </w:rPr>
        <w:t xml:space="preserve">负荷分散系数</w:t>
      </w:r>
      <w:r>
        <w:rPr>
          <w:rFonts w:ascii="Times New Roman" w:hAnsi="Times New Roman" w:eastAsia="方正仿宋_GBK"/>
          <w:b w:val="0"/>
          <w:sz w:val="24"/>
        </w:rPr>
        <w:t xml:space="preserve">为各站最大正向净负荷之和与区域同时最大正向净负荷之比，无量纲。</w:t>
      </w:r>
      <w:r>
        <w:rPr>
          <w:rFonts w:ascii="Times New Roman" w:hAnsi="Times New Roman" w:eastAsia="方正仿宋_GBK"/>
          <w:b w:val="0"/>
          <w:sz w:val="24"/>
        </w:rPr>
        <w:t xml:space="preserve">系</w:t>
      </w:r>
      <w:r>
        <w:rPr>
          <w:rFonts w:ascii="Times New Roman" w:hAnsi="Times New Roman" w:eastAsia="方正仿宋_GBK"/>
          <w:b w:val="0"/>
          <w:sz w:val="24"/>
        </w:rPr>
        <w:t xml:space="preserve">数1.00对应各站正向峰值完全同时发生的边界情景。按2025年补齐后的同小时序列计算，邳州</w:t>
      </w:r>
      <w:r>
        <w:rPr>
          <w:rFonts w:ascii="Times New Roman" w:hAnsi="Times New Roman" w:eastAsia="方正仿宋_GBK"/>
          <w:b w:val="0"/>
          <w:sz w:val="24"/>
        </w:rPr>
        <w:t xml:space="preserve">各站峰值</w:t>
      </w:r>
      <w:r>
        <w:rPr>
          <w:rFonts w:ascii="Times New Roman" w:hAnsi="Times New Roman" w:eastAsia="方正仿宋_GBK"/>
          <w:b w:val="0"/>
          <w:sz w:val="24"/>
        </w:rPr>
        <w:t xml:space="preserve">合计1005.50 MW、</w:t>
      </w:r>
      <w:r>
        <w:rPr>
          <w:rFonts w:ascii="Times New Roman" w:hAnsi="Times New Roman" w:eastAsia="方正仿宋_GBK"/>
          <w:b w:val="0"/>
          <w:sz w:val="24"/>
        </w:rPr>
        <w:t xml:space="preserve">区域同时峰值</w:t>
      </w:r>
      <w:r>
        <w:rPr>
          <w:rFonts w:ascii="Times New Roman" w:hAnsi="Times New Roman" w:eastAsia="方正仿宋_GBK"/>
          <w:b w:val="0"/>
          <w:sz w:val="24"/>
        </w:rPr>
        <w:t xml:space="preserve">951.66 MW，</w:t>
      </w:r>
      <w:r>
        <w:rPr>
          <w:rFonts w:ascii="Times New Roman" w:hAnsi="Times New Roman" w:eastAsia="方正仿宋_GBK"/>
          <w:b w:val="0"/>
          <w:sz w:val="24"/>
        </w:rPr>
        <w:t xml:space="preserve">系数</w:t>
      </w:r>
      <w:r>
        <w:rPr>
          <w:rFonts w:ascii="Times New Roman" w:hAnsi="Times New Roman" w:eastAsia="方正仿宋_GBK"/>
          <w:b w:val="0"/>
          <w:sz w:val="24"/>
        </w:rPr>
        <w:t xml:space="preserve">为</w:t>
      </w:r>
      <w:r>
        <w:rPr>
          <w:rFonts w:ascii="Times New Roman" w:hAnsi="Times New Roman" w:eastAsia="方正仿宋_GBK"/>
          <w:b w:val="0"/>
          <w:sz w:val="24"/>
        </w:rPr>
        <w:t xml:space="preserve">1.0</w:t>
      </w:r>
      <w:r>
        <w:rPr>
          <w:rFonts w:ascii="Times New Roman" w:hAnsi="Times New Roman" w:eastAsia="方正仿宋_GBK"/>
          <w:b w:val="0"/>
          <w:sz w:val="24"/>
        </w:rPr>
        <w:t xml:space="preserve">6；市区分别为1455.1</w:t>
      </w:r>
      <w:r>
        <w:rPr>
          <w:rFonts w:ascii="Times New Roman" w:hAnsi="Times New Roman" w:eastAsia="方正仿宋_GBK"/>
          <w:b w:val="0"/>
          <w:sz w:val="24"/>
        </w:rPr>
        <w:t xml:space="preserve">0</w:t>
      </w:r>
      <w:r>
        <w:rPr>
          <w:rFonts w:ascii="Times New Roman" w:hAnsi="Times New Roman" w:eastAsia="方正仿宋_GBK"/>
          <w:b w:val="0"/>
          <w:sz w:val="24"/>
        </w:rPr>
        <w:t xml:space="preserve"> MW、1307.32 MW</w:t>
      </w:r>
      <w:r>
        <w:rPr>
          <w:rFonts w:ascii="Times New Roman" w:hAnsi="Times New Roman" w:eastAsia="方正仿宋_GBK"/>
          <w:b w:val="0"/>
          <w:sz w:val="24"/>
        </w:rPr>
        <w:t xml:space="preserve">，</w:t>
      </w:r>
      <w:r>
        <w:rPr>
          <w:rFonts w:ascii="Times New Roman" w:hAnsi="Times New Roman" w:eastAsia="方正仿宋_GBK"/>
          <w:b w:val="0"/>
          <w:sz w:val="24"/>
        </w:rPr>
        <w:t xml:space="preserve">系数为1.11。两地</w:t>
      </w:r>
      <w:r>
        <w:rPr>
          <w:rFonts w:ascii="Times New Roman" w:hAnsi="Times New Roman" w:eastAsia="方正仿宋_GBK"/>
          <w:b w:val="0"/>
          <w:sz w:val="24"/>
        </w:rPr>
        <w:t xml:space="preserve">区</w:t>
      </w:r>
      <w:r>
        <w:rPr>
          <w:rFonts w:ascii="Times New Roman" w:hAnsi="Times New Roman" w:eastAsia="方正仿宋_GBK"/>
          <w:b w:val="0"/>
          <w:sz w:val="24"/>
        </w:rPr>
        <w:t xml:space="preserve">样</w:t>
      </w:r>
      <w:r>
        <w:rPr>
          <w:rFonts w:ascii="Times New Roman" w:hAnsi="Times New Roman" w:eastAsia="方正仿宋_GBK"/>
          <w:b w:val="0"/>
          <w:sz w:val="24"/>
        </w:rPr>
        <w:t xml:space="preserve">本</w:t>
      </w:r>
      <w:r>
        <w:rPr>
          <w:rFonts w:ascii="Times New Roman" w:hAnsi="Times New Roman" w:eastAsia="方正仿宋_GBK"/>
          <w:b w:val="0"/>
          <w:sz w:val="24"/>
        </w:rPr>
        <w:t xml:space="preserve">为</w:t>
      </w:r>
      <w:r>
        <w:rPr>
          <w:rFonts w:ascii="Times New Roman" w:hAnsi="Times New Roman" w:eastAsia="方正仿宋_GBK"/>
          <w:b w:val="0"/>
          <w:sz w:val="24"/>
        </w:rPr>
        <w:t xml:space="preserve">1.00、1.10、1.15</w:t>
      </w:r>
      <w:r>
        <w:rPr>
          <w:woUserID w:val="2"/>
        </w:rPr>
      </w:r>
      <w:r>
        <w:rPr>
          <w:rFonts w:ascii="Times New Roman" w:hAnsi="Times New Roman" w:eastAsia="方正仿宋_GBK"/>
          <w:b w:val="0"/>
          <w:sz w:val="24"/>
        </w:rPr>
        <w:t xml:space="preserve">三个</w:t>
      </w:r>
      <w:r>
        <w:rPr>
          <w:rFonts w:ascii="Times New Roman" w:hAnsi="Times New Roman" w:eastAsia="方正仿宋_GBK"/>
          <w:b w:val="0"/>
          <w:sz w:val="24"/>
        </w:rPr>
        <w:t xml:space="preserve">推广节点提供参照，其中1.15为本研究情景范围的上端。站间峰值越不同步，</w:t>
      </w:r>
      <w:r>
        <w:rPr>
          <w:rFonts w:ascii="Times New Roman" w:hAnsi="Times New Roman" w:eastAsia="方正仿宋_GBK"/>
          <w:b w:val="0"/>
          <w:sz w:val="24"/>
        </w:rPr>
        <w:t xml:space="preserve">系数</w:t>
      </w:r>
      <w:r>
        <w:rPr>
          <w:rFonts w:ascii="Times New Roman" w:hAnsi="Times New Roman" w:eastAsia="方正仿宋_GBK"/>
          <w:b w:val="0"/>
          <w:sz w:val="24"/>
        </w:rPr>
        <w:t xml:space="preserve">还可能高于1.15</w:t>
      </w:r>
      <w:r>
        <w:rPr>
          <w:rFonts w:ascii="Times New Roman" w:hAnsi="Times New Roman" w:eastAsia="方正仿宋_GBK"/>
          <w:b w:val="0"/>
          <w:sz w:val="24"/>
        </w:rPr>
        <w:t xml:space="preserve">，</w:t>
      </w:r>
      <w:r>
        <w:rPr>
          <w:rFonts w:ascii="Times New Roman" w:hAnsi="Times New Roman" w:eastAsia="方正仿宋_GBK"/>
          <w:b w:val="0"/>
          <w:sz w:val="24"/>
        </w:rPr>
        <w:t xml:space="preserve">实际取值应由同范围同期曲线计算</w:t>
      </w:r>
      <w:r>
        <w:rPr>
          <w:rFonts w:ascii="Times New Roman" w:hAnsi="Times New Roman" w:eastAsia="方正仿宋_GBK"/>
          <w:b w:val="0"/>
          <w:sz w:val="24"/>
        </w:rPr>
        <w:t xml:space="preserve">。</w:t>
      </w:r>
    </w:p>
    <w:p w14:paraId="2220BAA3">
      <w:pPr>
        <w:pStyle w:val="5"/>
        <w:keepNext/>
        <w:numPr>
          <w:ilvl w:val="0"/>
          <w:numId w:val="0"/>
        </w:numPr>
        <w:spacing w:before="160" w:after="120" w:line="390" w:lineRule="exact"/>
        <w:ind w:firstLine="0"/>
      </w:pPr>
      <w:bookmarkStart w:id="136" w:name="两地区的容量规划重点"/>
      <w:r>
        <w:rPr>
          <w:rFonts w:ascii="Times New Roman" w:hAnsi="Times New Roman" w:eastAsia="方正仿宋_GBK"/>
          <w:b/>
          <w:sz w:val="26"/>
        </w:rPr>
        <w:t>3.8.4 两地区的容量规划重点</w:t>
      </w:r>
      <w:bookmarkEnd w:id="136"/>
    </w:p>
    <w:p w14:paraId="68DCABED">
      <w:pPr>
        <w:pStyle w:val="115"/>
        <w:widowControl/>
        <w:spacing w:before="0" w:after="0" w:line="348" w:lineRule="exact"/>
        <w:ind w:firstLine="480"/>
        <w:jc w:val="both"/>
      </w:pPr>
      <w:r>
        <w:rPr>
          <w:rFonts w:ascii="Times New Roman" w:hAnsi="Times New Roman" w:eastAsia="方正仿宋_GBK"/>
          <w:b w:val="0"/>
          <w:sz w:val="24"/>
        </w:rPr>
        <w:t>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14:paraId="6B44F2C5">
      <w:pPr>
        <w:pStyle w:val="2"/>
        <w:widowControl/>
        <w:spacing w:before="0" w:after="0" w:line="348" w:lineRule="exact"/>
        <w:ind w:firstLine="480"/>
        <w:jc w:val="both"/>
      </w:pPr>
      <w:r>
        <w:rPr>
          <w:rFonts w:ascii="Times New Roman" w:hAnsi="Times New Roman" w:eastAsia="方正仿宋_GBK"/>
          <w:b w:val="0"/>
          <w:sz w:val="24"/>
        </w:rPr>
        <w:t>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14:paraId="23BF5CF0">
      <w:pPr>
        <w:pStyle w:val="2"/>
        <w:widowControl/>
        <w:spacing w:before="0" w:after="0" w:line="348" w:lineRule="exact"/>
        <w:ind w:firstLine="480"/>
        <w:jc w:val="both"/>
      </w:pPr>
      <w:r>
        <w:rPr>
          <w:rFonts w:ascii="Times New Roman" w:hAnsi="Times New Roman" w:eastAsia="方正仿宋_GBK"/>
          <w:b w:val="0"/>
          <w:sz w:val="24"/>
        </w:rPr>
        <w:t>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14:paraId="1EB7C68F">
      <w:pPr>
        <w:pStyle w:val="3"/>
        <w:keepNext/>
        <w:pageBreakBefore/>
        <w:numPr>
          <w:ilvl w:val="0"/>
          <w:numId w:val="0"/>
        </w:numPr>
        <w:spacing w:before="0" w:after="120" w:line="540" w:lineRule="exact"/>
        <w:ind w:firstLine="0"/>
      </w:pPr>
      <w:bookmarkStart w:id="317" w:name="Report1017_h491"/>
      <w:bookmarkEnd w:id="317"/>
      <w:bookmarkStart w:id="137" w:name="第四章-基于实际工程的建设成本模型"/>
      <w:bookmarkStart w:id="138" w:name="h491"/>
      <w:r>
        <w:rPr>
          <w:rFonts w:ascii="Times New Roman" w:hAnsi="Times New Roman" w:eastAsia="方正仿宋_GBK"/>
          <w:b/>
          <w:sz w:val="36"/>
        </w:rPr>
        <w:t>第四章 基于实际工程的建设成本模型</w:t>
      </w:r>
      <w:bookmarkEnd w:id="137"/>
      <w:bookmarkEnd w:id="138"/>
    </w:p>
    <w:p w14:paraId="5EE2F0F8">
      <w:pPr>
        <w:pStyle w:val="4"/>
        <w:keepNext/>
        <w:numPr>
          <w:ilvl w:val="0"/>
          <w:numId w:val="0"/>
        </w:numPr>
        <w:spacing w:before="160" w:after="120" w:line="480" w:lineRule="exact"/>
        <w:ind w:firstLine="0"/>
      </w:pPr>
      <w:bookmarkStart w:id="318" w:name="Report1017_h492"/>
      <w:bookmarkEnd w:id="318"/>
      <w:bookmarkStart w:id="139" w:name="成本模型的范围与建立原则"/>
      <w:bookmarkStart w:id="140" w:name="h492"/>
      <w:r>
        <w:rPr>
          <w:rFonts w:ascii="Times New Roman" w:hAnsi="Times New Roman" w:eastAsia="方正仿宋_GBK"/>
          <w:b/>
          <w:sz w:val="32"/>
        </w:rPr>
        <w:t>4.1 成本模型的范围与建立原则</w:t>
      </w:r>
      <w:bookmarkEnd w:id="139"/>
      <w:bookmarkEnd w:id="140"/>
    </w:p>
    <w:p w14:paraId="06A834DA">
      <w:pPr>
        <w:pStyle w:val="5"/>
        <w:keepNext/>
        <w:numPr>
          <w:ilvl w:val="0"/>
          <w:numId w:val="0"/>
        </w:numPr>
        <w:spacing w:before="160" w:after="120" w:line="390" w:lineRule="exact"/>
        <w:ind w:firstLine="0"/>
      </w:pPr>
      <w:bookmarkStart w:id="141" w:name="建设改造措施与投资估算依据"/>
      <w:r>
        <w:rPr>
          <w:rFonts w:ascii="Times New Roman" w:hAnsi="Times New Roman" w:eastAsia="方正仿宋_GBK"/>
          <w:b/>
          <w:sz w:val="26"/>
        </w:rPr>
        <w:t>4.1.1 建设改造措施与投资估算依据</w:t>
      </w:r>
      <w:bookmarkEnd w:id="141"/>
    </w:p>
    <w:p w14:paraId="28446DAD">
      <w:pPr>
        <w:pStyle w:val="115"/>
        <w:widowControl/>
        <w:spacing w:before="0" w:after="0" w:line="348" w:lineRule="exact"/>
        <w:ind w:firstLine="480"/>
        <w:jc w:val="both"/>
      </w:pPr>
      <w:r>
        <w:rPr>
          <w:rFonts w:ascii="Times New Roman" w:hAnsi="Times New Roman" w:eastAsia="方正仿宋_GBK"/>
          <w:b w:val="0"/>
          <w:sz w:val="24"/>
        </w:rPr>
        <w:t>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14:paraId="42A8D2EE">
      <w:pPr>
        <w:pStyle w:val="2"/>
        <w:widowControl/>
        <w:spacing w:before="0" w:after="0" w:line="348" w:lineRule="exact"/>
        <w:ind w:firstLine="480"/>
        <w:jc w:val="both"/>
      </w:pPr>
      <w:r>
        <w:rPr>
          <w:rFonts w:ascii="Times New Roman" w:hAnsi="Times New Roman" w:eastAsia="方正仿宋_GBK"/>
          <w:b w:val="0"/>
          <w:sz w:val="24"/>
        </w:rPr>
        <w:t>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[85,87,88]。</w:t>
      </w:r>
    </w:p>
    <w:p w14:paraId="0C5B7CB7">
      <w:pPr>
        <w:pStyle w:val="5"/>
        <w:keepNext/>
        <w:numPr>
          <w:ilvl w:val="0"/>
          <w:numId w:val="0"/>
        </w:numPr>
        <w:spacing w:before="160" w:after="120" w:line="390" w:lineRule="exact"/>
        <w:ind w:firstLine="0"/>
      </w:pPr>
      <w:bookmarkStart w:id="142" w:name="投资运维与更新"/>
      <w:r>
        <w:rPr>
          <w:rFonts w:ascii="Times New Roman" w:hAnsi="Times New Roman" w:eastAsia="方正仿宋_GBK"/>
          <w:b/>
          <w:sz w:val="26"/>
        </w:rPr>
        <w:t>4.1.2 投资、运维与更新</w:t>
      </w:r>
      <w:bookmarkEnd w:id="142"/>
    </w:p>
    <w:p w14:paraId="1B06662B">
      <w:pPr>
        <w:pStyle w:val="115"/>
        <w:widowControl/>
        <w:spacing w:before="0" w:after="0" w:line="348" w:lineRule="exact"/>
        <w:ind w:firstLine="480"/>
        <w:jc w:val="both"/>
      </w:pPr>
      <w:r>
        <w:rPr>
          <w:rFonts w:ascii="Times New Roman" w:hAnsi="Times New Roman" w:eastAsia="方正仿宋_GBK"/>
          <w:b w:val="0"/>
          <w:sz w:val="24"/>
        </w:rPr>
        <w:t>评价期费用以2021年末为评价基准、2041年为截止年，新增工程在投运年发生初始投资，次年起计固定运维。设备达到设定寿命且评价期内仍需服务时，按同等实价更新，使不同寿命的措施在相同现金流范围内比较[10,13,14]。</w:t>
      </w:r>
    </w:p>
    <w:p w14:paraId="40CB67CB">
      <w:pPr>
        <w:pStyle w:val="2"/>
        <w:widowControl/>
        <w:spacing w:before="0" w:after="0" w:line="348" w:lineRule="exact"/>
        <w:ind w:firstLine="480"/>
        <w:jc w:val="both"/>
      </w:pPr>
      <w:r>
        <w:rPr>
          <w:rFonts w:ascii="Times New Roman" w:hAnsi="Times New Roman" w:eastAsia="方正仿宋_GBK"/>
          <w:b w:val="0"/>
          <w:sz w:val="24"/>
        </w:rPr>
        <w:t>主变和线路寿命均取40年，储能取25年，年度固定运维支出与初始投资之比在变电、线路和储能三类措施中分别取4.20%、2.20%、3.00%，折现率为6%。这些参数用于将初始投资、年度运维和设备更新分项折现[10,13,14]，两类方案在相同参数及2041年评价截止年下比较费用。</w:t>
      </w:r>
    </w:p>
    <w:p w14:paraId="184E6DAA">
      <w:pPr>
        <w:pStyle w:val="2"/>
        <w:keepNext/>
        <w:spacing w:before="120" w:after="80" w:line="280" w:lineRule="exact"/>
        <w:ind w:firstLine="0"/>
        <w:jc w:val="center"/>
      </w:pPr>
      <w:r>
        <w:rPr>
          <w:rFonts w:ascii="Times New Roman" w:hAnsi="Times New Roman" w:eastAsia="宋体"/>
          <w:b w:val="0"/>
          <w:sz w:val="21"/>
        </w:rPr>
        <w:t>表4-1 统一经济评价参数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161"/>
        <w:gridCol w:w="2327"/>
        <w:gridCol w:w="3823"/>
      </w:tblGrid>
      <w:tr w14:paraId="73CC32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161" w:type="dxa"/>
            <w:tcMar>
              <w:left w:w="70" w:type="dxa"/>
              <w:right w:w="70" w:type="dxa"/>
            </w:tcMar>
            <w:vAlign w:val="center"/>
          </w:tcPr>
          <w:p w14:paraId="52287CFB">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2327" w:type="dxa"/>
            <w:tcMar>
              <w:left w:w="70" w:type="dxa"/>
              <w:right w:w="70" w:type="dxa"/>
            </w:tcMar>
            <w:vAlign w:val="center"/>
          </w:tcPr>
          <w:p w14:paraId="1BF13F4C">
            <w:pPr>
              <w:keepNext/>
              <w:spacing w:before="20" w:after="20" w:line="260" w:lineRule="exact"/>
              <w:ind w:left="0" w:leftChars="0" w:right="0" w:rightChars="0" w:firstLine="0" w:firstLineChars="0"/>
              <w:jc w:val="center"/>
            </w:pPr>
            <w:r>
              <w:rPr>
                <w:rFonts w:ascii="Times New Roman" w:hAnsi="Times New Roman" w:eastAsia="宋体"/>
                <w:b/>
                <w:sz w:val="18"/>
              </w:rPr>
              <w:t>取值</w:t>
            </w:r>
          </w:p>
        </w:tc>
        <w:tc>
          <w:tcPr>
            <w:tcW w:w="3823" w:type="dxa"/>
            <w:tcMar>
              <w:left w:w="70" w:type="dxa"/>
              <w:right w:w="70" w:type="dxa"/>
            </w:tcMar>
            <w:vAlign w:val="center"/>
          </w:tcPr>
          <w:p w14:paraId="3FA49A88">
            <w:pPr>
              <w:keepNext/>
              <w:spacing w:before="20" w:after="20" w:line="260" w:lineRule="exact"/>
              <w:ind w:left="0" w:leftChars="0" w:right="0" w:rightChars="0" w:firstLine="0" w:firstLineChars="0"/>
              <w:jc w:val="center"/>
            </w:pPr>
            <w:r>
              <w:rPr>
                <w:rFonts w:ascii="Times New Roman" w:hAnsi="Times New Roman" w:eastAsia="宋体"/>
                <w:b/>
                <w:sz w:val="18"/>
              </w:rPr>
              <w:t>计算依据与用途</w:t>
            </w:r>
          </w:p>
        </w:tc>
      </w:tr>
      <w:tr w14:paraId="01A92C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651F5BF">
            <w:pPr>
              <w:keepNext/>
              <w:spacing w:before="20" w:after="20" w:line="260" w:lineRule="exact"/>
              <w:ind w:left="0" w:leftChars="0" w:right="0" w:rightChars="0" w:firstLine="0" w:firstLineChars="0"/>
              <w:jc w:val="center"/>
            </w:pPr>
            <w:r>
              <w:rPr>
                <w:rFonts w:ascii="Times New Roman" w:hAnsi="Times New Roman" w:eastAsia="宋体"/>
                <w:b w:val="0"/>
                <w:sz w:val="18"/>
              </w:rPr>
              <w:t>评价基准年/截止年</w:t>
            </w:r>
          </w:p>
        </w:tc>
        <w:tc>
          <w:tcPr>
            <w:tcW w:w="2327" w:type="dxa"/>
            <w:tcMar>
              <w:left w:w="70" w:type="dxa"/>
              <w:right w:w="70" w:type="dxa"/>
            </w:tcMar>
            <w:vAlign w:val="center"/>
          </w:tcPr>
          <w:p w14:paraId="6B152333">
            <w:pPr>
              <w:keepNext/>
              <w:spacing w:before="20" w:after="20" w:line="260" w:lineRule="exact"/>
              <w:ind w:left="0" w:leftChars="0" w:right="0" w:rightChars="0" w:firstLine="0" w:firstLineChars="0"/>
              <w:jc w:val="center"/>
            </w:pPr>
            <w:r>
              <w:rPr>
                <w:rFonts w:ascii="Times New Roman" w:hAnsi="Times New Roman" w:eastAsia="宋体"/>
                <w:b w:val="0"/>
                <w:sz w:val="18"/>
              </w:rPr>
              <w:t>2021/2041</w:t>
            </w:r>
          </w:p>
        </w:tc>
        <w:tc>
          <w:tcPr>
            <w:tcW w:w="3823" w:type="dxa"/>
            <w:tcMar>
              <w:left w:w="70" w:type="dxa"/>
              <w:right w:w="70" w:type="dxa"/>
            </w:tcMar>
            <w:vAlign w:val="center"/>
          </w:tcPr>
          <w:p w14:paraId="4EFAB559">
            <w:pPr>
              <w:keepNext/>
              <w:spacing w:before="20" w:after="20" w:line="260" w:lineRule="exact"/>
              <w:ind w:left="0" w:leftChars="0" w:right="0" w:rightChars="0" w:firstLine="0" w:firstLineChars="0"/>
              <w:jc w:val="center"/>
            </w:pPr>
            <w:r>
              <w:rPr>
                <w:rFonts w:ascii="Times New Roman" w:hAnsi="Times New Roman" w:eastAsia="宋体"/>
                <w:b w:val="0"/>
                <w:sz w:val="18"/>
              </w:rPr>
              <w:t>共同评价期费用比较</w:t>
            </w:r>
          </w:p>
        </w:tc>
      </w:tr>
      <w:tr w14:paraId="01F022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522ADAE">
            <w:pPr>
              <w:keepNext/>
              <w:spacing w:before="20" w:after="20" w:line="260" w:lineRule="exact"/>
              <w:ind w:left="0" w:leftChars="0" w:right="0" w:rightChars="0" w:firstLine="0" w:firstLineChars="0"/>
              <w:jc w:val="center"/>
            </w:pPr>
            <w:r>
              <w:rPr>
                <w:rFonts w:ascii="Times New Roman" w:hAnsi="Times New Roman" w:eastAsia="宋体"/>
                <w:b w:val="0"/>
                <w:sz w:val="18"/>
              </w:rPr>
              <w:t>折现率</w:t>
            </w:r>
          </w:p>
        </w:tc>
        <w:tc>
          <w:tcPr>
            <w:tcW w:w="2327" w:type="dxa"/>
            <w:tcMar>
              <w:left w:w="70" w:type="dxa"/>
              <w:right w:w="70" w:type="dxa"/>
            </w:tcMar>
            <w:vAlign w:val="center"/>
          </w:tcPr>
          <w:p w14:paraId="0DD57C67">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3823" w:type="dxa"/>
            <w:tcMar>
              <w:left w:w="70" w:type="dxa"/>
              <w:right w:w="70" w:type="dxa"/>
            </w:tcMar>
            <w:vAlign w:val="center"/>
          </w:tcPr>
          <w:p w14:paraId="44CFF644">
            <w:pPr>
              <w:keepNext/>
              <w:spacing w:before="20" w:after="20" w:line="260" w:lineRule="exact"/>
              <w:ind w:left="0" w:leftChars="0" w:right="0" w:rightChars="0" w:firstLine="0" w:firstLineChars="0"/>
              <w:jc w:val="center"/>
            </w:pPr>
            <w:r>
              <w:rPr>
                <w:rFonts w:ascii="Times New Roman" w:hAnsi="Times New Roman" w:eastAsia="宋体"/>
                <w:b w:val="0"/>
                <w:sz w:val="18"/>
              </w:rPr>
              <w:t>现值法；统一资金时间价值参数[10,13,14]</w:t>
            </w:r>
          </w:p>
        </w:tc>
      </w:tr>
      <w:tr w14:paraId="43CCE1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70E056F8">
            <w:pPr>
              <w:keepNext/>
              <w:spacing w:before="20" w:after="20" w:line="260" w:lineRule="exact"/>
              <w:ind w:left="0" w:leftChars="0" w:right="0" w:rightChars="0" w:firstLine="0" w:firstLineChars="0"/>
              <w:jc w:val="center"/>
            </w:pPr>
            <w:r>
              <w:rPr>
                <w:rFonts w:ascii="Times New Roman" w:hAnsi="Times New Roman" w:eastAsia="宋体"/>
                <w:b w:val="0"/>
                <w:sz w:val="18"/>
              </w:rPr>
              <w:t>主变/线路使用年限</w:t>
            </w:r>
          </w:p>
        </w:tc>
        <w:tc>
          <w:tcPr>
            <w:tcW w:w="2327" w:type="dxa"/>
            <w:tcMar>
              <w:left w:w="70" w:type="dxa"/>
              <w:right w:w="70" w:type="dxa"/>
            </w:tcMar>
            <w:vAlign w:val="center"/>
          </w:tcPr>
          <w:p w14:paraId="131D1546">
            <w:pPr>
              <w:keepNext/>
              <w:spacing w:before="20" w:after="20" w:line="260" w:lineRule="exact"/>
              <w:ind w:left="0" w:leftChars="0" w:right="0" w:rightChars="0" w:firstLine="0" w:firstLineChars="0"/>
              <w:jc w:val="center"/>
            </w:pPr>
            <w:r>
              <w:rPr>
                <w:rFonts w:ascii="Times New Roman" w:hAnsi="Times New Roman" w:eastAsia="宋体"/>
                <w:b w:val="0"/>
                <w:sz w:val="18"/>
              </w:rPr>
              <w:t>40/40年</w:t>
            </w:r>
          </w:p>
        </w:tc>
        <w:tc>
          <w:tcPr>
            <w:tcW w:w="3823" w:type="dxa"/>
            <w:tcMar>
              <w:left w:w="70" w:type="dxa"/>
              <w:right w:w="70" w:type="dxa"/>
            </w:tcMar>
            <w:vAlign w:val="center"/>
          </w:tcPr>
          <w:p w14:paraId="1461242E">
            <w:pPr>
              <w:keepNext/>
              <w:spacing w:before="20" w:after="20" w:line="260" w:lineRule="exact"/>
              <w:ind w:left="0" w:leftChars="0" w:right="0" w:rightChars="0" w:firstLine="0" w:firstLineChars="0"/>
              <w:jc w:val="center"/>
            </w:pPr>
            <w:r>
              <w:rPr>
                <w:rFonts w:ascii="Times New Roman" w:hAnsi="Times New Roman" w:eastAsia="宋体"/>
                <w:b w:val="0"/>
                <w:sz w:val="18"/>
              </w:rPr>
              <w:t>设备更新间隔；本评价期内无更新</w:t>
            </w:r>
          </w:p>
        </w:tc>
      </w:tr>
      <w:tr w14:paraId="7C8B1B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0107BFE1">
            <w:pPr>
              <w:keepNext/>
              <w:spacing w:before="20" w:after="20" w:line="260" w:lineRule="exact"/>
              <w:ind w:left="0" w:leftChars="0" w:right="0" w:rightChars="0" w:firstLine="0" w:firstLineChars="0"/>
              <w:jc w:val="center"/>
            </w:pPr>
            <w:r>
              <w:rPr>
                <w:rFonts w:ascii="Times New Roman" w:hAnsi="Times New Roman" w:eastAsia="宋体"/>
                <w:b w:val="0"/>
                <w:sz w:val="18"/>
              </w:rPr>
              <w:t>储能使用年限</w:t>
            </w:r>
          </w:p>
        </w:tc>
        <w:tc>
          <w:tcPr>
            <w:tcW w:w="2327" w:type="dxa"/>
            <w:tcMar>
              <w:left w:w="70" w:type="dxa"/>
              <w:right w:w="70" w:type="dxa"/>
            </w:tcMar>
            <w:vAlign w:val="center"/>
          </w:tcPr>
          <w:p w14:paraId="4B50E497">
            <w:pPr>
              <w:keepNext/>
              <w:spacing w:before="20" w:after="20" w:line="260" w:lineRule="exact"/>
              <w:ind w:left="0" w:leftChars="0" w:right="0" w:rightChars="0" w:firstLine="0" w:firstLineChars="0"/>
              <w:jc w:val="center"/>
            </w:pPr>
            <w:r>
              <w:rPr>
                <w:rFonts w:ascii="Times New Roman" w:hAnsi="Times New Roman" w:eastAsia="宋体"/>
                <w:b w:val="0"/>
                <w:sz w:val="18"/>
              </w:rPr>
              <w:t>25年</w:t>
            </w:r>
          </w:p>
        </w:tc>
        <w:tc>
          <w:tcPr>
            <w:tcW w:w="3823" w:type="dxa"/>
            <w:tcMar>
              <w:left w:w="70" w:type="dxa"/>
              <w:right w:w="70" w:type="dxa"/>
            </w:tcMar>
            <w:vAlign w:val="center"/>
          </w:tcPr>
          <w:p w14:paraId="648F7B04">
            <w:pPr>
              <w:keepNext/>
              <w:spacing w:before="20" w:after="20" w:line="260" w:lineRule="exact"/>
              <w:ind w:left="0" w:leftChars="0" w:right="0" w:rightChars="0" w:firstLine="0" w:firstLineChars="0"/>
              <w:jc w:val="center"/>
            </w:pPr>
            <w:r>
              <w:rPr>
                <w:rFonts w:ascii="Times New Roman" w:hAnsi="Times New Roman" w:eastAsia="宋体"/>
                <w:b w:val="0"/>
                <w:sz w:val="18"/>
              </w:rPr>
              <w:t>设备更新间隔；本评价期内无更新</w:t>
            </w:r>
          </w:p>
        </w:tc>
      </w:tr>
      <w:tr w14:paraId="7C768C5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C8E4827">
            <w:pPr>
              <w:keepNext/>
              <w:spacing w:before="20" w:after="20" w:line="260" w:lineRule="exact"/>
              <w:ind w:left="0" w:leftChars="0" w:right="0" w:rightChars="0" w:firstLine="0" w:firstLineChars="0"/>
              <w:jc w:val="center"/>
            </w:pPr>
            <w:r>
              <w:rPr>
                <w:rFonts w:ascii="Times New Roman" w:hAnsi="Times New Roman" w:eastAsia="宋体"/>
                <w:b w:val="0"/>
                <w:sz w:val="18"/>
              </w:rPr>
              <w:t>变电固定运维费率</w:t>
            </w:r>
          </w:p>
        </w:tc>
        <w:tc>
          <w:tcPr>
            <w:tcW w:w="2327" w:type="dxa"/>
            <w:tcMar>
              <w:left w:w="70" w:type="dxa"/>
              <w:right w:w="70" w:type="dxa"/>
            </w:tcMar>
            <w:vAlign w:val="center"/>
          </w:tcPr>
          <w:p w14:paraId="13ECAF57">
            <w:pPr>
              <w:keepNext/>
              <w:spacing w:before="20" w:after="20" w:line="260" w:lineRule="exact"/>
              <w:ind w:left="0" w:leftChars="0" w:right="0" w:rightChars="0" w:firstLine="0" w:firstLineChars="0"/>
              <w:jc w:val="center"/>
            </w:pPr>
            <w:r>
              <w:rPr>
                <w:rFonts w:ascii="Times New Roman" w:hAnsi="Times New Roman" w:eastAsia="宋体"/>
                <w:b w:val="0"/>
                <w:sz w:val="18"/>
              </w:rPr>
              <w:t>初始投资4.20%/年</w:t>
            </w:r>
          </w:p>
        </w:tc>
        <w:tc>
          <w:tcPr>
            <w:tcW w:w="3823" w:type="dxa"/>
            <w:tcMar>
              <w:left w:w="70" w:type="dxa"/>
              <w:right w:w="70" w:type="dxa"/>
            </w:tcMar>
            <w:vAlign w:val="center"/>
          </w:tcPr>
          <w:p w14:paraId="687FA2C8">
            <w:pPr>
              <w:keepNext/>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按初始投资比例估算年度运维[13]</w:t>
            </w:r>
          </w:p>
        </w:tc>
      </w:tr>
      <w:tr w14:paraId="3FAED8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0E02BDDB">
            <w:pPr>
              <w:keepNext/>
              <w:spacing w:before="20" w:after="20" w:line="260" w:lineRule="exact"/>
              <w:ind w:left="0" w:leftChars="0" w:right="0" w:rightChars="0" w:firstLine="0" w:firstLineChars="0"/>
              <w:jc w:val="center"/>
            </w:pPr>
            <w:r>
              <w:rPr>
                <w:rFonts w:ascii="Times New Roman" w:hAnsi="Times New Roman" w:eastAsia="宋体"/>
                <w:b w:val="0"/>
                <w:sz w:val="18"/>
              </w:rPr>
              <w:t>线路固定运维费率</w:t>
            </w:r>
          </w:p>
        </w:tc>
        <w:tc>
          <w:tcPr>
            <w:tcW w:w="2327" w:type="dxa"/>
            <w:tcMar>
              <w:left w:w="70" w:type="dxa"/>
              <w:right w:w="70" w:type="dxa"/>
            </w:tcMar>
            <w:vAlign w:val="center"/>
          </w:tcPr>
          <w:p w14:paraId="492CA721">
            <w:pPr>
              <w:keepNext/>
              <w:spacing w:before="20" w:after="20" w:line="260" w:lineRule="exact"/>
              <w:ind w:left="0" w:leftChars="0" w:right="0" w:rightChars="0" w:firstLine="0" w:firstLineChars="0"/>
              <w:jc w:val="center"/>
            </w:pPr>
            <w:r>
              <w:rPr>
                <w:rFonts w:ascii="Times New Roman" w:hAnsi="Times New Roman" w:eastAsia="宋体"/>
                <w:b w:val="0"/>
                <w:sz w:val="18"/>
              </w:rPr>
              <w:t>初始投资2.20%/年</w:t>
            </w:r>
          </w:p>
        </w:tc>
        <w:tc>
          <w:tcPr>
            <w:tcW w:w="3823" w:type="dxa"/>
            <w:tcMar>
              <w:left w:w="70" w:type="dxa"/>
              <w:right w:w="70" w:type="dxa"/>
            </w:tcMar>
            <w:vAlign w:val="center"/>
          </w:tcPr>
          <w:p w14:paraId="5407E53B">
            <w:pPr>
              <w:keepNext/>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按初始投资比例估算年度运维[14]</w:t>
            </w:r>
          </w:p>
        </w:tc>
      </w:tr>
      <w:tr w14:paraId="62BAFF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497AEA43">
            <w:pPr>
              <w:keepNext w:val="0"/>
              <w:spacing w:before="20" w:after="20" w:line="260" w:lineRule="exact"/>
              <w:ind w:left="0" w:leftChars="0" w:right="0" w:rightChars="0" w:firstLine="0" w:firstLineChars="0"/>
              <w:jc w:val="center"/>
            </w:pPr>
            <w:r>
              <w:rPr>
                <w:rFonts w:ascii="Times New Roman" w:hAnsi="Times New Roman" w:eastAsia="宋体"/>
                <w:b w:val="0"/>
                <w:sz w:val="18"/>
              </w:rPr>
              <w:t>储能固定运维费率</w:t>
            </w:r>
          </w:p>
        </w:tc>
        <w:tc>
          <w:tcPr>
            <w:tcW w:w="2327" w:type="dxa"/>
            <w:tcMar>
              <w:left w:w="70" w:type="dxa"/>
              <w:right w:w="70" w:type="dxa"/>
            </w:tcMar>
            <w:vAlign w:val="center"/>
          </w:tcPr>
          <w:p w14:paraId="2EF4EAD1">
            <w:pPr>
              <w:keepNext w:val="0"/>
              <w:spacing w:before="20" w:after="20" w:line="260" w:lineRule="exact"/>
              <w:ind w:left="0" w:leftChars="0" w:right="0" w:rightChars="0" w:firstLine="0" w:firstLineChars="0"/>
              <w:jc w:val="center"/>
            </w:pPr>
            <w:r>
              <w:rPr>
                <w:rFonts w:ascii="Times New Roman" w:hAnsi="Times New Roman" w:eastAsia="宋体"/>
                <w:b w:val="0"/>
                <w:sz w:val="18"/>
              </w:rPr>
              <w:t>初始投资3.00%/年</w:t>
            </w:r>
          </w:p>
        </w:tc>
        <w:tc>
          <w:tcPr>
            <w:tcW w:w="3823" w:type="dxa"/>
            <w:tcMar>
              <w:left w:w="70" w:type="dxa"/>
              <w:right w:w="70" w:type="dxa"/>
            </w:tcMar>
            <w:vAlign w:val="center"/>
          </w:tcPr>
          <w:p w14:paraId="01E0C54F">
            <w:pPr>
              <w:keepNext w:val="0"/>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按初始投资比例估算年度运维[10]</w:t>
            </w:r>
          </w:p>
        </w:tc>
      </w:tr>
    </w:tbl>
    <w:p w14:paraId="15044821">
      <w:pPr>
        <w:pStyle w:val="2"/>
        <w:widowControl/>
        <w:spacing w:before="0" w:after="0" w:line="348" w:lineRule="exact"/>
        <w:ind w:firstLine="480"/>
        <w:jc w:val="both"/>
      </w:pPr>
      <w:r>
        <w:rPr>
          <w:rFonts w:ascii="Times New Roman" w:hAnsi="Times New Roman" w:eastAsia="方正仿宋_GBK"/>
          <w:b w:val="0"/>
          <w:sz w:val="24"/>
        </w:rPr>
        <w:t>注：文献支持费用构成和折现方法，所列年限与费率为本研究统一经济比较取值。</w:t>
      </w:r>
    </w:p>
    <w:p w14:paraId="3A316547">
      <w:pPr>
        <w:pStyle w:val="5"/>
        <w:keepNext/>
        <w:numPr>
          <w:ilvl w:val="0"/>
          <w:numId w:val="0"/>
        </w:numPr>
        <w:spacing w:before="160" w:after="120" w:line="390" w:lineRule="exact"/>
        <w:ind w:firstLine="0"/>
      </w:pPr>
      <w:bookmarkStart w:id="143" w:name="增量比较的适用范围"/>
      <w:r>
        <w:rPr>
          <w:rFonts w:ascii="Times New Roman" w:hAnsi="Times New Roman" w:eastAsia="方正仿宋_GBK"/>
          <w:b/>
          <w:sz w:val="26"/>
        </w:rPr>
        <w:t>4.1.3 增量比较的适用范围</w:t>
      </w:r>
      <w:bookmarkEnd w:id="143"/>
    </w:p>
    <w:p w14:paraId="7BD641E6">
      <w:pPr>
        <w:pStyle w:val="115"/>
        <w:widowControl/>
        <w:spacing w:before="0" w:after="0" w:line="348" w:lineRule="exact"/>
        <w:ind w:firstLine="480"/>
        <w:jc w:val="both"/>
      </w:pPr>
      <w:r>
        <w:rPr>
          <w:rFonts w:ascii="Times New Roman" w:hAnsi="Times New Roman" w:eastAsia="方正仿宋_GBK"/>
          <w:b w:val="0"/>
          <w:sz w:val="24"/>
        </w:rPr>
        <w:t>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14:paraId="64410080">
      <w:pPr>
        <w:pStyle w:val="2"/>
        <w:widowControl/>
        <w:spacing w:before="0" w:after="0" w:line="348" w:lineRule="exact"/>
        <w:ind w:firstLine="480"/>
        <w:jc w:val="both"/>
      </w:pPr>
      <w:r>
        <w:rPr>
          <w:rFonts w:ascii="Times New Roman" w:hAnsi="Times New Roman" w:eastAsia="方正仿宋_GBK"/>
          <w:b w:val="0"/>
          <w:sz w:val="24"/>
        </w:rPr>
        <w:t>费用目标采用新增建设、固定运维和寿命更新支出，两类方案采用相同计价范围和折现基准。</w:t>
      </w:r>
    </w:p>
    <w:p w14:paraId="6E48F305">
      <w:pPr>
        <w:pStyle w:val="4"/>
        <w:keepNext/>
        <w:numPr>
          <w:ilvl w:val="0"/>
          <w:numId w:val="0"/>
        </w:numPr>
        <w:spacing w:before="160" w:after="120" w:line="480" w:lineRule="exact"/>
        <w:ind w:firstLine="0"/>
      </w:pPr>
      <w:bookmarkStart w:id="319" w:name="Report1017_h504"/>
      <w:bookmarkEnd w:id="319"/>
      <w:bookmarkStart w:id="144" w:name="h504"/>
      <w:bookmarkStart w:id="145" w:name="主变工程成本系数"/>
      <w:r>
        <w:rPr>
          <w:rFonts w:ascii="Times New Roman" w:hAnsi="Times New Roman" w:eastAsia="方正仿宋_GBK"/>
          <w:b/>
          <w:sz w:val="32"/>
        </w:rPr>
        <w:t>4.2 主变工程成本系数</w:t>
      </w:r>
      <w:bookmarkEnd w:id="144"/>
      <w:bookmarkEnd w:id="145"/>
    </w:p>
    <w:p w14:paraId="6B780F54">
      <w:pPr>
        <w:pStyle w:val="5"/>
        <w:keepNext/>
        <w:numPr>
          <w:ilvl w:val="0"/>
          <w:numId w:val="0"/>
        </w:numPr>
        <w:spacing w:before="160" w:after="120" w:line="390" w:lineRule="exact"/>
        <w:ind w:firstLine="0"/>
      </w:pPr>
      <w:bookmarkStart w:id="146" w:name="替换工程案例"/>
      <w:r>
        <w:rPr>
          <w:rFonts w:ascii="Times New Roman" w:hAnsi="Times New Roman" w:eastAsia="方正仿宋_GBK"/>
          <w:b/>
          <w:sz w:val="26"/>
        </w:rPr>
        <w:t>4.2.1 替换工程案例</w:t>
      </w:r>
      <w:bookmarkEnd w:id="146"/>
    </w:p>
    <w:p w14:paraId="28CB201A">
      <w:pPr>
        <w:pStyle w:val="115"/>
        <w:widowControl/>
        <w:spacing w:before="0" w:after="0" w:line="348" w:lineRule="exact"/>
        <w:ind w:firstLine="480"/>
        <w:jc w:val="both"/>
      </w:pPr>
      <w:r>
        <w:rPr>
          <w:rFonts w:ascii="Times New Roman" w:hAnsi="Times New Roman" w:eastAsia="方正仿宋_GBK"/>
          <w:b w:val="0"/>
          <w:sz w:val="24"/>
        </w:rPr>
        <w:t>依据徐州110 kV输变电建设改造工程投资估算资料，王庄110 kV变电站2号主变由20 MVA更换为50 MVA，静态投资1151万元；鲁庙110 kV变电站两台主变由2×31.50 MVA更换为2×50 MVA，静态投资1335万元[85]。</w:t>
      </w:r>
    </w:p>
    <w:p w14:paraId="796CFC9F">
      <w:pPr>
        <w:pStyle w:val="2"/>
        <w:widowControl/>
        <w:spacing w:before="0" w:after="0" w:line="348" w:lineRule="exact"/>
        <w:ind w:firstLine="480"/>
        <w:jc w:val="both"/>
      </w:pPr>
      <w:r>
        <w:rPr>
          <w:rFonts w:ascii="Times New Roman" w:hAnsi="Times New Roman" w:eastAsia="方正仿宋_GBK"/>
          <w:b w:val="0"/>
          <w:sz w:val="24"/>
        </w:rPr>
        <w:t>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14:paraId="537BE9C6">
      <w:pPr>
        <w:pStyle w:val="2"/>
        <w:keepNext/>
        <w:spacing w:before="120" w:after="80" w:line="280" w:lineRule="exact"/>
        <w:ind w:firstLine="0"/>
        <w:jc w:val="center"/>
      </w:pPr>
      <w:r>
        <w:rPr>
          <w:rFonts w:ascii="Times New Roman" w:hAnsi="Times New Roman" w:eastAsia="宋体"/>
          <w:b w:val="0"/>
          <w:sz w:val="21"/>
        </w:rPr>
        <w:t>表4-2 徐州110 kV主变工程价格依据[85]</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9F3A0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27A83C03">
            <w:pPr>
              <w:keepNext/>
              <w:spacing w:before="20" w:after="20" w:line="260" w:lineRule="exact"/>
              <w:ind w:left="0" w:leftChars="0" w:right="0" w:rightChars="0" w:firstLine="0" w:firstLineChars="0"/>
              <w:jc w:val="center"/>
            </w:pPr>
            <w:r>
              <w:rPr>
                <w:rFonts w:ascii="Times New Roman" w:hAnsi="Times New Roman" w:eastAsia="宋体"/>
                <w:b/>
                <w:sz w:val="18"/>
              </w:rPr>
              <w:t>项目</w:t>
            </w:r>
          </w:p>
        </w:tc>
        <w:tc>
          <w:tcPr>
            <w:tcW w:w="1662" w:type="dxa"/>
            <w:tcMar>
              <w:left w:w="70" w:type="dxa"/>
              <w:right w:w="70" w:type="dxa"/>
            </w:tcMar>
            <w:vAlign w:val="center"/>
          </w:tcPr>
          <w:p w14:paraId="11DE1938">
            <w:pPr>
              <w:keepNext/>
              <w:spacing w:before="20" w:after="20" w:line="260" w:lineRule="exact"/>
              <w:ind w:left="0" w:leftChars="0" w:right="0" w:rightChars="0" w:firstLine="0" w:firstLineChars="0"/>
              <w:jc w:val="center"/>
            </w:pPr>
            <w:r>
              <w:rPr>
                <w:rFonts w:ascii="Times New Roman" w:hAnsi="Times New Roman" w:eastAsia="宋体"/>
                <w:b/>
                <w:sz w:val="18"/>
              </w:rPr>
              <w:t>主变新购容量/MVA</w:t>
            </w:r>
          </w:p>
        </w:tc>
        <w:tc>
          <w:tcPr>
            <w:tcW w:w="1662" w:type="dxa"/>
            <w:tcMar>
              <w:left w:w="70" w:type="dxa"/>
              <w:right w:w="70" w:type="dxa"/>
            </w:tcMar>
            <w:vAlign w:val="center"/>
          </w:tcPr>
          <w:p w14:paraId="244C538A">
            <w:pPr>
              <w:keepNext/>
              <w:spacing w:before="20" w:after="20" w:line="260" w:lineRule="exact"/>
              <w:ind w:left="0" w:leftChars="0" w:right="0" w:rightChars="0" w:firstLine="0" w:firstLineChars="0"/>
              <w:jc w:val="center"/>
            </w:pPr>
            <w:r>
              <w:rPr>
                <w:rFonts w:ascii="Times New Roman" w:hAnsi="Times New Roman" w:eastAsia="宋体"/>
                <w:b/>
                <w:sz w:val="18"/>
              </w:rPr>
              <w:t>被替换主变容量/MVA</w:t>
            </w:r>
          </w:p>
        </w:tc>
        <w:tc>
          <w:tcPr>
            <w:tcW w:w="1662" w:type="dxa"/>
            <w:tcMar>
              <w:left w:w="70" w:type="dxa"/>
              <w:right w:w="70" w:type="dxa"/>
            </w:tcMar>
            <w:vAlign w:val="center"/>
          </w:tcPr>
          <w:p w14:paraId="3A374C0C">
            <w:pPr>
              <w:keepNext/>
              <w:spacing w:before="20" w:after="20" w:line="260" w:lineRule="exact"/>
              <w:ind w:left="0" w:leftChars="0" w:right="0" w:rightChars="0" w:firstLine="0" w:firstLineChars="0"/>
              <w:jc w:val="center"/>
            </w:pPr>
            <w:r>
              <w:rPr>
                <w:rFonts w:ascii="Times New Roman" w:hAnsi="Times New Roman" w:eastAsia="宋体"/>
                <w:b/>
                <w:sz w:val="18"/>
              </w:rPr>
              <w:t>主变净增容量/MVA</w:t>
            </w:r>
          </w:p>
        </w:tc>
        <w:tc>
          <w:tcPr>
            <w:tcW w:w="1662" w:type="dxa"/>
            <w:tcMar>
              <w:left w:w="70" w:type="dxa"/>
              <w:right w:w="70" w:type="dxa"/>
            </w:tcMar>
            <w:vAlign w:val="center"/>
          </w:tcPr>
          <w:p w14:paraId="415FE58A">
            <w:pPr>
              <w:keepNext/>
              <w:spacing w:before="20" w:after="20" w:line="260" w:lineRule="exact"/>
              <w:ind w:left="0" w:leftChars="0" w:right="0" w:rightChars="0" w:firstLine="0" w:firstLineChars="0"/>
              <w:jc w:val="center"/>
            </w:pPr>
            <w:r>
              <w:rPr>
                <w:rFonts w:ascii="Times New Roman" w:hAnsi="Times New Roman" w:eastAsia="宋体"/>
                <w:b/>
                <w:sz w:val="18"/>
              </w:rPr>
              <w:t>静态投资/万元</w:t>
            </w:r>
          </w:p>
        </w:tc>
      </w:tr>
      <w:tr w14:paraId="25C93A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7E73D2D">
            <w:pPr>
              <w:keepNext/>
              <w:spacing w:before="20" w:after="20" w:line="260" w:lineRule="exact"/>
              <w:ind w:left="0" w:leftChars="0" w:right="0" w:rightChars="0" w:firstLine="0" w:firstLineChars="0"/>
              <w:jc w:val="center"/>
            </w:pPr>
            <w:r>
              <w:rPr>
                <w:rFonts w:ascii="Times New Roman" w:hAnsi="Times New Roman" w:eastAsia="宋体"/>
                <w:b w:val="0"/>
                <w:sz w:val="18"/>
              </w:rPr>
              <w:t>邢楼110千伏变电站主变扩建工程</w:t>
            </w:r>
          </w:p>
        </w:tc>
        <w:tc>
          <w:tcPr>
            <w:tcW w:w="1662" w:type="dxa"/>
            <w:tcMar>
              <w:left w:w="70" w:type="dxa"/>
              <w:right w:w="70" w:type="dxa"/>
            </w:tcMar>
            <w:vAlign w:val="center"/>
          </w:tcPr>
          <w:p w14:paraId="1A9EE214">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7C9BBA65">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662" w:type="dxa"/>
            <w:tcMar>
              <w:left w:w="70" w:type="dxa"/>
              <w:right w:w="70" w:type="dxa"/>
            </w:tcMar>
            <w:vAlign w:val="center"/>
          </w:tcPr>
          <w:p w14:paraId="730C226F">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2645CA25">
            <w:pPr>
              <w:keepNext/>
              <w:spacing w:before="20" w:after="20" w:line="260" w:lineRule="exact"/>
              <w:ind w:left="0" w:leftChars="0" w:right="0" w:rightChars="0" w:firstLine="0" w:firstLineChars="0"/>
              <w:jc w:val="center"/>
            </w:pPr>
            <w:r>
              <w:rPr>
                <w:rFonts w:ascii="Times New Roman" w:hAnsi="Times New Roman" w:eastAsia="宋体"/>
                <w:b w:val="0"/>
                <w:sz w:val="18"/>
              </w:rPr>
              <w:t>1206</w:t>
            </w:r>
          </w:p>
        </w:tc>
      </w:tr>
      <w:tr w14:paraId="2AD7D1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384E232">
            <w:pPr>
              <w:keepNext/>
              <w:spacing w:before="20" w:after="20" w:line="260" w:lineRule="exact"/>
              <w:ind w:left="0" w:leftChars="0" w:right="0" w:rightChars="0" w:firstLine="0" w:firstLineChars="0"/>
              <w:jc w:val="center"/>
            </w:pPr>
            <w:r>
              <w:rPr>
                <w:rFonts w:ascii="Times New Roman" w:hAnsi="Times New Roman" w:eastAsia="宋体"/>
                <w:b w:val="0"/>
                <w:sz w:val="18"/>
              </w:rPr>
              <w:t>墩集110千伏变电站主变扩建工程</w:t>
            </w:r>
          </w:p>
        </w:tc>
        <w:tc>
          <w:tcPr>
            <w:tcW w:w="1662" w:type="dxa"/>
            <w:tcMar>
              <w:left w:w="70" w:type="dxa"/>
              <w:right w:w="70" w:type="dxa"/>
            </w:tcMar>
            <w:vAlign w:val="center"/>
          </w:tcPr>
          <w:p w14:paraId="03BA128B">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77AD4E50">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662" w:type="dxa"/>
            <w:tcMar>
              <w:left w:w="70" w:type="dxa"/>
              <w:right w:w="70" w:type="dxa"/>
            </w:tcMar>
            <w:vAlign w:val="center"/>
          </w:tcPr>
          <w:p w14:paraId="7F543B20">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5441BAF4">
            <w:pPr>
              <w:keepNext/>
              <w:spacing w:before="20" w:after="20" w:line="260" w:lineRule="exact"/>
              <w:ind w:left="0" w:leftChars="0" w:right="0" w:rightChars="0" w:firstLine="0" w:firstLineChars="0"/>
              <w:jc w:val="center"/>
            </w:pPr>
            <w:r>
              <w:rPr>
                <w:rFonts w:ascii="Times New Roman" w:hAnsi="Times New Roman" w:eastAsia="宋体"/>
                <w:b w:val="0"/>
                <w:sz w:val="18"/>
              </w:rPr>
              <w:t>1240</w:t>
            </w:r>
          </w:p>
        </w:tc>
      </w:tr>
      <w:tr w14:paraId="64D24E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AFAA79F">
            <w:pPr>
              <w:keepNext/>
              <w:spacing w:before="20" w:after="20" w:line="260" w:lineRule="exact"/>
              <w:ind w:left="0" w:leftChars="0" w:right="0" w:rightChars="0" w:firstLine="0" w:firstLineChars="0"/>
              <w:jc w:val="center"/>
            </w:pPr>
            <w:r>
              <w:rPr>
                <w:rFonts w:ascii="Times New Roman" w:hAnsi="Times New Roman" w:eastAsia="宋体"/>
                <w:b w:val="0"/>
                <w:sz w:val="18"/>
              </w:rPr>
              <w:t>王庄110千伏变电站2号主变增容工程</w:t>
            </w:r>
          </w:p>
        </w:tc>
        <w:tc>
          <w:tcPr>
            <w:tcW w:w="1662" w:type="dxa"/>
            <w:tcMar>
              <w:left w:w="70" w:type="dxa"/>
              <w:right w:w="70" w:type="dxa"/>
            </w:tcMar>
            <w:vAlign w:val="center"/>
          </w:tcPr>
          <w:p w14:paraId="77172A93">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2D57004E">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662" w:type="dxa"/>
            <w:tcMar>
              <w:left w:w="70" w:type="dxa"/>
              <w:right w:w="70" w:type="dxa"/>
            </w:tcMar>
            <w:vAlign w:val="center"/>
          </w:tcPr>
          <w:p w14:paraId="6B01EA2D">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662" w:type="dxa"/>
            <w:tcMar>
              <w:left w:w="70" w:type="dxa"/>
              <w:right w:w="70" w:type="dxa"/>
            </w:tcMar>
            <w:vAlign w:val="center"/>
          </w:tcPr>
          <w:p w14:paraId="51964995">
            <w:pPr>
              <w:keepNext/>
              <w:spacing w:before="20" w:after="20" w:line="260" w:lineRule="exact"/>
              <w:ind w:left="0" w:leftChars="0" w:right="0" w:rightChars="0" w:firstLine="0" w:firstLineChars="0"/>
              <w:jc w:val="center"/>
            </w:pPr>
            <w:r>
              <w:rPr>
                <w:rFonts w:ascii="Times New Roman" w:hAnsi="Times New Roman" w:eastAsia="宋体"/>
                <w:b w:val="0"/>
                <w:sz w:val="18"/>
              </w:rPr>
              <w:t>1151</w:t>
            </w:r>
          </w:p>
        </w:tc>
      </w:tr>
      <w:tr w14:paraId="000D55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09B32B5">
            <w:pPr>
              <w:keepNext w:val="0"/>
              <w:spacing w:before="20" w:after="20" w:line="260" w:lineRule="exact"/>
              <w:ind w:left="0" w:leftChars="0" w:right="0" w:rightChars="0" w:firstLine="0" w:firstLineChars="0"/>
              <w:jc w:val="center"/>
            </w:pPr>
            <w:r>
              <w:rPr>
                <w:rFonts w:ascii="Times New Roman" w:hAnsi="Times New Roman" w:eastAsia="宋体"/>
                <w:b w:val="0"/>
                <w:sz w:val="18"/>
              </w:rPr>
              <w:t>鲁庙110千伏变电站1号2号主变增容工程</w:t>
            </w:r>
          </w:p>
        </w:tc>
        <w:tc>
          <w:tcPr>
            <w:tcW w:w="1662" w:type="dxa"/>
            <w:tcMar>
              <w:left w:w="70" w:type="dxa"/>
              <w:right w:w="70" w:type="dxa"/>
            </w:tcMar>
            <w:vAlign w:val="center"/>
          </w:tcPr>
          <w:p w14:paraId="1EC2D44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741631C7">
            <w:pPr>
              <w:keepNext w:val="0"/>
              <w:spacing w:before="20" w:after="20" w:line="260" w:lineRule="exact"/>
              <w:ind w:left="0" w:leftChars="0" w:right="0" w:rightChars="0" w:firstLine="0" w:firstLineChars="0"/>
              <w:jc w:val="center"/>
            </w:pPr>
            <w:r>
              <w:rPr>
                <w:rFonts w:ascii="Times New Roman" w:hAnsi="Times New Roman" w:eastAsia="宋体"/>
                <w:b w:val="0"/>
                <w:sz w:val="18"/>
              </w:rPr>
              <w:t>63</w:t>
            </w:r>
          </w:p>
        </w:tc>
        <w:tc>
          <w:tcPr>
            <w:tcW w:w="1662" w:type="dxa"/>
            <w:tcMar>
              <w:left w:w="70" w:type="dxa"/>
              <w:right w:w="70" w:type="dxa"/>
            </w:tcMar>
            <w:vAlign w:val="center"/>
          </w:tcPr>
          <w:p w14:paraId="72F758F4">
            <w:pPr>
              <w:keepNext w:val="0"/>
              <w:spacing w:before="20" w:after="20" w:line="260" w:lineRule="exact"/>
              <w:ind w:left="0" w:leftChars="0" w:right="0" w:rightChars="0" w:firstLine="0" w:firstLineChars="0"/>
              <w:jc w:val="center"/>
            </w:pPr>
            <w:r>
              <w:rPr>
                <w:rFonts w:ascii="Times New Roman" w:hAnsi="Times New Roman" w:eastAsia="宋体"/>
                <w:b w:val="0"/>
                <w:sz w:val="18"/>
              </w:rPr>
              <w:t>37</w:t>
            </w:r>
          </w:p>
        </w:tc>
        <w:tc>
          <w:tcPr>
            <w:tcW w:w="1662" w:type="dxa"/>
            <w:tcMar>
              <w:left w:w="70" w:type="dxa"/>
              <w:right w:w="70" w:type="dxa"/>
            </w:tcMar>
            <w:vAlign w:val="center"/>
          </w:tcPr>
          <w:p w14:paraId="535BF0B5">
            <w:pPr>
              <w:keepNext w:val="0"/>
              <w:spacing w:before="20" w:after="20" w:line="260" w:lineRule="exact"/>
              <w:ind w:left="0" w:leftChars="0" w:right="0" w:rightChars="0" w:firstLine="0" w:firstLineChars="0"/>
              <w:jc w:val="center"/>
            </w:pPr>
            <w:r>
              <w:rPr>
                <w:rFonts w:ascii="Times New Roman" w:hAnsi="Times New Roman" w:eastAsia="宋体"/>
                <w:b w:val="0"/>
                <w:sz w:val="18"/>
              </w:rPr>
              <w:t>1335</w:t>
            </w:r>
          </w:p>
        </w:tc>
      </w:tr>
    </w:tbl>
    <w:p w14:paraId="422654D2">
      <w:pPr>
        <w:pStyle w:val="2"/>
        <w:widowControl/>
        <w:spacing w:before="0" w:after="0" w:line="348" w:lineRule="exact"/>
        <w:ind w:firstLine="480"/>
        <w:jc w:val="both"/>
      </w:pPr>
      <w:r>
        <w:rPr>
          <w:rFonts w:ascii="Times New Roman" w:hAnsi="Times New Roman" w:eastAsia="方正仿宋_GBK"/>
          <w:b w:val="0"/>
          <w:sz w:val="24"/>
        </w:rPr>
        <w:t>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14:paraId="46C8B3C7">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14420"/>
            <wp:effectExtent l="0" t="0" r="0" b="0"/>
            <wp:docPr id="3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pic:cNvPicPr>
                      <a:picLocks noChangeAspect="1" noChangeArrowheads="1"/>
                    </pic:cNvPicPr>
                  </pic:nvPicPr>
                  <pic:blipFill>
                    <a:blip r:embed="rId30"/>
                    <a:stretch>
                      <a:fillRect/>
                    </a:stretch>
                  </pic:blipFill>
                  <pic:spPr>
                    <a:xfrm>
                      <a:off x="0" y="0"/>
                      <a:ext cx="5120640" cy="3614569"/>
                    </a:xfrm>
                    <a:prstGeom prst="rect">
                      <a:avLst/>
                    </a:prstGeom>
                    <a:noFill/>
                    <a:ln w="9525">
                      <a:noFill/>
                    </a:ln>
                  </pic:spPr>
                </pic:pic>
              </a:graphicData>
            </a:graphic>
          </wp:inline>
        </w:drawing>
      </w:r>
    </w:p>
    <w:p w14:paraId="780F8D7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图4-1 主变工程新购容量、替换容量与净增容量</w:t>
      </w:r>
    </w:p>
    <w:p w14:paraId="458BB825">
      <w:pPr>
        <w:pStyle w:val="5"/>
        <w:keepNext/>
        <w:numPr>
          <w:ilvl w:val="0"/>
          <w:numId w:val="0"/>
        </w:numPr>
        <w:spacing w:before="160" w:after="120" w:line="390" w:lineRule="exact"/>
        <w:ind w:firstLine="0"/>
      </w:pPr>
      <w:bookmarkStart w:id="147" w:name="采购容量加权系数"/>
      <w:r>
        <w:rPr>
          <w:rFonts w:ascii="Times New Roman" w:hAnsi="Times New Roman" w:eastAsia="方正仿宋_GBK"/>
          <w:b/>
          <w:sz w:val="26"/>
        </w:rPr>
        <w:t>4.2.2 采购容量加权系数</w:t>
      </w:r>
      <w:bookmarkEnd w:id="147"/>
    </w:p>
    <w:p w14:paraId="6F624105">
      <w:pPr>
        <w:pStyle w:val="115"/>
        <w:widowControl/>
        <w:spacing w:before="0" w:after="0" w:line="348" w:lineRule="exact"/>
        <w:ind w:firstLine="480"/>
        <w:jc w:val="both"/>
      </w:pPr>
      <w:r>
        <w:rPr>
          <w:rFonts w:ascii="Times New Roman" w:hAnsi="Times New Roman" w:eastAsia="方正仿宋_GBK"/>
          <w:b w:val="0"/>
          <w:sz w:val="24"/>
        </w:rPr>
        <w:t>主变替换工程采用采购容量加权，将两个案例静态投资之和除以新购铭牌容量之和，形成式（4-1）的参考系数。</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（4-1）</w:t>
            </w:r>
          </w:p>
        </w:tc>
      </w:tr>
    </w:tbl>
    <w:p w14:paraId="35A518CC">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为主变更换工程单位采购容量投资，单位万元/MVA；分子为两案例静态投资合计，单位万元，分母为新购容量合计，单位MVA。</w:t>
      </w:r>
    </w:p>
    <w:p w14:paraId="35142814">
      <w:pPr>
        <w:pStyle w:val="2"/>
        <w:widowControl/>
        <w:spacing w:before="0" w:after="0" w:line="348" w:lineRule="exact"/>
        <w:ind w:firstLine="480"/>
        <w:jc w:val="both"/>
      </w:pPr>
      <w:r>
        <w:rPr>
          <w:rFonts w:ascii="Times New Roman" w:hAnsi="Times New Roman" w:eastAsia="方正仿宋_GBK"/>
          <w:b w:val="0"/>
          <w:sz w:val="24"/>
        </w:rPr>
        <w:t>王庄单案例系数为23.02万元/MVA，鲁庙为13.35万元/MVA。加权系数处于二者之间，保留项目配套规模差异的影响。本研究采用采购容量加权，并通过相对价格情景检查该系数对配置的影响。</w:t>
      </w:r>
    </w:p>
    <w:p w14:paraId="0A4D2730">
      <w:pPr>
        <w:pStyle w:val="2"/>
        <w:widowControl/>
        <w:spacing w:before="0" w:after="0" w:line="348" w:lineRule="exact"/>
        <w:ind w:firstLine="480"/>
        <w:jc w:val="both"/>
      </w:pPr>
      <w:r>
        <w:rPr>
          <w:rFonts w:ascii="Times New Roman" w:hAnsi="Times New Roman" w:eastAsia="方正仿宋_GBK"/>
          <w:b w:val="0"/>
          <w:sz w:val="24"/>
        </w:rPr>
        <w:t>主变容量按功率因数0.95折算为有功供电能力，单位费用约17.45万元/MW。该功率按新购主变额定容量折算，用于计算主变单位功率投资。</w:t>
      </w:r>
    </w:p>
    <w:p w14:paraId="735BC93F">
      <w:pPr>
        <w:pStyle w:val="2"/>
        <w:widowControl/>
        <w:spacing w:before="0" w:after="0" w:line="348" w:lineRule="exact"/>
        <w:ind w:firstLine="480"/>
        <w:jc w:val="both"/>
      </w:pPr>
      <w:r>
        <w:rPr>
          <w:rFonts w:ascii="Times New Roman" w:hAnsi="Times New Roman" w:eastAsia="方正仿宋_GBK"/>
          <w:b w:val="0"/>
          <w:sz w:val="24"/>
        </w:rPr>
        <w:t>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14:paraId="0EBA58DE">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14420"/>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31"/>
                    <a:stretch>
                      <a:fillRect/>
                    </a:stretch>
                  </pic:blipFill>
                  <pic:spPr>
                    <a:xfrm>
                      <a:off x="0" y="0"/>
                      <a:ext cx="5120640" cy="3614569"/>
                    </a:xfrm>
                    <a:prstGeom prst="rect">
                      <a:avLst/>
                    </a:prstGeom>
                    <a:noFill/>
                    <a:ln w="9525">
                      <a:noFill/>
                    </a:ln>
                  </pic:spPr>
                </pic:pic>
              </a:graphicData>
            </a:graphic>
          </wp:inline>
        </w:drawing>
      </w:r>
    </w:p>
    <w:p w14:paraId="78D6B699">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图4-2 按新购与净增容量折算的主变工程投资</w:t>
      </w:r>
    </w:p>
    <w:p w14:paraId="785F4F95">
      <w:pPr>
        <w:pStyle w:val="5"/>
        <w:keepNext/>
        <w:numPr>
          <w:ilvl w:val="0"/>
          <w:numId w:val="0"/>
        </w:numPr>
        <w:spacing w:before="160" w:after="120" w:line="390" w:lineRule="exact"/>
        <w:ind w:firstLine="0"/>
      </w:pPr>
      <w:bookmarkStart w:id="148" w:name="净增容量与工程费用"/>
      <w:r>
        <w:rPr>
          <w:rFonts w:ascii="Times New Roman" w:hAnsi="Times New Roman" w:eastAsia="方正仿宋_GBK"/>
          <w:b/>
          <w:sz w:val="26"/>
        </w:rPr>
        <w:t>4.2.3 净增容量与工程费用</w:t>
      </w:r>
      <w:bookmarkEnd w:id="148"/>
    </w:p>
    <w:p w14:paraId="68EC1B5D">
      <w:pPr>
        <w:pStyle w:val="115"/>
        <w:widowControl/>
        <w:spacing w:before="0" w:after="0" w:line="348" w:lineRule="exact"/>
        <w:ind w:firstLine="480"/>
        <w:jc w:val="both"/>
      </w:pPr>
      <w:r>
        <w:rPr>
          <w:rFonts w:ascii="Times New Roman" w:hAnsi="Times New Roman" w:eastAsia="方正仿宋_GBK"/>
          <w:b w:val="0"/>
          <w:sz w:val="24"/>
        </w:rPr>
        <w:t>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14:paraId="6A0C3F94">
      <w:pPr>
        <w:pStyle w:val="2"/>
        <w:widowControl/>
        <w:spacing w:before="0" w:after="0" w:line="348" w:lineRule="exact"/>
        <w:ind w:firstLine="480"/>
        <w:jc w:val="both"/>
      </w:pPr>
      <w:r>
        <w:rPr>
          <w:rFonts w:ascii="Times New Roman" w:hAnsi="Times New Roman" w:eastAsia="方正仿宋_GBK"/>
          <w:b w:val="0"/>
          <w:sz w:val="24"/>
        </w:rPr>
        <w:t>对站</w:t>
      </w:r>
      <m:oMath>
        <m:r>
          <m:rPr>
            <m:nor/>
          </m:rPr>
          <w:rPr>
            <w:rFonts w:ascii="Times New Roman" w:hAnsi="Times New Roman" w:eastAsia="方正仿宋_GBK" w:cs="Times New Roman"/>
            <w:i/>
            <w:iCs/>
          </w:rPr>
          <m:t>i</m:t>
        </m:r>
      </m:oMath>
      <w:r>
        <w:rPr>
          <w:rFonts w:ascii="Times New Roman" w:hAnsi="Times New Roman" w:eastAsia="方正仿宋_GBK"/>
          <w:b w:val="0"/>
          <w:sz w:val="24"/>
        </w:rPr>
        <w:t>、主变安装位置</w:t>
      </w:r>
      <m:oMath>
        <m:r>
          <m:rPr>
            <m:nor/>
          </m:rPr>
          <w:rPr>
            <w:rFonts w:ascii="Times New Roman" w:hAnsi="Times New Roman" w:eastAsia="方正仿宋_GBK" w:cs="Times New Roman"/>
            <w:i/>
            <w:iCs/>
          </w:rPr>
          <m:t>k</m:t>
        </m:r>
      </m:oMath>
      <w:r>
        <w:rPr>
          <w:rFonts w:ascii="Times New Roman" w:hAnsi="Times New Roman" w:eastAsia="方正仿宋_GBK"/>
          <w:b w:val="0"/>
          <w:sz w:val="24"/>
        </w:rPr>
        <w:t>、投运年份</w:t>
      </w:r>
      <m:oMath>
        <m:r>
          <m:rPr>
            <m:nor/>
          </m:rPr>
          <w:rPr>
            <w:rFonts w:ascii="Times New Roman" w:hAnsi="Times New Roman" w:eastAsia="方正仿宋_GBK" w:cs="Times New Roman"/>
            <w:i/>
            <w:iCs/>
          </w:rPr>
          <m:t>y</m:t>
        </m:r>
      </m:oMath>
      <w:r>
        <w:rPr>
          <w:rFonts w:ascii="Times New Roman" w:hAnsi="Times New Roman" w:eastAsia="方正仿宋_GBK"/>
          <w:b w:val="0"/>
          <w:sz w:val="24"/>
        </w:rPr>
        <w:t>，若容量由</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old</m:t>
            </m:r>
          </m:sup>
        </m:sSup>
      </m:oMath>
      <w:r>
        <w:rPr>
          <w:rFonts w:ascii="Times New Roman" w:hAnsi="Times New Roman" w:eastAsia="方正仿宋_GBK"/>
          <w:b w:val="0"/>
          <w:sz w:val="24"/>
        </w:rPr>
        <w:t>更换为</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oMath>
      <w:r>
        <w:rPr>
          <w:rFonts w:ascii="Times New Roman" w:hAnsi="Times New Roman" w:eastAsia="方正仿宋_GBK"/>
          <w:b w:val="0"/>
          <w:sz w:val="24"/>
        </w:rPr>
        <w:t>，工程投资按</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oMath>
      <w:r>
        <w:rPr>
          <w:rFonts w:ascii="Times New Roman" w:hAnsi="Times New Roman" w:eastAsia="方正仿宋_GBK"/>
          <w:b w:val="0"/>
          <w:sz w:val="24"/>
        </w:rPr>
        <w:t>计取。设备容量增加</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r>
          <m:rPr>
            <m:nor/>
            <m:sty m:val="p"/>
          </m:rPr>
          <w:rPr>
            <w:rFonts w:ascii="Times New Roman" w:hAnsi="Times New Roman" w:eastAsia="方正仿宋_GBK" w:cs="Times New Roman"/>
            <w:b w:val="0"/>
            <w:i w:val="0"/>
            <w:iCs w:val="0"/>
          </w:rPr>
          <m:t>−</m:t>
        </m:r>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old</m:t>
            </m:r>
          </m:sup>
        </m:sSup>
      </m:oMath>
      <w:r>
        <w:rPr>
          <w:rFonts w:ascii="Times New Roman" w:hAnsi="Times New Roman" w:eastAsia="方正仿宋_GBK"/>
          <w:b w:val="0"/>
          <w:sz w:val="24"/>
        </w:rPr>
        <w:t>，费用按整台新购容量计取。报告在年度表中并列主变净增容量和新购铭牌容量，使比值变化与实际采购费用可以分别复算。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（4-2）</w:t>
            </w:r>
          </w:p>
        </w:tc>
      </w:tr>
    </w:tbl>
    <w:p w14:paraId="6C9856A1">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r>
          <m:rPr>
            <m:nor/>
          </m:rPr>
          <w:rPr>
            <w:rFonts w:ascii="Times New Roman" w:hAnsi="Times New Roman" w:eastAsia="方正仿宋_GBK" w:cs="Times New Roman"/>
            <w:i/>
            <w:iCs/>
          </w:rPr>
          <m:t>i</m:t>
        </m:r>
      </m:oMath>
      <w:r>
        <w:rPr>
          <w:rFonts w:ascii="Times New Roman" w:hAnsi="Times New Roman" w:eastAsia="方正仿宋_GBK"/>
          <w:b w:val="0"/>
          <w:sz w:val="24"/>
        </w:rPr>
        <w:t>为站号，</w:t>
      </w:r>
      <m:oMath>
        <m:r>
          <m:rPr>
            <m:nor/>
          </m:rPr>
          <w:rPr>
            <w:rFonts w:ascii="Times New Roman" w:hAnsi="Times New Roman" w:eastAsia="方正仿宋_GBK" w:cs="Times New Roman"/>
            <w:i/>
            <w:iCs/>
          </w:rPr>
          <m:t>k</m:t>
        </m:r>
      </m:oMath>
      <w:r>
        <w:rPr>
          <w:rFonts w:ascii="Times New Roman" w:hAnsi="Times New Roman" w:eastAsia="方正仿宋_GBK"/>
          <w:b w:val="0"/>
          <w:sz w:val="24"/>
        </w:rPr>
        <w:t>为主变安装位置，</w:t>
      </w:r>
      <m:oMath>
        <m:r>
          <m:rPr>
            <m:nor/>
          </m:rPr>
          <w:rPr>
            <w:rFonts w:ascii="Times New Roman" w:hAnsi="Times New Roman" w:eastAsia="方正仿宋_GBK" w:cs="Times New Roman"/>
            <w:i/>
            <w:iCs/>
          </w:rPr>
          <m:t>y</m:t>
        </m:r>
      </m:oMath>
      <w:r>
        <w:rPr>
          <w:rFonts w:ascii="Times New Roman" w:hAnsi="Times New Roman" w:eastAsia="方正仿宋_GBK"/>
          <w:b w:val="0"/>
          <w:sz w:val="24"/>
        </w:rPr>
        <w:t>为投运年份；</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iky</m:t>
            </m:r>
          </m:sub>
        </m:sSub>
      </m:oMath>
      <w:r>
        <w:rPr>
          <w:rFonts w:ascii="Times New Roman" w:hAnsi="Times New Roman" w:eastAsia="方正仿宋_GBK"/>
          <w:b w:val="0"/>
          <w:sz w:val="24"/>
        </w:rPr>
        <w:t>为更换投资，单位万元；</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为单位采购容量工程投资，单位万元/MVA；</w:t>
      </w:r>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up>
            <m:r>
              <m:rPr>
                <m:nor/>
                <m:sty m:val="p"/>
              </m:rPr>
              <w:rPr>
                <w:rFonts w:ascii="Times New Roman" w:hAnsi="Times New Roman" w:eastAsia="方正仿宋_GBK" w:cs="Times New Roman"/>
                <w:b w:val="0"/>
                <w:i w:val="0"/>
                <w:iCs w:val="0"/>
              </w:rPr>
              <m:t>new</m:t>
            </m:r>
          </m:sup>
        </m:sSubSup>
      </m:oMath>
      <w:r>
        <w:rPr>
          <w:rFonts w:ascii="Times New Roman" w:hAnsi="Times New Roman" w:eastAsia="方正仿宋_GBK"/>
          <w:b w:val="0"/>
          <w:sz w:val="24"/>
        </w:rPr>
        <w:t>和</w:t>
      </w:r>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up>
            <m:r>
              <m:rPr>
                <m:nor/>
                <m:sty m:val="p"/>
              </m:rPr>
              <w:rPr>
                <w:rFonts w:ascii="Times New Roman" w:hAnsi="Times New Roman" w:eastAsia="方正仿宋_GBK" w:cs="Times New Roman"/>
                <w:b w:val="0"/>
                <w:i w:val="0"/>
                <w:iCs w:val="0"/>
              </w:rPr>
              <m:t>old</m:t>
            </m:r>
          </m:sup>
        </m:sSubSup>
      </m:oMath>
      <w:r>
        <w:rPr>
          <w:rFonts w:ascii="Times New Roman" w:hAnsi="Times New Roman" w:eastAsia="方正仿宋_GBK"/>
          <w:b w:val="0"/>
          <w:sz w:val="24"/>
        </w:rPr>
        <w:t>分别为更换后、更换前容量，</w:t>
      </w:r>
      <m:oMath>
        <m:r>
          <m:rPr>
            <m:nor/>
            <m:sty m:val="p"/>
          </m:rPr>
          <w:rPr>
            <w:rFonts w:ascii="Times New Roman" w:hAnsi="Times New Roman" w:eastAsia="方正仿宋_GBK" w:cs="Times New Roman"/>
            <w:b w:val="0"/>
            <w:i w:val="0"/>
            <w:iCs w:val="0"/>
          </w:rPr>
          <m:t>Δ</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Sub>
      </m:oMath>
      <w:r>
        <w:rPr>
          <w:rFonts w:ascii="Times New Roman" w:hAnsi="Times New Roman" w:eastAsia="方正仿宋_GBK"/>
          <w:b w:val="0"/>
          <w:sz w:val="24"/>
        </w:rPr>
        <w:t>为容量净增，单位MVA；</w:t>
      </w:r>
      <m:oMath>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iky</m:t>
            </m:r>
          </m:sub>
        </m:sSub>
      </m:oMath>
      <w:r>
        <w:rPr>
          <w:rFonts w:ascii="Times New Roman" w:hAnsi="Times New Roman" w:eastAsia="方正仿宋_GBK"/>
          <w:b w:val="0"/>
          <w:sz w:val="24"/>
        </w:rPr>
        <w:t>为更换状态，发生更换取1，否则取0。未更换时投资为零；更换同一位置后，新容量在后续年份持续在役。</w:t>
      </w:r>
    </w:p>
    <w:p w14:paraId="6563A99C">
      <w:pPr>
        <w:pStyle w:val="5"/>
        <w:keepNext/>
        <w:numPr>
          <w:ilvl w:val="0"/>
          <w:numId w:val="0"/>
        </w:numPr>
        <w:spacing w:before="160" w:after="120" w:line="390" w:lineRule="exact"/>
        <w:ind w:firstLine="0"/>
      </w:pPr>
      <w:bookmarkStart w:id="149" w:name="主变扩建"/>
      <w:r>
        <w:rPr>
          <w:rFonts w:ascii="Times New Roman" w:hAnsi="Times New Roman" w:eastAsia="方正仿宋_GBK"/>
          <w:b/>
          <w:sz w:val="26"/>
        </w:rPr>
        <w:t>4.2.4 主变扩建</w:t>
      </w:r>
      <w:bookmarkEnd w:id="149"/>
    </w:p>
    <w:p w14:paraId="3D42181C">
      <w:pPr>
        <w:pStyle w:val="115"/>
        <w:widowControl/>
        <w:spacing w:before="0" w:after="0" w:line="348" w:lineRule="exact"/>
        <w:ind w:firstLine="480"/>
        <w:jc w:val="both"/>
      </w:pPr>
      <w:r>
        <w:rPr>
          <w:rFonts w:ascii="Times New Roman" w:hAnsi="Times New Roman" w:eastAsia="方正仿宋_GBK"/>
          <w:b w:val="0"/>
          <w:sz w:val="24"/>
        </w:rPr>
        <w:t>邢楼和墩集主变扩建工程均采购50 MVA主变，各新增12回10 kV出线，静态总投资分别为1206万元和1240万元[85]。同规模案例均值为1223万元，作为50 MVA主变扩建仿真费用。</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（4-3）</w:t>
            </w:r>
          </w:p>
        </w:tc>
      </w:tr>
    </w:tbl>
    <w:p w14:paraId="4FD78F51">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,exp</m:t>
            </m:r>
          </m:sub>
        </m:sSub>
      </m:oMath>
      <w:r>
        <w:rPr>
          <w:rFonts w:ascii="Times New Roman" w:hAnsi="Times New Roman" w:eastAsia="方正仿宋_GBK"/>
          <w:b w:val="0"/>
          <w:sz w:val="24"/>
        </w:rPr>
        <w:t>为50 MVA主变扩建项目参考投资，单位万元/项。</w:t>
      </w:r>
    </w:p>
    <w:p w14:paraId="3554E0EC">
      <w:pPr>
        <w:pStyle w:val="2"/>
        <w:widowControl/>
        <w:spacing w:before="0" w:after="0" w:line="348" w:lineRule="exact"/>
        <w:ind w:firstLine="480"/>
        <w:jc w:val="both"/>
      </w:pPr>
      <w:r>
        <w:rPr>
          <w:rFonts w:ascii="Times New Roman" w:hAnsi="Times New Roman" w:eastAsia="方正仿宋_GBK"/>
          <w:b w:val="0"/>
          <w:sz w:val="24"/>
        </w:rPr>
        <w:t>主变扩建仅在具备预留位置的站点设置，按1223万元/项计费，费用包含增加台数及相应配套工程。</w:t>
      </w:r>
    </w:p>
    <w:p w14:paraId="53BE7BFD">
      <w:pPr>
        <w:pStyle w:val="2"/>
        <w:widowControl/>
        <w:spacing w:before="0" w:after="0" w:line="348" w:lineRule="exact"/>
        <w:ind w:firstLine="480"/>
        <w:jc w:val="both"/>
      </w:pPr>
      <w:r>
        <w:rPr>
          <w:rFonts w:ascii="Times New Roman" w:hAnsi="Times New Roman" w:eastAsia="方正仿宋_GBK"/>
          <w:b w:val="0"/>
          <w:sz w:val="24"/>
        </w:rPr>
        <w:t>主变扩建提高公用主变总容量与主变N-1后剩余容量，按第五章的容量约束和费用目标评价。既有两台规格、正向需求及供电安全任务不同，会使同样的扩建费用对应不同替代储能规模。</w:t>
      </w:r>
    </w:p>
    <w:p w14:paraId="399259DB">
      <w:pPr>
        <w:pStyle w:val="4"/>
        <w:keepNext/>
        <w:numPr>
          <w:ilvl w:val="0"/>
          <w:numId w:val="0"/>
        </w:numPr>
        <w:spacing w:before="160" w:after="120" w:line="480" w:lineRule="exact"/>
        <w:ind w:firstLine="0"/>
      </w:pPr>
      <w:bookmarkStart w:id="320" w:name="Report1017_h529"/>
      <w:bookmarkEnd w:id="320"/>
      <w:bookmarkStart w:id="150" w:name="h529"/>
      <w:bookmarkStart w:id="151" w:name="kv联络工程费用"/>
      <w:r>
        <w:rPr>
          <w:rFonts w:ascii="Times New Roman" w:hAnsi="Times New Roman" w:eastAsia="方正仿宋_GBK"/>
          <w:b/>
          <w:sz w:val="32"/>
        </w:rPr>
        <w:t>4.3 10 kV联络工程费用</w:t>
      </w:r>
      <w:bookmarkEnd w:id="150"/>
      <w:bookmarkEnd w:id="151"/>
    </w:p>
    <w:p w14:paraId="5F990C33">
      <w:pPr>
        <w:pStyle w:val="5"/>
        <w:keepNext/>
        <w:numPr>
          <w:ilvl w:val="0"/>
          <w:numId w:val="0"/>
        </w:numPr>
        <w:spacing w:before="160" w:after="120" w:line="390" w:lineRule="exact"/>
        <w:ind w:firstLine="0"/>
      </w:pPr>
      <w:bookmarkStart w:id="152" w:name="参考工程及单位造价"/>
      <w:r>
        <w:rPr>
          <w:rFonts w:ascii="Times New Roman" w:hAnsi="Times New Roman" w:eastAsia="方正仿宋_GBK"/>
          <w:b/>
          <w:sz w:val="26"/>
        </w:rPr>
        <w:t>4.3.1 参考工程及单位造价</w:t>
      </w:r>
      <w:bookmarkEnd w:id="152"/>
    </w:p>
    <w:p w14:paraId="4FB48829">
      <w:pPr>
        <w:pStyle w:val="115"/>
        <w:widowControl/>
        <w:spacing w:before="0" w:after="0" w:line="348" w:lineRule="exact"/>
        <w:ind w:firstLine="480"/>
        <w:jc w:val="both"/>
      </w:pPr>
      <w:r>
        <w:rPr>
          <w:rFonts w:ascii="Times New Roman" w:hAnsi="Times New Roman" w:eastAsia="方正仿宋_GBK"/>
          <w:b w:val="0"/>
          <w:sz w:val="24"/>
        </w:rPr>
        <w:t>10 kV联络工程的架空参考造价取华容县配电网规划报告表7-1的24万元/km，电缆电气部分为120万元/km，开关为3万元/台[88]。电缆采用含电气和土建的综合参考价180万元/km，其中土建按差额60万元/km计入研究费用。电缆工程投资范围包含电气安装及配套土建，徐州10 kV线路迁改工程公开建设内容亦包括相应电缆及通道工程[91]。</w:t>
      </w:r>
    </w:p>
    <w:p w14:paraId="2AD30E8A">
      <w:pPr>
        <w:pStyle w:val="5"/>
        <w:keepNext/>
        <w:numPr>
          <w:ilvl w:val="0"/>
          <w:numId w:val="0"/>
        </w:numPr>
        <w:spacing w:before="160" w:after="120" w:line="390" w:lineRule="exact"/>
        <w:ind w:firstLine="0"/>
      </w:pPr>
      <w:bookmarkStart w:id="153" w:name="电缆长度占比与综合造价"/>
      <w:r>
        <w:rPr>
          <w:rFonts w:ascii="Times New Roman" w:hAnsi="Times New Roman" w:eastAsia="方正仿宋_GBK"/>
          <w:b/>
          <w:sz w:val="26"/>
        </w:rPr>
        <w:t>4.3.2 电缆长度占比与综合造价</w:t>
      </w:r>
      <w:bookmarkEnd w:id="153"/>
    </w:p>
    <w:p w14:paraId="69BE85C8">
      <w:pPr>
        <w:pStyle w:val="115"/>
        <w:widowControl/>
        <w:spacing w:before="0" w:after="0" w:line="348" w:lineRule="exact"/>
        <w:ind w:firstLine="480"/>
        <w:jc w:val="both"/>
      </w:pPr>
      <w:r>
        <w:rPr>
          <w:rFonts w:ascii="Times New Roman" w:hAnsi="Times New Roman" w:eastAsia="方正仿宋_GBK"/>
          <w:b w:val="0"/>
          <w:sz w:val="24"/>
        </w:rPr>
        <w:t>线路造价以架空参考基价24万元/km为基准，定义线路成本系数</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。若电缆长度占比为</w:t>
      </w:r>
      <m:oMath>
        <m:r>
          <m:rPr>
            <m:nor/>
          </m:rPr>
          <w:rPr>
            <w:rFonts w:ascii="Times New Roman" w:hAnsi="Times New Roman" w:eastAsia="方正仿宋_GBK" w:cs="Times New Roman"/>
            <w:i/>
            <w:iCs/>
          </w:rPr>
          <m:t>α</m:t>
        </m:r>
      </m:oMath>
      <w:r>
        <w:rPr>
          <w:rFonts w:ascii="Times New Roman" w:hAnsi="Times New Roman" w:eastAsia="方正仿宋_GBK"/>
          <w:b w:val="0"/>
          <w:sz w:val="24"/>
        </w:rPr>
        <w:t>，电缆综合参考价为180万元/km，则单位长度综合费用为</w:t>
      </w:r>
      <m:oMath>
        <m:r>
          <m:rPr>
            <m:nor/>
            <m:sty m:val="p"/>
          </m:rPr>
          <w:rPr>
            <w:rFonts w:ascii="Times New Roman" w:hAnsi="Times New Roman" w:eastAsia="方正仿宋_GBK" w:cs="Times New Roman"/>
            <w:b w:val="0"/>
            <w:i w:val="0"/>
            <w:iCs w:val="0"/>
          </w:rPr>
          <m:t>24(1−</m:t>
        </m:r>
        <m:r>
          <m:rPr>
            <m:nor/>
          </m:rPr>
          <w:rPr>
            <w:rFonts w:ascii="Times New Roman" w:hAnsi="Times New Roman" w:eastAsia="方正仿宋_GBK" w:cs="Times New Roman"/>
            <w:i/>
            <w:iCs/>
          </w:rPr>
          <m:t>α</m:t>
        </m:r>
        <m:r>
          <m:rPr>
            <m:nor/>
            <m:sty m:val="p"/>
          </m:rPr>
          <w:rPr>
            <w:rFonts w:ascii="Times New Roman" w:hAnsi="Times New Roman" w:eastAsia="方正仿宋_GBK" w:cs="Times New Roman"/>
            <w:b w:val="0"/>
            <w:i w:val="0"/>
            <w:iCs w:val="0"/>
          </w:rPr>
          <m:t>)+180</m:t>
        </m:r>
        <m:r>
          <m:rPr>
            <m:nor/>
          </m:rPr>
          <w:rPr>
            <w:rFonts w:ascii="Times New Roman" w:hAnsi="Times New Roman" w:eastAsia="方正仿宋_GBK" w:cs="Times New Roman"/>
            <w:i/>
            <w:iCs/>
          </w:rPr>
          <m:t>α</m:t>
        </m:r>
      </m:oMath>
      <w:r>
        <w:rPr>
          <w:rFonts w:ascii="Times New Roman" w:hAnsi="Times New Roman" w:eastAsia="方正仿宋_GBK"/>
          <w:b w:val="0"/>
          <w:sz w:val="24"/>
        </w:rPr>
        <w:t>，对应</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=1+6.5</m:t>
        </m:r>
        <m:r>
          <m:rPr>
            <m:nor/>
          </m:rPr>
          <w:rPr>
            <w:rFonts w:ascii="Times New Roman" w:hAnsi="Times New Roman" w:eastAsia="方正仿宋_GBK" w:cs="Times New Roman"/>
            <w:i/>
            <w:iCs/>
          </w:rPr>
          <m:t>α</m:t>
        </m:r>
      </m:oMath>
      <w:r>
        <w:rPr>
          <w:rFonts w:ascii="Times New Roman" w:hAnsi="Times New Roman" w:eastAsia="方正仿宋_GBK"/>
          <w:b w:val="0"/>
          <w:sz w:val="24"/>
        </w:rPr>
        <w:t>。系数也可按实际工程单位长度造价与基价之比确定。</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（4-4）</w:t>
            </w:r>
          </w:p>
        </w:tc>
      </w:tr>
    </w:tbl>
    <w:p w14:paraId="3BF53F1B">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为单项目建设投资，单位万元；</w:t>
      </w:r>
      <m:oMath>
        <m:r>
          <m:rPr>
            <m:nor/>
          </m:rPr>
          <w:rPr>
            <w:rFonts w:ascii="Times New Roman" w:hAnsi="Times New Roman" w:eastAsia="方正仿宋_GBK" w:cs="Times New Roman"/>
            <w:i/>
            <w:iCs/>
          </w:rPr>
          <m:t>L</m:t>
        </m:r>
      </m:oMath>
      <w:r>
        <w:rPr>
          <w:rFonts w:ascii="Times New Roman" w:hAnsi="Times New Roman" w:eastAsia="方正仿宋_GBK"/>
          <w:b w:val="0"/>
          <w:sz w:val="24"/>
        </w:rPr>
        <w:t>为线路长度，基准取3 km；</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为无量纲线路成本系数；6万元为两台等效开关的固定接入费用。固定费用不随</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同比缩放。</w:t>
      </w:r>
    </w:p>
    <w:p w14:paraId="7E8CEADE">
      <w:pPr>
        <w:pStyle w:val="2"/>
        <w:widowControl/>
        <w:spacing w:before="0" w:after="0" w:line="348" w:lineRule="exact"/>
        <w:ind w:firstLine="480"/>
        <w:jc w:val="both"/>
      </w:pPr>
      <w:r>
        <w:rPr>
          <w:rFonts w:ascii="Times New Roman" w:hAnsi="Times New Roman" w:eastAsia="方正仿宋_GBK"/>
          <w:b w:val="0"/>
          <w:sz w:val="24"/>
        </w:rPr>
        <w:t>邳州线路资料计算的电缆长度占比约11%，市区补充资料约80%。以3 km和6万元固定接入费计算，单项新增联络投资分别为128.38万元、452.40万元。推广时采用电缆长度占比作为输入参数，</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=1+6.5</m:t>
        </m:r>
        <m:r>
          <m:rPr>
            <m:nor/>
          </m:rPr>
          <w:rPr>
            <w:rFonts w:ascii="Times New Roman" w:hAnsi="Times New Roman" w:eastAsia="方正仿宋_GBK" w:cs="Times New Roman"/>
            <w:i/>
            <w:iCs/>
          </w:rPr>
          <m:t>α</m:t>
        </m:r>
      </m:oMath>
      <w:r>
        <w:rPr>
          <w:rFonts w:ascii="Times New Roman" w:hAnsi="Times New Roman" w:eastAsia="方正仿宋_GBK"/>
          <w:b w:val="0"/>
          <w:sz w:val="24"/>
        </w:rPr>
        <w:t>用于内部计价。</w:t>
      </w:r>
    </w:p>
    <w:p w14:paraId="448A05DF">
      <w:pPr>
        <w:pStyle w:val="2"/>
        <w:keepNext/>
        <w:spacing w:before="120" w:after="80" w:line="280" w:lineRule="exact"/>
        <w:ind w:firstLine="0"/>
        <w:jc w:val="center"/>
      </w:pPr>
      <w:r>
        <w:rPr>
          <w:rFonts w:ascii="Times New Roman" w:hAnsi="Times New Roman" w:eastAsia="宋体"/>
          <w:b w:val="0"/>
          <w:sz w:val="21"/>
        </w:rPr>
        <w:t>表4-3 电缆长度占比与项目费用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409A8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A3CA841">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662" w:type="dxa"/>
            <w:tcMar>
              <w:left w:w="70" w:type="dxa"/>
              <w:right w:w="70" w:type="dxa"/>
            </w:tcMar>
            <w:vAlign w:val="center"/>
          </w:tcPr>
          <w:p w14:paraId="0E4CEE03">
            <w:pPr>
              <w:keepNext/>
              <w:spacing w:before="20" w:after="20" w:line="260" w:lineRule="exact"/>
              <w:ind w:left="0" w:leftChars="0" w:right="0" w:rightChars="0" w:firstLine="0" w:firstLineChars="0"/>
              <w:jc w:val="center"/>
            </w:pPr>
            <w:r>
              <w:rPr>
                <w:rFonts w:ascii="Times New Roman" w:hAnsi="Times New Roman" w:eastAsia="宋体"/>
                <w:b/>
                <w:sz w:val="18"/>
              </w:rPr>
              <w:t>长度/km</w:t>
            </w:r>
          </w:p>
        </w:tc>
        <w:tc>
          <w:tcPr>
            <w:tcW w:w="1662" w:type="dxa"/>
            <w:tcMar>
              <w:left w:w="70" w:type="dxa"/>
              <w:right w:w="70" w:type="dxa"/>
            </w:tcMar>
            <w:vAlign w:val="center"/>
          </w:tcPr>
          <w:p w14:paraId="7EC4FE28">
            <w:pPr>
              <w:keepNext/>
              <w:spacing w:before="20" w:after="20" w:line="260" w:lineRule="exact"/>
              <w:ind w:left="0" w:leftChars="0" w:right="0" w:rightChars="0" w:firstLine="0" w:firstLineChars="0"/>
              <w:jc w:val="center"/>
            </w:pPr>
            <w:r>
              <w:rPr>
                <w:rFonts w:ascii="Times New Roman" w:hAnsi="Times New Roman" w:eastAsia="宋体"/>
                <w:b/>
                <w:sz w:val="18"/>
              </w:rPr>
              <w:t>单位长度费用/万元·km⁻¹</w:t>
            </w:r>
          </w:p>
        </w:tc>
        <w:tc>
          <w:tcPr>
            <w:tcW w:w="1662" w:type="dxa"/>
            <w:tcMar>
              <w:left w:w="70" w:type="dxa"/>
              <w:right w:w="70" w:type="dxa"/>
            </w:tcMar>
            <w:vAlign w:val="center"/>
          </w:tcPr>
          <w:p w14:paraId="5BEFDA20">
            <w:pPr>
              <w:keepNext/>
              <w:spacing w:before="20" w:after="20" w:line="260" w:lineRule="exact"/>
              <w:ind w:left="0" w:leftChars="0" w:right="0" w:rightChars="0" w:firstLine="0" w:firstLineChars="0"/>
              <w:jc w:val="center"/>
            </w:pPr>
            <w:r>
              <w:rPr>
                <w:rFonts w:ascii="Times New Roman" w:hAnsi="Times New Roman" w:eastAsia="宋体"/>
                <w:b/>
                <w:sz w:val="18"/>
              </w:rPr>
              <w:t>固定接入费/万元</w:t>
            </w:r>
          </w:p>
        </w:tc>
        <w:tc>
          <w:tcPr>
            <w:tcW w:w="1662" w:type="dxa"/>
            <w:tcMar>
              <w:left w:w="70" w:type="dxa"/>
              <w:right w:w="70" w:type="dxa"/>
            </w:tcMar>
            <w:vAlign w:val="center"/>
          </w:tcPr>
          <w:p w14:paraId="758D7509">
            <w:pPr>
              <w:keepNext/>
              <w:spacing w:before="20" w:after="20" w:line="260" w:lineRule="exact"/>
              <w:ind w:left="0" w:leftChars="0" w:right="0" w:rightChars="0" w:firstLine="0" w:firstLineChars="0"/>
              <w:jc w:val="center"/>
            </w:pPr>
            <w:r>
              <w:rPr>
                <w:rFonts w:ascii="Times New Roman" w:hAnsi="Times New Roman" w:eastAsia="宋体"/>
                <w:b/>
                <w:sz w:val="18"/>
              </w:rPr>
              <w:t>项目投资/万元</w:t>
            </w:r>
          </w:p>
        </w:tc>
      </w:tr>
      <w:tr w14:paraId="770A12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E89BE40">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662" w:type="dxa"/>
            <w:tcMar>
              <w:left w:w="70" w:type="dxa"/>
              <w:right w:w="70" w:type="dxa"/>
            </w:tcMar>
            <w:vAlign w:val="center"/>
          </w:tcPr>
          <w:p w14:paraId="3FF292C1">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1F11715C">
            <w:pPr>
              <w:keepNext/>
              <w:spacing w:before="20" w:after="20" w:line="260" w:lineRule="exact"/>
              <w:ind w:left="0" w:leftChars="0" w:right="0" w:rightChars="0" w:firstLine="0" w:firstLineChars="0"/>
              <w:jc w:val="center"/>
            </w:pPr>
            <w:r>
              <w:rPr>
                <w:rFonts w:ascii="Times New Roman" w:hAnsi="Times New Roman" w:eastAsia="宋体"/>
                <w:b w:val="0"/>
                <w:sz w:val="18"/>
              </w:rPr>
              <w:t>39.60</w:t>
            </w:r>
          </w:p>
        </w:tc>
        <w:tc>
          <w:tcPr>
            <w:tcW w:w="1662" w:type="dxa"/>
            <w:tcMar>
              <w:left w:w="70" w:type="dxa"/>
              <w:right w:w="70" w:type="dxa"/>
            </w:tcMar>
            <w:vAlign w:val="center"/>
          </w:tcPr>
          <w:p w14:paraId="63503271">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6C138477">
            <w:pPr>
              <w:keepNext/>
              <w:spacing w:before="20" w:after="20" w:line="260" w:lineRule="exact"/>
              <w:ind w:left="0" w:leftChars="0" w:right="0" w:rightChars="0" w:firstLine="0" w:firstLineChars="0"/>
              <w:jc w:val="center"/>
            </w:pPr>
            <w:r>
              <w:rPr>
                <w:rFonts w:ascii="Times New Roman" w:hAnsi="Times New Roman" w:eastAsia="宋体"/>
                <w:b w:val="0"/>
                <w:sz w:val="18"/>
              </w:rPr>
              <w:t>124.80</w:t>
            </w:r>
          </w:p>
        </w:tc>
      </w:tr>
      <w:tr w14:paraId="106B7A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9340620">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662" w:type="dxa"/>
            <w:tcMar>
              <w:left w:w="70" w:type="dxa"/>
              <w:right w:w="70" w:type="dxa"/>
            </w:tcMar>
            <w:vAlign w:val="center"/>
          </w:tcPr>
          <w:p w14:paraId="2E86B8FA">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0609E34A">
            <w:pPr>
              <w:keepNext/>
              <w:spacing w:before="20" w:after="20" w:line="260" w:lineRule="exact"/>
              <w:ind w:left="0" w:leftChars="0" w:right="0" w:rightChars="0" w:firstLine="0" w:firstLineChars="0"/>
              <w:jc w:val="center"/>
            </w:pPr>
            <w:r>
              <w:rPr>
                <w:rFonts w:ascii="Times New Roman" w:hAnsi="Times New Roman" w:eastAsia="宋体"/>
                <w:b w:val="0"/>
                <w:sz w:val="18"/>
              </w:rPr>
              <w:t>70.80</w:t>
            </w:r>
          </w:p>
        </w:tc>
        <w:tc>
          <w:tcPr>
            <w:tcW w:w="1662" w:type="dxa"/>
            <w:tcMar>
              <w:left w:w="70" w:type="dxa"/>
              <w:right w:w="70" w:type="dxa"/>
            </w:tcMar>
            <w:vAlign w:val="center"/>
          </w:tcPr>
          <w:p w14:paraId="42601A54">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0E027E1">
            <w:pPr>
              <w:keepNext/>
              <w:spacing w:before="20" w:after="20" w:line="260" w:lineRule="exact"/>
              <w:ind w:left="0" w:leftChars="0" w:right="0" w:rightChars="0" w:firstLine="0" w:firstLineChars="0"/>
              <w:jc w:val="center"/>
            </w:pPr>
            <w:r>
              <w:rPr>
                <w:rFonts w:ascii="Times New Roman" w:hAnsi="Times New Roman" w:eastAsia="宋体"/>
                <w:b w:val="0"/>
                <w:sz w:val="18"/>
              </w:rPr>
              <w:t>218.40</w:t>
            </w:r>
          </w:p>
        </w:tc>
      </w:tr>
      <w:tr w14:paraId="42850F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D395DB1">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652A6BBF">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31E15E3C">
            <w:pPr>
              <w:keepNext/>
              <w:spacing w:before="20" w:after="20" w:line="260" w:lineRule="exact"/>
              <w:ind w:left="0" w:leftChars="0" w:right="0" w:rightChars="0" w:firstLine="0" w:firstLineChars="0"/>
              <w:jc w:val="center"/>
            </w:pPr>
            <w:r>
              <w:rPr>
                <w:rFonts w:ascii="Times New Roman" w:hAnsi="Times New Roman" w:eastAsia="宋体"/>
                <w:b w:val="0"/>
                <w:sz w:val="18"/>
              </w:rPr>
              <w:t>102.00</w:t>
            </w:r>
          </w:p>
        </w:tc>
        <w:tc>
          <w:tcPr>
            <w:tcW w:w="1662" w:type="dxa"/>
            <w:tcMar>
              <w:left w:w="70" w:type="dxa"/>
              <w:right w:w="70" w:type="dxa"/>
            </w:tcMar>
            <w:vAlign w:val="center"/>
          </w:tcPr>
          <w:p w14:paraId="05F55625">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23E10349">
            <w:pPr>
              <w:keepNext/>
              <w:spacing w:before="20" w:after="20" w:line="260" w:lineRule="exact"/>
              <w:ind w:left="0" w:leftChars="0" w:right="0" w:rightChars="0" w:firstLine="0" w:firstLineChars="0"/>
              <w:jc w:val="center"/>
            </w:pPr>
            <w:r>
              <w:rPr>
                <w:rFonts w:ascii="Times New Roman" w:hAnsi="Times New Roman" w:eastAsia="宋体"/>
                <w:b w:val="0"/>
                <w:sz w:val="18"/>
              </w:rPr>
              <w:t>312.00</w:t>
            </w:r>
          </w:p>
        </w:tc>
      </w:tr>
      <w:tr w14:paraId="7FED75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05B9C01">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662" w:type="dxa"/>
            <w:tcMar>
              <w:left w:w="70" w:type="dxa"/>
              <w:right w:w="70" w:type="dxa"/>
            </w:tcMar>
            <w:vAlign w:val="center"/>
          </w:tcPr>
          <w:p w14:paraId="78A84E73">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02EF9ED9">
            <w:pPr>
              <w:keepNext/>
              <w:spacing w:before="20" w:after="20" w:line="260" w:lineRule="exact"/>
              <w:ind w:left="0" w:leftChars="0" w:right="0" w:rightChars="0" w:firstLine="0" w:firstLineChars="0"/>
              <w:jc w:val="center"/>
            </w:pPr>
            <w:r>
              <w:rPr>
                <w:rFonts w:ascii="Times New Roman" w:hAnsi="Times New Roman" w:eastAsia="宋体"/>
                <w:b w:val="0"/>
                <w:sz w:val="18"/>
              </w:rPr>
              <w:t>148.80</w:t>
            </w:r>
          </w:p>
        </w:tc>
        <w:tc>
          <w:tcPr>
            <w:tcW w:w="1662" w:type="dxa"/>
            <w:tcMar>
              <w:left w:w="70" w:type="dxa"/>
              <w:right w:w="70" w:type="dxa"/>
            </w:tcMar>
            <w:vAlign w:val="center"/>
          </w:tcPr>
          <w:p w14:paraId="5D18B66E">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3DED065">
            <w:pPr>
              <w:keepNext/>
              <w:spacing w:before="20" w:after="20" w:line="260" w:lineRule="exact"/>
              <w:ind w:left="0" w:leftChars="0" w:right="0" w:rightChars="0" w:firstLine="0" w:firstLineChars="0"/>
              <w:jc w:val="center"/>
            </w:pPr>
            <w:r>
              <w:rPr>
                <w:rFonts w:ascii="Times New Roman" w:hAnsi="Times New Roman" w:eastAsia="宋体"/>
                <w:b w:val="0"/>
                <w:sz w:val="18"/>
              </w:rPr>
              <w:t>452.40</w:t>
            </w:r>
          </w:p>
        </w:tc>
      </w:tr>
      <w:tr w14:paraId="106657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7DA8550">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662" w:type="dxa"/>
            <w:tcMar>
              <w:left w:w="70" w:type="dxa"/>
              <w:right w:w="70" w:type="dxa"/>
            </w:tcMar>
            <w:vAlign w:val="center"/>
          </w:tcPr>
          <w:p w14:paraId="6851EAA2">
            <w:pPr>
              <w:keepNext w:val="0"/>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5BCF0CFC">
            <w:pPr>
              <w:keepNext w:val="0"/>
              <w:spacing w:before="20" w:after="20" w:line="260" w:lineRule="exact"/>
              <w:ind w:left="0" w:leftChars="0" w:right="0" w:rightChars="0" w:firstLine="0" w:firstLineChars="0"/>
              <w:jc w:val="center"/>
            </w:pPr>
            <w:r>
              <w:rPr>
                <w:rFonts w:ascii="Times New Roman" w:hAnsi="Times New Roman" w:eastAsia="宋体"/>
                <w:b w:val="0"/>
                <w:sz w:val="18"/>
              </w:rPr>
              <w:t>164.40</w:t>
            </w:r>
          </w:p>
        </w:tc>
        <w:tc>
          <w:tcPr>
            <w:tcW w:w="1662" w:type="dxa"/>
            <w:tcMar>
              <w:left w:w="70" w:type="dxa"/>
              <w:right w:w="70" w:type="dxa"/>
            </w:tcMar>
            <w:vAlign w:val="center"/>
          </w:tcPr>
          <w:p w14:paraId="1CEE2CE9">
            <w:pPr>
              <w:keepNext w:val="0"/>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756D14BA">
            <w:pPr>
              <w:keepNext w:val="0"/>
              <w:spacing w:before="20" w:after="20" w:line="260" w:lineRule="exact"/>
              <w:ind w:left="0" w:leftChars="0" w:right="0" w:rightChars="0" w:firstLine="0" w:firstLineChars="0"/>
              <w:jc w:val="center"/>
            </w:pPr>
            <w:r>
              <w:rPr>
                <w:rFonts w:ascii="Times New Roman" w:hAnsi="Times New Roman" w:eastAsia="宋体"/>
                <w:b w:val="0"/>
                <w:sz w:val="18"/>
              </w:rPr>
              <w:t>499.20</w:t>
            </w:r>
          </w:p>
        </w:tc>
      </w:tr>
    </w:tbl>
    <w:p w14:paraId="1F316E8A">
      <w:pPr>
        <w:pStyle w:val="2"/>
        <w:widowControl/>
        <w:spacing w:before="0" w:after="0" w:line="348" w:lineRule="exact"/>
        <w:ind w:firstLine="480"/>
        <w:jc w:val="both"/>
      </w:pPr>
      <w:r>
        <w:rPr>
          <w:rFonts w:ascii="Times New Roman" w:hAnsi="Times New Roman" w:eastAsia="方正仿宋_GBK"/>
          <w:b w:val="0"/>
          <w:sz w:val="24"/>
        </w:rPr>
        <w:t>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14:paraId="402C8A0C">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14420"/>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32"/>
                    <a:stretch>
                      <a:fillRect/>
                    </a:stretch>
                  </pic:blipFill>
                  <pic:spPr>
                    <a:xfrm>
                      <a:off x="0" y="0"/>
                      <a:ext cx="5120640" cy="3614569"/>
                    </a:xfrm>
                    <a:prstGeom prst="rect">
                      <a:avLst/>
                    </a:prstGeom>
                    <a:noFill/>
                    <a:ln w="9525">
                      <a:noFill/>
                    </a:ln>
                  </pic:spPr>
                </pic:pic>
              </a:graphicData>
            </a:graphic>
          </wp:inline>
        </w:drawing>
      </w:r>
    </w:p>
    <w:p w14:paraId="4FAA3F0F">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图4-3 不同电缆长度占比下联络项目的投资构成</w:t>
      </w:r>
    </w:p>
    <w:p w14:paraId="382210FA">
      <w:pPr>
        <w:pStyle w:val="5"/>
        <w:keepNext/>
        <w:numPr>
          <w:ilvl w:val="0"/>
          <w:numId w:val="0"/>
        </w:numPr>
        <w:spacing w:before="160" w:after="120" w:line="390" w:lineRule="exact"/>
        <w:ind w:firstLine="0"/>
      </w:pPr>
      <w:bookmarkStart w:id="154" w:name="联络能力与工程计费"/>
      <w:r>
        <w:rPr>
          <w:rFonts w:ascii="Times New Roman" w:hAnsi="Times New Roman" w:eastAsia="方正仿宋_GBK"/>
          <w:b/>
          <w:sz w:val="26"/>
        </w:rPr>
        <w:t>4.3.3 联络能力与工程计费</w:t>
      </w:r>
      <w:bookmarkEnd w:id="154"/>
    </w:p>
    <w:p w14:paraId="4664118C">
      <w:pPr>
        <w:pStyle w:val="115"/>
        <w:widowControl/>
        <w:spacing w:before="0" w:after="0" w:line="348" w:lineRule="exact"/>
        <w:ind w:firstLine="480"/>
        <w:jc w:val="both"/>
      </w:pPr>
      <w:r>
        <w:rPr>
          <w:rFonts w:ascii="Times New Roman" w:hAnsi="Times New Roman" w:eastAsia="方正仿宋_GBK"/>
          <w:b w:val="0"/>
          <w:sz w:val="24"/>
        </w:rPr>
        <w:t xml:space="preserve">新增</w:t>
      </w:r>
      <w:r>
        <w:rPr>
          <w:rFonts w:ascii="Times New Roman" w:hAnsi="Times New Roman" w:eastAsia="方正仿宋_GBK"/>
          <w:b w:val="0"/>
          <w:sz w:val="24"/>
        </w:rPr>
        <w:t xml:space="preserve">联络能力的取值依据邳州局部六条10 kV馈</w:t>
      </w:r>
      <w:r>
        <w:rPr>
          <w:rFonts w:ascii="Times New Roman" w:hAnsi="Times New Roman" w:eastAsia="方正仿宋_GBK"/>
          <w:b w:val="0"/>
          <w:sz w:val="24"/>
        </w:rPr>
        <w:t xml:space="preserve">线的</w:t>
      </w:r>
      <w:r>
        <w:rPr>
          <w:rFonts w:ascii="Times New Roman" w:hAnsi="Times New Roman" w:eastAsia="方正仿宋_GBK"/>
          <w:b w:val="0"/>
          <w:sz w:val="24"/>
        </w:rPr>
        <w:t xml:space="preserve">结构化资料、联络关系及区段明细。先按开关位置识别可切换区段，再核对</w:t>
      </w:r>
      <w:r>
        <w:rPr>
          <w:rFonts w:ascii="Times New Roman" w:hAnsi="Times New Roman" w:eastAsia="方正仿宋_GBK"/>
          <w:b w:val="0"/>
          <w:sz w:val="24"/>
        </w:rPr>
        <w:t xml:space="preserve">区段</w:t>
      </w:r>
      <w:r>
        <w:rPr>
          <w:rFonts w:ascii="Times New Roman" w:hAnsi="Times New Roman" w:eastAsia="方正仿宋_GBK"/>
          <w:b w:val="0"/>
          <w:sz w:val="24"/>
        </w:rPr>
        <w:t xml:space="preserve">负荷</w:t>
      </w:r>
      <w:r>
        <w:rPr>
          <w:rFonts w:ascii="Times New Roman" w:hAnsi="Times New Roman" w:eastAsia="方正仿宋_GBK"/>
          <w:b w:val="0"/>
          <w:sz w:val="24"/>
        </w:rPr>
        <w:t xml:space="preserve">、线路允许电流和接收侧余量。墩振线23—24杆下游区段的2025年压力场景负荷汇总</w:t>
      </w:r>
      <w:r>
        <w:rPr>
          <w:rFonts w:ascii="Times New Roman" w:hAnsi="Times New Roman" w:eastAsia="方正仿宋_GBK"/>
          <w:b w:val="0"/>
          <w:sz w:val="24"/>
        </w:rPr>
        <w:t xml:space="preserve">为7.49 MW</w:t>
      </w:r>
      <w:r>
        <w:rPr>
          <w:woUserID w:val="2"/>
        </w:rPr>
      </w:r>
      <w:r>
        <w:rPr>
          <w:rFonts w:ascii="Times New Roman" w:hAnsi="Times New Roman" w:eastAsia="方正仿宋_GBK"/>
          <w:b w:val="0"/>
          <w:sz w:val="24"/>
        </w:rPr>
        <w:t xml:space="preserve">，</w:t>
      </w:r>
      <w:r>
        <w:rPr>
          <w:rFonts w:ascii="Times New Roman" w:hAnsi="Times New Roman" w:eastAsia="方正仿宋_GBK"/>
          <w:b w:val="0"/>
          <w:sz w:val="24"/>
        </w:rPr>
        <w:t xml:space="preserve">作为新增独立接收馈线的候选转移规模，</w:t>
      </w:r>
      <w:r>
        <w:rPr>
          <w:rFonts w:ascii="Times New Roman" w:hAnsi="Times New Roman" w:eastAsia="方正仿宋_GBK"/>
          <w:b w:val="0"/>
          <w:sz w:val="24"/>
        </w:rPr>
        <w:t xml:space="preserve">低于按允许电流</w:t>
      </w:r>
      <w:r>
        <w:rPr>
          <w:rFonts w:ascii="Times New Roman" w:hAnsi="Times New Roman" w:eastAsia="方正仿宋_GBK"/>
          <w:b w:val="0"/>
          <w:sz w:val="24"/>
        </w:rPr>
        <w:t xml:space="preserve">及0.95功率因数</w:t>
      </w:r>
      <w:r>
        <w:rPr>
          <w:rFonts w:ascii="Times New Roman" w:hAnsi="Times New Roman" w:eastAsia="方正仿宋_GBK"/>
          <w:b w:val="0"/>
          <w:sz w:val="24"/>
        </w:rPr>
        <w:t xml:space="preserve">折算的有功容量9.05 MW。</w:t>
      </w:r>
      <w:r>
        <w:rPr>
          <w:rFonts w:ascii="Times New Roman" w:hAnsi="Times New Roman" w:eastAsia="方正仿宋_GBK"/>
          <w:b w:val="0"/>
          <w:sz w:val="24"/>
        </w:rPr>
        <w:t xml:space="preserve">7.49 MW是该区段场景计算的参考规模，实际可转功率还受送受端馈线、路径共享和邻站主变余量共同限制。</w:t>
      </w:r>
      <w:r>
        <w:rPr>
          <w:rFonts w:ascii="Times New Roman" w:hAnsi="Times New Roman" w:eastAsia="方正仿宋_GBK"/>
          <w:b w:val="0"/>
          <w:sz w:val="24"/>
        </w:rPr>
        <w:t xml:space="preserve">模型按具体送受端</w:t>
      </w:r>
      <w:r>
        <w:rPr>
          <w:rFonts w:ascii="Times New Roman" w:hAnsi="Times New Roman" w:eastAsia="方正仿宋_GBK"/>
          <w:b w:val="0"/>
          <w:sz w:val="24"/>
        </w:rPr>
        <w:t xml:space="preserve">建立候选边，既有</w:t>
      </w:r>
      <w:r>
        <w:rPr>
          <w:rFonts w:ascii="Times New Roman" w:hAnsi="Times New Roman" w:eastAsia="方正仿宋_GBK"/>
          <w:b w:val="0"/>
          <w:sz w:val="24"/>
        </w:rPr>
        <w:t xml:space="preserve">工程</w:t>
      </w:r>
      <w:r>
        <w:rPr>
          <w:rFonts w:ascii="Times New Roman" w:hAnsi="Times New Roman" w:eastAsia="方正仿宋_GBK"/>
          <w:b w:val="0"/>
          <w:sz w:val="24"/>
        </w:rPr>
        <w:t xml:space="preserve">不重复计原建设费，新增边按投运年计</w:t>
      </w:r>
      <w:r>
        <w:rPr>
          <w:rFonts w:ascii="Times New Roman" w:hAnsi="Times New Roman" w:eastAsia="方正仿宋_GBK"/>
          <w:b w:val="0"/>
          <w:sz w:val="24"/>
        </w:rPr>
        <w:t xml:space="preserve">费</w:t>
      </w:r>
      <w:r>
        <w:rPr>
          <w:rFonts w:ascii="Times New Roman" w:hAnsi="Times New Roman" w:eastAsia="方正仿宋_GBK"/>
          <w:b w:val="0"/>
          <w:sz w:val="24"/>
        </w:rPr>
        <w:t xml:space="preserve">。</w:t>
      </w:r>
    </w:p>
    <w:p w14:paraId="420D7D1C">
      <w:pPr>
        <w:pStyle w:val="2"/>
        <w:widowControl/>
        <w:spacing w:before="0" w:after="0" w:line="348" w:lineRule="exact"/>
        <w:ind w:firstLine="480"/>
        <w:jc w:val="both"/>
      </w:pPr>
      <w:r>
        <w:rPr>
          <w:rFonts w:ascii="Times New Roman" w:hAnsi="Times New Roman" w:eastAsia="方正仿宋_GBK"/>
          <w:b w:val="0"/>
          <w:sz w:val="24"/>
        </w:rPr>
        <w:t>同一馈线连接多条候选联络时，共用其源端可转负荷和接收余量，转供功率同时受接收主变容量限制。</w:t>
      </w:r>
    </w:p>
    <w:p w14:paraId="548B9385">
      <w:pPr>
        <w:pStyle w:val="4"/>
        <w:keepNext/>
        <w:numPr>
          <w:ilvl w:val="0"/>
          <w:numId w:val="0"/>
        </w:numPr>
        <w:spacing w:before="160" w:after="120" w:line="480" w:lineRule="exact"/>
        <w:ind w:firstLine="0"/>
      </w:pPr>
      <w:bookmarkStart w:id="321" w:name="Report1017_h543"/>
      <w:bookmarkEnd w:id="321"/>
      <w:bookmarkStart w:id="155" w:name="h543"/>
      <w:bookmarkStart w:id="156" w:name="储能投资模型"/>
      <w:r>
        <w:rPr>
          <w:rFonts w:ascii="Times New Roman" w:hAnsi="Times New Roman" w:eastAsia="方正仿宋_GBK"/>
          <w:b/>
          <w:sz w:val="32"/>
        </w:rPr>
        <w:t>4.4 储能投资模型</w:t>
      </w:r>
      <w:bookmarkEnd w:id="155"/>
      <w:bookmarkEnd w:id="156"/>
    </w:p>
    <w:p w14:paraId="67D5C50B">
      <w:pPr>
        <w:pStyle w:val="5"/>
        <w:keepNext/>
        <w:numPr>
          <w:ilvl w:val="0"/>
          <w:numId w:val="0"/>
        </w:numPr>
        <w:spacing w:before="160" w:after="120" w:line="390" w:lineRule="exact"/>
        <w:ind w:firstLine="0"/>
      </w:pPr>
      <w:bookmarkStart w:id="157" w:name="储能规格与采购价格依据"/>
      <w:r>
        <w:rPr>
          <w:rFonts w:ascii="Times New Roman" w:hAnsi="Times New Roman" w:eastAsia="方正仿宋_GBK"/>
          <w:b/>
          <w:sz w:val="26"/>
        </w:rPr>
        <w:t>4.4.1 储能规格与采购价格依据</w:t>
      </w:r>
      <w:bookmarkEnd w:id="157"/>
    </w:p>
    <w:p w14:paraId="511D4CC9">
      <w:pPr>
        <w:pStyle w:val="115"/>
        <w:widowControl/>
        <w:spacing w:before="0" w:after="0" w:line="348" w:lineRule="exact"/>
        <w:ind w:firstLine="480"/>
        <w:jc w:val="both"/>
      </w:pPr>
      <w:r>
        <w:rPr>
          <w:rFonts w:ascii="Times New Roman" w:hAnsi="Times New Roman" w:eastAsia="方正仿宋_GBK"/>
          <w:b w:val="0"/>
          <w:sz w:val="24"/>
        </w:rPr>
        <w:t>储能设备采用100 kW/215 kWh柜规格。苏州采购公告的储能柜子项最高限价为27.20万元，作为单柜价格参考[89]。模型投资采用浏阳用户侧储能项目的成套中标价210.46万元，保证交付规模为1 MW/2.15 MWh，折合10柜[87]。</w:t>
      </w:r>
    </w:p>
    <w:p w14:paraId="16C0EFB4">
      <w:pPr>
        <w:pStyle w:val="2"/>
        <w:widowControl/>
        <w:spacing w:before="0" w:after="0" w:line="348" w:lineRule="exact"/>
        <w:ind w:firstLine="480"/>
        <w:jc w:val="both"/>
      </w:pPr>
      <w:r>
        <w:rPr>
          <w:rFonts w:ascii="Times New Roman" w:hAnsi="Times New Roman" w:eastAsia="方正仿宋_GBK"/>
          <w:b w:val="0"/>
          <w:sz w:val="24"/>
        </w:rPr>
        <w:t>按保证交付规模形成单位价格，单柜参考投资为21.05万元。后续配置按整数柜计取功率、能量和投资。</w:t>
      </w:r>
    </w:p>
    <w:p w14:paraId="234E7533">
      <w:pPr>
        <w:pStyle w:val="2"/>
        <w:keepNext/>
        <w:spacing w:before="120" w:after="80" w:line="280" w:lineRule="exact"/>
        <w:ind w:firstLine="0"/>
        <w:jc w:val="center"/>
      </w:pPr>
      <w:r>
        <w:rPr>
          <w:rFonts w:ascii="Times New Roman" w:hAnsi="Times New Roman" w:eastAsia="宋体"/>
          <w:b w:val="0"/>
          <w:sz w:val="21"/>
        </w:rPr>
        <w:t>表4-4 储能采购价格依据[87,89]</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48E287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37447704">
            <w:pPr>
              <w:keepNext/>
              <w:spacing w:before="20" w:after="20" w:line="260" w:lineRule="exact"/>
              <w:ind w:left="0" w:leftChars="0" w:right="0" w:rightChars="0" w:firstLine="0" w:firstLineChars="0"/>
              <w:jc w:val="center"/>
            </w:pPr>
            <w:r>
              <w:rPr>
                <w:rFonts w:ascii="Times New Roman" w:hAnsi="Times New Roman" w:eastAsia="宋体"/>
                <w:b/>
                <w:sz w:val="18"/>
              </w:rPr>
              <w:t>案例</w:t>
            </w:r>
          </w:p>
        </w:tc>
        <w:tc>
          <w:tcPr>
            <w:tcW w:w="1662" w:type="dxa"/>
            <w:tcMar>
              <w:left w:w="70" w:type="dxa"/>
              <w:right w:w="70" w:type="dxa"/>
            </w:tcMar>
            <w:vAlign w:val="center"/>
          </w:tcPr>
          <w:p w14:paraId="4F245590">
            <w:pPr>
              <w:keepNext/>
              <w:spacing w:before="20" w:after="20" w:line="260" w:lineRule="exact"/>
              <w:ind w:left="0" w:leftChars="0" w:right="0" w:rightChars="0" w:firstLine="0" w:firstLineChars="0"/>
              <w:jc w:val="center"/>
            </w:pPr>
            <w:r>
              <w:rPr>
                <w:rFonts w:ascii="Times New Roman" w:hAnsi="Times New Roman" w:eastAsia="宋体"/>
                <w:b/>
                <w:sz w:val="18"/>
              </w:rPr>
              <w:t>公告规模</w:t>
            </w:r>
          </w:p>
        </w:tc>
        <w:tc>
          <w:tcPr>
            <w:tcW w:w="1662" w:type="dxa"/>
            <w:tcMar>
              <w:left w:w="70" w:type="dxa"/>
              <w:right w:w="70" w:type="dxa"/>
            </w:tcMar>
            <w:vAlign w:val="center"/>
          </w:tcPr>
          <w:p w14:paraId="006C704D">
            <w:pPr>
              <w:keepNext/>
              <w:spacing w:before="20" w:after="20" w:line="260" w:lineRule="exact"/>
              <w:ind w:left="0" w:leftChars="0" w:right="0" w:rightChars="0" w:firstLine="0" w:firstLineChars="0"/>
              <w:jc w:val="center"/>
            </w:pPr>
            <w:r>
              <w:rPr>
                <w:rFonts w:ascii="Times New Roman" w:hAnsi="Times New Roman" w:eastAsia="宋体"/>
                <w:b/>
                <w:sz w:val="18"/>
              </w:rPr>
              <w:t>保证规模</w:t>
            </w:r>
          </w:p>
        </w:tc>
        <w:tc>
          <w:tcPr>
            <w:tcW w:w="1662" w:type="dxa"/>
            <w:tcMar>
              <w:left w:w="70" w:type="dxa"/>
              <w:right w:w="70" w:type="dxa"/>
            </w:tcMar>
            <w:vAlign w:val="center"/>
          </w:tcPr>
          <w:p w14:paraId="664554FA">
            <w:pPr>
              <w:keepNext/>
              <w:spacing w:before="20" w:after="20" w:line="260" w:lineRule="exact"/>
              <w:ind w:left="0" w:leftChars="0" w:right="0" w:rightChars="0" w:firstLine="0" w:firstLineChars="0"/>
              <w:jc w:val="center"/>
            </w:pPr>
            <w:r>
              <w:rPr>
                <w:rFonts w:ascii="Times New Roman" w:hAnsi="Times New Roman" w:eastAsia="宋体"/>
                <w:b/>
                <w:sz w:val="18"/>
              </w:rPr>
              <w:t>价格/万元</w:t>
            </w:r>
          </w:p>
        </w:tc>
        <w:tc>
          <w:tcPr>
            <w:tcW w:w="1662" w:type="dxa"/>
            <w:tcMar>
              <w:left w:w="70" w:type="dxa"/>
              <w:right w:w="70" w:type="dxa"/>
            </w:tcMar>
            <w:vAlign w:val="center"/>
          </w:tcPr>
          <w:p w14:paraId="09D34EAF">
            <w:pPr>
              <w:keepNext/>
              <w:spacing w:before="20" w:after="20" w:line="260" w:lineRule="exact"/>
              <w:ind w:left="0" w:leftChars="0" w:right="0" w:rightChars="0" w:firstLine="0" w:firstLineChars="0"/>
              <w:jc w:val="center"/>
            </w:pPr>
            <w:r>
              <w:rPr>
                <w:rFonts w:ascii="Times New Roman" w:hAnsi="Times New Roman" w:eastAsia="宋体"/>
                <w:b/>
                <w:sz w:val="18"/>
              </w:rPr>
              <w:t>价格性质</w:t>
            </w:r>
          </w:p>
        </w:tc>
      </w:tr>
      <w:tr w14:paraId="5A9B83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096606C">
            <w:pPr>
              <w:keepNext/>
              <w:spacing w:before="20" w:after="20" w:line="260" w:lineRule="exact"/>
              <w:ind w:left="0" w:leftChars="0" w:right="0" w:rightChars="0" w:firstLine="0" w:firstLineChars="0"/>
              <w:jc w:val="center"/>
            </w:pPr>
            <w:r>
              <w:rPr>
                <w:rFonts w:ascii="Times New Roman" w:hAnsi="Times New Roman" w:eastAsia="宋体"/>
                <w:b w:val="0"/>
                <w:sz w:val="18"/>
              </w:rPr>
              <w:t>苏州</w:t>
            </w:r>
          </w:p>
        </w:tc>
        <w:tc>
          <w:tcPr>
            <w:tcW w:w="1662" w:type="dxa"/>
            <w:tcMar>
              <w:left w:w="70" w:type="dxa"/>
              <w:right w:w="70" w:type="dxa"/>
            </w:tcMar>
            <w:vAlign w:val="center"/>
          </w:tcPr>
          <w:p w14:paraId="4C59E58D">
            <w:pPr>
              <w:keepNext/>
              <w:spacing w:before="20" w:after="20" w:line="260" w:lineRule="exact"/>
              <w:ind w:left="0" w:leftChars="0" w:right="0" w:rightChars="0" w:firstLine="0" w:firstLineChars="0"/>
              <w:jc w:val="center"/>
            </w:pPr>
            <w:r>
              <w:rPr>
                <w:rFonts w:ascii="Times New Roman" w:hAnsi="Times New Roman" w:eastAsia="宋体"/>
                <w:b w:val="0"/>
                <w:sz w:val="18"/>
              </w:rPr>
              <w:t>100 kW/215 kWh</w:t>
            </w:r>
          </w:p>
        </w:tc>
        <w:tc>
          <w:tcPr>
            <w:tcW w:w="1662" w:type="dxa"/>
            <w:tcMar>
              <w:left w:w="70" w:type="dxa"/>
              <w:right w:w="70" w:type="dxa"/>
            </w:tcMar>
            <w:vAlign w:val="center"/>
          </w:tcPr>
          <w:p w14:paraId="793A0A5F">
            <w:pPr>
              <w:keepNext/>
              <w:spacing w:before="20" w:after="20" w:line="260" w:lineRule="exact"/>
              <w:ind w:left="0" w:leftChars="0" w:right="0" w:rightChars="0" w:firstLine="0" w:firstLineChars="0"/>
              <w:jc w:val="center"/>
            </w:pPr>
            <w:r>
              <w:rPr>
                <w:rFonts w:ascii="Times New Roman" w:hAnsi="Times New Roman" w:eastAsia="宋体"/>
                <w:b w:val="0"/>
                <w:sz w:val="18"/>
              </w:rPr>
              <w:t>同公告</w:t>
            </w:r>
          </w:p>
        </w:tc>
        <w:tc>
          <w:tcPr>
            <w:tcW w:w="1662" w:type="dxa"/>
            <w:tcMar>
              <w:left w:w="70" w:type="dxa"/>
              <w:right w:w="70" w:type="dxa"/>
            </w:tcMar>
            <w:vAlign w:val="center"/>
          </w:tcPr>
          <w:p w14:paraId="052DAD30">
            <w:pPr>
              <w:keepNext/>
              <w:spacing w:before="20" w:after="20" w:line="260" w:lineRule="exact"/>
              <w:ind w:left="0" w:leftChars="0" w:right="0" w:rightChars="0" w:firstLine="0" w:firstLineChars="0"/>
              <w:jc w:val="center"/>
            </w:pPr>
            <w:r>
              <w:rPr>
                <w:rFonts w:ascii="Times New Roman" w:hAnsi="Times New Roman" w:eastAsia="宋体"/>
                <w:b w:val="0"/>
                <w:sz w:val="18"/>
              </w:rPr>
              <w:t>27.20</w:t>
            </w:r>
          </w:p>
        </w:tc>
        <w:tc>
          <w:tcPr>
            <w:tcW w:w="1662" w:type="dxa"/>
            <w:tcMar>
              <w:left w:w="70" w:type="dxa"/>
              <w:right w:w="70" w:type="dxa"/>
            </w:tcMar>
            <w:vAlign w:val="center"/>
          </w:tcPr>
          <w:p w14:paraId="2E1B552F">
            <w:pPr>
              <w:keepNext/>
              <w:spacing w:before="20" w:after="20" w:line="260" w:lineRule="exact"/>
              <w:ind w:left="0" w:leftChars="0" w:right="0" w:rightChars="0" w:firstLine="0" w:firstLineChars="0"/>
              <w:jc w:val="center"/>
            </w:pPr>
            <w:r>
              <w:rPr>
                <w:rFonts w:ascii="Times New Roman" w:hAnsi="Times New Roman" w:eastAsia="宋体"/>
                <w:b w:val="0"/>
                <w:sz w:val="18"/>
              </w:rPr>
              <w:t>储能子项最高限价</w:t>
            </w:r>
          </w:p>
        </w:tc>
      </w:tr>
      <w:tr w14:paraId="1C92D9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4D833A5">
            <w:pPr>
              <w:keepNext w:val="0"/>
              <w:spacing w:before="20" w:after="20" w:line="260" w:lineRule="exact"/>
              <w:ind w:left="0" w:leftChars="0" w:right="0" w:rightChars="0" w:firstLine="0" w:firstLineChars="0"/>
              <w:jc w:val="center"/>
            </w:pPr>
            <w:r>
              <w:rPr>
                <w:rFonts w:ascii="Times New Roman" w:hAnsi="Times New Roman" w:eastAsia="宋体"/>
                <w:b w:val="0"/>
                <w:sz w:val="18"/>
              </w:rPr>
              <w:t>浏阳</w:t>
            </w:r>
          </w:p>
        </w:tc>
        <w:tc>
          <w:tcPr>
            <w:tcW w:w="1662" w:type="dxa"/>
            <w:tcMar>
              <w:left w:w="70" w:type="dxa"/>
              <w:right w:w="70" w:type="dxa"/>
            </w:tcMar>
            <w:vAlign w:val="center"/>
          </w:tcPr>
          <w:p w14:paraId="4CB67B00">
            <w:pPr>
              <w:keepNext w:val="0"/>
              <w:spacing w:before="20" w:after="20" w:line="260" w:lineRule="exact"/>
              <w:ind w:left="0" w:leftChars="0" w:right="0" w:rightChars="0" w:firstLine="0" w:firstLineChars="0"/>
              <w:jc w:val="center"/>
            </w:pPr>
            <w:r>
              <w:rPr>
                <w:rFonts w:ascii="Times New Roman" w:hAnsi="Times New Roman" w:eastAsia="宋体"/>
                <w:b w:val="0"/>
                <w:sz w:val="18"/>
              </w:rPr>
              <w:t>1 MW/2.20 MWh</w:t>
            </w:r>
          </w:p>
        </w:tc>
        <w:tc>
          <w:tcPr>
            <w:tcW w:w="1662" w:type="dxa"/>
            <w:tcMar>
              <w:left w:w="70" w:type="dxa"/>
              <w:right w:w="70" w:type="dxa"/>
            </w:tcMar>
            <w:vAlign w:val="center"/>
          </w:tcPr>
          <w:p w14:paraId="675589E7">
            <w:pPr>
              <w:keepNext w:val="0"/>
              <w:spacing w:before="20" w:after="20" w:line="260" w:lineRule="exact"/>
              <w:ind w:left="0" w:leftChars="0" w:right="0" w:rightChars="0" w:firstLine="0" w:firstLineChars="0"/>
              <w:jc w:val="center"/>
            </w:pPr>
            <w:r>
              <w:rPr>
                <w:rFonts w:ascii="Times New Roman" w:hAnsi="Times New Roman" w:eastAsia="宋体"/>
                <w:b w:val="0"/>
                <w:sz w:val="18"/>
              </w:rPr>
              <w:t>最低1 MW/2.15 MWh</w:t>
            </w:r>
          </w:p>
        </w:tc>
        <w:tc>
          <w:tcPr>
            <w:tcW w:w="1662" w:type="dxa"/>
            <w:tcMar>
              <w:left w:w="70" w:type="dxa"/>
              <w:right w:w="70" w:type="dxa"/>
            </w:tcMar>
            <w:vAlign w:val="center"/>
          </w:tcPr>
          <w:p w14:paraId="7C68B2C8">
            <w:pPr>
              <w:keepNext w:val="0"/>
              <w:spacing w:before="20" w:after="20" w:line="260" w:lineRule="exact"/>
              <w:ind w:left="0" w:leftChars="0" w:right="0" w:rightChars="0" w:firstLine="0" w:firstLineChars="0"/>
              <w:jc w:val="center"/>
            </w:pPr>
            <w:r>
              <w:rPr>
                <w:rFonts w:ascii="Times New Roman" w:hAnsi="Times New Roman" w:eastAsia="宋体"/>
                <w:b w:val="0"/>
                <w:sz w:val="18"/>
              </w:rPr>
              <w:t>210.46</w:t>
            </w:r>
          </w:p>
        </w:tc>
        <w:tc>
          <w:tcPr>
            <w:tcW w:w="1662" w:type="dxa"/>
            <w:tcMar>
              <w:left w:w="70" w:type="dxa"/>
              <w:right w:w="70" w:type="dxa"/>
            </w:tcMar>
            <w:vAlign w:val="center"/>
          </w:tcPr>
          <w:p w14:paraId="255E4D4E">
            <w:pPr>
              <w:keepNext w:val="0"/>
              <w:spacing w:before="20" w:after="20" w:line="260" w:lineRule="exact"/>
              <w:ind w:left="0" w:leftChars="0" w:right="0" w:rightChars="0" w:firstLine="0" w:firstLineChars="0"/>
              <w:jc w:val="center"/>
            </w:pPr>
            <w:r>
              <w:rPr>
                <w:rFonts w:ascii="Times New Roman" w:hAnsi="Times New Roman" w:eastAsia="宋体"/>
                <w:b w:val="0"/>
                <w:sz w:val="18"/>
              </w:rPr>
              <w:t>储能项目中标总价</w:t>
            </w:r>
          </w:p>
        </w:tc>
      </w:tr>
    </w:tbl>
    <w:p w14:paraId="23015D95">
      <w:pPr>
        <w:pStyle w:val="5"/>
        <w:keepNext/>
        <w:numPr>
          <w:ilvl w:val="0"/>
          <w:numId w:val="0"/>
        </w:numPr>
        <w:spacing w:before="160" w:after="120" w:line="390" w:lineRule="exact"/>
        <w:ind w:firstLine="0"/>
      </w:pPr>
      <w:bookmarkStart w:id="158" w:name="成套柜单位价格"/>
      <w:r>
        <w:rPr>
          <w:rFonts w:ascii="Times New Roman" w:hAnsi="Times New Roman" w:eastAsia="方正仿宋_GBK"/>
          <w:b/>
          <w:sz w:val="26"/>
        </w:rPr>
        <w:t>4.4.2 成套柜单位价格</w:t>
      </w:r>
      <w:bookmarkEnd w:id="158"/>
    </w:p>
    <w:p w14:paraId="321CE4BA">
      <w:pPr>
        <w:pStyle w:val="115"/>
        <w:widowControl/>
        <w:spacing w:before="0" w:after="0" w:line="348" w:lineRule="exact"/>
        <w:ind w:firstLine="480"/>
        <w:jc w:val="both"/>
      </w:pPr>
      <w:r>
        <w:rPr>
          <w:rFonts w:ascii="Times New Roman" w:hAnsi="Times New Roman" w:eastAsia="方正仿宋_GBK"/>
          <w:b w:val="0"/>
          <w:sz w:val="24"/>
        </w:rPr>
        <w:t>模型将10柜成套项目成交总投资线性折算为21.05万元/柜，再按相同柜型和单位价格进行规模外推，苏州单柜最高限价用于价格对照。</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（4-5）</w:t>
            </w:r>
          </w:p>
        </w:tc>
      </w:tr>
    </w:tbl>
    <w:p w14:paraId="7C40A406">
      <w:pPr>
        <w:pStyle w:val="115"/>
        <w:widowControl/>
        <w:spacing w:before="0" w:after="0" w:line="348" w:lineRule="atLeas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为单柜参考投资，</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iy</m:t>
            </m:r>
          </m:sub>
        </m:sSub>
      </m:oMath>
      <w:r>
        <w:rPr>
          <w:rFonts w:ascii="Times New Roman" w:hAnsi="Times New Roman" w:eastAsia="方正仿宋_GBK"/>
          <w:b w:val="0"/>
          <w:sz w:val="24"/>
        </w:rPr>
        <w:t>为站</w:t>
      </w:r>
      <m:oMath>
        <m:r>
          <m:rPr>
            <m:nor/>
          </m:rPr>
          <w:rPr>
            <w:rFonts w:ascii="Times New Roman" w:hAnsi="Times New Roman" w:eastAsia="方正仿宋_GBK" w:cs="Times New Roman"/>
            <w:i/>
            <w:iCs/>
          </w:rPr>
          <m:t>i</m:t>
        </m:r>
      </m:oMath>
      <w:r>
        <w:rPr>
          <w:rFonts w:ascii="Times New Roman" w:hAnsi="Times New Roman" w:eastAsia="方正仿宋_GBK"/>
          <w:b w:val="0"/>
          <w:sz w:val="24"/>
        </w:rPr>
        <w:t>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年新增储能投资，单位万元；新增柜数</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n</m:t>
        </m:r>
      </m:oMath>
      <w:r>
        <w:rPr>
          <w:rFonts w:ascii="Times New Roman" w:hAnsi="Times New Roman" w:eastAsia="方正仿宋_GBK"/>
          <w:b w:val="0"/>
          <w:sz w:val="24"/>
        </w:rPr>
        <w:t xml:space="preserve">为非负整数；新增功率为 </w:t>
      </w:r>
      <m:oMath>
        <m:r>
          <m:rPr>
            <m:nor/>
            <m:sty m:val="p"/>
          </m:rPr>
          <w:rPr>
            <w:rFonts w:ascii="Times New Roman" w:hAnsi="Times New Roman" w:eastAsia="方正仿宋_GBK" w:cs="Times New Roman"/>
            <w:b w:val="0"/>
            <w:i w:val="0"/>
            <w:iCs w:val="0"/>
          </w:rPr>
          <m:t>0.10Δ</m:t>
        </m:r>
        <m:r>
          <m:rPr>
            <m:nor/>
          </m:rPr>
          <w:rPr>
            <w:rFonts w:ascii="Times New Roman" w:hAnsi="Times New Roman" w:eastAsia="方正仿宋_GBK" w:cs="Times New Roman"/>
            <w:i/>
            <w:iCs/>
          </w:rPr>
          <m:t>n</m:t>
        </m:r>
      </m:oMath>
      <w:r>
        <w:rPr>
          <w:rFonts w:ascii="Times New Roman" w:hAnsi="Times New Roman" w:eastAsia="方正仿宋_GBK"/>
          <w:b w:val="0"/>
          <w:sz w:val="24"/>
        </w:rPr>
        <w:t xml:space="preserve"> MW，新增能量为 </w:t>
      </w:r>
      <m:oMath>
        <m:f>
          <m:fPr/>
          <m:num>
            <m:r>
              <m:rPr>
                <m:nor/>
                <m:sty m:val="p"/>
              </m:rPr>
              <w:rPr>
                <w:rFonts w:ascii="Times New Roman" w:hAnsi="Times New Roman" w:eastAsia="方正仿宋_GBK" w:cs="Times New Roman"/>
                <w:b w:val="0"/>
                <w:i w:val="0"/>
                <w:iCs w:val="0"/>
              </w:rPr>
              <m:t>215Δ</m:t>
            </m:r>
            <m:r>
              <m:rPr>
                <m:nor/>
              </m:rPr>
              <w:rPr>
                <w:rFonts w:ascii="Times New Roman" w:hAnsi="Times New Roman" w:eastAsia="方正仿宋_GBK" w:cs="Times New Roman"/>
                <w:i/>
                <w:iCs/>
              </w:rPr>
              <m:t>n</m:t>
            </m:r>
          </m:num>
          <m:den>
            <m:r>
              <m:rPr>
                <m:nor/>
                <m:sty m:val="p"/>
              </m:rPr>
              <w:rPr>
                <w:rFonts w:ascii="Times New Roman" w:hAnsi="Times New Roman" w:eastAsia="方正仿宋_GBK" w:cs="Times New Roman"/>
                <w:b w:val="0"/>
                <w:i w:val="0"/>
                <w:iCs w:val="0"/>
              </w:rPr>
              <m:t>1000</m:t>
            </m:r>
          </m:den>
        </m:f>
      </m:oMath>
      <w:r>
        <w:rPr>
          <w:rFonts w:ascii="Times New Roman" w:hAnsi="Times New Roman" w:eastAsia="方正仿宋_GBK"/>
          <w:b w:val="0"/>
          <w:sz w:val="24"/>
        </w:rPr>
        <w:t xml:space="preserve"> MWh。按能量折算的成交参考价为2104562.62/2150000≈0.98元/Wh。</w:t>
      </w:r>
    </w:p>
    <w:p w14:paraId="5DEBD2CB">
      <w:pPr>
        <w:pStyle w:val="5"/>
        <w:keepNext/>
        <w:numPr>
          <w:ilvl w:val="0"/>
          <w:numId w:val="0"/>
        </w:numPr>
        <w:spacing w:before="160" w:after="120" w:line="390" w:lineRule="exact"/>
        <w:ind w:firstLine="0"/>
      </w:pPr>
      <w:bookmarkStart w:id="159" w:name="储能有效支撑功率与持续时间"/>
      <w:r>
        <w:rPr>
          <w:rFonts w:ascii="Times New Roman" w:hAnsi="Times New Roman" w:eastAsia="方正仿宋_GBK"/>
          <w:b/>
          <w:sz w:val="26"/>
        </w:rPr>
        <w:t>4.4.3 储能有效支撑功率与持续时间</w:t>
      </w:r>
      <w:bookmarkEnd w:id="159"/>
    </w:p>
    <w:p w14:paraId="40338285">
      <w:pPr>
        <w:pStyle w:val="115"/>
        <w:widowControl/>
        <w:spacing w:before="0" w:after="0" w:line="348" w:lineRule="exact"/>
        <w:ind w:firstLine="480"/>
        <w:jc w:val="both"/>
      </w:pPr>
      <w:r>
        <w:rPr>
          <w:rFonts w:ascii="Times New Roman" w:hAnsi="Times New Roman" w:eastAsia="方正仿宋_GBK"/>
          <w:b w:val="0"/>
          <w:sz w:val="24"/>
        </w:rPr>
        <w:t>储能有效支撑功率同时受额定功率和可用电量限制，取额定功率与可用电量除以支撑持续时间所得功率的较小值。设</w:t>
      </w:r>
      <m:oMath>
        <m:r>
          <m:rPr>
            <m:nor/>
          </m:rPr>
          <w:rPr>
            <w:rFonts w:ascii="Times New Roman" w:hAnsi="Times New Roman" w:eastAsia="方正仿宋_GBK" w:cs="Times New Roman"/>
            <w:i/>
            <w:iCs/>
          </w:rPr>
          <m:t>n</m:t>
        </m:r>
      </m:oMath>
      <w:r>
        <w:rPr>
          <w:rFonts w:ascii="Times New Roman" w:hAnsi="Times New Roman" w:eastAsia="方正仿宋_GBK"/>
          <w:b w:val="0"/>
          <w:sz w:val="24"/>
        </w:rPr>
        <w:t>为储能柜数，</w:t>
      </w:r>
      <m:oMath>
        <m:r>
          <m:rPr>
            <m:nor/>
          </m:rPr>
          <w:rPr>
            <w:rFonts w:ascii="Times New Roman" w:hAnsi="Times New Roman" w:eastAsia="方正仿宋_GBK" w:cs="Times New Roman"/>
            <w:i/>
            <w:iCs/>
          </w:rPr>
          <m:t>H</m:t>
        </m:r>
      </m:oMath>
      <w:r>
        <w:rPr>
          <w:rFonts w:ascii="Times New Roman" w:hAnsi="Times New Roman" w:eastAsia="方正仿宋_GBK"/>
          <w:b w:val="0"/>
          <w:sz w:val="24"/>
        </w:rPr>
        <w:t>为支撑持续时间，可用电量系数取0.76，则有：</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（4-6）</w:t>
            </w:r>
          </w:p>
        </w:tc>
      </w:tr>
    </w:tbl>
    <w:p w14:paraId="3BD66FBA">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n</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H</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单位为MW，单柜额定能量为215.00 kWh，额定功率为100.00 kW，</w:t>
      </w:r>
      <m:oMath>
        <m:r>
          <m:rPr>
            <m:nor/>
          </m:rPr>
          <w:rPr>
            <w:rFonts w:ascii="Times New Roman" w:hAnsi="Times New Roman" w:eastAsia="方正仿宋_GBK" w:cs="Times New Roman"/>
            <w:i/>
            <w:iCs/>
          </w:rPr>
          <m:t>H</m:t>
        </m:r>
      </m:oMath>
      <w:r>
        <w:rPr>
          <w:rFonts w:ascii="Times New Roman" w:hAnsi="Times New Roman" w:eastAsia="方正仿宋_GBK"/>
          <w:b w:val="0"/>
          <w:sz w:val="24"/>
        </w:rPr>
        <w:t>单位为h。正向支撑和反向吸收分别使用相应持续时间。</w:t>
      </w:r>
    </w:p>
    <w:p w14:paraId="70361568">
      <w:pPr>
        <w:pStyle w:val="2"/>
        <w:keepNext/>
        <w:spacing w:before="120" w:after="80" w:line="280" w:lineRule="exact"/>
        <w:ind w:firstLine="0"/>
        <w:jc w:val="center"/>
      </w:pPr>
      <w:r>
        <w:rPr>
          <w:rFonts w:ascii="Times New Roman" w:hAnsi="Times New Roman" w:eastAsia="宋体"/>
          <w:b w:val="0"/>
          <w:sz w:val="21"/>
        </w:rPr>
        <w:t>表4-5 持续时间与储能有效功率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086FA4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2A9608B">
            <w:pPr>
              <w:keepNext/>
              <w:spacing w:before="20" w:after="20" w:line="260" w:lineRule="exact"/>
              <w:ind w:left="0" w:leftChars="0" w:right="0" w:rightChars="0" w:firstLine="0" w:firstLineChars="0"/>
              <w:jc w:val="center"/>
            </w:pPr>
            <w:r>
              <w:rPr>
                <w:rFonts w:ascii="Times New Roman" w:hAnsi="Times New Roman" w:eastAsia="宋体"/>
                <w:b/>
                <w:sz w:val="18"/>
              </w:rPr>
              <w:t>储能支撑持续时间/h</w:t>
            </w:r>
          </w:p>
        </w:tc>
        <w:tc>
          <w:tcPr>
            <w:tcW w:w="1662" w:type="dxa"/>
            <w:tcMar>
              <w:left w:w="70" w:type="dxa"/>
              <w:right w:w="70" w:type="dxa"/>
            </w:tcMar>
            <w:vAlign w:val="center"/>
          </w:tcPr>
          <w:p w14:paraId="3E00BC8E">
            <w:pPr>
              <w:keepNext/>
              <w:spacing w:before="20" w:after="20" w:line="260" w:lineRule="exact"/>
              <w:ind w:left="0" w:leftChars="0" w:right="0" w:rightChars="0" w:firstLine="0" w:firstLineChars="0"/>
              <w:jc w:val="center"/>
            </w:pPr>
            <w:r>
              <w:rPr>
                <w:rFonts w:ascii="Times New Roman" w:hAnsi="Times New Roman" w:eastAsia="宋体"/>
                <w:b/>
                <w:sz w:val="18"/>
              </w:rPr>
              <w:t>10柜额定能量/MWh</w:t>
            </w:r>
          </w:p>
        </w:tc>
        <w:tc>
          <w:tcPr>
            <w:tcW w:w="1662" w:type="dxa"/>
            <w:tcMar>
              <w:left w:w="70" w:type="dxa"/>
              <w:right w:w="70" w:type="dxa"/>
            </w:tcMar>
            <w:vAlign w:val="center"/>
          </w:tcPr>
          <w:p w14:paraId="070D4EED">
            <w:pPr>
              <w:keepNext/>
              <w:spacing w:before="20" w:after="20" w:line="260" w:lineRule="exact"/>
              <w:ind w:left="0" w:leftChars="0" w:right="0" w:rightChars="0" w:firstLine="0" w:firstLineChars="0"/>
              <w:jc w:val="center"/>
            </w:pPr>
            <w:r>
              <w:rPr>
                <w:rFonts w:ascii="Times New Roman" w:hAnsi="Times New Roman" w:eastAsia="宋体"/>
                <w:b/>
                <w:sz w:val="18"/>
              </w:rPr>
              <w:t>可用电量系数</w:t>
            </w:r>
          </w:p>
        </w:tc>
        <w:tc>
          <w:tcPr>
            <w:tcW w:w="1662" w:type="dxa"/>
            <w:tcMar>
              <w:left w:w="70" w:type="dxa"/>
              <w:right w:w="70" w:type="dxa"/>
            </w:tcMar>
            <w:vAlign w:val="center"/>
          </w:tcPr>
          <w:p w14:paraId="156228D5">
            <w:pPr>
              <w:keepNext/>
              <w:spacing w:before="20" w:after="20" w:line="260" w:lineRule="exact"/>
              <w:ind w:left="0" w:leftChars="0" w:right="0" w:rightChars="0" w:firstLine="0" w:firstLineChars="0"/>
              <w:jc w:val="center"/>
            </w:pPr>
            <w:r>
              <w:rPr>
                <w:rFonts w:ascii="Times New Roman" w:hAnsi="Times New Roman" w:eastAsia="宋体"/>
                <w:b/>
                <w:sz w:val="18"/>
              </w:rPr>
              <w:t>储能有效支撑功率/MW</w:t>
            </w:r>
          </w:p>
        </w:tc>
        <w:tc>
          <w:tcPr>
            <w:tcW w:w="1662" w:type="dxa"/>
            <w:tcMar>
              <w:left w:w="70" w:type="dxa"/>
              <w:right w:w="70" w:type="dxa"/>
            </w:tcMar>
            <w:vAlign w:val="center"/>
          </w:tcPr>
          <w:p w14:paraId="078A2786">
            <w:pPr>
              <w:keepNext/>
              <w:spacing w:before="20" w:after="20" w:line="260" w:lineRule="exact"/>
              <w:ind w:left="0" w:leftChars="0" w:right="0" w:rightChars="0" w:firstLine="0" w:firstLineChars="0"/>
              <w:jc w:val="center"/>
            </w:pPr>
            <w:r>
              <w:rPr>
                <w:rFonts w:ascii="Times New Roman" w:hAnsi="Times New Roman" w:eastAsia="宋体"/>
                <w:b/>
                <w:sz w:val="18"/>
              </w:rPr>
              <w:t>单位有效功率投资/万元·MW⁻¹</w:t>
            </w:r>
          </w:p>
        </w:tc>
      </w:tr>
      <w:tr w14:paraId="0AF7F3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A4C68B4">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6E6EF6DF">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14A1CFCE">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5D59F0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082A3417">
            <w:pPr>
              <w:keepNext/>
              <w:spacing w:before="20" w:after="20" w:line="260" w:lineRule="exact"/>
              <w:ind w:left="0" w:leftChars="0" w:right="0" w:rightChars="0" w:firstLine="0" w:firstLineChars="0"/>
              <w:jc w:val="center"/>
            </w:pPr>
            <w:r>
              <w:rPr>
                <w:rFonts w:ascii="Times New Roman" w:hAnsi="Times New Roman" w:eastAsia="宋体"/>
                <w:b w:val="0"/>
                <w:sz w:val="18"/>
              </w:rPr>
              <w:t>210.46</w:t>
            </w:r>
          </w:p>
        </w:tc>
      </w:tr>
      <w:tr w14:paraId="7B6394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570750A">
            <w:pPr>
              <w:keepNext/>
              <w:spacing w:before="20" w:after="20" w:line="260" w:lineRule="exact"/>
              <w:ind w:left="0" w:leftChars="0" w:right="0" w:rightChars="0" w:firstLine="0" w:firstLineChars="0"/>
              <w:jc w:val="center"/>
            </w:pPr>
            <w:r>
              <w:rPr>
                <w:rFonts w:ascii="Times New Roman" w:hAnsi="Times New Roman" w:eastAsia="宋体"/>
                <w:b w:val="0"/>
                <w:sz w:val="18"/>
              </w:rPr>
              <w:t>2.00</w:t>
            </w:r>
          </w:p>
        </w:tc>
        <w:tc>
          <w:tcPr>
            <w:tcW w:w="1662" w:type="dxa"/>
            <w:tcMar>
              <w:left w:w="70" w:type="dxa"/>
              <w:right w:w="70" w:type="dxa"/>
            </w:tcMar>
            <w:vAlign w:val="center"/>
          </w:tcPr>
          <w:p w14:paraId="06123445">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0A33E717">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7A162A8">
            <w:pPr>
              <w:keepNext/>
              <w:spacing w:before="20" w:after="20" w:line="260" w:lineRule="exact"/>
              <w:ind w:left="0" w:leftChars="0" w:right="0" w:rightChars="0" w:firstLine="0" w:firstLineChars="0"/>
              <w:jc w:val="center"/>
            </w:pPr>
            <w:r>
              <w:rPr>
                <w:rFonts w:ascii="Times New Roman" w:hAnsi="Times New Roman" w:eastAsia="宋体"/>
                <w:b w:val="0"/>
                <w:sz w:val="18"/>
              </w:rPr>
              <w:t>0.82</w:t>
            </w:r>
          </w:p>
        </w:tc>
        <w:tc>
          <w:tcPr>
            <w:tcW w:w="1662" w:type="dxa"/>
            <w:tcMar>
              <w:left w:w="70" w:type="dxa"/>
              <w:right w:w="70" w:type="dxa"/>
            </w:tcMar>
            <w:vAlign w:val="center"/>
          </w:tcPr>
          <w:p w14:paraId="6EE225D8">
            <w:pPr>
              <w:keepNext/>
              <w:spacing w:before="20" w:after="20" w:line="260" w:lineRule="exact"/>
              <w:ind w:left="0" w:leftChars="0" w:right="0" w:rightChars="0" w:firstLine="0" w:firstLineChars="0"/>
              <w:jc w:val="center"/>
            </w:pPr>
            <w:r>
              <w:rPr>
                <w:rFonts w:ascii="Times New Roman" w:hAnsi="Times New Roman" w:eastAsia="宋体"/>
                <w:b w:val="0"/>
                <w:sz w:val="18"/>
              </w:rPr>
              <w:t>257.60</w:t>
            </w:r>
          </w:p>
        </w:tc>
      </w:tr>
      <w:tr w14:paraId="0D1AA8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034B483">
            <w:pPr>
              <w:keepNext/>
              <w:spacing w:before="20" w:after="20" w:line="260" w:lineRule="exact"/>
              <w:ind w:left="0" w:leftChars="0" w:right="0" w:rightChars="0" w:firstLine="0" w:firstLineChars="0"/>
              <w:jc w:val="center"/>
            </w:pPr>
            <w:r>
              <w:rPr>
                <w:rFonts w:ascii="Times New Roman" w:hAnsi="Times New Roman" w:eastAsia="宋体"/>
                <w:b w:val="0"/>
                <w:sz w:val="18"/>
              </w:rPr>
              <w:t>4.00</w:t>
            </w:r>
          </w:p>
        </w:tc>
        <w:tc>
          <w:tcPr>
            <w:tcW w:w="1662" w:type="dxa"/>
            <w:tcMar>
              <w:left w:w="70" w:type="dxa"/>
              <w:right w:w="70" w:type="dxa"/>
            </w:tcMar>
            <w:vAlign w:val="center"/>
          </w:tcPr>
          <w:p w14:paraId="436C8AB6">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6CFB99CC">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52F3DDE">
            <w:pPr>
              <w:keepNext/>
              <w:spacing w:before="20" w:after="20" w:line="260" w:lineRule="exact"/>
              <w:ind w:left="0" w:leftChars="0" w:right="0" w:rightChars="0" w:firstLine="0" w:firstLineChars="0"/>
              <w:jc w:val="center"/>
            </w:pPr>
            <w:r>
              <w:rPr>
                <w:rFonts w:ascii="Times New Roman" w:hAnsi="Times New Roman" w:eastAsia="宋体"/>
                <w:b w:val="0"/>
                <w:sz w:val="18"/>
              </w:rPr>
              <w:t>0.41</w:t>
            </w:r>
          </w:p>
        </w:tc>
        <w:tc>
          <w:tcPr>
            <w:tcW w:w="1662" w:type="dxa"/>
            <w:tcMar>
              <w:left w:w="70" w:type="dxa"/>
              <w:right w:w="70" w:type="dxa"/>
            </w:tcMar>
            <w:vAlign w:val="center"/>
          </w:tcPr>
          <w:p w14:paraId="1579F0D4">
            <w:pPr>
              <w:keepNext/>
              <w:spacing w:before="20" w:after="20" w:line="260" w:lineRule="exact"/>
              <w:ind w:left="0" w:leftChars="0" w:right="0" w:rightChars="0" w:firstLine="0" w:firstLineChars="0"/>
              <w:jc w:val="center"/>
            </w:pPr>
            <w:r>
              <w:rPr>
                <w:rFonts w:ascii="Times New Roman" w:hAnsi="Times New Roman" w:eastAsia="宋体"/>
                <w:b w:val="0"/>
                <w:sz w:val="18"/>
              </w:rPr>
              <w:t>515.19</w:t>
            </w:r>
          </w:p>
        </w:tc>
      </w:tr>
      <w:tr w14:paraId="418354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366B6D5">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A5B0B4A">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288E088A">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27E1BE7D">
            <w:pPr>
              <w:keepNext/>
              <w:spacing w:before="20" w:after="20" w:line="260" w:lineRule="exact"/>
              <w:ind w:left="0" w:leftChars="0" w:right="0" w:rightChars="0" w:firstLine="0" w:firstLineChars="0"/>
              <w:jc w:val="center"/>
            </w:pPr>
            <w:r>
              <w:rPr>
                <w:rFonts w:ascii="Times New Roman" w:hAnsi="Times New Roman" w:eastAsia="宋体"/>
                <w:b w:val="0"/>
                <w:sz w:val="18"/>
              </w:rPr>
              <w:t>0.27</w:t>
            </w:r>
          </w:p>
        </w:tc>
        <w:tc>
          <w:tcPr>
            <w:tcW w:w="1662" w:type="dxa"/>
            <w:tcMar>
              <w:left w:w="70" w:type="dxa"/>
              <w:right w:w="70" w:type="dxa"/>
            </w:tcMar>
            <w:vAlign w:val="center"/>
          </w:tcPr>
          <w:p w14:paraId="03AEAF84">
            <w:pPr>
              <w:keepNext/>
              <w:spacing w:before="20" w:after="20" w:line="260" w:lineRule="exact"/>
              <w:ind w:left="0" w:leftChars="0" w:right="0" w:rightChars="0" w:firstLine="0" w:firstLineChars="0"/>
              <w:jc w:val="center"/>
            </w:pPr>
            <w:r>
              <w:rPr>
                <w:rFonts w:ascii="Times New Roman" w:hAnsi="Times New Roman" w:eastAsia="宋体"/>
                <w:b w:val="0"/>
                <w:sz w:val="18"/>
              </w:rPr>
              <w:t>772.79</w:t>
            </w:r>
          </w:p>
        </w:tc>
      </w:tr>
      <w:tr w14:paraId="43375B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CDC4BBE">
            <w:pPr>
              <w:keepNext w:val="0"/>
              <w:spacing w:before="20" w:after="20" w:line="260" w:lineRule="exact"/>
              <w:ind w:left="0" w:leftChars="0" w:right="0" w:rightChars="0" w:firstLine="0" w:firstLineChars="0"/>
              <w:jc w:val="center"/>
            </w:pPr>
            <w:r>
              <w:rPr>
                <w:rFonts w:ascii="Times New Roman" w:hAnsi="Times New Roman" w:eastAsia="宋体"/>
                <w:b w:val="0"/>
                <w:sz w:val="18"/>
              </w:rPr>
              <w:t>8.00</w:t>
            </w:r>
          </w:p>
        </w:tc>
        <w:tc>
          <w:tcPr>
            <w:tcW w:w="1662" w:type="dxa"/>
            <w:tcMar>
              <w:left w:w="70" w:type="dxa"/>
              <w:right w:w="70" w:type="dxa"/>
            </w:tcMar>
            <w:vAlign w:val="center"/>
          </w:tcPr>
          <w:p w14:paraId="7B26F3C3">
            <w:pPr>
              <w:keepNext w:val="0"/>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2B75FC01">
            <w:pPr>
              <w:keepNext w:val="0"/>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3882C889">
            <w:pPr>
              <w:keepNext w:val="0"/>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662" w:type="dxa"/>
            <w:tcMar>
              <w:left w:w="70" w:type="dxa"/>
              <w:right w:w="70" w:type="dxa"/>
            </w:tcMar>
            <w:vAlign w:val="center"/>
          </w:tcPr>
          <w:p w14:paraId="3ED2032B">
            <w:pPr>
              <w:keepNext w:val="0"/>
              <w:spacing w:before="20" w:after="20" w:line="260" w:lineRule="exact"/>
              <w:ind w:left="0" w:leftChars="0" w:right="0" w:rightChars="0" w:firstLine="0" w:firstLineChars="0"/>
              <w:jc w:val="center"/>
            </w:pPr>
            <w:r>
              <w:rPr>
                <w:rFonts w:ascii="Times New Roman" w:hAnsi="Times New Roman" w:eastAsia="宋体"/>
                <w:b w:val="0"/>
                <w:sz w:val="18"/>
              </w:rPr>
              <w:t>1030.39</w:t>
            </w:r>
          </w:p>
        </w:tc>
      </w:tr>
    </w:tbl>
    <w:p w14:paraId="44851714">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560320"/>
            <wp:effectExtent l="0" t="0" r="0" b="0"/>
            <wp:docPr id="4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pic:cNvPicPr>
                      <a:picLocks noChangeAspect="1" noChangeArrowheads="1"/>
                    </pic:cNvPicPr>
                  </pic:nvPicPr>
                  <pic:blipFill>
                    <a:blip r:embed="rId33"/>
                    <a:stretch>
                      <a:fillRect/>
                    </a:stretch>
                  </pic:blipFill>
                  <pic:spPr>
                    <a:xfrm>
                      <a:off x="0" y="0"/>
                      <a:ext cx="5120640" cy="2560320"/>
                    </a:xfrm>
                    <a:prstGeom prst="rect">
                      <a:avLst/>
                    </a:prstGeom>
                    <a:noFill/>
                    <a:ln w="9525">
                      <a:noFill/>
                    </a:ln>
                  </pic:spPr>
                </pic:pic>
              </a:graphicData>
            </a:graphic>
          </wp:inline>
        </w:drawing>
      </w:r>
    </w:p>
    <w:p w14:paraId="55014636">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图4-4 储能单位有效支撑功率投资与持续时间</w:t>
      </w:r>
    </w:p>
    <w:p w14:paraId="68AC0993">
      <w:pPr>
        <w:pStyle w:val="2"/>
        <w:widowControl/>
        <w:spacing w:before="0" w:after="0" w:line="348" w:lineRule="exact"/>
        <w:ind w:firstLine="480"/>
        <w:jc w:val="both"/>
      </w:pPr>
      <w:r>
        <w:rPr>
          <w:rFonts w:ascii="Times New Roman" w:hAnsi="Times New Roman" w:eastAsia="方正仿宋_GBK"/>
          <w:b w:val="0"/>
          <w:sz w:val="24"/>
        </w:rPr>
        <w:t>为将有效功率与设备采购对应，可固定1.00 MW连续支撑任务，分别核算各时长所需的整数柜数。在相同100.00 kW/215.00 kWh柜型及0.76可用电量系数下，1.00、2.00、4.00、6.00、8.00 h分别需要10、13、25、37、49柜。1.00 h时由额定功率限制，所需配置的有效支撑功率为1.00 MW。较长时长主要受可用电量限制，柜数取整后形成略高于1.00 MW的可用支撑。下图上部列柜数，下部列对应额定功率和能量，用于解释给定功率缺口怎样转换为采购规模。实际方案中的缺口幅度由网络与主变校核确定，再按相同关系计取储能配置。</w:t>
      </w:r>
    </w:p>
    <w:p w14:paraId="1C3341DD">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668520"/>
            <wp:effectExtent l="0" t="0" r="0" b="0"/>
            <wp:docPr id="4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a:picLocks noChangeAspect="1" noChangeArrowheads="1"/>
                    </pic:cNvPicPr>
                  </pic:nvPicPr>
                  <pic:blipFill>
                    <a:blip r:embed="rId34"/>
                    <a:stretch>
                      <a:fillRect/>
                    </a:stretch>
                  </pic:blipFill>
                  <pic:spPr>
                    <a:xfrm>
                      <a:off x="0" y="0"/>
                      <a:ext cx="5120640" cy="4668818"/>
                    </a:xfrm>
                    <a:prstGeom prst="rect">
                      <a:avLst/>
                    </a:prstGeom>
                    <a:noFill/>
                    <a:ln w="9525">
                      <a:noFill/>
                    </a:ln>
                  </pic:spPr>
                </pic:pic>
              </a:graphicData>
            </a:graphic>
          </wp:inline>
        </w:drawing>
      </w:r>
    </w:p>
    <w:p w14:paraId="11D76905">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图4-5 1 MW连续支撑任务对应的储能成套柜配置</w:t>
      </w:r>
    </w:p>
    <w:p w14:paraId="48F1372F">
      <w:pPr>
        <w:pStyle w:val="5"/>
        <w:keepNext/>
        <w:numPr>
          <w:ilvl w:val="0"/>
          <w:numId w:val="0"/>
        </w:numPr>
        <w:spacing w:before="160" w:after="120" w:line="390" w:lineRule="exact"/>
        <w:ind w:firstLine="0"/>
      </w:pPr>
      <w:bookmarkStart w:id="160" w:name="可用能力与工程适用性"/>
      <w:r>
        <w:rPr>
          <w:rFonts w:ascii="Times New Roman" w:hAnsi="Times New Roman" w:eastAsia="方正仿宋_GBK"/>
          <w:b/>
          <w:sz w:val="26"/>
        </w:rPr>
        <w:t>4.4.4 可用能力与工程适用性</w:t>
      </w:r>
      <w:bookmarkEnd w:id="160"/>
    </w:p>
    <w:p w14:paraId="7CA49AFE">
      <w:pPr>
        <w:pStyle w:val="115"/>
        <w:widowControl/>
        <w:spacing w:before="0" w:after="0" w:line="348" w:lineRule="exact"/>
        <w:ind w:firstLine="480"/>
        <w:jc w:val="both"/>
      </w:pPr>
      <w:r>
        <w:rPr>
          <w:rFonts w:ascii="Times New Roman" w:hAnsi="Times New Roman" w:eastAsia="方正仿宋_GBK"/>
          <w:b w:val="0"/>
          <w:sz w:val="24"/>
        </w:rPr>
        <w:t>可用电量系数用于第3.4.5节所述静态比选，正向支撑对应可放电电量，反向吸收对应可充电空间。工程应用时，应结合保证可用电量、充放电效率、充电条件及恢复时间核定两方向的支撑能力。</w:t>
      </w:r>
    </w:p>
    <w:p w14:paraId="48A10193">
      <w:pPr>
        <w:pStyle w:val="4"/>
        <w:keepNext/>
        <w:numPr>
          <w:ilvl w:val="0"/>
          <w:numId w:val="0"/>
        </w:numPr>
        <w:spacing w:before="160" w:after="120" w:line="480" w:lineRule="exact"/>
        <w:ind w:firstLine="0"/>
      </w:pPr>
      <w:bookmarkStart w:id="322" w:name="Report1017_h562"/>
      <w:bookmarkEnd w:id="322"/>
      <w:bookmarkStart w:id="161" w:name="参数变化与措施费用的联系"/>
      <w:bookmarkStart w:id="162" w:name="h562"/>
      <w:r>
        <w:rPr>
          <w:rFonts w:ascii="Times New Roman" w:hAnsi="Times New Roman" w:eastAsia="方正仿宋_GBK"/>
          <w:b/>
          <w:sz w:val="32"/>
        </w:rPr>
        <w:t>4.5 参数变化与措施费用的联系</w:t>
      </w:r>
      <w:bookmarkEnd w:id="161"/>
      <w:bookmarkEnd w:id="162"/>
    </w:p>
    <w:p w14:paraId="15BEF14A">
      <w:pPr>
        <w:pStyle w:val="5"/>
        <w:keepNext/>
        <w:numPr>
          <w:ilvl w:val="0"/>
          <w:numId w:val="0"/>
        </w:numPr>
        <w:spacing w:before="160" w:after="120" w:line="390" w:lineRule="exact"/>
        <w:ind w:firstLine="0"/>
      </w:pPr>
      <w:bookmarkStart w:id="163" w:name="电缆长度占比与联络费用"/>
      <w:r>
        <w:rPr>
          <w:rFonts w:ascii="Times New Roman" w:hAnsi="Times New Roman" w:eastAsia="方正仿宋_GBK"/>
          <w:b/>
          <w:sz w:val="26"/>
        </w:rPr>
        <w:t>4.5.1 电缆长度占比与联络费用</w:t>
      </w:r>
      <w:bookmarkEnd w:id="163"/>
    </w:p>
    <w:p w14:paraId="11116CE2">
      <w:pPr>
        <w:pStyle w:val="115"/>
        <w:widowControl/>
        <w:spacing w:before="0" w:after="0" w:line="348" w:lineRule="exact"/>
        <w:ind w:firstLine="480"/>
        <w:jc w:val="both"/>
      </w:pPr>
      <w:r>
        <w:rPr>
          <w:rFonts w:ascii="Times New Roman" w:hAnsi="Times New Roman" w:eastAsia="方正仿宋_GBK"/>
          <w:b w:val="0"/>
          <w:sz w:val="24"/>
        </w:rPr>
        <w:t>电缆长度占比取10%、30%、50%、80%、90%，单项联络长度3 km和固定接入费6万元保持一致。按第4.3节计价关系，占比提高增加单位长度造价；初始转供率则决定既有网络能力，两项分别进入工程费用与技术约束。</w:t>
      </w:r>
    </w:p>
    <w:p w14:paraId="636150FB">
      <w:pPr>
        <w:pStyle w:val="2"/>
        <w:widowControl/>
        <w:spacing w:before="0" w:after="0" w:line="348" w:lineRule="exact"/>
        <w:ind w:firstLine="480"/>
        <w:jc w:val="both"/>
      </w:pPr>
      <w:r>
        <w:rPr>
          <w:rFonts w:ascii="Times New Roman" w:hAnsi="Times New Roman" w:eastAsia="方正仿宋_GBK"/>
          <w:b w:val="0"/>
          <w:sz w:val="24"/>
        </w:rPr>
        <w:t>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14:paraId="329952BB">
      <w:pPr>
        <w:pStyle w:val="2"/>
        <w:widowControl/>
        <w:spacing w:before="0" w:after="0" w:line="348" w:lineRule="exact"/>
        <w:ind w:firstLine="480"/>
        <w:jc w:val="both"/>
      </w:pPr>
      <w:r>
        <w:rPr>
          <w:rFonts w:ascii="Times New Roman" w:hAnsi="Times New Roman" w:eastAsia="方正仿宋_GBK"/>
          <w:b w:val="0"/>
          <w:sz w:val="24"/>
        </w:rPr>
        <w:t>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14:paraId="05CB6779">
      <w:pPr>
        <w:pStyle w:val="5"/>
        <w:keepNext/>
        <w:numPr>
          <w:ilvl w:val="0"/>
          <w:numId w:val="0"/>
        </w:numPr>
        <w:spacing w:before="160" w:after="120" w:line="390" w:lineRule="exact"/>
        <w:ind w:firstLine="0"/>
      </w:pPr>
      <w:bookmarkStart w:id="164" w:name="储能支撑时间与配置费用"/>
      <w:r>
        <w:rPr>
          <w:rFonts w:ascii="Times New Roman" w:hAnsi="Times New Roman" w:eastAsia="方正仿宋_GBK"/>
          <w:b/>
          <w:sz w:val="26"/>
        </w:rPr>
        <w:t>4.5.2 储能支撑时间与配置费用</w:t>
      </w:r>
      <w:bookmarkEnd w:id="164"/>
    </w:p>
    <w:p w14:paraId="2F79C183">
      <w:pPr>
        <w:pStyle w:val="115"/>
        <w:widowControl/>
        <w:spacing w:before="0" w:after="0" w:line="348" w:lineRule="exact"/>
        <w:ind w:firstLine="480"/>
        <w:jc w:val="both"/>
      </w:pPr>
      <w:r>
        <w:rPr>
          <w:rFonts w:ascii="Times New Roman" w:hAnsi="Times New Roman" w:eastAsia="方正仿宋_GBK"/>
          <w:b w:val="0"/>
          <w:sz w:val="24"/>
        </w:rPr>
        <w:t>储能采用100 kW/215 kWh成套柜及统一单柜参考投资，推广支撑持续时间取2、4、6 h。持续时间延长时，相同柜数的有效支撑功率降低，满足给定缺口需要增加柜数或改用主变、联络措施。新增柜数及投运年共同决定费用。</w:t>
      </w:r>
    </w:p>
    <w:p w14:paraId="6FE9E346">
      <w:pPr>
        <w:pStyle w:val="2"/>
        <w:widowControl/>
        <w:spacing w:before="0" w:after="0" w:line="348" w:lineRule="exact"/>
        <w:ind w:firstLine="480"/>
        <w:jc w:val="both"/>
      </w:pPr>
      <w:r>
        <w:rPr>
          <w:rFonts w:ascii="Times New Roman" w:hAnsi="Times New Roman" w:eastAsia="方正仿宋_GBK"/>
          <w:b w:val="0"/>
          <w:sz w:val="24"/>
        </w:rPr>
        <w:t>以额定功率1.00 MW、额定能量2.15 MWh的储能配置为例，2.00、4.00、6.00 h下有效支撑功率分别为0.82、0.41、0.27 MW。按本章成套采购价格折算，每MW有效支撑对应的初始投资约为257.60、515.19、772.79万元。相同设备铭牌功率下，支撑时间越长，可供比较的有效功率越小，单位支撑费用越高[87]。项目投资仍按整数柜计算，以上单位值用于解释方案差异。</w:t>
      </w:r>
    </w:p>
    <w:p w14:paraId="7AD2889F">
      <w:pPr>
        <w:pStyle w:val="2"/>
        <w:widowControl/>
        <w:spacing w:before="0" w:after="0" w:line="348" w:lineRule="exact"/>
        <w:ind w:firstLine="480"/>
        <w:jc w:val="both"/>
      </w:pPr>
      <w:r>
        <w:rPr>
          <w:rFonts w:ascii="Times New Roman" w:hAnsi="Times New Roman" w:eastAsia="方正仿宋_GBK"/>
          <w:b w:val="0"/>
          <w:sz w:val="24"/>
        </w:rPr>
        <w:t>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14:paraId="672DE075">
      <w:pPr>
        <w:pStyle w:val="5"/>
        <w:keepNext/>
        <w:numPr>
          <w:ilvl w:val="0"/>
          <w:numId w:val="0"/>
        </w:numPr>
        <w:spacing w:before="160" w:after="120" w:line="390" w:lineRule="exact"/>
        <w:ind w:firstLine="0"/>
      </w:pPr>
      <w:bookmarkStart w:id="165" w:name="三类措施的经济比较"/>
      <w:r>
        <w:rPr>
          <w:rFonts w:ascii="Times New Roman" w:hAnsi="Times New Roman" w:eastAsia="方正仿宋_GBK"/>
          <w:b/>
          <w:sz w:val="26"/>
        </w:rPr>
        <w:t>4.5.3 三类措施的经济比较</w:t>
      </w:r>
      <w:bookmarkEnd w:id="165"/>
    </w:p>
    <w:p w14:paraId="3296AA79">
      <w:pPr>
        <w:pStyle w:val="115"/>
        <w:widowControl/>
        <w:spacing w:before="0" w:after="0" w:line="348" w:lineRule="exact"/>
        <w:ind w:firstLine="480"/>
        <w:jc w:val="both"/>
      </w:pPr>
      <w:r>
        <w:rPr>
          <w:rFonts w:ascii="Times New Roman" w:hAnsi="Times New Roman" w:eastAsia="方正仿宋_GBK"/>
          <w:b w:val="0"/>
          <w:sz w:val="24"/>
        </w:rPr>
        <w:t>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[10,33,35]。</w:t>
      </w:r>
    </w:p>
    <w:p w14:paraId="5A6CD9AF">
      <w:pPr>
        <w:pStyle w:val="2"/>
        <w:widowControl/>
        <w:spacing w:before="0" w:after="0" w:line="348" w:lineRule="exact"/>
        <w:ind w:firstLine="480"/>
        <w:jc w:val="both"/>
      </w:pPr>
      <w:r>
        <w:rPr>
          <w:rFonts w:ascii="Times New Roman" w:hAnsi="Times New Roman" w:eastAsia="方正仿宋_GBK"/>
          <w:b w:val="0"/>
          <w:sz w:val="24"/>
        </w:rPr>
        <w:t>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14:paraId="43F5D22E">
      <w:pPr>
        <w:pStyle w:val="2"/>
        <w:widowControl/>
        <w:spacing w:before="0" w:after="0" w:line="348" w:lineRule="exact"/>
        <w:ind w:firstLine="480"/>
        <w:jc w:val="both"/>
      </w:pPr>
      <w:r>
        <w:rPr>
          <w:rFonts w:ascii="Times New Roman" w:hAnsi="Times New Roman" w:eastAsia="方正仿宋_GBK"/>
          <w:b w:val="0"/>
          <w:sz w:val="24"/>
        </w:rPr>
        <w:t>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14:paraId="09DBAC8A">
      <w:pPr>
        <w:pStyle w:val="5"/>
        <w:keepNext/>
        <w:numPr>
          <w:ilvl w:val="0"/>
          <w:numId w:val="0"/>
        </w:numPr>
        <w:spacing w:before="160" w:after="120" w:line="390" w:lineRule="exact"/>
        <w:ind w:firstLine="0"/>
      </w:pPr>
      <w:bookmarkStart w:id="166" w:name="主变与线路储能的单位功率投资比"/>
      <w:r>
        <w:rPr>
          <w:rFonts w:ascii="Times New Roman" w:hAnsi="Times New Roman" w:eastAsia="方正仿宋_GBK"/>
          <w:b/>
          <w:sz w:val="26"/>
        </w:rPr>
        <w:t>4.5.4 主变与线路、储能的单位功率投资比</w:t>
      </w:r>
      <w:bookmarkEnd w:id="166"/>
    </w:p>
    <w:p w14:paraId="41694493">
      <w:pPr>
        <w:pStyle w:val="115"/>
        <w:widowControl/>
        <w:spacing w:before="0" w:after="0" w:line="348" w:lineRule="exact"/>
        <w:ind w:firstLine="480"/>
        <w:jc w:val="both"/>
      </w:pPr>
      <w:r>
        <w:rPr>
          <w:rFonts w:ascii="Times New Roman" w:hAnsi="Times New Roman" w:eastAsia="方正仿宋_GBK"/>
          <w:b w:val="0"/>
          <w:sz w:val="24"/>
        </w:rPr>
        <w:t>主变与线路单位功率投资比定义为</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TL</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L</m:t>
            </m:r>
          </m:sub>
          <m:sup>
            <m:r>
              <m:rPr>
                <m:nor/>
              </m:rPr>
              <w:rPr>
                <w:rFonts w:ascii="Times New Roman" w:hAnsi="Times New Roman" w:eastAsia="方正仿宋_GBK" w:cs="Times New Roman"/>
                <w:i/>
                <w:iCs/>
              </w:rPr>
              <m:t>P</m:t>
            </m:r>
          </m:sup>
        </m:sSubSup>
      </m:oMath>
      <w:r>
        <w:rPr>
          <w:rFonts w:ascii="Times New Roman" w:hAnsi="Times New Roman" w:eastAsia="方正仿宋_GBK"/>
          <w:b w:val="0"/>
          <w:sz w:val="24"/>
        </w:rPr>
        <w:t>，主变与储能单位功率投资比定义为</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TB</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up>
            <m:r>
              <m:rPr>
                <m:nor/>
              </m:rPr>
              <w:rPr>
                <w:rFonts w:ascii="Times New Roman" w:hAnsi="Times New Roman" w:eastAsia="方正仿宋_GBK" w:cs="Times New Roman"/>
                <w:i/>
                <w:iCs/>
              </w:rPr>
              <m:t>P</m:t>
            </m:r>
          </m:sup>
        </m:sSubSup>
      </m:oMath>
      <w:r>
        <w:rPr>
          <w:rFonts w:ascii="Times New Roman" w:hAnsi="Times New Roman" w:eastAsia="方正仿宋_GBK"/>
          <w:b w:val="0"/>
          <w:sz w:val="24"/>
        </w:rPr>
        <w:t>，均为无量纲。三项单位功率投资统一为万元/MW，其中</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/0.95</m:t>
        </m:r>
      </m:oMath>
      <w:r>
        <w:rPr>
          <w:rFonts w:ascii="Times New Roman" w:hAnsi="Times New Roman" w:eastAsia="方正仿宋_GBK"/>
          <w:b w:val="0"/>
          <w:sz w:val="24"/>
        </w:rPr>
        <w:t>按新购主变铭牌容量折算，</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L</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按单项联络投资与7.49 MW有效转供能力计算，</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Sub>
        <m:sSub>
          <m:sSubPr/>
          <m:e>
            <m:r>
              <m:rPr>
                <m:nor/>
              </m:rPr>
              <w:rPr>
                <w:rFonts w:ascii="Times New Roman" w:hAnsi="Times New Roman" w:eastAsia="方正仿宋_GBK" w:cs="Times New Roman"/>
                <w:i/>
                <w:iCs/>
              </w:rPr>
              <m:t>m</m:t>
            </m:r>
          </m:e>
          <m:sub>
            <m:r>
              <m:rPr>
                <m:nor/>
              </m:rPr>
              <w:rPr>
                <w:rFonts w:ascii="Times New Roman" w:hAnsi="Times New Roman" w:eastAsia="方正仿宋_GBK" w:cs="Times New Roman"/>
                <w:i/>
                <w:iCs/>
              </w:rPr>
              <m:t>B</m:t>
            </m:r>
          </m:sub>
        </m:sSub>
        <m:r>
          <m:rPr>
            <m:nor/>
            <m:sty m:val="p"/>
          </m:rPr>
          <w:rPr>
            <w:rFonts w:ascii="Times New Roman" w:hAnsi="Times New Roman" w:eastAsia="方正仿宋_GBK" w:cs="Times New Roman"/>
            <w:b w:val="0"/>
            <w:i w:val="0"/>
            <w:iCs w:val="0"/>
          </w:rPr>
          <m:t>/min(0.10,0.215×0.76/</m:t>
        </m:r>
        <m:r>
          <m:rPr>
            <m:nor/>
          </m:rPr>
          <w:rPr>
            <w:rFonts w:ascii="Times New Roman" w:hAnsi="Times New Roman" w:eastAsia="方正仿宋_GBK" w:cs="Times New Roman"/>
            <w:i/>
            <w:iCs/>
          </w:rPr>
          <m:t>H</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按单柜采购投资与给定时长的有效支撑功率计算，</w:t>
      </w:r>
      <m:oMath>
        <m:sSub>
          <m:sSubPr/>
          <m:e>
            <m:r>
              <m:rPr>
                <m:nor/>
              </m:rPr>
              <w:rPr>
                <w:rFonts w:ascii="Times New Roman" w:hAnsi="Times New Roman" w:eastAsia="方正仿宋_GBK" w:cs="Times New Roman"/>
                <w:i/>
                <w:iCs/>
              </w:rPr>
              <m:t>m</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为储能价格相对参考值的倍率。主变采用第4.2节的更换参考单价，扩建项目仍按单项工程投资计费[85,87,88,89]。</w:t>
      </w:r>
    </w:p>
    <w:p w14:paraId="4BF1339B">
      <w:pPr>
        <w:pStyle w:val="2"/>
        <w:widowControl/>
        <w:spacing w:before="0" w:after="0" w:line="348" w:lineRule="exact"/>
        <w:ind w:firstLine="480"/>
        <w:jc w:val="both"/>
      </w:pPr>
      <w:r>
        <w:rPr>
          <w:rFonts w:ascii="Times New Roman" w:hAnsi="Times New Roman" w:eastAsia="方正仿宋_GBK"/>
          <w:b w:val="0"/>
          <w:sz w:val="24"/>
        </w:rPr>
        <w:t>两个比值联系主变与替代措施的相对价格。固定主变参考单价时，线路单位功率投资提高会降低</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TL</m:t>
            </m:r>
          </m:sub>
        </m:sSub>
      </m:oMath>
      <w:r>
        <w:rPr>
          <w:rFonts w:ascii="Times New Roman" w:hAnsi="Times New Roman" w:eastAsia="方正仿宋_GBK"/>
          <w:b w:val="0"/>
          <w:sz w:val="24"/>
        </w:rPr>
        <w:t>，储能单位有效功率投资提高会降低</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TB</m:t>
            </m:r>
          </m:sub>
        </m:sSub>
      </m:oMath>
      <w:r>
        <w:rPr>
          <w:rFonts w:ascii="Times New Roman" w:hAnsi="Times New Roman" w:eastAsia="方正仿宋_GBK"/>
          <w:b w:val="0"/>
          <w:sz w:val="24"/>
        </w:rPr>
        <w:t>。相对价格进入完整方案费用，措施能否替代仍由馈线、邻站容量、主变N-1及储能支撑条件共同确定。</w:t>
      </w:r>
    </w:p>
    <w:p w14:paraId="2046B53F">
      <w:pPr>
        <w:pStyle w:val="2"/>
        <w:widowControl/>
        <w:spacing w:before="0" w:after="0" w:line="348" w:lineRule="exact"/>
        <w:ind w:firstLine="480"/>
        <w:jc w:val="both"/>
      </w:pPr>
      <w:r>
        <w:rPr>
          <w:rFonts w:ascii="Times New Roman" w:hAnsi="Times New Roman" w:eastAsia="方正仿宋_GBK"/>
          <w:b w:val="0"/>
          <w:sz w:val="24"/>
        </w:rPr>
        <w:t>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14:paraId="33077560">
      <w:pPr>
        <w:pStyle w:val="4"/>
        <w:keepNext/>
        <w:numPr>
          <w:ilvl w:val="0"/>
          <w:numId w:val="0"/>
        </w:numPr>
        <w:spacing w:before="160" w:after="120" w:line="480" w:lineRule="exact"/>
        <w:ind w:firstLine="0"/>
      </w:pPr>
      <w:bookmarkStart w:id="323" w:name="Report1017_h579"/>
      <w:bookmarkEnd w:id="323"/>
      <w:bookmarkStart w:id="167" w:name="h579"/>
      <w:bookmarkStart w:id="168" w:name="现金流现值计算"/>
      <w:r>
        <w:rPr>
          <w:rFonts w:ascii="Times New Roman" w:hAnsi="Times New Roman" w:eastAsia="方正仿宋_GBK"/>
          <w:b/>
          <w:sz w:val="32"/>
        </w:rPr>
        <w:t>4.6 现金流现值计算</w:t>
      </w:r>
      <w:bookmarkEnd w:id="167"/>
      <w:bookmarkEnd w:id="168"/>
    </w:p>
    <w:p w14:paraId="30D06D44">
      <w:pPr>
        <w:pStyle w:val="5"/>
        <w:keepNext/>
        <w:numPr>
          <w:ilvl w:val="0"/>
          <w:numId w:val="0"/>
        </w:numPr>
        <w:spacing w:before="160" w:after="120" w:line="390" w:lineRule="exact"/>
        <w:ind w:firstLine="0"/>
      </w:pPr>
      <w:bookmarkStart w:id="169" w:name="单项工程现值因子"/>
      <w:r>
        <w:rPr>
          <w:rFonts w:ascii="Times New Roman" w:hAnsi="Times New Roman" w:eastAsia="方正仿宋_GBK"/>
          <w:b/>
          <w:sz w:val="26"/>
        </w:rPr>
        <w:t>4.6.1 单项工程现值因子</w:t>
      </w:r>
      <w:bookmarkEnd w:id="169"/>
    </w:p>
    <w:p w14:paraId="17576B69">
      <w:pPr>
        <w:pStyle w:val="115"/>
        <w:widowControl/>
        <w:spacing w:before="0" w:after="0" w:line="348" w:lineRule="exact"/>
        <w:ind w:firstLine="480"/>
        <w:jc w:val="both"/>
      </w:pPr>
      <w:r>
        <w:rPr>
          <w:rFonts w:ascii="Times New Roman" w:hAnsi="Times New Roman" w:eastAsia="方正仿宋_GBK"/>
          <w:b w:val="0"/>
          <w:sz w:val="24"/>
        </w:rPr>
        <w:t>设工程于</w:t>
      </w:r>
      <m:oMath>
        <m:r>
          <m:rPr>
            <m:nor/>
          </m:rPr>
          <w:rPr>
            <w:rFonts w:ascii="Times New Roman" w:hAnsi="Times New Roman" w:eastAsia="方正仿宋_GBK" w:cs="Times New Roman"/>
            <w:i/>
            <w:iCs/>
          </w:rPr>
          <m:t>y</m:t>
        </m:r>
      </m:oMath>
      <w:r>
        <w:rPr>
          <w:rFonts w:ascii="Times New Roman" w:hAnsi="Times New Roman" w:eastAsia="方正仿宋_GBK"/>
          <w:b w:val="0"/>
          <w:sz w:val="24"/>
        </w:rPr>
        <w:t>年投运，初始投资</w:t>
      </w:r>
      <m:oMath>
        <m:r>
          <m:rPr>
            <m:nor/>
          </m:rPr>
          <w:rPr>
            <w:rFonts w:ascii="Times New Roman" w:hAnsi="Times New Roman" w:eastAsia="方正仿宋_GBK" w:cs="Times New Roman"/>
            <w:i/>
            <w:iCs/>
          </w:rPr>
          <m:t>I</m:t>
        </m:r>
      </m:oMath>
      <w:r>
        <w:rPr>
          <w:rFonts w:ascii="Times New Roman" w:hAnsi="Times New Roman" w:eastAsia="方正仿宋_GBK"/>
          <w:b w:val="0"/>
          <w:sz w:val="24"/>
        </w:rPr>
        <w:t>，寿命</w:t>
      </w:r>
      <m:oMath>
        <m:r>
          <m:rPr>
            <m:nor/>
          </m:rPr>
          <w:rPr>
            <w:rFonts w:ascii="Times New Roman" w:hAnsi="Times New Roman" w:eastAsia="方正仿宋_GBK" w:cs="Times New Roman"/>
            <w:i/>
            <w:iCs/>
          </w:rPr>
          <m:t>L</m:t>
        </m:r>
      </m:oMath>
      <w:r>
        <w:rPr>
          <w:rFonts w:ascii="Times New Roman" w:hAnsi="Times New Roman" w:eastAsia="方正仿宋_GBK"/>
          <w:b w:val="0"/>
          <w:sz w:val="24"/>
        </w:rPr>
        <w:t>，固定运维率</w:t>
      </w:r>
      <m:oMath>
        <m:r>
          <m:rPr>
            <m:nor/>
          </m:rPr>
          <w:rPr>
            <w:rFonts w:ascii="Times New Roman" w:hAnsi="Times New Roman" w:eastAsia="方正仿宋_GBK" w:cs="Times New Roman"/>
            <w:i/>
            <w:iCs/>
          </w:rPr>
          <m:t>q</m:t>
        </m:r>
      </m:oMath>
      <w:r>
        <w:rPr>
          <w:rFonts w:ascii="Times New Roman" w:hAnsi="Times New Roman" w:eastAsia="方正仿宋_GBK"/>
          <w:b w:val="0"/>
          <w:sz w:val="24"/>
        </w:rPr>
        <w:t>，评价截止年</w:t>
      </w:r>
      <m:oMath>
        <m:r>
          <m:rPr>
            <m:nor/>
          </m:rPr>
          <w:rPr>
            <w:rFonts w:ascii="Times New Roman" w:hAnsi="Times New Roman" w:eastAsia="方正仿宋_GBK" w:cs="Times New Roman"/>
            <w:i/>
            <w:iCs/>
          </w:rPr>
          <m:t>T</m:t>
        </m:r>
      </m:oMath>
      <w:r>
        <w:rPr>
          <w:rFonts w:ascii="Times New Roman" w:hAnsi="Times New Roman" w:eastAsia="方正仿宋_GBK"/>
          <w:b w:val="0"/>
          <w:sz w:val="24"/>
        </w:rPr>
        <w:t>=2041，基准年2021，折现率</w:t>
      </w:r>
      <m:oMath>
        <m:r>
          <m:rPr>
            <m:nor/>
          </m:rPr>
          <w:rPr>
            <w:rFonts w:ascii="Times New Roman" w:hAnsi="Times New Roman" w:eastAsia="方正仿宋_GBK" w:cs="Times New Roman"/>
            <w:i/>
            <w:iCs/>
          </w:rPr>
          <m:t>r</m:t>
        </m:r>
      </m:oMath>
      <w:r>
        <w:rPr>
          <w:rFonts w:ascii="Times New Roman" w:hAnsi="Times New Roman" w:eastAsia="方正仿宋_GBK"/>
          <w:b w:val="0"/>
          <w:sz w:val="24"/>
        </w:rPr>
        <w:t>=6%。单项工程现值由投运投资、评价期内更新和投运次年起固定运维构成[10,13,14]。</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（4-7）</w:t>
            </w:r>
          </w:p>
        </w:tc>
      </w:tr>
    </w:tbl>
    <w:p w14:paraId="0DE53D6C">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q</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为单项工程费用现值，单位万元；</w:t>
      </w:r>
      <m:oMath>
        <m:r>
          <m:rPr>
            <m:nor/>
          </m:rPr>
          <w:rPr>
            <w:rFonts w:ascii="Times New Roman" w:hAnsi="Times New Roman" w:eastAsia="方正仿宋_GBK" w:cs="Times New Roman"/>
            <w:i/>
            <w:iCs/>
          </w:rPr>
          <m:t>I</m:t>
        </m:r>
      </m:oMath>
      <w:r>
        <w:rPr>
          <w:rFonts w:ascii="Times New Roman" w:hAnsi="Times New Roman" w:eastAsia="方正仿宋_GBK"/>
          <w:b w:val="0"/>
          <w:sz w:val="24"/>
        </w:rPr>
        <w:t>为初始投资，单位万元；</w:t>
      </w:r>
      <m:oMath>
        <m:r>
          <m:rPr>
            <m:nor/>
          </m:rPr>
          <w:rPr>
            <w:rFonts w:ascii="Times New Roman" w:hAnsi="Times New Roman" w:eastAsia="方正仿宋_GBK" w:cs="Times New Roman"/>
            <w:i/>
            <w:iCs/>
          </w:rPr>
          <m:t>y</m:t>
        </m:r>
      </m:oMath>
      <w:r>
        <w:rPr>
          <w:rFonts w:ascii="Times New Roman" w:hAnsi="Times New Roman" w:eastAsia="方正仿宋_GBK"/>
          <w:b w:val="0"/>
          <w:sz w:val="24"/>
        </w:rPr>
        <w:t>为投运年份，</w:t>
      </w:r>
      <m:oMath>
        <m:r>
          <m:rPr>
            <m:nor/>
          </m:rPr>
          <w:rPr>
            <w:rFonts w:ascii="Times New Roman" w:hAnsi="Times New Roman" w:eastAsia="方正仿宋_GBK" w:cs="Times New Roman"/>
            <w:i/>
            <w:iCs/>
          </w:rPr>
          <m:t>L</m:t>
        </m:r>
      </m:oMath>
      <w:r>
        <w:rPr>
          <w:rFonts w:ascii="Times New Roman" w:hAnsi="Times New Roman" w:eastAsia="方正仿宋_GBK"/>
          <w:b w:val="0"/>
          <w:sz w:val="24"/>
        </w:rPr>
        <w:t>为寿命，单位年；</w:t>
      </w:r>
      <m:oMath>
        <m:r>
          <m:rPr>
            <m:nor/>
          </m:rPr>
          <w:rPr>
            <w:rFonts w:ascii="Times New Roman" w:hAnsi="Times New Roman" w:eastAsia="方正仿宋_GBK" w:cs="Times New Roman"/>
            <w:i/>
            <w:iCs/>
          </w:rPr>
          <m:t>q</m:t>
        </m:r>
      </m:oMath>
      <w:r>
        <w:rPr>
          <w:rFonts w:ascii="Times New Roman" w:hAnsi="Times New Roman" w:eastAsia="方正仿宋_GBK"/>
          <w:b w:val="0"/>
          <w:sz w:val="24"/>
        </w:rPr>
        <w:t>为年度固定运维占初始投资的比例，</w:t>
      </w:r>
      <m:oMath>
        <m:r>
          <m:rPr>
            <m:nor/>
          </m:rPr>
          <w:rPr>
            <w:rFonts w:ascii="Times New Roman" w:hAnsi="Times New Roman" w:eastAsia="方正仿宋_GBK" w:cs="Times New Roman"/>
            <w:i/>
            <w:iCs/>
          </w:rPr>
          <m:t>r</m:t>
        </m:r>
      </m:oMath>
      <w:r>
        <w:rPr>
          <w:rFonts w:ascii="Times New Roman" w:hAnsi="Times New Roman" w:eastAsia="方正仿宋_GBK"/>
          <w:b w:val="0"/>
          <w:sz w:val="24"/>
        </w:rPr>
        <w:t>为折现率；</w:t>
      </w:r>
      <m:oMath>
        <m:r>
          <m:rPr>
            <m:nor/>
          </m:rPr>
          <w:rPr>
            <w:rFonts w:ascii="Times New Roman" w:hAnsi="Times New Roman" w:eastAsia="方正仿宋_GBK" w:cs="Times New Roman"/>
            <w:i/>
            <w:iCs/>
          </w:rPr>
          <m:t>k</m:t>
        </m:r>
      </m:oMath>
      <w:r>
        <w:rPr>
          <w:rFonts w:ascii="Times New Roman" w:hAnsi="Times New Roman" w:eastAsia="方正仿宋_GBK"/>
          <w:b w:val="0"/>
          <w:sz w:val="24"/>
        </w:rPr>
        <w:t>为更新次数序号，</w:t>
      </w:r>
      <m:oMath>
        <m:r>
          <m:rPr>
            <m:nor/>
          </m:rPr>
          <w:rPr>
            <w:rFonts w:ascii="Times New Roman" w:hAnsi="Times New Roman" w:eastAsia="方正仿宋_GBK" w:cs="Times New Roman"/>
            <w:i/>
            <w:iCs/>
          </w:rPr>
          <m:t>t</m:t>
        </m:r>
      </m:oMath>
      <w:r>
        <w:rPr>
          <w:rFonts w:ascii="Times New Roman" w:hAnsi="Times New Roman" w:eastAsia="方正仿宋_GBK"/>
          <w:b w:val="0"/>
          <w:sz w:val="24"/>
        </w:rPr>
        <w:t>为运维年份，</w:t>
      </w:r>
      <m:oMath>
        <m:r>
          <m:rPr>
            <m:nor/>
          </m:rPr>
          <w:rPr>
            <w:rFonts w:ascii="Times New Roman" w:hAnsi="Times New Roman" w:eastAsia="方正仿宋_GBK" w:cs="Times New Roman"/>
            <w:i/>
            <w:iCs/>
          </w:rPr>
          <m:t>T</m:t>
        </m:r>
      </m:oMath>
      <w:r>
        <w:rPr>
          <w:rFonts w:ascii="Times New Roman" w:hAnsi="Times New Roman" w:eastAsia="方正仿宋_GBK"/>
          <w:b w:val="0"/>
          <w:sz w:val="24"/>
        </w:rPr>
        <w:t>为评价截止年。</w:t>
      </w:r>
    </w:p>
    <w:p w14:paraId="653C9767">
      <w:pPr>
        <w:pStyle w:val="2"/>
        <w:widowControl/>
        <w:spacing w:before="0" w:after="0" w:line="348" w:lineRule="exact"/>
        <w:ind w:firstLine="480"/>
        <w:jc w:val="both"/>
      </w:pPr>
      <w:r>
        <w:rPr>
          <w:rFonts w:ascii="Times New Roman" w:hAnsi="Times New Roman" w:eastAsia="方正仿宋_GBK"/>
          <w:b w:val="0"/>
          <w:sz w:val="24"/>
        </w:rPr>
        <w:t>设备在</w:t>
      </w:r>
      <m:oMath>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kL</m:t>
        </m:r>
      </m:oMath>
      <w:r>
        <w:rPr>
          <w:rFonts w:ascii="Times New Roman" w:hAnsi="Times New Roman" w:eastAsia="方正仿宋_GBK"/>
          <w:b w:val="0"/>
          <w:sz w:val="24"/>
        </w:rPr>
        <w:t>严格小于2041时计取更新投资，固定运维计至2041年。</w:t>
      </w:r>
    </w:p>
    <w:p>
      <w:pPr>
        <w:pStyle w:val="2"/>
        <w:widowControl/>
        <w:spacing w:line="348" w:lineRule="exact" w:before="0" w:after="0"/>
        <w:ind w:firstLine="480"/>
        <w:jc w:val="both"/>
        <w:rPr/>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。主变按40年和运维费率4.20%、线路按40年和运维费率2.20%、储能按25年和运维费率3.00%计算。2022—2035年投运的三类设备均未在2041年评价截止前达到设定寿命，因此本评价期内的更新支出为零。</w:t>
      </w:r>
    </w:p>
    <w:p w14:paraId="00394646">
      <w:pPr>
        <w:pStyle w:val="2"/>
        <w:keepNext/>
        <w:spacing w:before="120" w:after="80" w:line="280" w:lineRule="exact"/>
        <w:ind w:firstLine="0"/>
        <w:jc w:val="center"/>
      </w:pPr>
      <w:r>
        <w:rPr>
          <w:rFonts w:ascii="Times New Roman" w:hAnsi="Times New Roman" w:eastAsia="宋体"/>
          <w:b w:val="0"/>
          <w:sz w:val="21"/>
        </w:rPr>
        <w:t>表4-6 单位初始投资的2021年末现值因子（式4-7）</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567445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026873A">
            <w:pPr>
              <w:keepNext/>
              <w:spacing w:before="20" w:after="20" w:line="260" w:lineRule="exact"/>
              <w:ind w:left="0" w:leftChars="0" w:right="0" w:rightChars="0" w:firstLine="0" w:firstLineChars="0"/>
              <w:jc w:val="center"/>
            </w:pPr>
            <w:r>
              <w:rPr>
                <w:rFonts w:ascii="Times New Roman" w:hAnsi="Times New Roman" w:eastAsia="宋体"/>
                <w:b/>
                <w:sz w:val="18"/>
              </w:rPr>
              <w:t>投运年</w:t>
            </w:r>
          </w:p>
        </w:tc>
        <w:tc>
          <w:tcPr>
            <w:tcW w:w="2078" w:type="dxa"/>
            <w:tcMar>
              <w:left w:w="70" w:type="dxa"/>
              <w:right w:w="70" w:type="dxa"/>
            </w:tcMar>
            <w:vAlign w:val="center"/>
          </w:tcPr>
          <w:p w14:paraId="19C7DA0B">
            <w:pPr>
              <w:keepNext/>
              <w:spacing w:before="20" w:after="20" w:line="260" w:lineRule="exact"/>
              <w:ind w:left="0" w:leftChars="0" w:right="0" w:rightChars="0" w:firstLine="0" w:firstLineChars="0"/>
              <w:jc w:val="center"/>
            </w:pPr>
            <w:r>
              <w:rPr>
                <w:rFonts w:ascii="Times New Roman" w:hAnsi="Times New Roman" w:eastAsia="宋体"/>
                <w:b/>
                <w:sz w:val="18"/>
              </w:rPr>
              <w:t>主变现金流现值因子</w:t>
            </w:r>
          </w:p>
        </w:tc>
        <w:tc>
          <w:tcPr>
            <w:tcW w:w="2078" w:type="dxa"/>
            <w:tcMar>
              <w:left w:w="70" w:type="dxa"/>
              <w:right w:w="70" w:type="dxa"/>
            </w:tcMar>
            <w:vAlign w:val="center"/>
          </w:tcPr>
          <w:p w14:paraId="10EF72F1">
            <w:pPr>
              <w:keepNext/>
              <w:spacing w:before="20" w:after="20" w:line="260" w:lineRule="exact"/>
              <w:ind w:left="0" w:leftChars="0" w:right="0" w:rightChars="0" w:firstLine="0" w:firstLineChars="0"/>
              <w:jc w:val="center"/>
            </w:pPr>
            <w:r>
              <w:rPr>
                <w:rFonts w:ascii="Times New Roman" w:hAnsi="Times New Roman" w:eastAsia="宋体"/>
                <w:b/>
                <w:sz w:val="18"/>
              </w:rPr>
              <w:t>线路现金流现值因子</w:t>
            </w:r>
          </w:p>
        </w:tc>
        <w:tc>
          <w:tcPr>
            <w:tcW w:w="2078" w:type="dxa"/>
            <w:tcMar>
              <w:left w:w="70" w:type="dxa"/>
              <w:right w:w="70" w:type="dxa"/>
            </w:tcMar>
            <w:vAlign w:val="center"/>
          </w:tcPr>
          <w:p w14:paraId="5271CBDF">
            <w:pPr>
              <w:keepNext/>
              <w:spacing w:before="20" w:after="20" w:line="260" w:lineRule="exact"/>
              <w:ind w:left="0" w:leftChars="0" w:right="0" w:rightChars="0" w:firstLine="0" w:firstLineChars="0"/>
              <w:jc w:val="center"/>
            </w:pPr>
            <w:r>
              <w:rPr>
                <w:rFonts w:ascii="Times New Roman" w:hAnsi="Times New Roman" w:eastAsia="宋体"/>
                <w:b/>
                <w:sz w:val="18"/>
              </w:rPr>
              <w:t>储能现金流现值因子</w:t>
            </w:r>
          </w:p>
        </w:tc>
      </w:tr>
      <w:tr w14:paraId="51FA32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3FF8A479">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2078" w:type="dxa"/>
            <w:tcMar>
              <w:left w:w="70" w:type="dxa"/>
              <w:right w:w="70" w:type="dxa"/>
            </w:tcMar>
            <w:vAlign w:val="center"/>
          </w:tcPr>
          <w:p w14:paraId="34AF30D3">
            <w:pPr>
              <w:keepNext/>
              <w:spacing w:before="20" w:after="20" w:line="260" w:lineRule="exact"/>
              <w:ind w:left="0" w:leftChars="0" w:right="0" w:rightChars="0" w:firstLine="0" w:firstLineChars="0"/>
              <w:jc w:val="center"/>
            </w:pPr>
            <w:r>
              <w:rPr>
                <w:rFonts w:ascii="Times New Roman" w:hAnsi="Times New Roman" w:eastAsia="宋体"/>
                <w:b w:val="0"/>
                <w:sz w:val="18"/>
              </w:rPr>
              <w:t>1.39</w:t>
            </w:r>
          </w:p>
        </w:tc>
        <w:tc>
          <w:tcPr>
            <w:tcW w:w="2078" w:type="dxa"/>
            <w:tcMar>
              <w:left w:w="70" w:type="dxa"/>
              <w:right w:w="70" w:type="dxa"/>
            </w:tcMar>
            <w:vAlign w:val="center"/>
          </w:tcPr>
          <w:p w14:paraId="244621AC">
            <w:pPr>
              <w:keepNext/>
              <w:spacing w:before="20" w:after="20" w:line="260" w:lineRule="exact"/>
              <w:ind w:left="0" w:leftChars="0" w:right="0" w:rightChars="0" w:firstLine="0" w:firstLineChars="0"/>
              <w:jc w:val="center"/>
            </w:pPr>
            <w:r>
              <w:rPr>
                <w:rFonts w:ascii="Times New Roman" w:hAnsi="Times New Roman" w:eastAsia="宋体"/>
                <w:b w:val="0"/>
                <w:sz w:val="18"/>
              </w:rPr>
              <w:t>1.17</w:t>
            </w:r>
          </w:p>
        </w:tc>
        <w:tc>
          <w:tcPr>
            <w:tcW w:w="2078" w:type="dxa"/>
            <w:tcMar>
              <w:left w:w="70" w:type="dxa"/>
              <w:right w:w="70" w:type="dxa"/>
            </w:tcMar>
            <w:vAlign w:val="center"/>
          </w:tcPr>
          <w:p w14:paraId="47E20ACB">
            <w:pPr>
              <w:keepNext/>
              <w:spacing w:before="20" w:after="20" w:line="260" w:lineRule="exact"/>
              <w:ind w:left="0" w:leftChars="0" w:right="0" w:rightChars="0" w:firstLine="0" w:firstLineChars="0"/>
              <w:jc w:val="center"/>
            </w:pPr>
            <w:r>
              <w:rPr>
                <w:rFonts w:ascii="Times New Roman" w:hAnsi="Times New Roman" w:eastAsia="宋体"/>
                <w:b w:val="0"/>
                <w:sz w:val="18"/>
              </w:rPr>
              <w:t>1.26</w:t>
            </w:r>
          </w:p>
        </w:tc>
      </w:tr>
      <w:tr w14:paraId="15D4AD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704A8B4">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2078" w:type="dxa"/>
            <w:tcMar>
              <w:left w:w="70" w:type="dxa"/>
              <w:right w:w="70" w:type="dxa"/>
            </w:tcMar>
            <w:vAlign w:val="center"/>
          </w:tcPr>
          <w:p w14:paraId="02BD72B5">
            <w:pPr>
              <w:keepNext/>
              <w:spacing w:before="20" w:after="20" w:line="260" w:lineRule="exact"/>
              <w:ind w:left="0" w:leftChars="0" w:right="0" w:rightChars="0" w:firstLine="0" w:firstLineChars="0"/>
              <w:jc w:val="center"/>
            </w:pPr>
            <w:r>
              <w:rPr>
                <w:rFonts w:ascii="Times New Roman" w:hAnsi="Times New Roman" w:eastAsia="宋体"/>
                <w:b w:val="0"/>
                <w:sz w:val="18"/>
              </w:rPr>
              <w:t>1.29</w:t>
            </w:r>
          </w:p>
        </w:tc>
        <w:tc>
          <w:tcPr>
            <w:tcW w:w="2078" w:type="dxa"/>
            <w:tcMar>
              <w:left w:w="70" w:type="dxa"/>
              <w:right w:w="70" w:type="dxa"/>
            </w:tcMar>
            <w:vAlign w:val="center"/>
          </w:tcPr>
          <w:p w14:paraId="3ADDB2A5">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2078" w:type="dxa"/>
            <w:tcMar>
              <w:left w:w="70" w:type="dxa"/>
              <w:right w:w="70" w:type="dxa"/>
            </w:tcMar>
            <w:vAlign w:val="center"/>
          </w:tcPr>
          <w:p w14:paraId="4D50A918">
            <w:pPr>
              <w:keepNext/>
              <w:spacing w:before="20" w:after="20" w:line="260" w:lineRule="exact"/>
              <w:ind w:left="0" w:leftChars="0" w:right="0" w:rightChars="0" w:firstLine="0" w:firstLineChars="0"/>
              <w:jc w:val="center"/>
            </w:pPr>
            <w:r>
              <w:rPr>
                <w:rFonts w:ascii="Times New Roman" w:hAnsi="Times New Roman" w:eastAsia="宋体"/>
                <w:b w:val="0"/>
                <w:sz w:val="18"/>
              </w:rPr>
              <w:t>1.18</w:t>
            </w:r>
          </w:p>
        </w:tc>
      </w:tr>
      <w:tr w14:paraId="69F539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51294268">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2078" w:type="dxa"/>
            <w:tcMar>
              <w:left w:w="70" w:type="dxa"/>
              <w:right w:w="70" w:type="dxa"/>
            </w:tcMar>
            <w:vAlign w:val="center"/>
          </w:tcPr>
          <w:p w14:paraId="6DF1B804">
            <w:pPr>
              <w:keepNext/>
              <w:spacing w:before="20" w:after="20" w:line="260" w:lineRule="exact"/>
              <w:ind w:left="0" w:leftChars="0" w:right="0" w:rightChars="0" w:firstLine="0" w:firstLineChars="0"/>
              <w:jc w:val="center"/>
            </w:pPr>
            <w:r>
              <w:rPr>
                <w:rFonts w:ascii="Times New Roman" w:hAnsi="Times New Roman" w:eastAsia="宋体"/>
                <w:b w:val="0"/>
                <w:sz w:val="18"/>
              </w:rPr>
              <w:t>1.21</w:t>
            </w:r>
          </w:p>
        </w:tc>
        <w:tc>
          <w:tcPr>
            <w:tcW w:w="2078" w:type="dxa"/>
            <w:tcMar>
              <w:left w:w="70" w:type="dxa"/>
              <w:right w:w="70" w:type="dxa"/>
            </w:tcMar>
            <w:vAlign w:val="center"/>
          </w:tcPr>
          <w:p w14:paraId="43EDB30F">
            <w:pPr>
              <w:keepNext/>
              <w:spacing w:before="20" w:after="20" w:line="260" w:lineRule="exact"/>
              <w:ind w:left="0" w:leftChars="0" w:right="0" w:rightChars="0" w:firstLine="0" w:firstLineChars="0"/>
              <w:jc w:val="center"/>
            </w:pPr>
            <w:r>
              <w:rPr>
                <w:rFonts w:ascii="Times New Roman" w:hAnsi="Times New Roman" w:eastAsia="宋体"/>
                <w:b w:val="0"/>
                <w:sz w:val="18"/>
              </w:rPr>
              <w:t>1.03</w:t>
            </w:r>
          </w:p>
        </w:tc>
        <w:tc>
          <w:tcPr>
            <w:tcW w:w="2078" w:type="dxa"/>
            <w:tcMar>
              <w:left w:w="70" w:type="dxa"/>
              <w:right w:w="70" w:type="dxa"/>
            </w:tcMar>
            <w:vAlign w:val="center"/>
          </w:tcPr>
          <w:p w14:paraId="2D290778">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r>
      <w:tr w14:paraId="28600A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0B83023">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2078" w:type="dxa"/>
            <w:tcMar>
              <w:left w:w="70" w:type="dxa"/>
              <w:right w:w="70" w:type="dxa"/>
            </w:tcMar>
            <w:vAlign w:val="center"/>
          </w:tcPr>
          <w:p w14:paraId="78B6E1D6">
            <w:pPr>
              <w:keepNext w:val="0"/>
              <w:spacing w:before="20" w:after="20" w:line="260" w:lineRule="exact"/>
              <w:ind w:left="0" w:leftChars="0" w:right="0" w:rightChars="0" w:firstLine="0" w:firstLineChars="0"/>
              <w:jc w:val="center"/>
            </w:pPr>
            <w:r>
              <w:rPr>
                <w:rFonts w:ascii="Times New Roman" w:hAnsi="Times New Roman" w:eastAsia="宋体"/>
                <w:b w:val="0"/>
                <w:sz w:val="18"/>
              </w:rPr>
              <w:t>1.13</w:t>
            </w:r>
          </w:p>
        </w:tc>
        <w:tc>
          <w:tcPr>
            <w:tcW w:w="2078" w:type="dxa"/>
            <w:tcMar>
              <w:left w:w="70" w:type="dxa"/>
              <w:right w:w="70" w:type="dxa"/>
            </w:tcMar>
            <w:vAlign w:val="center"/>
          </w:tcPr>
          <w:p w14:paraId="41225733">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2078" w:type="dxa"/>
            <w:tcMar>
              <w:left w:w="70" w:type="dxa"/>
              <w:right w:w="70" w:type="dxa"/>
            </w:tcMar>
            <w:vAlign w:val="center"/>
          </w:tcPr>
          <w:p w14:paraId="01CEBE9E">
            <w:pPr>
              <w:keepNext w:val="0"/>
              <w:spacing w:before="20" w:after="20" w:line="260" w:lineRule="exact"/>
              <w:ind w:left="0" w:leftChars="0" w:right="0" w:rightChars="0" w:firstLine="0" w:firstLineChars="0"/>
              <w:jc w:val="center"/>
            </w:pPr>
            <w:r>
              <w:rPr>
                <w:rFonts w:ascii="Times New Roman" w:hAnsi="Times New Roman" w:eastAsia="宋体"/>
                <w:b w:val="0"/>
                <w:sz w:val="18"/>
              </w:rPr>
              <w:t>1.03</w:t>
            </w:r>
          </w:p>
        </w:tc>
      </w:tr>
    </w:tbl>
    <w:p w14:paraId="3850D2E8">
      <w:pPr>
        <w:pStyle w:val="2"/>
        <w:widowControl/>
        <w:spacing w:before="0" w:after="0" w:line="348" w:lineRule="exact"/>
        <w:ind w:firstLine="480"/>
        <w:jc w:val="both"/>
      </w:pPr>
      <w:r>
        <w:rPr>
          <w:rFonts w:ascii="Times New Roman" w:hAnsi="Times New Roman" w:eastAsia="方正仿宋_GBK"/>
          <w:b w:val="0"/>
          <w:sz w:val="24"/>
        </w:rPr>
        <w:t xml:space="preserve">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w:t>
      </w:r>
      <w:r>
        <w:rPr>
          <w:rFonts w:ascii="Times New Roman" w:hAnsi="Times New Roman" w:eastAsia="方正仿宋_GBK"/>
          <w:b w:val="0"/>
          <w:sz w:val="24"/>
        </w:rPr>
        <w:t xml:space="preserve">代表</w:t>
      </w:r>
      <w:r>
        <w:rPr>
          <w:rFonts w:ascii="Times New Roman" w:hAnsi="Times New Roman" w:eastAsia="方正仿宋_GBK"/>
          <w:b w:val="0"/>
          <w:sz w:val="24"/>
        </w:rPr>
        <w:t xml:space="preserve">批次按共同的2041年截止期计算，与逐年项目现金流直接对应。工程安排在满足每年技术约束的前提下比较投运时点，设备提前形成的容量储备及其费用由相应年度共同承担。</w:t>
      </w:r>
    </w:p>
    <w:p w14:paraId="4396F592">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14420"/>
            <wp:effectExtent l="0" t="0" r="0" b="0"/>
            <wp:docPr id="4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35"/>
                    <a:stretch>
                      <a:fillRect/>
                    </a:stretch>
                  </pic:blipFill>
                  <pic:spPr>
                    <a:xfrm>
                      <a:off x="0" y="0"/>
                      <a:ext cx="5120640" cy="3614569"/>
                    </a:xfrm>
                    <a:prstGeom prst="rect">
                      <a:avLst/>
                    </a:prstGeom>
                    <a:noFill/>
                    <a:ln w="9525">
                      <a:noFill/>
                    </a:ln>
                  </pic:spPr>
                </pic:pic>
              </a:graphicData>
            </a:graphic>
          </wp:inline>
        </w:drawing>
      </w:r>
    </w:p>
    <w:p w14:paraId="36EC9DC5">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图4-6 各投运批次单位初始投资的建设与运维现值</w:t>
      </w:r>
    </w:p>
    <w:p w14:paraId="027CC7C1">
      <w:pPr>
        <w:pStyle w:val="5"/>
        <w:keepNext/>
        <w:numPr>
          <w:ilvl w:val="0"/>
          <w:numId w:val="0"/>
        </w:numPr>
        <w:spacing w:before="160" w:after="120" w:line="390" w:lineRule="exact"/>
        <w:ind w:firstLine="0"/>
      </w:pPr>
      <w:bookmarkStart w:id="170" w:name="年度投运对现值的影响"/>
      <w:r>
        <w:rPr>
          <w:rFonts w:ascii="Times New Roman" w:hAnsi="Times New Roman" w:eastAsia="方正仿宋_GBK"/>
          <w:b/>
          <w:sz w:val="26"/>
        </w:rPr>
        <w:t>4.6.2 年度投运对现值的影响</w:t>
      </w:r>
      <w:bookmarkEnd w:id="170"/>
    </w:p>
    <w:p w14:paraId="68A79ACE">
      <w:pPr>
        <w:pStyle w:val="115"/>
        <w:widowControl/>
        <w:spacing w:before="0" w:after="0" w:line="348" w:lineRule="exact"/>
        <w:ind w:firstLine="480"/>
        <w:jc w:val="both"/>
      </w:pPr>
      <w:r>
        <w:rPr>
          <w:rFonts w:ascii="Times New Roman" w:hAnsi="Times New Roman" w:eastAsia="方正仿宋_GBK"/>
          <w:b w:val="0"/>
          <w:sz w:val="24"/>
        </w:rPr>
        <w:t>相同工程晚一年投运会减少初始投资现值及计入的运维年数，并将更新年份后移，因此建设时点需在各年技术可行的前提下参与经济比选。</w:t>
      </w:r>
    </w:p>
    <w:p w14:paraId="7D9B9011">
      <w:pPr>
        <w:pStyle w:val="2"/>
        <w:widowControl/>
        <w:spacing w:before="0" w:after="0" w:line="348" w:lineRule="exact"/>
        <w:ind w:firstLine="480"/>
        <w:jc w:val="both"/>
      </w:pPr>
      <w:r>
        <w:rPr>
          <w:rFonts w:ascii="Times New Roman" w:hAnsi="Times New Roman" w:eastAsia="方正仿宋_GBK"/>
          <w:b w:val="0"/>
          <w:sz w:val="24"/>
        </w:rPr>
        <w:t xml:space="preserve">储能投资按各投运批次的新增柜数计算。同一主变安装位置在2022—20</w:t>
      </w:r>
      <w:r>
        <w:rPr>
          <w:rFonts w:ascii="Times New Roman" w:hAnsi="Times New Roman" w:eastAsia="方正仿宋_GBK"/>
          <w:b w:val="0"/>
          <w:sz w:val="24"/>
        </w:rPr>
        <w:t xml:space="preserve">3</w:t>
      </w:r>
      <w:r>
        <w:rPr>
          <w:rFonts w:ascii="Times New Roman" w:hAnsi="Times New Roman" w:eastAsia="方正仿宋_GBK"/>
          <w:b w:val="0"/>
          <w:sz w:val="24"/>
        </w:rPr>
        <w:t xml:space="preserve">5年最多更换一次，更换投资按当年新购整台容量计算。不同位置和第三台主变仍可分年投运，采购批次合计用于费用，容量净增用于设备状态及容载比。</w:t>
      </w:r>
    </w:p>
    <w:p w14:paraId="262434F0">
      <w:pPr>
        <w:pStyle w:val="5"/>
        <w:keepNext/>
        <w:numPr>
          <w:ilvl w:val="0"/>
          <w:numId w:val="0"/>
        </w:numPr>
        <w:spacing w:before="160" w:after="120" w:line="390" w:lineRule="exact"/>
        <w:ind w:firstLine="0"/>
      </w:pPr>
      <w:bookmarkStart w:id="171" w:name="费用构成与结果复算"/>
      <w:r>
        <w:rPr>
          <w:rFonts w:ascii="Times New Roman" w:hAnsi="Times New Roman" w:eastAsia="方正仿宋_GBK"/>
          <w:b/>
          <w:sz w:val="26"/>
        </w:rPr>
        <w:t>4.6.3 费用构成与结果复算</w:t>
      </w:r>
      <w:bookmarkEnd w:id="171"/>
    </w:p>
    <w:p w14:paraId="7A8D723F">
      <w:pPr>
        <w:pStyle w:val="115"/>
        <w:widowControl/>
        <w:spacing w:before="0" w:after="0" w:line="348" w:lineRule="exact"/>
        <w:ind w:firstLine="480"/>
        <w:jc w:val="both"/>
      </w:pPr>
      <w:r>
        <w:rPr>
          <w:rFonts w:ascii="Times New Roman" w:hAnsi="Times New Roman" w:eastAsia="方正仿宋_GBK"/>
          <w:b w:val="0"/>
          <w:sz w:val="24"/>
        </w:rPr>
        <w:t>方案费用现值为全部建设改造项目现值之和，主变、储能和线路分项汇总后应与所选布局对应的实际目标费用一致。费用表同时列示初始建设投资与评价期费用现值，便于核对工程规模和现金流折算。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（4-8）</w:t>
            </w:r>
          </w:p>
        </w:tc>
      </w:tr>
    </w:tbl>
    <w:p w14:paraId="57113FC5">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plan</m:t>
            </m:r>
          </m:sub>
        </m:sSub>
      </m:oMath>
      <w:r>
        <w:rPr>
          <w:rFonts w:ascii="Times New Roman" w:hAnsi="Times New Roman" w:eastAsia="方正仿宋_GBK"/>
          <w:b w:val="0"/>
          <w:sz w:val="24"/>
        </w:rPr>
        <w:t>为方案费用现值，</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为建设改造项目</w:t>
      </w:r>
      <m:oMath>
        <m:r>
          <m:rPr>
            <m:nor/>
          </m:rPr>
          <w:rPr>
            <w:rFonts w:ascii="Times New Roman" w:hAnsi="Times New Roman" w:eastAsia="方正仿宋_GBK" w:cs="Times New Roman"/>
            <w:i/>
            <w:iCs/>
          </w:rPr>
          <m:t>e</m:t>
        </m:r>
      </m:oMath>
      <w:r>
        <w:rPr>
          <w:rFonts w:ascii="Times New Roman" w:hAnsi="Times New Roman" w:eastAsia="方正仿宋_GBK"/>
          <w:b w:val="0"/>
          <w:sz w:val="24"/>
        </w:rPr>
        <w:t>的费用现值，单位万元；</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分别为主变、储能和线路投运项目集合。年度采购量、柜数与新线条数来自方案状态变化，费用复算按工程类型和投运年建立现金流。费用以万元计量。</w:t>
      </w:r>
    </w:p>
    <w:p w14:paraId="209647D5">
      <w:pPr>
        <w:pStyle w:val="5"/>
        <w:keepNext/>
        <w:numPr>
          <w:ilvl w:val="0"/>
          <w:numId w:val="0"/>
        </w:numPr>
        <w:spacing w:before="160" w:after="120" w:line="390" w:lineRule="exact"/>
        <w:ind w:firstLine="0"/>
      </w:pPr>
      <w:bookmarkStart w:id="172" w:name="评价期边界与费用解释"/>
      <w:r>
        <w:rPr>
          <w:rFonts w:ascii="Times New Roman" w:hAnsi="Times New Roman" w:eastAsia="方正仿宋_GBK"/>
          <w:b/>
          <w:sz w:val="26"/>
        </w:rPr>
        <w:t>4.6.4 评价期边界与费用解释</w:t>
      </w:r>
      <w:bookmarkEnd w:id="172"/>
    </w:p>
    <w:p w14:paraId="184D6B94">
      <w:pPr>
        <w:pStyle w:val="115"/>
        <w:widowControl/>
        <w:spacing w:before="0" w:after="0" w:line="348" w:lineRule="exact"/>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w:t>
      </w:r>
      <w:r>
        <w:rPr>
          <w:rFonts w:ascii="Times New Roman" w:hAnsi="Times New Roman" w:eastAsia="方正仿宋_GBK"/>
          <w:b w:val="0"/>
          <w:sz w:val="24"/>
        </w:rPr>
        <w:t xml:space="preserve">3</w:t>
      </w:r>
      <w:r>
        <w:rPr>
          <w:rFonts w:ascii="Times New Roman" w:hAnsi="Times New Roman" w:eastAsia="方正仿宋_GBK"/>
          <w:b w:val="0"/>
          <w:sz w:val="24"/>
        </w:rPr>
        <w:t xml:space="preserve">5年投运设备未在评价截止前触发更新，现值结果因而反映这一期间的建设和固定运维费用。</w:t>
      </w:r>
    </w:p>
    <w:p w14:paraId="2CE15A7E">
      <w:pPr>
        <w:pStyle w:val="2"/>
        <w:widowControl/>
        <w:spacing w:before="0" w:after="0" w:line="348" w:lineRule="exact"/>
        <w:ind w:firstLine="480"/>
        <w:jc w:val="both"/>
      </w:pPr>
      <w:r>
        <w:rPr>
          <w:rFonts w:ascii="Times New Roman" w:hAnsi="Times New Roman" w:eastAsia="方正仿宋_GBK"/>
          <w:b w:val="0"/>
          <w:sz w:val="24"/>
        </w:rPr>
        <w:t>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14:paraId="4B6F1707">
      <w:pPr>
        <w:pStyle w:val="5"/>
        <w:keepNext/>
        <w:numPr>
          <w:ilvl w:val="0"/>
          <w:numId w:val="0"/>
        </w:numPr>
        <w:spacing w:before="160" w:after="120" w:line="390" w:lineRule="exact"/>
        <w:ind w:firstLine="0"/>
      </w:pPr>
      <w:bookmarkStart w:id="173" w:name="主变更换与扩建的投资差异"/>
      <w:r>
        <w:rPr>
          <w:rFonts w:ascii="Times New Roman" w:hAnsi="Times New Roman" w:eastAsia="方正仿宋_GBK"/>
          <w:b/>
          <w:sz w:val="26"/>
        </w:rPr>
        <w:t>4.6.5 主变更换与扩建的投资差异</w:t>
      </w:r>
      <w:bookmarkEnd w:id="173"/>
    </w:p>
    <w:p w14:paraId="3DA971B9">
      <w:pPr>
        <w:pStyle w:val="115"/>
        <w:widowControl/>
        <w:spacing w:before="0" w:after="0" w:line="348" w:lineRule="exact"/>
        <w:ind w:firstLine="480"/>
        <w:jc w:val="both"/>
      </w:pPr>
      <w:r>
        <w:rPr>
          <w:rFonts w:ascii="Times New Roman" w:hAnsi="Times New Roman" w:eastAsia="方正仿宋_GBK"/>
          <w:b w:val="0"/>
          <w:sz w:val="24"/>
        </w:rPr>
        <w:t>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14:paraId="1AE85BA5">
      <w:pPr>
        <w:pStyle w:val="2"/>
        <w:widowControl/>
        <w:spacing w:before="0" w:after="0" w:line="348" w:lineRule="exact"/>
        <w:ind w:firstLine="480"/>
        <w:jc w:val="both"/>
      </w:pPr>
      <w:r>
        <w:rPr>
          <w:rFonts w:ascii="Times New Roman" w:hAnsi="Times New Roman" w:eastAsia="方正仿宋_GBK"/>
          <w:b w:val="0"/>
          <w:sz w:val="24"/>
        </w:rPr>
        <w:t>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14:paraId="2F11B168">
      <w:pPr>
        <w:pStyle w:val="2"/>
        <w:widowControl/>
        <w:spacing w:before="0" w:after="0" w:line="348" w:lineRule="exact"/>
        <w:ind w:firstLine="480"/>
        <w:jc w:val="both"/>
      </w:pPr>
      <w:r>
        <w:rPr>
          <w:rFonts w:ascii="Times New Roman" w:hAnsi="Times New Roman" w:eastAsia="方正仿宋_GBK"/>
          <w:b w:val="0"/>
          <w:sz w:val="24"/>
        </w:rPr>
        <w:t>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14:paraId="63606AE6">
      <w:pPr>
        <w:pStyle w:val="2"/>
        <w:widowControl/>
        <w:spacing w:before="0" w:after="0" w:line="348" w:lineRule="exact"/>
        <w:ind w:firstLine="480"/>
        <w:jc w:val="both"/>
      </w:pPr>
      <w:r>
        <w:rPr>
          <w:rFonts w:ascii="Times New Roman" w:hAnsi="Times New Roman" w:eastAsia="方正仿宋_GBK"/>
          <w:b w:val="0"/>
          <w:sz w:val="24"/>
        </w:rPr>
        <w:t>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14:paraId="5900C85A">
      <w:pPr>
        <w:pStyle w:val="2"/>
        <w:widowControl/>
        <w:spacing w:before="0" w:after="0" w:line="348" w:lineRule="exact"/>
        <w:ind w:firstLine="480"/>
        <w:jc w:val="both"/>
      </w:pPr>
      <w:r>
        <w:rPr>
          <w:rFonts w:ascii="Times New Roman" w:hAnsi="Times New Roman" w:eastAsia="方正仿宋_GBK"/>
          <w:b w:val="0"/>
          <w:sz w:val="24"/>
        </w:rPr>
        <w:t>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14:paraId="49A36DA9">
      <w:pPr>
        <w:pStyle w:val="5"/>
        <w:keepNext/>
        <w:numPr>
          <w:ilvl w:val="0"/>
          <w:numId w:val="0"/>
        </w:numPr>
        <w:spacing w:before="160" w:after="120" w:line="390" w:lineRule="exact"/>
        <w:ind w:firstLine="0"/>
      </w:pPr>
      <w:bookmarkStart w:id="174" w:name="联络与储能的费用响应"/>
      <w:r>
        <w:rPr>
          <w:rFonts w:ascii="Times New Roman" w:hAnsi="Times New Roman" w:eastAsia="方正仿宋_GBK"/>
          <w:b/>
          <w:sz w:val="26"/>
        </w:rPr>
        <w:t>4.6.6 联络与储能的费用响应</w:t>
      </w:r>
      <w:bookmarkEnd w:id="174"/>
    </w:p>
    <w:p w14:paraId="16DB536E">
      <w:pPr>
        <w:pStyle w:val="115"/>
        <w:widowControl/>
        <w:spacing w:before="0" w:after="0" w:line="348" w:lineRule="exact"/>
        <w:ind w:firstLine="480"/>
        <w:jc w:val="both"/>
      </w:pPr>
      <w:r>
        <w:rPr>
          <w:rFonts w:ascii="Times New Roman" w:hAnsi="Times New Roman" w:eastAsia="方正仿宋_GBK"/>
          <w:b w:val="0"/>
          <w:sz w:val="24"/>
        </w:rPr>
        <w:t>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14:paraId="71BA45D3">
      <w:pPr>
        <w:pStyle w:val="2"/>
        <w:widowControl/>
        <w:spacing w:before="0" w:after="0" w:line="348" w:lineRule="exact"/>
        <w:ind w:firstLine="480"/>
        <w:jc w:val="both"/>
      </w:pPr>
      <w:r>
        <w:rPr>
          <w:rFonts w:ascii="Times New Roman" w:hAnsi="Times New Roman" w:eastAsia="方正仿宋_GBK"/>
          <w:b w:val="0"/>
          <w:sz w:val="24"/>
        </w:rPr>
        <w:t>储能费用由新增柜数及单柜价格确定，有效支撑功率由额定功率、可用电量及持续时间共同确定。额定功率1.00 MW、额定能量2.15 MWh的储能配置，在2.00、4.00、6.00 h条件下的有效支撑功率分别为0.82、0.41、0.27 MW。改变持续时间后，应重新求解措施组合，改变价格时则保持持续时间及设备规格，单独检验经济响应。</w:t>
      </w:r>
    </w:p>
    <w:p w14:paraId="35B21903">
      <w:pPr>
        <w:pStyle w:val="2"/>
        <w:widowControl/>
        <w:spacing w:before="0" w:after="0" w:line="348" w:lineRule="exact"/>
        <w:ind w:firstLine="480"/>
        <w:jc w:val="both"/>
      </w:pPr>
      <w:r>
        <w:rPr>
          <w:rFonts w:ascii="Times New Roman" w:hAnsi="Times New Roman" w:eastAsia="方正仿宋_GBK"/>
          <w:b w:val="0"/>
          <w:sz w:val="24"/>
        </w:rPr>
        <w:t>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14:paraId="5E392CE8">
      <w:pPr>
        <w:pStyle w:val="3"/>
        <w:keepNext/>
        <w:pageBreakBefore/>
        <w:numPr>
          <w:ilvl w:val="0"/>
          <w:numId w:val="0"/>
        </w:numPr>
        <w:spacing w:before="0" w:after="120" w:line="540" w:lineRule="exact"/>
        <w:ind w:firstLine="0"/>
      </w:pPr>
      <w:bookmarkStart w:id="324" w:name="Report1017_h608"/>
      <w:bookmarkEnd w:id="324"/>
      <w:bookmarkStart w:id="175" w:name="h608"/>
      <w:bookmarkStart w:id="176" w:name="第五章-一片一策弹性容载比规划建议"/>
      <w:r>
        <w:rPr>
          <w:rFonts w:ascii="Times New Roman" w:hAnsi="Times New Roman" w:eastAsia="方正仿宋_GBK"/>
          <w:b/>
          <w:sz w:val="36"/>
        </w:rPr>
        <w:t>第五章 “一片一策”弹性容载比规划建议</w:t>
      </w:r>
      <w:bookmarkEnd w:id="175"/>
      <w:bookmarkEnd w:id="176"/>
    </w:p>
    <w:p w14:paraId="42E39606">
      <w:pPr>
        <w:pStyle w:val="115"/>
        <w:widowControl/>
        <w:spacing w:before="0" w:after="0" w:line="348" w:lineRule="exact"/>
        <w:ind w:firstLine="480"/>
        <w:jc w:val="both"/>
      </w:pPr>
      <w:r>
        <w:rPr>
          <w:rFonts w:ascii="Times New Roman" w:hAnsi="Times New Roman" w:eastAsia="方正仿宋_GBK"/>
          <w:b w:val="0"/>
          <w:sz w:val="24"/>
        </w:rPr>
        <w:t>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14:paraId="01DD1133">
      <w:pPr>
        <w:pStyle w:val="4"/>
        <w:keepNext/>
        <w:numPr>
          <w:ilvl w:val="0"/>
          <w:numId w:val="0"/>
        </w:numPr>
        <w:spacing w:before="160" w:after="120" w:line="480" w:lineRule="exact"/>
        <w:ind w:firstLine="0"/>
      </w:pPr>
      <w:bookmarkStart w:id="325" w:name="Report1017_h610"/>
      <w:bookmarkEnd w:id="325"/>
      <w:bookmarkStart w:id="177" w:name="寻优问题与共同起点"/>
      <w:bookmarkStart w:id="178" w:name="h610"/>
      <w:r>
        <w:rPr>
          <w:rFonts w:ascii="Times New Roman" w:hAnsi="Times New Roman" w:eastAsia="方正仿宋_GBK"/>
          <w:b/>
          <w:sz w:val="32"/>
        </w:rPr>
        <w:t>5.1 寻优问题与共同起点</w:t>
      </w:r>
      <w:bookmarkEnd w:id="177"/>
      <w:bookmarkEnd w:id="178"/>
    </w:p>
    <w:p w14:paraId="10CB3711">
      <w:pPr>
        <w:pStyle w:val="5"/>
        <w:keepNext/>
        <w:numPr>
          <w:ilvl w:val="0"/>
          <w:numId w:val="0"/>
        </w:numPr>
        <w:spacing w:before="160" w:after="120" w:line="390" w:lineRule="exact"/>
        <w:ind w:firstLine="0"/>
      </w:pPr>
      <w:bookmarkStart w:id="179" w:name="年度负荷与共同仿真起点"/>
      <w:r>
        <w:rPr>
          <w:rFonts w:ascii="Times New Roman" w:hAnsi="Times New Roman" w:eastAsia="方正仿宋_GBK"/>
          <w:b/>
          <w:sz w:val="26"/>
        </w:rPr>
        <w:t>5.1.1 年度负荷与共同仿真起点</w:t>
      </w:r>
      <w:bookmarkEnd w:id="179"/>
    </w:p>
    <w:p w14:paraId="6132DCB5">
      <w:pPr>
        <w:pStyle w:val="115"/>
        <w:widowControl/>
        <w:spacing w:before="0" w:after="0" w:line="348" w:lineRule="exact"/>
        <w:ind w:firstLine="480"/>
        <w:jc w:val="both"/>
      </w:pPr>
      <w:r>
        <w:rPr>
          <w:rFonts w:ascii="Times New Roman" w:hAnsi="Times New Roman" w:eastAsia="方正仿宋_GBK"/>
          <w:b w:val="0"/>
          <w:sz w:val="24"/>
        </w:rPr>
        <w:t xml:space="preserve">两类方案</w:t>
      </w:r>
      <w:r>
        <w:rPr>
          <w:rFonts w:ascii="Times New Roman" w:hAnsi="Times New Roman" w:eastAsia="方正仿宋_GBK"/>
          <w:b w:val="0"/>
          <w:sz w:val="24"/>
        </w:rPr>
        <w:t xml:space="preserve">均以2021年实际地</w:t>
      </w:r>
      <w:r>
        <w:rPr>
          <w:rFonts w:ascii="Times New Roman" w:hAnsi="Times New Roman" w:eastAsia="方正仿宋_GBK"/>
          <w:b w:val="0"/>
          <w:sz w:val="24"/>
        </w:rPr>
        <w:t xml:space="preserve">区</w:t>
      </w:r>
      <w:r>
        <w:rPr>
          <w:rFonts w:ascii="Times New Roman" w:hAnsi="Times New Roman" w:eastAsia="方正仿宋_GBK"/>
          <w:b w:val="0"/>
          <w:sz w:val="24"/>
        </w:rPr>
        <w:t xml:space="preserve">主变</w:t>
      </w:r>
      <w:r>
        <w:rPr>
          <w:rFonts w:ascii="Times New Roman" w:hAnsi="Times New Roman" w:eastAsia="方正仿宋_GBK"/>
          <w:b w:val="0"/>
          <w:sz w:val="24"/>
        </w:rPr>
        <w:t xml:space="preserve">容量为</w:t>
      </w:r>
      <w:r>
        <w:rPr>
          <w:rFonts w:ascii="Times New Roman" w:hAnsi="Times New Roman" w:eastAsia="方正仿宋_GBK"/>
          <w:b w:val="0"/>
          <w:sz w:val="24"/>
        </w:rPr>
        <w:t xml:space="preserve">共同起点，市区3113.50 MVA、邳州</w:t>
      </w:r>
      <w:r>
        <w:rPr>
          <w:rFonts w:ascii="Times New Roman" w:hAnsi="Times New Roman" w:eastAsia="方正仿宋_GBK"/>
          <w:b w:val="0"/>
          <w:sz w:val="24"/>
        </w:rPr>
        <w:t xml:space="preserve">2</w:t>
      </w:r>
      <w:r>
        <w:rPr>
          <w:rFonts w:ascii="Times New Roman" w:hAnsi="Times New Roman" w:eastAsia="方正仿宋_GBK"/>
          <w:b w:val="0"/>
          <w:sz w:val="24"/>
        </w:rPr>
        <w:t xml:space="preserve">0</w:t>
      </w:r>
      <w:r>
        <w:rPr>
          <w:rFonts w:ascii="Times New Roman" w:hAnsi="Times New Roman" w:eastAsia="方正仿宋_GBK"/>
          <w:b w:val="0"/>
          <w:sz w:val="24"/>
        </w:rPr>
        <w:t xml:space="preserve">27</w:t>
      </w:r>
      <w:r>
        <w:rPr>
          <w:rFonts w:ascii="Times New Roman" w:hAnsi="Times New Roman" w:eastAsia="方正仿宋_GBK"/>
          <w:b w:val="0"/>
          <w:sz w:val="24"/>
        </w:rPr>
        <w:t xml:space="preserve">.00 MVA，</w:t>
      </w:r>
      <w:r>
        <w:rPr>
          <w:rFonts w:ascii="Times New Roman" w:hAnsi="Times New Roman" w:eastAsia="方正仿宋_GBK"/>
          <w:b w:val="0"/>
          <w:sz w:val="24"/>
        </w:rPr>
        <w:t xml:space="preserve">对应</w:t>
      </w:r>
      <w:r>
        <w:rPr>
          <w:rFonts w:ascii="Times New Roman" w:hAnsi="Times New Roman" w:eastAsia="方正仿宋_GBK"/>
          <w:b w:val="0"/>
          <w:sz w:val="24"/>
        </w:rPr>
        <w:t xml:space="preserve">基期容载比</w:t>
      </w:r>
      <w:r>
        <w:rPr>
          <w:rFonts w:ascii="Times New Roman" w:hAnsi="Times New Roman" w:eastAsia="方正仿宋_GBK"/>
          <w:b w:val="0"/>
          <w:sz w:val="24"/>
        </w:rPr>
        <w:t xml:space="preserve">分别</w:t>
      </w:r>
      <w:r>
        <w:rPr>
          <w:rFonts w:ascii="Times New Roman" w:hAnsi="Times New Roman" w:eastAsia="方正仿宋_GBK"/>
          <w:b w:val="0"/>
          <w:sz w:val="24"/>
        </w:rPr>
        <w:t xml:space="preserve">为2.</w:t>
      </w:r>
      <w:r>
        <w:rPr>
          <w:rFonts w:ascii="Times New Roman" w:hAnsi="Times New Roman" w:eastAsia="方正仿宋_GBK"/>
          <w:b w:val="0"/>
          <w:sz w:val="24"/>
        </w:rPr>
        <w:t xml:space="preserve">15和2.77。逐站初始组合按地区容量及设备对应资料标定。2</w:t>
      </w:r>
      <w:r>
        <w:rPr>
          <w:rFonts w:ascii="Times New Roman" w:hAnsi="Times New Roman" w:eastAsia="方正仿宋_GBK"/>
          <w:b w:val="0"/>
          <w:sz w:val="24"/>
        </w:rPr>
        <w:t xml:space="preserve">0</w:t>
      </w:r>
      <w:r>
        <w:rPr>
          <w:rFonts w:ascii="Times New Roman" w:hAnsi="Times New Roman" w:eastAsia="方正仿宋_GBK"/>
          <w:b w:val="0"/>
          <w:sz w:val="24"/>
        </w:rPr>
        <w:t xml:space="preserve">22—2</w:t>
      </w:r>
      <w:r>
        <w:rPr>
          <w:rFonts w:ascii="Times New Roman" w:hAnsi="Times New Roman" w:eastAsia="方正仿宋_GBK"/>
          <w:b w:val="0"/>
          <w:sz w:val="24"/>
        </w:rPr>
        <w:t xml:space="preserve">0</w:t>
      </w:r>
      <w:r>
        <w:rPr>
          <w:rFonts w:ascii="Times New Roman" w:hAnsi="Times New Roman" w:eastAsia="方正仿宋_GBK"/>
          <w:b w:val="0"/>
          <w:sz w:val="24"/>
        </w:rPr>
        <w:t xml:space="preserve">35年逐年承接上一年度</w:t>
      </w:r>
      <w:r>
        <w:rPr>
          <w:rFonts w:ascii="Times New Roman" w:hAnsi="Times New Roman" w:eastAsia="方正仿宋_GBK"/>
          <w:b w:val="0"/>
          <w:sz w:val="24"/>
        </w:rPr>
        <w:t xml:space="preserve">在役</w:t>
      </w:r>
      <w:r>
        <w:rPr>
          <w:rFonts w:ascii="Times New Roman" w:hAnsi="Times New Roman" w:eastAsia="方正仿宋_GBK"/>
          <w:b w:val="0"/>
          <w:sz w:val="24"/>
        </w:rPr>
        <w:t xml:space="preserve">主变、储能和联络，只根据当</w:t>
      </w:r>
      <w:r>
        <w:rPr>
          <w:rFonts w:ascii="Times New Roman" w:hAnsi="Times New Roman" w:eastAsia="方正仿宋_GBK"/>
          <w:b w:val="0"/>
          <w:sz w:val="24"/>
        </w:rPr>
        <w:t xml:space="preserve">年</w:t>
      </w:r>
      <w:r>
        <w:rPr>
          <w:rFonts w:ascii="Times New Roman" w:hAnsi="Times New Roman" w:eastAsia="方正仿宋_GBK"/>
          <w:b w:val="0"/>
          <w:sz w:val="24"/>
        </w:rPr>
        <w:t xml:space="preserve">源荷及共同技术条件选择新增工程</w:t>
      </w:r>
      <w:r>
        <w:rPr>
          <w:rFonts w:ascii="Times New Roman" w:hAnsi="Times New Roman" w:eastAsia="方正仿宋_GBK"/>
          <w:b w:val="0"/>
          <w:sz w:val="24"/>
        </w:rPr>
        <w:t xml:space="preserve">。</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（5-1）</w:t>
            </w:r>
          </w:p>
        </w:tc>
      </w:tr>
    </w:tbl>
    <w:p>
      <w:pPr>
        <w:pStyle w:val="115"/>
        <w:widowControl/>
        <w:spacing w:line="348" w:lineRule="exact" w:before="0" w:after="0"/>
        <w:ind w:firstLine="0" w:left="0" w:right="0" w:firstLineChars="0" w:hanging="0" w:hangingChars="0" w:start="0" w:end="0" w:leftChars="0" w:rightChars="0" w:startChars="0" w:endChars="0"/>
        <w:jc w:val="both"/>
        <w:rPr/>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的2021年初始主变总容量，单位MVA；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年的年度统计网供最大负荷，单位MW。2021—2025年采用同范围年度统计，2026—2035年采用区域负荷预测相对2025年的比例缩放规划峰值。</w:t>
      </w:r>
    </w:p>
    <w:p w14:paraId="0C953D84">
      <w:pPr>
        <w:pStyle w:val="2"/>
        <w:keepNext/>
        <w:spacing w:before="120" w:after="80" w:line="280" w:lineRule="exact"/>
        <w:ind w:firstLine="0"/>
        <w:jc w:val="center"/>
      </w:pPr>
      <w:r>
        <w:rPr>
          <w:rFonts w:ascii="Times New Roman" w:hAnsi="Times New Roman" w:eastAsia="宋体"/>
          <w:b w:val="0"/>
          <w:sz w:val="21"/>
        </w:rPr>
        <w:t xml:space="preserve">表5-1 </w:t>
      </w:r>
      <w:r>
        <w:rPr>
          <w:rFonts w:ascii="Times New Roman" w:hAnsi="Times New Roman" w:eastAsia="宋体"/>
          <w:b w:val="0"/>
          <w:sz w:val="21"/>
        </w:rPr>
        <w:t xml:space="preserve">两地区共同基期及规划年度</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2021主变容量/MVA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2021年网供最大负荷/MW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2021容载比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规划年度</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731.77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2022—2035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2022—2035</w:t>
            </w:r>
          </w:p>
        </w:tc>
      </w:tr>
    </w:tbl>
    <w:p w14:paraId="54CE905B">
      <w:pPr>
        <w:pStyle w:val="2"/>
        <w:widowControl/>
        <w:spacing w:before="0" w:after="0" w:line="348" w:lineRule="exact"/>
        <w:ind w:firstLine="480"/>
        <w:jc w:val="both"/>
      </w:pPr>
      <w:r>
        <w:rPr>
          <w:rFonts w:ascii="Times New Roman" w:hAnsi="Times New Roman" w:eastAsia="方正仿宋_GBK"/>
          <w:b w:val="0"/>
          <w:sz w:val="24"/>
        </w:rPr>
        <w:t xml:space="preserve">2021—2024年小时源荷根据2025年站级模板及</w:t>
      </w:r>
      <w:r>
        <w:rPr>
          <w:rFonts w:ascii="Times New Roman" w:hAnsi="Times New Roman" w:eastAsia="方正仿宋_GBK"/>
          <w:b w:val="0"/>
          <w:sz w:val="24"/>
        </w:rPr>
        <w:t xml:space="preserve">各</w:t>
      </w:r>
      <w:r>
        <w:rPr>
          <w:rFonts w:ascii="Times New Roman" w:hAnsi="Times New Roman" w:eastAsia="方正仿宋_GBK"/>
          <w:b w:val="0"/>
          <w:sz w:val="24"/>
        </w:rPr>
        <w:t xml:space="preserve">年光伏规模回算，负荷</w:t>
      </w:r>
      <w:r>
        <w:rPr>
          <w:rFonts w:ascii="Times New Roman" w:hAnsi="Times New Roman" w:eastAsia="方正仿宋_GBK"/>
          <w:b w:val="0"/>
          <w:sz w:val="24"/>
        </w:rPr>
        <w:t xml:space="preserve">按</w:t>
      </w:r>
      <w:r>
        <w:rPr>
          <w:rFonts w:ascii="Times New Roman" w:hAnsi="Times New Roman" w:eastAsia="方正仿宋_GBK"/>
          <w:b w:val="0"/>
          <w:sz w:val="24"/>
        </w:rPr>
        <w:t xml:space="preserve">原年度</w:t>
      </w:r>
      <w:r>
        <w:rPr>
          <w:rFonts w:ascii="Times New Roman" w:hAnsi="Times New Roman" w:eastAsia="方正仿宋_GBK"/>
          <w:b w:val="0"/>
          <w:sz w:val="24"/>
        </w:rPr>
        <w:t xml:space="preserve">区域正向峰值</w:t>
      </w:r>
      <w:r>
        <w:rPr>
          <w:rFonts w:ascii="Times New Roman" w:hAnsi="Times New Roman" w:eastAsia="方正仿宋_GBK"/>
          <w:b w:val="0"/>
          <w:sz w:val="24"/>
        </w:rPr>
        <w:t xml:space="preserve">标定；2025年沿用站级小时样本。未来源荷按区域</w:t>
      </w:r>
      <w:r>
        <w:rPr>
          <w:rFonts w:ascii="Times New Roman" w:hAnsi="Times New Roman" w:eastAsia="方正仿宋_GBK"/>
          <w:b w:val="0"/>
          <w:sz w:val="24"/>
        </w:rPr>
        <w:t xml:space="preserve">负荷</w:t>
      </w:r>
      <w:r>
        <w:rPr>
          <w:rFonts w:ascii="Times New Roman" w:hAnsi="Times New Roman" w:eastAsia="方正仿宋_GBK"/>
          <w:b w:val="0"/>
          <w:sz w:val="24"/>
        </w:rPr>
        <w:t xml:space="preserve">预测及全市光伏装机相对2025年的比例缩放，站点空间</w:t>
      </w:r>
      <w:r>
        <w:rPr>
          <w:rFonts w:ascii="Times New Roman" w:hAnsi="Times New Roman" w:eastAsia="方正仿宋_GBK"/>
          <w:b w:val="0"/>
          <w:sz w:val="24"/>
        </w:rPr>
        <w:t xml:space="preserve">分配</w:t>
      </w:r>
      <w:r>
        <w:rPr>
          <w:rFonts w:ascii="Times New Roman" w:hAnsi="Times New Roman" w:eastAsia="方正仿宋_GBK"/>
          <w:b w:val="0"/>
          <w:sz w:val="24"/>
        </w:rPr>
        <w:t xml:space="preserve">继承基准模板。历史回算与未来预测均保留所采用的补值</w:t>
      </w:r>
      <w:r>
        <w:rPr>
          <w:rFonts w:ascii="Times New Roman" w:hAnsi="Times New Roman" w:eastAsia="方正仿宋_GBK"/>
          <w:b w:val="0"/>
          <w:sz w:val="24"/>
        </w:rPr>
        <w:t xml:space="preserve">，</w:t>
      </w:r>
      <w:r>
        <w:rPr>
          <w:rFonts w:ascii="Times New Roman" w:hAnsi="Times New Roman" w:eastAsia="方正仿宋_GBK"/>
          <w:b w:val="0"/>
          <w:sz w:val="24"/>
        </w:rPr>
        <w:t xml:space="preserve">年度规</w:t>
      </w:r>
      <w:r>
        <w:rPr>
          <w:rFonts w:ascii="Times New Roman" w:hAnsi="Times New Roman" w:eastAsia="方正仿宋_GBK"/>
          <w:b w:val="0"/>
          <w:sz w:val="24"/>
        </w:rPr>
        <w:t xml:space="preserve">划峰值继续使用同范围年度统计及其预测外推值</w:t>
      </w:r>
      <w:r>
        <w:rPr>
          <w:rFonts w:ascii="Times New Roman" w:hAnsi="Times New Roman" w:eastAsia="方正仿宋_GBK"/>
          <w:b w:val="0"/>
          <w:sz w:val="24"/>
        </w:rPr>
        <w:t xml:space="preserve">。</w:t>
      </w:r>
    </w:p>
    <w:p w14:paraId="74659D0C">
      <w:pPr>
        <w:pStyle w:val="5"/>
        <w:keepNext/>
        <w:numPr>
          <w:ilvl w:val="0"/>
          <w:numId w:val="0"/>
        </w:numPr>
        <w:spacing w:before="160" w:after="120" w:line="390" w:lineRule="exact"/>
        <w:ind w:firstLine="0"/>
      </w:pPr>
      <w:bookmarkStart w:id="180" w:name="刚性与弹性方案"/>
      <w:r>
        <w:rPr>
          <w:rFonts w:ascii="Times New Roman" w:hAnsi="Times New Roman" w:eastAsia="方正仿宋_GBK"/>
          <w:b/>
          <w:sz w:val="26"/>
        </w:rPr>
        <w:t>5.1.2 刚性与弹性方案</w:t>
      </w:r>
      <w:bookmarkEnd w:id="180"/>
    </w:p>
    <w:p w14:paraId="5D965E3C">
      <w:pPr>
        <w:pStyle w:val="115"/>
        <w:widowControl/>
        <w:spacing w:before="0" w:after="0" w:line="348" w:lineRule="exact"/>
        <w:ind w:firstLine="480"/>
        <w:jc w:val="both"/>
      </w:pPr>
      <w:r>
        <w:rPr>
          <w:rFonts w:ascii="Times New Roman" w:hAnsi="Times New Roman" w:eastAsia="方正仿宋_GBK"/>
          <w:b w:val="0"/>
          <w:sz w:val="24"/>
        </w:rPr>
        <w:t xml:space="preserve">主变总容量随建设投运保持非减</w:t>
      </w:r>
      <w:r>
        <w:rPr>
          <w:rFonts w:ascii="Times New Roman" w:hAnsi="Times New Roman" w:eastAsia="方正仿宋_GBK"/>
          <w:b w:val="0"/>
          <w:sz w:val="24"/>
        </w:rPr>
        <w:t xml:space="preserve">。</w:t>
      </w:r>
      <w:r>
        <w:rPr>
          <w:rFonts w:ascii="Times New Roman" w:hAnsi="Times New Roman" w:eastAsia="方正仿宋_GBK"/>
          <w:b w:val="0"/>
          <w:sz w:val="24"/>
        </w:rPr>
        <w:t xml:space="preserve">刚性方案新增扩容</w:t>
      </w:r>
      <w:r>
        <w:rPr>
          <w:rFonts w:ascii="Times New Roman" w:hAnsi="Times New Roman" w:eastAsia="方正仿宋_GBK"/>
          <w:b w:val="0"/>
          <w:sz w:val="24"/>
        </w:rPr>
        <w:t xml:space="preserve">上限取上</w:t>
      </w:r>
      <w:r>
        <w:rPr>
          <w:rFonts w:ascii="Times New Roman" w:hAnsi="Times New Roman" w:eastAsia="方正仿宋_GBK"/>
          <w:b w:val="0"/>
          <w:sz w:val="24"/>
        </w:rPr>
        <w:t xml:space="preserve">年</w:t>
      </w:r>
      <w:r>
        <w:rPr>
          <w:rFonts w:ascii="Times New Roman" w:hAnsi="Times New Roman" w:eastAsia="方正仿宋_GBK"/>
          <w:b w:val="0"/>
          <w:sz w:val="24"/>
        </w:rPr>
        <w:t xml:space="preserve">在役容量</w:t>
      </w:r>
      <w:r>
        <w:rPr>
          <w:rFonts w:ascii="Times New Roman" w:hAnsi="Times New Roman" w:eastAsia="方正仿宋_GBK"/>
          <w:b w:val="0"/>
          <w:sz w:val="24"/>
        </w:rPr>
        <w:t xml:space="preserve">与当年规划峰值两倍的较大值，</w:t>
      </w:r>
      <w:r>
        <w:rPr>
          <w:rFonts w:ascii="Times New Roman" w:hAnsi="Times New Roman" w:eastAsia="方正仿宋_GBK"/>
          <w:b w:val="0"/>
          <w:sz w:val="24"/>
        </w:rPr>
        <w:t xml:space="preserve">弹性方案取消</w:t>
      </w:r>
      <w:r>
        <w:rPr>
          <w:rFonts w:ascii="Times New Roman" w:hAnsi="Times New Roman" w:eastAsia="方正仿宋_GBK"/>
          <w:b w:val="0"/>
          <w:sz w:val="24"/>
        </w:rPr>
        <w:t xml:space="preserve">这一</w:t>
      </w:r>
      <w:r>
        <w:rPr>
          <w:rFonts w:ascii="Times New Roman" w:hAnsi="Times New Roman" w:eastAsia="方正仿宋_GBK"/>
          <w:b w:val="0"/>
          <w:sz w:val="24"/>
        </w:rPr>
        <w:t xml:space="preserve">新增容量</w:t>
      </w:r>
      <w:r>
        <w:rPr>
          <w:rFonts w:ascii="Times New Roman" w:hAnsi="Times New Roman" w:eastAsia="方正仿宋_GBK"/>
          <w:b w:val="0"/>
          <w:sz w:val="24"/>
        </w:rPr>
        <w:t xml:space="preserve">上限；两方案同地区同年度的容载比下限一致。弹性方案先比较新增储能与联络配套费用</w:t>
      </w:r>
      <w:r>
        <w:rPr>
          <w:rFonts w:ascii="Times New Roman" w:hAnsi="Times New Roman" w:eastAsia="方正仿宋_GBK"/>
          <w:b w:val="0"/>
          <w:sz w:val="24"/>
        </w:rPr>
        <w:t xml:space="preserve">，在</w:t>
      </w:r>
      <w:r>
        <w:rPr>
          <w:rFonts w:ascii="Times New Roman" w:hAnsi="Times New Roman" w:eastAsia="方正仿宋_GBK"/>
          <w:b w:val="0"/>
          <w:sz w:val="24"/>
        </w:rPr>
        <w:t xml:space="preserve">配套</w:t>
      </w:r>
      <w:r>
        <w:rPr>
          <w:rFonts w:ascii="Times New Roman" w:hAnsi="Times New Roman" w:eastAsia="方正仿宋_GBK"/>
          <w:b w:val="0"/>
          <w:sz w:val="24"/>
        </w:rPr>
        <w:t xml:space="preserve">费用</w:t>
      </w:r>
      <w:r>
        <w:rPr>
          <w:rFonts w:ascii="Times New Roman" w:hAnsi="Times New Roman" w:eastAsia="方正仿宋_GBK"/>
          <w:b w:val="0"/>
          <w:sz w:val="24"/>
        </w:rPr>
        <w:t xml:space="preserve">参考</w:t>
      </w:r>
      <w:r>
        <w:rPr>
          <w:rFonts w:ascii="Times New Roman" w:hAnsi="Times New Roman" w:eastAsia="方正仿宋_GBK"/>
          <w:b w:val="0"/>
          <w:sz w:val="24"/>
        </w:rPr>
        <w:t xml:space="preserve">值20</w:t>
      </w:r>
      <w:r>
        <w:rPr>
          <w:rFonts w:ascii="Times New Roman" w:hAnsi="Times New Roman" w:eastAsia="方正仿宋_GBK"/>
          <w:b w:val="0"/>
          <w:sz w:val="24"/>
        </w:rPr>
        <w:t xml:space="preserve">%以内优先</w:t>
      </w:r>
      <w:r>
        <w:rPr>
          <w:rFonts w:ascii="Times New Roman" w:hAnsi="Times New Roman" w:eastAsia="方正仿宋_GBK"/>
          <w:b w:val="0"/>
          <w:sz w:val="24"/>
        </w:rPr>
        <w:t xml:space="preserve">减少</w:t>
      </w:r>
      <w:r>
        <w:rPr>
          <w:rFonts w:ascii="Times New Roman" w:hAnsi="Times New Roman" w:eastAsia="方正仿宋_GBK"/>
          <w:b w:val="0"/>
          <w:sz w:val="24"/>
        </w:rPr>
        <w:t xml:space="preserve">联络</w:t>
      </w:r>
      <w:r>
        <w:rPr>
          <w:rFonts w:ascii="Times New Roman" w:hAnsi="Times New Roman" w:eastAsia="方正仿宋_GBK"/>
          <w:b w:val="0"/>
          <w:sz w:val="24"/>
        </w:rPr>
        <w:t xml:space="preserve">，再比较当年总费用</w:t>
      </w:r>
      <w:r>
        <w:rPr>
          <w:rFonts w:ascii="Times New Roman" w:hAnsi="Times New Roman" w:eastAsia="方正仿宋_GBK"/>
          <w:b w:val="0"/>
          <w:sz w:val="24"/>
        </w:rPr>
        <w:t xml:space="preserve">。</w:t>
      </w:r>
      <w:r>
        <w:rPr>
          <w:rFonts w:ascii="Times New Roman" w:hAnsi="Times New Roman" w:eastAsia="方正仿宋_GBK"/>
          <w:b w:val="0"/>
          <w:sz w:val="24"/>
        </w:rPr>
        <w:t xml:space="preserve">各年按本站源荷</w:t>
      </w:r>
      <w:r>
        <w:rPr>
          <w:rFonts w:ascii="Times New Roman" w:hAnsi="Times New Roman" w:eastAsia="方正仿宋_GBK"/>
          <w:b w:val="0"/>
          <w:sz w:val="24"/>
        </w:rPr>
        <w:t xml:space="preserve">、</w:t>
      </w:r>
      <w:r>
        <w:rPr>
          <w:rFonts w:ascii="Times New Roman" w:hAnsi="Times New Roman" w:eastAsia="方正仿宋_GBK"/>
          <w:b w:val="0"/>
          <w:sz w:val="24"/>
        </w:rPr>
        <w:t xml:space="preserve">候选主变、可</w:t>
      </w:r>
      <w:r>
        <w:rPr>
          <w:rFonts w:ascii="Times New Roman" w:hAnsi="Times New Roman" w:eastAsia="方正仿宋_GBK"/>
          <w:b w:val="0"/>
          <w:sz w:val="24"/>
        </w:rPr>
        <w:t xml:space="preserve">扩建位置</w:t>
      </w:r>
      <w:r>
        <w:rPr>
          <w:rFonts w:ascii="Times New Roman" w:hAnsi="Times New Roman" w:eastAsia="方正仿宋_GBK"/>
          <w:b w:val="0"/>
          <w:sz w:val="24"/>
        </w:rPr>
        <w:t xml:space="preserve">及可用通道形成具体可行配置</w:t>
      </w:r>
      <w:r>
        <w:rPr>
          <w:rFonts w:ascii="Times New Roman" w:hAnsi="Times New Roman" w:eastAsia="方正仿宋_GBK"/>
          <w:b w:val="0"/>
          <w:sz w:val="24"/>
        </w:rPr>
        <w:t xml:space="preserve">。</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（5-2）</w:t>
            </w:r>
          </w:p>
        </w:tc>
      </w:tr>
    </w:tbl>
    <w:p>
      <w:pPr>
        <w:pStyle w:val="115"/>
        <w:widowControl/>
        <w:spacing w:line="348" w:lineRule="exact" w:before="0" w:after="0"/>
        <w:ind w:firstLine="0" w:left="0" w:right="0" w:firstLineChars="0" w:hanging="0" w:hangingChars="0" w:start="0" w:end="0" w:leftChars="0" w:rightChars="0" w:startChars="0" w:endChars="0"/>
        <w:jc w:val="both"/>
        <w:rPr/>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两方案共同的年度容载比下限，按同地区对应规划阶段设置，2021—2025年市区1.50、邳州1.70，2026—2030年市区1.60、邳州1.70，2031—2035年均为1.60。两方案均以同年规划峰值计算容载比，实际年度分档建议另按第5.4.3节对照[8]。</w:t>
      </w:r>
    </w:p>
    <w:p w14:paraId="21483C07">
      <w:pPr>
        <w:pStyle w:val="2"/>
        <w:widowControl/>
        <w:spacing w:before="0" w:after="0" w:line="348" w:lineRule="exact"/>
        <w:ind w:firstLine="480"/>
        <w:jc w:val="both"/>
      </w:pPr>
      <w:r>
        <w:rPr>
          <w:rFonts w:ascii="Times New Roman" w:hAnsi="Times New Roman" w:eastAsia="方正仿宋_GBK"/>
          <w:b w:val="0"/>
          <w:sz w:val="24"/>
        </w:rPr>
        <w:t>在明确两类方案的容量约束后，进一步分析光伏增长可能带来的反向容量需求。以下用屋顶资源和政策发展目标构造源荷情景，相应可选主变容量仍由站址、设备候选及网络条件确定。</w:t>
      </w:r>
    </w:p>
    <w:p w14:paraId="38398E61">
      <w:pPr>
        <w:pStyle w:val="2"/>
        <w:widowControl/>
        <w:spacing w:before="0" w:after="0" w:line="348" w:lineRule="exact"/>
        <w:ind w:firstLine="480"/>
        <w:jc w:val="both"/>
      </w:pPr>
      <w:r>
        <w:rPr>
          <w:rFonts w:ascii="Times New Roman" w:hAnsi="Times New Roman" w:eastAsia="方正仿宋_GBK"/>
          <w:b w:val="0"/>
          <w:sz w:val="24"/>
        </w:rPr>
        <w:t>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14:paraId="22369F35">
      <w:pPr>
        <w:pStyle w:val="2"/>
        <w:widowControl/>
        <w:spacing w:before="0" w:after="0" w:line="348" w:lineRule="exact"/>
        <w:ind w:firstLine="480"/>
        <w:jc w:val="both"/>
      </w:pPr>
      <w:r>
        <w:rPr>
          <w:rFonts w:ascii="Times New Roman" w:hAnsi="Times New Roman" w:eastAsia="方正仿宋_GBK"/>
          <w:b w:val="0"/>
          <w:sz w:val="24"/>
        </w:rPr>
        <w:t>屋顶光伏装机容量按</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roof</m:t>
            </m:r>
          </m:sub>
        </m:sSub>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Afd</m:t>
        </m:r>
        <m:r>
          <m:rPr>
            <m:nor/>
            <m:sty m:val="p"/>
          </m:rPr>
          <w:rPr>
            <w:rFonts w:ascii="Times New Roman" w:hAnsi="Times New Roman" w:eastAsia="方正仿宋_GBK" w:cs="Times New Roman"/>
            <w:b w:val="0"/>
            <w:i w:val="0"/>
            <w:iCs w:val="0"/>
          </w:rPr>
          <m:t>/1000</m:t>
        </m:r>
      </m:oMath>
      <w:r>
        <w:rPr>
          <w:rFonts w:ascii="Times New Roman" w:hAnsi="Times New Roman" w:eastAsia="方正仿宋_GBK"/>
          <w:b w:val="0"/>
          <w:sz w:val="24"/>
        </w:rPr>
        <w:t>估算。其中，</w:t>
      </w:r>
      <m:oMath>
        <m:r>
          <m:rPr>
            <m:nor/>
          </m:rPr>
          <w:rPr>
            <w:rFonts w:ascii="Times New Roman" w:hAnsi="Times New Roman" w:eastAsia="方正仿宋_GBK" w:cs="Times New Roman"/>
            <w:i/>
            <w:iCs/>
          </w:rPr>
          <m:t>A</m:t>
        </m:r>
      </m:oMath>
      <w:r>
        <w:rPr>
          <w:rFonts w:ascii="Times New Roman" w:hAnsi="Times New Roman" w:eastAsia="方正仿宋_GBK"/>
          <w:b w:val="0"/>
          <w:sz w:val="24"/>
        </w:rPr>
        <w:t>为调查屋顶面积，单位m²；</w:t>
      </w:r>
      <m:oMath>
        <m:r>
          <m:rPr>
            <m:nor/>
          </m:rPr>
          <w:rPr>
            <w:rFonts w:ascii="Times New Roman" w:hAnsi="Times New Roman" w:eastAsia="方正仿宋_GBK" w:cs="Times New Roman"/>
            <w:i/>
            <w:iCs/>
          </w:rPr>
          <m:t>f</m:t>
        </m:r>
      </m:oMath>
      <w:r>
        <w:rPr>
          <w:rFonts w:ascii="Times New Roman" w:hAnsi="Times New Roman" w:eastAsia="方正仿宋_GBK"/>
          <w:b w:val="0"/>
          <w:sz w:val="24"/>
        </w:rPr>
        <w:t>为屋顶可利用比例；</w:t>
      </w:r>
      <m:oMath>
        <m:r>
          <m:rPr>
            <m:nor/>
          </m:rPr>
          <w:rPr>
            <w:rFonts w:ascii="Times New Roman" w:hAnsi="Times New Roman" w:eastAsia="方正仿宋_GBK" w:cs="Times New Roman"/>
            <w:i/>
            <w:iCs/>
          </w:rPr>
          <m:t>d</m:t>
        </m:r>
      </m:oMath>
      <w:r>
        <w:rPr>
          <w:rFonts w:ascii="Times New Roman" w:hAnsi="Times New Roman" w:eastAsia="方正仿宋_GBK"/>
          <w:b w:val="0"/>
          <w:sz w:val="24"/>
        </w:rPr>
        <w:t>为单位可用面积装机密度，单位kWp/m²；</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roof</m:t>
            </m:r>
          </m:sub>
        </m:sSub>
      </m:oMath>
      <w:r>
        <w:rPr>
          <w:rFonts w:ascii="Times New Roman" w:hAnsi="Times New Roman" w:eastAsia="方正仿宋_GBK"/>
          <w:b w:val="0"/>
          <w:sz w:val="24"/>
        </w:rPr>
        <w:t>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14:paraId="1C2CCB1C">
      <w:pPr>
        <w:pStyle w:val="2"/>
        <w:keepNext/>
        <w:spacing w:before="120" w:after="80" w:line="280" w:lineRule="exact"/>
        <w:ind w:firstLine="0"/>
        <w:jc w:val="center"/>
      </w:pPr>
      <w:r>
        <w:rPr>
          <w:rFonts w:ascii="Times New Roman" w:hAnsi="Times New Roman" w:eastAsia="宋体"/>
          <w:b w:val="0"/>
          <w:sz w:val="21"/>
        </w:rPr>
        <w:t>表5-2 不同屋顶可利用比例下的光伏装机容量估算</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70AD81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2C20AB3">
            <w:pPr>
              <w:keepNext/>
              <w:spacing w:before="20" w:after="20" w:line="260" w:lineRule="exact"/>
              <w:ind w:left="0" w:leftChars="0" w:right="0" w:rightChars="0" w:firstLine="0" w:firstLineChars="0"/>
              <w:jc w:val="center"/>
            </w:pPr>
            <w:r>
              <w:rPr>
                <w:rFonts w:ascii="Times New Roman" w:hAnsi="Times New Roman" w:eastAsia="宋体"/>
                <w:b/>
                <w:sz w:val="18"/>
              </w:rPr>
              <w:t>行政范围</w:t>
            </w:r>
          </w:p>
        </w:tc>
        <w:tc>
          <w:tcPr>
            <w:tcW w:w="1662" w:type="dxa"/>
            <w:tcMar>
              <w:left w:w="70" w:type="dxa"/>
              <w:right w:w="70" w:type="dxa"/>
            </w:tcMar>
            <w:vAlign w:val="center"/>
          </w:tcPr>
          <w:p w14:paraId="6F4EFF31">
            <w:pPr>
              <w:keepNext/>
              <w:spacing w:before="20" w:after="20" w:line="260" w:lineRule="exact"/>
              <w:ind w:left="0" w:leftChars="0" w:right="0" w:rightChars="0" w:firstLine="0" w:firstLineChars="0"/>
              <w:jc w:val="center"/>
            </w:pPr>
            <w:r>
              <w:rPr>
                <w:rFonts w:ascii="Times New Roman" w:hAnsi="Times New Roman" w:eastAsia="宋体"/>
                <w:b/>
                <w:sz w:val="18"/>
              </w:rPr>
              <w:t>屋顶面积/万m²</w:t>
            </w:r>
          </w:p>
        </w:tc>
        <w:tc>
          <w:tcPr>
            <w:tcW w:w="1662" w:type="dxa"/>
            <w:tcMar>
              <w:left w:w="70" w:type="dxa"/>
              <w:right w:w="70" w:type="dxa"/>
            </w:tcMar>
            <w:vAlign w:val="center"/>
          </w:tcPr>
          <w:p w14:paraId="73AF91D1">
            <w:pPr>
              <w:keepNext/>
              <w:spacing w:before="20" w:after="20" w:line="260" w:lineRule="exact"/>
              <w:ind w:left="0" w:leftChars="0" w:right="0" w:rightChars="0" w:firstLine="0" w:firstLineChars="0"/>
              <w:jc w:val="center"/>
            </w:pPr>
            <w:r>
              <w:rPr>
                <w:rFonts w:ascii="Times New Roman" w:hAnsi="Times New Roman" w:eastAsia="宋体"/>
                <w:b/>
                <w:sz w:val="18"/>
              </w:rPr>
              <w:t>可利用比例20%/MWp</w:t>
            </w:r>
          </w:p>
        </w:tc>
        <w:tc>
          <w:tcPr>
            <w:tcW w:w="1662" w:type="dxa"/>
            <w:tcMar>
              <w:left w:w="70" w:type="dxa"/>
              <w:right w:w="70" w:type="dxa"/>
            </w:tcMar>
            <w:vAlign w:val="center"/>
          </w:tcPr>
          <w:p w14:paraId="3D22E776">
            <w:pPr>
              <w:keepNext/>
              <w:spacing w:before="20" w:after="20" w:line="260" w:lineRule="exact"/>
              <w:ind w:left="0" w:leftChars="0" w:right="0" w:rightChars="0" w:firstLine="0" w:firstLineChars="0"/>
              <w:jc w:val="center"/>
            </w:pPr>
            <w:r>
              <w:rPr>
                <w:rFonts w:ascii="Times New Roman" w:hAnsi="Times New Roman" w:eastAsia="宋体"/>
                <w:b/>
                <w:sz w:val="18"/>
              </w:rPr>
              <w:t>可利用比例40%/MWp</w:t>
            </w:r>
          </w:p>
        </w:tc>
        <w:tc>
          <w:tcPr>
            <w:tcW w:w="1662" w:type="dxa"/>
            <w:tcMar>
              <w:left w:w="70" w:type="dxa"/>
              <w:right w:w="70" w:type="dxa"/>
            </w:tcMar>
            <w:vAlign w:val="center"/>
          </w:tcPr>
          <w:p w14:paraId="6622EA14">
            <w:pPr>
              <w:keepNext/>
              <w:spacing w:before="20" w:after="20" w:line="260" w:lineRule="exact"/>
              <w:ind w:left="0" w:leftChars="0" w:right="0" w:rightChars="0" w:firstLine="0" w:firstLineChars="0"/>
              <w:jc w:val="center"/>
            </w:pPr>
            <w:r>
              <w:rPr>
                <w:rFonts w:ascii="Times New Roman" w:hAnsi="Times New Roman" w:eastAsia="宋体"/>
                <w:b/>
                <w:sz w:val="18"/>
              </w:rPr>
              <w:t>可利用比例60%/MWp</w:t>
            </w:r>
          </w:p>
        </w:tc>
      </w:tr>
      <w:tr w14:paraId="24749B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D6AB3DD">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7E213FB0">
            <w:pPr>
              <w:keepNext/>
              <w:spacing w:before="20" w:after="20" w:line="260" w:lineRule="exact"/>
              <w:ind w:left="0" w:leftChars="0" w:right="0" w:rightChars="0" w:firstLine="0" w:firstLineChars="0"/>
              <w:jc w:val="center"/>
            </w:pPr>
            <w:r>
              <w:rPr>
                <w:rFonts w:ascii="Times New Roman" w:hAnsi="Times New Roman" w:eastAsia="宋体"/>
                <w:b w:val="0"/>
                <w:sz w:val="18"/>
              </w:rPr>
              <w:t>8939.19</w:t>
            </w:r>
          </w:p>
        </w:tc>
        <w:tc>
          <w:tcPr>
            <w:tcW w:w="1662" w:type="dxa"/>
            <w:tcMar>
              <w:left w:w="70" w:type="dxa"/>
              <w:right w:w="70" w:type="dxa"/>
            </w:tcMar>
            <w:vAlign w:val="center"/>
          </w:tcPr>
          <w:p w14:paraId="0C278881">
            <w:pPr>
              <w:keepNext/>
              <w:spacing w:before="20" w:after="20" w:line="260" w:lineRule="exact"/>
              <w:ind w:left="0" w:leftChars="0" w:right="0" w:rightChars="0" w:firstLine="0" w:firstLineChars="0"/>
              <w:jc w:val="center"/>
            </w:pPr>
            <w:r>
              <w:rPr>
                <w:rFonts w:ascii="Times New Roman" w:hAnsi="Times New Roman" w:eastAsia="宋体"/>
                <w:b w:val="0"/>
                <w:sz w:val="18"/>
              </w:rPr>
              <w:t>1787.84</w:t>
            </w:r>
          </w:p>
        </w:tc>
        <w:tc>
          <w:tcPr>
            <w:tcW w:w="1662" w:type="dxa"/>
            <w:tcMar>
              <w:left w:w="70" w:type="dxa"/>
              <w:right w:w="70" w:type="dxa"/>
            </w:tcMar>
            <w:vAlign w:val="center"/>
          </w:tcPr>
          <w:p w14:paraId="01FECF6D">
            <w:pPr>
              <w:keepNext/>
              <w:spacing w:before="20" w:after="20" w:line="260" w:lineRule="exact"/>
              <w:ind w:left="0" w:leftChars="0" w:right="0" w:rightChars="0" w:firstLine="0" w:firstLineChars="0"/>
              <w:jc w:val="center"/>
            </w:pPr>
            <w:r>
              <w:rPr>
                <w:rFonts w:ascii="Times New Roman" w:hAnsi="Times New Roman" w:eastAsia="宋体"/>
                <w:b w:val="0"/>
                <w:sz w:val="18"/>
              </w:rPr>
              <w:t>3575.67</w:t>
            </w:r>
          </w:p>
        </w:tc>
        <w:tc>
          <w:tcPr>
            <w:tcW w:w="1662" w:type="dxa"/>
            <w:tcMar>
              <w:left w:w="70" w:type="dxa"/>
              <w:right w:w="70" w:type="dxa"/>
            </w:tcMar>
            <w:vAlign w:val="center"/>
          </w:tcPr>
          <w:p w14:paraId="127436EF">
            <w:pPr>
              <w:keepNext/>
              <w:spacing w:before="20" w:after="20" w:line="260" w:lineRule="exact"/>
              <w:ind w:left="0" w:leftChars="0" w:right="0" w:rightChars="0" w:firstLine="0" w:firstLineChars="0"/>
              <w:jc w:val="center"/>
            </w:pPr>
            <w:r>
              <w:rPr>
                <w:rFonts w:ascii="Times New Roman" w:hAnsi="Times New Roman" w:eastAsia="宋体"/>
                <w:b w:val="0"/>
                <w:sz w:val="18"/>
              </w:rPr>
              <w:t>5363.51</w:t>
            </w:r>
          </w:p>
        </w:tc>
      </w:tr>
      <w:tr w14:paraId="773023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85FAD9C">
            <w:pPr>
              <w:keepNext w:val="0"/>
              <w:spacing w:before="20" w:after="20" w:line="260" w:lineRule="exact"/>
              <w:ind w:left="0" w:leftChars="0" w:right="0" w:rightChars="0" w:firstLine="0" w:firstLineChars="0"/>
              <w:jc w:val="center"/>
            </w:pPr>
            <w:r>
              <w:rPr>
                <w:rFonts w:ascii="Times New Roman" w:hAnsi="Times New Roman" w:eastAsia="宋体"/>
                <w:b w:val="0"/>
                <w:sz w:val="18"/>
              </w:rPr>
              <w:t>市区鼓楼、云龙、泉山三区</w:t>
            </w:r>
          </w:p>
        </w:tc>
        <w:tc>
          <w:tcPr>
            <w:tcW w:w="1662" w:type="dxa"/>
            <w:tcMar>
              <w:left w:w="70" w:type="dxa"/>
              <w:right w:w="70" w:type="dxa"/>
            </w:tcMar>
            <w:vAlign w:val="center"/>
          </w:tcPr>
          <w:p w14:paraId="33F34B01">
            <w:pPr>
              <w:keepNext w:val="0"/>
              <w:spacing w:before="20" w:after="20" w:line="260" w:lineRule="exact"/>
              <w:ind w:left="0" w:leftChars="0" w:right="0" w:rightChars="0" w:firstLine="0" w:firstLineChars="0"/>
              <w:jc w:val="center"/>
            </w:pPr>
            <w:r>
              <w:rPr>
                <w:rFonts w:ascii="Times New Roman" w:hAnsi="Times New Roman" w:eastAsia="宋体"/>
                <w:b w:val="0"/>
                <w:sz w:val="18"/>
              </w:rPr>
              <w:t>4082.36</w:t>
            </w:r>
          </w:p>
        </w:tc>
        <w:tc>
          <w:tcPr>
            <w:tcW w:w="1662" w:type="dxa"/>
            <w:tcMar>
              <w:left w:w="70" w:type="dxa"/>
              <w:right w:w="70" w:type="dxa"/>
            </w:tcMar>
            <w:vAlign w:val="center"/>
          </w:tcPr>
          <w:p w14:paraId="58F8BD2F">
            <w:pPr>
              <w:keepNext w:val="0"/>
              <w:spacing w:before="20" w:after="20" w:line="260" w:lineRule="exact"/>
              <w:ind w:left="0" w:leftChars="0" w:right="0" w:rightChars="0" w:firstLine="0" w:firstLineChars="0"/>
              <w:jc w:val="center"/>
            </w:pPr>
            <w:r>
              <w:rPr>
                <w:rFonts w:ascii="Times New Roman" w:hAnsi="Times New Roman" w:eastAsia="宋体"/>
                <w:b w:val="0"/>
                <w:sz w:val="18"/>
              </w:rPr>
              <w:t>816.47</w:t>
            </w:r>
          </w:p>
        </w:tc>
        <w:tc>
          <w:tcPr>
            <w:tcW w:w="1662" w:type="dxa"/>
            <w:tcMar>
              <w:left w:w="70" w:type="dxa"/>
              <w:right w:w="70" w:type="dxa"/>
            </w:tcMar>
            <w:vAlign w:val="center"/>
          </w:tcPr>
          <w:p w14:paraId="1BC71A50">
            <w:pPr>
              <w:keepNext w:val="0"/>
              <w:spacing w:before="20" w:after="20" w:line="260" w:lineRule="exact"/>
              <w:ind w:left="0" w:leftChars="0" w:right="0" w:rightChars="0" w:firstLine="0" w:firstLineChars="0"/>
              <w:jc w:val="center"/>
            </w:pPr>
            <w:r>
              <w:rPr>
                <w:rFonts w:ascii="Times New Roman" w:hAnsi="Times New Roman" w:eastAsia="宋体"/>
                <w:b w:val="0"/>
                <w:sz w:val="18"/>
              </w:rPr>
              <w:t>1632.94</w:t>
            </w:r>
          </w:p>
        </w:tc>
        <w:tc>
          <w:tcPr>
            <w:tcW w:w="1662" w:type="dxa"/>
            <w:tcMar>
              <w:left w:w="70" w:type="dxa"/>
              <w:right w:w="70" w:type="dxa"/>
            </w:tcMar>
            <w:vAlign w:val="center"/>
          </w:tcPr>
          <w:p w14:paraId="124F7FF5">
            <w:pPr>
              <w:keepNext w:val="0"/>
              <w:spacing w:before="20" w:after="20" w:line="260" w:lineRule="exact"/>
              <w:ind w:left="0" w:leftChars="0" w:right="0" w:rightChars="0" w:firstLine="0" w:firstLineChars="0"/>
              <w:jc w:val="center"/>
            </w:pPr>
            <w:r>
              <w:rPr>
                <w:rFonts w:ascii="Times New Roman" w:hAnsi="Times New Roman" w:eastAsia="宋体"/>
                <w:b w:val="0"/>
                <w:sz w:val="18"/>
              </w:rPr>
              <w:t>2449.42</w:t>
            </w:r>
          </w:p>
        </w:tc>
      </w:tr>
    </w:tbl>
    <w:p w14:paraId="458B71CE">
      <w:pPr>
        <w:pStyle w:val="2"/>
        <w:widowControl/>
        <w:spacing w:before="0" w:after="0" w:line="348" w:lineRule="exact"/>
        <w:ind w:firstLine="480"/>
        <w:jc w:val="both"/>
      </w:pPr>
      <w:r>
        <w:rPr>
          <w:rFonts w:ascii="Times New Roman" w:hAnsi="Times New Roman" w:eastAsia="方正仿宋_GBK"/>
          <w:b w:val="0"/>
          <w:sz w:val="24"/>
        </w:rPr>
        <w:t>上述容量为所调查屋顶在不同可利用比例下的总装机规模，包含已开发资源。实际新增规模结合建筑结构、遮挡、消防条件及已建光伏占用面积核定。表中MWp为组件侧峰值容量。</w:t>
      </w:r>
    </w:p>
    <w:p w14:paraId="79E1ACF8">
      <w:pPr>
        <w:pStyle w:val="2"/>
        <w:widowControl/>
        <w:spacing w:before="0" w:after="0" w:line="348" w:lineRule="exact"/>
        <w:ind w:firstLine="480"/>
        <w:jc w:val="both"/>
      </w:pPr>
      <w:r>
        <w:rPr>
          <w:rFonts w:ascii="Times New Roman" w:hAnsi="Times New Roman" w:eastAsia="方正仿宋_GBK"/>
          <w:b w:val="0"/>
          <w:sz w:val="24"/>
        </w:rPr>
        <w:t>《江苏省分布式光伏发展实施方案（2026—2030年）》提出，2030年全省分布式光伏累计装机较2025年翻一番，达到1.20亿千瓦[94]。以装机翻倍作为地区发展情景，邳州和市区装机规模分别约为3119.28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14:paraId="58DA54A0">
      <w:pPr>
        <w:pStyle w:val="2"/>
        <w:widowControl/>
        <w:spacing w:before="0" w:after="0" w:line="348" w:lineRule="exact"/>
        <w:ind w:firstLine="480"/>
        <w:jc w:val="both"/>
      </w:pPr>
      <w:r>
        <w:rPr>
          <w:rFonts w:ascii="Times New Roman" w:hAnsi="Times New Roman" w:eastAsia="方正仿宋_GBK"/>
          <w:b w:val="0"/>
          <w:sz w:val="24"/>
        </w:rPr>
        <w:t>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14:paraId="544A6974">
      <w:pPr>
        <w:pStyle w:val="2"/>
        <w:widowControl/>
        <w:spacing w:before="0" w:after="0" w:line="348" w:lineRule="exact"/>
        <w:ind w:firstLine="480"/>
        <w:jc w:val="both"/>
      </w:pPr>
      <w:r>
        <w:rPr>
          <w:rFonts w:ascii="Times New Roman" w:hAnsi="Times New Roman" w:eastAsia="方正仿宋_GBK"/>
          <w:b w:val="0"/>
          <w:sz w:val="24"/>
        </w:rPr>
        <w:t>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14:paraId="207BCCE6">
      <w:pPr>
        <w:pStyle w:val="2"/>
        <w:widowControl/>
        <w:spacing w:before="0" w:after="0" w:line="348" w:lineRule="exact"/>
        <w:ind w:firstLine="480"/>
        <w:jc w:val="both"/>
      </w:pPr>
      <w:r>
        <w:rPr>
          <w:rFonts w:ascii="Times New Roman" w:hAnsi="Times New Roman" w:eastAsia="方正仿宋_GBK"/>
          <w:b w:val="0"/>
          <w:sz w:val="24"/>
        </w:rPr>
        <w:t>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14:paraId="2DFE486C">
      <w:pPr>
        <w:pStyle w:val="5"/>
        <w:keepNext/>
        <w:numPr>
          <w:ilvl w:val="0"/>
          <w:numId w:val="0"/>
        </w:numPr>
        <w:spacing w:before="160" w:after="120" w:line="390" w:lineRule="exact"/>
        <w:ind w:firstLine="0"/>
      </w:pPr>
      <w:bookmarkStart w:id="181" w:name="工程候选与参数设置"/>
      <w:r>
        <w:rPr>
          <w:rFonts w:ascii="Times New Roman" w:hAnsi="Times New Roman" w:eastAsia="方正仿宋_GBK"/>
          <w:b/>
          <w:sz w:val="26"/>
        </w:rPr>
        <w:t>5.1.3 工程候选与参数设置</w:t>
      </w:r>
      <w:bookmarkEnd w:id="181"/>
    </w:p>
    <w:p w14:paraId="6772C595">
      <w:pPr>
        <w:pStyle w:val="115"/>
        <w:widowControl/>
        <w:spacing w:before="0" w:after="0" w:line="348" w:lineRule="exact"/>
        <w:ind w:firstLine="480"/>
        <w:jc w:val="both"/>
      </w:pPr>
      <w:r>
        <w:rPr>
          <w:rFonts w:ascii="Times New Roman" w:hAnsi="Times New Roman" w:eastAsia="方正仿宋_GBK"/>
          <w:b w:val="0"/>
          <w:sz w:val="24"/>
        </w:rPr>
        <w:t>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14:paraId="1FB0FC30">
      <w:pPr>
        <w:pStyle w:val="2"/>
        <w:widowControl/>
        <w:spacing w:before="0" w:after="0" w:line="348" w:lineRule="exact"/>
        <w:ind w:firstLine="480"/>
        <w:jc w:val="both"/>
      </w:pPr>
      <w:r>
        <w:rPr>
          <w:rFonts w:ascii="Times New Roman" w:hAnsi="Times New Roman" w:eastAsia="方正仿宋_GBK"/>
          <w:b w:val="0"/>
          <w:sz w:val="24"/>
        </w:rPr>
        <w:t>储能采用100 kW/215 kWh成套柜，可用电量系数为0.76，地区案例正向支撑持续时间分别取邳州2 h、市区6 h，反向持续时间按各站静态参数设置。</w:t>
      </w:r>
    </w:p>
    <w:p w14:paraId="7B77F476">
      <w:pPr>
        <w:pStyle w:val="2"/>
        <w:keepNext/>
        <w:spacing w:before="120" w:after="80" w:line="280" w:lineRule="exact"/>
        <w:ind w:firstLine="0"/>
        <w:jc w:val="center"/>
      </w:pPr>
      <w:r>
        <w:rPr>
          <w:rFonts w:ascii="Times New Roman" w:hAnsi="Times New Roman" w:eastAsia="宋体"/>
          <w:b w:val="0"/>
          <w:sz w:val="21"/>
        </w:rPr>
        <w:t>表5-3 两地区共同计算条件</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基期/规划年度</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2021/2022—2035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基期设备固定，年度承接上年在役资产</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源荷序列</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每年8760小时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历史模板回算及区域预测同比缩放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邳州2.00 h、市区6.00 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 kW/215.00 kWh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SOC可用窗口与放电效率的研究取值[86]</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新购主变</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31.50、50.00、63.00、80.00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按站限制，有预留位置时第三台50.00 MVA</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既有转供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逐站原始MW固定封顶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站级转供收资、路径及共享馈线余量</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新增联络转出区段</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全站区段数的20%以内</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研究情景假设，正常和事故追加共同占用</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新增联络投资</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反向承载计算系数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正常及健康站取0.80，故障站取1.00</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锁定方案的静态容量校核条件</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统一折算</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主变更换组织</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同一原主变位置全期最多更换一次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共同实施假设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弹性工程选择</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配套费用参考值20%以内优先减少联络，再比较总费用</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研究工程优选条件</w:t>
            </w:r>
          </w:p>
        </w:tc>
      </w:tr>
    </w:tbl>
    <w:p w14:paraId="35DBFDD9">
      <w:pPr>
        <w:pStyle w:val="2"/>
        <w:widowControl/>
        <w:spacing w:before="0" w:after="0" w:line="348" w:lineRule="exact"/>
        <w:ind w:firstLine="480"/>
        <w:jc w:val="both"/>
      </w:pPr>
      <w:r>
        <w:rPr>
          <w:rFonts w:ascii="Times New Roman" w:hAnsi="Times New Roman" w:eastAsia="方正仿宋_GBK"/>
          <w:b w:val="0"/>
          <w:sz w:val="24"/>
        </w:rPr>
        <w:t>核心参数的定义、选取依据及地区资料见第3.5节。地区案例保留实际年度负荷和具体网络，推广模板按第3.5节的五项参数组织源荷、网络及工程费用条件。</w:t>
      </w:r>
    </w:p>
    <w:p w14:paraId="682F6CEF">
      <w:pPr>
        <w:pStyle w:val="4"/>
        <w:keepNext/>
        <w:numPr>
          <w:ilvl w:val="0"/>
          <w:numId w:val="0"/>
        </w:numPr>
        <w:spacing w:before="160" w:after="120" w:line="480" w:lineRule="exact"/>
        <w:ind w:firstLine="0"/>
      </w:pPr>
      <w:bookmarkStart w:id="326" w:name="Report1017_h633"/>
      <w:bookmarkEnd w:id="326"/>
      <w:bookmarkStart w:id="182" w:name="三类措施的选取与寻优方法"/>
      <w:bookmarkStart w:id="183" w:name="h633"/>
      <w:r>
        <w:rPr>
          <w:rFonts w:ascii="Times New Roman" w:hAnsi="Times New Roman" w:eastAsia="方正仿宋_GBK"/>
          <w:b/>
          <w:sz w:val="32"/>
        </w:rPr>
        <w:t>5.2 三类措施的选取与寻优方法</w:t>
      </w:r>
      <w:bookmarkEnd w:id="182"/>
      <w:bookmarkEnd w:id="183"/>
    </w:p>
    <w:p w14:paraId="31A85F9C">
      <w:pPr>
        <w:pStyle w:val="5"/>
        <w:keepNext/>
        <w:numPr>
          <w:ilvl w:val="0"/>
          <w:numId w:val="0"/>
        </w:numPr>
        <w:spacing w:before="160" w:after="120" w:line="390" w:lineRule="exact"/>
        <w:ind w:firstLine="0"/>
      </w:pPr>
      <w:bookmarkStart w:id="184" w:name="主变增容及扩建方案"/>
      <w:r>
        <w:rPr>
          <w:rFonts w:ascii="Times New Roman" w:hAnsi="Times New Roman" w:eastAsia="方正仿宋_GBK"/>
          <w:b/>
          <w:sz w:val="26"/>
        </w:rPr>
        <w:t>5.2.1 主变增容及扩建方案</w:t>
      </w:r>
      <w:bookmarkEnd w:id="184"/>
    </w:p>
    <w:p w14:paraId="2ACB1ED7">
      <w:pPr>
        <w:pStyle w:val="115"/>
        <w:widowControl/>
        <w:spacing w:before="0" w:after="0" w:line="348" w:lineRule="exact"/>
        <w:ind w:firstLine="480"/>
        <w:jc w:val="both"/>
      </w:pPr>
      <w:r>
        <w:rPr>
          <w:rFonts w:ascii="Times New Roman" w:hAnsi="Times New Roman" w:eastAsia="方正仿宋_GBK"/>
          <w:b w:val="0"/>
          <w:sz w:val="24"/>
        </w:rPr>
        <w:t xml:space="preserve">每个</w:t>
      </w:r>
      <w:r>
        <w:rPr>
          <w:rFonts w:ascii="Times New Roman" w:hAnsi="Times New Roman" w:eastAsia="方正仿宋_GBK"/>
          <w:b w:val="0"/>
          <w:sz w:val="24"/>
        </w:rPr>
        <w:t xml:space="preserve">原</w:t>
      </w:r>
      <w:r>
        <w:rPr>
          <w:rFonts w:ascii="Times New Roman" w:hAnsi="Times New Roman" w:eastAsia="方正仿宋_GBK"/>
          <w:b w:val="0"/>
          <w:sz w:val="24"/>
        </w:rPr>
        <w:t xml:space="preserve">主变安装位置从允许规格中选择一项，2022—20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全期</w:t>
      </w:r>
      <w:r>
        <w:rPr>
          <w:rFonts w:ascii="Times New Roman" w:hAnsi="Times New Roman" w:eastAsia="方正仿宋_GBK"/>
          <w:b w:val="0"/>
          <w:sz w:val="24"/>
        </w:rPr>
        <w:t xml:space="preserve">最多更换一次，更换后保持所购规格。该</w:t>
      </w:r>
      <w:r>
        <w:rPr>
          <w:rFonts w:ascii="Times New Roman" w:hAnsi="Times New Roman" w:eastAsia="方正仿宋_GBK"/>
          <w:b w:val="0"/>
          <w:sz w:val="24"/>
        </w:rPr>
        <w:t xml:space="preserve">实施</w:t>
      </w:r>
      <w:r>
        <w:rPr>
          <w:rFonts w:ascii="Times New Roman" w:hAnsi="Times New Roman" w:eastAsia="方正仿宋_GBK"/>
          <w:b w:val="0"/>
          <w:sz w:val="24"/>
        </w:rPr>
        <w:t xml:space="preserve">假设由两类方案共同采用，</w:t>
      </w:r>
      <w:r>
        <w:rPr>
          <w:rFonts w:ascii="Times New Roman" w:hAnsi="Times New Roman" w:eastAsia="方正仿宋_GBK"/>
          <w:b w:val="0"/>
          <w:sz w:val="24"/>
        </w:rPr>
        <w:t xml:space="preserve">不同位置</w:t>
      </w:r>
      <w:r>
        <w:rPr>
          <w:rFonts w:ascii="Times New Roman" w:hAnsi="Times New Roman" w:eastAsia="方正仿宋_GBK"/>
          <w:b w:val="0"/>
          <w:sz w:val="24"/>
        </w:rPr>
        <w:t xml:space="preserve">和第三台主变扩建</w:t>
      </w:r>
      <w:r>
        <w:rPr>
          <w:rFonts w:ascii="Times New Roman" w:hAnsi="Times New Roman" w:eastAsia="方正仿宋_GBK"/>
          <w:b w:val="0"/>
          <w:sz w:val="24"/>
        </w:rPr>
        <w:t xml:space="preserve">按需求分年安排。更换</w:t>
      </w:r>
      <w:r>
        <w:rPr>
          <w:rFonts w:ascii="Times New Roman" w:hAnsi="Times New Roman" w:eastAsia="方正仿宋_GBK"/>
          <w:b w:val="0"/>
          <w:sz w:val="24"/>
        </w:rPr>
        <w:t xml:space="preserve">按新购整台容量计费，新</w:t>
      </w:r>
      <w:r>
        <w:rPr>
          <w:rFonts w:ascii="Times New Roman" w:hAnsi="Times New Roman" w:eastAsia="方正仿宋_GBK"/>
          <w:b w:val="0"/>
          <w:sz w:val="24"/>
        </w:rPr>
        <w:t xml:space="preserve">购主变容量扣除同期被替换容量后得到净</w:t>
      </w:r>
      <w:r>
        <w:rPr>
          <w:rFonts w:ascii="Times New Roman" w:hAnsi="Times New Roman" w:eastAsia="方正仿宋_GBK"/>
          <w:b w:val="0"/>
          <w:sz w:val="24"/>
        </w:rPr>
        <w:t xml:space="preserve">增容量</w:t>
      </w:r>
      <w:r>
        <w:rPr>
          <w:rFonts w:ascii="Times New Roman" w:hAnsi="Times New Roman" w:eastAsia="方正仿宋_GBK"/>
          <w:b w:val="0"/>
          <w:sz w:val="24"/>
        </w:rPr>
        <w:t xml:space="preserve">。储能柜数为整数，</w:t>
      </w:r>
      <w:r>
        <w:rPr>
          <w:rFonts w:ascii="Times New Roman" w:hAnsi="Times New Roman" w:eastAsia="方正仿宋_GBK"/>
          <w:b w:val="0"/>
          <w:sz w:val="24"/>
        </w:rPr>
        <w:t xml:space="preserve">已投运储能及联络在</w:t>
      </w:r>
      <w:r>
        <w:rPr>
          <w:rFonts w:ascii="Times New Roman" w:hAnsi="Times New Roman" w:eastAsia="方正仿宋_GBK"/>
          <w:b w:val="0"/>
          <w:sz w:val="24"/>
        </w:rPr>
        <w:t xml:space="preserve">后</w:t>
      </w:r>
      <w:r>
        <w:rPr>
          <w:rFonts w:ascii="Times New Roman" w:hAnsi="Times New Roman" w:eastAsia="方正仿宋_GBK"/>
          <w:b w:val="0"/>
          <w:sz w:val="24"/>
        </w:rPr>
        <w:t xml:space="preserve">续年度持</w:t>
      </w:r>
      <w:r>
        <w:rPr>
          <w:rFonts w:ascii="Times New Roman" w:hAnsi="Times New Roman" w:eastAsia="方正仿宋_GBK"/>
          <w:b w:val="0"/>
          <w:sz w:val="24"/>
        </w:rPr>
        <w:t xml:space="preserve">续在役</w:t>
      </w:r>
      <w:r>
        <w:rPr>
          <w:rFonts w:ascii="Times New Roman" w:hAnsi="Times New Roman" w:eastAsia="方正仿宋_GBK"/>
          <w:b w:val="0"/>
          <w:sz w:val="24"/>
        </w:rPr>
        <w:t xml:space="preserve">。</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（5-3）</w:t>
            </w:r>
          </w:p>
        </w:tc>
      </w:tr>
    </w:tbl>
    <w:p w14:paraId="014845CF">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j</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r</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表示站点</w:t>
      </w:r>
      <m:oMath>
        <m:r>
          <m:rPr>
            <m:nor/>
          </m:rPr>
          <w:rPr>
            <w:rFonts w:ascii="Times New Roman" w:hAnsi="Times New Roman" w:eastAsia="方正仿宋_GBK" w:cs="Times New Roman"/>
            <w:i/>
            <w:iCs/>
          </w:rPr>
          <m:t>i</m:t>
        </m:r>
      </m:oMath>
      <w:r>
        <w:rPr>
          <w:rFonts w:ascii="Times New Roman" w:hAnsi="Times New Roman" w:eastAsia="方正仿宋_GBK"/>
          <w:b w:val="0"/>
          <w:sz w:val="24"/>
        </w:rPr>
        <w:t>第</w:t>
      </w:r>
      <m:oMath>
        <m:r>
          <m:rPr>
            <m:nor/>
          </m:rPr>
          <w:rPr>
            <w:rFonts w:ascii="Times New Roman" w:hAnsi="Times New Roman" w:eastAsia="方正仿宋_GBK" w:cs="Times New Roman"/>
            <w:i/>
            <w:iCs/>
          </w:rPr>
          <m:t>j</m:t>
        </m:r>
      </m:oMath>
      <w:r>
        <w:rPr>
          <w:rFonts w:ascii="Times New Roman" w:hAnsi="Times New Roman" w:eastAsia="方正仿宋_GBK"/>
          <w:b w:val="0"/>
          <w:sz w:val="24"/>
        </w:rPr>
        <w:t>个原主变位置在第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年是否采用容量</w:t>
      </w:r>
      <m:oMath>
        <m:r>
          <m:rPr>
            <m:nor/>
          </m:rPr>
          <w:rPr>
            <w:rFonts w:ascii="Times New Roman" w:hAnsi="Times New Roman" w:eastAsia="方正仿宋_GBK" w:cs="Times New Roman"/>
            <w:i/>
            <w:iCs/>
          </w:rPr>
          <m:t>r</m:t>
        </m:r>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表示第三台50 MVA主变是否在役，</w:t>
      </w:r>
      <m:oMath>
        <m:sSub>
          <m:sSubPr/>
          <m:e>
            <m:r>
              <m:rPr>
                <m:nor/>
              </m:rPr>
              <w:rPr>
                <w:rFonts w:ascii="Times New Roman" w:hAnsi="Times New Roman" w:eastAsia="方正仿宋_GBK" w:cs="Times New Roman"/>
                <w:i/>
                <w:iCs/>
              </w:rPr>
              <m:t>n</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为在役储能柜数。没有扩建条件的站点不设置相应候选。</w:t>
      </w:r>
    </w:p>
    <w:p w14:paraId="454CBD27">
      <w:pPr>
        <w:pStyle w:val="2"/>
        <w:widowControl/>
        <w:spacing w:before="0" w:after="0" w:line="348" w:lineRule="exact"/>
        <w:ind w:firstLine="480"/>
        <w:jc w:val="both"/>
      </w:pPr>
      <w:r>
        <w:rPr>
          <w:rFonts w:ascii="Times New Roman" w:hAnsi="Times New Roman" w:eastAsia="方正仿宋_GBK"/>
          <w:b w:val="0"/>
          <w:sz w:val="24"/>
        </w:rPr>
        <w:t>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14:paraId="544E490E">
      <w:pPr>
        <w:pStyle w:val="5"/>
        <w:keepNext/>
        <w:numPr>
          <w:ilvl w:val="0"/>
          <w:numId w:val="0"/>
        </w:numPr>
        <w:spacing w:before="160" w:after="120" w:line="390" w:lineRule="exact"/>
        <w:ind w:firstLine="0"/>
      </w:pPr>
      <w:bookmarkStart w:id="185" w:name="利用既有10-kv联络能力"/>
      <w:r>
        <w:rPr>
          <w:rFonts w:ascii="Times New Roman" w:hAnsi="Times New Roman" w:eastAsia="方正仿宋_GBK"/>
          <w:b/>
          <w:sz w:val="26"/>
        </w:rPr>
        <w:t>5.2.2 利用既有10 kV联络能力</w:t>
      </w:r>
      <w:bookmarkEnd w:id="185"/>
    </w:p>
    <w:p w14:paraId="2EA77B3E">
      <w:pPr>
        <w:pStyle w:val="115"/>
        <w:widowControl/>
        <w:spacing w:before="0" w:after="0" w:line="348" w:lineRule="exact"/>
        <w:ind w:firstLine="480"/>
        <w:jc w:val="both"/>
      </w:pPr>
      <w:r>
        <w:rPr>
          <w:rFonts w:ascii="Times New Roman" w:hAnsi="Times New Roman" w:eastAsia="方正仿宋_GBK"/>
          <w:b w:val="0"/>
          <w:sz w:val="24"/>
        </w:rPr>
        <w:t xml:space="preserve">既有网络按逐站全停转供资料</w:t>
      </w:r>
      <w:r>
        <w:rPr>
          <w:rFonts w:ascii="Times New Roman" w:hAnsi="Times New Roman" w:eastAsia="方正仿宋_GBK"/>
          <w:b w:val="0"/>
          <w:sz w:val="24"/>
        </w:rPr>
        <w:t xml:space="preserve">的</w:t>
      </w:r>
      <w:r>
        <w:rPr>
          <w:rFonts w:ascii="Times New Roman" w:hAnsi="Times New Roman" w:eastAsia="方正仿宋_GBK"/>
          <w:b w:val="0"/>
          <w:sz w:val="24"/>
        </w:rPr>
        <w:t xml:space="preserve">可</w:t>
      </w:r>
      <w:r>
        <w:rPr>
          <w:rFonts w:ascii="Times New Roman" w:hAnsi="Times New Roman" w:eastAsia="方正仿宋_GBK"/>
          <w:b w:val="0"/>
          <w:sz w:val="24"/>
        </w:rPr>
        <w:t xml:space="preserve">转</w:t>
      </w:r>
      <w:r>
        <w:rPr>
          <w:rFonts w:ascii="Times New Roman" w:hAnsi="Times New Roman" w:eastAsia="方正仿宋_GBK"/>
          <w:b w:val="0"/>
          <w:sz w:val="24"/>
        </w:rPr>
        <w:t xml:space="preserve">负荷</w:t>
      </w:r>
      <w:r>
        <w:rPr>
          <w:rFonts w:ascii="Times New Roman" w:hAnsi="Times New Roman" w:eastAsia="方正仿宋_GBK"/>
          <w:b w:val="0"/>
          <w:sz w:val="24"/>
        </w:rPr>
        <w:t xml:space="preserve">MW值固定封顶，各年不随</w:t>
      </w:r>
      <w:r>
        <w:rPr>
          <w:rFonts w:ascii="Times New Roman" w:hAnsi="Times New Roman" w:eastAsia="方正仿宋_GBK"/>
          <w:b w:val="0"/>
          <w:sz w:val="24"/>
        </w:rPr>
        <w:t xml:space="preserve">负荷</w:t>
      </w:r>
      <w:r>
        <w:rPr>
          <w:rFonts w:ascii="Times New Roman" w:hAnsi="Times New Roman" w:eastAsia="方正仿宋_GBK"/>
          <w:b w:val="0"/>
          <w:sz w:val="24"/>
        </w:rPr>
        <w:t xml:space="preserve">增长自动放大。年度正常</w:t>
      </w:r>
      <w:r>
        <w:rPr>
          <w:rFonts w:ascii="Times New Roman" w:hAnsi="Times New Roman" w:eastAsia="方正仿宋_GBK"/>
          <w:b w:val="0"/>
          <w:sz w:val="24"/>
        </w:rPr>
        <w:t xml:space="preserve">供</w:t>
      </w:r>
      <w:r>
        <w:rPr>
          <w:rFonts w:ascii="Times New Roman" w:hAnsi="Times New Roman" w:eastAsia="方正仿宋_GBK"/>
          <w:b w:val="0"/>
          <w:sz w:val="24"/>
        </w:rPr>
        <w:t xml:space="preserve">区沿用基期校准区段</w:t>
      </w:r>
      <w:r>
        <w:rPr>
          <w:rFonts w:ascii="Times New Roman" w:hAnsi="Times New Roman" w:eastAsia="方正仿宋_GBK"/>
          <w:b w:val="0"/>
          <w:sz w:val="24"/>
        </w:rPr>
        <w:t xml:space="preserve">，</w:t>
      </w:r>
      <w:r>
        <w:rPr>
          <w:rFonts w:ascii="Times New Roman" w:hAnsi="Times New Roman" w:eastAsia="方正仿宋_GBK"/>
          <w:b w:val="0"/>
          <w:sz w:val="24"/>
        </w:rPr>
        <w:t xml:space="preserve">允许回切原属站；新增付费联络可以形成新的年度固定供区。正常转出与</w:t>
      </w:r>
      <w:r>
        <w:rPr>
          <w:rFonts w:ascii="Times New Roman" w:hAnsi="Times New Roman" w:eastAsia="方正仿宋_GBK"/>
          <w:b w:val="0"/>
          <w:sz w:val="24"/>
        </w:rPr>
        <w:t xml:space="preserve">本站</w:t>
      </w:r>
      <w:r>
        <w:rPr>
          <w:rFonts w:ascii="Times New Roman" w:hAnsi="Times New Roman" w:eastAsia="方正仿宋_GBK"/>
          <w:b w:val="0"/>
          <w:sz w:val="24"/>
        </w:rPr>
        <w:t xml:space="preserve">故障追加共用逐站</w:t>
      </w:r>
      <w:r>
        <w:rPr>
          <w:rFonts w:ascii="Times New Roman" w:hAnsi="Times New Roman" w:eastAsia="方正仿宋_GBK"/>
          <w:b w:val="0"/>
          <w:sz w:val="24"/>
        </w:rPr>
        <w:t xml:space="preserve">既有</w:t>
      </w:r>
      <w:r>
        <w:rPr>
          <w:rFonts w:ascii="Times New Roman" w:hAnsi="Times New Roman" w:eastAsia="方正仿宋_GBK"/>
          <w:b w:val="0"/>
          <w:sz w:val="24"/>
        </w:rPr>
        <w:t xml:space="preserve">能力、路径及馈线</w:t>
      </w:r>
      <w:r>
        <w:rPr>
          <w:rFonts w:ascii="Times New Roman" w:hAnsi="Times New Roman" w:eastAsia="方正仿宋_GBK"/>
          <w:b w:val="0"/>
          <w:sz w:val="24"/>
        </w:rPr>
        <w:t xml:space="preserve">预算，</w:t>
      </w:r>
      <w:r>
        <w:rPr>
          <w:rFonts w:ascii="Times New Roman" w:hAnsi="Times New Roman" w:eastAsia="方正仿宋_GBK"/>
          <w:b w:val="0"/>
          <w:sz w:val="24"/>
        </w:rPr>
        <w:t xml:space="preserve">事故追加仅从故障站</w:t>
      </w:r>
      <w:r>
        <w:rPr>
          <w:rFonts w:ascii="Times New Roman" w:hAnsi="Times New Roman" w:eastAsia="方正仿宋_GBK"/>
          <w:b w:val="0"/>
          <w:sz w:val="24"/>
        </w:rPr>
        <w:t xml:space="preserve">原</w:t>
      </w:r>
      <w:r>
        <w:rPr>
          <w:rFonts w:ascii="Times New Roman" w:hAnsi="Times New Roman" w:eastAsia="方正仿宋_GBK"/>
          <w:b w:val="0"/>
          <w:sz w:val="24"/>
        </w:rPr>
        <w:t xml:space="preserve">属源荷区段直接切换至邻</w:t>
      </w:r>
      <w:r>
        <w:rPr>
          <w:rFonts w:ascii="Times New Roman" w:hAnsi="Times New Roman" w:eastAsia="方正仿宋_GBK"/>
          <w:b w:val="0"/>
          <w:sz w:val="24"/>
        </w:rPr>
        <w:t xml:space="preserve">站</w:t>
      </w:r>
      <w:r>
        <w:rPr>
          <w:rFonts w:ascii="Times New Roman" w:hAnsi="Times New Roman" w:eastAsia="方正仿宋_GBK"/>
          <w:b w:val="0"/>
          <w:sz w:val="24"/>
        </w:rPr>
        <w:t xml:space="preserve">。</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e>
                  <m:e>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r>
                      <m:rPr>
                        <m:nor m:val="1"/>
                      </m:rPr>
                      <w:rPr>
                        <w:rFonts w:ascii="Times New Roman" w:hAnsi="Times New Roman" w:cs="Times New Roman" w:eastAsia="方正仿宋_GBK"/>
                        <w:i w:val="0"/>
                        <w:iCs w:val="0"/>
                      </w:rPr>
                      <m:t>+</m:t>
                    </m:r>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（5-4）</w:t>
            </w:r>
          </w:p>
        </w:tc>
      </w:tr>
    </w:tbl>
    <w:p>
      <w:pPr>
        <w:pStyle w:val="115"/>
        <w:widowControl/>
        <w:spacing w:line="348" w:lineRule="exact" w:before="0" w:after="0"/>
        <w:ind w:firstLine="0" w:left="0" w:right="0" w:firstLineChars="0" w:hanging="0" w:hangingChars="0" w:start="0" w:end="0" w:leftChars="0" w:rightChars="0" w:startChars="0" w:endChars="0"/>
        <w:jc w:val="both"/>
        <w:rPr/>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为收资中的站外最大可供负荷，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为对应损失负荷，单位均为MW；</w:t>
      </w:r>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为逐站统计转供比例，用于描述既有能力。</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oMath>
      <w:r>
        <w:rPr>
          <w:rFonts w:ascii="Times New Roman" w:hAnsi="Times New Roman" w:eastAsia="方正仿宋_GBK"/>
          <w:b w:val="0"/>
          <w:sz w:val="24"/>
        </w:rPr>
        <w:t xml:space="preserve">和</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分别为年度正常固定及本站故障追加切换区段的峰值功率上界，按区段数占原属站全部区段的比例折算。实际转接还需满足路径、共享馈线及接收侧容量条件。</w:t>
      </w:r>
    </w:p>
    <w:p w14:paraId="2E79A528">
      <w:pPr>
        <w:pStyle w:val="5"/>
        <w:keepNext/>
        <w:numPr>
          <w:ilvl w:val="0"/>
          <w:numId w:val="0"/>
        </w:numPr>
        <w:spacing w:before="160" w:after="120" w:line="390" w:lineRule="exact"/>
        <w:ind w:firstLine="0"/>
      </w:pPr>
      <w:bookmarkStart w:id="186" w:name="新建10-kv联络提升转供能力"/>
      <w:r>
        <w:rPr>
          <w:rFonts w:ascii="Times New Roman" w:hAnsi="Times New Roman" w:eastAsia="方正仿宋_GBK"/>
          <w:b/>
          <w:sz w:val="26"/>
        </w:rPr>
        <w:t>5.2.3 新建10 kV联络提升转供能力</w:t>
      </w:r>
      <w:bookmarkEnd w:id="186"/>
    </w:p>
    <w:p w14:paraId="270D9909">
      <w:pPr>
        <w:pStyle w:val="115"/>
        <w:widowControl/>
        <w:spacing w:before="0" w:after="0" w:line="348" w:lineRule="exact"/>
        <w:ind w:firstLine="480"/>
        <w:jc w:val="both"/>
      </w:pPr>
      <w:r>
        <w:rPr>
          <w:rFonts w:ascii="Times New Roman" w:hAnsi="Times New Roman" w:eastAsia="方正仿宋_GBK"/>
          <w:b w:val="0"/>
          <w:sz w:val="24"/>
        </w:rPr>
        <w:t>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（5-5）</w:t>
            </w:r>
          </w:p>
        </w:tc>
      </w:tr>
    </w:tbl>
    <w:p w14:paraId="3FF1D9F5">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r>
        <w:rPr>
          <w:rFonts w:ascii="Times New Roman" w:hAnsi="Times New Roman" w:eastAsia="方正仿宋_GBK"/>
          <w:b w:val="0"/>
          <w:sz w:val="24"/>
        </w:rPr>
        <w:t>为工况</w:t>
      </w:r>
      <m:oMath>
        <m:r>
          <m:rPr>
            <m:nor/>
          </m:rPr>
          <w:rPr>
            <w:rFonts w:ascii="Times New Roman" w:hAnsi="Times New Roman" w:eastAsia="方正仿宋_GBK" w:cs="Times New Roman"/>
            <w:i/>
            <w:iCs/>
          </w:rPr>
          <m:t>ω</m:t>
        </m:r>
      </m:oMath>
      <w:r>
        <w:rPr>
          <w:rFonts w:ascii="Times New Roman" w:hAnsi="Times New Roman" w:eastAsia="方正仿宋_GBK"/>
          <w:b w:val="0"/>
          <w:sz w:val="24"/>
        </w:rPr>
        <w:t>下线路</w:t>
      </w:r>
      <m:oMath>
        <m:r>
          <m:rPr>
            <m:nor/>
          </m:rPr>
          <w:rPr>
            <w:rFonts w:ascii="Times New Roman" w:hAnsi="Times New Roman" w:eastAsia="方正仿宋_GBK" w:cs="Times New Roman"/>
            <w:i/>
            <w:iCs/>
          </w:rPr>
          <m:t>e</m:t>
        </m:r>
      </m:oMath>
      <w:r>
        <w:rPr>
          <w:rFonts w:ascii="Times New Roman" w:hAnsi="Times New Roman" w:eastAsia="方正仿宋_GBK"/>
          <w:b w:val="0"/>
          <w:sz w:val="24"/>
        </w:rPr>
        <w:t>的转供功率，</w:t>
      </w:r>
      <m:oMath>
        <m:sSub>
          <m:sSubPr/>
          <m:e>
            <m:r>
              <m:rPr>
                <m:nor/>
              </m:rPr>
              <w:rPr>
                <w:rFonts w:ascii="Times New Roman" w:hAnsi="Times New Roman" w:eastAsia="方正仿宋_GBK" w:cs="Times New Roman"/>
                <w:i/>
                <w:iCs/>
              </w:rPr>
              <m:t>F</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为线路有效容量，</w:t>
      </w:r>
      <m:oMath>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为投运状态，既有边取1。</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f</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own</m:t>
            </m:r>
          </m:sup>
        </m:sSubSup>
      </m:oMath>
      <w:r>
        <w:rPr>
          <w:rFonts w:ascii="Times New Roman" w:hAnsi="Times New Roman" w:eastAsia="方正仿宋_GBK"/>
          <w:b w:val="0"/>
          <w:sz w:val="24"/>
        </w:rPr>
        <w:t>为馈线</w:t>
      </w:r>
      <m:oMath>
        <m:r>
          <m:rPr>
            <m:nor/>
          </m:rPr>
          <w:rPr>
            <w:rFonts w:ascii="Times New Roman" w:hAnsi="Times New Roman" w:eastAsia="方正仿宋_GBK" w:cs="Times New Roman"/>
            <w:i/>
            <w:iCs/>
          </w:rPr>
          <m:t>f</m:t>
        </m:r>
      </m:oMath>
      <w:r>
        <w:rPr>
          <w:rFonts w:ascii="Times New Roman" w:hAnsi="Times New Roman" w:eastAsia="方正仿宋_GBK"/>
          <w:b w:val="0"/>
          <w:sz w:val="24"/>
        </w:rPr>
        <w:t>自身可转负荷，</w:t>
      </w:r>
      <m:oMath>
        <m:sSub>
          <m:sSubPr/>
          <m:e>
            <m:r>
              <m:rPr>
                <m:nor/>
              </m:rPr>
              <w:rPr>
                <w:rFonts w:ascii="Times New Roman" w:hAnsi="Times New Roman" w:eastAsia="方正仿宋_GBK" w:cs="Times New Roman"/>
                <w:i/>
                <w:iCs/>
              </w:rPr>
              <m:t>F</m:t>
            </m:r>
          </m:e>
          <m:sub>
            <m:r>
              <m:rPr>
                <m:nor/>
              </m:rPr>
              <w:rPr>
                <w:rFonts w:ascii="Times New Roman" w:hAnsi="Times New Roman" w:eastAsia="方正仿宋_GBK" w:cs="Times New Roman"/>
                <w:i/>
                <w:iCs/>
              </w:rPr>
              <m:t>f</m:t>
            </m:r>
          </m:sub>
        </m:sSub>
      </m:oMath>
      <w:r>
        <w:rPr>
          <w:rFonts w:ascii="Times New Roman" w:hAnsi="Times New Roman" w:eastAsia="方正仿宋_GBK"/>
          <w:b w:val="0"/>
          <w:sz w:val="24"/>
        </w:rPr>
        <w:t>为热限，</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f</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ref</m:t>
            </m:r>
          </m:sup>
        </m:sSubSup>
      </m:oMath>
      <w:r>
        <w:rPr>
          <w:rFonts w:ascii="Times New Roman" w:hAnsi="Times New Roman" w:eastAsia="方正仿宋_GBK"/>
          <w:b w:val="0"/>
          <w:sz w:val="24"/>
        </w:rPr>
        <w:t>为接收余量计算采用的馈线负荷。各量单位均为MW，负的接收余量按0处理。送端可转负荷限于该馈线原有负荷块。</w:t>
      </w:r>
    </w:p>
    <w:p w14:paraId="1A82CCBF">
      <w:pPr>
        <w:pStyle w:val="2"/>
        <w:widowControl/>
        <w:spacing w:before="0" w:after="0" w:line="348" w:lineRule="exact"/>
        <w:ind w:firstLine="480"/>
        <w:jc w:val="both"/>
      </w:pPr>
      <w:r>
        <w:rPr>
          <w:rFonts w:ascii="Times New Roman" w:hAnsi="Times New Roman" w:eastAsia="方正仿宋_GBK"/>
          <w:b w:val="0"/>
          <w:sz w:val="24"/>
        </w:rPr>
        <w:t xml:space="preserve">两地区</w:t>
      </w:r>
      <w:r>
        <w:rPr>
          <w:rFonts w:ascii="Times New Roman" w:hAnsi="Times New Roman" w:eastAsia="方正仿宋_GBK"/>
          <w:b w:val="0"/>
          <w:sz w:val="24"/>
        </w:rPr>
        <w:t xml:space="preserve">保留已核实联络、按站对构建的既有等效通道及付费新增候选</w:t>
      </w:r>
      <w:r>
        <w:rPr>
          <w:rFonts w:ascii="Times New Roman" w:hAnsi="Times New Roman" w:eastAsia="方正仿宋_GBK"/>
          <w:b w:val="0"/>
          <w:sz w:val="24"/>
        </w:rPr>
        <w:t xml:space="preserve">。源荷按原属站分为可切换区段</w:t>
      </w:r>
      <w:r>
        <w:rPr>
          <w:rFonts w:ascii="Times New Roman" w:hAnsi="Times New Roman" w:eastAsia="方正仿宋_GBK"/>
          <w:b w:val="0"/>
          <w:sz w:val="24"/>
        </w:rPr>
        <w:t xml:space="preserve">，</w:t>
      </w:r>
      <w:r>
        <w:rPr>
          <w:rFonts w:ascii="Times New Roman" w:hAnsi="Times New Roman" w:eastAsia="方正仿宋_GBK"/>
          <w:b w:val="0"/>
          <w:sz w:val="24"/>
        </w:rPr>
        <w:t xml:space="preserve">正常</w:t>
      </w:r>
      <w:r>
        <w:rPr>
          <w:rFonts w:ascii="Times New Roman" w:hAnsi="Times New Roman" w:eastAsia="方正仿宋_GBK"/>
          <w:b w:val="0"/>
          <w:sz w:val="24"/>
        </w:rPr>
        <w:t xml:space="preserve">和</w:t>
      </w:r>
      <w:r>
        <w:rPr>
          <w:rFonts w:ascii="Times New Roman" w:hAnsi="Times New Roman" w:eastAsia="方正仿宋_GBK"/>
          <w:b w:val="0"/>
          <w:sz w:val="24"/>
        </w:rPr>
        <w:t xml:space="preserve">事故追加切换合计</w:t>
      </w:r>
      <w:r>
        <w:rPr>
          <w:rFonts w:ascii="Times New Roman" w:hAnsi="Times New Roman" w:eastAsia="方正仿宋_GBK"/>
          <w:b w:val="0"/>
          <w:sz w:val="24"/>
        </w:rPr>
        <w:t xml:space="preserve">受</w:t>
      </w:r>
      <w:r>
        <w:rPr>
          <w:rFonts w:ascii="Times New Roman" w:hAnsi="Times New Roman" w:eastAsia="方正仿宋_GBK"/>
          <w:b w:val="0"/>
          <w:sz w:val="24"/>
        </w:rPr>
        <w:t xml:space="preserve">全</w:t>
      </w:r>
      <w:r>
        <w:rPr>
          <w:rFonts w:ascii="Times New Roman" w:hAnsi="Times New Roman" w:eastAsia="方正仿宋_GBK"/>
          <w:b w:val="0"/>
          <w:sz w:val="24"/>
        </w:rPr>
        <w:t xml:space="preserve">站</w:t>
      </w:r>
      <w:r>
        <w:rPr>
          <w:rFonts w:ascii="Times New Roman" w:hAnsi="Times New Roman" w:eastAsia="方正仿宋_GBK"/>
          <w:b w:val="0"/>
          <w:sz w:val="24"/>
        </w:rPr>
        <w:t xml:space="preserve">区段数</w:t>
      </w:r>
      <w:r>
        <w:rPr>
          <w:rFonts w:ascii="Times New Roman" w:hAnsi="Times New Roman" w:eastAsia="方正仿宋_GBK"/>
          <w:b w:val="0"/>
          <w:sz w:val="24"/>
        </w:rPr>
        <w:t xml:space="preserve">约束，新增</w:t>
      </w:r>
      <w:r>
        <w:rPr>
          <w:rFonts w:ascii="Times New Roman" w:hAnsi="Times New Roman" w:eastAsia="方正仿宋_GBK"/>
          <w:b w:val="0"/>
          <w:sz w:val="24"/>
        </w:rPr>
        <w:t xml:space="preserve">付</w:t>
      </w:r>
      <w:r>
        <w:rPr>
          <w:rFonts w:ascii="Times New Roman" w:hAnsi="Times New Roman" w:eastAsia="方正仿宋_GBK"/>
          <w:b w:val="0"/>
          <w:sz w:val="24"/>
        </w:rPr>
        <w:t xml:space="preserve">费</w:t>
      </w:r>
      <w:r>
        <w:rPr>
          <w:rFonts w:ascii="Times New Roman" w:hAnsi="Times New Roman" w:eastAsia="方正仿宋_GBK"/>
          <w:b w:val="0"/>
          <w:sz w:val="24"/>
        </w:rPr>
        <w:t xml:space="preserve">路径最多转出全站20%的源荷区段</w:t>
      </w:r>
      <w:r>
        <w:rPr>
          <w:rFonts w:ascii="Times New Roman" w:hAnsi="Times New Roman" w:eastAsia="方正仿宋_GBK"/>
          <w:b w:val="0"/>
          <w:sz w:val="24"/>
        </w:rPr>
        <w:t xml:space="preserve">。</w:t>
      </w:r>
      <w:r>
        <w:rPr>
          <w:rFonts w:ascii="Times New Roman" w:hAnsi="Times New Roman" w:eastAsia="方正仿宋_GBK"/>
          <w:b w:val="0"/>
          <w:sz w:val="24"/>
        </w:rPr>
        <w:t xml:space="preserve">每个代表馈线组最多5个区段、3个受端馈线和2座邻站，均为研究的聚合网络条件。实际可转能力由逐站收资MW上限、线路热限及接收余量共同限定。</w:t>
      </w:r>
    </w:p>
    <w:p w14:paraId="723E600E">
      <w:pPr>
        <w:pStyle w:val="2"/>
        <w:widowControl/>
        <w:spacing w:before="0" w:after="0" w:line="348" w:lineRule="exact"/>
        <w:ind w:firstLine="480"/>
        <w:jc w:val="both"/>
      </w:pPr>
      <w:r>
        <w:rPr>
          <w:rFonts w:ascii="Times New Roman" w:hAnsi="Times New Roman" w:eastAsia="方正仿宋_GBK"/>
          <w:b w:val="0"/>
          <w:sz w:val="24"/>
        </w:rPr>
        <w:t>新增联络由具体端点、可切换负荷和接收余量共同限定。每条已建设线路的工程投资计取一次，同一项目在多个正常或故障工况中可以重复使用，但各工况分别校核功率。线路投运后持续在役，线路热限保持不变。</w:t>
      </w:r>
    </w:p>
    <w:p w14:paraId="2875BAB6">
      <w:pPr>
        <w:pStyle w:val="5"/>
        <w:keepNext/>
        <w:numPr>
          <w:ilvl w:val="0"/>
          <w:numId w:val="0"/>
        </w:numPr>
        <w:spacing w:before="160" w:after="120" w:line="390" w:lineRule="exact"/>
        <w:ind w:firstLine="0"/>
      </w:pPr>
      <w:bookmarkStart w:id="187" w:name="负荷转接与容量衔接"/>
      <w:r>
        <w:rPr>
          <w:rFonts w:ascii="Times New Roman" w:hAnsi="Times New Roman" w:eastAsia="方正仿宋_GBK"/>
          <w:b/>
          <w:sz w:val="26"/>
        </w:rPr>
        <w:t>5.2.4 负荷转接与容量衔接</w:t>
      </w:r>
      <w:bookmarkEnd w:id="187"/>
    </w:p>
    <w:p w14:paraId="0862D259">
      <w:pPr>
        <w:pStyle w:val="115"/>
        <w:widowControl/>
        <w:spacing w:before="0" w:after="0" w:line="348" w:lineRule="exact"/>
        <w:ind w:firstLine="480"/>
        <w:jc w:val="both"/>
      </w:pPr>
      <w:r>
        <w:rPr>
          <w:rFonts w:ascii="Times New Roman" w:hAnsi="Times New Roman" w:eastAsia="方正仿宋_GBK"/>
          <w:b w:val="0"/>
          <w:sz w:val="24"/>
        </w:rPr>
        <w:t>站间转接改变供电归属，区域内部转出与承接总量相等。对每个静态工况，转接后的站级净负荷按下式计算。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（5-6）</w:t>
            </w:r>
          </w:p>
        </w:tc>
      </w:tr>
    </w:tbl>
    <w:p>
      <w:pPr>
        <w:pStyle w:val="115"/>
        <w:widowControl/>
        <w:spacing w:line="348" w:lineRule="exact" w:before="0" w:after="0"/>
        <w:ind w:firstLine="0" w:left="0" w:right="0" w:firstLineChars="0" w:hanging="0" w:hangingChars="0" w:start="0" w:end="0" w:leftChars="0" w:rightChars="0" w:startChars="0" w:endChars="0"/>
        <w:jc w:val="both"/>
        <w:rPr/>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为转出及承接的区段净功率，单位MW。源荷区段内的负荷与光伏共同切换，正向为受电、负向为反送，区县内部转接保持同期源荷总量不变。年度正常及事故追加区段预案固定，实际功率随同小时源荷变化。</w:t>
      </w:r>
    </w:p>
    <w:p w14:paraId="079B3982">
      <w:pPr>
        <w:pStyle w:val="2"/>
        <w:widowControl/>
        <w:spacing w:before="0" w:after="0" w:line="348" w:lineRule="exact"/>
        <w:ind w:firstLine="480"/>
        <w:jc w:val="both"/>
      </w:pPr>
      <w:r>
        <w:rPr>
          <w:rFonts w:ascii="Times New Roman" w:hAnsi="Times New Roman" w:eastAsia="方正仿宋_GBK"/>
          <w:b w:val="0"/>
          <w:sz w:val="24"/>
        </w:rPr>
        <w:t>以同一工况下两站为例，原净负荷分别为80 MW和40 MW，第一站向第二站转接25 MW后，净负荷变为55 MW和65 MW，合计仍为120 MW。这一转接还必须经过已投运线路，并同时满足源端可转负荷、受端馈线余量和两站主变容量要求。</w:t>
      </w:r>
    </w:p>
    <w:p w14:paraId="784F24A5">
      <w:pPr>
        <w:pStyle w:val="5"/>
        <w:keepNext/>
        <w:numPr>
          <w:ilvl w:val="0"/>
          <w:numId w:val="0"/>
        </w:numPr>
        <w:spacing w:before="160" w:after="120" w:line="390" w:lineRule="exact"/>
        <w:ind w:firstLine="0"/>
      </w:pPr>
      <w:bookmarkStart w:id="188" w:name="储能有效支撑功率"/>
      <w:r>
        <w:rPr>
          <w:rFonts w:ascii="Times New Roman" w:hAnsi="Times New Roman" w:eastAsia="方正仿宋_GBK"/>
          <w:b/>
          <w:sz w:val="26"/>
        </w:rPr>
        <w:t>5.2.5 储能有效支撑功率</w:t>
      </w:r>
      <w:bookmarkEnd w:id="188"/>
    </w:p>
    <w:p w14:paraId="309A0BBD">
      <w:pPr>
        <w:pStyle w:val="115"/>
        <w:widowControl/>
        <w:spacing w:before="0" w:after="0" w:line="348" w:lineRule="exact"/>
        <w:ind w:firstLine="480"/>
        <w:jc w:val="both"/>
      </w:pPr>
      <w:r>
        <w:rPr>
          <w:rFonts w:ascii="Times New Roman" w:hAnsi="Times New Roman" w:eastAsia="方正仿宋_GBK"/>
          <w:b w:val="0"/>
          <w:sz w:val="24"/>
        </w:rPr>
        <w:t>储能支撑同时受额定功率和可用电量限制，正反方向分别采用对应持续时间。</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（5-7）</w:t>
            </w:r>
          </w:p>
        </w:tc>
      </w:tr>
    </w:tbl>
    <w:p w14:paraId="28930964">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Sup>
          <m:sSubSupPr/>
          <m:e>
            <m:r>
              <m:rPr>
                <m:nor/>
              </m:rPr>
              <w:rPr>
                <w:rFonts w:ascii="Times New Roman" w:hAnsi="Times New Roman" w:eastAsia="方正仿宋_GBK" w:cs="Times New Roman"/>
                <w:i/>
                <w:iCs/>
              </w:rPr>
              <m:t>H</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为正向支撑或反向吸收持续时间，单位h，静态折算的最短时间取1 h；</w:t>
      </w:r>
      <m:oMath>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为相应有效功率，单位MW。额定功率1.00 MW、额定能量2.15 MWh的储能配置，在4.00 h条件下有效支撑功率为0.41 MW。工程应用条件见第4.4.4节。</w:t>
      </w:r>
    </w:p>
    <w:p w14:paraId="689CFD36">
      <w:pPr>
        <w:pStyle w:val="4"/>
        <w:keepNext/>
        <w:numPr>
          <w:ilvl w:val="0"/>
          <w:numId w:val="0"/>
        </w:numPr>
        <w:spacing w:before="160" w:after="120" w:line="480" w:lineRule="exact"/>
        <w:ind w:firstLine="0"/>
      </w:pPr>
      <w:bookmarkStart w:id="327" w:name="Report1017_h653"/>
      <w:bookmarkEnd w:id="327"/>
      <w:bookmarkStart w:id="189" w:name="约束条件与求解流程"/>
      <w:bookmarkStart w:id="190" w:name="h653"/>
      <w:r>
        <w:rPr>
          <w:rFonts w:ascii="Times New Roman" w:hAnsi="Times New Roman" w:eastAsia="方正仿宋_GBK"/>
          <w:b/>
          <w:sz w:val="32"/>
        </w:rPr>
        <w:t>5.3 约束条件与求解流程</w:t>
      </w:r>
      <w:bookmarkEnd w:id="189"/>
      <w:bookmarkEnd w:id="190"/>
    </w:p>
    <w:p w14:paraId="50CBF4BB">
      <w:pPr>
        <w:pStyle w:val="5"/>
        <w:keepNext/>
        <w:numPr>
          <w:ilvl w:val="0"/>
          <w:numId w:val="0"/>
        </w:numPr>
        <w:spacing w:before="160" w:after="120" w:line="390" w:lineRule="exact"/>
        <w:ind w:firstLine="0"/>
      </w:pPr>
      <w:bookmarkStart w:id="191" w:name="正常运行与主变n-1"/>
      <w:r>
        <w:rPr>
          <w:rFonts w:ascii="Times New Roman" w:hAnsi="Times New Roman" w:eastAsia="方正仿宋_GBK"/>
          <w:b/>
          <w:sz w:val="26"/>
        </w:rPr>
        <w:t xml:space="preserve">5.3.1 </w:t>
      </w:r>
      <w:r>
        <w:rPr>
          <w:rFonts w:ascii="Times New Roman" w:hAnsi="Times New Roman" w:eastAsia="方正仿宋_GBK"/>
          <w:b/>
          <w:sz w:val="26"/>
        </w:rPr>
        <w:t xml:space="preserve">供电安全及供电能力约束</w:t>
      </w:r>
      <w:r>
        <w:rPr>
          <w:woUserID w:val="2"/>
        </w:rPr>
      </w:r>
      <w:bookmarkEnd w:id="191"/>
    </w:p>
    <w:p w14:paraId="4693F97F">
      <w:pPr>
        <w:pStyle w:val="115"/>
        <w:widowControl/>
        <w:spacing w:before="0" w:after="0" w:line="348" w:lineRule="exact"/>
        <w:ind w:firstLine="480"/>
        <w:jc w:val="both"/>
      </w:pPr>
      <w:r>
        <w:rPr>
          <w:rFonts w:ascii="Times New Roman" w:hAnsi="Times New Roman" w:eastAsia="方正仿宋_GBK"/>
          <w:b w:val="0"/>
          <w:sz w:val="24"/>
        </w:rPr>
        <w:t xml:space="preserve">工程运行要求为：正常运行主变负载率不超过80%，主变N-1时剩余主变短时负载率不超过130%。</w:t>
      </w:r>
      <w:r>
        <w:rPr>
          <w:rFonts w:ascii="Times New Roman" w:hAnsi="Times New Roman" w:eastAsia="方正仿宋_GBK"/>
          <w:b w:val="0"/>
          <w:sz w:val="24"/>
        </w:rPr>
        <w:t xml:space="preserve">地区</w:t>
      </w:r>
      <w:r>
        <w:rPr>
          <w:rFonts w:ascii="Times New Roman" w:hAnsi="Times New Roman" w:eastAsia="方正仿宋_GBK"/>
          <w:b w:val="0"/>
          <w:sz w:val="24"/>
        </w:rPr>
        <w:t xml:space="preserve">案例在各年8760小时源</w:t>
      </w:r>
      <w:r>
        <w:rPr>
          <w:rFonts w:ascii="Times New Roman" w:hAnsi="Times New Roman" w:eastAsia="方正仿宋_GBK"/>
          <w:b w:val="0"/>
          <w:sz w:val="24"/>
        </w:rPr>
        <w:t xml:space="preserve">荷</w:t>
      </w:r>
      <w:r>
        <w:rPr>
          <w:rFonts w:ascii="Times New Roman" w:hAnsi="Times New Roman" w:eastAsia="方正仿宋_GBK"/>
          <w:b w:val="0"/>
          <w:sz w:val="24"/>
        </w:rPr>
        <w:t xml:space="preserve">上</w:t>
      </w:r>
      <w:r>
        <w:rPr>
          <w:rFonts w:ascii="Times New Roman" w:hAnsi="Times New Roman" w:eastAsia="方正仿宋_GBK"/>
          <w:b w:val="0"/>
          <w:sz w:val="24"/>
        </w:rPr>
        <w:t xml:space="preserve">分别校核正常</w:t>
      </w:r>
      <w:r>
        <w:rPr>
          <w:rFonts w:ascii="Times New Roman" w:hAnsi="Times New Roman" w:eastAsia="方正仿宋_GBK"/>
          <w:b w:val="0"/>
          <w:sz w:val="24"/>
        </w:rPr>
        <w:t xml:space="preserve">和各站最大单台主变N-1。</w:t>
      </w:r>
      <w:r>
        <w:rPr>
          <w:rFonts w:ascii="Times New Roman" w:hAnsi="Times New Roman" w:eastAsia="方正仿宋_GBK"/>
          <w:b w:val="0"/>
          <w:sz w:val="24"/>
        </w:rPr>
        <w:t xml:space="preserve">建设</w:t>
      </w:r>
      <w:r>
        <w:rPr>
          <w:rFonts w:ascii="Times New Roman" w:hAnsi="Times New Roman" w:eastAsia="方正仿宋_GBK"/>
          <w:b w:val="0"/>
          <w:sz w:val="24"/>
        </w:rPr>
        <w:t xml:space="preserve">设备</w:t>
      </w:r>
      <w:r>
        <w:rPr>
          <w:rFonts w:ascii="Times New Roman" w:hAnsi="Times New Roman" w:eastAsia="方正仿宋_GBK"/>
          <w:b w:val="0"/>
          <w:sz w:val="24"/>
        </w:rPr>
        <w:t xml:space="preserve">在同一年各工况间共享，</w:t>
      </w:r>
      <w:r>
        <w:rPr>
          <w:rFonts w:ascii="Times New Roman" w:hAnsi="Times New Roman" w:eastAsia="方正仿宋_GBK"/>
          <w:b w:val="0"/>
          <w:sz w:val="24"/>
        </w:rPr>
        <w:t xml:space="preserve">正常供区</w:t>
      </w:r>
      <w:r>
        <w:rPr>
          <w:rFonts w:ascii="Times New Roman" w:hAnsi="Times New Roman" w:eastAsia="方正仿宋_GBK"/>
          <w:b w:val="0"/>
          <w:sz w:val="24"/>
        </w:rPr>
        <w:t xml:space="preserve">及</w:t>
      </w:r>
      <w:r>
        <w:rPr>
          <w:rFonts w:ascii="Times New Roman" w:hAnsi="Times New Roman" w:eastAsia="方正仿宋_GBK"/>
          <w:b w:val="0"/>
          <w:sz w:val="24"/>
        </w:rPr>
        <w:t xml:space="preserve">各站故障追加切换预案在年内固定，储能按对应方向的有效</w:t>
      </w:r>
      <w:r>
        <w:rPr>
          <w:rFonts w:ascii="Times New Roman" w:hAnsi="Times New Roman" w:eastAsia="方正仿宋_GBK"/>
          <w:b w:val="0"/>
          <w:sz w:val="24"/>
        </w:rPr>
        <w:t xml:space="preserve">功率</w:t>
      </w:r>
      <w:r>
        <w:rPr>
          <w:rFonts w:ascii="Times New Roman" w:hAnsi="Times New Roman" w:eastAsia="方正仿宋_GBK"/>
          <w:b w:val="0"/>
          <w:sz w:val="24"/>
        </w:rPr>
        <w:t xml:space="preserve">及持续时间校核</w:t>
      </w:r>
      <w:r>
        <w:rPr>
          <w:rFonts w:ascii="Times New Roman" w:hAnsi="Times New Roman" w:eastAsia="方正仿宋_GBK"/>
          <w:b w:val="0"/>
          <w:sz w:val="24"/>
        </w:rPr>
        <w:t xml:space="preserve">。</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γ</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（5-8）</w:t>
            </w:r>
          </w:p>
        </w:tc>
      </w:tr>
    </w:tbl>
    <w:p w14:paraId="7D5B1E77">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r>
        <w:rPr>
          <w:rFonts w:ascii="Times New Roman" w:hAnsi="Times New Roman" w:eastAsia="方正仿宋_GBK"/>
          <w:b w:val="0"/>
          <w:sz w:val="24"/>
        </w:rPr>
        <w:t>为带符号的站级净负荷，受入为正、反送为负，单位MW；</w:t>
      </w:r>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av</m:t>
            </m:r>
          </m:sup>
        </m:sSubSup>
      </m:oMath>
      <w:r>
        <w:rPr>
          <w:rFonts w:ascii="Times New Roman" w:hAnsi="Times New Roman" w:eastAsia="方正仿宋_GBK"/>
          <w:b w:val="0"/>
          <w:sz w:val="24"/>
        </w:rPr>
        <w:t>为工况下可用主变容量，单位MVA；</w:t>
      </w:r>
      <m:oMath>
        <m:r>
          <m:rPr>
            <m:nor/>
            <m:sty m:val="p"/>
          </m:rPr>
          <w:rPr>
            <w:rFonts w:ascii="Times New Roman" w:hAnsi="Times New Roman" w:eastAsia="方正仿宋_GBK" w:cs="Times New Roman"/>
            <w:b w:val="0"/>
            <w:i w:val="0"/>
            <w:iCs w:val="0"/>
          </w:rPr>
          <m:t>cos</m:t>
        </m:r>
        <m:r>
          <m:rPr>
            <m:nor/>
          </m:rPr>
          <w:rPr>
            <w:rFonts w:ascii="Times New Roman" w:hAnsi="Times New Roman" w:eastAsia="方正仿宋_GBK" w:cs="Times New Roman"/>
            <w:i/>
            <w:iCs/>
          </w:rPr>
          <m:t>φ</m:t>
        </m:r>
      </m:oMath>
      <w:r>
        <w:rPr>
          <w:rFonts w:ascii="Times New Roman" w:hAnsi="Times New Roman" w:eastAsia="方正仿宋_GBK"/>
          <w:b w:val="0"/>
          <w:sz w:val="24"/>
        </w:rPr>
        <w:t>取0.95；</w:t>
      </w:r>
      <m:oMath>
        <m:sSub>
          <m:sSubPr/>
          <m:e>
            <m:r>
              <m:rPr>
                <m:nor/>
              </m:rPr>
              <w:rPr>
                <w:rFonts w:ascii="Times New Roman" w:hAnsi="Times New Roman" w:eastAsia="方正仿宋_GBK" w:cs="Times New Roman"/>
                <w:i/>
                <w:iCs/>
              </w:rPr>
              <m:t>γ</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r>
        <w:rPr>
          <w:rFonts w:ascii="Times New Roman" w:hAnsi="Times New Roman" w:eastAsia="方正仿宋_GBK"/>
          <w:b w:val="0"/>
          <w:sz w:val="24"/>
        </w:rPr>
        <w:t>为反向容量系数，正常运行及</w:t>
      </w:r>
      <w:r>
        <w:rPr>
          <w:rFonts w:ascii="Times New Roman" w:hAnsi="Times New Roman" w:eastAsia="方正仿宋_GBK"/>
          <w:b w:val="0"/>
          <w:sz w:val="24"/>
          <w:highlight w:val="yellow"/>
          <w:rPrChange w:id="5" w:author="白日梦想家" w:date="2026-10-17T20:17:02Z">
            <w:rPr>
              <w:rFonts w:ascii="Times New Roman" w:hAnsi="Times New Roman" w:eastAsia="方正仿宋_GBK"/>
              <w:b w:val="0"/>
              <w:sz w:val="24"/>
            </w:rPr>
          </w:rPrChange>
        </w:rPr>
        <w:t>故障工况中的健康站取0.80，故障站取1.00</w:t>
      </w:r>
      <w:r>
        <w:rPr>
          <w:rFonts w:ascii="Times New Roman" w:hAnsi="Times New Roman" w:eastAsia="方正仿宋_GBK"/>
          <w:b w:val="0"/>
          <w:sz w:val="24"/>
        </w:rPr>
        <w:t>；</w:t>
      </w:r>
      <m:oMath>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w:t>
      </w:r>
      <m:oMath>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分别为储能正向支撑和反向吸收的有效功率，单位MW。</w:t>
      </w:r>
    </w:p>
    <w:p w14:paraId="08353CAC">
      <w:pPr>
        <w:pStyle w:val="2"/>
        <w:widowControl/>
        <w:spacing w:before="0" w:after="0" w:line="348" w:lineRule="exact"/>
        <w:ind w:firstLine="480"/>
        <w:jc w:val="both"/>
      </w:pPr>
      <w:r>
        <w:rPr>
          <w:rFonts w:ascii="Times New Roman" w:hAnsi="Times New Roman" w:eastAsia="方正仿宋_GBK"/>
          <w:b w:val="0"/>
          <w:sz w:val="24"/>
        </w:rPr>
        <w:t xml:space="preserve">正常及健康站的反向</w:t>
      </w:r>
      <w:r>
        <w:rPr>
          <w:rFonts w:ascii="Times New Roman" w:hAnsi="Times New Roman" w:eastAsia="方正仿宋_GBK"/>
          <w:b w:val="0"/>
          <w:sz w:val="24"/>
        </w:rPr>
        <w:t xml:space="preserve">容量系数</w:t>
      </w:r>
      <w:r>
        <w:rPr>
          <w:rFonts w:ascii="Times New Roman" w:hAnsi="Times New Roman" w:eastAsia="方正仿宋_GBK"/>
          <w:b w:val="0"/>
          <w:sz w:val="24"/>
        </w:rPr>
        <w:t xml:space="preserve">依据2025年4月《配电网规划设计技术导则（修订稿）》第6.5.3条的设备反向潮流80%要求设置[8]。</w:t>
      </w:r>
      <w:r>
        <w:rPr>
          <w:rFonts w:ascii="Times New Roman" w:hAnsi="Times New Roman" w:eastAsia="方正仿宋_GBK"/>
          <w:b w:val="0"/>
          <w:sz w:val="24"/>
        </w:rPr>
        <w:t xml:space="preserve">计算时</w:t>
      </w:r>
      <w:r>
        <w:rPr>
          <w:rFonts w:ascii="Times New Roman" w:hAnsi="Times New Roman" w:eastAsia="方正仿宋_GBK"/>
          <w:b w:val="0"/>
          <w:sz w:val="24"/>
        </w:rPr>
        <w:t xml:space="preserve">储能吸收后的反送功率</w:t>
      </w:r>
      <w:r>
        <w:rPr>
          <w:rFonts w:ascii="Times New Roman" w:hAnsi="Times New Roman" w:eastAsia="方正仿宋_GBK"/>
          <w:b w:val="0"/>
          <w:sz w:val="24"/>
        </w:rPr>
        <w:t xml:space="preserve">满足</w:t>
      </w:r>
      <w:r>
        <w:rPr>
          <w:rFonts w:ascii="Times New Roman" w:hAnsi="Times New Roman" w:eastAsia="方正仿宋_GBK"/>
          <w:b w:val="0"/>
          <w:sz w:val="24"/>
        </w:rPr>
        <w:t xml:space="preserve">相应</w:t>
      </w:r>
      <w:r>
        <w:rPr>
          <w:rFonts w:ascii="Times New Roman" w:hAnsi="Times New Roman" w:eastAsia="方正仿宋_GBK"/>
          <w:b w:val="0"/>
          <w:sz w:val="24"/>
        </w:rPr>
        <w:t xml:space="preserve">限值</w:t>
      </w:r>
      <w:r>
        <w:rPr>
          <w:rFonts w:ascii="Times New Roman" w:hAnsi="Times New Roman" w:eastAsia="方正仿宋_GBK"/>
          <w:b w:val="0"/>
          <w:sz w:val="24"/>
        </w:rPr>
        <w:t xml:space="preserve">，</w:t>
      </w:r>
      <w:r>
        <w:rPr>
          <w:rFonts w:ascii="Times New Roman" w:hAnsi="Times New Roman" w:eastAsia="方正仿宋_GBK"/>
          <w:b w:val="0"/>
          <w:sz w:val="24"/>
        </w:rPr>
        <w:t xml:space="preserve">故障站扣除最大单台</w:t>
      </w:r>
      <w:r>
        <w:rPr>
          <w:rFonts w:ascii="Times New Roman" w:hAnsi="Times New Roman" w:eastAsia="方正仿宋_GBK"/>
          <w:b w:val="0"/>
          <w:sz w:val="24"/>
        </w:rPr>
        <w:t xml:space="preserve">后</w:t>
      </w:r>
      <w:r>
        <w:rPr>
          <w:rFonts w:ascii="Times New Roman" w:hAnsi="Times New Roman" w:eastAsia="方正仿宋_GBK"/>
          <w:b w:val="0"/>
          <w:sz w:val="24"/>
        </w:rPr>
        <w:t xml:space="preserve">按剩余容量</w:t>
      </w:r>
      <w:r>
        <w:rPr>
          <w:rFonts w:ascii="Times New Roman" w:hAnsi="Times New Roman" w:eastAsia="方正仿宋_GBK"/>
          <w:b w:val="0"/>
          <w:sz w:val="24"/>
        </w:rPr>
        <w:t xml:space="preserve">校核，</w:t>
      </w:r>
      <w:r>
        <w:rPr>
          <w:rFonts w:ascii="Times New Roman" w:hAnsi="Times New Roman" w:eastAsia="方正仿宋_GBK"/>
          <w:b w:val="0"/>
          <w:sz w:val="24"/>
        </w:rPr>
        <w:t xml:space="preserve">正向</w:t>
      </w:r>
      <w:r>
        <w:rPr>
          <w:rFonts w:ascii="Times New Roman" w:hAnsi="Times New Roman" w:eastAsia="方正仿宋_GBK"/>
          <w:b w:val="0"/>
          <w:sz w:val="24"/>
        </w:rPr>
        <w:t xml:space="preserve">按</w:t>
      </w:r>
      <w:r>
        <w:rPr>
          <w:rFonts w:ascii="Times New Roman" w:hAnsi="Times New Roman" w:eastAsia="方正仿宋_GBK"/>
          <w:b w:val="0"/>
          <w:sz w:val="24"/>
        </w:rPr>
        <w:t xml:space="preserve">可用主变容量与储能放电能力</w:t>
      </w:r>
      <w:r>
        <w:rPr>
          <w:rFonts w:ascii="Times New Roman" w:hAnsi="Times New Roman" w:eastAsia="方正仿宋_GBK"/>
          <w:b w:val="0"/>
          <w:sz w:val="24"/>
        </w:rPr>
        <w:t xml:space="preserve">校核。</w:t>
      </w:r>
      <w:r>
        <w:rPr>
          <w:rFonts w:ascii="Times New Roman" w:hAnsi="Times New Roman" w:eastAsia="方正仿宋_GBK"/>
          <w:b w:val="0"/>
          <w:sz w:val="24"/>
        </w:rPr>
        <w:t xml:space="preserve">工程运行要求与设备静态承载结果结合实际接线、故障持续时间及运行规程核</w:t>
      </w:r>
      <w:r>
        <w:rPr>
          <w:rFonts w:ascii="Times New Roman" w:hAnsi="Times New Roman" w:eastAsia="方正仿宋_GBK"/>
          <w:b w:val="0"/>
          <w:sz w:val="24"/>
        </w:rPr>
        <w:t xml:space="preserve">定</w:t>
      </w:r>
      <w:r>
        <w:rPr>
          <w:rFonts w:ascii="Times New Roman" w:hAnsi="Times New Roman" w:eastAsia="方正仿宋_GBK"/>
          <w:b w:val="0"/>
          <w:sz w:val="24"/>
        </w:rPr>
        <w:t xml:space="preserve">。</w:t>
      </w:r>
    </w:p>
    <w:p w14:paraId="37478CCE">
      <w:pPr>
        <w:pStyle w:val="2"/>
        <w:widowControl/>
        <w:spacing w:before="0" w:after="0" w:line="348" w:lineRule="exact"/>
        <w:ind w:firstLine="480"/>
        <w:jc w:val="both"/>
      </w:pPr>
      <w:r>
        <w:rPr>
          <w:rFonts w:ascii="Times New Roman" w:hAnsi="Times New Roman" w:eastAsia="方正仿宋_GBK"/>
          <w:b w:val="0"/>
          <w:sz w:val="24"/>
        </w:rPr>
        <w:t>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故障站与健康站逐站通过式（5-8）的校核。</w:t>
      </w:r>
    </w:p>
    <w:p w14:paraId="2BCF8322">
      <w:pPr>
        <w:pStyle w:val="2"/>
        <w:widowControl/>
        <w:spacing w:before="0" w:after="0" w:line="348" w:lineRule="exact"/>
        <w:ind w:firstLine="480"/>
        <w:jc w:val="both"/>
      </w:pPr>
      <w:r>
        <w:rPr>
          <w:rFonts w:ascii="Times New Roman" w:hAnsi="Times New Roman" w:eastAsia="方正仿宋_GBK"/>
          <w:b w:val="0"/>
          <w:sz w:val="24"/>
        </w:rPr>
        <w:t xml:space="preserve">本研究</w:t>
      </w:r>
      <w:r>
        <w:rPr>
          <w:rFonts w:ascii="Times New Roman" w:hAnsi="Times New Roman" w:eastAsia="方正仿宋_GBK"/>
          <w:b w:val="0"/>
          <w:sz w:val="24"/>
        </w:rPr>
        <w:t xml:space="preserve">采用</w:t>
      </w:r>
      <w:r>
        <w:rPr>
          <w:rFonts w:ascii="Times New Roman" w:hAnsi="Times New Roman" w:eastAsia="方正仿宋_GBK"/>
          <w:b w:val="0"/>
          <w:sz w:val="24"/>
        </w:rPr>
        <w:t xml:space="preserve">静态</w:t>
      </w:r>
      <w:r>
        <w:rPr>
          <w:rFonts w:ascii="Times New Roman" w:hAnsi="Times New Roman" w:eastAsia="方正仿宋_GBK"/>
          <w:b w:val="0"/>
          <w:sz w:val="24"/>
        </w:rPr>
        <w:t xml:space="preserve">有效功率进行</w:t>
      </w:r>
      <w:r>
        <w:rPr>
          <w:rFonts w:ascii="Times New Roman" w:hAnsi="Times New Roman" w:eastAsia="方正仿宋_GBK"/>
          <w:b w:val="0"/>
          <w:sz w:val="24"/>
        </w:rPr>
        <w:t xml:space="preserve">设备容量比选。导则同时要求电压不越限，并在系统级承载力评估中统筹新能源利用率和调峰能力[8]</w:t>
      </w:r>
      <w:r>
        <w:rPr>
          <w:rFonts w:ascii="Times New Roman" w:hAnsi="Times New Roman" w:eastAsia="方正仿宋_GBK"/>
          <w:b w:val="0"/>
          <w:sz w:val="24"/>
        </w:rPr>
        <w:t xml:space="preserve">。本次对各年8760小时</w:t>
      </w:r>
      <w:r>
        <w:rPr>
          <w:rFonts w:ascii="Times New Roman" w:hAnsi="Times New Roman" w:eastAsia="方正仿宋_GBK"/>
          <w:b w:val="0"/>
          <w:sz w:val="24"/>
        </w:rPr>
        <w:t xml:space="preserve">及</w:t>
      </w:r>
      <w:r>
        <w:rPr>
          <w:rFonts w:ascii="Times New Roman" w:hAnsi="Times New Roman" w:eastAsia="方正仿宋_GBK"/>
          <w:b w:val="0"/>
          <w:sz w:val="24"/>
        </w:rPr>
        <w:t xml:space="preserve">规定支撑时长</w:t>
      </w:r>
      <w:r>
        <w:rPr>
          <w:rFonts w:ascii="Times New Roman" w:hAnsi="Times New Roman" w:eastAsia="方正仿宋_GBK"/>
          <w:b w:val="0"/>
          <w:sz w:val="24"/>
        </w:rPr>
        <w:t xml:space="preserve">回代校核</w:t>
      </w:r>
      <w:r>
        <w:rPr>
          <w:rFonts w:ascii="Times New Roman" w:hAnsi="Times New Roman" w:eastAsia="方正仿宋_GBK"/>
          <w:b w:val="0"/>
          <w:sz w:val="24"/>
        </w:rPr>
        <w:t xml:space="preserve">，储能</w:t>
      </w:r>
      <w:r>
        <w:rPr>
          <w:rFonts w:ascii="Times New Roman" w:hAnsi="Times New Roman" w:eastAsia="方正仿宋_GBK"/>
          <w:b w:val="0"/>
          <w:sz w:val="24"/>
        </w:rPr>
        <w:t xml:space="preserve">仍采</w:t>
      </w:r>
      <w:r>
        <w:rPr>
          <w:rFonts w:ascii="Times New Roman" w:hAnsi="Times New Roman" w:eastAsia="方正仿宋_GBK"/>
          <w:b w:val="0"/>
          <w:sz w:val="24"/>
        </w:rPr>
        <w:t xml:space="preserve">用</w:t>
      </w:r>
      <w:r>
        <w:rPr>
          <w:rFonts w:ascii="Times New Roman" w:hAnsi="Times New Roman" w:eastAsia="方正仿宋_GBK"/>
          <w:b w:val="0"/>
          <w:sz w:val="24"/>
        </w:rPr>
        <w:t xml:space="preserve">有效功率</w:t>
      </w:r>
      <w:r>
        <w:rPr>
          <w:rFonts w:ascii="Times New Roman" w:hAnsi="Times New Roman" w:eastAsia="方正仿宋_GBK"/>
          <w:b w:val="0"/>
          <w:sz w:val="24"/>
        </w:rPr>
        <w:t xml:space="preserve">折算</w:t>
      </w:r>
      <w:r>
        <w:rPr>
          <w:rFonts w:ascii="Times New Roman" w:hAnsi="Times New Roman" w:eastAsia="方正仿宋_GBK"/>
          <w:b w:val="0"/>
          <w:sz w:val="24"/>
        </w:rPr>
        <w:t xml:space="preserve">，连续荷电状态</w:t>
      </w:r>
      <w:r>
        <w:rPr>
          <w:rFonts w:ascii="Times New Roman" w:hAnsi="Times New Roman" w:eastAsia="方正仿宋_GBK"/>
          <w:b w:val="0"/>
          <w:sz w:val="24"/>
        </w:rPr>
        <w:t xml:space="preserve">、电压及保护需结合实际网络补</w:t>
      </w:r>
      <w:r>
        <w:rPr>
          <w:rFonts w:ascii="Times New Roman" w:hAnsi="Times New Roman" w:eastAsia="方正仿宋_GBK"/>
          <w:b w:val="0"/>
          <w:sz w:val="24"/>
        </w:rPr>
        <w:t xml:space="preserve">充</w:t>
      </w:r>
      <w:r>
        <w:rPr>
          <w:rFonts w:ascii="Times New Roman" w:hAnsi="Times New Roman" w:eastAsia="方正仿宋_GBK"/>
          <w:b w:val="0"/>
          <w:sz w:val="24"/>
        </w:rPr>
        <w:t xml:space="preserve">检验。</w:t>
      </w:r>
      <w:r>
        <w:rPr>
          <w:rFonts w:ascii="Times New Roman" w:hAnsi="Times New Roman" w:eastAsia="方正仿宋_GBK"/>
          <w:b w:val="0"/>
          <w:sz w:val="24"/>
        </w:rPr>
        <w:t xml:space="preserve">邳州2021年固定基期设备存在事故支撑缺口，规划补强自2022年开始，基期数据用于保持两方案共同起点。</w:t>
      </w:r>
    </w:p>
    <w:p w14:paraId="6E865503">
      <w:pPr>
        <w:pStyle w:val="5"/>
        <w:keepNext/>
        <w:numPr>
          <w:ilvl w:val="0"/>
          <w:numId w:val="0"/>
        </w:numPr>
        <w:spacing w:before="160" w:after="120" w:line="390" w:lineRule="exact"/>
        <w:ind w:firstLine="0"/>
      </w:pPr>
      <w:bookmarkStart w:id="192" w:name="评价期费用目标"/>
      <w:r>
        <w:rPr>
          <w:rFonts w:ascii="Times New Roman" w:hAnsi="Times New Roman" w:eastAsia="方正仿宋_GBK"/>
          <w:b/>
          <w:sz w:val="26"/>
        </w:rPr>
        <w:t>5.3.2 评价期费用目标</w:t>
      </w:r>
      <w:bookmarkEnd w:id="192"/>
    </w:p>
    <w:p w14:paraId="2A859AAB">
      <w:pPr>
        <w:pStyle w:val="115"/>
        <w:widowControl/>
        <w:spacing w:before="0" w:after="0" w:line="348" w:lineRule="exact"/>
        <w:ind w:firstLine="480"/>
        <w:jc w:val="both"/>
      </w:pPr>
      <w:r>
        <w:rPr>
          <w:rFonts w:ascii="Times New Roman" w:hAnsi="Times New Roman" w:eastAsia="方正仿宋_GBK"/>
          <w:b w:val="0"/>
          <w:sz w:val="24"/>
        </w:rPr>
        <w:t xml:space="preserve">每年根据当年源荷选择</w:t>
      </w:r>
      <w:r>
        <w:rPr>
          <w:rFonts w:ascii="Times New Roman" w:hAnsi="Times New Roman" w:eastAsia="方正仿宋_GBK"/>
          <w:b w:val="0"/>
          <w:sz w:val="24"/>
        </w:rPr>
        <w:t xml:space="preserve">新增措施</w:t>
      </w:r>
      <w:r>
        <w:rPr>
          <w:rFonts w:ascii="Times New Roman" w:hAnsi="Times New Roman" w:eastAsia="方正仿宋_GBK"/>
          <w:b w:val="0"/>
          <w:sz w:val="24"/>
        </w:rPr>
        <w:t xml:space="preserve">，将投运批次折算至2021年末、统一评价到2041年。刚性方案比较当年新增工程</w:t>
      </w:r>
      <w:r>
        <w:rPr>
          <w:rFonts w:ascii="Times New Roman" w:hAnsi="Times New Roman" w:eastAsia="方正仿宋_GBK"/>
          <w:b w:val="0"/>
          <w:sz w:val="24"/>
        </w:rPr>
        <w:t xml:space="preserve">费用</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弹性方案按第5.1.2节的配套费</w:t>
      </w:r>
      <w:r>
        <w:rPr>
          <w:rFonts w:ascii="Times New Roman" w:hAnsi="Times New Roman" w:eastAsia="方正仿宋_GBK"/>
          <w:b w:val="0"/>
          <w:sz w:val="24"/>
        </w:rPr>
        <w:t xml:space="preserve">用</w:t>
      </w:r>
      <w:r>
        <w:rPr>
          <w:rFonts w:ascii="Times New Roman" w:hAnsi="Times New Roman" w:eastAsia="方正仿宋_GBK"/>
          <w:b w:val="0"/>
          <w:sz w:val="24"/>
        </w:rPr>
        <w:t xml:space="preserve">及联络优选顺序取得可行配置，再比较总费用。</w:t>
      </w:r>
      <w:r>
        <w:rPr>
          <w:rFonts w:ascii="Times New Roman" w:hAnsi="Times New Roman" w:eastAsia="方正仿宋_GBK"/>
          <w:b w:val="0"/>
          <w:sz w:val="24"/>
        </w:rPr>
        <w:t xml:space="preserve">寿命、维护费率</w:t>
      </w:r>
      <w:r>
        <w:rPr>
          <w:rFonts w:ascii="Times New Roman" w:hAnsi="Times New Roman" w:eastAsia="方正仿宋_GBK"/>
          <w:b w:val="0"/>
          <w:sz w:val="24"/>
        </w:rPr>
        <w:t xml:space="preserve">及</w:t>
      </w:r>
      <w:r>
        <w:rPr>
          <w:rFonts w:ascii="Times New Roman" w:hAnsi="Times New Roman" w:eastAsia="方正仿宋_GBK"/>
          <w:b w:val="0"/>
          <w:sz w:val="24"/>
        </w:rPr>
        <w:t xml:space="preserve">折现率</w:t>
      </w:r>
      <w:r>
        <w:rPr>
          <w:rFonts w:ascii="Times New Roman" w:hAnsi="Times New Roman" w:eastAsia="方正仿宋_GBK"/>
          <w:b w:val="0"/>
          <w:sz w:val="24"/>
        </w:rPr>
        <w:t xml:space="preserve">沿用第四章设置</w:t>
      </w:r>
      <w:r>
        <w:rPr>
          <w:rFonts w:ascii="Times New Roman" w:hAnsi="Times New Roman" w:eastAsia="方正仿宋_GBK"/>
          <w:b w:val="0"/>
          <w:sz w:val="24"/>
        </w:rPr>
        <w:t xml:space="preserve">，</w:t>
      </w:r>
      <w:r>
        <w:rPr>
          <w:rFonts w:ascii="Times New Roman" w:hAnsi="Times New Roman" w:eastAsia="方正仿宋_GBK"/>
          <w:b w:val="0"/>
          <w:sz w:val="24"/>
        </w:rPr>
        <w:t xml:space="preserve">投运当年计建设投资、次年起计固定运维</w:t>
      </w:r>
      <w:r>
        <w:rPr>
          <w:rFonts w:ascii="Times New Roman" w:hAnsi="Times New Roman" w:eastAsia="方正仿宋_GBK"/>
          <w:b w:val="0"/>
          <w:sz w:val="24"/>
        </w:rPr>
        <w:t xml:space="preserve">。</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（5-9）</w:t>
            </w:r>
          </w:p>
        </w:tc>
      </w:tr>
    </w:tbl>
    <w:p w14:paraId="4218D904">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分别为当年新增主变、储能及联络建设投资，</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为相应费用现值因子。供电裕度作为技术约束。相同费用附近可能存在多种可行设备组合。</w:t>
      </w:r>
    </w:p>
    <w:p w14:paraId="463B0C86">
      <w:pPr>
        <w:pStyle w:val="5"/>
        <w:keepNext/>
        <w:numPr>
          <w:ilvl w:val="0"/>
          <w:numId w:val="0"/>
        </w:numPr>
        <w:spacing w:before="160" w:after="120" w:line="390" w:lineRule="exact"/>
        <w:ind w:firstLine="0"/>
      </w:pPr>
      <w:bookmarkStart w:id="193" w:name="三类措施的约束寻优流程"/>
      <w:r>
        <w:rPr>
          <w:rFonts w:ascii="Times New Roman" w:hAnsi="Times New Roman" w:eastAsia="方正仿宋_GBK"/>
          <w:b/>
          <w:sz w:val="26"/>
        </w:rPr>
        <w:t>5.3.3 三类措施的约束寻优流程</w:t>
      </w:r>
      <w:bookmarkEnd w:id="193"/>
    </w:p>
    <w:p w14:paraId="35002D64">
      <w:pPr>
        <w:pStyle w:val="115"/>
        <w:widowControl/>
        <w:spacing w:before="0" w:after="0" w:line="348" w:lineRule="exact"/>
        <w:ind w:firstLine="480"/>
        <w:jc w:val="both"/>
      </w:pPr>
      <w:r>
        <w:rPr>
          <w:rFonts w:ascii="Times New Roman" w:hAnsi="Times New Roman" w:eastAsia="方正仿宋_GBK"/>
          <w:b w:val="0"/>
          <w:sz w:val="24"/>
        </w:rPr>
        <w:t xml:space="preserve">计算结果按</w:t>
      </w:r>
      <w:r>
        <w:rPr>
          <w:rFonts w:ascii="Times New Roman" w:hAnsi="Times New Roman" w:eastAsia="方正仿宋_GBK"/>
          <w:b w:val="0"/>
          <w:sz w:val="24"/>
        </w:rPr>
        <w:t xml:space="preserve">年度</w:t>
      </w:r>
      <w:r>
        <w:rPr>
          <w:rFonts w:ascii="Times New Roman" w:hAnsi="Times New Roman" w:eastAsia="方正仿宋_GBK"/>
          <w:b w:val="0"/>
          <w:sz w:val="24"/>
        </w:rPr>
        <w:t xml:space="preserve">设备</w:t>
      </w:r>
      <w:r>
        <w:rPr>
          <w:rFonts w:ascii="Times New Roman" w:hAnsi="Times New Roman" w:eastAsia="方正仿宋_GBK"/>
          <w:b w:val="0"/>
          <w:sz w:val="24"/>
        </w:rPr>
        <w:t xml:space="preserve">承接</w:t>
      </w:r>
      <w:r>
        <w:rPr>
          <w:rFonts w:ascii="Times New Roman" w:hAnsi="Times New Roman" w:eastAsia="方正仿宋_GBK"/>
          <w:b w:val="0"/>
          <w:sz w:val="24"/>
        </w:rPr>
        <w:t xml:space="preserve">、容量非减、</w:t>
      </w:r>
      <w:r>
        <w:rPr>
          <w:rFonts w:ascii="Times New Roman" w:hAnsi="Times New Roman" w:eastAsia="方正仿宋_GBK"/>
          <w:b w:val="0"/>
          <w:sz w:val="24"/>
        </w:rPr>
        <w:t xml:space="preserve">区段</w:t>
      </w:r>
      <w:r>
        <w:rPr>
          <w:rFonts w:ascii="Times New Roman" w:hAnsi="Times New Roman" w:eastAsia="方正仿宋_GBK"/>
          <w:b w:val="0"/>
          <w:sz w:val="24"/>
        </w:rPr>
        <w:t xml:space="preserve">功率平衡、</w:t>
      </w:r>
      <w:r>
        <w:rPr>
          <w:rFonts w:ascii="Times New Roman" w:hAnsi="Times New Roman" w:eastAsia="方正仿宋_GBK"/>
          <w:b w:val="0"/>
          <w:sz w:val="24"/>
        </w:rPr>
        <w:t xml:space="preserve">既有转供上限、共享</w:t>
      </w:r>
      <w:r>
        <w:rPr>
          <w:rFonts w:ascii="Times New Roman" w:hAnsi="Times New Roman" w:eastAsia="方正仿宋_GBK"/>
          <w:b w:val="0"/>
          <w:sz w:val="24"/>
        </w:rPr>
        <w:t xml:space="preserve">馈线</w:t>
      </w:r>
      <w:r>
        <w:rPr>
          <w:rFonts w:ascii="Times New Roman" w:hAnsi="Times New Roman" w:eastAsia="方正仿宋_GBK"/>
          <w:b w:val="0"/>
          <w:sz w:val="24"/>
        </w:rPr>
        <w:t xml:space="preserve">余量</w:t>
      </w:r>
      <w:r>
        <w:rPr>
          <w:rFonts w:ascii="Times New Roman" w:hAnsi="Times New Roman" w:eastAsia="方正仿宋_GBK"/>
          <w:b w:val="0"/>
          <w:sz w:val="24"/>
        </w:rPr>
        <w:t xml:space="preserve">及</w:t>
      </w:r>
      <w:r>
        <w:rPr>
          <w:rFonts w:ascii="Times New Roman" w:hAnsi="Times New Roman" w:eastAsia="方正仿宋_GBK"/>
          <w:b w:val="0"/>
          <w:sz w:val="24"/>
        </w:rPr>
        <w:t xml:space="preserve">接收站</w:t>
      </w:r>
      <w:r>
        <w:rPr>
          <w:rFonts w:ascii="Times New Roman" w:hAnsi="Times New Roman" w:eastAsia="方正仿宋_GBK"/>
          <w:b w:val="0"/>
          <w:sz w:val="24"/>
        </w:rPr>
        <w:t xml:space="preserve">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逐项复核，</w:t>
      </w:r>
      <w:r>
        <w:rPr>
          <w:rFonts w:ascii="Times New Roman" w:hAnsi="Times New Roman" w:eastAsia="方正仿宋_GBK"/>
          <w:b w:val="0"/>
          <w:sz w:val="24"/>
        </w:rPr>
        <w:t xml:space="preserve">再</w:t>
      </w:r>
      <w:r>
        <w:rPr>
          <w:rFonts w:ascii="Times New Roman" w:hAnsi="Times New Roman" w:eastAsia="方正仿宋_GBK"/>
          <w:b w:val="0"/>
          <w:sz w:val="24"/>
        </w:rPr>
        <w:t xml:space="preserve">以</w:t>
      </w:r>
      <w:r>
        <w:rPr>
          <w:rFonts w:ascii="Times New Roman" w:hAnsi="Times New Roman" w:eastAsia="方正仿宋_GBK"/>
          <w:b w:val="0"/>
          <w:sz w:val="24"/>
        </w:rPr>
        <w:t xml:space="preserve">固定区段预案回代</w:t>
      </w:r>
      <w:r>
        <w:rPr>
          <w:rFonts w:ascii="Times New Roman" w:hAnsi="Times New Roman" w:eastAsia="方正仿宋_GBK"/>
          <w:b w:val="0"/>
          <w:sz w:val="24"/>
        </w:rPr>
        <w:t xml:space="preserve">各</w:t>
      </w:r>
      <w:r>
        <w:rPr>
          <w:rFonts w:ascii="Times New Roman" w:hAnsi="Times New Roman" w:eastAsia="方正仿宋_GBK"/>
          <w:b w:val="0"/>
          <w:sz w:val="24"/>
        </w:rPr>
        <w:t xml:space="preserve">年8760小时正常与故障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w:t>
      </w:r>
    </w:p>
    <w:p w14:paraId="7643B2A7">
      <w:pPr>
        <w:pStyle w:val="2"/>
        <w:widowControl/>
        <w:spacing w:before="0" w:after="0" w:line="348" w:lineRule="exact"/>
        <w:ind w:firstLine="480"/>
        <w:jc w:val="both"/>
      </w:pPr>
      <w:r>
        <w:rPr>
          <w:rFonts w:ascii="Times New Roman" w:hAnsi="Times New Roman" w:eastAsia="方正仿宋_GBK"/>
          <w:b w:val="0"/>
          <w:sz w:val="24"/>
        </w:rPr>
        <w:t>正文比较通过设备与网络约束校核的可行方案，费用对应所列建设配置。</w:t>
      </w:r>
    </w:p>
    <w:p w14:paraId="114EA760">
      <w:pPr>
        <w:pStyle w:val="2"/>
        <w:widowControl/>
        <w:spacing w:before="0" w:after="0" w:line="348" w:lineRule="exact"/>
        <w:ind w:firstLine="480"/>
        <w:jc w:val="both"/>
      </w:pPr>
      <w:r>
        <w:rPr>
          <w:rFonts w:ascii="Times New Roman" w:hAnsi="Times New Roman" w:eastAsia="方正仿宋_GBK"/>
          <w:b w:val="0"/>
          <w:sz w:val="24"/>
        </w:rPr>
        <w:t xml:space="preserve">逐年</w:t>
      </w:r>
      <w:r>
        <w:rPr>
          <w:rFonts w:ascii="Times New Roman" w:hAnsi="Times New Roman" w:eastAsia="方正仿宋_GBK"/>
          <w:b w:val="0"/>
          <w:sz w:val="24"/>
        </w:rPr>
        <w:t xml:space="preserve">比选</w:t>
      </w:r>
      <w:r>
        <w:rPr>
          <w:rFonts w:ascii="Times New Roman" w:hAnsi="Times New Roman" w:eastAsia="方正仿宋_GBK"/>
          <w:b w:val="0"/>
          <w:sz w:val="24"/>
        </w:rPr>
        <w:t xml:space="preserve">先载入</w:t>
      </w:r>
      <w:r>
        <w:rPr>
          <w:rFonts w:ascii="Times New Roman" w:hAnsi="Times New Roman" w:eastAsia="方正仿宋_GBK"/>
          <w:b w:val="0"/>
          <w:sz w:val="24"/>
        </w:rPr>
        <w:t xml:space="preserve">2021年</w:t>
      </w:r>
      <w:r>
        <w:rPr>
          <w:rFonts w:ascii="Times New Roman" w:hAnsi="Times New Roman" w:eastAsia="方正仿宋_GBK"/>
          <w:b w:val="0"/>
          <w:sz w:val="24"/>
        </w:rPr>
        <w:t xml:space="preserve">共同</w:t>
      </w:r>
      <w:r>
        <w:rPr>
          <w:rFonts w:ascii="Times New Roman" w:hAnsi="Times New Roman" w:eastAsia="方正仿宋_GBK"/>
          <w:b w:val="0"/>
          <w:sz w:val="24"/>
        </w:rPr>
        <w:t xml:space="preserve">基期</w:t>
      </w:r>
      <w:r>
        <w:rPr>
          <w:rFonts w:ascii="Times New Roman" w:hAnsi="Times New Roman" w:eastAsia="方正仿宋_GBK"/>
          <w:b w:val="0"/>
          <w:sz w:val="24"/>
        </w:rPr>
        <w:t xml:space="preserve">设备</w:t>
      </w:r>
      <w:r>
        <w:rPr>
          <w:rFonts w:ascii="Times New Roman" w:hAnsi="Times New Roman" w:eastAsia="方正仿宋_GBK"/>
          <w:b w:val="0"/>
          <w:sz w:val="24"/>
        </w:rPr>
        <w:t xml:space="preserve">，2022</w:t>
      </w:r>
      <w:r>
        <w:rPr>
          <w:rFonts w:ascii="Times New Roman" w:hAnsi="Times New Roman" w:eastAsia="方正仿宋_GBK"/>
          <w:b w:val="0"/>
          <w:sz w:val="24"/>
        </w:rPr>
        <w:t xml:space="preserve">年</w:t>
      </w:r>
      <w:r>
        <w:rPr>
          <w:rFonts w:ascii="Times New Roman" w:hAnsi="Times New Roman" w:eastAsia="方正仿宋_GBK"/>
          <w:b w:val="0"/>
          <w:sz w:val="24"/>
        </w:rPr>
        <w:t xml:space="preserve">起每年固定已投运资产，载入当年</w:t>
      </w:r>
      <w:r>
        <w:rPr>
          <w:rFonts w:ascii="Times New Roman" w:hAnsi="Times New Roman" w:eastAsia="方正仿宋_GBK"/>
          <w:b w:val="0"/>
          <w:sz w:val="24"/>
        </w:rPr>
        <w:t xml:space="preserve">负荷</w:t>
      </w:r>
      <w:r>
        <w:rPr>
          <w:rFonts w:ascii="Times New Roman" w:hAnsi="Times New Roman" w:eastAsia="方正仿宋_GBK"/>
          <w:b w:val="0"/>
          <w:sz w:val="24"/>
        </w:rPr>
        <w:t xml:space="preserve">与光伏</w:t>
      </w:r>
      <w:r>
        <w:rPr>
          <w:rFonts w:ascii="Times New Roman" w:hAnsi="Times New Roman" w:eastAsia="方正仿宋_GBK"/>
          <w:b w:val="0"/>
          <w:sz w:val="24"/>
        </w:rPr>
        <w:t xml:space="preserve">，</w:t>
      </w:r>
      <w:r>
        <w:rPr>
          <w:rFonts w:ascii="Times New Roman" w:hAnsi="Times New Roman" w:eastAsia="方正仿宋_GBK"/>
          <w:b w:val="0"/>
          <w:sz w:val="24"/>
        </w:rPr>
        <w:t xml:space="preserve">选择</w:t>
      </w:r>
      <w:r>
        <w:rPr>
          <w:rFonts w:ascii="Times New Roman" w:hAnsi="Times New Roman" w:eastAsia="方正仿宋_GBK"/>
          <w:b w:val="0"/>
          <w:sz w:val="24"/>
        </w:rPr>
        <w:t xml:space="preserve">允许的主变</w:t>
      </w:r>
      <w:r>
        <w:rPr>
          <w:rFonts w:ascii="Times New Roman" w:hAnsi="Times New Roman" w:eastAsia="方正仿宋_GBK"/>
          <w:b w:val="0"/>
          <w:sz w:val="24"/>
        </w:rPr>
        <w:t xml:space="preserve">更换</w:t>
      </w:r>
      <w:r>
        <w:rPr>
          <w:rFonts w:ascii="Times New Roman" w:hAnsi="Times New Roman" w:eastAsia="方正仿宋_GBK"/>
          <w:b w:val="0"/>
          <w:sz w:val="24"/>
        </w:rPr>
        <w:t xml:space="preserve">、扩建</w:t>
      </w:r>
      <w:r>
        <w:rPr>
          <w:rFonts w:ascii="Times New Roman" w:hAnsi="Times New Roman" w:eastAsia="方正仿宋_GBK"/>
          <w:b w:val="0"/>
          <w:sz w:val="24"/>
        </w:rPr>
        <w:t xml:space="preserve">、储能</w:t>
      </w:r>
      <w:r>
        <w:rPr>
          <w:rFonts w:ascii="Times New Roman" w:hAnsi="Times New Roman" w:eastAsia="方正仿宋_GBK"/>
          <w:b w:val="0"/>
          <w:sz w:val="24"/>
        </w:rPr>
        <w:t xml:space="preserve">和</w:t>
      </w:r>
      <w:r>
        <w:rPr>
          <w:rFonts w:ascii="Times New Roman" w:hAnsi="Times New Roman" w:eastAsia="方正仿宋_GBK"/>
          <w:b w:val="0"/>
          <w:sz w:val="24"/>
        </w:rPr>
        <w:t xml:space="preserve">联络</w:t>
      </w:r>
      <w:r>
        <w:rPr>
          <w:rFonts w:ascii="Times New Roman" w:hAnsi="Times New Roman" w:eastAsia="方正仿宋_GBK"/>
          <w:b w:val="0"/>
          <w:sz w:val="24"/>
        </w:rPr>
        <w:t xml:space="preserve">工程</w:t>
      </w:r>
      <w:r>
        <w:rPr>
          <w:rFonts w:ascii="Times New Roman" w:hAnsi="Times New Roman" w:eastAsia="方正仿宋_GBK"/>
          <w:b w:val="0"/>
          <w:sz w:val="24"/>
        </w:rPr>
        <w:t xml:space="preserve">。正常</w:t>
      </w:r>
      <w:r>
        <w:rPr>
          <w:rFonts w:ascii="Times New Roman" w:hAnsi="Times New Roman" w:eastAsia="方正仿宋_GBK"/>
          <w:b w:val="0"/>
          <w:sz w:val="24"/>
        </w:rPr>
        <w:t xml:space="preserve">供区与故障追加切换</w:t>
      </w:r>
      <w:r>
        <w:rPr>
          <w:rFonts w:ascii="Times New Roman" w:hAnsi="Times New Roman" w:eastAsia="方正仿宋_GBK"/>
          <w:b w:val="0"/>
          <w:sz w:val="24"/>
        </w:rPr>
        <w:t xml:space="preserve">分别</w:t>
      </w:r>
      <w:r>
        <w:rPr>
          <w:rFonts w:ascii="Times New Roman" w:hAnsi="Times New Roman" w:eastAsia="方正仿宋_GBK"/>
          <w:b w:val="0"/>
          <w:sz w:val="24"/>
        </w:rPr>
        <w:t xml:space="preserve">为全年固定预案</w:t>
      </w:r>
      <w:r>
        <w:rPr>
          <w:rFonts w:ascii="Times New Roman" w:hAnsi="Times New Roman" w:eastAsia="方正仿宋_GBK"/>
          <w:b w:val="0"/>
          <w:sz w:val="24"/>
        </w:rPr>
        <w:t xml:space="preserve">，</w:t>
      </w:r>
      <w:r>
        <w:rPr>
          <w:rFonts w:ascii="Times New Roman" w:hAnsi="Times New Roman" w:eastAsia="方正仿宋_GBK"/>
          <w:b w:val="0"/>
          <w:sz w:val="24"/>
        </w:rPr>
        <w:t xml:space="preserve">投运设备在后续年份持续在役。</w:t>
      </w:r>
    </w:p>
    <w:p w14:paraId="1985A058">
      <w:pPr>
        <w:pStyle w:val="2"/>
        <w:widowControl/>
        <w:spacing w:before="0" w:after="0" w:line="348" w:lineRule="exact"/>
        <w:ind w:firstLine="480"/>
        <w:jc w:val="both"/>
      </w:pPr>
      <w:r>
        <w:rPr>
          <w:rFonts w:ascii="Times New Roman" w:hAnsi="Times New Roman" w:eastAsia="方正仿宋_GBK"/>
          <w:b w:val="0"/>
          <w:sz w:val="24"/>
        </w:rPr>
        <w:t xml:space="preserve">设备选择</w:t>
      </w:r>
      <w:r>
        <w:rPr>
          <w:rFonts w:ascii="Times New Roman" w:hAnsi="Times New Roman" w:eastAsia="方正仿宋_GBK"/>
          <w:b w:val="0"/>
          <w:sz w:val="24"/>
        </w:rPr>
        <w:t xml:space="preserve">、储能柜数及源荷区段切换数</w:t>
      </w:r>
      <w:r>
        <w:rPr>
          <w:rFonts w:ascii="Times New Roman" w:hAnsi="Times New Roman" w:eastAsia="方正仿宋_GBK"/>
          <w:b w:val="0"/>
          <w:sz w:val="24"/>
        </w:rPr>
        <w:t xml:space="preserve">采用整数变量</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每年先比较新增储能与联络配套费用，</w:t>
      </w:r>
      <w:r>
        <w:rPr>
          <w:rFonts w:ascii="Times New Roman" w:hAnsi="Times New Roman" w:eastAsia="方正仿宋_GBK"/>
          <w:b w:val="0"/>
          <w:sz w:val="24"/>
        </w:rPr>
        <w:t xml:space="preserve">在该</w:t>
      </w:r>
      <w:r>
        <w:rPr>
          <w:rFonts w:ascii="Times New Roman" w:hAnsi="Times New Roman" w:eastAsia="方正仿宋_GBK"/>
          <w:b w:val="0"/>
          <w:sz w:val="24"/>
        </w:rPr>
        <w:t xml:space="preserve">配套费用</w:t>
      </w:r>
      <w:r>
        <w:rPr>
          <w:rFonts w:ascii="Times New Roman" w:hAnsi="Times New Roman" w:eastAsia="方正仿宋_GBK"/>
          <w:b w:val="0"/>
          <w:sz w:val="24"/>
        </w:rPr>
        <w:t xml:space="preserve">参考</w:t>
      </w:r>
      <w:r>
        <w:rPr>
          <w:rFonts w:ascii="Times New Roman" w:hAnsi="Times New Roman" w:eastAsia="方正仿宋_GBK"/>
          <w:b w:val="0"/>
          <w:sz w:val="24"/>
        </w:rPr>
        <w:t xml:space="preserve">值</w:t>
      </w:r>
      <w:r>
        <w:rPr>
          <w:rFonts w:ascii="Times New Roman" w:hAnsi="Times New Roman" w:eastAsia="方正仿宋_GBK"/>
          <w:b w:val="0"/>
          <w:sz w:val="24"/>
        </w:rPr>
        <w:t xml:space="preserve">的1</w:t>
      </w:r>
      <w:r>
        <w:rPr>
          <w:rFonts w:ascii="Times New Roman" w:hAnsi="Times New Roman" w:eastAsia="方正仿宋_GBK"/>
          <w:b w:val="0"/>
          <w:sz w:val="24"/>
        </w:rPr>
        <w:t xml:space="preserve">2</w:t>
      </w:r>
      <w:r>
        <w:rPr>
          <w:rFonts w:ascii="Times New Roman" w:hAnsi="Times New Roman" w:eastAsia="方正仿宋_GBK"/>
          <w:b w:val="0"/>
          <w:sz w:val="24"/>
        </w:rPr>
        <w:t xml:space="preserve">0</w:t>
      </w:r>
      <w:r>
        <w:rPr>
          <w:rFonts w:ascii="Times New Roman" w:hAnsi="Times New Roman" w:eastAsia="方正仿宋_GBK"/>
          <w:b w:val="0"/>
          <w:sz w:val="24"/>
        </w:rPr>
        <w:t xml:space="preserve">%以内</w:t>
      </w:r>
      <w:r>
        <w:rPr>
          <w:rFonts w:ascii="Times New Roman" w:hAnsi="Times New Roman" w:eastAsia="方正仿宋_GBK"/>
          <w:b w:val="0"/>
          <w:sz w:val="24"/>
        </w:rPr>
        <w:t xml:space="preserve">优先减少联络，再</w:t>
      </w:r>
      <w:r>
        <w:rPr>
          <w:rFonts w:ascii="Times New Roman" w:hAnsi="Times New Roman" w:eastAsia="方正仿宋_GBK"/>
          <w:b w:val="0"/>
          <w:sz w:val="24"/>
        </w:rPr>
        <w:t xml:space="preserve">比较</w:t>
      </w:r>
      <w:r>
        <w:rPr>
          <w:rFonts w:ascii="Times New Roman" w:hAnsi="Times New Roman" w:eastAsia="方正仿宋_GBK"/>
          <w:b w:val="0"/>
          <w:sz w:val="24"/>
        </w:rPr>
        <w:t xml:space="preserve">总</w:t>
      </w:r>
      <w:r>
        <w:rPr>
          <w:rFonts w:ascii="Times New Roman" w:hAnsi="Times New Roman" w:eastAsia="方正仿宋_GBK"/>
          <w:b w:val="0"/>
          <w:sz w:val="24"/>
        </w:rPr>
        <w:t xml:space="preserve">费用，形成</w:t>
      </w:r>
      <w:r>
        <w:rPr>
          <w:rFonts w:ascii="Times New Roman" w:hAnsi="Times New Roman" w:eastAsia="方正仿宋_GBK"/>
          <w:b w:val="0"/>
          <w:sz w:val="24"/>
        </w:rPr>
        <w:t xml:space="preserve">逐年</w:t>
      </w:r>
      <w:r>
        <w:rPr>
          <w:rFonts w:ascii="Times New Roman" w:hAnsi="Times New Roman" w:eastAsia="方正仿宋_GBK"/>
          <w:b w:val="0"/>
          <w:sz w:val="24"/>
        </w:rPr>
        <w:t xml:space="preserve">工程</w:t>
      </w:r>
      <w:r>
        <w:rPr>
          <w:rFonts w:ascii="Times New Roman" w:hAnsi="Times New Roman" w:eastAsia="方正仿宋_GBK"/>
          <w:b w:val="0"/>
          <w:sz w:val="24"/>
        </w:rPr>
        <w:t xml:space="preserve">可行</w:t>
      </w:r>
      <w:r>
        <w:rPr>
          <w:rFonts w:ascii="Times New Roman" w:hAnsi="Times New Roman" w:eastAsia="方正仿宋_GBK"/>
          <w:b w:val="0"/>
          <w:sz w:val="24"/>
        </w:rPr>
        <w:t xml:space="preserve">方案</w:t>
      </w:r>
      <w:r>
        <w:rPr>
          <w:rFonts w:ascii="Times New Roman" w:hAnsi="Times New Roman" w:eastAsia="方正仿宋_GBK"/>
          <w:b w:val="0"/>
          <w:sz w:val="24"/>
        </w:rPr>
        <w:t xml:space="preserve">。取得配置后，</w:t>
      </w:r>
      <w:r>
        <w:rPr>
          <w:rFonts w:ascii="Times New Roman" w:hAnsi="Times New Roman" w:eastAsia="方正仿宋_GBK"/>
          <w:b w:val="0"/>
          <w:sz w:val="24"/>
        </w:rPr>
        <w:t xml:space="preserve">按主变实际</w:t>
      </w:r>
      <w:r>
        <w:rPr>
          <w:rFonts w:ascii="Times New Roman" w:hAnsi="Times New Roman" w:eastAsia="方正仿宋_GBK"/>
          <w:b w:val="0"/>
          <w:sz w:val="24"/>
        </w:rPr>
        <w:t xml:space="preserve">采购</w:t>
      </w:r>
      <w:r>
        <w:rPr>
          <w:rFonts w:ascii="Times New Roman" w:hAnsi="Times New Roman" w:eastAsia="方正仿宋_GBK"/>
          <w:b w:val="0"/>
          <w:sz w:val="24"/>
        </w:rPr>
        <w:t xml:space="preserve">量、储能</w:t>
      </w:r>
      <w:r>
        <w:rPr>
          <w:rFonts w:ascii="Times New Roman" w:hAnsi="Times New Roman" w:eastAsia="方正仿宋_GBK"/>
          <w:b w:val="0"/>
          <w:sz w:val="24"/>
        </w:rPr>
        <w:t xml:space="preserve">新增柜数及</w:t>
      </w:r>
      <w:r>
        <w:rPr>
          <w:rFonts w:ascii="Times New Roman" w:hAnsi="Times New Roman" w:eastAsia="方正仿宋_GBK"/>
          <w:b w:val="0"/>
          <w:sz w:val="24"/>
        </w:rPr>
        <w:t xml:space="preserve">联络</w:t>
      </w:r>
      <w:r>
        <w:rPr>
          <w:rFonts w:ascii="Times New Roman" w:hAnsi="Times New Roman" w:eastAsia="方正仿宋_GBK"/>
          <w:b w:val="0"/>
          <w:sz w:val="24"/>
        </w:rPr>
        <w:t xml:space="preserve">投运批次</w:t>
      </w:r>
      <w:r>
        <w:rPr>
          <w:rFonts w:ascii="Times New Roman" w:hAnsi="Times New Roman" w:eastAsia="方正仿宋_GBK"/>
          <w:b w:val="0"/>
          <w:sz w:val="24"/>
        </w:rPr>
        <w:t xml:space="preserve">复算</w:t>
      </w:r>
      <w:r>
        <w:rPr>
          <w:rFonts w:ascii="Times New Roman" w:hAnsi="Times New Roman" w:eastAsia="方正仿宋_GBK"/>
          <w:b w:val="0"/>
          <w:sz w:val="24"/>
        </w:rPr>
        <w:t xml:space="preserve">费用</w:t>
      </w:r>
      <w:r>
        <w:rPr>
          <w:rFonts w:ascii="Times New Roman" w:hAnsi="Times New Roman" w:eastAsia="方正仿宋_GBK"/>
          <w:b w:val="0"/>
          <w:sz w:val="24"/>
        </w:rPr>
        <w:t xml:space="preserve">，各年的选择只使用当年需求和上年资产</w:t>
      </w:r>
      <w:r>
        <w:rPr>
          <w:rFonts w:ascii="Times New Roman" w:hAnsi="Times New Roman" w:eastAsia="方正仿宋_GBK"/>
          <w:b w:val="0"/>
          <w:sz w:val="24"/>
        </w:rPr>
        <w:t xml:space="preserve">。</w:t>
      </w:r>
    </w:p>
    <w:p w14:paraId="0D80E963">
      <w:pPr>
        <w:pStyle w:val="4"/>
        <w:keepNext/>
        <w:numPr>
          <w:ilvl w:val="0"/>
          <w:numId w:val="0"/>
        </w:numPr>
        <w:spacing w:before="160" w:after="120" w:line="480" w:lineRule="exact"/>
        <w:ind w:firstLine="0"/>
      </w:pPr>
      <w:bookmarkStart w:id="328" w:name="Report1017_h668"/>
      <w:bookmarkEnd w:id="328"/>
      <w:bookmarkStart w:id="194" w:name="寻优结果"/>
      <w:bookmarkStart w:id="195" w:name="h668"/>
      <w:r>
        <w:rPr>
          <w:rFonts w:ascii="Times New Roman" w:hAnsi="Times New Roman" w:eastAsia="方正仿宋_GBK"/>
          <w:b/>
          <w:sz w:val="32"/>
        </w:rPr>
        <w:t>5.4 寻优结果</w:t>
      </w:r>
      <w:bookmarkEnd w:id="194"/>
      <w:bookmarkEnd w:id="195"/>
    </w:p>
    <w:p w14:paraId="30348106">
      <w:pPr>
        <w:pStyle w:val="5"/>
        <w:keepNext/>
        <w:numPr>
          <w:ilvl w:val="0"/>
          <w:numId w:val="0"/>
        </w:numPr>
        <w:spacing w:before="160" w:after="120" w:line="390" w:lineRule="exact"/>
        <w:ind w:firstLine="0"/>
      </w:pPr>
      <w:bookmarkStart w:id="196" w:name="邳州逐年方案"/>
      <w:r>
        <w:rPr>
          <w:rFonts w:ascii="Times New Roman" w:hAnsi="Times New Roman" w:eastAsia="方正仿宋_GBK"/>
          <w:b/>
          <w:sz w:val="26"/>
        </w:rPr>
        <w:t>5.4.1 邳州逐年方案</w:t>
      </w:r>
      <w:bookmarkEnd w:id="196"/>
    </w:p>
    <w:p w14:paraId="5483921A">
      <w:pPr>
        <w:pStyle w:val="115"/>
        <w:widowControl/>
        <w:spacing w:before="0" w:after="0" w:line="348" w:lineRule="exact"/>
        <w:ind w:firstLine="480"/>
        <w:jc w:val="both"/>
      </w:pPr>
      <w:r>
        <w:rPr>
          <w:rFonts w:ascii="Times New Roman" w:hAnsi="Times New Roman" w:eastAsia="方正仿宋_GBK"/>
          <w:b w:val="0"/>
          <w:sz w:val="24"/>
        </w:rPr>
        <w:t xml:space="preserve">邳州</w:t>
      </w:r>
      <w:r>
        <w:rPr>
          <w:rFonts w:ascii="Times New Roman" w:hAnsi="Times New Roman" w:eastAsia="方正仿宋_GBK"/>
          <w:b w:val="0"/>
          <w:sz w:val="24"/>
        </w:rPr>
        <w:t xml:space="preserve">两方案2021年均保留2027.00 MVA实际地区容量，2022年起按当年源荷选择新增工程。</w:t>
      </w:r>
      <w:r>
        <w:rPr>
          <w:rFonts w:ascii="Times New Roman" w:hAnsi="Times New Roman" w:eastAsia="方正仿宋_GBK"/>
          <w:b w:val="0"/>
          <w:sz w:val="24"/>
        </w:rPr>
        <w:t xml:space="preserve">弹性方案2022年</w:t>
      </w:r>
      <w:r>
        <w:rPr>
          <w:rFonts w:ascii="Times New Roman" w:hAnsi="Times New Roman" w:eastAsia="方正仿宋_GBK"/>
          <w:b w:val="0"/>
          <w:sz w:val="24"/>
        </w:rPr>
        <w:t xml:space="preserve">净增</w:t>
      </w:r>
      <w:r>
        <w:rPr>
          <w:rFonts w:ascii="Times New Roman" w:hAnsi="Times New Roman" w:eastAsia="方正仿宋_GBK"/>
          <w:b w:val="0"/>
          <w:sz w:val="24"/>
        </w:rPr>
        <w:t xml:space="preserve">4</w:t>
      </w:r>
      <w:r>
        <w:rPr>
          <w:rFonts w:ascii="Times New Roman" w:hAnsi="Times New Roman" w:eastAsia="方正仿宋_GBK"/>
          <w:b w:val="0"/>
          <w:sz w:val="24"/>
        </w:rPr>
        <w:t xml:space="preserve">1</w:t>
      </w:r>
      <w:r>
        <w:rPr>
          <w:rFonts w:ascii="Times New Roman" w:hAnsi="Times New Roman" w:eastAsia="方正仿宋_GBK"/>
          <w:b w:val="0"/>
          <w:sz w:val="24"/>
        </w:rPr>
        <w:t xml:space="preserve">.50 MVA</w:t>
      </w:r>
      <w:r>
        <w:rPr>
          <w:rFonts w:ascii="Times New Roman" w:hAnsi="Times New Roman" w:eastAsia="方正仿宋_GBK"/>
          <w:b w:val="0"/>
          <w:sz w:val="24"/>
        </w:rPr>
        <w:t xml:space="preserve">，至2035年主变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为290</w:t>
      </w:r>
      <w:r>
        <w:rPr>
          <w:rFonts w:ascii="Times New Roman" w:hAnsi="Times New Roman" w:eastAsia="方正仿宋_GBK"/>
          <w:b w:val="0"/>
          <w:sz w:val="24"/>
        </w:rPr>
        <w:t xml:space="preserve">1</w:t>
      </w:r>
      <w:r>
        <w:rPr>
          <w:rFonts w:ascii="Times New Roman" w:hAnsi="Times New Roman" w:eastAsia="方正仿宋_GBK"/>
          <w:b w:val="0"/>
          <w:sz w:val="24"/>
        </w:rPr>
        <w:t xml:space="preserve">.00 MVA</w:t>
      </w:r>
      <w:r>
        <w:rPr>
          <w:rFonts w:ascii="Times New Roman" w:hAnsi="Times New Roman" w:eastAsia="方正仿宋_GBK"/>
          <w:b w:val="0"/>
          <w:sz w:val="24"/>
        </w:rPr>
        <w:t xml:space="preserve">。</w:t>
      </w:r>
      <w:r>
        <w:rPr>
          <w:rFonts w:ascii="Times New Roman" w:hAnsi="Times New Roman" w:eastAsia="方正仿宋_GBK"/>
          <w:b w:val="0"/>
          <w:sz w:val="24"/>
        </w:rPr>
        <w:t xml:space="preserve">年</w:t>
      </w:r>
      <w:r>
        <w:rPr>
          <w:rFonts w:ascii="Times New Roman" w:hAnsi="Times New Roman" w:eastAsia="方正仿宋_GBK"/>
          <w:b w:val="0"/>
          <w:sz w:val="24"/>
        </w:rPr>
        <w:t xml:space="preserve">末配置与</w:t>
      </w:r>
      <w:r>
        <w:rPr>
          <w:rFonts w:ascii="Times New Roman" w:hAnsi="Times New Roman" w:eastAsia="方正仿宋_GBK"/>
          <w:b w:val="0"/>
          <w:sz w:val="24"/>
        </w:rPr>
        <w:t xml:space="preserve">当年</w:t>
      </w:r>
      <w:r>
        <w:rPr>
          <w:rFonts w:ascii="Times New Roman" w:hAnsi="Times New Roman" w:eastAsia="方正仿宋_GBK"/>
          <w:b w:val="0"/>
          <w:sz w:val="24"/>
        </w:rPr>
        <w:t xml:space="preserve">新增</w:t>
      </w:r>
      <w:r>
        <w:rPr>
          <w:rFonts w:ascii="Times New Roman" w:hAnsi="Times New Roman" w:eastAsia="方正仿宋_GBK"/>
          <w:b w:val="0"/>
          <w:sz w:val="24"/>
        </w:rPr>
        <w:t xml:space="preserve">措施</w:t>
      </w:r>
      <w:r>
        <w:rPr>
          <w:rFonts w:ascii="Times New Roman" w:hAnsi="Times New Roman" w:eastAsia="方正仿宋_GBK"/>
          <w:b w:val="0"/>
          <w:sz w:val="24"/>
        </w:rPr>
        <w:t xml:space="preserve">分别列</w:t>
      </w:r>
      <w:r>
        <w:rPr>
          <w:rFonts w:ascii="Times New Roman" w:hAnsi="Times New Roman" w:eastAsia="方正仿宋_GBK"/>
          <w:b w:val="0"/>
          <w:sz w:val="24"/>
        </w:rPr>
        <w:t xml:space="preserve">示</w:t>
      </w:r>
      <w:r>
        <w:rPr>
          <w:rFonts w:ascii="Times New Roman" w:hAnsi="Times New Roman" w:eastAsia="方正仿宋_GBK"/>
          <w:b w:val="0"/>
          <w:sz w:val="24"/>
        </w:rPr>
        <w:t xml:space="preserve">。</w:t>
      </w:r>
    </w:p>
    <w:p w14:paraId="44609F73">
      <w:pPr>
        <w:pStyle w:val="2"/>
        <w:keepNext/>
        <w:spacing w:before="120" w:after="80" w:line="280" w:lineRule="exact"/>
        <w:ind w:firstLine="0"/>
        <w:jc w:val="center"/>
      </w:pPr>
      <w:r>
        <w:rPr>
          <w:rFonts w:ascii="Times New Roman" w:hAnsi="Times New Roman" w:eastAsia="宋体"/>
          <w:b w:val="0"/>
          <w:sz w:val="21"/>
        </w:rPr>
        <w:t>表5-4 邳州逐年容量及措施</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2057.00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2078.50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2097.00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2125.50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1217.69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88.90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1265.64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2302.50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1313.58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177.80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1361.53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2589.50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1409.47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2678.00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264.30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2091.50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2130.00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2338.50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2388.50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1217.69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2475.50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1265.64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2562.50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1313.58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2741.00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147.40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1361.53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2891.00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1409.47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2901.00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w:t>
            </w:r>
          </w:p>
        </w:tc>
      </w:tr>
    </w:tbl>
    <w:p>
      <w:pPr>
        <w:pStyle w:val="2"/>
        <w:widowControl/>
        <w:spacing w:line="348" w:lineRule="exact" w:before="0" w:after="0"/>
        <w:ind w:firstLine="480"/>
        <w:jc w:val="both"/>
        <w:rPr/>
      </w:pPr>
      <w:r>
        <w:rPr>
          <w:rFonts w:ascii="Times New Roman" w:hAnsi="Times New Roman" w:eastAsia="方正仿宋_GBK"/>
          <w:b w:val="0"/>
          <w:sz w:val="24"/>
        </w:rPr>
        <w:t xml:space="preserve">注：2021年为两方案共同的固定基期，储能及新线列为本次规划新增设备的累计在役规模。</w:t>
      </w:r>
    </w:p>
    <w:p w14:paraId="78D8A299">
      <w:pPr>
        <w:pStyle w:val="2"/>
        <w:keepNext/>
        <w:spacing w:before="120" w:after="80" w:line="280" w:lineRule="exact"/>
        <w:ind w:firstLine="0"/>
        <w:jc w:val="center"/>
      </w:pPr>
      <w:r>
        <w:rPr>
          <w:rFonts w:ascii="Times New Roman" w:hAnsi="Times New Roman" w:eastAsia="宋体"/>
          <w:b w:val="0"/>
          <w:sz w:val="21"/>
        </w:rPr>
        <w:t>表5-5 邳州逐年新增工程与费用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2776.39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1131.28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3473.37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5116.40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2230.41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2189.46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9.68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1828.23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2805.77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4423.94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8649.97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110.08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7916.60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8994.23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91.38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6833.63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2594.77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1550.95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2738.77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16.99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2311.14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6363.08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1442.88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2667.04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41.71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5221.95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94.82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7993.09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110.73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9872.28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96.32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7554.51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132.44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7210.91</w:t>
            </w:r>
          </w:p>
        </w:tc>
      </w:tr>
    </w:tbl>
    <w:p w14:paraId="7EF2DC70">
      <w:pPr>
        <w:pStyle w:val="2"/>
        <w:widowControl/>
        <w:spacing w:before="0" w:after="0" w:line="348" w:lineRule="exact"/>
        <w:ind w:firstLine="480"/>
        <w:jc w:val="both"/>
      </w:pPr>
      <w:r>
        <w:rPr>
          <w:rFonts w:ascii="Times New Roman" w:hAnsi="Times New Roman" w:eastAsia="方正仿宋_GBK"/>
          <w:b w:val="0"/>
          <w:sz w:val="24"/>
        </w:rPr>
        <w:t xml:space="preserve">邳州</w:t>
      </w:r>
      <w:r>
        <w:rPr>
          <w:rFonts w:ascii="Times New Roman" w:hAnsi="Times New Roman" w:eastAsia="方正仿宋_GBK"/>
          <w:b w:val="0"/>
          <w:sz w:val="24"/>
        </w:rPr>
        <w:t xml:space="preserve">刚性</w:t>
      </w:r>
      <w:r>
        <w:rPr>
          <w:rFonts w:ascii="Times New Roman" w:hAnsi="Times New Roman" w:eastAsia="方正仿宋_GBK"/>
          <w:b w:val="0"/>
          <w:sz w:val="24"/>
        </w:rPr>
        <w:t xml:space="preserve">方案</w:t>
      </w:r>
      <w:r>
        <w:rPr>
          <w:rFonts w:ascii="Times New Roman" w:hAnsi="Times New Roman" w:eastAsia="方正仿宋_GBK"/>
          <w:b w:val="0"/>
          <w:sz w:val="24"/>
        </w:rPr>
        <w:t xml:space="preserve">2022</w:t>
      </w:r>
      <w:r>
        <w:rPr>
          <w:rFonts w:ascii="Times New Roman" w:hAnsi="Times New Roman" w:eastAsia="方正仿宋_GBK"/>
          <w:b w:val="0"/>
          <w:sz w:val="24"/>
        </w:rPr>
        <w:t xml:space="preserve">—2026</w:t>
      </w:r>
      <w:r>
        <w:rPr>
          <w:rFonts w:ascii="Times New Roman" w:hAnsi="Times New Roman" w:eastAsia="方正仿宋_GBK"/>
          <w:b w:val="0"/>
          <w:sz w:val="24"/>
        </w:rPr>
        <w:t xml:space="preserve">年</w:t>
      </w:r>
      <w:r>
        <w:rPr>
          <w:rFonts w:ascii="Times New Roman" w:hAnsi="Times New Roman" w:eastAsia="方正仿宋_GBK"/>
          <w:b w:val="0"/>
          <w:sz w:val="24"/>
        </w:rPr>
        <w:t xml:space="preserve">保持</w:t>
      </w:r>
      <w:r>
        <w:rPr>
          <w:rFonts w:ascii="Times New Roman" w:hAnsi="Times New Roman" w:eastAsia="方正仿宋_GBK"/>
          <w:b w:val="0"/>
          <w:sz w:val="24"/>
        </w:rPr>
        <w:t xml:space="preserve">2</w:t>
      </w:r>
      <w:r>
        <w:rPr>
          <w:rFonts w:ascii="Times New Roman" w:hAnsi="Times New Roman" w:eastAsia="方正仿宋_GBK"/>
          <w:b w:val="0"/>
          <w:sz w:val="24"/>
        </w:rPr>
        <w:t xml:space="preserve">0</w:t>
      </w:r>
      <w:r>
        <w:rPr>
          <w:rFonts w:ascii="Times New Roman" w:hAnsi="Times New Roman" w:eastAsia="方正仿宋_GBK"/>
          <w:b w:val="0"/>
          <w:sz w:val="24"/>
        </w:rPr>
        <w:t xml:space="preserve">2</w:t>
      </w:r>
      <w:r>
        <w:rPr>
          <w:rFonts w:ascii="Times New Roman" w:hAnsi="Times New Roman" w:eastAsia="方正仿宋_GBK"/>
          <w:b w:val="0"/>
          <w:sz w:val="24"/>
        </w:rPr>
        <w:t xml:space="preserve">7</w:t>
      </w:r>
      <w:r>
        <w:rPr>
          <w:rFonts w:ascii="Times New Roman" w:hAnsi="Times New Roman" w:eastAsia="方正仿宋_GBK"/>
          <w:b w:val="0"/>
          <w:sz w:val="24"/>
        </w:rPr>
        <w:t xml:space="preserve">.00 MVA，</w:t>
      </w:r>
      <w:r>
        <w:rPr>
          <w:rFonts w:ascii="Times New Roman" w:hAnsi="Times New Roman" w:eastAsia="方正仿宋_GBK"/>
          <w:b w:val="0"/>
          <w:sz w:val="24"/>
        </w:rPr>
        <w:t xml:space="preserve">期间随局部需求增加储能和联络。弹</w:t>
      </w:r>
      <w:r>
        <w:rPr>
          <w:rFonts w:ascii="Times New Roman" w:hAnsi="Times New Roman" w:eastAsia="方正仿宋_GBK"/>
          <w:b w:val="0"/>
          <w:sz w:val="24"/>
        </w:rPr>
        <w:t xml:space="preserve">性方案</w:t>
      </w:r>
      <w:r>
        <w:rPr>
          <w:rFonts w:ascii="Times New Roman" w:hAnsi="Times New Roman" w:eastAsia="方正仿宋_GBK"/>
          <w:b w:val="0"/>
          <w:sz w:val="24"/>
        </w:rPr>
        <w:t xml:space="preserve">202</w:t>
      </w:r>
      <w:r>
        <w:rPr>
          <w:rFonts w:ascii="Times New Roman" w:hAnsi="Times New Roman" w:eastAsia="方正仿宋_GBK"/>
          <w:b w:val="0"/>
          <w:sz w:val="24"/>
        </w:rPr>
        <w:t xml:space="preserve">2年净增</w:t>
      </w:r>
      <w:r>
        <w:rPr>
          <w:rFonts w:ascii="Times New Roman" w:hAnsi="Times New Roman" w:eastAsia="方正仿宋_GBK"/>
          <w:b w:val="0"/>
          <w:sz w:val="24"/>
        </w:rPr>
        <w:t xml:space="preserve">4</w:t>
      </w:r>
      <w:r>
        <w:rPr>
          <w:rFonts w:ascii="Times New Roman" w:hAnsi="Times New Roman" w:eastAsia="方正仿宋_GBK"/>
          <w:b w:val="0"/>
          <w:sz w:val="24"/>
        </w:rPr>
        <w:t xml:space="preserve">1.50 MVA，</w:t>
      </w:r>
      <w:r>
        <w:rPr>
          <w:rFonts w:ascii="Times New Roman" w:hAnsi="Times New Roman" w:eastAsia="方正仿宋_GBK"/>
          <w:b w:val="0"/>
          <w:sz w:val="24"/>
        </w:rPr>
        <w:t xml:space="preserve">2025年</w:t>
      </w:r>
      <w:r>
        <w:rPr>
          <w:rFonts w:ascii="Times New Roman" w:hAnsi="Times New Roman" w:eastAsia="方正仿宋_GBK"/>
          <w:b w:val="0"/>
          <w:sz w:val="24"/>
        </w:rPr>
        <w:t xml:space="preserve">增</w:t>
      </w:r>
      <w:r>
        <w:rPr>
          <w:rFonts w:ascii="Times New Roman" w:hAnsi="Times New Roman" w:eastAsia="方正仿宋_GBK"/>
          <w:b w:val="0"/>
          <w:sz w:val="24"/>
        </w:rPr>
        <w:t xml:space="preserve">至209</w:t>
      </w:r>
      <w:r>
        <w:rPr>
          <w:rFonts w:ascii="Times New Roman" w:hAnsi="Times New Roman" w:eastAsia="方正仿宋_GBK"/>
          <w:b w:val="0"/>
          <w:sz w:val="24"/>
        </w:rPr>
        <w:t xml:space="preserve">1.50 MVA，</w:t>
      </w:r>
      <w:r>
        <w:rPr>
          <w:rFonts w:ascii="Times New Roman" w:hAnsi="Times New Roman" w:eastAsia="方正仿宋_GBK"/>
          <w:b w:val="0"/>
          <w:sz w:val="24"/>
        </w:rPr>
        <w:t xml:space="preserve">该年未新增储能，累计新增联络3条；刚性</w:t>
      </w:r>
      <w:r>
        <w:rPr>
          <w:rFonts w:ascii="Times New Roman" w:hAnsi="Times New Roman" w:eastAsia="方正仿宋_GBK"/>
          <w:b w:val="0"/>
          <w:sz w:val="24"/>
        </w:rPr>
        <w:t xml:space="preserve">方案</w:t>
      </w:r>
      <w:r>
        <w:rPr>
          <w:rFonts w:ascii="Times New Roman" w:hAnsi="Times New Roman" w:eastAsia="方正仿宋_GBK"/>
          <w:b w:val="0"/>
          <w:sz w:val="24"/>
        </w:rPr>
        <w:t xml:space="preserve">为56</w:t>
      </w:r>
      <w:r>
        <w:rPr>
          <w:rFonts w:ascii="Times New Roman" w:hAnsi="Times New Roman" w:eastAsia="方正仿宋_GBK"/>
          <w:b w:val="0"/>
          <w:sz w:val="24"/>
        </w:rPr>
        <w:t xml:space="preserve">.</w:t>
      </w:r>
      <w:r>
        <w:rPr>
          <w:rFonts w:ascii="Times New Roman" w:hAnsi="Times New Roman" w:eastAsia="方正仿宋_GBK"/>
          <w:b w:val="0"/>
          <w:sz w:val="24"/>
        </w:rPr>
        <w:t xml:space="preserve">33</w:t>
      </w:r>
      <w:r>
        <w:rPr>
          <w:rFonts w:ascii="Times New Roman" w:hAnsi="Times New Roman" w:eastAsia="方正仿宋_GBK"/>
          <w:b w:val="0"/>
          <w:sz w:val="24"/>
        </w:rPr>
        <w:t xml:space="preserve"> M</w:t>
      </w:r>
      <w:r>
        <w:rPr>
          <w:rFonts w:ascii="Times New Roman" w:hAnsi="Times New Roman" w:eastAsia="方正仿宋_GBK"/>
          <w:b w:val="0"/>
          <w:sz w:val="24"/>
        </w:rPr>
        <w:t xml:space="preserve">Wh</w:t>
      </w:r>
      <w:r>
        <w:rPr>
          <w:rFonts w:ascii="Times New Roman" w:hAnsi="Times New Roman" w:eastAsia="方正仿宋_GBK"/>
          <w:b w:val="0"/>
          <w:sz w:val="24"/>
        </w:rPr>
        <w:t xml:space="preserve">储能、</w:t>
      </w:r>
      <w:r>
        <w:rPr>
          <w:rFonts w:ascii="Times New Roman" w:hAnsi="Times New Roman" w:eastAsia="方正仿宋_GBK"/>
          <w:b w:val="0"/>
          <w:sz w:val="24"/>
        </w:rPr>
        <w:t xml:space="preserve">9条</w:t>
      </w:r>
      <w:r>
        <w:rPr>
          <w:rFonts w:ascii="Times New Roman" w:hAnsi="Times New Roman" w:eastAsia="方正仿宋_GBK"/>
          <w:b w:val="0"/>
          <w:sz w:val="24"/>
        </w:rPr>
        <w:t xml:space="preserve">联络</w:t>
      </w:r>
      <w:r>
        <w:rPr>
          <w:rFonts w:ascii="Times New Roman" w:hAnsi="Times New Roman" w:eastAsia="方正仿宋_GBK"/>
          <w:b w:val="0"/>
          <w:sz w:val="24"/>
        </w:rPr>
        <w:t xml:space="preserve">。</w:t>
      </w:r>
      <w:r>
        <w:rPr>
          <w:rFonts w:ascii="Times New Roman" w:hAnsi="Times New Roman" w:eastAsia="方正仿宋_GBK"/>
          <w:b w:val="0"/>
          <w:sz w:val="24"/>
        </w:rPr>
        <w:t xml:space="preserve">站内补强使前期供电需求更多由主变承担。</w:t>
      </w:r>
    </w:p>
    <w:p w14:paraId="2E60D346">
      <w:pPr>
        <w:pStyle w:val="2"/>
        <w:widowControl/>
        <w:spacing w:before="0" w:after="0" w:line="348" w:lineRule="exact"/>
        <w:ind w:firstLine="480"/>
        <w:jc w:val="both"/>
      </w:pPr>
      <w:r>
        <w:rPr>
          <w:rFonts w:ascii="Times New Roman" w:hAnsi="Times New Roman" w:eastAsia="方正仿宋_GBK"/>
          <w:b w:val="0"/>
          <w:sz w:val="24"/>
        </w:rPr>
        <w:t xml:space="preserve">随着源荷继续增长，弹性方案也逐步增加储能和联络。</w:t>
      </w:r>
      <w:r>
        <w:rPr>
          <w:rFonts w:ascii="Times New Roman" w:hAnsi="Times New Roman" w:eastAsia="方正仿宋_GBK"/>
          <w:b w:val="0"/>
          <w:sz w:val="24"/>
        </w:rPr>
        <w:t xml:space="preserve">20</w:t>
      </w:r>
      <w:r>
        <w:rPr>
          <w:rFonts w:ascii="Times New Roman" w:hAnsi="Times New Roman" w:eastAsia="方正仿宋_GBK"/>
          <w:b w:val="0"/>
          <w:sz w:val="24"/>
        </w:rPr>
        <w:t xml:space="preserve">30年其主变容量</w:t>
      </w:r>
      <w:r>
        <w:rPr>
          <w:rFonts w:ascii="Times New Roman" w:hAnsi="Times New Roman" w:eastAsia="方正仿宋_GBK"/>
          <w:b w:val="0"/>
          <w:sz w:val="24"/>
        </w:rPr>
        <w:t xml:space="preserve">23</w:t>
      </w:r>
      <w:r>
        <w:rPr>
          <w:rFonts w:ascii="Times New Roman" w:hAnsi="Times New Roman" w:eastAsia="方正仿宋_GBK"/>
          <w:b w:val="0"/>
          <w:sz w:val="24"/>
        </w:rPr>
        <w:t xml:space="preserve">88.50 MVA、储能69.66 MWh、累计新增联络6条，刚性分别为2125.50 MVA、153.94 MWh和25条。</w:t>
      </w:r>
      <w:r>
        <w:rPr>
          <w:rFonts w:ascii="Times New Roman" w:hAnsi="Times New Roman" w:eastAsia="方正仿宋_GBK"/>
          <w:b w:val="0"/>
          <w:sz w:val="24"/>
        </w:rPr>
        <w:t xml:space="preserve">20</w:t>
      </w:r>
      <w:r>
        <w:rPr>
          <w:rFonts w:ascii="Times New Roman" w:hAnsi="Times New Roman" w:eastAsia="方正仿宋_GBK"/>
          <w:b w:val="0"/>
          <w:sz w:val="24"/>
        </w:rPr>
        <w:t xml:space="preserve">35年弹性主变容量2901.00 MVA，较刚性2678.00 MVA多</w:t>
      </w:r>
      <w:r>
        <w:rPr>
          <w:rFonts w:ascii="Times New Roman" w:hAnsi="Times New Roman" w:eastAsia="方正仿宋_GBK"/>
          <w:b w:val="0"/>
          <w:sz w:val="24"/>
        </w:rPr>
        <w:t xml:space="preserve">22</w:t>
      </w:r>
      <w:r>
        <w:rPr>
          <w:rFonts w:ascii="Times New Roman" w:hAnsi="Times New Roman" w:eastAsia="方正仿宋_GBK"/>
          <w:b w:val="0"/>
          <w:sz w:val="24"/>
        </w:rPr>
        <w:t xml:space="preserve">3.00 MVA</w:t>
      </w:r>
      <w:r>
        <w:rPr>
          <w:rFonts w:ascii="Times New Roman" w:hAnsi="Times New Roman" w:eastAsia="方正仿宋_GBK"/>
          <w:b w:val="0"/>
          <w:sz w:val="24"/>
        </w:rPr>
        <w:t xml:space="preserve">，容载比分别</w:t>
      </w:r>
      <w:r>
        <w:rPr>
          <w:rFonts w:ascii="Times New Roman" w:hAnsi="Times New Roman" w:eastAsia="方正仿宋_GBK"/>
          <w:b w:val="0"/>
          <w:sz w:val="24"/>
        </w:rPr>
        <w:t xml:space="preserve">为</w:t>
      </w:r>
      <w:r>
        <w:rPr>
          <w:rFonts w:ascii="Times New Roman" w:hAnsi="Times New Roman" w:eastAsia="方正仿宋_GBK"/>
          <w:b w:val="0"/>
          <w:sz w:val="24"/>
        </w:rPr>
        <w:t xml:space="preserve">2.</w:t>
      </w:r>
      <w:r>
        <w:rPr>
          <w:rFonts w:ascii="Times New Roman" w:hAnsi="Times New Roman" w:eastAsia="方正仿宋_GBK"/>
          <w:b w:val="0"/>
          <w:sz w:val="24"/>
        </w:rPr>
        <w:t xml:space="preserve">0</w:t>
      </w:r>
      <w:r>
        <w:rPr>
          <w:rFonts w:ascii="Times New Roman" w:hAnsi="Times New Roman" w:eastAsia="方正仿宋_GBK"/>
          <w:b w:val="0"/>
          <w:sz w:val="24"/>
        </w:rPr>
        <w:t xml:space="preserve">6和</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0</w:t>
      </w:r>
      <w:r>
        <w:rPr>
          <w:rFonts w:ascii="Times New Roman" w:hAnsi="Times New Roman" w:eastAsia="方正仿宋_GBK"/>
          <w:b w:val="0"/>
          <w:sz w:val="24"/>
        </w:rPr>
        <w:t xml:space="preserve">；储能</w:t>
      </w:r>
      <w:r>
        <w:rPr>
          <w:rFonts w:ascii="Times New Roman" w:hAnsi="Times New Roman" w:eastAsia="方正仿宋_GBK"/>
          <w:b w:val="0"/>
          <w:sz w:val="24"/>
        </w:rPr>
        <w:t xml:space="preserve">分别为</w:t>
      </w:r>
      <w:r>
        <w:rPr>
          <w:rFonts w:ascii="Times New Roman" w:hAnsi="Times New Roman" w:eastAsia="方正仿宋_GBK"/>
          <w:b w:val="0"/>
          <w:sz w:val="24"/>
        </w:rPr>
        <w:t xml:space="preserve">545</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7</w:t>
      </w:r>
      <w:r>
        <w:rPr>
          <w:rFonts w:ascii="Times New Roman" w:hAnsi="Times New Roman" w:eastAsia="方正仿宋_GBK"/>
          <w:b w:val="0"/>
          <w:sz w:val="24"/>
        </w:rPr>
        <w:t xml:space="preserve"> MWh</w:t>
      </w:r>
      <w:r>
        <w:rPr>
          <w:rFonts w:ascii="Times New Roman" w:hAnsi="Times New Roman" w:eastAsia="方正仿宋_GBK"/>
          <w:b w:val="0"/>
          <w:sz w:val="24"/>
        </w:rPr>
        <w:t xml:space="preserve">和</w:t>
      </w:r>
      <w:r>
        <w:rPr>
          <w:rFonts w:ascii="Times New Roman" w:hAnsi="Times New Roman" w:eastAsia="方正仿宋_GBK"/>
          <w:b w:val="0"/>
          <w:sz w:val="24"/>
        </w:rPr>
        <w:t xml:space="preserve">568</w:t>
      </w:r>
      <w:r>
        <w:rPr>
          <w:rFonts w:ascii="Times New Roman" w:hAnsi="Times New Roman" w:eastAsia="方正仿宋_GBK"/>
          <w:b w:val="0"/>
          <w:sz w:val="24"/>
        </w:rPr>
        <w:t xml:space="preserve">.</w:t>
      </w:r>
      <w:r>
        <w:rPr>
          <w:rFonts w:ascii="Times New Roman" w:hAnsi="Times New Roman" w:eastAsia="方正仿宋_GBK"/>
          <w:b w:val="0"/>
          <w:sz w:val="24"/>
        </w:rPr>
        <w:t xml:space="preserve">25</w:t>
      </w:r>
      <w:r>
        <w:rPr>
          <w:rFonts w:ascii="Times New Roman" w:hAnsi="Times New Roman" w:eastAsia="方正仿宋_GBK"/>
          <w:b w:val="0"/>
          <w:sz w:val="24"/>
        </w:rPr>
        <w:t xml:space="preserve"> MWh</w:t>
      </w:r>
      <w:r>
        <w:rPr>
          <w:rFonts w:ascii="Times New Roman" w:hAnsi="Times New Roman" w:eastAsia="方正仿宋_GBK"/>
          <w:b w:val="0"/>
          <w:sz w:val="24"/>
        </w:rPr>
        <w:t xml:space="preserve">，</w:t>
      </w:r>
      <w:r>
        <w:rPr>
          <w:rFonts w:ascii="Times New Roman" w:hAnsi="Times New Roman" w:eastAsia="方正仿宋_GBK"/>
          <w:b w:val="0"/>
          <w:sz w:val="24"/>
        </w:rPr>
        <w:t xml:space="preserve">累计新增联络分别为</w:t>
      </w:r>
      <w:r>
        <w:rPr>
          <w:rFonts w:ascii="Times New Roman" w:hAnsi="Times New Roman" w:eastAsia="方正仿宋_GBK"/>
          <w:b w:val="0"/>
          <w:sz w:val="24"/>
        </w:rPr>
        <w:t xml:space="preserve">2</w:t>
      </w:r>
      <w:r>
        <w:rPr>
          <w:rFonts w:ascii="Times New Roman" w:hAnsi="Times New Roman" w:eastAsia="方正仿宋_GBK"/>
          <w:b w:val="0"/>
          <w:sz w:val="24"/>
        </w:rPr>
        <w:t xml:space="preserve">1</w:t>
      </w:r>
      <w:r>
        <w:rPr>
          <w:rFonts w:ascii="Times New Roman" w:hAnsi="Times New Roman" w:eastAsia="方正仿宋_GBK"/>
          <w:b w:val="0"/>
          <w:sz w:val="24"/>
        </w:rPr>
        <w:t xml:space="preserve">条和</w:t>
      </w:r>
      <w:r>
        <w:rPr>
          <w:rFonts w:ascii="Times New Roman" w:hAnsi="Times New Roman" w:eastAsia="方正仿宋_GBK"/>
          <w:b w:val="0"/>
          <w:sz w:val="24"/>
        </w:rPr>
        <w:t xml:space="preserve">58</w:t>
      </w:r>
      <w:r>
        <w:rPr>
          <w:rFonts w:ascii="Times New Roman" w:hAnsi="Times New Roman" w:eastAsia="方正仿宋_GBK"/>
          <w:b w:val="0"/>
          <w:sz w:val="24"/>
        </w:rPr>
        <w:t xml:space="preserve">条。</w:t>
      </w:r>
      <w:r>
        <w:rPr>
          <w:rFonts w:ascii="Times New Roman" w:hAnsi="Times New Roman" w:eastAsia="方正仿宋_GBK"/>
          <w:b w:val="0"/>
          <w:sz w:val="24"/>
        </w:rPr>
        <w:t xml:space="preserve">容量</w:t>
      </w:r>
      <w:r>
        <w:rPr>
          <w:rFonts w:ascii="Times New Roman" w:hAnsi="Times New Roman" w:eastAsia="方正仿宋_GBK"/>
          <w:b w:val="0"/>
          <w:sz w:val="24"/>
        </w:rPr>
        <w:t xml:space="preserve">配置</w:t>
      </w:r>
      <w:r>
        <w:rPr>
          <w:rFonts w:ascii="Times New Roman" w:hAnsi="Times New Roman" w:eastAsia="方正仿宋_GBK"/>
          <w:b w:val="0"/>
          <w:sz w:val="24"/>
        </w:rPr>
        <w:t xml:space="preserve">和</w:t>
      </w:r>
      <w:r>
        <w:rPr>
          <w:rFonts w:ascii="Times New Roman" w:hAnsi="Times New Roman" w:eastAsia="方正仿宋_GBK"/>
          <w:b w:val="0"/>
          <w:sz w:val="24"/>
        </w:rPr>
        <w:t xml:space="preserve">配套工程</w:t>
      </w:r>
      <w:r>
        <w:rPr>
          <w:rFonts w:ascii="Times New Roman" w:hAnsi="Times New Roman" w:eastAsia="方正仿宋_GBK"/>
          <w:b w:val="0"/>
          <w:sz w:val="24"/>
        </w:rPr>
        <w:t xml:space="preserve">的</w:t>
      </w:r>
      <w:r>
        <w:rPr>
          <w:rFonts w:ascii="Times New Roman" w:hAnsi="Times New Roman" w:eastAsia="方正仿宋_GBK"/>
          <w:b w:val="0"/>
          <w:sz w:val="24"/>
        </w:rPr>
        <w:t xml:space="preserve">替代随年度需求逐步形成</w:t>
      </w:r>
      <w:r>
        <w:rPr>
          <w:rFonts w:ascii="Times New Roman" w:hAnsi="Times New Roman" w:eastAsia="方正仿宋_GBK"/>
          <w:b w:val="0"/>
          <w:sz w:val="24"/>
        </w:rPr>
        <w:t xml:space="preserve">。</w:t>
      </w:r>
    </w:p>
    <w:p w14:paraId="09168F41">
      <w:pPr>
        <w:pStyle w:val="2"/>
        <w:widowControl/>
        <w:spacing w:before="0" w:after="0" w:line="348" w:lineRule="exact"/>
        <w:ind w:firstLine="480"/>
        <w:jc w:val="both"/>
      </w:pPr>
      <w:r>
        <w:rPr>
          <w:rFonts w:ascii="Times New Roman" w:hAnsi="Times New Roman" w:eastAsia="方正仿宋_GBK"/>
          <w:b w:val="0"/>
          <w:sz w:val="24"/>
        </w:rPr>
        <w:t xml:space="preserve">主变增加以整台更换和扩建实施，因此年度容量存在保持不变的阶段。2023年负荷低于</w:t>
      </w:r>
      <w:r>
        <w:rPr>
          <w:rFonts w:ascii="Times New Roman" w:hAnsi="Times New Roman" w:eastAsia="方正仿宋_GBK"/>
          <w:b w:val="0"/>
          <w:sz w:val="24"/>
        </w:rPr>
        <w:t xml:space="preserve">2022年</w:t>
      </w:r>
      <w:r>
        <w:rPr>
          <w:rFonts w:ascii="Times New Roman" w:hAnsi="Times New Roman" w:eastAsia="方正仿宋_GBK"/>
          <w:b w:val="0"/>
          <w:sz w:val="24"/>
        </w:rPr>
        <w:t xml:space="preserve">，两方案继续保留在役主变</w:t>
      </w:r>
      <w:r>
        <w:rPr>
          <w:rFonts w:ascii="Times New Roman" w:hAnsi="Times New Roman" w:eastAsia="方正仿宋_GBK"/>
          <w:b w:val="0"/>
          <w:sz w:val="24"/>
        </w:rPr>
        <w:t xml:space="preserve">，容</w:t>
      </w:r>
      <w:r>
        <w:rPr>
          <w:rFonts w:ascii="Times New Roman" w:hAnsi="Times New Roman" w:eastAsia="方正仿宋_GBK"/>
          <w:b w:val="0"/>
          <w:sz w:val="24"/>
        </w:rPr>
        <w:t xml:space="preserve">载比随分母减小而升高</w:t>
      </w:r>
      <w:r>
        <w:rPr>
          <w:rFonts w:ascii="Times New Roman" w:hAnsi="Times New Roman" w:eastAsia="方正仿宋_GBK"/>
          <w:b w:val="0"/>
          <w:sz w:val="24"/>
        </w:rPr>
        <w:t xml:space="preserve">。</w:t>
      </w:r>
      <w:r>
        <w:rPr>
          <w:rFonts w:ascii="Times New Roman" w:hAnsi="Times New Roman" w:eastAsia="方正仿宋_GBK"/>
          <w:b w:val="0"/>
          <w:sz w:val="24"/>
        </w:rPr>
        <w:t xml:space="preserve">后续年份</w:t>
      </w:r>
      <w:r>
        <w:rPr>
          <w:rFonts w:ascii="Times New Roman" w:hAnsi="Times New Roman" w:eastAsia="方正仿宋_GBK"/>
          <w:b w:val="0"/>
          <w:sz w:val="24"/>
        </w:rPr>
        <w:t xml:space="preserve">按</w:t>
      </w:r>
      <w:r>
        <w:rPr>
          <w:rFonts w:ascii="Times New Roman" w:hAnsi="Times New Roman" w:eastAsia="方正仿宋_GBK"/>
          <w:b w:val="0"/>
          <w:sz w:val="24"/>
        </w:rPr>
        <w:t xml:space="preserve">当年需求追加工程，年度主变</w:t>
      </w:r>
      <w:r>
        <w:rPr>
          <w:rFonts w:ascii="Times New Roman" w:hAnsi="Times New Roman" w:eastAsia="方正仿宋_GBK"/>
          <w:b w:val="0"/>
          <w:sz w:val="24"/>
        </w:rPr>
        <w:t xml:space="preserve">新购容量</w:t>
      </w:r>
      <w:r>
        <w:rPr>
          <w:rFonts w:ascii="Times New Roman" w:hAnsi="Times New Roman" w:eastAsia="方正仿宋_GBK"/>
          <w:b w:val="0"/>
          <w:sz w:val="24"/>
        </w:rPr>
        <w:t xml:space="preserve">扣除被替换容量后对应</w:t>
      </w:r>
      <w:r>
        <w:rPr>
          <w:rFonts w:ascii="Times New Roman" w:hAnsi="Times New Roman" w:eastAsia="方正仿宋_GBK"/>
          <w:b w:val="0"/>
          <w:sz w:val="24"/>
        </w:rPr>
        <w:t xml:space="preserve">净增容量</w:t>
      </w:r>
      <w:r>
        <w:rPr>
          <w:rFonts w:ascii="Times New Roman" w:hAnsi="Times New Roman" w:eastAsia="方正仿宋_GBK"/>
          <w:b w:val="0"/>
          <w:sz w:val="24"/>
        </w:rPr>
        <w:t xml:space="preserve">，费用按完整采购量计算</w:t>
      </w:r>
      <w:r>
        <w:rPr>
          <w:rFonts w:ascii="Times New Roman" w:hAnsi="Times New Roman" w:eastAsia="方正仿宋_GBK"/>
          <w:b w:val="0"/>
          <w:sz w:val="24"/>
        </w:rPr>
        <w:t xml:space="preserve">。</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5120640"/>
            <wp:effectExtent b="0" l="0" r="0" t="0"/>
            <wp:docPr descr="" title="" id="86" name="Picture"/>
            <a:graphic>
              <a:graphicData uri="http://schemas.openxmlformats.org/drawingml/2006/picture">
                <pic:pic>
                  <pic:nvPicPr>
                    <pic:cNvPr descr="研究报告/02图表/当前版/pizhou_annual_new_measures.png" id="0" name="Picture"/>
                    <pic:cNvPicPr>
                      <a:picLocks noChangeArrowheads="1" noChangeAspect="1"/>
                    </pic:cNvPicPr>
                  </pic:nvPicPr>
                  <pic:blipFill>
                    <a:blip r:embed="rIdReportRevision4"/>
                    <a:stretch>
                      <a:fillRect/>
                    </a:stretch>
                  </pic:blipFill>
                  <pic:spPr bwMode="auto">
                    <a:xfrm>
                      <a:off x="0" y="0"/>
                      <a:ext cx="5120640" cy="5120640"/>
                    </a:xfrm>
                    <a:prstGeom prst="rect">
                      <a:avLst/>
                    </a:prstGeom>
                    <a:noFill/>
                    <a:ln w="9525">
                      <a:noFill/>
                      <a:headEnd/>
                      <a:tailEnd/>
                    </a:ln>
                  </pic:spPr>
                </pic:pic>
              </a:graphicData>
            </a:graphic>
          </wp:inline>
        </w:drawing>
      </w:r>
    </w:p>
    <w:p w14:paraId="217F884F">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 邳州两类方案的逐年新增工程</w:t>
      </w:r>
    </w:p>
    <w:p w14:paraId="7676E2A4">
      <w:pPr>
        <w:pStyle w:val="5"/>
        <w:keepNext/>
        <w:numPr>
          <w:ilvl w:val="0"/>
          <w:numId w:val="0"/>
        </w:numPr>
        <w:spacing w:before="160" w:after="120" w:line="390" w:lineRule="exact"/>
        <w:ind w:firstLine="0"/>
      </w:pPr>
      <w:bookmarkStart w:id="197" w:name="市区逐年方案"/>
      <w:r>
        <w:rPr>
          <w:rFonts w:ascii="Times New Roman" w:hAnsi="Times New Roman" w:eastAsia="方正仿宋_GBK"/>
          <w:b/>
          <w:sz w:val="26"/>
        </w:rPr>
        <w:t>5.4.2 市区逐年方案</w:t>
      </w:r>
      <w:bookmarkEnd w:id="197"/>
    </w:p>
    <w:p w14:paraId="2513539C">
      <w:pPr>
        <w:pStyle w:val="115"/>
        <w:widowControl/>
        <w:spacing w:before="0" w:after="0" w:line="348" w:lineRule="exact"/>
        <w:ind w:firstLine="480"/>
        <w:jc w:val="both"/>
      </w:pPr>
      <w:r>
        <w:rPr>
          <w:rFonts w:ascii="Times New Roman" w:hAnsi="Times New Roman" w:eastAsia="方正仿宋_GBK"/>
          <w:b w:val="0"/>
          <w:sz w:val="24"/>
        </w:rPr>
        <w:t xml:space="preserve">市区</w:t>
      </w:r>
      <w:r>
        <w:rPr>
          <w:rFonts w:ascii="Times New Roman" w:hAnsi="Times New Roman" w:eastAsia="方正仿宋_GBK"/>
          <w:b w:val="0"/>
          <w:sz w:val="24"/>
        </w:rPr>
        <w:t xml:space="preserve">两方案2021年均保留3113.50 MVA实际地区容量，2022年起按当年源荷选择新增工程。</w:t>
      </w:r>
      <w:r>
        <w:rPr>
          <w:rFonts w:ascii="Times New Roman" w:hAnsi="Times New Roman" w:eastAsia="方正仿宋_GBK"/>
          <w:b w:val="0"/>
          <w:sz w:val="24"/>
        </w:rPr>
        <w:t xml:space="preserve">弹性方案2022年</w:t>
      </w:r>
      <w:r>
        <w:rPr>
          <w:rFonts w:ascii="Times New Roman" w:hAnsi="Times New Roman" w:eastAsia="方正仿宋_GBK"/>
          <w:b w:val="0"/>
          <w:sz w:val="24"/>
        </w:rPr>
        <w:t xml:space="preserve">净增</w:t>
      </w:r>
      <w:r>
        <w:rPr>
          <w:rFonts w:ascii="Times New Roman" w:hAnsi="Times New Roman" w:eastAsia="方正仿宋_GBK"/>
          <w:b w:val="0"/>
          <w:sz w:val="24"/>
        </w:rPr>
        <w:t xml:space="preserve">0</w:t>
      </w:r>
      <w:r>
        <w:rPr>
          <w:rFonts w:ascii="Times New Roman" w:hAnsi="Times New Roman" w:eastAsia="方正仿宋_GBK"/>
          <w:b w:val="0"/>
          <w:sz w:val="24"/>
        </w:rPr>
        <w:t xml:space="preserve">.00 MVA，</w:t>
      </w:r>
      <w:r>
        <w:rPr>
          <w:rFonts w:ascii="Times New Roman" w:hAnsi="Times New Roman" w:eastAsia="方正仿宋_GBK"/>
          <w:b w:val="0"/>
          <w:sz w:val="24"/>
        </w:rPr>
        <w:t xml:space="preserve">至</w:t>
      </w: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为</w:t>
      </w:r>
      <w:r>
        <w:rPr>
          <w:rFonts w:ascii="Times New Roman" w:hAnsi="Times New Roman" w:eastAsia="方正仿宋_GBK"/>
          <w:b w:val="0"/>
          <w:sz w:val="24"/>
        </w:rPr>
        <w:t xml:space="preserve">3</w:t>
      </w:r>
      <w:r>
        <w:rPr>
          <w:rFonts w:ascii="Times New Roman" w:hAnsi="Times New Roman" w:eastAsia="方正仿宋_GBK"/>
          <w:b w:val="0"/>
          <w:sz w:val="24"/>
        </w:rPr>
        <w:t xml:space="preserve">608</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w:t>
      </w:r>
      <w:r>
        <w:rPr>
          <w:rFonts w:ascii="Times New Roman" w:hAnsi="Times New Roman" w:eastAsia="方正仿宋_GBK"/>
          <w:b w:val="0"/>
          <w:sz w:val="24"/>
        </w:rPr>
        <w:t xml:space="preserve">年</w:t>
      </w:r>
      <w:r>
        <w:rPr>
          <w:rFonts w:ascii="Times New Roman" w:hAnsi="Times New Roman" w:eastAsia="方正仿宋_GBK"/>
          <w:b w:val="0"/>
          <w:sz w:val="24"/>
        </w:rPr>
        <w:t xml:space="preserve">末配置与</w:t>
      </w:r>
      <w:r>
        <w:rPr>
          <w:rFonts w:ascii="Times New Roman" w:hAnsi="Times New Roman" w:eastAsia="方正仿宋_GBK"/>
          <w:b w:val="0"/>
          <w:sz w:val="24"/>
        </w:rPr>
        <w:t xml:space="preserve">当年</w:t>
      </w:r>
      <w:r>
        <w:rPr>
          <w:rFonts w:ascii="Times New Roman" w:hAnsi="Times New Roman" w:eastAsia="方正仿宋_GBK"/>
          <w:b w:val="0"/>
          <w:sz w:val="24"/>
        </w:rPr>
        <w:t xml:space="preserve">新增</w:t>
      </w:r>
      <w:r>
        <w:rPr>
          <w:rFonts w:ascii="Times New Roman" w:hAnsi="Times New Roman" w:eastAsia="方正仿宋_GBK"/>
          <w:b w:val="0"/>
          <w:sz w:val="24"/>
        </w:rPr>
        <w:t xml:space="preserve">措施</w:t>
      </w:r>
      <w:r>
        <w:rPr>
          <w:rFonts w:ascii="Times New Roman" w:hAnsi="Times New Roman" w:eastAsia="方正仿宋_GBK"/>
          <w:b w:val="0"/>
          <w:sz w:val="24"/>
        </w:rPr>
        <w:t xml:space="preserve">分别列</w:t>
      </w:r>
      <w:r>
        <w:rPr>
          <w:rFonts w:ascii="Times New Roman" w:hAnsi="Times New Roman" w:eastAsia="方正仿宋_GBK"/>
          <w:b w:val="0"/>
          <w:sz w:val="24"/>
        </w:rPr>
        <w:t xml:space="preserve">示</w:t>
      </w:r>
      <w:r>
        <w:rPr>
          <w:rFonts w:ascii="Times New Roman" w:hAnsi="Times New Roman" w:eastAsia="方正仿宋_GBK"/>
          <w:b w:val="0"/>
          <w:sz w:val="24"/>
        </w:rPr>
        <w:t xml:space="preserve">。</w:t>
      </w:r>
    </w:p>
    <w:p w14:paraId="7AF972AA">
      <w:pPr>
        <w:pStyle w:val="2"/>
        <w:keepNext/>
        <w:spacing w:before="120" w:after="80" w:line="280" w:lineRule="exact"/>
        <w:ind w:firstLine="0"/>
        <w:jc w:val="center"/>
      </w:pPr>
      <w:r>
        <w:rPr>
          <w:rFonts w:ascii="Times New Roman" w:hAnsi="Times New Roman" w:eastAsia="宋体"/>
          <w:b w:val="0"/>
          <w:sz w:val="21"/>
        </w:rPr>
        <w:t>表5-6 市区逐年容量及措施</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1920.41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3160.50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1998.19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2073.29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2149.74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2226.18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3190.50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3313.00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1920.41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3447.00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1998.19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3473.00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2073.29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3558.50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2149.74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3558.50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2226.18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w:t>
            </w:r>
          </w:p>
        </w:tc>
      </w:tr>
    </w:tbl>
    <w:p>
      <w:pPr>
        <w:pStyle w:val="2"/>
        <w:widowControl/>
        <w:spacing w:line="348" w:lineRule="exact" w:before="0" w:after="0"/>
        <w:ind w:firstLine="480"/>
        <w:jc w:val="both"/>
        <w:rPr/>
      </w:pPr>
      <w:r>
        <w:rPr>
          <w:rFonts w:ascii="Times New Roman" w:hAnsi="Times New Roman" w:eastAsia="方正仿宋_GBK"/>
          <w:b w:val="0"/>
          <w:sz w:val="24"/>
        </w:rPr>
        <w:t xml:space="preserve">注：2021年为两方案共同的固定基期，储能及新线列为本次规划新增设备的累计在役规模。</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4754880"/>
            <wp:effectExtent b="0" l="0" r="0" t="0"/>
            <wp:docPr descr="" title="" id="87"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ReportRevision5"/>
                    <a:stretch>
                      <a:fillRect/>
                    </a:stretch>
                  </pic:blipFill>
                  <pic:spPr bwMode="auto">
                    <a:xfrm>
                      <a:off x="0" y="0"/>
                      <a:ext cx="5120640" cy="4754880"/>
                    </a:xfrm>
                    <a:prstGeom prst="rect">
                      <a:avLst/>
                    </a:prstGeom>
                    <a:noFill/>
                    <a:ln w="9525">
                      <a:noFill/>
                      <a:headEnd/>
                      <a:tailEnd/>
                    </a:ln>
                  </pic:spPr>
                </pic:pic>
              </a:graphicData>
            </a:graphic>
          </wp:inline>
        </w:drawing>
      </w:r>
    </w:p>
    <w:p w14:paraId="0BC4F8DB">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图5-2 邳州和市区逐年容载比</w:t>
      </w:r>
    </w:p>
    <w:p w14:paraId="3DC9344E">
      <w:pPr>
        <w:pStyle w:val="2"/>
        <w:keepNext/>
        <w:spacing w:before="120" w:after="80" w:line="280" w:lineRule="exact"/>
        <w:ind w:firstLine="0"/>
        <w:jc w:val="center"/>
      </w:pPr>
      <w:r>
        <w:rPr>
          <w:rFonts w:ascii="Times New Roman" w:hAnsi="Times New Roman" w:eastAsia="宋体"/>
          <w:b w:val="0"/>
          <w:sz w:val="21"/>
        </w:rPr>
        <w:t>表5-7 市区逐年新增工程与费用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2939.39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1230.88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1977.62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2209.96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2832.60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3629.33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2851.29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5607.41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6275.23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41.07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4876.09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134.00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5207.05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3862.44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3135.22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62.50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3931.31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1740.51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4137.06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3263.75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3952.56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4959.75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3471.86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41.07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5132.03</w:t>
            </w:r>
          </w:p>
        </w:tc>
      </w:tr>
    </w:tbl>
    <w:p w14:paraId="6A520C71">
      <w:pPr>
        <w:pStyle w:val="2"/>
        <w:widowControl/>
        <w:spacing w:before="0" w:after="0" w:line="348" w:lineRule="exact"/>
        <w:ind w:firstLine="480"/>
        <w:jc w:val="both"/>
      </w:pPr>
      <w:r>
        <w:rPr>
          <w:rFonts w:ascii="Times New Roman" w:hAnsi="Times New Roman" w:eastAsia="方正仿宋_GBK"/>
          <w:b w:val="0"/>
          <w:sz w:val="24"/>
        </w:rPr>
        <w:t xml:space="preserve">市区2022年</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w:t>
      </w:r>
      <w:r>
        <w:rPr>
          <w:rFonts w:ascii="Times New Roman" w:hAnsi="Times New Roman" w:eastAsia="方正仿宋_GBK"/>
          <w:b w:val="0"/>
          <w:sz w:val="24"/>
        </w:rPr>
        <w:t xml:space="preserve">均</w:t>
      </w:r>
      <w:r>
        <w:rPr>
          <w:rFonts w:ascii="Times New Roman" w:hAnsi="Times New Roman" w:eastAsia="方正仿宋_GBK"/>
          <w:b w:val="0"/>
          <w:sz w:val="24"/>
        </w:rPr>
        <w:t xml:space="preserve">利用3113</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w:t>
      </w:r>
      <w:r>
        <w:rPr>
          <w:rFonts w:ascii="Times New Roman" w:hAnsi="Times New Roman" w:eastAsia="方正仿宋_GBK"/>
          <w:b w:val="0"/>
          <w:sz w:val="24"/>
        </w:rPr>
        <w:t xml:space="preserve">在役</w:t>
      </w:r>
      <w:r>
        <w:rPr>
          <w:rFonts w:ascii="Times New Roman" w:hAnsi="Times New Roman" w:eastAsia="方正仿宋_GBK"/>
          <w:b w:val="0"/>
          <w:sz w:val="24"/>
        </w:rPr>
        <w:t xml:space="preserve">主变</w:t>
      </w:r>
      <w:r>
        <w:rPr>
          <w:rFonts w:ascii="Times New Roman" w:hAnsi="Times New Roman" w:eastAsia="方正仿宋_GBK"/>
          <w:b w:val="0"/>
          <w:sz w:val="24"/>
        </w:rPr>
        <w:t xml:space="preserve">及既有网络满足当年计算需求，新增工程费用为零。2023—2025年两方案开始出现建设差异，至2025年弹性方案</w:t>
      </w:r>
      <w:r>
        <w:rPr>
          <w:rFonts w:ascii="Times New Roman" w:hAnsi="Times New Roman" w:eastAsia="方正仿宋_GBK"/>
          <w:b w:val="0"/>
          <w:sz w:val="24"/>
        </w:rPr>
        <w:t xml:space="preserve">容量</w:t>
      </w:r>
      <w:r>
        <w:rPr>
          <w:rFonts w:ascii="Times New Roman" w:hAnsi="Times New Roman" w:eastAsia="方正仿宋_GBK"/>
          <w:b w:val="0"/>
          <w:sz w:val="24"/>
        </w:rPr>
        <w:t xml:space="preserve">3150.50 MVA，未新增储能及联络；刚性保持3113.50 MVA，配储3.87 MWh、累计新增联络5条</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弹性方案以站内补强承担局部增长任务</w:t>
      </w:r>
      <w:r>
        <w:rPr>
          <w:rFonts w:ascii="Times New Roman" w:hAnsi="Times New Roman" w:eastAsia="方正仿宋_GBK"/>
          <w:b w:val="0"/>
          <w:sz w:val="24"/>
        </w:rPr>
        <w:t xml:space="preserve">，</w:t>
      </w:r>
      <w:r>
        <w:rPr>
          <w:rFonts w:ascii="Times New Roman" w:hAnsi="Times New Roman" w:eastAsia="方正仿宋_GBK"/>
          <w:b w:val="0"/>
          <w:sz w:val="24"/>
        </w:rPr>
        <w:t xml:space="preserve">但</w:t>
      </w:r>
      <w:r>
        <w:rPr>
          <w:rFonts w:ascii="Times New Roman" w:hAnsi="Times New Roman" w:eastAsia="方正仿宋_GBK"/>
          <w:b w:val="0"/>
          <w:sz w:val="24"/>
        </w:rPr>
        <w:t xml:space="preserve">相应</w:t>
      </w:r>
      <w:r>
        <w:rPr>
          <w:rFonts w:ascii="Times New Roman" w:hAnsi="Times New Roman" w:eastAsia="方正仿宋_GBK"/>
          <w:b w:val="0"/>
          <w:sz w:val="24"/>
        </w:rPr>
        <w:t xml:space="preserve">主变</w:t>
      </w:r>
      <w:r>
        <w:rPr>
          <w:rFonts w:ascii="Times New Roman" w:hAnsi="Times New Roman" w:eastAsia="方正仿宋_GBK"/>
          <w:b w:val="0"/>
          <w:sz w:val="24"/>
        </w:rPr>
        <w:t xml:space="preserve">工程也增加当期投资</w:t>
      </w:r>
      <w:r>
        <w:rPr>
          <w:rFonts w:ascii="Times New Roman" w:hAnsi="Times New Roman" w:eastAsia="方正仿宋_GBK"/>
          <w:b w:val="0"/>
          <w:sz w:val="24"/>
        </w:rPr>
        <w:t xml:space="preserve">。</w:t>
      </w:r>
    </w:p>
    <w:p w14:paraId="54E24644">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0</w:t>
      </w:r>
      <w:r>
        <w:rPr>
          <w:rFonts w:ascii="Times New Roman" w:hAnsi="Times New Roman" w:eastAsia="方正仿宋_GBK"/>
          <w:b w:val="0"/>
          <w:sz w:val="24"/>
        </w:rPr>
        <w:t xml:space="preserve">年</w:t>
      </w:r>
      <w:r>
        <w:rPr>
          <w:rFonts w:ascii="Times New Roman" w:hAnsi="Times New Roman" w:eastAsia="方正仿宋_GBK"/>
          <w:b w:val="0"/>
          <w:sz w:val="24"/>
        </w:rPr>
        <w:t xml:space="preserve">弹性方案主变容量增至3413.00 MVA</w:t>
      </w:r>
      <w:r>
        <w:rPr>
          <w:rFonts w:ascii="Times New Roman" w:hAnsi="Times New Roman" w:eastAsia="方正仿宋_GBK"/>
          <w:b w:val="0"/>
          <w:sz w:val="24"/>
        </w:rPr>
        <w:t xml:space="preserve">，</w:t>
      </w:r>
      <w:r>
        <w:rPr>
          <w:rFonts w:ascii="Times New Roman" w:hAnsi="Times New Roman" w:eastAsia="方正仿宋_GBK"/>
          <w:b w:val="0"/>
          <w:sz w:val="24"/>
        </w:rPr>
        <w:t xml:space="preserve">仍未新增储能和联络；刚性容量3</w:t>
      </w:r>
      <w:r>
        <w:rPr>
          <w:rFonts w:ascii="Times New Roman" w:hAnsi="Times New Roman" w:eastAsia="方正仿宋_GBK"/>
          <w:b w:val="0"/>
          <w:sz w:val="24"/>
        </w:rPr>
        <w:t xml:space="preserve">1</w:t>
      </w:r>
      <w:r>
        <w:rPr>
          <w:rFonts w:ascii="Times New Roman" w:hAnsi="Times New Roman" w:eastAsia="方正仿宋_GBK"/>
          <w:b w:val="0"/>
          <w:sz w:val="24"/>
        </w:rPr>
        <w:t xml:space="preserve">40.</w:t>
      </w:r>
      <w:r>
        <w:rPr>
          <w:rFonts w:ascii="Times New Roman" w:hAnsi="Times New Roman" w:eastAsia="方正仿宋_GBK"/>
          <w:b w:val="0"/>
          <w:sz w:val="24"/>
        </w:rPr>
        <w:t xml:space="preserve">5</w:t>
      </w:r>
      <w:r>
        <w:rPr>
          <w:rFonts w:ascii="Times New Roman" w:hAnsi="Times New Roman" w:eastAsia="方正仿宋_GBK"/>
          <w:b w:val="0"/>
          <w:sz w:val="24"/>
        </w:rPr>
        <w:t xml:space="preserve">0 MVA，储能1</w:t>
      </w:r>
      <w:r>
        <w:rPr>
          <w:rFonts w:ascii="Times New Roman" w:hAnsi="Times New Roman" w:eastAsia="方正仿宋_GBK"/>
          <w:b w:val="0"/>
          <w:sz w:val="24"/>
        </w:rPr>
        <w:t xml:space="preserve">2.</w:t>
      </w:r>
      <w:r>
        <w:rPr>
          <w:rFonts w:ascii="Times New Roman" w:hAnsi="Times New Roman" w:eastAsia="方正仿宋_GBK"/>
          <w:b w:val="0"/>
          <w:sz w:val="24"/>
        </w:rPr>
        <w:t xml:space="preserve">04</w:t>
      </w:r>
      <w:r>
        <w:rPr>
          <w:rFonts w:ascii="Times New Roman" w:hAnsi="Times New Roman" w:eastAsia="方正仿宋_GBK"/>
          <w:b w:val="0"/>
          <w:sz w:val="24"/>
        </w:rPr>
        <w:t xml:space="preserve"> MW</w:t>
      </w:r>
      <w:r>
        <w:rPr>
          <w:rFonts w:ascii="Times New Roman" w:hAnsi="Times New Roman" w:eastAsia="方正仿宋_GBK"/>
          <w:b w:val="0"/>
          <w:sz w:val="24"/>
        </w:rPr>
        <w:t xml:space="preserve">h、累计新增联络32条</w:t>
      </w:r>
      <w:r>
        <w:rPr>
          <w:rFonts w:ascii="Times New Roman" w:hAnsi="Times New Roman" w:eastAsia="方正仿宋_GBK"/>
          <w:b w:val="0"/>
          <w:sz w:val="24"/>
        </w:rPr>
        <w:t xml:space="preserve">。</w:t>
      </w:r>
      <w:r>
        <w:rPr>
          <w:rFonts w:ascii="Times New Roman" w:hAnsi="Times New Roman" w:eastAsia="方正仿宋_GBK"/>
          <w:b w:val="0"/>
          <w:sz w:val="24"/>
        </w:rPr>
        <w:t xml:space="preserve">此时弹性累计费用现值为16806.54万元</w:t>
      </w:r>
      <w:r>
        <w:rPr>
          <w:rFonts w:ascii="Times New Roman" w:hAnsi="Times New Roman" w:eastAsia="方正仿宋_GBK"/>
          <w:b w:val="0"/>
          <w:sz w:val="24"/>
        </w:rPr>
        <w:t xml:space="preserve">，</w:t>
      </w:r>
      <w:r>
        <w:rPr>
          <w:rFonts w:ascii="Times New Roman" w:hAnsi="Times New Roman" w:eastAsia="方正仿宋_GBK"/>
          <w:b w:val="0"/>
          <w:sz w:val="24"/>
        </w:rPr>
        <w:t xml:space="preserve">高于刚性的14819.77万元，前期较多</w:t>
      </w:r>
      <w:r>
        <w:rPr>
          <w:rFonts w:ascii="Times New Roman" w:hAnsi="Times New Roman" w:eastAsia="方正仿宋_GBK"/>
          <w:b w:val="0"/>
          <w:sz w:val="24"/>
        </w:rPr>
        <w:t xml:space="preserve">主变</w:t>
      </w:r>
      <w:r>
        <w:rPr>
          <w:rFonts w:ascii="Times New Roman" w:hAnsi="Times New Roman" w:eastAsia="方正仿宋_GBK"/>
          <w:b w:val="0"/>
          <w:sz w:val="24"/>
        </w:rPr>
        <w:t xml:space="preserve">采购尚未由配套工程节省抵消</w:t>
      </w:r>
      <w:r>
        <w:rPr>
          <w:rFonts w:ascii="Times New Roman" w:hAnsi="Times New Roman" w:eastAsia="方正仿宋_GBK"/>
          <w:b w:val="0"/>
          <w:sz w:val="24"/>
        </w:rPr>
        <w:t xml:space="preserve">。</w:t>
      </w:r>
    </w:p>
    <w:p w14:paraId="15E1BE86">
      <w:pPr>
        <w:pStyle w:val="2"/>
        <w:widowControl/>
        <w:spacing w:before="0" w:after="0" w:line="348" w:lineRule="exact"/>
        <w:ind w:firstLine="480"/>
        <w:jc w:val="both"/>
      </w:pPr>
      <w:r>
        <w:rPr>
          <w:rFonts w:ascii="Times New Roman" w:hAnsi="Times New Roman" w:eastAsia="方正仿宋_GBK"/>
          <w:b w:val="0"/>
          <w:sz w:val="24"/>
        </w:rPr>
        <w:t xml:space="preserve">2032年以后两方案继续按局部缺口增加储能。2035年</w:t>
      </w:r>
      <w:r>
        <w:rPr>
          <w:rFonts w:ascii="Times New Roman" w:hAnsi="Times New Roman" w:eastAsia="方正仿宋_GBK"/>
          <w:b w:val="0"/>
          <w:sz w:val="24"/>
        </w:rPr>
        <w:t xml:space="preserve">弹性</w:t>
      </w:r>
      <w:r>
        <w:rPr>
          <w:rFonts w:ascii="Times New Roman" w:hAnsi="Times New Roman" w:eastAsia="方正仿宋_GBK"/>
          <w:b w:val="0"/>
          <w:sz w:val="24"/>
        </w:rPr>
        <w:t xml:space="preserve">主</w:t>
      </w:r>
      <w:r>
        <w:rPr>
          <w:rFonts w:ascii="Times New Roman" w:hAnsi="Times New Roman" w:eastAsia="方正仿宋_GBK"/>
          <w:b w:val="0"/>
          <w:sz w:val="24"/>
        </w:rPr>
        <w:t xml:space="preserve">变</w:t>
      </w:r>
      <w:r>
        <w:rPr>
          <w:rFonts w:ascii="Times New Roman" w:hAnsi="Times New Roman" w:eastAsia="方正仿宋_GBK"/>
          <w:b w:val="0"/>
          <w:sz w:val="24"/>
        </w:rPr>
        <w:t xml:space="preserve">容量3608.5</w:t>
      </w:r>
      <w:r>
        <w:rPr>
          <w:rFonts w:ascii="Times New Roman" w:hAnsi="Times New Roman" w:eastAsia="方正仿宋_GBK"/>
          <w:b w:val="0"/>
          <w:sz w:val="24"/>
        </w:rPr>
        <w:t xml:space="preserve">0 MVA</w:t>
      </w:r>
      <w:r>
        <w:rPr>
          <w:rFonts w:ascii="Times New Roman" w:hAnsi="Times New Roman" w:eastAsia="方正仿宋_GBK"/>
          <w:b w:val="0"/>
          <w:sz w:val="24"/>
        </w:rPr>
        <w:t xml:space="preserve">、储能109.65 MWh、累计新增联络35条，刚性分别为3587.00 MVA、92.88 MWh和66条。弹性储能高于刚性，减少联络的同时保留了</w:t>
      </w:r>
      <w:r>
        <w:rPr>
          <w:rFonts w:ascii="Times New Roman" w:hAnsi="Times New Roman" w:eastAsia="方正仿宋_GBK"/>
          <w:b w:val="0"/>
          <w:sz w:val="24"/>
        </w:rPr>
        <w:t xml:space="preserve">更</w:t>
      </w:r>
      <w:r>
        <w:rPr>
          <w:rFonts w:ascii="Times New Roman" w:hAnsi="Times New Roman" w:eastAsia="方正仿宋_GBK"/>
          <w:b w:val="0"/>
          <w:sz w:val="24"/>
        </w:rPr>
        <w:t xml:space="preserve">多本地支撑。两方案容量差</w:t>
      </w:r>
      <w:r>
        <w:rPr>
          <w:rFonts w:ascii="Times New Roman" w:hAnsi="Times New Roman" w:eastAsia="方正仿宋_GBK"/>
          <w:b w:val="0"/>
          <w:sz w:val="24"/>
        </w:rPr>
        <w:t xml:space="preserve">为</w:t>
      </w:r>
      <w:r>
        <w:rPr>
          <w:rFonts w:ascii="Times New Roman" w:hAnsi="Times New Roman" w:eastAsia="方正仿宋_GBK"/>
          <w:b w:val="0"/>
          <w:sz w:val="24"/>
        </w:rPr>
        <w:t xml:space="preserve">21.50</w:t>
      </w:r>
      <w:r>
        <w:rPr>
          <w:rFonts w:ascii="Times New Roman" w:hAnsi="Times New Roman" w:eastAsia="方正仿宋_GBK"/>
          <w:b w:val="0"/>
          <w:sz w:val="24"/>
        </w:rPr>
        <w:t xml:space="preserve"> MVA，</w:t>
      </w:r>
      <w:r>
        <w:rPr>
          <w:rFonts w:ascii="Times New Roman" w:hAnsi="Times New Roman" w:eastAsia="方正仿宋_GBK"/>
          <w:b w:val="0"/>
          <w:sz w:val="24"/>
        </w:rPr>
        <w:t xml:space="preserve">容</w:t>
      </w:r>
      <w:r>
        <w:rPr>
          <w:rFonts w:ascii="Times New Roman" w:hAnsi="Times New Roman" w:eastAsia="方正仿宋_GBK"/>
          <w:b w:val="0"/>
          <w:sz w:val="24"/>
        </w:rPr>
        <w:t xml:space="preserve">载比</w:t>
      </w:r>
      <w:r>
        <w:rPr>
          <w:rFonts w:ascii="Times New Roman" w:hAnsi="Times New Roman" w:eastAsia="方正仿宋_GBK"/>
          <w:b w:val="0"/>
          <w:sz w:val="24"/>
        </w:rPr>
        <w:t xml:space="preserve">分别</w:t>
      </w:r>
      <w:r>
        <w:rPr>
          <w:rFonts w:ascii="Times New Roman" w:hAnsi="Times New Roman" w:eastAsia="方正仿宋_GBK"/>
          <w:b w:val="0"/>
          <w:sz w:val="24"/>
        </w:rPr>
        <w:t xml:space="preserve">为1.62</w:t>
      </w:r>
      <w:r>
        <w:rPr>
          <w:rFonts w:ascii="Times New Roman" w:hAnsi="Times New Roman" w:eastAsia="方正仿宋_GBK"/>
          <w:b w:val="0"/>
          <w:sz w:val="24"/>
        </w:rPr>
        <w:t xml:space="preserve">和</w:t>
      </w:r>
      <w:r>
        <w:rPr>
          <w:rFonts w:ascii="Times New Roman" w:hAnsi="Times New Roman" w:eastAsia="方正仿宋_GBK"/>
          <w:b w:val="0"/>
          <w:sz w:val="24"/>
        </w:rPr>
        <w:t xml:space="preserve">1.61</w:t>
      </w:r>
      <w:r>
        <w:rPr>
          <w:rFonts w:ascii="Times New Roman" w:hAnsi="Times New Roman" w:eastAsia="方正仿宋_GBK"/>
          <w:b w:val="0"/>
          <w:sz w:val="24"/>
        </w:rPr>
        <w:t xml:space="preserve">，费用</w:t>
      </w:r>
      <w:r>
        <w:rPr>
          <w:rFonts w:ascii="Times New Roman" w:hAnsi="Times New Roman" w:eastAsia="方正仿宋_GBK"/>
          <w:b w:val="0"/>
          <w:sz w:val="24"/>
        </w:rPr>
        <w:t xml:space="preserve">比较需同时考虑各年度</w:t>
      </w:r>
      <w:r>
        <w:rPr>
          <w:rFonts w:ascii="Times New Roman" w:hAnsi="Times New Roman" w:eastAsia="方正仿宋_GBK"/>
          <w:b w:val="0"/>
          <w:sz w:val="24"/>
        </w:rPr>
        <w:t xml:space="preserve">主</w:t>
      </w:r>
      <w:r>
        <w:rPr>
          <w:rFonts w:ascii="Times New Roman" w:hAnsi="Times New Roman" w:eastAsia="方正仿宋_GBK"/>
          <w:b w:val="0"/>
          <w:sz w:val="24"/>
        </w:rPr>
        <w:t xml:space="preserve">变、储能与联络投入</w:t>
      </w:r>
      <w:r>
        <w:rPr>
          <w:rFonts w:ascii="Times New Roman" w:hAnsi="Times New Roman" w:eastAsia="方正仿宋_GBK"/>
          <w:b w:val="0"/>
          <w:sz w:val="24"/>
        </w:rPr>
        <w:t xml:space="preserve">。</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5120640"/>
            <wp:effectExtent b="0" l="0" r="0" t="0"/>
            <wp:docPr descr="" title="" id="88" name="Picture"/>
            <a:graphic>
              <a:graphicData uri="http://schemas.openxmlformats.org/drawingml/2006/picture">
                <pic:pic>
                  <pic:nvPicPr>
                    <pic:cNvPr descr="研究报告/02图表/当前版/city_annual_new_measures.png" id="0" name="Picture"/>
                    <pic:cNvPicPr>
                      <a:picLocks noChangeArrowheads="1" noChangeAspect="1"/>
                    </pic:cNvPicPr>
                  </pic:nvPicPr>
                  <pic:blipFill>
                    <a:blip r:embed="rIdReportRevision6"/>
                    <a:stretch>
                      <a:fillRect/>
                    </a:stretch>
                  </pic:blipFill>
                  <pic:spPr bwMode="auto">
                    <a:xfrm>
                      <a:off x="0" y="0"/>
                      <a:ext cx="5120640" cy="5120640"/>
                    </a:xfrm>
                    <a:prstGeom prst="rect">
                      <a:avLst/>
                    </a:prstGeom>
                    <a:noFill/>
                    <a:ln w="9525">
                      <a:noFill/>
                      <a:headEnd/>
                      <a:tailEnd/>
                    </a:ln>
                  </pic:spPr>
                </pic:pic>
              </a:graphicData>
            </a:graphic>
          </wp:inline>
        </w:drawing>
      </w:r>
    </w:p>
    <w:p w14:paraId="61D1721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图5-3 市区两类方案的逐年新增工程</w:t>
      </w:r>
    </w:p>
    <w:p w14:paraId="6DBF4012">
      <w:pPr>
        <w:pStyle w:val="5"/>
        <w:keepNext/>
        <w:numPr>
          <w:ilvl w:val="0"/>
          <w:numId w:val="0"/>
        </w:numPr>
        <w:spacing w:before="160" w:after="120" w:line="390" w:lineRule="exact"/>
        <w:ind w:firstLine="0"/>
      </w:pPr>
      <w:bookmarkStart w:id="198" w:name="弹性方案与导则建议范围的逐年对照"/>
      <w:r>
        <w:rPr>
          <w:rFonts w:ascii="Times New Roman" w:hAnsi="Times New Roman" w:eastAsia="方正仿宋_GBK"/>
          <w:b/>
          <w:sz w:val="26"/>
        </w:rPr>
        <w:t>5.4.3 弹性方案与导则建议范围的逐年对照</w:t>
      </w:r>
      <w:bookmarkEnd w:id="198"/>
    </w:p>
    <w:p w14:paraId="742E4B72">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2025年4月《配电网规划设计技术导则（修订稿）》第6.2.2.1条提出容载比总体控制在1.5～2.0，表2按年最大净负荷平均增长率划分发展阶段，相应建议范围如下[8]。</w:t>
      </w:r>
    </w:p>
    <w:p w14:paraId="1EBC65C4">
      <w:pPr>
        <w:pStyle w:val="2"/>
        <w:keepNext/>
        <w:spacing w:before="120" w:after="80" w:line="280" w:lineRule="exact"/>
        <w:ind w:firstLine="0"/>
        <w:jc w:val="center"/>
      </w:pPr>
      <w:r>
        <w:rPr>
          <w:rFonts w:ascii="Times New Roman" w:hAnsi="Times New Roman" w:eastAsia="宋体"/>
          <w:b w:val="0"/>
          <w:sz w:val="21"/>
        </w:rPr>
        <w:t>表5-8 高压分区或行政县（市、区）110～35 kV电网容载比选择范围[8]</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11642D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5C602AE3">
            <w:pPr>
              <w:keepNext/>
              <w:spacing w:before="20" w:after="20" w:line="260" w:lineRule="exact"/>
              <w:ind w:left="0" w:leftChars="0" w:right="0" w:rightChars="0" w:firstLine="0" w:firstLineChars="0"/>
              <w:jc w:val="center"/>
            </w:pPr>
            <w:r>
              <w:rPr>
                <w:rFonts w:ascii="Times New Roman" w:hAnsi="Times New Roman" w:eastAsia="宋体"/>
                <w:b/>
                <w:sz w:val="18"/>
              </w:rPr>
              <w:t>负荷增长情况</w:t>
            </w:r>
          </w:p>
        </w:tc>
        <w:tc>
          <w:tcPr>
            <w:tcW w:w="2771" w:type="dxa"/>
            <w:tcMar>
              <w:left w:w="70" w:type="dxa"/>
              <w:right w:w="70" w:type="dxa"/>
            </w:tcMar>
            <w:vAlign w:val="center"/>
          </w:tcPr>
          <w:p w14:paraId="4D43BCE3">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年最大净负荷平均增长率KP</w:t>
            </w:r>
          </w:p>
        </w:tc>
        <w:tc>
          <w:tcPr>
            <w:tcW w:w="2771" w:type="dxa"/>
            <w:tcMar>
              <w:left w:w="70" w:type="dxa"/>
              <w:right w:w="70" w:type="dxa"/>
            </w:tcMar>
            <w:vAlign w:val="center"/>
          </w:tcPr>
          <w:p w14:paraId="5B46F99B">
            <w:pPr>
              <w:keepNext/>
              <w:spacing w:before="20" w:after="20" w:line="260" w:lineRule="exact"/>
              <w:ind w:left="0" w:leftChars="0" w:right="0" w:rightChars="0" w:firstLine="0" w:firstLineChars="0"/>
              <w:jc w:val="center"/>
            </w:pPr>
            <w:r>
              <w:rPr>
                <w:rFonts w:ascii="Times New Roman" w:hAnsi="Times New Roman" w:eastAsia="宋体"/>
                <w:b/>
                <w:sz w:val="18"/>
              </w:rPr>
              <w:t>容载比建议范围</w:t>
            </w:r>
          </w:p>
        </w:tc>
      </w:tr>
      <w:tr w14:paraId="1C4355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6127146">
            <w:pPr>
              <w:keepNext/>
              <w:spacing w:before="20" w:after="20" w:line="260" w:lineRule="exact"/>
              <w:ind w:left="0" w:leftChars="0" w:right="0" w:rightChars="0" w:firstLine="0" w:firstLineChars="0"/>
              <w:jc w:val="center"/>
            </w:pPr>
            <w:r>
              <w:rPr>
                <w:rFonts w:ascii="Times New Roman" w:hAnsi="Times New Roman" w:eastAsia="宋体"/>
                <w:b w:val="0"/>
                <w:sz w:val="18"/>
              </w:rPr>
              <w:t>饱和期</w:t>
            </w:r>
          </w:p>
        </w:tc>
        <w:tc>
          <w:tcPr>
            <w:tcW w:w="2771" w:type="dxa"/>
            <w:tcMar>
              <w:left w:w="70" w:type="dxa"/>
              <w:right w:w="70" w:type="dxa"/>
            </w:tcMar>
            <w:vAlign w:val="center"/>
          </w:tcPr>
          <w:p w14:paraId="36A8F7E9">
            <w:pPr>
              <w:keepNext/>
              <w:spacing w:before="20" w:after="20" w:line="260" w:lineRule="exact"/>
              <w:ind w:left="0" w:leftChars="0" w:right="0" w:rightChars="0" w:firstLine="0" w:firstLineChars="0"/>
              <w:jc w:val="center"/>
            </w:pPr>
            <w:r>
              <w:rPr>
                <w:rFonts w:ascii="Times New Roman" w:hAnsi="Times New Roman" w:eastAsia="宋体"/>
                <w:b w:val="0"/>
                <w:sz w:val="18"/>
              </w:rPr>
              <w:t>KP≤2%</w:t>
            </w:r>
          </w:p>
        </w:tc>
        <w:tc>
          <w:tcPr>
            <w:tcW w:w="2771" w:type="dxa"/>
            <w:tcMar>
              <w:left w:w="70" w:type="dxa"/>
              <w:right w:w="70" w:type="dxa"/>
            </w:tcMar>
            <w:vAlign w:val="center"/>
          </w:tcPr>
          <w:p w14:paraId="7FFDE089">
            <w:pPr>
              <w:keepNext/>
              <w:spacing w:before="20" w:after="20" w:line="260" w:lineRule="exact"/>
              <w:ind w:left="0" w:leftChars="0" w:right="0" w:rightChars="0" w:firstLine="0" w:firstLineChars="0"/>
              <w:jc w:val="center"/>
            </w:pPr>
            <w:r>
              <w:rPr>
                <w:rFonts w:ascii="Times New Roman" w:hAnsi="Times New Roman" w:eastAsia="宋体"/>
                <w:b w:val="0"/>
                <w:sz w:val="18"/>
              </w:rPr>
              <w:t>1.5～1.7</w:t>
            </w:r>
          </w:p>
        </w:tc>
      </w:tr>
      <w:tr w14:paraId="28B38A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F000A29">
            <w:pPr>
              <w:keepNext/>
              <w:spacing w:before="20" w:after="20" w:line="260" w:lineRule="exact"/>
              <w:ind w:left="0" w:leftChars="0" w:right="0" w:rightChars="0" w:firstLine="0" w:firstLineChars="0"/>
              <w:jc w:val="center"/>
            </w:pPr>
            <w:r>
              <w:rPr>
                <w:rFonts w:ascii="Times New Roman" w:hAnsi="Times New Roman" w:eastAsia="宋体"/>
                <w:b w:val="0"/>
                <w:sz w:val="18"/>
              </w:rPr>
              <w:t>较慢增长</w:t>
            </w:r>
          </w:p>
        </w:tc>
        <w:tc>
          <w:tcPr>
            <w:tcW w:w="2771" w:type="dxa"/>
            <w:tcMar>
              <w:left w:w="70" w:type="dxa"/>
              <w:right w:w="70" w:type="dxa"/>
            </w:tcMar>
            <w:vAlign w:val="center"/>
          </w:tcPr>
          <w:p w14:paraId="2053FEBF">
            <w:pPr>
              <w:keepNext/>
              <w:spacing w:before="20" w:after="20" w:line="260" w:lineRule="exact"/>
              <w:ind w:left="0" w:leftChars="0" w:right="0" w:rightChars="0" w:firstLine="0" w:firstLineChars="0"/>
              <w:jc w:val="center"/>
            </w:pPr>
            <w:r>
              <w:rPr>
                <w:rFonts w:ascii="Times New Roman" w:hAnsi="Times New Roman" w:eastAsia="宋体"/>
                <w:b w:val="0"/>
                <w:sz w:val="18"/>
              </w:rPr>
              <w:t>2%＜KP≤4%</w:t>
            </w:r>
          </w:p>
        </w:tc>
        <w:tc>
          <w:tcPr>
            <w:tcW w:w="2771" w:type="dxa"/>
            <w:tcMar>
              <w:left w:w="70" w:type="dxa"/>
              <w:right w:w="70" w:type="dxa"/>
            </w:tcMar>
            <w:vAlign w:val="center"/>
          </w:tcPr>
          <w:p w14:paraId="5F50CAB9">
            <w:pPr>
              <w:keepNext/>
              <w:spacing w:before="20" w:after="20" w:line="260" w:lineRule="exact"/>
              <w:ind w:left="0" w:leftChars="0" w:right="0" w:rightChars="0" w:firstLine="0" w:firstLineChars="0"/>
              <w:jc w:val="center"/>
            </w:pPr>
            <w:r>
              <w:rPr>
                <w:rFonts w:ascii="Times New Roman" w:hAnsi="Times New Roman" w:eastAsia="宋体"/>
                <w:b w:val="0"/>
                <w:sz w:val="18"/>
              </w:rPr>
              <w:t>1.6～1.8</w:t>
            </w:r>
          </w:p>
        </w:tc>
      </w:tr>
      <w:tr w14:paraId="750375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7F676AE">
            <w:pPr>
              <w:keepNext/>
              <w:spacing w:before="20" w:after="20" w:line="260" w:lineRule="exact"/>
              <w:ind w:left="0" w:leftChars="0" w:right="0" w:rightChars="0" w:firstLine="0" w:firstLineChars="0"/>
              <w:jc w:val="center"/>
            </w:pPr>
            <w:r>
              <w:rPr>
                <w:rFonts w:ascii="Times New Roman" w:hAnsi="Times New Roman" w:eastAsia="宋体"/>
                <w:b w:val="0"/>
                <w:sz w:val="18"/>
              </w:rPr>
              <w:t>中等增长</w:t>
            </w:r>
          </w:p>
        </w:tc>
        <w:tc>
          <w:tcPr>
            <w:tcW w:w="2771" w:type="dxa"/>
            <w:tcMar>
              <w:left w:w="70" w:type="dxa"/>
              <w:right w:w="70" w:type="dxa"/>
            </w:tcMar>
            <w:vAlign w:val="center"/>
          </w:tcPr>
          <w:p w14:paraId="58D0DA7E">
            <w:pPr>
              <w:keepNext/>
              <w:spacing w:before="20" w:after="20" w:line="260" w:lineRule="exact"/>
              <w:ind w:left="0" w:leftChars="0" w:right="0" w:rightChars="0" w:firstLine="0" w:firstLineChars="0"/>
              <w:jc w:val="center"/>
            </w:pPr>
            <w:r>
              <w:rPr>
                <w:rFonts w:ascii="Times New Roman" w:hAnsi="Times New Roman" w:eastAsia="宋体"/>
                <w:b w:val="0"/>
                <w:sz w:val="18"/>
              </w:rPr>
              <w:t>4%＜KP≤7%</w:t>
            </w:r>
          </w:p>
        </w:tc>
        <w:tc>
          <w:tcPr>
            <w:tcW w:w="2771" w:type="dxa"/>
            <w:tcMar>
              <w:left w:w="70" w:type="dxa"/>
              <w:right w:w="70" w:type="dxa"/>
            </w:tcMar>
            <w:vAlign w:val="center"/>
          </w:tcPr>
          <w:p w14:paraId="1D698B28">
            <w:pPr>
              <w:keepNext/>
              <w:spacing w:before="20" w:after="20" w:line="260" w:lineRule="exact"/>
              <w:ind w:left="0" w:leftChars="0" w:right="0" w:rightChars="0" w:firstLine="0" w:firstLineChars="0"/>
              <w:jc w:val="center"/>
            </w:pPr>
            <w:r>
              <w:rPr>
                <w:rFonts w:ascii="Times New Roman" w:hAnsi="Times New Roman" w:eastAsia="宋体"/>
                <w:b w:val="0"/>
                <w:sz w:val="18"/>
              </w:rPr>
              <w:t>1.7～1.9</w:t>
            </w:r>
          </w:p>
        </w:tc>
      </w:tr>
      <w:tr w14:paraId="56C8D6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BF0E61F">
            <w:pPr>
              <w:keepNext w:val="0"/>
              <w:spacing w:before="20" w:after="20" w:line="260" w:lineRule="exact"/>
              <w:ind w:left="0" w:leftChars="0" w:right="0" w:rightChars="0" w:firstLine="0" w:firstLineChars="0"/>
              <w:jc w:val="center"/>
            </w:pPr>
            <w:r>
              <w:rPr>
                <w:rFonts w:ascii="Times New Roman" w:hAnsi="Times New Roman" w:eastAsia="宋体"/>
                <w:b w:val="0"/>
                <w:sz w:val="18"/>
              </w:rPr>
              <w:t>较快增长</w:t>
            </w:r>
          </w:p>
        </w:tc>
        <w:tc>
          <w:tcPr>
            <w:tcW w:w="2771" w:type="dxa"/>
            <w:tcMar>
              <w:left w:w="70" w:type="dxa"/>
              <w:right w:w="70" w:type="dxa"/>
            </w:tcMar>
            <w:vAlign w:val="center"/>
          </w:tcPr>
          <w:p w14:paraId="2E7F82E1">
            <w:pPr>
              <w:keepNext w:val="0"/>
              <w:spacing w:before="20" w:after="20" w:line="260" w:lineRule="exact"/>
              <w:ind w:left="0" w:leftChars="0" w:right="0" w:rightChars="0" w:firstLine="0" w:firstLineChars="0"/>
              <w:jc w:val="center"/>
            </w:pPr>
            <w:r>
              <w:rPr>
                <w:rFonts w:ascii="Times New Roman" w:hAnsi="Times New Roman" w:eastAsia="宋体"/>
                <w:b w:val="0"/>
                <w:sz w:val="18"/>
              </w:rPr>
              <w:t>KP＞7%</w:t>
            </w:r>
          </w:p>
        </w:tc>
        <w:tc>
          <w:tcPr>
            <w:tcW w:w="2771" w:type="dxa"/>
            <w:tcMar>
              <w:left w:w="70" w:type="dxa"/>
              <w:right w:w="70" w:type="dxa"/>
            </w:tcMar>
            <w:vAlign w:val="center"/>
          </w:tcPr>
          <w:p w14:paraId="6A537F30">
            <w:pPr>
              <w:keepNext w:val="0"/>
              <w:spacing w:before="20" w:after="20" w:line="260" w:lineRule="exact"/>
              <w:ind w:left="0" w:leftChars="0" w:right="0" w:rightChars="0" w:firstLine="0" w:firstLineChars="0"/>
              <w:jc w:val="center"/>
            </w:pPr>
            <w:r>
              <w:rPr>
                <w:rFonts w:ascii="Times New Roman" w:hAnsi="Times New Roman" w:eastAsia="宋体"/>
                <w:b w:val="0"/>
                <w:sz w:val="18"/>
              </w:rPr>
              <w:t>1.8～2.0</w:t>
            </w:r>
          </w:p>
        </w:tc>
      </w:tr>
    </w:tbl>
    <w:p w14:paraId="51FB2AC0">
      <w:pPr>
        <w:pStyle w:val="2"/>
        <w:widowControl/>
        <w:spacing w:before="0" w:after="0" w:line="348" w:lineRule="exact"/>
        <w:ind w:firstLine="480"/>
        <w:jc w:val="both"/>
      </w:pPr>
      <w:r>
        <w:rPr>
          <w:rFonts w:ascii="Times New Roman" w:hAnsi="Times New Roman" w:eastAsia="方正仿宋_GBK"/>
          <w:b w:val="0"/>
          <w:sz w:val="24"/>
        </w:rPr>
        <w:t>本节沿用建模采用的2021—2025年年最大净负荷平均增长率，</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P</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2025</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2021</m:t>
            </m:r>
          </m:sub>
        </m:sSub>
        <m:sSup>
          <m:sSupPr/>
          <m:e>
            <m:r>
              <m:rPr>
                <m:nor/>
                <m:sty m:val="p"/>
              </m:rPr>
              <w:rPr>
                <w:rFonts w:ascii="Times New Roman" w:hAnsi="Times New Roman" w:eastAsia="方正仿宋_GBK" w:cs="Times New Roman"/>
                <w:b w:val="0"/>
                <w:i w:val="0"/>
                <w:iCs w:val="0"/>
              </w:rPr>
              <m:t>)</m:t>
            </m:r>
          </m:e>
          <m:sup>
            <m:r>
              <m:rPr>
                <m:nor/>
                <m:sty m:val="p"/>
              </m:rPr>
              <w:rPr>
                <w:rFonts w:ascii="Times New Roman" w:hAnsi="Times New Roman" w:eastAsia="方正仿宋_GBK" w:cs="Times New Roman"/>
                <w:b w:val="0"/>
                <w:i w:val="0"/>
                <w:iCs w:val="0"/>
              </w:rPr>
              <m:t>1/4</m:t>
            </m:r>
          </m:sup>
        </m:sSup>
        <m:r>
          <m:rPr>
            <m:nor/>
            <m:sty m:val="p"/>
          </m:rPr>
          <w:rPr>
            <w:rFonts w:ascii="Times New Roman" w:hAnsi="Times New Roman" w:eastAsia="方正仿宋_GBK" w:cs="Times New Roman"/>
            <w:b w:val="0"/>
            <w:i w:val="0"/>
            <w:iCs w:val="0"/>
          </w:rPr>
          <m:t>−1</m:t>
        </m:r>
      </m:oMath>
      <w:r>
        <w:rPr>
          <w:rFonts w:ascii="Times New Roman" w:hAnsi="Times New Roman" w:eastAsia="方正仿宋_GBK"/>
          <w:b w:val="0"/>
          <w:sz w:val="24"/>
        </w:rPr>
        <w:t>，以同一增长水平对照各年方案。邳州年最大净负荷由731.77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MW，年最大净负荷平均增长率约1%，属于KP≤2%的饱和期，对应建议范围1.5～1.7[8]。</w:t>
      </w:r>
    </w:p>
    <w:p w14:paraId="214304CF">
      <w:pPr>
        <w:pStyle w:val="2"/>
        <w:widowControl/>
        <w:spacing w:before="0" w:after="0" w:line="348" w:lineRule="exact"/>
        <w:ind w:firstLine="480"/>
        <w:jc w:val="both"/>
      </w:pPr>
      <w:r>
        <w:rPr>
          <w:rFonts w:ascii="Times New Roman" w:hAnsi="Times New Roman" w:eastAsia="方正仿宋_GBK"/>
          <w:b w:val="0"/>
          <w:sz w:val="24"/>
        </w:rPr>
        <w:t xml:space="preserve">前述年度表</w:t>
      </w:r>
      <w:r>
        <w:rPr>
          <w:rFonts w:ascii="Times New Roman" w:hAnsi="Times New Roman" w:eastAsia="方正仿宋_GBK"/>
          <w:b w:val="0"/>
          <w:sz w:val="24"/>
        </w:rPr>
        <w:t xml:space="preserve">以2021年实际地区容量</w:t>
      </w:r>
      <w:r>
        <w:rPr>
          <w:rFonts w:ascii="Times New Roman" w:hAnsi="Times New Roman" w:eastAsia="方正仿宋_GBK"/>
          <w:b w:val="0"/>
          <w:sz w:val="24"/>
        </w:rPr>
        <w:t xml:space="preserve">为共同</w:t>
      </w:r>
      <w:r>
        <w:rPr>
          <w:rFonts w:ascii="Times New Roman" w:hAnsi="Times New Roman" w:eastAsia="方正仿宋_GBK"/>
          <w:b w:val="0"/>
          <w:sz w:val="24"/>
        </w:rPr>
        <w:t xml:space="preserve">起点</w:t>
      </w:r>
      <w:r>
        <w:rPr>
          <w:rFonts w:ascii="Times New Roman" w:hAnsi="Times New Roman" w:eastAsia="方正仿宋_GBK"/>
          <w:b w:val="0"/>
          <w:sz w:val="24"/>
        </w:rPr>
        <w:t xml:space="preserve">。按</w:t>
      </w:r>
      <w:r>
        <w:rPr>
          <w:rFonts w:ascii="Times New Roman" w:hAnsi="Times New Roman" w:eastAsia="方正仿宋_GBK"/>
          <w:b w:val="0"/>
          <w:sz w:val="24"/>
        </w:rPr>
        <w:t xml:space="preserve">2021—2025年</w:t>
      </w:r>
      <w:r>
        <w:rPr>
          <w:rFonts w:ascii="Times New Roman" w:hAnsi="Times New Roman" w:eastAsia="方正仿宋_GBK"/>
          <w:b w:val="0"/>
          <w:sz w:val="24"/>
        </w:rPr>
        <w:t xml:space="preserve">年最大净负荷平均增长率</w:t>
      </w:r>
      <w:r>
        <w:rPr>
          <w:rFonts w:ascii="Times New Roman" w:hAnsi="Times New Roman" w:eastAsia="方正仿宋_GBK"/>
          <w:b w:val="0"/>
          <w:sz w:val="24"/>
        </w:rPr>
        <w:t xml:space="preserve">分档，邳州2022—202</w:t>
      </w:r>
      <w:r>
        <w:rPr>
          <w:rFonts w:ascii="Times New Roman" w:hAnsi="Times New Roman" w:eastAsia="方正仿宋_GBK"/>
          <w:b w:val="0"/>
          <w:sz w:val="24"/>
        </w:rPr>
        <w:t xml:space="preserve">5</w:t>
      </w:r>
      <w:r>
        <w:rPr>
          <w:rFonts w:ascii="Times New Roman" w:hAnsi="Times New Roman" w:eastAsia="方正仿宋_GBK"/>
          <w:b w:val="0"/>
          <w:sz w:val="24"/>
        </w:rPr>
        <w:t xml:space="preserve">年</w:t>
      </w:r>
      <w:r>
        <w:rPr>
          <w:rFonts w:ascii="Times New Roman" w:hAnsi="Times New Roman" w:eastAsia="方正仿宋_GBK"/>
          <w:b w:val="0"/>
          <w:sz w:val="24"/>
        </w:rPr>
        <w:t xml:space="preserve">弹性容载比</w:t>
      </w:r>
      <w:r>
        <w:rPr>
          <w:rFonts w:ascii="Times New Roman" w:hAnsi="Times New Roman" w:eastAsia="方正仿宋_GBK"/>
          <w:b w:val="0"/>
          <w:sz w:val="24"/>
        </w:rPr>
        <w:t xml:space="preserve">均高于</w:t>
      </w:r>
      <w:r>
        <w:rPr>
          <w:rFonts w:ascii="Times New Roman" w:hAnsi="Times New Roman" w:eastAsia="方正仿宋_GBK"/>
          <w:b w:val="0"/>
          <w:sz w:val="24"/>
        </w:rPr>
        <w:t xml:space="preserve">建议上限1.9</w:t>
      </w:r>
      <w:r>
        <w:rPr>
          <w:rFonts w:ascii="Times New Roman" w:hAnsi="Times New Roman" w:eastAsia="方正仿宋_GBK"/>
          <w:b w:val="0"/>
          <w:sz w:val="24"/>
        </w:rPr>
        <w:t xml:space="preserve">0</w:t>
      </w:r>
      <w:r>
        <w:rPr>
          <w:rFonts w:ascii="Times New Roman" w:hAnsi="Times New Roman" w:eastAsia="方正仿宋_GBK"/>
          <w:b w:val="0"/>
          <w:sz w:val="24"/>
        </w:rPr>
        <w:t xml:space="preserve">，</w:t>
      </w:r>
      <w:r>
        <w:rPr>
          <w:rFonts w:ascii="Times New Roman" w:hAnsi="Times New Roman" w:eastAsia="方正仿宋_GBK"/>
          <w:b w:val="0"/>
          <w:sz w:val="24"/>
        </w:rPr>
        <w:t xml:space="preserve">市区均高于</w:t>
      </w:r>
      <w:r>
        <w:rPr>
          <w:rFonts w:ascii="Times New Roman" w:hAnsi="Times New Roman" w:eastAsia="方正仿宋_GBK"/>
          <w:b w:val="0"/>
          <w:sz w:val="24"/>
        </w:rPr>
        <w:t xml:space="preserve">1.7</w:t>
      </w:r>
      <w:r>
        <w:rPr>
          <w:rFonts w:ascii="Times New Roman" w:hAnsi="Times New Roman" w:eastAsia="方正仿宋_GBK"/>
          <w:b w:val="0"/>
          <w:sz w:val="24"/>
        </w:rPr>
        <w:t xml:space="preserve">0。原有容量、后续补强及负荷波动共同形成这些取值。未来阶段采用区域预测发展速度</w:t>
      </w:r>
      <w:r>
        <w:rPr>
          <w:rFonts w:ascii="Times New Roman" w:hAnsi="Times New Roman" w:eastAsia="方正仿宋_GBK"/>
          <w:b w:val="0"/>
          <w:sz w:val="24"/>
        </w:rPr>
        <w:t xml:space="preserve">，</w:t>
      </w:r>
      <w:r>
        <w:rPr>
          <w:rFonts w:ascii="Times New Roman" w:hAnsi="Times New Roman" w:eastAsia="方正仿宋_GBK"/>
          <w:b w:val="0"/>
          <w:sz w:val="24"/>
        </w:rPr>
        <w:t xml:space="preserve">年</w:t>
      </w:r>
      <w:r>
        <w:rPr>
          <w:rFonts w:ascii="Times New Roman" w:hAnsi="Times New Roman" w:eastAsia="方正仿宋_GBK"/>
          <w:b w:val="0"/>
          <w:sz w:val="24"/>
        </w:rPr>
        <w:t xml:space="preserve">度共同</w:t>
      </w:r>
      <w:r>
        <w:rPr>
          <w:rFonts w:ascii="Times New Roman" w:hAnsi="Times New Roman" w:eastAsia="方正仿宋_GBK"/>
          <w:b w:val="0"/>
          <w:sz w:val="24"/>
        </w:rPr>
        <w:t xml:space="preserve">下限</w:t>
      </w:r>
      <w:r>
        <w:rPr>
          <w:rFonts w:ascii="Times New Roman" w:hAnsi="Times New Roman" w:eastAsia="方正仿宋_GBK"/>
          <w:b w:val="0"/>
          <w:sz w:val="24"/>
        </w:rPr>
        <w:t xml:space="preserve">按照相应阶段设置，两方案使用相同值</w:t>
      </w:r>
      <w:r>
        <w:rPr>
          <w:rFonts w:ascii="Times New Roman" w:hAnsi="Times New Roman" w:eastAsia="方正仿宋_GBK"/>
          <w:b w:val="0"/>
          <w:sz w:val="24"/>
        </w:rPr>
        <w:t xml:space="preserve">。</w:t>
      </w:r>
    </w:p>
    <w:p w14:paraId="66EAC87B">
      <w:pPr>
        <w:pStyle w:val="2"/>
        <w:widowControl/>
        <w:spacing w:before="0" w:after="0" w:line="348" w:lineRule="exact"/>
        <w:ind w:firstLine="480"/>
        <w:jc w:val="both"/>
      </w:pPr>
      <w:r>
        <w:rPr>
          <w:rFonts w:ascii="Times New Roman" w:hAnsi="Times New Roman" w:eastAsia="方正仿宋_GBK"/>
          <w:b w:val="0"/>
          <w:sz w:val="24"/>
        </w:rPr>
        <w:t xml:space="preserve">市区</w:t>
      </w:r>
      <w:r>
        <w:rPr>
          <w:rFonts w:ascii="Times New Roman" w:hAnsi="Times New Roman" w:eastAsia="方正仿宋_GBK"/>
          <w:b w:val="0"/>
          <w:sz w:val="24"/>
        </w:rPr>
        <w:t xml:space="preserve">2025年</w:t>
      </w:r>
      <w:r>
        <w:rPr>
          <w:rFonts w:ascii="Times New Roman" w:hAnsi="Times New Roman" w:eastAsia="方正仿宋_GBK"/>
          <w:b w:val="0"/>
          <w:sz w:val="24"/>
        </w:rPr>
        <w:t xml:space="preserve">1528.82 MW负荷按容载比1.7</w:t>
      </w:r>
      <w:r>
        <w:rPr>
          <w:rFonts w:ascii="Times New Roman" w:hAnsi="Times New Roman" w:eastAsia="方正仿宋_GBK"/>
          <w:b w:val="0"/>
          <w:sz w:val="24"/>
        </w:rPr>
        <w:t xml:space="preserve">0</w:t>
      </w:r>
      <w:r>
        <w:rPr>
          <w:rFonts w:ascii="Times New Roman" w:hAnsi="Times New Roman" w:eastAsia="方正仿宋_GBK"/>
          <w:b w:val="0"/>
          <w:sz w:val="24"/>
        </w:rPr>
        <w:t xml:space="preserve">折算容量为2598.99 MVA，</w:t>
      </w:r>
      <w:r>
        <w:rPr>
          <w:rFonts w:ascii="Times New Roman" w:hAnsi="Times New Roman" w:eastAsia="方正仿宋_GBK"/>
          <w:b w:val="0"/>
          <w:sz w:val="24"/>
        </w:rPr>
        <w:t xml:space="preserve">2021年实际</w:t>
      </w:r>
      <w:r>
        <w:rPr>
          <w:rFonts w:ascii="Times New Roman" w:hAnsi="Times New Roman" w:eastAsia="方正仿宋_GBK"/>
          <w:b w:val="0"/>
          <w:sz w:val="24"/>
        </w:rPr>
        <w:t xml:space="preserve">容量</w:t>
      </w:r>
      <w:r>
        <w:rPr>
          <w:rFonts w:ascii="Times New Roman" w:hAnsi="Times New Roman" w:eastAsia="方正仿宋_GBK"/>
          <w:b w:val="0"/>
          <w:sz w:val="24"/>
        </w:rPr>
        <w:t xml:space="preserve">3113</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w:t>
      </w:r>
      <w:r>
        <w:rPr>
          <w:rFonts w:ascii="Times New Roman" w:hAnsi="Times New Roman" w:eastAsia="方正仿宋_GBK"/>
          <w:b w:val="0"/>
          <w:sz w:val="24"/>
        </w:rPr>
        <w:t xml:space="preserve">已</w:t>
      </w:r>
      <w:r>
        <w:rPr>
          <w:rFonts w:ascii="Times New Roman" w:hAnsi="Times New Roman" w:eastAsia="方正仿宋_GBK"/>
          <w:b w:val="0"/>
          <w:sz w:val="24"/>
        </w:rPr>
        <w:t xml:space="preserve">高出</w:t>
      </w:r>
      <w:r>
        <w:rPr>
          <w:rFonts w:ascii="Times New Roman" w:hAnsi="Times New Roman" w:eastAsia="方正仿宋_GBK"/>
          <w:b w:val="0"/>
          <w:sz w:val="24"/>
        </w:rPr>
        <w:t xml:space="preserve">5</w:t>
      </w:r>
      <w:r>
        <w:rPr>
          <w:rFonts w:ascii="Times New Roman" w:hAnsi="Times New Roman" w:eastAsia="方正仿宋_GBK"/>
          <w:b w:val="0"/>
          <w:sz w:val="24"/>
        </w:rPr>
        <w:t xml:space="preserve">1</w:t>
      </w:r>
      <w:r>
        <w:rPr>
          <w:rFonts w:ascii="Times New Roman" w:hAnsi="Times New Roman" w:eastAsia="方正仿宋_GBK"/>
          <w:b w:val="0"/>
          <w:sz w:val="24"/>
        </w:rPr>
        <w:t xml:space="preserve">4</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1 MVA。</w:t>
      </w:r>
      <w:r>
        <w:rPr>
          <w:rFonts w:ascii="Times New Roman" w:hAnsi="Times New Roman" w:eastAsia="方正仿宋_GBK"/>
          <w:b w:val="0"/>
          <w:sz w:val="24"/>
        </w:rPr>
        <w:t xml:space="preserve">在</w:t>
      </w:r>
      <w:r>
        <w:rPr>
          <w:rFonts w:ascii="Times New Roman" w:hAnsi="Times New Roman" w:eastAsia="方正仿宋_GBK"/>
          <w:b w:val="0"/>
          <w:sz w:val="24"/>
        </w:rPr>
        <w:t xml:space="preserve">容量保持非减的条件下，</w:t>
      </w:r>
      <w:r>
        <w:rPr>
          <w:rFonts w:ascii="Times New Roman" w:hAnsi="Times New Roman" w:eastAsia="方正仿宋_GBK"/>
          <w:b w:val="0"/>
          <w:sz w:val="24"/>
        </w:rPr>
        <w:t xml:space="preserve">存量</w:t>
      </w:r>
      <w:r>
        <w:rPr>
          <w:rFonts w:ascii="Times New Roman" w:hAnsi="Times New Roman" w:eastAsia="方正仿宋_GBK"/>
          <w:b w:val="0"/>
          <w:sz w:val="24"/>
        </w:rPr>
        <w:t xml:space="preserve">设备对应</w:t>
      </w:r>
      <w:r>
        <w:rPr>
          <w:rFonts w:ascii="Times New Roman" w:hAnsi="Times New Roman" w:eastAsia="方正仿宋_GBK"/>
          <w:b w:val="0"/>
          <w:sz w:val="24"/>
        </w:rPr>
        <w:t xml:space="preserve">2025年容载比</w:t>
      </w:r>
      <w:r>
        <w:rPr>
          <w:rFonts w:ascii="Times New Roman" w:hAnsi="Times New Roman" w:eastAsia="方正仿宋_GBK"/>
          <w:b w:val="0"/>
          <w:sz w:val="24"/>
        </w:rPr>
        <w:t xml:space="preserve">2.04，弹性方案追加37.00 MVA后</w:t>
      </w:r>
      <w:r>
        <w:rPr>
          <w:rFonts w:ascii="Times New Roman" w:hAnsi="Times New Roman" w:eastAsia="方正仿宋_GBK"/>
          <w:b w:val="0"/>
          <w:sz w:val="24"/>
        </w:rPr>
        <w:t xml:space="preserve">为</w:t>
      </w:r>
      <w:r>
        <w:rPr>
          <w:rFonts w:ascii="Times New Roman" w:hAnsi="Times New Roman" w:eastAsia="方正仿宋_GBK"/>
          <w:b w:val="0"/>
          <w:sz w:val="24"/>
        </w:rPr>
        <w:t xml:space="preserve">2</w:t>
      </w:r>
      <w:r>
        <w:rPr>
          <w:rFonts w:ascii="Times New Roman" w:hAnsi="Times New Roman" w:eastAsia="方正仿宋_GBK"/>
          <w:b w:val="0"/>
          <w:sz w:val="24"/>
        </w:rPr>
        <w:t xml:space="preserve">.</w:t>
      </w:r>
      <w:r>
        <w:rPr>
          <w:rFonts w:ascii="Times New Roman" w:hAnsi="Times New Roman" w:eastAsia="方正仿宋_GBK"/>
          <w:b w:val="0"/>
          <w:sz w:val="24"/>
        </w:rPr>
        <w:t xml:space="preserve">06</w:t>
      </w:r>
      <w:r>
        <w:rPr>
          <w:rFonts w:ascii="Times New Roman" w:hAnsi="Times New Roman" w:eastAsia="方正仿宋_GBK"/>
          <w:b w:val="0"/>
          <w:sz w:val="24"/>
        </w:rPr>
        <w:t xml:space="preserve">。</w:t>
      </w:r>
      <w:r>
        <w:rPr>
          <w:rFonts w:ascii="Times New Roman" w:hAnsi="Times New Roman" w:eastAsia="方正仿宋_GBK"/>
          <w:b w:val="0"/>
          <w:sz w:val="24"/>
        </w:rPr>
        <w:t xml:space="preserve">存</w:t>
      </w:r>
      <w:r>
        <w:rPr>
          <w:rFonts w:ascii="Times New Roman" w:hAnsi="Times New Roman" w:eastAsia="方正仿宋_GBK"/>
          <w:b w:val="0"/>
          <w:sz w:val="24"/>
        </w:rPr>
        <w:t xml:space="preserve">量</w:t>
      </w:r>
      <w:r>
        <w:rPr>
          <w:rFonts w:ascii="Times New Roman" w:hAnsi="Times New Roman" w:eastAsia="方正仿宋_GBK"/>
          <w:b w:val="0"/>
          <w:sz w:val="24"/>
        </w:rPr>
        <w:t xml:space="preserve">设备</w:t>
      </w:r>
      <w:r>
        <w:rPr>
          <w:rFonts w:ascii="Times New Roman" w:hAnsi="Times New Roman" w:eastAsia="方正仿宋_GBK"/>
          <w:b w:val="0"/>
          <w:sz w:val="24"/>
        </w:rPr>
        <w:t xml:space="preserve">与新增补强分别贡献</w:t>
      </w:r>
      <w:r>
        <w:rPr>
          <w:rFonts w:ascii="Times New Roman" w:hAnsi="Times New Roman" w:eastAsia="方正仿宋_GBK"/>
          <w:b w:val="0"/>
          <w:sz w:val="24"/>
        </w:rPr>
        <w:t xml:space="preserve">容量储备和局</w:t>
      </w:r>
      <w:r>
        <w:rPr>
          <w:rFonts w:ascii="Times New Roman" w:hAnsi="Times New Roman" w:eastAsia="方正仿宋_GBK"/>
          <w:b w:val="0"/>
          <w:sz w:val="24"/>
        </w:rPr>
        <w:t xml:space="preserve">部</w:t>
      </w:r>
      <w:r>
        <w:rPr>
          <w:rFonts w:ascii="Times New Roman" w:hAnsi="Times New Roman" w:eastAsia="方正仿宋_GBK"/>
          <w:b w:val="0"/>
          <w:sz w:val="24"/>
        </w:rPr>
        <w:t xml:space="preserve">供电能力，</w:t>
      </w:r>
      <w:r>
        <w:rPr>
          <w:rFonts w:ascii="Times New Roman" w:hAnsi="Times New Roman" w:eastAsia="方正仿宋_GBK"/>
          <w:b w:val="0"/>
          <w:sz w:val="24"/>
        </w:rPr>
        <w:t xml:space="preserve">翟山变</w:t>
      </w:r>
      <w:r>
        <w:rPr>
          <w:rFonts w:ascii="Times New Roman" w:hAnsi="Times New Roman" w:eastAsia="方正仿宋_GBK"/>
          <w:b w:val="0"/>
          <w:sz w:val="24"/>
        </w:rPr>
        <w:t xml:space="preserve">等站的具体任务</w:t>
      </w:r>
      <w:r>
        <w:rPr>
          <w:rFonts w:ascii="Times New Roman" w:hAnsi="Times New Roman" w:eastAsia="方正仿宋_GBK"/>
          <w:b w:val="0"/>
          <w:sz w:val="24"/>
        </w:rPr>
        <w:t xml:space="preserve">结合</w:t>
      </w:r>
      <w:r>
        <w:rPr>
          <w:rFonts w:ascii="Times New Roman" w:hAnsi="Times New Roman" w:eastAsia="方正仿宋_GBK"/>
          <w:b w:val="0"/>
          <w:sz w:val="24"/>
        </w:rPr>
        <w:t xml:space="preserve">逐站配置核对</w:t>
      </w:r>
      <w:r>
        <w:rPr>
          <w:rFonts w:ascii="Times New Roman" w:hAnsi="Times New Roman" w:eastAsia="方正仿宋_GBK"/>
          <w:b w:val="0"/>
          <w:sz w:val="24"/>
        </w:rPr>
        <w:t xml:space="preserve">。</w:t>
      </w:r>
    </w:p>
    <w:p w14:paraId="63AA8C50">
      <w:pPr>
        <w:pStyle w:val="2"/>
        <w:widowControl/>
        <w:spacing w:before="0" w:after="0" w:line="348" w:lineRule="exact"/>
        <w:ind w:firstLine="480"/>
        <w:jc w:val="both"/>
      </w:pPr>
      <w:r>
        <w:rPr>
          <w:rFonts w:ascii="Times New Roman" w:hAnsi="Times New Roman" w:eastAsia="方正仿宋_GBK"/>
          <w:b w:val="0"/>
          <w:sz w:val="24"/>
        </w:rPr>
        <w:t>第6.2.2.1条a项允许在表中建议范围内无法满足供电安全准则时，结合实际情况适当提高容载比，c项要求加强中压配电网联络、增加转供能力，合理确定规划区域容载比[8]。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14:paraId="76F55F34">
      <w:pPr>
        <w:pStyle w:val="5"/>
        <w:keepNext/>
        <w:numPr>
          <w:ilvl w:val="0"/>
          <w:numId w:val="0"/>
        </w:numPr>
        <w:spacing w:before="160" w:after="120" w:line="390" w:lineRule="exact"/>
        <w:ind w:firstLine="0"/>
      </w:pPr>
      <w:bookmarkStart w:id="199" w:name="建设规模与费用比较"/>
      <w:r>
        <w:rPr>
          <w:rFonts w:ascii="Times New Roman" w:hAnsi="Times New Roman" w:eastAsia="方正仿宋_GBK"/>
          <w:b/>
          <w:sz w:val="26"/>
        </w:rPr>
        <w:t>5.4.4 建设规模与费用比较</w:t>
      </w:r>
      <w:bookmarkEnd w:id="199"/>
    </w:p>
    <w:p w14:paraId="317F8242">
      <w:pPr>
        <w:pStyle w:val="115"/>
        <w:widowControl/>
        <w:spacing w:before="0" w:after="0" w:line="348" w:lineRule="exact"/>
        <w:ind w:firstLine="480"/>
        <w:jc w:val="both"/>
      </w:pPr>
      <w:r>
        <w:rPr>
          <w:rFonts w:ascii="Times New Roman" w:hAnsi="Times New Roman" w:eastAsia="方正仿宋_GBK"/>
          <w:b w:val="0"/>
          <w:sz w:val="24"/>
        </w:rPr>
        <w:t xml:space="preserve">两地区</w:t>
      </w:r>
      <w:r>
        <w:rPr>
          <w:rFonts w:ascii="Times New Roman" w:hAnsi="Times New Roman" w:eastAsia="方正仿宋_GBK"/>
          <w:b w:val="0"/>
          <w:sz w:val="24"/>
        </w:rPr>
        <w:t xml:space="preserve">2022—2035年新增工程按共同2041年评价截止期折现，</w:t>
      </w:r>
      <w:r>
        <w:rPr>
          <w:rFonts w:ascii="Times New Roman" w:hAnsi="Times New Roman" w:eastAsia="方正仿宋_GBK"/>
          <w:b w:val="0"/>
          <w:sz w:val="24"/>
        </w:rPr>
        <w:t xml:space="preserve">刚性</w:t>
      </w:r>
      <w:r>
        <w:rPr>
          <w:rFonts w:ascii="Times New Roman" w:hAnsi="Times New Roman" w:eastAsia="方正仿宋_GBK"/>
          <w:b w:val="0"/>
          <w:sz w:val="24"/>
        </w:rPr>
        <w:t xml:space="preserve">方案费用现值合计</w:t>
      </w:r>
      <w:r>
        <w:rPr>
          <w:rFonts w:ascii="Times New Roman" w:hAnsi="Times New Roman" w:eastAsia="方正仿宋_GBK"/>
          <w:b w:val="0"/>
          <w:sz w:val="24"/>
        </w:rPr>
        <w:t xml:space="preserve">9</w:t>
      </w:r>
      <w:r>
        <w:rPr>
          <w:rFonts w:ascii="Times New Roman" w:hAnsi="Times New Roman" w:eastAsia="方正仿宋_GBK"/>
          <w:b w:val="0"/>
          <w:sz w:val="24"/>
        </w:rPr>
        <w:t xml:space="preserve">8</w:t>
      </w:r>
      <w:r>
        <w:rPr>
          <w:rFonts w:ascii="Times New Roman" w:hAnsi="Times New Roman" w:eastAsia="方正仿宋_GBK"/>
          <w:b w:val="0"/>
          <w:sz w:val="24"/>
        </w:rPr>
        <w:t xml:space="preserve">006</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3万元，弹性为</w:t>
      </w:r>
      <w:r>
        <w:rPr>
          <w:rFonts w:ascii="Times New Roman" w:hAnsi="Times New Roman" w:eastAsia="方正仿宋_GBK"/>
          <w:b w:val="0"/>
          <w:sz w:val="24"/>
        </w:rPr>
        <w:t xml:space="preserve">95</w:t>
      </w:r>
      <w:r>
        <w:rPr>
          <w:rFonts w:ascii="Times New Roman" w:hAnsi="Times New Roman" w:eastAsia="方正仿宋_GBK"/>
          <w:b w:val="0"/>
          <w:sz w:val="24"/>
        </w:rPr>
        <w:t xml:space="preserve">1</w:t>
      </w:r>
      <w:r>
        <w:rPr>
          <w:rFonts w:ascii="Times New Roman" w:hAnsi="Times New Roman" w:eastAsia="方正仿宋_GBK"/>
          <w:b w:val="0"/>
          <w:sz w:val="24"/>
        </w:rPr>
        <w:t xml:space="preserve">07.8</w:t>
      </w:r>
      <w:r>
        <w:rPr>
          <w:rFonts w:ascii="Times New Roman" w:hAnsi="Times New Roman" w:eastAsia="方正仿宋_GBK"/>
          <w:b w:val="0"/>
          <w:sz w:val="24"/>
        </w:rPr>
        <w:t xml:space="preserve">6</w:t>
      </w:r>
      <w:r>
        <w:rPr>
          <w:rFonts w:ascii="Times New Roman" w:hAnsi="Times New Roman" w:eastAsia="方正仿宋_GBK"/>
          <w:b w:val="0"/>
          <w:sz w:val="24"/>
        </w:rPr>
        <w:t xml:space="preserve">万元，减少</w:t>
      </w:r>
      <w:r>
        <w:rPr>
          <w:rFonts w:ascii="Times New Roman" w:hAnsi="Times New Roman" w:eastAsia="方正仿宋_GBK"/>
          <w:b w:val="0"/>
          <w:sz w:val="24"/>
        </w:rPr>
        <w:t xml:space="preserve">28</w:t>
      </w:r>
      <w:r>
        <w:rPr>
          <w:rFonts w:ascii="Times New Roman" w:hAnsi="Times New Roman" w:eastAsia="方正仿宋_GBK"/>
          <w:b w:val="0"/>
          <w:sz w:val="24"/>
        </w:rPr>
        <w:t xml:space="preserve">9</w:t>
      </w:r>
      <w:r>
        <w:rPr>
          <w:rFonts w:ascii="Times New Roman" w:hAnsi="Times New Roman" w:eastAsia="方正仿宋_GBK"/>
          <w:b w:val="0"/>
          <w:sz w:val="24"/>
        </w:rPr>
        <w:t xml:space="preserve">8</w:t>
      </w:r>
      <w:r>
        <w:rPr>
          <w:rFonts w:ascii="Times New Roman" w:hAnsi="Times New Roman" w:eastAsia="方正仿宋_GBK"/>
          <w:b w:val="0"/>
          <w:sz w:val="24"/>
        </w:rPr>
        <w:t xml:space="preserve">.</w:t>
      </w:r>
      <w:r>
        <w:rPr>
          <w:rFonts w:ascii="Times New Roman" w:hAnsi="Times New Roman" w:eastAsia="方正仿宋_GBK"/>
          <w:b w:val="0"/>
          <w:sz w:val="24"/>
        </w:rPr>
        <w:t xml:space="preserve">67</w:t>
      </w:r>
      <w:r>
        <w:rPr>
          <w:rFonts w:ascii="Times New Roman" w:hAnsi="Times New Roman" w:eastAsia="方正仿宋_GBK"/>
          <w:b w:val="0"/>
          <w:sz w:val="24"/>
        </w:rPr>
        <w:t xml:space="preserve">万元，降幅</w:t>
      </w:r>
      <w:r>
        <w:rPr>
          <w:rFonts w:ascii="Times New Roman" w:hAnsi="Times New Roman" w:eastAsia="方正仿宋_GBK"/>
          <w:b w:val="0"/>
          <w:sz w:val="24"/>
        </w:rPr>
        <w:t xml:space="preserve">2</w:t>
      </w:r>
      <w:r>
        <w:rPr>
          <w:rFonts w:ascii="Times New Roman" w:hAnsi="Times New Roman" w:eastAsia="方正仿宋_GBK"/>
          <w:b w:val="0"/>
          <w:sz w:val="24"/>
        </w:rPr>
        <w:t xml:space="preserve">.96</w:t>
      </w:r>
      <w:r>
        <w:rPr>
          <w:rFonts w:ascii="Times New Roman" w:hAnsi="Times New Roman" w:eastAsia="方正仿宋_GBK"/>
          <w:b w:val="0"/>
          <w:sz w:val="24"/>
        </w:rPr>
        <w:t xml:space="preserve">%。</w:t>
      </w:r>
    </w:p>
    <w:p w14:paraId="574786D8">
      <w:pPr>
        <w:pStyle w:val="2"/>
        <w:keepNext/>
        <w:spacing w:before="120" w:after="80" w:line="280" w:lineRule="exact"/>
        <w:ind w:firstLine="0"/>
        <w:jc w:val="center"/>
      </w:pPr>
      <w:r>
        <w:rPr>
          <w:rFonts w:ascii="Times New Roman" w:hAnsi="Times New Roman" w:eastAsia="宋体"/>
          <w:b w:val="0"/>
          <w:sz w:val="21"/>
        </w:rPr>
        <w:t xml:space="preserve">表5-9 两地区</w:t>
      </w:r>
      <w:r>
        <w:rPr>
          <w:rFonts w:ascii="Times New Roman" w:hAnsi="Times New Roman" w:eastAsia="宋体"/>
          <w:b w:val="0"/>
          <w:sz w:val="21"/>
        </w:rPr>
        <w:t xml:space="preserve">2022—2035年新增</w:t>
      </w:r>
      <w:r>
        <w:rPr>
          <w:rFonts w:ascii="Times New Roman" w:hAnsi="Times New Roman" w:eastAsia="宋体"/>
          <w:b w:val="0"/>
          <w:sz w:val="21"/>
        </w:rPr>
        <w:t xml:space="preserve">方案费用比较</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58369.68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57521.36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39636.85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37586.50</w:t>
            </w:r>
          </w:p>
        </w:tc>
      </w:tr>
    </w:tbl>
    <w:p w14:paraId="5D40119F">
      <w:pPr>
        <w:pStyle w:val="2"/>
        <w:keepNext/>
        <w:spacing w:before="120" w:after="80" w:line="280" w:lineRule="exact"/>
        <w:ind w:firstLine="0"/>
        <w:jc w:val="center"/>
      </w:pPr>
      <w:r>
        <w:rPr>
          <w:rFonts w:ascii="Times New Roman" w:hAnsi="Times New Roman" w:eastAsia="宋体"/>
          <w:b w:val="0"/>
          <w:sz w:val="21"/>
        </w:rPr>
        <w:t xml:space="preserve">表5-10 20</w:t>
      </w:r>
      <w:r>
        <w:rPr>
          <w:rFonts w:ascii="Times New Roman" w:hAnsi="Times New Roman" w:eastAsia="宋体"/>
          <w:b w:val="0"/>
          <w:sz w:val="21"/>
        </w:rPr>
        <w:t xml:space="preserve">3</w:t>
      </w:r>
      <w:r>
        <w:rPr>
          <w:rFonts w:ascii="Times New Roman" w:hAnsi="Times New Roman" w:eastAsia="宋体"/>
          <w:b w:val="0"/>
          <w:sz w:val="21"/>
        </w:rPr>
        <w:t xml:space="preserve">5年在役措施及累计建设规模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2678.00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1163.00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264.30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568.25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2901.00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1457.50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253.80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545.67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3587.00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1183.00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43.20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92.88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1542.00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109.65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w:t>
            </w:r>
          </w:p>
        </w:tc>
      </w:tr>
    </w:tbl>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2926080"/>
            <wp:effectExtent b="0" l="0" r="0" t="0"/>
            <wp:docPr descr="" title="" id="89"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ReportRevision7"/>
                    <a:stretch>
                      <a:fillRect/>
                    </a:stretch>
                  </pic:blipFill>
                  <pic:spPr bwMode="auto">
                    <a:xfrm>
                      <a:off x="0" y="0"/>
                      <a:ext cx="5120640" cy="2926080"/>
                    </a:xfrm>
                    <a:prstGeom prst="rect">
                      <a:avLst/>
                    </a:prstGeom>
                    <a:noFill/>
                    <a:ln w="9525">
                      <a:noFill/>
                      <a:headEnd/>
                      <a:tailEnd/>
                    </a:ln>
                  </pic:spPr>
                </pic:pic>
              </a:graphicData>
            </a:graphic>
          </wp:inline>
        </w:drawing>
      </w:r>
    </w:p>
    <w:p w14:paraId="5F317B29">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图5-4 各方案新增措施评价期费用现值</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2560320"/>
            <wp:effectExtent b="0" l="0" r="0" t="0"/>
            <wp:docPr descr="" title="" id="90"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ReportRevision8"/>
                    <a:stretch>
                      <a:fillRect/>
                    </a:stretch>
                  </pic:blipFill>
                  <pic:spPr bwMode="auto">
                    <a:xfrm>
                      <a:off x="0" y="0"/>
                      <a:ext cx="5120640" cy="2560320"/>
                    </a:xfrm>
                    <a:prstGeom prst="rect">
                      <a:avLst/>
                    </a:prstGeom>
                    <a:noFill/>
                    <a:ln w="9525">
                      <a:noFill/>
                      <a:headEnd/>
                      <a:tailEnd/>
                    </a:ln>
                  </pic:spPr>
                </pic:pic>
              </a:graphicData>
            </a:graphic>
          </wp:inline>
        </w:drawing>
      </w:r>
    </w:p>
    <w:p w14:paraId="64351692">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图5-5 主变新购容量与储能额定能量</w:t>
      </w:r>
    </w:p>
    <w:p w14:paraId="609BFE67">
      <w:pPr>
        <w:pStyle w:val="2"/>
        <w:widowControl/>
        <w:spacing w:before="0" w:after="0" w:line="348" w:lineRule="exact"/>
        <w:ind w:firstLine="480"/>
        <w:jc w:val="both"/>
      </w:pPr>
      <w:r>
        <w:rPr>
          <w:rFonts w:ascii="Times New Roman" w:hAnsi="Times New Roman" w:eastAsia="方正仿宋_GBK"/>
          <w:b w:val="0"/>
          <w:sz w:val="24"/>
        </w:rPr>
        <w:t xml:space="preserve">两地区均</w:t>
      </w:r>
      <w:r>
        <w:rPr>
          <w:rFonts w:ascii="Times New Roman" w:hAnsi="Times New Roman" w:eastAsia="方正仿宋_GBK"/>
          <w:b w:val="0"/>
          <w:sz w:val="24"/>
        </w:rPr>
        <w:t xml:space="preserve">以2021年实际容量为</w:t>
      </w:r>
      <w:r>
        <w:rPr>
          <w:rFonts w:ascii="Times New Roman" w:hAnsi="Times New Roman" w:eastAsia="方正仿宋_GBK"/>
          <w:b w:val="0"/>
          <w:sz w:val="24"/>
        </w:rPr>
        <w:t xml:space="preserve">共同</w:t>
      </w:r>
      <w:r>
        <w:rPr>
          <w:rFonts w:ascii="Times New Roman" w:hAnsi="Times New Roman" w:eastAsia="方正仿宋_GBK"/>
          <w:b w:val="0"/>
          <w:sz w:val="24"/>
        </w:rPr>
        <w:t xml:space="preserve">起点</w:t>
      </w:r>
      <w:r>
        <w:rPr>
          <w:rFonts w:ascii="Times New Roman" w:hAnsi="Times New Roman" w:eastAsia="方正仿宋_GBK"/>
          <w:b w:val="0"/>
          <w:sz w:val="24"/>
        </w:rPr>
        <w:t xml:space="preserve">。2022—2035</w:t>
      </w:r>
      <w:r>
        <w:rPr>
          <w:rFonts w:ascii="Times New Roman" w:hAnsi="Times New Roman" w:eastAsia="方正仿宋_GBK"/>
          <w:b w:val="0"/>
          <w:sz w:val="24"/>
        </w:rPr>
        <w:t xml:space="preserve">年</w:t>
      </w:r>
      <w:r>
        <w:rPr>
          <w:rFonts w:ascii="Times New Roman" w:hAnsi="Times New Roman" w:eastAsia="方正仿宋_GBK"/>
          <w:b w:val="0"/>
          <w:sz w:val="24"/>
        </w:rPr>
        <w:t xml:space="preserve">的</w:t>
      </w:r>
      <w:r>
        <w:rPr>
          <w:rFonts w:ascii="Times New Roman" w:hAnsi="Times New Roman" w:eastAsia="方正仿宋_GBK"/>
          <w:b w:val="0"/>
          <w:sz w:val="24"/>
        </w:rPr>
        <w:t xml:space="preserve">必要补强</w:t>
      </w:r>
      <w:r>
        <w:rPr>
          <w:rFonts w:ascii="Times New Roman" w:hAnsi="Times New Roman" w:eastAsia="方正仿宋_GBK"/>
          <w:b w:val="0"/>
          <w:sz w:val="24"/>
        </w:rPr>
        <w:t xml:space="preserve">按当年实际采购和投运批次</w:t>
      </w:r>
      <w:r>
        <w:rPr>
          <w:rFonts w:ascii="Times New Roman" w:hAnsi="Times New Roman" w:eastAsia="方正仿宋_GBK"/>
          <w:b w:val="0"/>
          <w:sz w:val="24"/>
        </w:rPr>
        <w:t xml:space="preserve">计入建设投资，既有转供受逐站资料上限约束，新增联络按地区电缆长度占比计价。在</w:t>
      </w:r>
      <w:r>
        <w:rPr>
          <w:rFonts w:ascii="Times New Roman" w:hAnsi="Times New Roman" w:eastAsia="方正仿宋_GBK"/>
          <w:b w:val="0"/>
          <w:sz w:val="24"/>
        </w:rPr>
        <w:t xml:space="preserve">相同</w:t>
      </w:r>
      <w:r>
        <w:rPr>
          <w:rFonts w:ascii="Times New Roman" w:hAnsi="Times New Roman" w:eastAsia="方正仿宋_GBK"/>
          <w:b w:val="0"/>
          <w:sz w:val="24"/>
        </w:rPr>
        <w:t xml:space="preserve">年度源荷和安全计算</w:t>
      </w:r>
      <w:r>
        <w:rPr>
          <w:rFonts w:ascii="Times New Roman" w:hAnsi="Times New Roman" w:eastAsia="方正仿宋_GBK"/>
          <w:b w:val="0"/>
          <w:sz w:val="24"/>
        </w:rPr>
        <w:t xml:space="preserve">条件下</w:t>
      </w:r>
      <w:r>
        <w:rPr>
          <w:rFonts w:ascii="Times New Roman" w:hAnsi="Times New Roman" w:eastAsia="方正仿宋_GBK"/>
          <w:b w:val="0"/>
          <w:sz w:val="24"/>
        </w:rPr>
        <w:t xml:space="preserve">比较</w:t>
      </w:r>
      <w:r>
        <w:rPr>
          <w:rFonts w:ascii="Times New Roman" w:hAnsi="Times New Roman" w:eastAsia="方正仿宋_GBK"/>
          <w:b w:val="0"/>
          <w:sz w:val="24"/>
        </w:rPr>
        <w:t xml:space="preserve">具体可行方案费用。</w:t>
      </w:r>
    </w:p>
    <w:p w14:paraId="08AD2260">
      <w:pPr>
        <w:pStyle w:val="2"/>
        <w:keepNext/>
        <w:spacing w:before="120" w:after="80" w:line="280" w:lineRule="exact"/>
        <w:ind w:firstLine="0"/>
        <w:jc w:val="center"/>
      </w:pPr>
      <w:r>
        <w:rPr>
          <w:rFonts w:ascii="Times New Roman" w:hAnsi="Times New Roman" w:eastAsia="宋体"/>
          <w:b w:val="0"/>
          <w:sz w:val="21"/>
        </w:rPr>
        <w:t>表5-11 主变、储能及联络费用现值</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14938.49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38108.23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5322.97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58369.68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23290.49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32491.48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1739.39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57521.36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13399.40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5389.71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20847.73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39636.85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22928.25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8657.65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37586.50</w:t>
            </w:r>
          </w:p>
        </w:tc>
      </w:tr>
    </w:tbl>
    <w:p w14:paraId="3393E67A">
      <w:pPr>
        <w:pStyle w:val="2"/>
        <w:widowControl/>
        <w:spacing w:before="0" w:after="0" w:line="348" w:lineRule="exact"/>
        <w:ind w:firstLine="480"/>
        <w:jc w:val="both"/>
      </w:pPr>
      <w:r>
        <w:rPr>
          <w:rFonts w:ascii="Times New Roman" w:hAnsi="Times New Roman" w:eastAsia="方正仿宋_GBK"/>
          <w:b w:val="0"/>
          <w:sz w:val="24"/>
        </w:rPr>
        <w:t xml:space="preserve">邳州弹性方案</w:t>
      </w:r>
      <w:r>
        <w:rPr>
          <w:rFonts w:ascii="Times New Roman" w:hAnsi="Times New Roman" w:eastAsia="方正仿宋_GBK"/>
          <w:b w:val="0"/>
          <w:sz w:val="24"/>
        </w:rPr>
        <w:t xml:space="preserve">相对刚性的费用变化为</w:t>
      </w:r>
      <w:r>
        <w:rPr>
          <w:rFonts w:ascii="Times New Roman" w:hAnsi="Times New Roman" w:eastAsia="方正仿宋_GBK"/>
          <w:b w:val="0"/>
          <w:sz w:val="24"/>
        </w:rPr>
        <w:t xml:space="preserve">主变</w:t>
      </w:r>
      <w:r>
        <w:rPr>
          <w:rFonts w:ascii="Times New Roman" w:hAnsi="Times New Roman" w:eastAsia="方正仿宋_GBK"/>
          <w:b w:val="0"/>
          <w:sz w:val="24"/>
        </w:rPr>
        <w:t xml:space="preserve">增加</w:t>
      </w:r>
      <w:r>
        <w:rPr>
          <w:rFonts w:ascii="Times New Roman" w:hAnsi="Times New Roman" w:eastAsia="方正仿宋_GBK"/>
          <w:b w:val="0"/>
          <w:sz w:val="24"/>
        </w:rPr>
        <w:t xml:space="preserve">8</w:t>
      </w:r>
      <w:r>
        <w:rPr>
          <w:rFonts w:ascii="Times New Roman" w:hAnsi="Times New Roman" w:eastAsia="方正仿宋_GBK"/>
          <w:b w:val="0"/>
          <w:sz w:val="24"/>
        </w:rPr>
        <w:t xml:space="preserve">3</w:t>
      </w:r>
      <w:r>
        <w:rPr>
          <w:rFonts w:ascii="Times New Roman" w:hAnsi="Times New Roman" w:eastAsia="方正仿宋_GBK"/>
          <w:b w:val="0"/>
          <w:sz w:val="24"/>
        </w:rPr>
        <w:t xml:space="preserve">52</w:t>
      </w:r>
      <w:r>
        <w:rPr>
          <w:rFonts w:ascii="Times New Roman" w:hAnsi="Times New Roman" w:eastAsia="方正仿宋_GBK"/>
          <w:b w:val="0"/>
          <w:sz w:val="24"/>
        </w:rPr>
        <w:t xml:space="preserve">.0</w:t>
      </w:r>
      <w:r>
        <w:rPr>
          <w:rFonts w:ascii="Times New Roman" w:hAnsi="Times New Roman" w:eastAsia="方正仿宋_GBK"/>
          <w:b w:val="0"/>
          <w:sz w:val="24"/>
        </w:rPr>
        <w:t xml:space="preserve">1</w:t>
      </w:r>
      <w:r>
        <w:rPr>
          <w:rFonts w:ascii="Times New Roman" w:hAnsi="Times New Roman" w:eastAsia="方正仿宋_GBK"/>
          <w:b w:val="0"/>
          <w:sz w:val="24"/>
        </w:rPr>
        <w:t xml:space="preserve">万元、</w:t>
      </w:r>
      <w:r>
        <w:rPr>
          <w:rFonts w:ascii="Times New Roman" w:hAnsi="Times New Roman" w:eastAsia="方正仿宋_GBK"/>
          <w:b w:val="0"/>
          <w:sz w:val="24"/>
        </w:rPr>
        <w:t xml:space="preserve">储能减少5616.7</w:t>
      </w:r>
      <w:r>
        <w:rPr>
          <w:rFonts w:ascii="Times New Roman" w:hAnsi="Times New Roman" w:eastAsia="方正仿宋_GBK"/>
          <w:b w:val="0"/>
          <w:sz w:val="24"/>
        </w:rPr>
        <w:t xml:space="preserve">4</w:t>
      </w:r>
      <w:r>
        <w:rPr>
          <w:rFonts w:ascii="Times New Roman" w:hAnsi="Times New Roman" w:eastAsia="方正仿宋_GBK"/>
          <w:b w:val="0"/>
          <w:sz w:val="24"/>
        </w:rPr>
        <w:t xml:space="preserve">万元、联络减少3</w:t>
      </w:r>
      <w:r>
        <w:rPr>
          <w:rFonts w:ascii="Times New Roman" w:hAnsi="Times New Roman" w:eastAsia="方正仿宋_GBK"/>
          <w:b w:val="0"/>
          <w:sz w:val="24"/>
        </w:rPr>
        <w:t xml:space="preserve">5</w:t>
      </w:r>
      <w:r>
        <w:rPr>
          <w:rFonts w:ascii="Times New Roman" w:hAnsi="Times New Roman" w:eastAsia="方正仿宋_GBK"/>
          <w:b w:val="0"/>
          <w:sz w:val="24"/>
        </w:rPr>
        <w:t xml:space="preserve">83</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9</w:t>
      </w:r>
      <w:r>
        <w:rPr>
          <w:rFonts w:ascii="Times New Roman" w:hAnsi="Times New Roman" w:eastAsia="方正仿宋_GBK"/>
          <w:b w:val="0"/>
          <w:sz w:val="24"/>
        </w:rPr>
        <w:t xml:space="preserve">万元，合计减少</w:t>
      </w:r>
      <w:r>
        <w:rPr>
          <w:rFonts w:ascii="Times New Roman" w:hAnsi="Times New Roman" w:eastAsia="方正仿宋_GBK"/>
          <w:b w:val="0"/>
          <w:sz w:val="24"/>
        </w:rPr>
        <w:t xml:space="preserve">8</w:t>
      </w:r>
      <w:r>
        <w:rPr>
          <w:rFonts w:ascii="Times New Roman" w:hAnsi="Times New Roman" w:eastAsia="方正仿宋_GBK"/>
          <w:b w:val="0"/>
          <w:sz w:val="24"/>
        </w:rPr>
        <w:t xml:space="preserve">4</w:t>
      </w:r>
      <w:r>
        <w:rPr>
          <w:rFonts w:ascii="Times New Roman" w:hAnsi="Times New Roman" w:eastAsia="方正仿宋_GBK"/>
          <w:b w:val="0"/>
          <w:sz w:val="24"/>
        </w:rPr>
        <w:t xml:space="preserve">8.</w:t>
      </w:r>
      <w:r>
        <w:rPr>
          <w:rFonts w:ascii="Times New Roman" w:hAnsi="Times New Roman" w:eastAsia="方正仿宋_GBK"/>
          <w:b w:val="0"/>
          <w:sz w:val="24"/>
        </w:rPr>
        <w:t xml:space="preserve">3</w:t>
      </w:r>
      <w:r>
        <w:rPr>
          <w:rFonts w:ascii="Times New Roman" w:hAnsi="Times New Roman" w:eastAsia="方正仿宋_GBK"/>
          <w:b w:val="0"/>
          <w:sz w:val="24"/>
        </w:rPr>
        <w:t xml:space="preserve">2</w:t>
      </w:r>
      <w:r>
        <w:rPr>
          <w:rFonts w:ascii="Times New Roman" w:hAnsi="Times New Roman" w:eastAsia="方正仿宋_GBK"/>
          <w:b w:val="0"/>
          <w:sz w:val="24"/>
        </w:rPr>
        <w:t xml:space="preserve">万元。</w:t>
      </w:r>
      <w:r>
        <w:rPr>
          <w:rFonts w:ascii="Times New Roman" w:hAnsi="Times New Roman" w:eastAsia="方正仿宋_GBK"/>
          <w:b w:val="0"/>
          <w:sz w:val="24"/>
        </w:rPr>
        <w:t xml:space="preserve">费用差</w:t>
      </w:r>
      <w:r>
        <w:rPr>
          <w:rFonts w:ascii="Times New Roman" w:hAnsi="Times New Roman" w:eastAsia="方正仿宋_GBK"/>
          <w:b w:val="0"/>
          <w:sz w:val="24"/>
        </w:rPr>
        <w:t xml:space="preserve">由各</w:t>
      </w:r>
      <w:r>
        <w:rPr>
          <w:rFonts w:ascii="Times New Roman" w:hAnsi="Times New Roman" w:eastAsia="方正仿宋_GBK"/>
          <w:b w:val="0"/>
          <w:sz w:val="24"/>
        </w:rPr>
        <w:t xml:space="preserve">年</w:t>
      </w:r>
      <w:r>
        <w:rPr>
          <w:rFonts w:ascii="Times New Roman" w:hAnsi="Times New Roman" w:eastAsia="方正仿宋_GBK"/>
          <w:b w:val="0"/>
          <w:sz w:val="24"/>
        </w:rPr>
        <w:t xml:space="preserve">度实际采购及投运批次</w:t>
      </w:r>
      <w:r>
        <w:rPr>
          <w:rFonts w:ascii="Times New Roman" w:hAnsi="Times New Roman" w:eastAsia="方正仿宋_GBK"/>
          <w:b w:val="0"/>
          <w:sz w:val="24"/>
        </w:rPr>
        <w:t xml:space="preserve">形成</w:t>
      </w:r>
      <w:r>
        <w:rPr>
          <w:rFonts w:ascii="Times New Roman" w:hAnsi="Times New Roman" w:eastAsia="方正仿宋_GBK"/>
          <w:b w:val="0"/>
          <w:sz w:val="24"/>
        </w:rPr>
        <w:t xml:space="preserve">，具体替代关系结合逐站设备与通道配置分析</w:t>
      </w:r>
      <w:r>
        <w:rPr>
          <w:rFonts w:ascii="Times New Roman" w:hAnsi="Times New Roman" w:eastAsia="方正仿宋_GBK"/>
          <w:b w:val="0"/>
          <w:sz w:val="24"/>
        </w:rPr>
        <w:t xml:space="preserve">。</w:t>
      </w:r>
    </w:p>
    <w:p w14:paraId="77DEC3C2">
      <w:pPr>
        <w:pStyle w:val="2"/>
        <w:widowControl/>
        <w:spacing w:before="0" w:after="0" w:line="348" w:lineRule="exact"/>
        <w:ind w:firstLine="480"/>
        <w:jc w:val="both"/>
      </w:pPr>
      <w:r>
        <w:rPr>
          <w:rFonts w:ascii="Times New Roman" w:hAnsi="Times New Roman" w:eastAsia="方正仿宋_GBK"/>
          <w:b w:val="0"/>
          <w:sz w:val="24"/>
        </w:rPr>
        <w:t xml:space="preserve">市区弹性方案</w:t>
      </w:r>
      <w:r>
        <w:rPr>
          <w:rFonts w:ascii="Times New Roman" w:hAnsi="Times New Roman" w:eastAsia="方正仿宋_GBK"/>
          <w:b w:val="0"/>
          <w:sz w:val="24"/>
        </w:rPr>
        <w:t xml:space="preserve">相对刚性的费用变化为主变增加9528</w:t>
      </w:r>
      <w:r>
        <w:rPr>
          <w:rFonts w:ascii="Times New Roman" w:hAnsi="Times New Roman" w:eastAsia="方正仿宋_GBK"/>
          <w:b w:val="0"/>
          <w:sz w:val="24"/>
        </w:rPr>
        <w:t xml:space="preserve">.</w:t>
      </w:r>
      <w:r>
        <w:rPr>
          <w:rFonts w:ascii="Times New Roman" w:hAnsi="Times New Roman" w:eastAsia="方正仿宋_GBK"/>
          <w:b w:val="0"/>
          <w:sz w:val="24"/>
        </w:rPr>
        <w:t xml:space="preserve">85</w:t>
      </w:r>
      <w:r>
        <w:rPr>
          <w:rFonts w:ascii="Times New Roman" w:hAnsi="Times New Roman" w:eastAsia="方正仿宋_GBK"/>
          <w:b w:val="0"/>
          <w:sz w:val="24"/>
        </w:rPr>
        <w:t xml:space="preserve">万元</w:t>
      </w:r>
      <w:r>
        <w:rPr>
          <w:rFonts w:ascii="Times New Roman" w:hAnsi="Times New Roman" w:eastAsia="方正仿宋_GBK"/>
          <w:b w:val="0"/>
          <w:sz w:val="24"/>
        </w:rPr>
        <w:t xml:space="preserve">、储能增加610.8</w:t>
      </w:r>
      <w:r>
        <w:rPr>
          <w:rFonts w:ascii="Times New Roman" w:hAnsi="Times New Roman" w:eastAsia="方正仿宋_GBK"/>
          <w:b w:val="0"/>
          <w:sz w:val="24"/>
        </w:rPr>
        <w:t xml:space="preserve">9</w:t>
      </w:r>
      <w:r>
        <w:rPr>
          <w:rFonts w:ascii="Times New Roman" w:hAnsi="Times New Roman" w:eastAsia="方正仿宋_GBK"/>
          <w:b w:val="0"/>
          <w:sz w:val="24"/>
        </w:rPr>
        <w:t xml:space="preserve">万元</w:t>
      </w:r>
      <w:r>
        <w:rPr>
          <w:rFonts w:ascii="Times New Roman" w:hAnsi="Times New Roman" w:eastAsia="方正仿宋_GBK"/>
          <w:b w:val="0"/>
          <w:sz w:val="24"/>
        </w:rPr>
        <w:t xml:space="preserve">、</w:t>
      </w:r>
      <w:r>
        <w:rPr>
          <w:rFonts w:ascii="Times New Roman" w:hAnsi="Times New Roman" w:eastAsia="方正仿宋_GBK"/>
          <w:b w:val="0"/>
          <w:sz w:val="24"/>
        </w:rPr>
        <w:t xml:space="preserve">联络</w:t>
      </w:r>
      <w:r>
        <w:rPr>
          <w:rFonts w:ascii="Times New Roman" w:hAnsi="Times New Roman" w:eastAsia="方正仿宋_GBK"/>
          <w:b w:val="0"/>
          <w:sz w:val="24"/>
        </w:rPr>
        <w:t xml:space="preserve">减少12190.08万元</w:t>
      </w:r>
      <w:r>
        <w:rPr>
          <w:rFonts w:ascii="Times New Roman" w:hAnsi="Times New Roman" w:eastAsia="方正仿宋_GBK"/>
          <w:b w:val="0"/>
          <w:sz w:val="24"/>
        </w:rPr>
        <w:t xml:space="preserve">，合计减少</w:t>
      </w:r>
      <w:r>
        <w:rPr>
          <w:rFonts w:ascii="Times New Roman" w:hAnsi="Times New Roman" w:eastAsia="方正仿宋_GBK"/>
          <w:b w:val="0"/>
          <w:sz w:val="24"/>
        </w:rPr>
        <w:t xml:space="preserve">20</w:t>
      </w:r>
      <w:r>
        <w:rPr>
          <w:rFonts w:ascii="Times New Roman" w:hAnsi="Times New Roman" w:eastAsia="方正仿宋_GBK"/>
          <w:b w:val="0"/>
          <w:sz w:val="24"/>
        </w:rPr>
        <w:t xml:space="preserve">5</w:t>
      </w:r>
      <w:r>
        <w:rPr>
          <w:rFonts w:ascii="Times New Roman" w:hAnsi="Times New Roman" w:eastAsia="方正仿宋_GBK"/>
          <w:b w:val="0"/>
          <w:sz w:val="24"/>
        </w:rPr>
        <w:t xml:space="preserve">0</w:t>
      </w:r>
      <w:r>
        <w:rPr>
          <w:rFonts w:ascii="Times New Roman" w:hAnsi="Times New Roman" w:eastAsia="方正仿宋_GBK"/>
          <w:b w:val="0"/>
          <w:sz w:val="24"/>
        </w:rPr>
        <w:t xml:space="preserve">.</w:t>
      </w:r>
      <w:r>
        <w:rPr>
          <w:rFonts w:ascii="Times New Roman" w:hAnsi="Times New Roman" w:eastAsia="方正仿宋_GBK"/>
          <w:b w:val="0"/>
          <w:sz w:val="24"/>
        </w:rPr>
        <w:t xml:space="preserve">3</w:t>
      </w:r>
      <w:r>
        <w:rPr>
          <w:rFonts w:ascii="Times New Roman" w:hAnsi="Times New Roman" w:eastAsia="方正仿宋_GBK"/>
          <w:b w:val="0"/>
          <w:sz w:val="24"/>
        </w:rPr>
        <w:t xml:space="preserve">5</w:t>
      </w:r>
      <w:r>
        <w:rPr>
          <w:rFonts w:ascii="Times New Roman" w:hAnsi="Times New Roman" w:eastAsia="方正仿宋_GBK"/>
          <w:b w:val="0"/>
          <w:sz w:val="24"/>
        </w:rPr>
        <w:t xml:space="preserve">万元。</w:t>
      </w:r>
      <w:r>
        <w:rPr>
          <w:rFonts w:ascii="Times New Roman" w:hAnsi="Times New Roman" w:eastAsia="方正仿宋_GBK"/>
          <w:b w:val="0"/>
          <w:sz w:val="24"/>
        </w:rPr>
        <w:t xml:space="preserve">费用</w:t>
      </w:r>
      <w:r>
        <w:rPr>
          <w:rFonts w:ascii="Times New Roman" w:hAnsi="Times New Roman" w:eastAsia="方正仿宋_GBK"/>
          <w:b w:val="0"/>
          <w:sz w:val="24"/>
        </w:rPr>
        <w:t xml:space="preserve">差</w:t>
      </w:r>
      <w:r>
        <w:rPr>
          <w:rFonts w:ascii="Times New Roman" w:hAnsi="Times New Roman" w:eastAsia="方正仿宋_GBK"/>
          <w:b w:val="0"/>
          <w:sz w:val="24"/>
        </w:rPr>
        <w:t xml:space="preserve">由</w:t>
      </w:r>
      <w:r>
        <w:rPr>
          <w:rFonts w:ascii="Times New Roman" w:hAnsi="Times New Roman" w:eastAsia="方正仿宋_GBK"/>
          <w:b w:val="0"/>
          <w:sz w:val="24"/>
        </w:rPr>
        <w:t xml:space="preserve">各年度实际采购及投运批次</w:t>
      </w:r>
      <w:r>
        <w:rPr>
          <w:rFonts w:ascii="Times New Roman" w:hAnsi="Times New Roman" w:eastAsia="方正仿宋_GBK"/>
          <w:b w:val="0"/>
          <w:sz w:val="24"/>
        </w:rPr>
        <w:t xml:space="preserve">形成，</w:t>
      </w:r>
      <w:r>
        <w:rPr>
          <w:rFonts w:ascii="Times New Roman" w:hAnsi="Times New Roman" w:eastAsia="方正仿宋_GBK"/>
          <w:b w:val="0"/>
          <w:sz w:val="24"/>
        </w:rPr>
        <w:t xml:space="preserve">具体替代关系结合逐站</w:t>
      </w:r>
      <w:r>
        <w:rPr>
          <w:rFonts w:ascii="Times New Roman" w:hAnsi="Times New Roman" w:eastAsia="方正仿宋_GBK"/>
          <w:b w:val="0"/>
          <w:sz w:val="24"/>
        </w:rPr>
        <w:t xml:space="preserve">设备</w:t>
      </w:r>
      <w:r>
        <w:rPr>
          <w:rFonts w:ascii="Times New Roman" w:hAnsi="Times New Roman" w:eastAsia="方正仿宋_GBK"/>
          <w:b w:val="0"/>
          <w:sz w:val="24"/>
        </w:rPr>
        <w:t xml:space="preserve">与通道配置分析</w:t>
      </w:r>
      <w:r>
        <w:rPr>
          <w:rFonts w:ascii="Times New Roman" w:hAnsi="Times New Roman" w:eastAsia="方正仿宋_GBK"/>
          <w:b w:val="0"/>
          <w:sz w:val="24"/>
        </w:rPr>
        <w:t xml:space="preserve">。</w:t>
      </w:r>
    </w:p>
    <w:p w14:paraId="4AD6A214">
      <w:pPr>
        <w:pStyle w:val="2"/>
        <w:widowControl/>
        <w:spacing w:before="0" w:after="0" w:line="348" w:lineRule="exact"/>
        <w:ind w:firstLine="480"/>
        <w:jc w:val="both"/>
      </w:pPr>
      <w:r>
        <w:rPr>
          <w:rFonts w:ascii="Times New Roman" w:hAnsi="Times New Roman" w:eastAsia="方正仿宋_GBK"/>
          <w:b w:val="0"/>
          <w:sz w:val="24"/>
        </w:rPr>
        <w:t xml:space="preserve">费用差图按“刚性费用减弹性费用”绘制，正值表示弹性方案该项支出较少，负值表示</w:t>
      </w:r>
      <w:r>
        <w:rPr>
          <w:rFonts w:ascii="Times New Roman" w:hAnsi="Times New Roman" w:eastAsia="方正仿宋_GBK"/>
          <w:b w:val="0"/>
          <w:sz w:val="24"/>
        </w:rPr>
        <w:t xml:space="preserve">较多。</w:t>
      </w:r>
      <w:r>
        <w:rPr>
          <w:rFonts w:ascii="Times New Roman" w:hAnsi="Times New Roman" w:eastAsia="方正仿宋_GBK"/>
          <w:b w:val="0"/>
          <w:sz w:val="24"/>
        </w:rPr>
        <w:t xml:space="preserve">两地区</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的</w:t>
      </w:r>
      <w:r>
        <w:rPr>
          <w:rFonts w:ascii="Times New Roman" w:hAnsi="Times New Roman" w:eastAsia="方正仿宋_GBK"/>
          <w:b w:val="0"/>
          <w:sz w:val="24"/>
        </w:rPr>
        <w:t xml:space="preserve">主变费用</w:t>
      </w:r>
      <w:r>
        <w:rPr>
          <w:rFonts w:ascii="Times New Roman" w:hAnsi="Times New Roman" w:eastAsia="方正仿宋_GBK"/>
          <w:b w:val="0"/>
          <w:sz w:val="24"/>
        </w:rPr>
        <w:t xml:space="preserve">均增加</w:t>
      </w:r>
      <w:r>
        <w:rPr>
          <w:rFonts w:ascii="Times New Roman" w:hAnsi="Times New Roman" w:eastAsia="方正仿宋_GBK"/>
          <w:b w:val="0"/>
          <w:sz w:val="24"/>
        </w:rPr>
        <w:t xml:space="preserve">，</w:t>
      </w:r>
      <w:r>
        <w:rPr>
          <w:rFonts w:ascii="Times New Roman" w:hAnsi="Times New Roman" w:eastAsia="方正仿宋_GBK"/>
          <w:b w:val="0"/>
          <w:sz w:val="24"/>
        </w:rPr>
        <w:t xml:space="preserve">联络费用</w:t>
      </w:r>
      <w:r>
        <w:rPr>
          <w:rFonts w:ascii="Times New Roman" w:hAnsi="Times New Roman" w:eastAsia="方正仿宋_GBK"/>
          <w:b w:val="0"/>
          <w:sz w:val="24"/>
        </w:rPr>
        <w:t xml:space="preserve">均减少</w:t>
      </w:r>
      <w:r>
        <w:rPr>
          <w:rFonts w:ascii="Times New Roman" w:hAnsi="Times New Roman" w:eastAsia="方正仿宋_GBK"/>
          <w:b w:val="0"/>
          <w:sz w:val="24"/>
        </w:rPr>
        <w:t xml:space="preserve">，储能</w:t>
      </w:r>
      <w:r>
        <w:rPr>
          <w:rFonts w:ascii="Times New Roman" w:hAnsi="Times New Roman" w:eastAsia="方正仿宋_GBK"/>
          <w:b w:val="0"/>
          <w:sz w:val="24"/>
        </w:rPr>
        <w:t xml:space="preserve">费用</w:t>
      </w:r>
      <w:r>
        <w:rPr>
          <w:rFonts w:ascii="Times New Roman" w:hAnsi="Times New Roman" w:eastAsia="方正仿宋_GBK"/>
          <w:b w:val="0"/>
          <w:sz w:val="24"/>
        </w:rPr>
        <w:t xml:space="preserve">差异则</w:t>
      </w:r>
      <w:r>
        <w:rPr>
          <w:rFonts w:ascii="Times New Roman" w:hAnsi="Times New Roman" w:eastAsia="方正仿宋_GBK"/>
          <w:b w:val="0"/>
          <w:sz w:val="24"/>
        </w:rPr>
        <w:t xml:space="preserve">由</w:t>
      </w:r>
      <w:r>
        <w:rPr>
          <w:rFonts w:ascii="Times New Roman" w:hAnsi="Times New Roman" w:eastAsia="方正仿宋_GBK"/>
          <w:b w:val="0"/>
          <w:sz w:val="24"/>
        </w:rPr>
        <w:t xml:space="preserve">年度配储时点和数量共同决定</w:t>
      </w:r>
      <w:r>
        <w:rPr>
          <w:rFonts w:ascii="Times New Roman" w:hAnsi="Times New Roman" w:eastAsia="方正仿宋_GBK"/>
          <w:b w:val="0"/>
          <w:sz w:val="24"/>
        </w:rPr>
        <w:t xml:space="preserve">。</w:t>
      </w:r>
      <w:r>
        <w:rPr>
          <w:rFonts w:ascii="Times New Roman" w:hAnsi="Times New Roman" w:eastAsia="方正仿宋_GBK"/>
          <w:b w:val="0"/>
          <w:sz w:val="24"/>
        </w:rPr>
        <w:t xml:space="preserve">各措施费用逐项相加</w:t>
      </w:r>
      <w:r>
        <w:rPr>
          <w:rFonts w:ascii="Times New Roman" w:hAnsi="Times New Roman" w:eastAsia="方正仿宋_GBK"/>
          <w:b w:val="0"/>
          <w:sz w:val="24"/>
        </w:rPr>
        <w:t xml:space="preserve">后形成合计差</w:t>
      </w:r>
      <w:r>
        <w:rPr>
          <w:rFonts w:ascii="Times New Roman" w:hAnsi="Times New Roman" w:eastAsia="方正仿宋_GBK"/>
          <w:b w:val="0"/>
          <w:sz w:val="24"/>
        </w:rPr>
        <w:t xml:space="preserve">，</w:t>
      </w:r>
      <w:r>
        <w:rPr>
          <w:rFonts w:ascii="Times New Roman" w:hAnsi="Times New Roman" w:eastAsia="方正仿宋_GBK"/>
          <w:b w:val="0"/>
          <w:sz w:val="24"/>
        </w:rPr>
        <w:t xml:space="preserve">配套</w:t>
      </w:r>
      <w:r>
        <w:rPr>
          <w:rFonts w:ascii="Times New Roman" w:hAnsi="Times New Roman" w:eastAsia="方正仿宋_GBK"/>
          <w:b w:val="0"/>
          <w:sz w:val="24"/>
        </w:rPr>
        <w:t xml:space="preserve">工程</w:t>
      </w:r>
      <w:r>
        <w:rPr>
          <w:rFonts w:ascii="Times New Roman" w:hAnsi="Times New Roman" w:eastAsia="方正仿宋_GBK"/>
          <w:b w:val="0"/>
          <w:sz w:val="24"/>
        </w:rPr>
        <w:t xml:space="preserve">减少与费用下</w:t>
      </w:r>
      <w:r>
        <w:rPr>
          <w:rFonts w:ascii="Times New Roman" w:hAnsi="Times New Roman" w:eastAsia="方正仿宋_GBK"/>
          <w:b w:val="0"/>
          <w:sz w:val="24"/>
        </w:rPr>
        <w:t xml:space="preserve">降</w:t>
      </w:r>
      <w:r>
        <w:rPr>
          <w:rFonts w:ascii="Times New Roman" w:hAnsi="Times New Roman" w:eastAsia="方正仿宋_GBK"/>
          <w:b w:val="0"/>
          <w:sz w:val="24"/>
        </w:rPr>
        <w:t xml:space="preserve">分别由</w:t>
      </w:r>
      <w:r>
        <w:rPr>
          <w:rFonts w:ascii="Times New Roman" w:hAnsi="Times New Roman" w:eastAsia="方正仿宋_GBK"/>
          <w:b w:val="0"/>
          <w:sz w:val="24"/>
        </w:rPr>
        <w:t xml:space="preserve">具体</w:t>
      </w:r>
      <w:r>
        <w:rPr>
          <w:rFonts w:ascii="Times New Roman" w:hAnsi="Times New Roman" w:eastAsia="方正仿宋_GBK"/>
          <w:b w:val="0"/>
          <w:sz w:val="24"/>
        </w:rPr>
        <w:t xml:space="preserve">数值支持</w:t>
      </w:r>
      <w:r>
        <w:rPr>
          <w:rFonts w:ascii="Times New Roman" w:hAnsi="Times New Roman" w:eastAsia="方正仿宋_GBK"/>
          <w:b w:val="0"/>
          <w:sz w:val="24"/>
        </w:rPr>
        <w:t xml:space="preserve">。</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2560320"/>
            <wp:effectExtent b="0" l="0" r="0" t="0"/>
            <wp:docPr descr="" title="" id="91" name="Picture"/>
            <a:graphic>
              <a:graphicData uri="http://schemas.openxmlformats.org/drawingml/2006/picture">
                <pic:pic>
                  <pic:nvPicPr>
                    <pic:cNvPr descr="研究报告/02图表/当前版/plan_cost_difference.png" id="0" name="Picture"/>
                    <pic:cNvPicPr>
                      <a:picLocks noChangeArrowheads="1" noChangeAspect="1"/>
                    </pic:cNvPicPr>
                  </pic:nvPicPr>
                  <pic:blipFill>
                    <a:blip r:embed="rIdReportRevision9"/>
                    <a:stretch>
                      <a:fillRect/>
                    </a:stretch>
                  </pic:blipFill>
                  <pic:spPr bwMode="auto">
                    <a:xfrm>
                      <a:off x="0" y="0"/>
                      <a:ext cx="5120640" cy="2560320"/>
                    </a:xfrm>
                    <a:prstGeom prst="rect">
                      <a:avLst/>
                    </a:prstGeom>
                    <a:noFill/>
                    <a:ln w="9525">
                      <a:noFill/>
                      <a:headEnd/>
                      <a:tailEnd/>
                    </a:ln>
                  </pic:spPr>
                </pic:pic>
              </a:graphicData>
            </a:graphic>
          </wp:inline>
        </w:drawing>
      </w:r>
    </w:p>
    <w:p w14:paraId="626AB59B">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图5-6 两地区刚性与弹性方案费用差的措施构成</w:t>
      </w:r>
    </w:p>
    <w:p w14:paraId="2571278A">
      <w:pPr>
        <w:pStyle w:val="2"/>
        <w:widowControl/>
        <w:spacing w:before="0" w:after="0" w:line="348" w:lineRule="exact"/>
        <w:ind w:firstLine="480"/>
        <w:jc w:val="both"/>
      </w:pPr>
      <w:r>
        <w:rPr>
          <w:rFonts w:ascii="Times New Roman" w:hAnsi="Times New Roman" w:eastAsia="方正仿宋_GBK"/>
          <w:b w:val="0"/>
          <w:sz w:val="24"/>
        </w:rPr>
        <w:t>容载比变化可按新增容量和负荷增长分解：</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（5-10）</w:t>
            </w:r>
          </w:p>
        </w:tc>
      </w:tr>
    </w:tbl>
    <w:p w14:paraId="3B06AE68">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为相邻两年容载比，</w:t>
      </w:r>
      <m:oMath>
        <m:r>
          <m:rPr>
            <m:nor/>
          </m:rPr>
          <w:rPr>
            <w:rFonts w:ascii="Times New Roman" w:hAnsi="Times New Roman" w:eastAsia="方正仿宋_GBK" w:cs="Times New Roman"/>
            <w:i/>
            <w:iCs/>
          </w:rPr>
          <m:t>y</m:t>
        </m:r>
      </m:oMath>
      <w:r>
        <w:rPr>
          <w:rFonts w:ascii="Times New Roman" w:hAnsi="Times New Roman" w:eastAsia="方正仿宋_GBK"/>
          <w:b w:val="0"/>
          <w:sz w:val="24"/>
        </w:rPr>
        <w:t>为仿真年序号；</w:t>
      </w:r>
      <m:oMath>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为相邻两年公用主变总容量，单位MVA；</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为对应年网供最大负荷，单位MW。第一项表达新增容量的贡献，第二项表达既有容量在负荷变化下的比值变化。逐年结果与容量、负荷共同解释。</w:t>
      </w:r>
    </w:p>
    <w:p w14:paraId="457097B0">
      <w:pPr>
        <w:pStyle w:val="2"/>
        <w:keepNext/>
        <w:spacing w:before="120" w:after="80" w:line="280" w:lineRule="exact"/>
        <w:ind w:firstLine="0"/>
        <w:jc w:val="center"/>
      </w:pPr>
      <w:r>
        <w:rPr>
          <w:rFonts w:ascii="Times New Roman" w:hAnsi="Times New Roman" w:eastAsia="宋体"/>
          <w:b w:val="0"/>
          <w:sz w:val="21"/>
        </w:rPr>
        <w:t>表5-12 规划容载比年度变化分解</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-0.03</w:t>
            </w:r>
          </w:p>
        </w:tc>
      </w:tr>
    </w:tbl>
    <w:p>
      <w:pPr>
        <w:pStyle w:val="2"/>
        <w:widowControl/>
        <w:spacing w:line="348" w:lineRule="exact" w:before="0" w:after="0"/>
        <w:ind w:firstLine="480"/>
        <w:jc w:val="both"/>
        <w:rPr/>
      </w:pPr>
      <w:r>
        <w:rPr>
          <w:rFonts w:ascii="Times New Roman" w:hAnsi="Times New Roman" w:eastAsia="方正仿宋_GBK"/>
          <w:b w:val="0"/>
          <w:sz w:val="24"/>
        </w:rPr>
        <w:t xml:space="preserve">注：列示历史回算年度及2030、2035年相对上一年的比值变化。</w:t>
      </w:r>
    </w:p>
    <w:p w14:paraId="52D84506">
      <w:pPr>
        <w:pStyle w:val="2"/>
        <w:widowControl/>
        <w:spacing w:before="0" w:after="0" w:line="348" w:lineRule="exact"/>
        <w:ind w:firstLine="480"/>
        <w:jc w:val="both"/>
      </w:pPr>
      <w:r>
        <w:rPr>
          <w:rFonts w:ascii="Times New Roman" w:hAnsi="Times New Roman" w:eastAsia="方正仿宋_GBK"/>
          <w:b w:val="0"/>
          <w:sz w:val="24"/>
        </w:rPr>
        <w:t xml:space="preserve">邳州</w:t>
      </w:r>
      <w:r>
        <w:rPr>
          <w:rFonts w:ascii="Times New Roman" w:hAnsi="Times New Roman" w:eastAsia="方正仿宋_GBK"/>
          <w:b w:val="0"/>
          <w:sz w:val="24"/>
        </w:rPr>
        <w:t xml:space="preserve">储</w:t>
      </w:r>
      <w:r>
        <w:rPr>
          <w:rFonts w:ascii="Times New Roman" w:hAnsi="Times New Roman" w:eastAsia="方正仿宋_GBK"/>
          <w:b w:val="0"/>
          <w:sz w:val="24"/>
        </w:rPr>
        <w:t xml:space="preserve">能需求在后期源荷增长</w:t>
      </w:r>
      <w:r>
        <w:rPr>
          <w:rFonts w:ascii="Times New Roman" w:hAnsi="Times New Roman" w:eastAsia="方正仿宋_GBK"/>
          <w:b w:val="0"/>
          <w:sz w:val="24"/>
        </w:rPr>
        <w:t xml:space="preserve">中</w:t>
      </w:r>
      <w:r>
        <w:rPr>
          <w:rFonts w:ascii="Times New Roman" w:hAnsi="Times New Roman" w:eastAsia="方正仿宋_GBK"/>
          <w:b w:val="0"/>
          <w:sz w:val="24"/>
        </w:rPr>
        <w:t xml:space="preserve">逐步增加，2035年</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方案的</w:t>
      </w:r>
      <w:r>
        <w:rPr>
          <w:rFonts w:ascii="Times New Roman" w:hAnsi="Times New Roman" w:eastAsia="方正仿宋_GBK"/>
          <w:b w:val="0"/>
          <w:sz w:val="24"/>
        </w:rPr>
        <w:t xml:space="preserve">配储</w:t>
      </w:r>
      <w:r>
        <w:rPr>
          <w:rFonts w:ascii="Times New Roman" w:hAnsi="Times New Roman" w:eastAsia="方正仿宋_GBK"/>
          <w:b w:val="0"/>
          <w:sz w:val="24"/>
        </w:rPr>
        <w:t xml:space="preserve">地点与规模存在差异。站内主变组合改变故障剩余能力，既有和新增通道改变可用支援，三者共</w:t>
      </w:r>
      <w:r>
        <w:rPr>
          <w:rFonts w:ascii="Times New Roman" w:hAnsi="Times New Roman" w:eastAsia="方正仿宋_GBK"/>
          <w:b w:val="0"/>
          <w:sz w:val="24"/>
        </w:rPr>
        <w:t xml:space="preserve">同</w:t>
      </w:r>
      <w:r>
        <w:rPr>
          <w:rFonts w:ascii="Times New Roman" w:hAnsi="Times New Roman" w:eastAsia="方正仿宋_GBK"/>
          <w:b w:val="0"/>
          <w:sz w:val="24"/>
        </w:rPr>
        <w:t xml:space="preserve">决定局部</w:t>
      </w:r>
      <w:r>
        <w:rPr>
          <w:rFonts w:ascii="Times New Roman" w:hAnsi="Times New Roman" w:eastAsia="方正仿宋_GBK"/>
          <w:b w:val="0"/>
          <w:sz w:val="24"/>
        </w:rPr>
        <w:t xml:space="preserve">支撑</w:t>
      </w:r>
      <w:r>
        <w:rPr>
          <w:rFonts w:ascii="Times New Roman" w:hAnsi="Times New Roman" w:eastAsia="方正仿宋_GBK"/>
          <w:b w:val="0"/>
          <w:sz w:val="24"/>
        </w:rPr>
        <w:t xml:space="preserve">规模</w:t>
      </w:r>
      <w:r>
        <w:rPr>
          <w:rFonts w:ascii="Times New Roman" w:hAnsi="Times New Roman" w:eastAsia="方正仿宋_GBK"/>
          <w:b w:val="0"/>
          <w:sz w:val="24"/>
        </w:rPr>
        <w:t xml:space="preserve">。下图</w:t>
      </w:r>
      <w:r>
        <w:rPr>
          <w:rFonts w:ascii="Times New Roman" w:hAnsi="Times New Roman" w:eastAsia="方正仿宋_GBK"/>
          <w:b w:val="0"/>
          <w:sz w:val="24"/>
        </w:rPr>
        <w:t xml:space="preserve">保留各</w:t>
      </w:r>
      <w:r>
        <w:rPr>
          <w:rFonts w:ascii="Times New Roman" w:hAnsi="Times New Roman" w:eastAsia="方正仿宋_GBK"/>
          <w:b w:val="0"/>
          <w:sz w:val="24"/>
        </w:rPr>
        <w:t xml:space="preserve">配</w:t>
      </w:r>
      <w:r>
        <w:rPr>
          <w:rFonts w:ascii="Times New Roman" w:hAnsi="Times New Roman" w:eastAsia="方正仿宋_GBK"/>
          <w:b w:val="0"/>
          <w:sz w:val="24"/>
        </w:rPr>
        <w:t xml:space="preserve">储</w:t>
      </w:r>
      <w:r>
        <w:rPr>
          <w:rFonts w:ascii="Times New Roman" w:hAnsi="Times New Roman" w:eastAsia="方正仿宋_GBK"/>
          <w:b w:val="0"/>
          <w:sz w:val="24"/>
        </w:rPr>
        <w:t xml:space="preserve">站点</w:t>
      </w:r>
      <w:r>
        <w:rPr>
          <w:rFonts w:ascii="Times New Roman" w:hAnsi="Times New Roman" w:eastAsia="方正仿宋_GBK"/>
          <w:b w:val="0"/>
          <w:sz w:val="24"/>
        </w:rPr>
        <w:t xml:space="preserve">的实际数值</w:t>
      </w:r>
      <w:r>
        <w:rPr>
          <w:rFonts w:ascii="Times New Roman" w:hAnsi="Times New Roman" w:eastAsia="方正仿宋_GBK"/>
          <w:b w:val="0"/>
          <w:sz w:val="24"/>
        </w:rPr>
        <w:t xml:space="preserve">，</w:t>
      </w:r>
      <w:r>
        <w:rPr>
          <w:rFonts w:ascii="Times New Roman" w:hAnsi="Times New Roman" w:eastAsia="方正仿宋_GBK"/>
          <w:b w:val="0"/>
          <w:sz w:val="24"/>
        </w:rPr>
        <w:t xml:space="preserve">结合</w:t>
      </w:r>
      <w:r>
        <w:rPr>
          <w:rFonts w:ascii="Times New Roman" w:hAnsi="Times New Roman" w:eastAsia="方正仿宋_GBK"/>
          <w:b w:val="0"/>
          <w:sz w:val="24"/>
        </w:rPr>
        <w:t xml:space="preserve">后续逐站</w:t>
      </w:r>
      <w:r>
        <w:rPr>
          <w:rFonts w:ascii="Times New Roman" w:hAnsi="Times New Roman" w:eastAsia="方正仿宋_GBK"/>
          <w:b w:val="0"/>
          <w:sz w:val="24"/>
        </w:rPr>
        <w:t xml:space="preserve">结果</w:t>
      </w:r>
      <w:r>
        <w:rPr>
          <w:rFonts w:ascii="Times New Roman" w:hAnsi="Times New Roman" w:eastAsia="方正仿宋_GBK"/>
          <w:b w:val="0"/>
          <w:sz w:val="24"/>
        </w:rPr>
        <w:t xml:space="preserve">分析</w:t>
      </w:r>
      <w:r>
        <w:rPr>
          <w:rFonts w:ascii="Times New Roman" w:hAnsi="Times New Roman" w:eastAsia="方正仿宋_GBK"/>
          <w:b w:val="0"/>
          <w:sz w:val="24"/>
        </w:rPr>
        <w:t xml:space="preserve">其</w:t>
      </w:r>
      <w:r>
        <w:rPr>
          <w:rFonts w:ascii="Times New Roman" w:hAnsi="Times New Roman" w:eastAsia="方正仿宋_GBK"/>
          <w:b w:val="0"/>
          <w:sz w:val="24"/>
        </w:rPr>
        <w:t xml:space="preserve">空间</w:t>
      </w:r>
      <w:r>
        <w:rPr>
          <w:rFonts w:ascii="Times New Roman" w:hAnsi="Times New Roman" w:eastAsia="方正仿宋_GBK"/>
          <w:b w:val="0"/>
          <w:sz w:val="24"/>
        </w:rPr>
        <w:t xml:space="preserve">分布</w:t>
      </w:r>
      <w:r>
        <w:rPr>
          <w:rFonts w:ascii="Times New Roman" w:hAnsi="Times New Roman" w:eastAsia="方正仿宋_GBK"/>
          <w:b w:val="0"/>
          <w:sz w:val="24"/>
        </w:rPr>
        <w:t xml:space="preserve">。</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3072384"/>
            <wp:effectExtent b="0" l="0" r="0" t="0"/>
            <wp:docPr descr="" title="" id="92" name="Picture"/>
            <a:graphic>
              <a:graphicData uri="http://schemas.openxmlformats.org/drawingml/2006/picture">
                <pic:pic>
                  <pic:nvPicPr>
                    <pic:cNvPr descr="研究报告/02图表/当前版/pizhou_storage_distribution.png" id="0" name="Picture"/>
                    <pic:cNvPicPr>
                      <a:picLocks noChangeArrowheads="1" noChangeAspect="1"/>
                    </pic:cNvPicPr>
                  </pic:nvPicPr>
                  <pic:blipFill>
                    <a:blip r:embed="rIdReportRevision10"/>
                    <a:stretch>
                      <a:fillRect/>
                    </a:stretch>
                  </pic:blipFill>
                  <pic:spPr bwMode="auto">
                    <a:xfrm>
                      <a:off x="0" y="0"/>
                      <a:ext cx="5120640" cy="3072384"/>
                    </a:xfrm>
                    <a:prstGeom prst="rect">
                      <a:avLst/>
                    </a:prstGeom>
                    <a:noFill/>
                    <a:ln w="9525">
                      <a:noFill/>
                      <a:headEnd/>
                      <a:tailEnd/>
                    </a:ln>
                  </pic:spPr>
                </pic:pic>
              </a:graphicData>
            </a:graphic>
          </wp:inline>
        </w:drawing>
      </w:r>
    </w:p>
    <w:p w14:paraId="0B828AD1">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 xml:space="preserve">图5-7 邳州20</w:t>
      </w:r>
      <w:r>
        <w:rPr>
          <w:rFonts w:ascii="Times New Roman" w:hAnsi="Times New Roman" w:eastAsia="宋体"/>
          <w:b w:val="0"/>
          <w:sz w:val="21"/>
        </w:rPr>
        <w:t xml:space="preserve">3</w:t>
      </w:r>
      <w:r>
        <w:rPr>
          <w:rFonts w:ascii="Times New Roman" w:hAnsi="Times New Roman" w:eastAsia="宋体"/>
          <w:b w:val="0"/>
          <w:sz w:val="21"/>
        </w:rPr>
        <w:t xml:space="preserve">5年储能额定能量的站点分布</w:t>
      </w:r>
    </w:p>
    <w:p w14:paraId="2BE73224">
      <w:pPr>
        <w:pStyle w:val="5"/>
        <w:keepNext/>
        <w:numPr>
          <w:ilvl w:val="0"/>
          <w:numId w:val="0"/>
        </w:numPr>
        <w:spacing w:before="160" w:after="120" w:line="390" w:lineRule="exact"/>
        <w:ind w:firstLine="0"/>
      </w:pPr>
      <w:bookmarkStart w:id="200" w:name="邳州逐站规划方案"/>
      <w:r>
        <w:rPr>
          <w:rFonts w:ascii="Times New Roman" w:hAnsi="Times New Roman" w:eastAsia="方正仿宋_GBK"/>
          <w:b/>
          <w:sz w:val="26"/>
        </w:rPr>
        <w:t>5.4.5 邳州逐站规划方案</w:t>
      </w:r>
      <w:bookmarkEnd w:id="200"/>
    </w:p>
    <w:p w14:paraId="1DB8F4CF">
      <w:pPr>
        <w:pStyle w:val="115"/>
        <w:widowControl/>
        <w:spacing w:before="0" w:after="0" w:line="348" w:lineRule="exact"/>
        <w:ind w:firstLine="480"/>
        <w:jc w:val="both"/>
      </w:pPr>
      <w:r>
        <w:rPr>
          <w:rFonts w:ascii="Times New Roman" w:hAnsi="Times New Roman" w:eastAsia="方正仿宋_GBK"/>
          <w:b w:val="0"/>
          <w:sz w:val="24"/>
        </w:rPr>
        <w:t xml:space="preserve">逐站表格列示</w:t>
      </w:r>
      <w:r>
        <w:rPr>
          <w:rFonts w:ascii="Times New Roman" w:hAnsi="Times New Roman" w:eastAsia="方正仿宋_GBK"/>
          <w:b w:val="0"/>
          <w:sz w:val="24"/>
        </w:rPr>
        <w:t xml:space="preserve">2021年基期及2025、2030、2035年代表年度设备配置，转接量对应同小时</w:t>
      </w:r>
      <w:r>
        <w:rPr>
          <w:rFonts w:ascii="Times New Roman" w:hAnsi="Times New Roman" w:eastAsia="方正仿宋_GBK"/>
          <w:b w:val="0"/>
          <w:sz w:val="24"/>
        </w:rPr>
        <w:t xml:space="preserve">区域正向峰值</w:t>
      </w:r>
      <w:r>
        <w:rPr>
          <w:rFonts w:ascii="Times New Roman" w:hAnsi="Times New Roman" w:eastAsia="方正仿宋_GBK"/>
          <w:b w:val="0"/>
          <w:sz w:val="24"/>
        </w:rPr>
        <w:t xml:space="preserve">的</w:t>
      </w:r>
      <w:r>
        <w:rPr>
          <w:rFonts w:ascii="Times New Roman" w:hAnsi="Times New Roman" w:eastAsia="方正仿宋_GBK"/>
          <w:b w:val="0"/>
          <w:sz w:val="24"/>
        </w:rPr>
        <w:t xml:space="preserve">正常固定预案。全年</w:t>
      </w:r>
      <w:r>
        <w:rPr>
          <w:rFonts w:ascii="Times New Roman" w:hAnsi="Times New Roman" w:eastAsia="方正仿宋_GBK"/>
          <w:b w:val="0"/>
          <w:sz w:val="24"/>
        </w:rPr>
        <w:t xml:space="preserve">校核</w:t>
      </w:r>
      <w:r>
        <w:rPr>
          <w:rFonts w:ascii="Times New Roman" w:hAnsi="Times New Roman" w:eastAsia="方正仿宋_GBK"/>
          <w:b w:val="0"/>
          <w:sz w:val="24"/>
        </w:rPr>
        <w:t xml:space="preserve">保留所有8760小</w:t>
      </w:r>
      <w:r>
        <w:rPr>
          <w:rFonts w:ascii="Times New Roman" w:hAnsi="Times New Roman" w:eastAsia="方正仿宋_GBK"/>
          <w:b w:val="0"/>
          <w:sz w:val="24"/>
        </w:rPr>
        <w:t xml:space="preserve">时</w:t>
      </w:r>
      <w:r>
        <w:rPr>
          <w:rFonts w:ascii="Times New Roman" w:hAnsi="Times New Roman" w:eastAsia="方正仿宋_GBK"/>
          <w:b w:val="0"/>
          <w:sz w:val="24"/>
        </w:rPr>
        <w:t xml:space="preserve">，</w:t>
      </w:r>
      <w:r>
        <w:rPr>
          <w:rFonts w:ascii="Times New Roman" w:hAnsi="Times New Roman" w:eastAsia="方正仿宋_GBK"/>
          <w:b w:val="0"/>
          <w:sz w:val="24"/>
        </w:rPr>
        <w:t xml:space="preserve">主变N-1按本站最大单台</w:t>
      </w:r>
      <w:r>
        <w:rPr>
          <w:rFonts w:ascii="Times New Roman" w:hAnsi="Times New Roman" w:eastAsia="方正仿宋_GBK"/>
          <w:b w:val="0"/>
          <w:sz w:val="24"/>
        </w:rPr>
        <w:t xml:space="preserve">扣除，</w:t>
      </w:r>
      <w:r>
        <w:rPr>
          <w:rFonts w:ascii="Times New Roman" w:hAnsi="Times New Roman" w:eastAsia="方正仿宋_GBK"/>
          <w:b w:val="0"/>
          <w:sz w:val="24"/>
        </w:rPr>
        <w:t xml:space="preserve">事故追加只切换故障</w:t>
      </w:r>
      <w:r>
        <w:rPr>
          <w:rFonts w:ascii="Times New Roman" w:hAnsi="Times New Roman" w:eastAsia="方正仿宋_GBK"/>
          <w:b w:val="0"/>
          <w:sz w:val="24"/>
        </w:rPr>
        <w:t xml:space="preserve">站</w:t>
      </w:r>
      <w:r>
        <w:rPr>
          <w:rFonts w:ascii="Times New Roman" w:hAnsi="Times New Roman" w:eastAsia="方正仿宋_GBK"/>
          <w:b w:val="0"/>
          <w:sz w:val="24"/>
        </w:rPr>
        <w:t xml:space="preserve">原属区段</w:t>
      </w:r>
      <w:r>
        <w:rPr>
          <w:rFonts w:ascii="Times New Roman" w:hAnsi="Times New Roman" w:eastAsia="方正仿宋_GBK"/>
          <w:b w:val="0"/>
          <w:sz w:val="24"/>
        </w:rPr>
        <w:t xml:space="preserve">。</w:t>
      </w:r>
    </w:p>
    <w:p w14:paraId="53E5DEA4">
      <w:pPr>
        <w:pStyle w:val="2"/>
        <w:widowControl/>
        <w:spacing w:before="0" w:after="0" w:line="348" w:lineRule="exact"/>
        <w:ind w:firstLine="480"/>
        <w:jc w:val="both"/>
      </w:pPr>
      <w:r>
        <w:rPr>
          <w:rFonts w:ascii="Times New Roman" w:hAnsi="Times New Roman" w:eastAsia="方正仿宋_GBK"/>
          <w:b w:val="0"/>
          <w:sz w:val="24"/>
        </w:rPr>
        <w:t xml:space="preserve">邳州20座站分别</w:t>
      </w:r>
      <w:r>
        <w:rPr>
          <w:rFonts w:ascii="Times New Roman" w:hAnsi="Times New Roman" w:eastAsia="方正仿宋_GBK"/>
          <w:b w:val="0"/>
          <w:sz w:val="24"/>
        </w:rPr>
        <w:t xml:space="preserve">说明全期主变更换、扩建和储能增加</w:t>
      </w:r>
      <w:r>
        <w:rPr>
          <w:rFonts w:ascii="Times New Roman" w:hAnsi="Times New Roman" w:eastAsia="方正仿宋_GBK"/>
          <w:b w:val="0"/>
          <w:sz w:val="24"/>
        </w:rPr>
        <w:t xml:space="preserve">的</w:t>
      </w:r>
      <w:r>
        <w:rPr>
          <w:rFonts w:ascii="Times New Roman" w:hAnsi="Times New Roman" w:eastAsia="方正仿宋_GBK"/>
          <w:b w:val="0"/>
          <w:sz w:val="24"/>
        </w:rPr>
        <w:t xml:space="preserve">时点</w:t>
      </w:r>
      <w:r>
        <w:rPr>
          <w:rFonts w:ascii="Times New Roman" w:hAnsi="Times New Roman" w:eastAsia="方正仿宋_GBK"/>
          <w:b w:val="0"/>
          <w:sz w:val="24"/>
        </w:rPr>
        <w:t xml:space="preserve">，</w:t>
      </w:r>
      <w:r>
        <w:rPr>
          <w:rFonts w:ascii="Times New Roman" w:hAnsi="Times New Roman" w:eastAsia="方正仿宋_GBK"/>
          <w:b w:val="0"/>
          <w:sz w:val="24"/>
        </w:rPr>
        <w:t xml:space="preserve">结合20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本站故障下全年最小余量</w:t>
      </w:r>
      <w:r>
        <w:rPr>
          <w:rFonts w:ascii="Times New Roman" w:hAnsi="Times New Roman" w:eastAsia="方正仿宋_GBK"/>
          <w:b w:val="0"/>
          <w:sz w:val="24"/>
        </w:rPr>
        <w:t xml:space="preserve">工况</w:t>
      </w:r>
      <w:r>
        <w:rPr>
          <w:rFonts w:ascii="Times New Roman" w:hAnsi="Times New Roman" w:eastAsia="方正仿宋_GBK"/>
          <w:b w:val="0"/>
          <w:sz w:val="24"/>
        </w:rPr>
        <w:t xml:space="preserve">分析</w:t>
      </w:r>
      <w:r>
        <w:rPr>
          <w:rFonts w:ascii="Times New Roman" w:hAnsi="Times New Roman" w:eastAsia="方正仿宋_GBK"/>
          <w:b w:val="0"/>
          <w:sz w:val="24"/>
        </w:rPr>
        <w:t xml:space="preserve">支</w:t>
      </w:r>
      <w:r>
        <w:rPr>
          <w:rFonts w:ascii="Times New Roman" w:hAnsi="Times New Roman" w:eastAsia="方正仿宋_GBK"/>
          <w:b w:val="0"/>
          <w:sz w:val="24"/>
        </w:rPr>
        <w:t xml:space="preserve">撑需求</w:t>
      </w:r>
      <w:r>
        <w:rPr>
          <w:rFonts w:ascii="Times New Roman" w:hAnsi="Times New Roman" w:eastAsia="方正仿宋_GBK"/>
          <w:b w:val="0"/>
          <w:sz w:val="24"/>
        </w:rPr>
        <w:t xml:space="preserve">。表中储能</w:t>
      </w:r>
      <w:r>
        <w:rPr>
          <w:rFonts w:ascii="Times New Roman" w:hAnsi="Times New Roman" w:eastAsia="方正仿宋_GBK"/>
          <w:b w:val="0"/>
          <w:sz w:val="24"/>
        </w:rPr>
        <w:t xml:space="preserve">为在役额定功率，正向</w:t>
      </w:r>
      <w:r>
        <w:rPr>
          <w:rFonts w:ascii="Times New Roman" w:hAnsi="Times New Roman" w:eastAsia="方正仿宋_GBK"/>
          <w:b w:val="0"/>
          <w:sz w:val="24"/>
        </w:rPr>
        <w:t xml:space="preserve">有效</w:t>
      </w:r>
      <w:r>
        <w:rPr>
          <w:rFonts w:ascii="Times New Roman" w:hAnsi="Times New Roman" w:eastAsia="方正仿宋_GBK"/>
          <w:b w:val="0"/>
          <w:sz w:val="24"/>
        </w:rPr>
        <w:t xml:space="preserve">支撑</w:t>
      </w:r>
      <w:r>
        <w:rPr>
          <w:rFonts w:ascii="Times New Roman" w:hAnsi="Times New Roman" w:eastAsia="方正仿宋_GBK"/>
          <w:b w:val="0"/>
          <w:sz w:val="24"/>
        </w:rPr>
        <w:t xml:space="preserve">按邳州2 h及可用电量折算，反向采用本站规定时长。</w:t>
      </w:r>
    </w:p>
    <w:p w14:paraId="59FD833F">
      <w:pPr>
        <w:pStyle w:val="7"/>
        <w:keepNext/>
        <w:numPr>
          <w:ilvl w:val="0"/>
          <w:numId w:val="0"/>
        </w:numPr>
        <w:spacing w:before="160" w:after="120" w:line="360" w:lineRule="exact"/>
        <w:ind w:firstLine="0"/>
      </w:pPr>
      <w:bookmarkStart w:id="201" w:name="八义集变规划分析"/>
      <w:r>
        <w:rPr>
          <w:rFonts w:ascii="Times New Roman" w:hAnsi="Times New Roman" w:eastAsia="方正仿宋_GBK"/>
          <w:b/>
          <w:sz w:val="24"/>
        </w:rPr>
        <w:t>八义集变规划分析</w:t>
      </w:r>
      <w:bookmarkEnd w:id="201"/>
    </w:p>
    <w:p w14:paraId="5BDC5359">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w:t>
      </w:r>
      <w:r>
        <w:rPr>
          <w:rFonts w:ascii="Times New Roman" w:hAnsi="Times New Roman" w:eastAsia="方正仿宋_GBK"/>
          <w:b w:val="0"/>
          <w:sz w:val="24"/>
        </w:rPr>
        <w:t xml:space="preserve">0+</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w:t>
      </w:r>
      <w:r>
        <w:rPr>
          <w:rFonts w:ascii="Times New Roman" w:hAnsi="Times New Roman" w:eastAsia="方正仿宋_GBK"/>
          <w:b w:val="0"/>
          <w:sz w:val="24"/>
        </w:rPr>
        <w:t xml:space="preserve">33</w:t>
      </w:r>
      <w:r>
        <w:rPr>
          <w:rFonts w:ascii="Times New Roman" w:hAnsi="Times New Roman" w:eastAsia="方正仿宋_GBK"/>
          <w:b w:val="0"/>
          <w:sz w:val="24"/>
        </w:rPr>
        <w:t xml:space="preserve">年</w:t>
      </w:r>
      <w:r>
        <w:rPr>
          <w:rFonts w:ascii="Times New Roman" w:hAnsi="Times New Roman" w:eastAsia="方正仿宋_GBK"/>
          <w:b w:val="0"/>
          <w:sz w:val="24"/>
        </w:rPr>
        <w:t xml:space="preserve">31.5</w:t>
      </w:r>
      <w:r>
        <w:rPr>
          <w:rFonts w:ascii="Times New Roman" w:hAnsi="Times New Roman" w:eastAsia="方正仿宋_GBK"/>
          <w:b w:val="0"/>
          <w:sz w:val="24"/>
        </w:rPr>
        <w:t xml:space="preserve">0 MVA更换为</w:t>
      </w:r>
      <w:r>
        <w:rPr>
          <w:rFonts w:ascii="Times New Roman" w:hAnsi="Times New Roman" w:eastAsia="方正仿宋_GBK"/>
          <w:b w:val="0"/>
          <w:sz w:val="24"/>
        </w:rPr>
        <w:t xml:space="preserve">50</w:t>
      </w:r>
      <w:r>
        <w:rPr>
          <w:rFonts w:ascii="Times New Roman" w:hAnsi="Times New Roman" w:eastAsia="方正仿宋_GBK"/>
          <w:b w:val="0"/>
          <w:sz w:val="24"/>
        </w:rPr>
        <w:t xml:space="preserve">.</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新增额定功率为2032年0.30 MW</w:t>
      </w:r>
      <w:r>
        <w:rPr>
          <w:rFonts w:ascii="Times New Roman" w:hAnsi="Times New Roman" w:eastAsia="方正仿宋_GBK"/>
          <w:b w:val="0"/>
          <w:sz w:val="24"/>
        </w:rPr>
        <w:t xml:space="preserve">。</w:t>
      </w:r>
    </w:p>
    <w:p w14:paraId="6FFB4740">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最大正向、反向净负荷分别为37.23 MW、19.12 MW</w:t>
      </w:r>
      <w:r>
        <w:rPr>
          <w:rFonts w:ascii="Times New Roman" w:hAnsi="Times New Roman" w:eastAsia="方正仿宋_GBK"/>
          <w:b w:val="0"/>
          <w:sz w:val="24"/>
        </w:rPr>
        <w:t xml:space="preserve">，2035年分别为54.86 MW、58.51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113</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1</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w:t>
      </w:r>
      <w:r>
        <w:rPr>
          <w:rFonts w:ascii="Times New Roman" w:hAnsi="Times New Roman" w:eastAsia="方正仿宋_GBK"/>
          <w:b w:val="0"/>
          <w:sz w:val="24"/>
        </w:rPr>
        <w:t xml:space="preserve">13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MVA和0.</w:t>
      </w:r>
      <w:r>
        <w:rPr>
          <w:rFonts w:ascii="Times New Roman" w:hAnsi="Times New Roman" w:eastAsia="方正仿宋_GBK"/>
          <w:b w:val="0"/>
          <w:sz w:val="24"/>
        </w:rPr>
        <w:t xml:space="preserve">3</w:t>
      </w:r>
      <w:r>
        <w:rPr>
          <w:rFonts w:ascii="Times New Roman" w:hAnsi="Times New Roman" w:eastAsia="方正仿宋_GBK"/>
          <w:b w:val="0"/>
          <w:sz w:val="24"/>
        </w:rPr>
        <w:t xml:space="preserve">0 MW</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w:t>
      </w:r>
      <w:r>
        <w:rPr>
          <w:rFonts w:ascii="Times New Roman" w:hAnsi="Times New Roman" w:eastAsia="方正仿宋_GBK"/>
          <w:b w:val="0"/>
          <w:sz w:val="24"/>
        </w:rPr>
        <w:t xml:space="preserve">主变总</w:t>
      </w:r>
      <w:r>
        <w:rPr>
          <w:rFonts w:ascii="Times New Roman" w:hAnsi="Times New Roman" w:eastAsia="方正仿宋_GBK"/>
          <w:b w:val="0"/>
          <w:sz w:val="24"/>
        </w:rPr>
        <w:t xml:space="preserve">容量</w:t>
      </w:r>
      <w:r>
        <w:rPr>
          <w:rFonts w:ascii="Times New Roman" w:hAnsi="Times New Roman" w:eastAsia="方正仿宋_GBK"/>
          <w:b w:val="0"/>
          <w:sz w:val="24"/>
        </w:rPr>
        <w:t xml:space="preserve">相同</w:t>
      </w:r>
      <w:r>
        <w:rPr>
          <w:rFonts w:ascii="Times New Roman" w:hAnsi="Times New Roman" w:eastAsia="方正仿宋_GBK"/>
          <w:b w:val="0"/>
          <w:sz w:val="24"/>
        </w:rPr>
        <w:t xml:space="preserve">。</w:t>
      </w:r>
    </w:p>
    <w:p w14:paraId="7B151BD1">
      <w:pPr>
        <w:pStyle w:val="2"/>
        <w:keepNext/>
        <w:spacing w:before="120" w:after="80" w:line="280" w:lineRule="exact"/>
        <w:ind w:firstLine="0"/>
        <w:jc w:val="center"/>
      </w:pPr>
      <w:r>
        <w:rPr>
          <w:rFonts w:ascii="Times New Roman" w:hAnsi="Times New Roman" w:eastAsia="宋体"/>
          <w:b w:val="0"/>
          <w:sz w:val="21"/>
        </w:rPr>
        <w:t xml:space="preserve">表5-13 八义集变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45.52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44.64</w:t>
            </w:r>
          </w:p>
        </w:tc>
      </w:tr>
    </w:tbl>
    <w:p w14:paraId="3B6CE901">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35年最大单台主变N-1后，弹性方案剩余主变容量为50.00 MVA，按0.95功率因数折算为47.50 MW。储能正向有效支撑功率为0.</w:t>
      </w:r>
      <w:r>
        <w:rPr>
          <w:rFonts w:ascii="Times New Roman" w:hAnsi="Times New Roman" w:eastAsia="方正仿宋_GBK"/>
          <w:b w:val="0"/>
          <w:sz w:val="24"/>
        </w:rPr>
        <w:t xml:space="preserve">25</w:t>
      </w:r>
      <w:r>
        <w:rPr>
          <w:rFonts w:ascii="Times New Roman" w:hAnsi="Times New Roman" w:eastAsia="方正仿宋_GBK"/>
          <w:b w:val="0"/>
          <w:sz w:val="24"/>
        </w:rPr>
        <w:t xml:space="preserve"> MW、反向有效吸收功率为0.30 MW。全</w:t>
      </w:r>
      <w:r>
        <w:rPr>
          <w:rFonts w:ascii="Times New Roman" w:hAnsi="Times New Roman" w:eastAsia="方正仿宋_GBK"/>
          <w:b w:val="0"/>
          <w:sz w:val="24"/>
        </w:rPr>
        <w:t xml:space="preserve">年</w:t>
      </w:r>
      <w:r>
        <w:rPr>
          <w:rFonts w:ascii="Times New Roman" w:hAnsi="Times New Roman" w:eastAsia="方正仿宋_GBK"/>
          <w:b w:val="0"/>
          <w:sz w:val="24"/>
        </w:rPr>
        <w:t xml:space="preserve">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中最小余量为2.29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-13</w:t>
      </w:r>
      <w:r>
        <w:rPr>
          <w:rFonts w:ascii="Times New Roman" w:hAnsi="Times New Roman" w:eastAsia="方正仿宋_GBK"/>
          <w:b w:val="0"/>
          <w:sz w:val="24"/>
        </w:rPr>
        <w:t xml:space="preserve">.00 MW、承接0.00 MW，转接后净负荷为</w:t>
      </w:r>
      <w:r>
        <w:rPr>
          <w:rFonts w:ascii="Times New Roman" w:hAnsi="Times New Roman" w:eastAsia="方正仿宋_GBK"/>
          <w:b w:val="0"/>
          <w:sz w:val="24"/>
        </w:rPr>
        <w:t xml:space="preserve">-45</w:t>
      </w:r>
      <w:r>
        <w:rPr>
          <w:rFonts w:ascii="Times New Roman" w:hAnsi="Times New Roman" w:eastAsia="方正仿宋_GBK"/>
          <w:b w:val="0"/>
          <w:sz w:val="24"/>
        </w:rPr>
        <w:t xml:space="preserve">.</w:t>
      </w:r>
      <w:r>
        <w:rPr>
          <w:rFonts w:ascii="Times New Roman" w:hAnsi="Times New Roman" w:eastAsia="方正仿宋_GBK"/>
          <w:b w:val="0"/>
          <w:sz w:val="24"/>
        </w:rPr>
        <w:t xml:space="preserve">51</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其中与土山变之间的主要通道承担4.88 MW净功率转接，使用既有通道。</w:t>
      </w:r>
    </w:p>
    <w:p w14:paraId="41031711">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储能额定功率相差2</w:t>
      </w:r>
      <w:r>
        <w:rPr>
          <w:rFonts w:ascii="Times New Roman" w:hAnsi="Times New Roman" w:eastAsia="方正仿宋_GBK"/>
          <w:b w:val="0"/>
          <w:sz w:val="24"/>
        </w:rPr>
        <w:t xml:space="preserve">.</w:t>
      </w:r>
      <w:r>
        <w:rPr>
          <w:rFonts w:ascii="Times New Roman" w:hAnsi="Times New Roman" w:eastAsia="方正仿宋_GBK"/>
          <w:b w:val="0"/>
          <w:sz w:val="24"/>
        </w:rPr>
        <w:t xml:space="preserve">8</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72DB2A1B">
      <w:pPr>
        <w:pStyle w:val="7"/>
        <w:keepNext/>
        <w:numPr>
          <w:ilvl w:val="0"/>
          <w:numId w:val="0"/>
        </w:numPr>
        <w:spacing w:before="160" w:after="120" w:line="360" w:lineRule="exact"/>
        <w:ind w:firstLine="0"/>
      </w:pPr>
      <w:bookmarkStart w:id="202" w:name="大宋变规划分析"/>
      <w:r>
        <w:rPr>
          <w:rFonts w:ascii="Times New Roman" w:hAnsi="Times New Roman" w:eastAsia="方正仿宋_GBK"/>
          <w:b/>
          <w:sz w:val="24"/>
        </w:rPr>
        <w:t>大宋变规划分析</w:t>
      </w:r>
      <w:bookmarkEnd w:id="202"/>
    </w:p>
    <w:p w14:paraId="1D1E4B99">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63.0</w:t>
      </w:r>
      <w:r>
        <w:rPr>
          <w:rFonts w:ascii="Times New Roman" w:hAnsi="Times New Roman" w:eastAsia="方正仿宋_GBK"/>
          <w:b w:val="0"/>
          <w:sz w:val="24"/>
        </w:rPr>
        <w:t xml:space="preserve">0+</w:t>
      </w:r>
      <w:r>
        <w:rPr>
          <w:rFonts w:ascii="Times New Roman" w:hAnsi="Times New Roman" w:eastAsia="方正仿宋_GBK"/>
          <w:b w:val="0"/>
          <w:sz w:val="24"/>
        </w:rPr>
        <w:t xml:space="preserve">80.00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2033</w:t>
      </w:r>
      <w:r>
        <w:rPr>
          <w:rFonts w:ascii="Times New Roman" w:hAnsi="Times New Roman" w:eastAsia="方正仿宋_GBK"/>
          <w:b w:val="0"/>
          <w:sz w:val="24"/>
        </w:rPr>
        <w:t xml:space="preserve">年</w:t>
      </w:r>
      <w:r>
        <w:rPr>
          <w:rFonts w:ascii="Times New Roman" w:hAnsi="Times New Roman" w:eastAsia="方正仿宋_GBK"/>
          <w:b w:val="0"/>
          <w:sz w:val="24"/>
        </w:rPr>
        <w:t xml:space="preserve">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7CCCA825">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最大正向、反向净负荷分别为69.44 MW、31.77 MW</w:t>
      </w:r>
      <w:r>
        <w:rPr>
          <w:rFonts w:ascii="Times New Roman" w:hAnsi="Times New Roman" w:eastAsia="方正仿宋_GBK"/>
          <w:b w:val="0"/>
          <w:sz w:val="24"/>
        </w:rPr>
        <w:t xml:space="preserve">，2035年分别为102.33 MW、106.88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9</w:t>
      </w:r>
      <w:r>
        <w:rPr>
          <w:rFonts w:ascii="Times New Roman" w:hAnsi="Times New Roman" w:eastAsia="方正仿宋_GBK"/>
          <w:b w:val="0"/>
          <w:sz w:val="24"/>
        </w:rPr>
        <w:t xml:space="preserve">3.00 MVA、储能额定功率0.00 MW，弹性方案分别为1</w:t>
      </w:r>
      <w:r>
        <w:rPr>
          <w:rFonts w:ascii="Times New Roman" w:hAnsi="Times New Roman" w:eastAsia="方正仿宋_GBK"/>
          <w:b w:val="0"/>
          <w:sz w:val="24"/>
        </w:rPr>
        <w:t xml:space="preserve">9</w:t>
      </w:r>
      <w:r>
        <w:rPr>
          <w:rFonts w:ascii="Times New Roman" w:hAnsi="Times New Roman" w:eastAsia="方正仿宋_GBK"/>
          <w:b w:val="0"/>
          <w:sz w:val="24"/>
        </w:rPr>
        <w:t xml:space="preserve">3.00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1F079770">
      <w:pPr>
        <w:pStyle w:val="2"/>
        <w:keepNext/>
        <w:spacing w:before="120" w:after="80" w:line="280" w:lineRule="exact"/>
        <w:ind w:firstLine="0"/>
        <w:jc w:val="center"/>
      </w:pPr>
      <w:r>
        <w:rPr>
          <w:rFonts w:ascii="Times New Roman" w:hAnsi="Times New Roman" w:eastAsia="宋体"/>
          <w:b w:val="0"/>
          <w:sz w:val="21"/>
        </w:rPr>
        <w:t xml:space="preserve">表5-14 大宋变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104.00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102.33</w:t>
            </w:r>
          </w:p>
        </w:tc>
      </w:tr>
    </w:tbl>
    <w:p w14:paraId="45B91EE9">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最大单台主变N-1后，弹性方案剩余主变容量为113.00 MVA，按0.95功率因数折算为107.35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中最小余量为6.57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-6</w:t>
      </w:r>
      <w:r>
        <w:rPr>
          <w:rFonts w:ascii="Times New Roman" w:hAnsi="Times New Roman" w:eastAsia="方正仿宋_GBK"/>
          <w:b w:val="0"/>
          <w:sz w:val="24"/>
        </w:rPr>
        <w:t xml:space="preserve">.</w:t>
      </w:r>
      <w:r>
        <w:rPr>
          <w:rFonts w:ascii="Times New Roman" w:hAnsi="Times New Roman" w:eastAsia="方正仿宋_GBK"/>
          <w:b w:val="0"/>
          <w:sz w:val="24"/>
        </w:rPr>
        <w:t xml:space="preserve">11</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w:t>
      </w:r>
      <w:r>
        <w:rPr>
          <w:rFonts w:ascii="Times New Roman" w:hAnsi="Times New Roman" w:eastAsia="方正仿宋_GBK"/>
          <w:b w:val="0"/>
          <w:sz w:val="24"/>
        </w:rPr>
        <w:t xml:space="preserve">1</w:t>
      </w:r>
      <w:r>
        <w:rPr>
          <w:rFonts w:ascii="Times New Roman" w:hAnsi="Times New Roman" w:eastAsia="方正仿宋_GBK"/>
          <w:b w:val="0"/>
          <w:sz w:val="24"/>
        </w:rPr>
        <w:t xml:space="preserve">00</w:t>
      </w:r>
      <w:r>
        <w:rPr>
          <w:rFonts w:ascii="Times New Roman" w:hAnsi="Times New Roman" w:eastAsia="方正仿宋_GBK"/>
          <w:b w:val="0"/>
          <w:sz w:val="24"/>
        </w:rPr>
        <w:t xml:space="preserve">.7</w:t>
      </w:r>
      <w:r>
        <w:rPr>
          <w:rFonts w:ascii="Times New Roman" w:hAnsi="Times New Roman" w:eastAsia="方正仿宋_GBK"/>
          <w:b w:val="0"/>
          <w:sz w:val="24"/>
        </w:rPr>
        <w:t xml:space="preserve">8</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其中与富山变之间的主要通道承担3.05 MW净功率转接，使用既有通道。</w:t>
      </w:r>
    </w:p>
    <w:p w14:paraId="199CDABB">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2159353F">
      <w:pPr>
        <w:pStyle w:val="7"/>
        <w:keepNext/>
        <w:numPr>
          <w:ilvl w:val="0"/>
          <w:numId w:val="0"/>
        </w:numPr>
        <w:spacing w:before="160" w:after="120" w:line="360" w:lineRule="exact"/>
        <w:ind w:firstLine="0"/>
      </w:pPr>
      <w:bookmarkStart w:id="203" w:name="戴圩变规划分析"/>
      <w:r>
        <w:rPr>
          <w:rFonts w:ascii="Times New Roman" w:hAnsi="Times New Roman" w:eastAsia="方正仿宋_GBK"/>
          <w:b/>
          <w:sz w:val="24"/>
        </w:rPr>
        <w:t>戴圩变规划分析</w:t>
      </w:r>
      <w:bookmarkEnd w:id="203"/>
    </w:p>
    <w:p w14:paraId="35837448">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31.50+63.00 MVA。弹性方案</w:t>
      </w:r>
      <w:r>
        <w:rPr>
          <w:rFonts w:ascii="Times New Roman" w:hAnsi="Times New Roman" w:eastAsia="方正仿宋_GBK"/>
          <w:b w:val="0"/>
          <w:sz w:val="24"/>
        </w:rPr>
        <w:t xml:space="preserve">20</w:t>
      </w:r>
      <w:r>
        <w:rPr>
          <w:rFonts w:ascii="Times New Roman" w:hAnsi="Times New Roman" w:eastAsia="方正仿宋_GBK"/>
          <w:b w:val="0"/>
          <w:sz w:val="24"/>
        </w:rPr>
        <w:t xml:space="preserve">32年31.</w:t>
      </w:r>
      <w:r>
        <w:rPr>
          <w:rFonts w:ascii="Times New Roman" w:hAnsi="Times New Roman" w:eastAsia="方正仿宋_GBK"/>
          <w:b w:val="0"/>
          <w:sz w:val="24"/>
        </w:rPr>
        <w:t xml:space="preserve">50 MVA</w:t>
      </w:r>
      <w:r>
        <w:rPr>
          <w:rFonts w:ascii="Times New Roman" w:hAnsi="Times New Roman" w:eastAsia="方正仿宋_GBK"/>
          <w:b w:val="0"/>
          <w:sz w:val="24"/>
        </w:rPr>
        <w:t xml:space="preserve">更换为50.00 MVA；2034年扩建第三台50.00 MVA主变。本站</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各</w:t>
      </w:r>
      <w:r>
        <w:rPr>
          <w:rFonts w:ascii="Times New Roman" w:hAnsi="Times New Roman" w:eastAsia="方正仿宋_GBK"/>
          <w:b w:val="0"/>
          <w:sz w:val="24"/>
        </w:rPr>
        <w:t xml:space="preserve">年</w:t>
      </w:r>
      <w:r>
        <w:rPr>
          <w:rFonts w:ascii="Times New Roman" w:hAnsi="Times New Roman" w:eastAsia="方正仿宋_GBK"/>
          <w:b w:val="0"/>
          <w:sz w:val="24"/>
        </w:rPr>
        <w:t xml:space="preserve">未新增储能</w:t>
      </w:r>
      <w:r>
        <w:rPr>
          <w:rFonts w:ascii="Times New Roman" w:hAnsi="Times New Roman" w:eastAsia="方正仿宋_GBK"/>
          <w:b w:val="0"/>
          <w:sz w:val="24"/>
        </w:rPr>
        <w:t xml:space="preserve">。</w:t>
      </w:r>
    </w:p>
    <w:p w14:paraId="75C1D34E">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最大正向、反向净负荷分别为30.30 MW、24.46 MW</w:t>
      </w:r>
      <w:r>
        <w:rPr>
          <w:rFonts w:ascii="Times New Roman" w:hAnsi="Times New Roman" w:eastAsia="方正仿宋_GBK"/>
          <w:b w:val="0"/>
          <w:sz w:val="24"/>
        </w:rPr>
        <w:t xml:space="preserve">，2035年分别为44.65 MW、81.15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113</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2</w:t>
      </w:r>
      <w:r>
        <w:rPr>
          <w:rFonts w:ascii="Times New Roman" w:hAnsi="Times New Roman" w:eastAsia="方正仿宋_GBK"/>
          <w:b w:val="0"/>
          <w:sz w:val="24"/>
        </w:rPr>
        <w:t xml:space="preserve">.00 MW，弹性方案分别为</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较刚性增加50.00 MVA</w:t>
      </w:r>
      <w:r>
        <w:rPr>
          <w:rFonts w:ascii="Times New Roman" w:hAnsi="Times New Roman" w:eastAsia="方正仿宋_GBK"/>
          <w:b w:val="0"/>
          <w:sz w:val="24"/>
        </w:rPr>
        <w:t xml:space="preserve">。</w:t>
      </w:r>
    </w:p>
    <w:p w14:paraId="623E36B4">
      <w:pPr>
        <w:pStyle w:val="2"/>
        <w:keepNext/>
        <w:spacing w:before="120" w:after="80" w:line="280" w:lineRule="exact"/>
        <w:ind w:firstLine="0"/>
        <w:jc w:val="center"/>
      </w:pPr>
      <w:r>
        <w:rPr>
          <w:rFonts w:ascii="Times New Roman" w:hAnsi="Times New Roman" w:eastAsia="宋体"/>
          <w:b w:val="0"/>
          <w:sz w:val="21"/>
        </w:rPr>
        <w:t xml:space="preserve">表5-15 戴圩变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40.29</w:t>
            </w:r>
          </w:p>
        </w:tc>
      </w:tr>
    </w:tbl>
    <w:p w14:paraId="0F54F77C">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。全年本站故障工况中最小余量为13.85 MW。该小时本站未</w:t>
      </w:r>
      <w:r>
        <w:rPr>
          <w:rFonts w:ascii="Times New Roman" w:hAnsi="Times New Roman" w:eastAsia="方正仿宋_GBK"/>
          <w:b w:val="0"/>
          <w:sz w:val="24"/>
        </w:rPr>
        <w:t xml:space="preserve">转接</w:t>
      </w:r>
      <w:r>
        <w:rPr>
          <w:rFonts w:ascii="Times New Roman" w:hAnsi="Times New Roman" w:eastAsia="方正仿宋_GBK"/>
          <w:b w:val="0"/>
          <w:sz w:val="24"/>
        </w:rPr>
        <w:t xml:space="preserve">负荷，</w:t>
      </w:r>
      <w:r>
        <w:rPr>
          <w:rFonts w:ascii="Times New Roman" w:hAnsi="Times New Roman" w:eastAsia="方正仿宋_GBK"/>
          <w:b w:val="0"/>
          <w:sz w:val="24"/>
        </w:rPr>
        <w:t xml:space="preserve">净负荷为</w:t>
      </w:r>
      <w:r>
        <w:rPr>
          <w:rFonts w:ascii="Times New Roman" w:hAnsi="Times New Roman" w:eastAsia="方正仿宋_GBK"/>
          <w:b w:val="0"/>
          <w:sz w:val="24"/>
        </w:rPr>
        <w:t xml:space="preserve">-</w:t>
      </w:r>
      <w:r>
        <w:rPr>
          <w:rFonts w:ascii="Times New Roman" w:hAnsi="Times New Roman" w:eastAsia="方正仿宋_GBK"/>
          <w:b w:val="0"/>
          <w:sz w:val="24"/>
        </w:rPr>
        <w:t xml:space="preserve">81</w:t>
      </w:r>
      <w:r>
        <w:rPr>
          <w:rFonts w:ascii="Times New Roman" w:hAnsi="Times New Roman" w:eastAsia="方正仿宋_GBK"/>
          <w:b w:val="0"/>
          <w:sz w:val="24"/>
        </w:rPr>
        <w:t xml:space="preserve">.1</w:t>
      </w:r>
      <w:r>
        <w:rPr>
          <w:rFonts w:ascii="Times New Roman" w:hAnsi="Times New Roman" w:eastAsia="方正仿宋_GBK"/>
          <w:b w:val="0"/>
          <w:sz w:val="24"/>
        </w:rPr>
        <w:t xml:space="preserve">5</w:t>
      </w:r>
      <w:r>
        <w:rPr>
          <w:rFonts w:ascii="Times New Roman" w:hAnsi="Times New Roman" w:eastAsia="方正仿宋_GBK"/>
          <w:b w:val="0"/>
          <w:sz w:val="24"/>
        </w:rPr>
        <w:t xml:space="preserve"> MW。</w:t>
      </w:r>
    </w:p>
    <w:p w14:paraId="6ADA617E">
      <w:pPr>
        <w:pStyle w:val="2"/>
        <w:widowControl/>
        <w:spacing w:before="0" w:after="0" w:line="348" w:lineRule="exact"/>
        <w:ind w:firstLine="480"/>
        <w:jc w:val="both"/>
      </w:pPr>
      <w:r>
        <w:rPr>
          <w:rFonts w:ascii="Times New Roman" w:hAnsi="Times New Roman" w:eastAsia="方正仿宋_GBK"/>
          <w:b w:val="0"/>
          <w:sz w:val="24"/>
        </w:rPr>
        <w:t xml:space="preserve">本站弹性方案新增第三</w:t>
      </w:r>
      <w:r>
        <w:rPr>
          <w:rFonts w:ascii="Times New Roman" w:hAnsi="Times New Roman" w:eastAsia="方正仿宋_GBK"/>
          <w:b w:val="0"/>
          <w:sz w:val="24"/>
        </w:rPr>
        <w:t xml:space="preserve">台主变</w:t>
      </w:r>
      <w:r>
        <w:rPr>
          <w:rFonts w:ascii="Times New Roman" w:hAnsi="Times New Roman" w:eastAsia="方正仿宋_GBK"/>
          <w:b w:val="0"/>
          <w:sz w:val="24"/>
        </w:rPr>
        <w:t xml:space="preserve">，</w:t>
      </w:r>
      <w:r>
        <w:rPr>
          <w:rFonts w:ascii="Times New Roman" w:hAnsi="Times New Roman" w:eastAsia="方正仿宋_GBK"/>
          <w:b w:val="0"/>
          <w:sz w:val="24"/>
        </w:rPr>
        <w:t xml:space="preserve">改变了故障后</w:t>
      </w:r>
      <w:r>
        <w:rPr>
          <w:rFonts w:ascii="Times New Roman" w:hAnsi="Times New Roman" w:eastAsia="方正仿宋_GBK"/>
          <w:b w:val="0"/>
          <w:sz w:val="24"/>
        </w:rPr>
        <w:t xml:space="preserve">剩余</w:t>
      </w:r>
      <w:r>
        <w:rPr>
          <w:rFonts w:ascii="Times New Roman" w:hAnsi="Times New Roman" w:eastAsia="方正仿宋_GBK"/>
          <w:b w:val="0"/>
          <w:sz w:val="24"/>
        </w:rPr>
        <w:t xml:space="preserve">设备组合</w:t>
      </w:r>
      <w:r>
        <w:rPr>
          <w:rFonts w:ascii="Times New Roman" w:hAnsi="Times New Roman" w:eastAsia="方正仿宋_GBK"/>
          <w:b w:val="0"/>
          <w:sz w:val="24"/>
        </w:rPr>
        <w:t xml:space="preserve">，</w:t>
      </w:r>
      <w:r>
        <w:rPr>
          <w:rFonts w:ascii="Times New Roman" w:hAnsi="Times New Roman" w:eastAsia="方正仿宋_GBK"/>
          <w:b w:val="0"/>
          <w:sz w:val="24"/>
        </w:rPr>
        <w:t xml:space="preserve">可与刚性方案的配储及</w:t>
      </w:r>
      <w:r>
        <w:rPr>
          <w:rFonts w:ascii="Times New Roman" w:hAnsi="Times New Roman" w:eastAsia="方正仿宋_GBK"/>
          <w:b w:val="0"/>
          <w:sz w:val="24"/>
        </w:rPr>
        <w:t xml:space="preserve">转</w:t>
      </w:r>
      <w:r>
        <w:rPr>
          <w:rFonts w:ascii="Times New Roman" w:hAnsi="Times New Roman" w:eastAsia="方正仿宋_GBK"/>
          <w:b w:val="0"/>
          <w:sz w:val="24"/>
        </w:rPr>
        <w:t xml:space="preserve">接任务对应比较</w:t>
      </w:r>
      <w:r>
        <w:rPr>
          <w:rFonts w:ascii="Times New Roman" w:hAnsi="Times New Roman" w:eastAsia="方正仿宋_GBK"/>
          <w:b w:val="0"/>
          <w:sz w:val="24"/>
        </w:rPr>
        <w:t xml:space="preserve">。</w:t>
      </w:r>
    </w:p>
    <w:p w14:paraId="586F20F7">
      <w:pPr>
        <w:pStyle w:val="7"/>
        <w:keepNext/>
        <w:numPr>
          <w:ilvl w:val="0"/>
          <w:numId w:val="0"/>
        </w:numPr>
        <w:spacing w:before="160" w:after="120" w:line="360" w:lineRule="exact"/>
        <w:ind w:firstLine="0"/>
      </w:pPr>
      <w:bookmarkStart w:id="204" w:name="戴庄变规划分析"/>
      <w:r>
        <w:rPr>
          <w:rFonts w:ascii="Times New Roman" w:hAnsi="Times New Roman" w:eastAsia="方正仿宋_GBK"/>
          <w:b/>
          <w:sz w:val="24"/>
        </w:rPr>
        <w:t>戴庄变规划分析</w:t>
      </w:r>
      <w:bookmarkEnd w:id="204"/>
    </w:p>
    <w:p w14:paraId="436A8D0C">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w:t>
      </w:r>
      <w:r>
        <w:rPr>
          <w:rFonts w:ascii="Times New Roman" w:hAnsi="Times New Roman" w:eastAsia="方正仿宋_GBK"/>
          <w:b w:val="0"/>
          <w:sz w:val="24"/>
        </w:rPr>
        <w:t xml:space="preserve">0+50.00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弹性方案202</w:t>
      </w:r>
      <w:r>
        <w:rPr>
          <w:rFonts w:ascii="Times New Roman" w:hAnsi="Times New Roman" w:eastAsia="方正仿宋_GBK"/>
          <w:b w:val="0"/>
          <w:sz w:val="24"/>
        </w:rPr>
        <w:t xml:space="preserve">6</w:t>
      </w:r>
      <w:r>
        <w:rPr>
          <w:rFonts w:ascii="Times New Roman" w:hAnsi="Times New Roman" w:eastAsia="方正仿宋_GBK"/>
          <w:b w:val="0"/>
          <w:sz w:val="24"/>
        </w:rPr>
        <w:t xml:space="preserve">年</w:t>
      </w:r>
      <w:r>
        <w:rPr>
          <w:rFonts w:ascii="Times New Roman" w:hAnsi="Times New Roman" w:eastAsia="方正仿宋_GBK"/>
          <w:b w:val="0"/>
          <w:sz w:val="24"/>
        </w:rPr>
        <w:t xml:space="preserve">31.5</w:t>
      </w:r>
      <w:r>
        <w:rPr>
          <w:rFonts w:ascii="Times New Roman" w:hAnsi="Times New Roman" w:eastAsia="方正仿宋_GBK"/>
          <w:b w:val="0"/>
          <w:sz w:val="24"/>
        </w:rPr>
        <w:t xml:space="preserve">0 MVA更换为50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w:t>
      </w:r>
      <w:r>
        <w:rPr>
          <w:rFonts w:ascii="Times New Roman" w:hAnsi="Times New Roman" w:eastAsia="方正仿宋_GBK"/>
          <w:b w:val="0"/>
          <w:sz w:val="24"/>
        </w:rPr>
        <w:t xml:space="preserve">。储能按本地支撑需求分批增加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新增额定功率为2030年2.10 MW、2031年7.20 MW、2032年11.30 MW、2033年16.70 MW、2034年3.90 MW、2035年15.10 MW</w:t>
      </w:r>
      <w:r>
        <w:rPr>
          <w:rFonts w:ascii="Times New Roman" w:hAnsi="Times New Roman" w:eastAsia="方正仿宋_GBK"/>
          <w:b w:val="0"/>
          <w:sz w:val="24"/>
        </w:rPr>
        <w:t xml:space="preserve">。</w:t>
      </w:r>
    </w:p>
    <w:p w14:paraId="45D372A5">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最大正向、反向净负荷分别为30.59 MW、47.47 MW</w:t>
      </w:r>
      <w:r>
        <w:rPr>
          <w:rFonts w:ascii="Times New Roman" w:hAnsi="Times New Roman" w:eastAsia="方正仿宋_GBK"/>
          <w:b w:val="0"/>
          <w:sz w:val="24"/>
        </w:rPr>
        <w:t xml:space="preserve">，2035年分别为45.08 MW、132.85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100.00 MVA、储能额定功率</w:t>
      </w:r>
      <w:r>
        <w:rPr>
          <w:rFonts w:ascii="Times New Roman" w:hAnsi="Times New Roman" w:eastAsia="方正仿宋_GBK"/>
          <w:b w:val="0"/>
          <w:sz w:val="24"/>
        </w:rPr>
        <w:t xml:space="preserve">52</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0 MW，弹性方案分别为100.00 MVA和</w:t>
      </w:r>
      <w:r>
        <w:rPr>
          <w:rFonts w:ascii="Times New Roman" w:hAnsi="Times New Roman" w:eastAsia="方正仿宋_GBK"/>
          <w:b w:val="0"/>
          <w:sz w:val="24"/>
        </w:rPr>
        <w:t xml:space="preserve">56</w:t>
      </w:r>
      <w:r>
        <w:rPr>
          <w:rFonts w:ascii="Times New Roman" w:hAnsi="Times New Roman" w:eastAsia="方正仿宋_GBK"/>
          <w:b w:val="0"/>
          <w:sz w:val="24"/>
        </w:rPr>
        <w:t xml:space="preserve">.</w:t>
      </w:r>
      <w:r>
        <w:rPr>
          <w:rFonts w:ascii="Times New Roman" w:hAnsi="Times New Roman" w:eastAsia="方正仿宋_GBK"/>
          <w:b w:val="0"/>
          <w:sz w:val="24"/>
        </w:rPr>
        <w:t xml:space="preserve">3</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451D1F60">
      <w:pPr>
        <w:pStyle w:val="2"/>
        <w:keepNext/>
        <w:spacing w:before="120" w:after="80" w:line="280" w:lineRule="exact"/>
        <w:ind w:firstLine="0"/>
        <w:jc w:val="center"/>
      </w:pPr>
      <w:r>
        <w:rPr>
          <w:rFonts w:ascii="Times New Roman" w:hAnsi="Times New Roman" w:eastAsia="宋体"/>
          <w:b w:val="0"/>
          <w:sz w:val="21"/>
        </w:rPr>
        <w:t xml:space="preserve">表5-16 戴庄变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52.60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42.61</w:t>
            </w:r>
          </w:p>
        </w:tc>
      </w:tr>
    </w:tbl>
    <w:p w14:paraId="676B3661">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有效支撑功率为46.00 MW、反向有效吸收功率为56.30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中最小余量为0.06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-29</w:t>
      </w:r>
      <w:r>
        <w:rPr>
          <w:rFonts w:ascii="Times New Roman" w:hAnsi="Times New Roman" w:eastAsia="方正仿宋_GBK"/>
          <w:b w:val="0"/>
          <w:sz w:val="24"/>
        </w:rPr>
        <w:t xml:space="preserve">.</w:t>
      </w:r>
      <w:r>
        <w:rPr>
          <w:rFonts w:ascii="Times New Roman" w:hAnsi="Times New Roman" w:eastAsia="方正仿宋_GBK"/>
          <w:b w:val="0"/>
          <w:sz w:val="24"/>
        </w:rPr>
        <w:t xml:space="preserve">12</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w:t>
      </w:r>
      <w:r>
        <w:rPr>
          <w:rFonts w:ascii="Times New Roman" w:hAnsi="Times New Roman" w:eastAsia="方正仿宋_GBK"/>
          <w:b w:val="0"/>
          <w:sz w:val="24"/>
        </w:rPr>
        <w:t xml:space="preserve">10</w:t>
      </w:r>
      <w:r>
        <w:rPr>
          <w:rFonts w:ascii="Times New Roman" w:hAnsi="Times New Roman" w:eastAsia="方正仿宋_GBK"/>
          <w:b w:val="0"/>
          <w:sz w:val="24"/>
        </w:rPr>
        <w:t xml:space="preserve">3.74</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其中与邢楼变之间的主要通道承担7.28 MW净功率转接，使用已投运新增联络。</w:t>
      </w:r>
    </w:p>
    <w:p w14:paraId="45E3D770">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储能额定功率相差3</w:t>
      </w:r>
      <w:r>
        <w:rPr>
          <w:rFonts w:ascii="Times New Roman" w:hAnsi="Times New Roman" w:eastAsia="方正仿宋_GBK"/>
          <w:b w:val="0"/>
          <w:sz w:val="24"/>
        </w:rPr>
        <w:t xml:space="preserve">.</w:t>
      </w:r>
      <w:r>
        <w:rPr>
          <w:rFonts w:ascii="Times New Roman" w:hAnsi="Times New Roman" w:eastAsia="方正仿宋_GBK"/>
          <w:b w:val="0"/>
          <w:sz w:val="24"/>
        </w:rPr>
        <w:t xml:space="preserve">7</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6D7D78A4">
      <w:pPr>
        <w:pStyle w:val="7"/>
        <w:keepNext/>
        <w:numPr>
          <w:ilvl w:val="0"/>
          <w:numId w:val="0"/>
        </w:numPr>
        <w:spacing w:before="160" w:after="120" w:line="360" w:lineRule="exact"/>
        <w:ind w:firstLine="0"/>
      </w:pPr>
      <w:bookmarkStart w:id="205" w:name="杜村变规划分析"/>
      <w:r>
        <w:rPr>
          <w:rFonts w:ascii="Times New Roman" w:hAnsi="Times New Roman" w:eastAsia="方正仿宋_GBK"/>
          <w:b/>
          <w:sz w:val="24"/>
        </w:rPr>
        <w:t>杜村变规划分析</w:t>
      </w:r>
      <w:bookmarkEnd w:id="205"/>
    </w:p>
    <w:p w14:paraId="784526FC">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2026</w:t>
      </w:r>
      <w:r>
        <w:rPr>
          <w:rFonts w:ascii="Times New Roman" w:hAnsi="Times New Roman" w:eastAsia="方正仿宋_GBK"/>
          <w:b w:val="0"/>
          <w:sz w:val="24"/>
        </w:rPr>
        <w:t xml:space="preserve">年</w:t>
      </w:r>
      <w:r>
        <w:rPr>
          <w:rFonts w:ascii="Times New Roman" w:hAnsi="Times New Roman" w:eastAsia="方正仿宋_GBK"/>
          <w:b w:val="0"/>
          <w:sz w:val="24"/>
        </w:rPr>
        <w:t xml:space="preserve">40.00 MVA更换为50.00 MVA；2028年扩建第三台50.00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3FB124DF">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最大正向、反向净负荷分别为92.06 MW、18.13 MW</w:t>
      </w:r>
      <w:r>
        <w:rPr>
          <w:rFonts w:ascii="Times New Roman" w:hAnsi="Times New Roman" w:eastAsia="方正仿宋_GBK"/>
          <w:b w:val="0"/>
          <w:sz w:val="24"/>
        </w:rPr>
        <w:t xml:space="preserve">，2035年分别为135.67 MW、72.08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2</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48D3698F">
      <w:pPr>
        <w:pStyle w:val="2"/>
        <w:keepNext/>
        <w:spacing w:before="120" w:after="80" w:line="280" w:lineRule="exact"/>
        <w:ind w:firstLine="0"/>
        <w:jc w:val="center"/>
      </w:pPr>
      <w:r>
        <w:rPr>
          <w:rFonts w:ascii="Times New Roman" w:hAnsi="Times New Roman" w:eastAsia="宋体"/>
          <w:b w:val="0"/>
          <w:sz w:val="21"/>
        </w:rPr>
        <w:t xml:space="preserve">表5-17 杜村变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103.89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128.42</w:t>
            </w:r>
          </w:p>
        </w:tc>
      </w:tr>
    </w:tbl>
    <w:p w14:paraId="34AB2DA7">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中最小余量为6.00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51.8</w:t>
      </w:r>
      <w:r>
        <w:rPr>
          <w:rFonts w:ascii="Times New Roman" w:hAnsi="Times New Roman" w:eastAsia="方正仿宋_GBK"/>
          <w:b w:val="0"/>
          <w:sz w:val="24"/>
        </w:rPr>
        <w:t xml:space="preserve">7</w:t>
      </w:r>
      <w:r>
        <w:rPr>
          <w:rFonts w:ascii="Times New Roman" w:hAnsi="Times New Roman" w:eastAsia="方正仿宋_GBK"/>
          <w:b w:val="0"/>
          <w:sz w:val="24"/>
        </w:rPr>
        <w:t xml:space="preserve"> MW、承接</w:t>
      </w:r>
      <w:r>
        <w:rPr>
          <w:rFonts w:ascii="Times New Roman" w:hAnsi="Times New Roman" w:eastAsia="方正仿宋_GBK"/>
          <w:b w:val="0"/>
          <w:sz w:val="24"/>
        </w:rPr>
        <w:t xml:space="preserve">5</w:t>
      </w:r>
      <w:r>
        <w:rPr>
          <w:rFonts w:ascii="Times New Roman" w:hAnsi="Times New Roman" w:eastAsia="方正仿宋_GBK"/>
          <w:b w:val="0"/>
          <w:sz w:val="24"/>
        </w:rPr>
        <w:t xml:space="preserve">.</w:t>
      </w:r>
      <w:r>
        <w:rPr>
          <w:rFonts w:ascii="Times New Roman" w:hAnsi="Times New Roman" w:eastAsia="方正仿宋_GBK"/>
          <w:b w:val="0"/>
          <w:sz w:val="24"/>
        </w:rPr>
        <w:t xml:space="preserve">21</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89</w:t>
      </w:r>
      <w:r>
        <w:rPr>
          <w:rFonts w:ascii="Times New Roman" w:hAnsi="Times New Roman" w:eastAsia="方正仿宋_GBK"/>
          <w:b w:val="0"/>
          <w:sz w:val="24"/>
        </w:rPr>
        <w:t xml:space="preserve">.00 MW</w:t>
      </w:r>
      <w:r>
        <w:rPr>
          <w:rFonts w:ascii="Times New Roman" w:hAnsi="Times New Roman" w:eastAsia="方正仿宋_GBK"/>
          <w:b w:val="0"/>
          <w:sz w:val="24"/>
        </w:rPr>
        <w:t xml:space="preserve">。其中与邳州变之间的主要通道承担7</w:t>
      </w:r>
      <w:r>
        <w:rPr>
          <w:rFonts w:ascii="Times New Roman" w:hAnsi="Times New Roman" w:eastAsia="方正仿宋_GBK"/>
          <w:b w:val="0"/>
          <w:sz w:val="24"/>
        </w:rPr>
        <w:t xml:space="preserve">.</w:t>
      </w:r>
      <w:r>
        <w:rPr>
          <w:rFonts w:ascii="Times New Roman" w:hAnsi="Times New Roman" w:eastAsia="方正仿宋_GBK"/>
          <w:b w:val="0"/>
          <w:sz w:val="24"/>
        </w:rPr>
        <w:t xml:space="preserve">98</w:t>
      </w:r>
      <w:r>
        <w:rPr>
          <w:rFonts w:ascii="Times New Roman" w:hAnsi="Times New Roman" w:eastAsia="方正仿宋_GBK"/>
          <w:b w:val="0"/>
          <w:sz w:val="24"/>
        </w:rPr>
        <w:t xml:space="preserve"> MW</w:t>
      </w:r>
      <w:r>
        <w:rPr>
          <w:rFonts w:ascii="Times New Roman" w:hAnsi="Times New Roman" w:eastAsia="方正仿宋_GBK"/>
          <w:b w:val="0"/>
          <w:sz w:val="24"/>
        </w:rPr>
        <w:t xml:space="preserve">净功率转接，使用既有通道</w:t>
      </w:r>
      <w:r>
        <w:rPr>
          <w:rFonts w:ascii="Times New Roman" w:hAnsi="Times New Roman" w:eastAsia="方正仿宋_GBK"/>
          <w:b w:val="0"/>
          <w:sz w:val="24"/>
        </w:rPr>
        <w:t xml:space="preserve">。</w:t>
      </w:r>
    </w:p>
    <w:p w14:paraId="22DCE287">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储能额定功率相差2</w:t>
      </w:r>
      <w:r>
        <w:rPr>
          <w:rFonts w:ascii="Times New Roman" w:hAnsi="Times New Roman" w:eastAsia="方正仿宋_GBK"/>
          <w:b w:val="0"/>
          <w:sz w:val="24"/>
        </w:rPr>
        <w:t xml:space="preserve">.6</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5EBE9C86">
      <w:pPr>
        <w:pStyle w:val="7"/>
        <w:keepNext/>
        <w:numPr>
          <w:ilvl w:val="0"/>
          <w:numId w:val="0"/>
        </w:numPr>
        <w:spacing w:before="160" w:after="120" w:line="360" w:lineRule="exact"/>
        <w:ind w:firstLine="0"/>
      </w:pPr>
      <w:bookmarkStart w:id="206" w:name="墩集变规划分析"/>
      <w:r>
        <w:rPr>
          <w:rFonts w:ascii="Times New Roman" w:hAnsi="Times New Roman" w:eastAsia="方正仿宋_GBK"/>
          <w:b/>
          <w:sz w:val="24"/>
        </w:rPr>
        <w:t>墩集变规划分析</w:t>
      </w:r>
      <w:bookmarkEnd w:id="206"/>
    </w:p>
    <w:p w14:paraId="3333465B">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31.50+63.00 MVA。弹性方案</w:t>
      </w:r>
      <w:r>
        <w:rPr>
          <w:rFonts w:ascii="Times New Roman" w:hAnsi="Times New Roman" w:eastAsia="方正仿宋_GBK"/>
          <w:b w:val="0"/>
          <w:sz w:val="24"/>
        </w:rPr>
        <w:t xml:space="preserve">20</w:t>
      </w:r>
      <w:r>
        <w:rPr>
          <w:rFonts w:ascii="Times New Roman" w:hAnsi="Times New Roman" w:eastAsia="方正仿宋_GBK"/>
          <w:b w:val="0"/>
          <w:sz w:val="24"/>
        </w:rPr>
        <w:t xml:space="preserve">22年31.</w:t>
      </w:r>
      <w:r>
        <w:rPr>
          <w:rFonts w:ascii="Times New Roman" w:hAnsi="Times New Roman" w:eastAsia="方正仿宋_GBK"/>
          <w:b w:val="0"/>
          <w:sz w:val="24"/>
        </w:rPr>
        <w:t xml:space="preserve">50 MVA</w:t>
      </w:r>
      <w:r>
        <w:rPr>
          <w:rFonts w:ascii="Times New Roman" w:hAnsi="Times New Roman" w:eastAsia="方正仿宋_GBK"/>
          <w:b w:val="0"/>
          <w:sz w:val="24"/>
        </w:rPr>
        <w:t xml:space="preserve">更换为50.00 MVA；2028</w:t>
      </w:r>
      <w:r>
        <w:rPr>
          <w:rFonts w:ascii="Times New Roman" w:hAnsi="Times New Roman" w:eastAsia="方正仿宋_GBK"/>
          <w:b w:val="0"/>
          <w:sz w:val="24"/>
        </w:rPr>
        <w:t xml:space="preserve">年</w:t>
      </w:r>
      <w:r>
        <w:rPr>
          <w:rFonts w:ascii="Times New Roman" w:hAnsi="Times New Roman" w:eastAsia="方正仿宋_GBK"/>
          <w:b w:val="0"/>
          <w:sz w:val="24"/>
        </w:rPr>
        <w:t xml:space="preserve">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储能按本地支撑需求分批增加，新增额定功率为2034年2.70 MW、2035年0.20 MW。</w:t>
      </w:r>
    </w:p>
    <w:p w14:paraId="703A5ACC">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最大正向、反向净负荷分别为59.52 MW、35.45 MW</w:t>
      </w:r>
      <w:r>
        <w:rPr>
          <w:rFonts w:ascii="Times New Roman" w:hAnsi="Times New Roman" w:eastAsia="方正仿宋_GBK"/>
          <w:b w:val="0"/>
          <w:sz w:val="24"/>
        </w:rPr>
        <w:t xml:space="preserve">，2035年分别为87.71 MW、129.57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16</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MVA和</w:t>
      </w:r>
      <w:r>
        <w:rPr>
          <w:rFonts w:ascii="Times New Roman" w:hAnsi="Times New Roman" w:eastAsia="方正仿宋_GBK"/>
          <w:b w:val="0"/>
          <w:sz w:val="24"/>
        </w:rPr>
        <w:t xml:space="preserve">2</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1E40E392">
      <w:pPr>
        <w:pStyle w:val="2"/>
        <w:keepNext/>
        <w:spacing w:before="120" w:after="80" w:line="280" w:lineRule="exact"/>
        <w:ind w:firstLine="0"/>
        <w:jc w:val="center"/>
      </w:pPr>
      <w:r>
        <w:rPr>
          <w:rFonts w:ascii="Times New Roman" w:hAnsi="Times New Roman" w:eastAsia="宋体"/>
          <w:b w:val="0"/>
          <w:sz w:val="21"/>
        </w:rPr>
        <w:t xml:space="preserve">表5-18 墩集变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85.37</w:t>
            </w:r>
          </w:p>
        </w:tc>
      </w:tr>
    </w:tbl>
    <w:p w14:paraId="7E875F37">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弹性方案剩余主变容量为10</w:t>
      </w:r>
      <w:r>
        <w:rPr>
          <w:rFonts w:ascii="Times New Roman" w:hAnsi="Times New Roman" w:eastAsia="方正仿宋_GBK"/>
          <w:b w:val="0"/>
          <w:sz w:val="24"/>
        </w:rPr>
        <w:t xml:space="preserve">0.00 M</w:t>
      </w:r>
      <w:r>
        <w:rPr>
          <w:rFonts w:ascii="Times New Roman" w:hAnsi="Times New Roman" w:eastAsia="方正仿宋_GBK"/>
          <w:b w:val="0"/>
          <w:sz w:val="24"/>
        </w:rPr>
        <w:t xml:space="preserve">VA，按0.95功率因数折算为95.00 MW。储能正向有效支撑功率为2.37 MW、反向有效吸收功率为2.90 MW。全年本站故障工况中最小余量为0.39 MW。该小时按采用的固定区段预案，本站转出-30.23 M</w:t>
      </w:r>
      <w:r>
        <w:rPr>
          <w:rFonts w:ascii="Times New Roman" w:hAnsi="Times New Roman" w:eastAsia="方正仿宋_GBK"/>
          <w:b w:val="0"/>
          <w:sz w:val="24"/>
        </w:rPr>
        <w:t xml:space="preserve">W、承接</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83</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-97.</w:t>
      </w:r>
      <w:r>
        <w:rPr>
          <w:rFonts w:ascii="Times New Roman" w:hAnsi="Times New Roman" w:eastAsia="方正仿宋_GBK"/>
          <w:b w:val="0"/>
          <w:sz w:val="24"/>
        </w:rPr>
        <w:t xml:space="preserve">5</w:t>
      </w:r>
      <w:r>
        <w:rPr>
          <w:rFonts w:ascii="Times New Roman" w:hAnsi="Times New Roman" w:eastAsia="方正仿宋_GBK"/>
          <w:b w:val="0"/>
          <w:sz w:val="24"/>
        </w:rPr>
        <w:t xml:space="preserve">1</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其中与河湾变之间的主要通道承担8.64 MW净功率转接，使用既有通道。</w:t>
      </w:r>
    </w:p>
    <w:p w14:paraId="72EA680D">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储能额定功率相差13</w:t>
      </w:r>
      <w:r>
        <w:rPr>
          <w:rFonts w:ascii="Times New Roman" w:hAnsi="Times New Roman" w:eastAsia="方正仿宋_GBK"/>
          <w:b w:val="0"/>
          <w:sz w:val="24"/>
        </w:rPr>
        <w:t xml:space="preserve">.</w:t>
      </w:r>
      <w:r>
        <w:rPr>
          <w:rFonts w:ascii="Times New Roman" w:hAnsi="Times New Roman" w:eastAsia="方正仿宋_GBK"/>
          <w:b w:val="0"/>
          <w:sz w:val="24"/>
        </w:rPr>
        <w:t xml:space="preserve">7</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4941FA72">
      <w:pPr>
        <w:pStyle w:val="7"/>
        <w:keepNext/>
        <w:numPr>
          <w:ilvl w:val="0"/>
          <w:numId w:val="0"/>
        </w:numPr>
        <w:spacing w:before="160" w:after="120" w:line="360" w:lineRule="exact"/>
        <w:ind w:firstLine="0"/>
      </w:pPr>
      <w:bookmarkStart w:id="207" w:name="二庙变规划分析"/>
      <w:r>
        <w:rPr>
          <w:rFonts w:ascii="Times New Roman" w:hAnsi="Times New Roman" w:eastAsia="方正仿宋_GBK"/>
          <w:b/>
          <w:sz w:val="24"/>
        </w:rPr>
        <w:t>二庙变规划分析</w:t>
      </w:r>
      <w:bookmarkEnd w:id="207"/>
    </w:p>
    <w:p w14:paraId="79352F3E">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2021年主变组合为80.00+80.00 MVA。弹性方案2022—2035年保留</w:t>
      </w:r>
      <w:r>
        <w:rPr>
          <w:rFonts w:ascii="Times New Roman" w:hAnsi="Times New Roman" w:eastAsia="方正仿宋_GBK"/>
          <w:b w:val="0"/>
          <w:sz w:val="24"/>
        </w:rPr>
        <w:t xml:space="preserve">初始主变组合</w:t>
      </w:r>
      <w:r>
        <w:rPr>
          <w:rFonts w:ascii="Times New Roman" w:hAnsi="Times New Roman" w:eastAsia="方正仿宋_GBK"/>
          <w:b w:val="0"/>
          <w:sz w:val="24"/>
        </w:rPr>
        <w:t xml:space="preserve">。储能按本地支撑需求分批增加，新增额定功率</w:t>
      </w:r>
      <w:r>
        <w:rPr>
          <w:rFonts w:ascii="Times New Roman" w:hAnsi="Times New Roman" w:eastAsia="方正仿宋_GBK"/>
          <w:b w:val="0"/>
          <w:sz w:val="24"/>
        </w:rPr>
        <w:t xml:space="preserve">为</w:t>
      </w:r>
      <w:r>
        <w:rPr>
          <w:rFonts w:ascii="Times New Roman" w:hAnsi="Times New Roman" w:eastAsia="方正仿宋_GBK"/>
          <w:b w:val="0"/>
          <w:sz w:val="24"/>
        </w:rPr>
        <w:t xml:space="preserve">2029年0.</w:t>
      </w:r>
      <w:r>
        <w:rPr>
          <w:rFonts w:ascii="Times New Roman" w:hAnsi="Times New Roman" w:eastAsia="方正仿宋_GBK"/>
          <w:b w:val="0"/>
          <w:sz w:val="24"/>
        </w:rPr>
        <w:t xml:space="preserve">3</w:t>
      </w:r>
      <w:r>
        <w:rPr>
          <w:rFonts w:ascii="Times New Roman" w:hAnsi="Times New Roman" w:eastAsia="方正仿宋_GBK"/>
          <w:b w:val="0"/>
          <w:sz w:val="24"/>
        </w:rPr>
        <w:t xml:space="preserve">0 M</w:t>
      </w:r>
      <w:r>
        <w:rPr>
          <w:rFonts w:ascii="Times New Roman" w:hAnsi="Times New Roman" w:eastAsia="方正仿宋_GBK"/>
          <w:b w:val="0"/>
          <w:sz w:val="24"/>
        </w:rPr>
        <w:t xml:space="preserve">W、</w:t>
      </w: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2</w:t>
      </w:r>
      <w:r>
        <w:rPr>
          <w:rFonts w:ascii="Times New Roman" w:hAnsi="Times New Roman" w:eastAsia="方正仿宋_GBK"/>
          <w:b w:val="0"/>
          <w:sz w:val="24"/>
        </w:rPr>
        <w:t xml:space="preserve">年</w:t>
      </w:r>
      <w:r>
        <w:rPr>
          <w:rFonts w:ascii="Times New Roman" w:hAnsi="Times New Roman" w:eastAsia="方正仿宋_GBK"/>
          <w:b w:val="0"/>
          <w:sz w:val="24"/>
        </w:rPr>
        <w:t xml:space="preserve">0.40 MW</w:t>
      </w:r>
      <w:r>
        <w:rPr>
          <w:rFonts w:ascii="Times New Roman" w:hAnsi="Times New Roman" w:eastAsia="方正仿宋_GBK"/>
          <w:b w:val="0"/>
          <w:sz w:val="24"/>
        </w:rPr>
        <w:t xml:space="preserve">、2034年0.10 MW、2035年3.30 MW</w:t>
      </w:r>
      <w:r>
        <w:rPr>
          <w:rFonts w:ascii="Times New Roman" w:hAnsi="Times New Roman" w:eastAsia="方正仿宋_GBK"/>
          <w:b w:val="0"/>
          <w:sz w:val="24"/>
        </w:rPr>
        <w:t xml:space="preserve">。</w:t>
      </w:r>
    </w:p>
    <w:p w14:paraId="2C131EB9">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最大正向、反向净负荷分别为103.56 MW、0.00 MW</w:t>
      </w:r>
      <w:r>
        <w:rPr>
          <w:rFonts w:ascii="Times New Roman" w:hAnsi="Times New Roman" w:eastAsia="方正仿宋_GBK"/>
          <w:b w:val="0"/>
          <w:sz w:val="24"/>
        </w:rPr>
        <w:t xml:space="preserve">，2035年分别为152.61 MW、28.13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60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MVA、储能额定功率</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0 MW，弹性方案分别为1</w:t>
      </w:r>
      <w:r>
        <w:rPr>
          <w:rFonts w:ascii="Times New Roman" w:hAnsi="Times New Roman" w:eastAsia="方正仿宋_GBK"/>
          <w:b w:val="0"/>
          <w:sz w:val="24"/>
        </w:rPr>
        <w:t xml:space="preserve">60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MVA和</w:t>
      </w:r>
      <w:r>
        <w:rPr>
          <w:rFonts w:ascii="Times New Roman" w:hAnsi="Times New Roman" w:eastAsia="方正仿宋_GBK"/>
          <w:b w:val="0"/>
          <w:sz w:val="24"/>
        </w:rPr>
        <w:t xml:space="preserve">4</w:t>
      </w:r>
      <w:r>
        <w:rPr>
          <w:rFonts w:ascii="Times New Roman" w:hAnsi="Times New Roman" w:eastAsia="方正仿宋_GBK"/>
          <w:b w:val="0"/>
          <w:sz w:val="24"/>
        </w:rPr>
        <w:t xml:space="preserve">.</w:t>
      </w:r>
      <w:r>
        <w:rPr>
          <w:rFonts w:ascii="Times New Roman" w:hAnsi="Times New Roman" w:eastAsia="方正仿宋_GBK"/>
          <w:b w:val="0"/>
          <w:sz w:val="24"/>
        </w:rPr>
        <w:t xml:space="preserve">1</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5671F729">
      <w:pPr>
        <w:pStyle w:val="2"/>
        <w:keepNext/>
        <w:spacing w:before="120" w:after="80" w:line="280" w:lineRule="exact"/>
        <w:ind w:firstLine="0"/>
        <w:jc w:val="center"/>
      </w:pPr>
      <w:r>
        <w:rPr>
          <w:rFonts w:ascii="Times New Roman" w:hAnsi="Times New Roman" w:eastAsia="宋体"/>
          <w:b w:val="0"/>
          <w:sz w:val="21"/>
        </w:rPr>
        <w:t xml:space="preserve">表5-19 二庙变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108.51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120.24</w:t>
            </w:r>
          </w:p>
        </w:tc>
      </w:tr>
    </w:tbl>
    <w:p w14:paraId="7E54946D">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最大单台主变N-1后，弹性方案剩余主变容量为80.00 MVA，按0.95功率因数折算为76.00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有效支撑功率为3.35 MW、反向有效吸收功率为4.10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中最小余量为0.07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73</w:t>
      </w:r>
      <w:r>
        <w:rPr>
          <w:rFonts w:ascii="Times New Roman" w:hAnsi="Times New Roman" w:eastAsia="方正仿宋_GBK"/>
          <w:b w:val="0"/>
          <w:sz w:val="24"/>
        </w:rPr>
        <w:t xml:space="preserve">.</w:t>
      </w:r>
      <w:r>
        <w:rPr>
          <w:rFonts w:ascii="Times New Roman" w:hAnsi="Times New Roman" w:eastAsia="方正仿宋_GBK"/>
          <w:b w:val="0"/>
          <w:sz w:val="24"/>
        </w:rPr>
        <w:t xml:space="preserve">33</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7</w:t>
      </w:r>
      <w:r>
        <w:rPr>
          <w:rFonts w:ascii="Times New Roman" w:hAnsi="Times New Roman" w:eastAsia="方正仿宋_GBK"/>
          <w:b w:val="0"/>
          <w:sz w:val="24"/>
        </w:rPr>
        <w:t xml:space="preserve">9.</w:t>
      </w:r>
      <w:r>
        <w:rPr>
          <w:rFonts w:ascii="Times New Roman" w:hAnsi="Times New Roman" w:eastAsia="方正仿宋_GBK"/>
          <w:b w:val="0"/>
          <w:sz w:val="24"/>
        </w:rPr>
        <w:t xml:space="preserve">2</w:t>
      </w:r>
      <w:r>
        <w:rPr>
          <w:rFonts w:ascii="Times New Roman" w:hAnsi="Times New Roman" w:eastAsia="方正仿宋_GBK"/>
          <w:b w:val="0"/>
          <w:sz w:val="24"/>
        </w:rPr>
        <w:t xml:space="preserve">8</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其中与河湾变之间的主要通道承担7.93 MW净功率转接，使用既有通道。</w:t>
      </w:r>
    </w:p>
    <w:p w14:paraId="6D729C55">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储能额定功率相差2</w:t>
      </w:r>
      <w:r>
        <w:rPr>
          <w:rFonts w:ascii="Times New Roman" w:hAnsi="Times New Roman" w:eastAsia="方正仿宋_GBK"/>
          <w:b w:val="0"/>
          <w:sz w:val="24"/>
        </w:rPr>
        <w:t xml:space="preserve">.50 M</w:t>
      </w:r>
      <w:r>
        <w:rPr>
          <w:rFonts w:ascii="Times New Roman" w:hAnsi="Times New Roman" w:eastAsia="方正仿宋_GBK"/>
          <w:b w:val="0"/>
          <w:sz w:val="24"/>
        </w:rPr>
        <w:t xml:space="preserve">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6685D8BE">
      <w:pPr>
        <w:pStyle w:val="7"/>
        <w:keepNext/>
        <w:numPr>
          <w:ilvl w:val="0"/>
          <w:numId w:val="0"/>
        </w:numPr>
        <w:spacing w:before="160" w:after="120" w:line="360" w:lineRule="exact"/>
        <w:ind w:firstLine="0"/>
      </w:pPr>
      <w:bookmarkStart w:id="208" w:name="坊上变规划分析"/>
      <w:r>
        <w:rPr>
          <w:rFonts w:ascii="Times New Roman" w:hAnsi="Times New Roman" w:eastAsia="方正仿宋_GBK"/>
          <w:b/>
          <w:sz w:val="24"/>
        </w:rPr>
        <w:t>坊上变规划分析</w:t>
      </w:r>
      <w:bookmarkEnd w:id="208"/>
    </w:p>
    <w:p w14:paraId="78180A8A">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40.00+6</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2033</w:t>
      </w:r>
      <w:r>
        <w:rPr>
          <w:rFonts w:ascii="Times New Roman" w:hAnsi="Times New Roman" w:eastAsia="方正仿宋_GBK"/>
          <w:b w:val="0"/>
          <w:sz w:val="24"/>
        </w:rPr>
        <w:t xml:space="preserve">年</w:t>
      </w:r>
      <w:r>
        <w:rPr>
          <w:rFonts w:ascii="Times New Roman" w:hAnsi="Times New Roman" w:eastAsia="方正仿宋_GBK"/>
          <w:b w:val="0"/>
          <w:sz w:val="24"/>
        </w:rPr>
        <w:t xml:space="preserve">40.00 MVA更换为50.00 MVA；2034年扩建第三台50.00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7E494F62">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最大正向、反向净负荷分别为39.89 MW、29.68 MW</w:t>
      </w:r>
      <w:r>
        <w:rPr>
          <w:rFonts w:ascii="Times New Roman" w:hAnsi="Times New Roman" w:eastAsia="方正仿宋_GBK"/>
          <w:b w:val="0"/>
          <w:sz w:val="24"/>
        </w:rPr>
        <w:t xml:space="preserve">，2035年分别为58.78 MW、91.84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13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MVA、储能额定功率0.</w:t>
      </w:r>
      <w:r>
        <w:rPr>
          <w:rFonts w:ascii="Times New Roman" w:hAnsi="Times New Roman" w:eastAsia="方正仿宋_GBK"/>
          <w:b w:val="0"/>
          <w:sz w:val="24"/>
        </w:rPr>
        <w:t xml:space="preserve">1</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w:t>
      </w:r>
      <w:r>
        <w:rPr>
          <w:rFonts w:ascii="Times New Roman" w:hAnsi="Times New Roman" w:eastAsia="方正仿宋_GBK"/>
          <w:b w:val="0"/>
          <w:sz w:val="24"/>
        </w:rPr>
        <w:t xml:space="preserve">63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较刚性增加50.00 MVA</w:t>
      </w:r>
      <w:r>
        <w:rPr>
          <w:rFonts w:ascii="Times New Roman" w:hAnsi="Times New Roman" w:eastAsia="方正仿宋_GBK"/>
          <w:b w:val="0"/>
          <w:sz w:val="24"/>
        </w:rPr>
        <w:t xml:space="preserve">。</w:t>
      </w:r>
    </w:p>
    <w:p w14:paraId="1AAB468D">
      <w:pPr>
        <w:pStyle w:val="2"/>
        <w:keepNext/>
        <w:spacing w:before="120" w:after="80" w:line="280" w:lineRule="exact"/>
        <w:ind w:firstLine="0"/>
        <w:jc w:val="center"/>
      </w:pPr>
      <w:r>
        <w:rPr>
          <w:rFonts w:ascii="Times New Roman" w:hAnsi="Times New Roman" w:eastAsia="宋体"/>
          <w:b w:val="0"/>
          <w:sz w:val="21"/>
        </w:rPr>
        <w:t xml:space="preserve">表5-20 坊上变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55.81</w:t>
            </w:r>
          </w:p>
        </w:tc>
      </w:tr>
    </w:tbl>
    <w:p w14:paraId="4459E35B">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。全年本站故障工况中最小余量为3.16 MW。该小时本站未</w:t>
      </w:r>
      <w:r>
        <w:rPr>
          <w:rFonts w:ascii="Times New Roman" w:hAnsi="Times New Roman" w:eastAsia="方正仿宋_GBK"/>
          <w:b w:val="0"/>
          <w:sz w:val="24"/>
        </w:rPr>
        <w:t xml:space="preserve">转接</w:t>
      </w:r>
      <w:r>
        <w:rPr>
          <w:rFonts w:ascii="Times New Roman" w:hAnsi="Times New Roman" w:eastAsia="方正仿宋_GBK"/>
          <w:b w:val="0"/>
          <w:sz w:val="24"/>
        </w:rPr>
        <w:t xml:space="preserve">负荷，</w:t>
      </w:r>
      <w:r>
        <w:rPr>
          <w:rFonts w:ascii="Times New Roman" w:hAnsi="Times New Roman" w:eastAsia="方正仿宋_GBK"/>
          <w:b w:val="0"/>
          <w:sz w:val="24"/>
        </w:rPr>
        <w:t xml:space="preserve">净负荷为</w:t>
      </w:r>
      <w:r>
        <w:rPr>
          <w:rFonts w:ascii="Times New Roman" w:hAnsi="Times New Roman" w:eastAsia="方正仿宋_GBK"/>
          <w:b w:val="0"/>
          <w:sz w:val="24"/>
        </w:rPr>
        <w:t xml:space="preserve">-91</w:t>
      </w:r>
      <w:r>
        <w:rPr>
          <w:rFonts w:ascii="Times New Roman" w:hAnsi="Times New Roman" w:eastAsia="方正仿宋_GBK"/>
          <w:b w:val="0"/>
          <w:sz w:val="24"/>
        </w:rPr>
        <w:t xml:space="preserve">.8</w:t>
      </w:r>
      <w:r>
        <w:rPr>
          <w:rFonts w:ascii="Times New Roman" w:hAnsi="Times New Roman" w:eastAsia="方正仿宋_GBK"/>
          <w:b w:val="0"/>
          <w:sz w:val="24"/>
        </w:rPr>
        <w:t xml:space="preserve">4</w:t>
      </w:r>
      <w:r>
        <w:rPr>
          <w:rFonts w:ascii="Times New Roman" w:hAnsi="Times New Roman" w:eastAsia="方正仿宋_GBK"/>
          <w:b w:val="0"/>
          <w:sz w:val="24"/>
        </w:rPr>
        <w:t xml:space="preserve"> MW。</w:t>
      </w:r>
    </w:p>
    <w:p w14:paraId="1BE4115D">
      <w:pPr>
        <w:pStyle w:val="2"/>
        <w:widowControl/>
        <w:spacing w:before="0" w:after="0" w:line="348" w:lineRule="exact"/>
        <w:ind w:firstLine="480"/>
        <w:jc w:val="both"/>
      </w:pPr>
      <w:r>
        <w:rPr>
          <w:rFonts w:ascii="Times New Roman" w:hAnsi="Times New Roman" w:eastAsia="方正仿宋_GBK"/>
          <w:b w:val="0"/>
          <w:sz w:val="24"/>
        </w:rPr>
        <w:t xml:space="preserve">本站弹性方案新增第三</w:t>
      </w:r>
      <w:r>
        <w:rPr>
          <w:rFonts w:ascii="Times New Roman" w:hAnsi="Times New Roman" w:eastAsia="方正仿宋_GBK"/>
          <w:b w:val="0"/>
          <w:sz w:val="24"/>
        </w:rPr>
        <w:t xml:space="preserve">台主变</w:t>
      </w:r>
      <w:r>
        <w:rPr>
          <w:rFonts w:ascii="Times New Roman" w:hAnsi="Times New Roman" w:eastAsia="方正仿宋_GBK"/>
          <w:b w:val="0"/>
          <w:sz w:val="24"/>
        </w:rPr>
        <w:t xml:space="preserve">，</w:t>
      </w:r>
      <w:r>
        <w:rPr>
          <w:rFonts w:ascii="Times New Roman" w:hAnsi="Times New Roman" w:eastAsia="方正仿宋_GBK"/>
          <w:b w:val="0"/>
          <w:sz w:val="24"/>
        </w:rPr>
        <w:t xml:space="preserve">改变了故障后</w:t>
      </w:r>
      <w:r>
        <w:rPr>
          <w:rFonts w:ascii="Times New Roman" w:hAnsi="Times New Roman" w:eastAsia="方正仿宋_GBK"/>
          <w:b w:val="0"/>
          <w:sz w:val="24"/>
        </w:rPr>
        <w:t xml:space="preserve">剩余</w:t>
      </w:r>
      <w:r>
        <w:rPr>
          <w:rFonts w:ascii="Times New Roman" w:hAnsi="Times New Roman" w:eastAsia="方正仿宋_GBK"/>
          <w:b w:val="0"/>
          <w:sz w:val="24"/>
        </w:rPr>
        <w:t xml:space="preserve">设备组合</w:t>
      </w:r>
      <w:r>
        <w:rPr>
          <w:rFonts w:ascii="Times New Roman" w:hAnsi="Times New Roman" w:eastAsia="方正仿宋_GBK"/>
          <w:b w:val="0"/>
          <w:sz w:val="24"/>
        </w:rPr>
        <w:t xml:space="preserve">，</w:t>
      </w:r>
      <w:r>
        <w:rPr>
          <w:rFonts w:ascii="Times New Roman" w:hAnsi="Times New Roman" w:eastAsia="方正仿宋_GBK"/>
          <w:b w:val="0"/>
          <w:sz w:val="24"/>
        </w:rPr>
        <w:t xml:space="preserve">可与刚性方案的配储及</w:t>
      </w:r>
      <w:r>
        <w:rPr>
          <w:rFonts w:ascii="Times New Roman" w:hAnsi="Times New Roman" w:eastAsia="方正仿宋_GBK"/>
          <w:b w:val="0"/>
          <w:sz w:val="24"/>
        </w:rPr>
        <w:t xml:space="preserve">转</w:t>
      </w:r>
      <w:r>
        <w:rPr>
          <w:rFonts w:ascii="Times New Roman" w:hAnsi="Times New Roman" w:eastAsia="方正仿宋_GBK"/>
          <w:b w:val="0"/>
          <w:sz w:val="24"/>
        </w:rPr>
        <w:t xml:space="preserve">接任务对应比较</w:t>
      </w:r>
      <w:r>
        <w:rPr>
          <w:rFonts w:ascii="Times New Roman" w:hAnsi="Times New Roman" w:eastAsia="方正仿宋_GBK"/>
          <w:b w:val="0"/>
          <w:sz w:val="24"/>
        </w:rPr>
        <w:t xml:space="preserve">。</w:t>
      </w:r>
    </w:p>
    <w:p w14:paraId="47B0D9D8">
      <w:pPr>
        <w:pStyle w:val="7"/>
        <w:keepNext/>
        <w:numPr>
          <w:ilvl w:val="0"/>
          <w:numId w:val="0"/>
        </w:numPr>
        <w:spacing w:before="160" w:after="120" w:line="360" w:lineRule="exact"/>
        <w:ind w:firstLine="0"/>
      </w:pPr>
      <w:bookmarkStart w:id="209" w:name="富山变规划分析"/>
      <w:r>
        <w:rPr>
          <w:rFonts w:ascii="Times New Roman" w:hAnsi="Times New Roman" w:eastAsia="方正仿宋_GBK"/>
          <w:b/>
          <w:sz w:val="24"/>
        </w:rPr>
        <w:t>富山变规划分析</w:t>
      </w:r>
      <w:bookmarkEnd w:id="209"/>
    </w:p>
    <w:p w14:paraId="59EAF9A5">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w:t>
      </w:r>
      <w:r>
        <w:rPr>
          <w:rFonts w:ascii="Times New Roman" w:hAnsi="Times New Roman" w:eastAsia="方正仿宋_GBK"/>
          <w:b w:val="0"/>
          <w:sz w:val="24"/>
        </w:rPr>
        <w:t xml:space="preserve">0+</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w:t>
      </w:r>
      <w:r>
        <w:rPr>
          <w:rFonts w:ascii="Times New Roman" w:hAnsi="Times New Roman" w:eastAsia="方正仿宋_GBK"/>
          <w:b w:val="0"/>
          <w:sz w:val="24"/>
        </w:rPr>
        <w:t xml:space="preserve">31</w:t>
      </w:r>
      <w:r>
        <w:rPr>
          <w:rFonts w:ascii="Times New Roman" w:hAnsi="Times New Roman" w:eastAsia="方正仿宋_GBK"/>
          <w:b w:val="0"/>
          <w:sz w:val="24"/>
        </w:rPr>
        <w:t xml:space="preserve">年</w:t>
      </w:r>
      <w:r>
        <w:rPr>
          <w:rFonts w:ascii="Times New Roman" w:hAnsi="Times New Roman" w:eastAsia="方正仿宋_GBK"/>
          <w:b w:val="0"/>
          <w:sz w:val="24"/>
        </w:rPr>
        <w:t xml:space="preserve">31.5</w:t>
      </w:r>
      <w:r>
        <w:rPr>
          <w:rFonts w:ascii="Times New Roman" w:hAnsi="Times New Roman" w:eastAsia="方正仿宋_GBK"/>
          <w:b w:val="0"/>
          <w:sz w:val="24"/>
        </w:rPr>
        <w:t xml:space="preserve">0 MVA更换为</w:t>
      </w:r>
      <w:r>
        <w:rPr>
          <w:rFonts w:ascii="Times New Roman" w:hAnsi="Times New Roman" w:eastAsia="方正仿宋_GBK"/>
          <w:b w:val="0"/>
          <w:sz w:val="24"/>
        </w:rPr>
        <w:t xml:space="preserve">50</w:t>
      </w:r>
      <w:r>
        <w:rPr>
          <w:rFonts w:ascii="Times New Roman" w:hAnsi="Times New Roman" w:eastAsia="方正仿宋_GBK"/>
          <w:b w:val="0"/>
          <w:sz w:val="24"/>
        </w:rPr>
        <w:t xml:space="preserve">.</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；2033年扩建第三台50.00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3726FD61">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最大正向、反向净负荷分别为27.54 MW、27.00 MW</w:t>
      </w:r>
      <w:r>
        <w:rPr>
          <w:rFonts w:ascii="Times New Roman" w:hAnsi="Times New Roman" w:eastAsia="方正仿宋_GBK"/>
          <w:b w:val="0"/>
          <w:sz w:val="24"/>
        </w:rPr>
        <w:t xml:space="preserve">，2035年分别为40.58 MW、81.24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63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MVA、储能额定功率0.00 MW，弹性方案分别为</w:t>
      </w:r>
      <w:r>
        <w:rPr>
          <w:rFonts w:ascii="Times New Roman" w:hAnsi="Times New Roman" w:eastAsia="方正仿宋_GBK"/>
          <w:b w:val="0"/>
          <w:sz w:val="24"/>
        </w:rPr>
        <w:t xml:space="preserve">1</w:t>
      </w:r>
      <w:r>
        <w:rPr>
          <w:rFonts w:ascii="Times New Roman" w:hAnsi="Times New Roman" w:eastAsia="方正仿宋_GBK"/>
          <w:b w:val="0"/>
          <w:sz w:val="24"/>
        </w:rPr>
        <w:t xml:space="preserve">63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57B7FF9D">
      <w:pPr>
        <w:pStyle w:val="2"/>
        <w:keepNext/>
        <w:spacing w:before="120" w:after="80" w:line="280" w:lineRule="exact"/>
        <w:ind w:firstLine="0"/>
        <w:jc w:val="center"/>
      </w:pPr>
      <w:r>
        <w:rPr>
          <w:rFonts w:ascii="Times New Roman" w:hAnsi="Times New Roman" w:eastAsia="宋体"/>
          <w:b w:val="0"/>
          <w:sz w:val="21"/>
        </w:rPr>
        <w:t xml:space="preserve">表5-21 富山变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42.54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39.19</w:t>
            </w:r>
          </w:p>
        </w:tc>
      </w:tr>
    </w:tbl>
    <w:p w14:paraId="139609C3">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35年最大单台主变N-1后，弹性方案剩余主变容量为100.00 MVA，按0.95功率因数折算为95.00 MW。储能正向有效支撑功率为0.00 MW、反向有效吸收功率为0.00 MW。全年本站故障工况中最小余量为</w:t>
      </w:r>
      <w:r>
        <w:rPr>
          <w:rFonts w:ascii="Times New Roman" w:hAnsi="Times New Roman" w:eastAsia="方正仿宋_GBK"/>
          <w:b w:val="0"/>
          <w:sz w:val="24"/>
        </w:rPr>
        <w:t xml:space="preserve">25</w:t>
      </w:r>
      <w:r>
        <w:rPr>
          <w:rFonts w:ascii="Times New Roman" w:hAnsi="Times New Roman" w:eastAsia="方正仿宋_GBK"/>
          <w:b w:val="0"/>
          <w:sz w:val="24"/>
        </w:rPr>
        <w:t xml:space="preserve">.61 MW。该小时按采用的固定</w:t>
      </w:r>
      <w:r>
        <w:rPr>
          <w:rFonts w:ascii="Times New Roman" w:hAnsi="Times New Roman" w:eastAsia="方正仿宋_GBK"/>
          <w:b w:val="0"/>
          <w:sz w:val="24"/>
        </w:rPr>
        <w:t xml:space="preserve">区</w:t>
      </w:r>
      <w:r>
        <w:rPr>
          <w:rFonts w:ascii="Times New Roman" w:hAnsi="Times New Roman" w:eastAsia="方正仿宋_GBK"/>
          <w:b w:val="0"/>
          <w:sz w:val="24"/>
        </w:rPr>
        <w:t xml:space="preserve">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-11</w:t>
      </w:r>
      <w:r>
        <w:rPr>
          <w:rFonts w:ascii="Times New Roman" w:hAnsi="Times New Roman" w:eastAsia="方正仿宋_GBK"/>
          <w:b w:val="0"/>
          <w:sz w:val="24"/>
        </w:rPr>
        <w:t xml:space="preserve">.</w:t>
      </w:r>
      <w:r>
        <w:rPr>
          <w:rFonts w:ascii="Times New Roman" w:hAnsi="Times New Roman" w:eastAsia="方正仿宋_GBK"/>
          <w:b w:val="0"/>
          <w:sz w:val="24"/>
        </w:rPr>
        <w:t xml:space="preserve">85</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9</w:t>
      </w:r>
      <w:r>
        <w:rPr>
          <w:rFonts w:ascii="Times New Roman" w:hAnsi="Times New Roman" w:eastAsia="方正仿宋_GBK"/>
          <w:b w:val="0"/>
          <w:sz w:val="24"/>
        </w:rPr>
        <w:t xml:space="preserve">.</w:t>
      </w:r>
      <w:r>
        <w:rPr>
          <w:rFonts w:ascii="Times New Roman" w:hAnsi="Times New Roman" w:eastAsia="方正仿宋_GBK"/>
          <w:b w:val="0"/>
          <w:sz w:val="24"/>
        </w:rPr>
        <w:t xml:space="preserve">3</w:t>
      </w:r>
      <w:r>
        <w:rPr>
          <w:rFonts w:ascii="Times New Roman" w:hAnsi="Times New Roman" w:eastAsia="方正仿宋_GBK"/>
          <w:b w:val="0"/>
          <w:sz w:val="24"/>
        </w:rPr>
        <w:t xml:space="preserve">9 MW</w:t>
      </w:r>
      <w:r>
        <w:rPr>
          <w:rFonts w:ascii="Times New Roman" w:hAnsi="Times New Roman" w:eastAsia="方正仿宋_GBK"/>
          <w:b w:val="0"/>
          <w:sz w:val="24"/>
        </w:rPr>
        <w:t xml:space="preserve">。其中与大宋变之间的主要通道承担8</w:t>
      </w:r>
      <w:r>
        <w:rPr>
          <w:rFonts w:ascii="Times New Roman" w:hAnsi="Times New Roman" w:eastAsia="方正仿宋_GBK"/>
          <w:b w:val="0"/>
          <w:sz w:val="24"/>
        </w:rPr>
        <w:t xml:space="preserve">.</w:t>
      </w:r>
      <w:r>
        <w:rPr>
          <w:rFonts w:ascii="Times New Roman" w:hAnsi="Times New Roman" w:eastAsia="方正仿宋_GBK"/>
          <w:b w:val="0"/>
          <w:sz w:val="24"/>
        </w:rPr>
        <w:t xml:space="preserve">46</w:t>
      </w:r>
      <w:r>
        <w:rPr>
          <w:rFonts w:ascii="Times New Roman" w:hAnsi="Times New Roman" w:eastAsia="方正仿宋_GBK"/>
          <w:b w:val="0"/>
          <w:sz w:val="24"/>
        </w:rPr>
        <w:t xml:space="preserve"> MW</w:t>
      </w:r>
      <w:r>
        <w:rPr>
          <w:rFonts w:ascii="Times New Roman" w:hAnsi="Times New Roman" w:eastAsia="方正仿宋_GBK"/>
          <w:b w:val="0"/>
          <w:sz w:val="24"/>
        </w:rPr>
        <w:t xml:space="preserve">净功率转接，使用既有通道</w:t>
      </w:r>
      <w:r>
        <w:rPr>
          <w:rFonts w:ascii="Times New Roman" w:hAnsi="Times New Roman" w:eastAsia="方正仿宋_GBK"/>
          <w:b w:val="0"/>
          <w:sz w:val="24"/>
        </w:rPr>
        <w:t xml:space="preserve">。</w:t>
      </w:r>
    </w:p>
    <w:p w14:paraId="46AED5E0">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18E63C8E">
      <w:pPr>
        <w:pStyle w:val="7"/>
        <w:keepNext/>
        <w:numPr>
          <w:ilvl w:val="0"/>
          <w:numId w:val="0"/>
        </w:numPr>
        <w:spacing w:before="160" w:after="120" w:line="360" w:lineRule="exact"/>
        <w:ind w:firstLine="0"/>
      </w:pPr>
      <w:bookmarkStart w:id="210" w:name="河湾变规划分析"/>
      <w:r>
        <w:rPr>
          <w:rFonts w:ascii="Times New Roman" w:hAnsi="Times New Roman" w:eastAsia="方正仿宋_GBK"/>
          <w:b/>
          <w:sz w:val="24"/>
        </w:rPr>
        <w:t>河湾变规划分析</w:t>
      </w:r>
      <w:bookmarkEnd w:id="210"/>
    </w:p>
    <w:p w14:paraId="1FA82973">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63.0</w:t>
      </w:r>
      <w:r>
        <w:rPr>
          <w:rFonts w:ascii="Times New Roman" w:hAnsi="Times New Roman" w:eastAsia="方正仿宋_GBK"/>
          <w:b w:val="0"/>
          <w:sz w:val="24"/>
        </w:rPr>
        <w:t xml:space="preserve">0+8</w:t>
      </w:r>
      <w:r>
        <w:rPr>
          <w:rFonts w:ascii="Times New Roman" w:hAnsi="Times New Roman" w:eastAsia="方正仿宋_GBK"/>
          <w:b w:val="0"/>
          <w:sz w:val="24"/>
        </w:rPr>
        <w:t xml:space="preserve">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2030</w:t>
      </w:r>
      <w:r>
        <w:rPr>
          <w:rFonts w:ascii="Times New Roman" w:hAnsi="Times New Roman" w:eastAsia="方正仿宋_GBK"/>
          <w:b w:val="0"/>
          <w:sz w:val="24"/>
        </w:rPr>
        <w:t xml:space="preserve">年</w:t>
      </w:r>
      <w:r>
        <w:rPr>
          <w:rFonts w:ascii="Times New Roman" w:hAnsi="Times New Roman" w:eastAsia="方正仿宋_GBK"/>
          <w:b w:val="0"/>
          <w:sz w:val="24"/>
        </w:rPr>
        <w:t xml:space="preserve">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2AD36343">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最大正向、反向净负荷分别为73.11 MW、4.58 MW</w:t>
      </w:r>
      <w:r>
        <w:rPr>
          <w:rFonts w:ascii="Times New Roman" w:hAnsi="Times New Roman" w:eastAsia="方正仿宋_GBK"/>
          <w:b w:val="0"/>
          <w:sz w:val="24"/>
        </w:rPr>
        <w:t xml:space="preserve">，2035年分别为107.73 MW、33.64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43</w:t>
      </w:r>
      <w:r>
        <w:rPr>
          <w:rFonts w:ascii="Times New Roman" w:hAnsi="Times New Roman" w:eastAsia="方正仿宋_GBK"/>
          <w:b w:val="0"/>
          <w:sz w:val="24"/>
        </w:rPr>
        <w:t xml:space="preserve">.00 MVA、储能额定功率0.</w:t>
      </w:r>
      <w:r>
        <w:rPr>
          <w:rFonts w:ascii="Times New Roman" w:hAnsi="Times New Roman" w:eastAsia="方正仿宋_GBK"/>
          <w:b w:val="0"/>
          <w:sz w:val="24"/>
        </w:rPr>
        <w:t xml:space="preserve">1</w:t>
      </w:r>
      <w:r>
        <w:rPr>
          <w:rFonts w:ascii="Times New Roman" w:hAnsi="Times New Roman" w:eastAsia="方正仿宋_GBK"/>
          <w:b w:val="0"/>
          <w:sz w:val="24"/>
        </w:rPr>
        <w:t xml:space="preserve">0 MW，弹性方案分别为1</w:t>
      </w:r>
      <w:r>
        <w:rPr>
          <w:rFonts w:ascii="Times New Roman" w:hAnsi="Times New Roman" w:eastAsia="方正仿宋_GBK"/>
          <w:b w:val="0"/>
          <w:sz w:val="24"/>
        </w:rPr>
        <w:t xml:space="preserve">93</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较刚性增加50.00 MVA</w:t>
      </w:r>
      <w:r>
        <w:rPr>
          <w:rFonts w:ascii="Times New Roman" w:hAnsi="Times New Roman" w:eastAsia="方正仿宋_GBK"/>
          <w:b w:val="0"/>
          <w:sz w:val="24"/>
        </w:rPr>
        <w:t xml:space="preserve">。</w:t>
      </w:r>
    </w:p>
    <w:p w14:paraId="1070B9A5">
      <w:pPr>
        <w:pStyle w:val="2"/>
        <w:keepNext/>
        <w:spacing w:before="120" w:after="80" w:line="280" w:lineRule="exact"/>
        <w:ind w:firstLine="0"/>
        <w:jc w:val="center"/>
      </w:pPr>
      <w:r>
        <w:rPr>
          <w:rFonts w:ascii="Times New Roman" w:hAnsi="Times New Roman" w:eastAsia="宋体"/>
          <w:b w:val="0"/>
          <w:sz w:val="21"/>
        </w:rPr>
        <w:t xml:space="preserve">表5-22 河湾变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105.05</w:t>
            </w:r>
          </w:p>
        </w:tc>
      </w:tr>
    </w:tbl>
    <w:p w14:paraId="2A4B68C6">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最大单台主变N-1后，弹性方案剩余主变容量为113.00 MVA，按0.95功率因数折算为107.35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中最小余量为17.57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17</w:t>
      </w:r>
      <w:r>
        <w:rPr>
          <w:rFonts w:ascii="Times New Roman" w:hAnsi="Times New Roman" w:eastAsia="方正仿宋_GBK"/>
          <w:b w:val="0"/>
          <w:sz w:val="24"/>
        </w:rPr>
        <w:t xml:space="preserve">.</w:t>
      </w:r>
      <w:r>
        <w:rPr>
          <w:rFonts w:ascii="Times New Roman" w:hAnsi="Times New Roman" w:eastAsia="方正仿宋_GBK"/>
          <w:b w:val="0"/>
          <w:sz w:val="24"/>
        </w:rPr>
        <w:t xml:space="preserve">96</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89.</w:t>
      </w:r>
      <w:r>
        <w:rPr>
          <w:rFonts w:ascii="Times New Roman" w:hAnsi="Times New Roman" w:eastAsia="方正仿宋_GBK"/>
          <w:b w:val="0"/>
          <w:sz w:val="24"/>
        </w:rPr>
        <w:t xml:space="preserve">7</w:t>
      </w:r>
      <w:r>
        <w:rPr>
          <w:rFonts w:ascii="Times New Roman" w:hAnsi="Times New Roman" w:eastAsia="方正仿宋_GBK"/>
          <w:b w:val="0"/>
          <w:sz w:val="24"/>
        </w:rPr>
        <w:t xml:space="preserve">8 MW。其中与杜村变之间的主要通道承担5</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9 MW</w:t>
      </w:r>
      <w:r>
        <w:rPr>
          <w:rFonts w:ascii="Times New Roman" w:hAnsi="Times New Roman" w:eastAsia="方正仿宋_GBK"/>
          <w:b w:val="0"/>
          <w:sz w:val="24"/>
        </w:rPr>
        <w:t xml:space="preserve">净功率转接</w:t>
      </w:r>
      <w:r>
        <w:rPr>
          <w:rFonts w:ascii="Times New Roman" w:hAnsi="Times New Roman" w:eastAsia="方正仿宋_GBK"/>
          <w:b w:val="0"/>
          <w:sz w:val="24"/>
        </w:rPr>
        <w:t xml:space="preserve">，</w:t>
      </w:r>
      <w:r>
        <w:rPr>
          <w:rFonts w:ascii="Times New Roman" w:hAnsi="Times New Roman" w:eastAsia="方正仿宋_GBK"/>
          <w:b w:val="0"/>
          <w:sz w:val="24"/>
        </w:rPr>
        <w:t xml:space="preserve">使用既有通道</w:t>
      </w:r>
      <w:r>
        <w:rPr>
          <w:rFonts w:ascii="Times New Roman" w:hAnsi="Times New Roman" w:eastAsia="方正仿宋_GBK"/>
          <w:b w:val="0"/>
          <w:sz w:val="24"/>
        </w:rPr>
        <w:t xml:space="preserve">。</w:t>
      </w:r>
    </w:p>
    <w:p w14:paraId="677F4682">
      <w:pPr>
        <w:pStyle w:val="2"/>
        <w:widowControl/>
        <w:spacing w:before="0" w:after="0" w:line="348" w:lineRule="exact"/>
        <w:ind w:firstLine="480"/>
        <w:jc w:val="both"/>
      </w:pPr>
      <w:r>
        <w:rPr>
          <w:rFonts w:ascii="Times New Roman" w:hAnsi="Times New Roman" w:eastAsia="方正仿宋_GBK"/>
          <w:b w:val="0"/>
          <w:sz w:val="24"/>
        </w:rPr>
        <w:t xml:space="preserve">本站弹性方案新增第三</w:t>
      </w:r>
      <w:r>
        <w:rPr>
          <w:rFonts w:ascii="Times New Roman" w:hAnsi="Times New Roman" w:eastAsia="方正仿宋_GBK"/>
          <w:b w:val="0"/>
          <w:sz w:val="24"/>
        </w:rPr>
        <w:t xml:space="preserve">台主变</w:t>
      </w:r>
      <w:r>
        <w:rPr>
          <w:rFonts w:ascii="Times New Roman" w:hAnsi="Times New Roman" w:eastAsia="方正仿宋_GBK"/>
          <w:b w:val="0"/>
          <w:sz w:val="24"/>
        </w:rPr>
        <w:t xml:space="preserve">，</w:t>
      </w:r>
      <w:r>
        <w:rPr>
          <w:rFonts w:ascii="Times New Roman" w:hAnsi="Times New Roman" w:eastAsia="方正仿宋_GBK"/>
          <w:b w:val="0"/>
          <w:sz w:val="24"/>
        </w:rPr>
        <w:t xml:space="preserve">改变了故障后</w:t>
      </w:r>
      <w:r>
        <w:rPr>
          <w:rFonts w:ascii="Times New Roman" w:hAnsi="Times New Roman" w:eastAsia="方正仿宋_GBK"/>
          <w:b w:val="0"/>
          <w:sz w:val="24"/>
        </w:rPr>
        <w:t xml:space="preserve">剩余</w:t>
      </w:r>
      <w:r>
        <w:rPr>
          <w:rFonts w:ascii="Times New Roman" w:hAnsi="Times New Roman" w:eastAsia="方正仿宋_GBK"/>
          <w:b w:val="0"/>
          <w:sz w:val="24"/>
        </w:rPr>
        <w:t xml:space="preserve">设备组合</w:t>
      </w:r>
      <w:r>
        <w:rPr>
          <w:rFonts w:ascii="Times New Roman" w:hAnsi="Times New Roman" w:eastAsia="方正仿宋_GBK"/>
          <w:b w:val="0"/>
          <w:sz w:val="24"/>
        </w:rPr>
        <w:t xml:space="preserve">，</w:t>
      </w:r>
      <w:r>
        <w:rPr>
          <w:rFonts w:ascii="Times New Roman" w:hAnsi="Times New Roman" w:eastAsia="方正仿宋_GBK"/>
          <w:b w:val="0"/>
          <w:sz w:val="24"/>
        </w:rPr>
        <w:t xml:space="preserve">可与刚性方案的配储及</w:t>
      </w:r>
      <w:r>
        <w:rPr>
          <w:rFonts w:ascii="Times New Roman" w:hAnsi="Times New Roman" w:eastAsia="方正仿宋_GBK"/>
          <w:b w:val="0"/>
          <w:sz w:val="24"/>
        </w:rPr>
        <w:t xml:space="preserve">转</w:t>
      </w:r>
      <w:r>
        <w:rPr>
          <w:rFonts w:ascii="Times New Roman" w:hAnsi="Times New Roman" w:eastAsia="方正仿宋_GBK"/>
          <w:b w:val="0"/>
          <w:sz w:val="24"/>
        </w:rPr>
        <w:t xml:space="preserve">接任务对应比较</w:t>
      </w:r>
      <w:r>
        <w:rPr>
          <w:rFonts w:ascii="Times New Roman" w:hAnsi="Times New Roman" w:eastAsia="方正仿宋_GBK"/>
          <w:b w:val="0"/>
          <w:sz w:val="24"/>
        </w:rPr>
        <w:t xml:space="preserve">。</w:t>
      </w:r>
    </w:p>
    <w:p w14:paraId="54216291">
      <w:pPr>
        <w:pStyle w:val="7"/>
        <w:keepNext/>
        <w:numPr>
          <w:ilvl w:val="0"/>
          <w:numId w:val="0"/>
        </w:numPr>
        <w:spacing w:before="160" w:after="120" w:line="360" w:lineRule="exact"/>
        <w:ind w:firstLine="0"/>
      </w:pPr>
      <w:bookmarkStart w:id="211" w:name="邳城变规划分析"/>
      <w:r>
        <w:rPr>
          <w:rFonts w:ascii="Times New Roman" w:hAnsi="Times New Roman" w:eastAsia="方正仿宋_GBK"/>
          <w:b/>
          <w:sz w:val="24"/>
        </w:rPr>
        <w:t>邳城变规划分析</w:t>
      </w:r>
      <w:bookmarkEnd w:id="211"/>
    </w:p>
    <w:p w14:paraId="539FFB7E">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w:t>
      </w:r>
      <w:r>
        <w:rPr>
          <w:rFonts w:ascii="Times New Roman" w:hAnsi="Times New Roman" w:eastAsia="方正仿宋_GBK"/>
          <w:b w:val="0"/>
          <w:sz w:val="24"/>
        </w:rPr>
        <w:t xml:space="preserve">0+</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w:t>
      </w:r>
      <w:r>
        <w:rPr>
          <w:rFonts w:ascii="Times New Roman" w:hAnsi="Times New Roman" w:eastAsia="方正仿宋_GBK"/>
          <w:b w:val="0"/>
          <w:sz w:val="24"/>
        </w:rPr>
        <w:t xml:space="preserve">31</w:t>
      </w:r>
      <w:r>
        <w:rPr>
          <w:rFonts w:ascii="Times New Roman" w:hAnsi="Times New Roman" w:eastAsia="方正仿宋_GBK"/>
          <w:b w:val="0"/>
          <w:sz w:val="24"/>
        </w:rPr>
        <w:t xml:space="preserve">年</w:t>
      </w:r>
      <w:r>
        <w:rPr>
          <w:rFonts w:ascii="Times New Roman" w:hAnsi="Times New Roman" w:eastAsia="方正仿宋_GBK"/>
          <w:b w:val="0"/>
          <w:sz w:val="24"/>
        </w:rPr>
        <w:t xml:space="preserve">31.5</w:t>
      </w:r>
      <w:r>
        <w:rPr>
          <w:rFonts w:ascii="Times New Roman" w:hAnsi="Times New Roman" w:eastAsia="方正仿宋_GBK"/>
          <w:b w:val="0"/>
          <w:sz w:val="24"/>
        </w:rPr>
        <w:t xml:space="preserve">0 MVA更换为</w:t>
      </w:r>
      <w:r>
        <w:rPr>
          <w:rFonts w:ascii="Times New Roman" w:hAnsi="Times New Roman" w:eastAsia="方正仿宋_GBK"/>
          <w:b w:val="0"/>
          <w:sz w:val="24"/>
        </w:rPr>
        <w:t xml:space="preserve">50</w:t>
      </w:r>
      <w:r>
        <w:rPr>
          <w:rFonts w:ascii="Times New Roman" w:hAnsi="Times New Roman" w:eastAsia="方正仿宋_GBK"/>
          <w:b w:val="0"/>
          <w:sz w:val="24"/>
        </w:rPr>
        <w:t xml:space="preserve">.</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20</w:t>
      </w:r>
      <w:r>
        <w:rPr>
          <w:rFonts w:ascii="Times New Roman" w:hAnsi="Times New Roman" w:eastAsia="方正仿宋_GBK"/>
          <w:b w:val="0"/>
          <w:sz w:val="24"/>
        </w:rPr>
        <w:t xml:space="preserve">33年扩建第三台</w:t>
      </w:r>
      <w:r>
        <w:rPr>
          <w:rFonts w:ascii="Times New Roman" w:hAnsi="Times New Roman" w:eastAsia="方正仿宋_GBK"/>
          <w:b w:val="0"/>
          <w:sz w:val="24"/>
        </w:rPr>
        <w:t xml:space="preserve">5</w:t>
      </w:r>
      <w:r>
        <w:rPr>
          <w:rFonts w:ascii="Times New Roman" w:hAnsi="Times New Roman" w:eastAsia="方正仿宋_GBK"/>
          <w:b w:val="0"/>
          <w:sz w:val="24"/>
        </w:rPr>
        <w:t xml:space="preserve">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w:t>
      </w:r>
      <w:r>
        <w:rPr>
          <w:rFonts w:ascii="Times New Roman" w:hAnsi="Times New Roman" w:eastAsia="方正仿宋_GBK"/>
          <w:b w:val="0"/>
          <w:sz w:val="24"/>
        </w:rPr>
        <w:t xml:space="preserve">VA主变。本站弹性方案各年未新增</w:t>
      </w:r>
      <w:r>
        <w:rPr>
          <w:rFonts w:ascii="Times New Roman" w:hAnsi="Times New Roman" w:eastAsia="方正仿宋_GBK"/>
          <w:b w:val="0"/>
          <w:sz w:val="24"/>
        </w:rPr>
        <w:t xml:space="preserve">储能。</w:t>
      </w:r>
    </w:p>
    <w:p w14:paraId="2B48404D">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最大正向、反向净负荷分别为22.90 MW、30.97 MW</w:t>
      </w:r>
      <w:r>
        <w:rPr>
          <w:rFonts w:ascii="Times New Roman" w:hAnsi="Times New Roman" w:eastAsia="方正仿宋_GBK"/>
          <w:b w:val="0"/>
          <w:sz w:val="24"/>
        </w:rPr>
        <w:t xml:space="preserve">，2035年分别为33.75 MW、85.38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44</w:t>
      </w:r>
      <w:r>
        <w:rPr>
          <w:rFonts w:ascii="Times New Roman" w:hAnsi="Times New Roman" w:eastAsia="方正仿宋_GBK"/>
          <w:b w:val="0"/>
          <w:sz w:val="24"/>
        </w:rPr>
        <w:t xml:space="preserve">.50 MVA、储能额定功率</w:t>
      </w:r>
      <w:r>
        <w:rPr>
          <w:rFonts w:ascii="Times New Roman" w:hAnsi="Times New Roman" w:eastAsia="方正仿宋_GBK"/>
          <w:b w:val="0"/>
          <w:sz w:val="24"/>
        </w:rPr>
        <w:t xml:space="preserve">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163.00 MVA和0.00 MW。弹性方案本站主变容量较刚性增加1</w:t>
      </w:r>
      <w:r>
        <w:rPr>
          <w:rFonts w:ascii="Times New Roman" w:hAnsi="Times New Roman" w:eastAsia="方正仿宋_GBK"/>
          <w:b w:val="0"/>
          <w:sz w:val="24"/>
        </w:rPr>
        <w:t xml:space="preserve">8</w:t>
      </w:r>
      <w:r>
        <w:rPr>
          <w:rFonts w:ascii="Times New Roman" w:hAnsi="Times New Roman" w:eastAsia="方正仿宋_GBK"/>
          <w:b w:val="0"/>
          <w:sz w:val="24"/>
        </w:rPr>
        <w:t xml:space="preserve">.50 MVA</w:t>
      </w:r>
      <w:r>
        <w:rPr>
          <w:rFonts w:ascii="Times New Roman" w:hAnsi="Times New Roman" w:eastAsia="方正仿宋_GBK"/>
          <w:b w:val="0"/>
          <w:sz w:val="24"/>
        </w:rPr>
        <w:t xml:space="preserve">。</w:t>
      </w:r>
    </w:p>
    <w:p w14:paraId="78D7097B">
      <w:pPr>
        <w:pStyle w:val="2"/>
        <w:keepNext/>
        <w:spacing w:before="120" w:after="80" w:line="280" w:lineRule="exact"/>
        <w:ind w:firstLine="0"/>
        <w:jc w:val="center"/>
      </w:pPr>
      <w:r>
        <w:rPr>
          <w:rFonts w:ascii="Times New Roman" w:hAnsi="Times New Roman" w:eastAsia="宋体"/>
          <w:b w:val="0"/>
          <w:sz w:val="21"/>
        </w:rPr>
        <w:t xml:space="preserve">表5-23 邳城变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33.75</w:t>
            </w:r>
          </w:p>
        </w:tc>
      </w:tr>
    </w:tbl>
    <w:p w14:paraId="374179F9">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。全年本站故障工况中最小余量为9.62 MW。该小时本站未</w:t>
      </w:r>
      <w:r>
        <w:rPr>
          <w:rFonts w:ascii="Times New Roman" w:hAnsi="Times New Roman" w:eastAsia="方正仿宋_GBK"/>
          <w:b w:val="0"/>
          <w:sz w:val="24"/>
        </w:rPr>
        <w:t xml:space="preserve">转接</w:t>
      </w:r>
      <w:r>
        <w:rPr>
          <w:rFonts w:ascii="Times New Roman" w:hAnsi="Times New Roman" w:eastAsia="方正仿宋_GBK"/>
          <w:b w:val="0"/>
          <w:sz w:val="24"/>
        </w:rPr>
        <w:t xml:space="preserve">负荷，</w:t>
      </w:r>
      <w:r>
        <w:rPr>
          <w:rFonts w:ascii="Times New Roman" w:hAnsi="Times New Roman" w:eastAsia="方正仿宋_GBK"/>
          <w:b w:val="0"/>
          <w:sz w:val="24"/>
        </w:rPr>
        <w:t xml:space="preserve">净负荷为</w:t>
      </w:r>
      <w:r>
        <w:rPr>
          <w:rFonts w:ascii="Times New Roman" w:hAnsi="Times New Roman" w:eastAsia="方正仿宋_GBK"/>
          <w:b w:val="0"/>
          <w:sz w:val="24"/>
        </w:rPr>
        <w:t xml:space="preserve">-85</w:t>
      </w:r>
      <w:r>
        <w:rPr>
          <w:rFonts w:ascii="Times New Roman" w:hAnsi="Times New Roman" w:eastAsia="方正仿宋_GBK"/>
          <w:b w:val="0"/>
          <w:sz w:val="24"/>
        </w:rPr>
        <w:t xml:space="preserve">.</w:t>
      </w:r>
      <w:r>
        <w:rPr>
          <w:rFonts w:ascii="Times New Roman" w:hAnsi="Times New Roman" w:eastAsia="方正仿宋_GBK"/>
          <w:b w:val="0"/>
          <w:sz w:val="24"/>
        </w:rPr>
        <w:t xml:space="preserve">3</w:t>
      </w:r>
      <w:r>
        <w:rPr>
          <w:rFonts w:ascii="Times New Roman" w:hAnsi="Times New Roman" w:eastAsia="方正仿宋_GBK"/>
          <w:b w:val="0"/>
          <w:sz w:val="24"/>
        </w:rPr>
        <w:t xml:space="preserve">8</w:t>
      </w:r>
      <w:r>
        <w:rPr>
          <w:rFonts w:ascii="Times New Roman" w:hAnsi="Times New Roman" w:eastAsia="方正仿宋_GBK"/>
          <w:b w:val="0"/>
          <w:sz w:val="24"/>
        </w:rPr>
        <w:t xml:space="preserve"> MW。</w:t>
      </w:r>
    </w:p>
    <w:p w14:paraId="12E4F306">
      <w:pPr>
        <w:pStyle w:val="2"/>
        <w:widowControl/>
        <w:spacing w:before="0" w:after="0" w:line="348" w:lineRule="exact"/>
        <w:ind w:firstLine="480"/>
        <w:jc w:val="both"/>
      </w:pPr>
      <w:r>
        <w:rPr>
          <w:rFonts w:ascii="Times New Roman" w:hAnsi="Times New Roman" w:eastAsia="方正仿宋_GBK"/>
          <w:b w:val="0"/>
          <w:sz w:val="24"/>
        </w:rPr>
        <w:t xml:space="preserve">两方案本站储能规模相同，</w:t>
      </w:r>
      <w:r>
        <w:rPr>
          <w:rFonts w:ascii="Times New Roman" w:hAnsi="Times New Roman" w:eastAsia="方正仿宋_GBK"/>
          <w:b w:val="0"/>
          <w:sz w:val="24"/>
        </w:rPr>
        <w:t xml:space="preserve">主变</w:t>
      </w:r>
      <w:r>
        <w:rPr>
          <w:rFonts w:ascii="Times New Roman" w:hAnsi="Times New Roman" w:eastAsia="方正仿宋_GBK"/>
          <w:b w:val="0"/>
          <w:sz w:val="24"/>
        </w:rPr>
        <w:t xml:space="preserve">规格的差异主要体现为</w:t>
      </w:r>
      <w:r>
        <w:rPr>
          <w:rFonts w:ascii="Times New Roman" w:hAnsi="Times New Roman" w:eastAsia="方正仿宋_GBK"/>
          <w:b w:val="0"/>
          <w:sz w:val="24"/>
        </w:rPr>
        <w:t xml:space="preserve">站</w:t>
      </w:r>
      <w:r>
        <w:rPr>
          <w:rFonts w:ascii="Times New Roman" w:hAnsi="Times New Roman" w:eastAsia="方正仿宋_GBK"/>
          <w:b w:val="0"/>
          <w:sz w:val="24"/>
        </w:rPr>
        <w:t xml:space="preserve">内</w:t>
      </w:r>
      <w:r>
        <w:rPr>
          <w:rFonts w:ascii="Times New Roman" w:hAnsi="Times New Roman" w:eastAsia="方正仿宋_GBK"/>
          <w:b w:val="0"/>
          <w:sz w:val="24"/>
        </w:rPr>
        <w:t xml:space="preserve">容量</w:t>
      </w:r>
      <w:r>
        <w:rPr>
          <w:rFonts w:ascii="Times New Roman" w:hAnsi="Times New Roman" w:eastAsia="方正仿宋_GBK"/>
          <w:b w:val="0"/>
          <w:sz w:val="24"/>
        </w:rPr>
        <w:t xml:space="preserve">及故障</w:t>
      </w:r>
      <w:r>
        <w:rPr>
          <w:rFonts w:ascii="Times New Roman" w:hAnsi="Times New Roman" w:eastAsia="方正仿宋_GBK"/>
          <w:b w:val="0"/>
          <w:sz w:val="24"/>
        </w:rPr>
        <w:t xml:space="preserve">后</w:t>
      </w:r>
      <w:r>
        <w:rPr>
          <w:rFonts w:ascii="Times New Roman" w:hAnsi="Times New Roman" w:eastAsia="方正仿宋_GBK"/>
          <w:b w:val="0"/>
          <w:sz w:val="24"/>
        </w:rPr>
        <w:t xml:space="preserve">可用能力</w:t>
      </w:r>
      <w:r>
        <w:rPr>
          <w:rFonts w:ascii="Times New Roman" w:hAnsi="Times New Roman" w:eastAsia="方正仿宋_GBK"/>
          <w:b w:val="0"/>
          <w:sz w:val="24"/>
        </w:rPr>
        <w:t xml:space="preserve">的</w:t>
      </w:r>
      <w:r>
        <w:rPr>
          <w:rFonts w:ascii="Times New Roman" w:hAnsi="Times New Roman" w:eastAsia="方正仿宋_GBK"/>
          <w:b w:val="0"/>
          <w:sz w:val="24"/>
        </w:rPr>
        <w:t xml:space="preserve">变化</w:t>
      </w:r>
      <w:r>
        <w:rPr>
          <w:rFonts w:ascii="Times New Roman" w:hAnsi="Times New Roman" w:eastAsia="方正仿宋_GBK"/>
          <w:b w:val="0"/>
          <w:sz w:val="24"/>
        </w:rPr>
        <w:t xml:space="preserve">。</w:t>
      </w:r>
    </w:p>
    <w:p w14:paraId="541E157C">
      <w:pPr>
        <w:pStyle w:val="7"/>
        <w:keepNext/>
        <w:numPr>
          <w:ilvl w:val="0"/>
          <w:numId w:val="0"/>
        </w:numPr>
        <w:spacing w:before="160" w:after="120" w:line="360" w:lineRule="exact"/>
        <w:ind w:firstLine="0"/>
      </w:pPr>
      <w:bookmarkStart w:id="212" w:name="邳州变规划分析"/>
      <w:r>
        <w:rPr>
          <w:rFonts w:ascii="Times New Roman" w:hAnsi="Times New Roman" w:eastAsia="方正仿宋_GBK"/>
          <w:b/>
          <w:sz w:val="24"/>
        </w:rPr>
        <w:t>邳州变规划分析</w:t>
      </w:r>
      <w:bookmarkEnd w:id="212"/>
    </w:p>
    <w:p w14:paraId="49FCC1C1">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2021年主变组合为80.00+80.00 MVA。弹性方案2022—2035年保留</w:t>
      </w:r>
      <w:r>
        <w:rPr>
          <w:rFonts w:ascii="Times New Roman" w:hAnsi="Times New Roman" w:eastAsia="方正仿宋_GBK"/>
          <w:b w:val="0"/>
          <w:sz w:val="24"/>
        </w:rPr>
        <w:t xml:space="preserve">初始主变组合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各</w:t>
      </w:r>
      <w:r>
        <w:rPr>
          <w:rFonts w:ascii="Times New Roman" w:hAnsi="Times New Roman" w:eastAsia="方正仿宋_GBK"/>
          <w:b w:val="0"/>
          <w:sz w:val="24"/>
        </w:rPr>
        <w:t xml:space="preserve">年</w:t>
      </w:r>
      <w:r>
        <w:rPr>
          <w:rFonts w:ascii="Times New Roman" w:hAnsi="Times New Roman" w:eastAsia="方正仿宋_GBK"/>
          <w:b w:val="0"/>
          <w:sz w:val="24"/>
        </w:rPr>
        <w:t xml:space="preserve">未新增储能</w:t>
      </w:r>
      <w:r>
        <w:rPr>
          <w:rFonts w:ascii="Times New Roman" w:hAnsi="Times New Roman" w:eastAsia="方正仿宋_GBK"/>
          <w:b w:val="0"/>
          <w:sz w:val="24"/>
        </w:rPr>
        <w:t xml:space="preserve">。</w:t>
      </w:r>
    </w:p>
    <w:p w14:paraId="2115B62A">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最大正向、反向净负荷分别为69.39 MW、0.00 MW</w:t>
      </w:r>
      <w:r>
        <w:rPr>
          <w:rFonts w:ascii="Times New Roman" w:hAnsi="Times New Roman" w:eastAsia="方正仿宋_GBK"/>
          <w:b w:val="0"/>
          <w:sz w:val="24"/>
        </w:rPr>
        <w:t xml:space="preserve">，2035年分别为102.25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60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MVA、储能额定功率0.00 MW，弹性方案分别为1</w:t>
      </w:r>
      <w:r>
        <w:rPr>
          <w:rFonts w:ascii="Times New Roman" w:hAnsi="Times New Roman" w:eastAsia="方正仿宋_GBK"/>
          <w:b w:val="0"/>
          <w:sz w:val="24"/>
        </w:rPr>
        <w:t xml:space="preserve">60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4A2EA945">
      <w:pPr>
        <w:pStyle w:val="2"/>
        <w:keepNext/>
        <w:spacing w:before="120" w:after="80" w:line="280" w:lineRule="exact"/>
        <w:ind w:firstLine="0"/>
        <w:jc w:val="center"/>
      </w:pPr>
      <w:r>
        <w:rPr>
          <w:rFonts w:ascii="Times New Roman" w:hAnsi="Times New Roman" w:eastAsia="宋体"/>
          <w:b w:val="0"/>
          <w:sz w:val="21"/>
        </w:rPr>
        <w:t xml:space="preserve">表5-24 邳州变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101.88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101.88</w:t>
            </w:r>
          </w:p>
        </w:tc>
      </w:tr>
    </w:tbl>
    <w:p w14:paraId="5225F1FF">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最大单台主变N-1后，弹性方案剩余主变容量为80.00 MVA，按0.95功率因数折算为76.00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w:t>
      </w:r>
      <w:r>
        <w:rPr>
          <w:rFonts w:ascii="Times New Roman" w:hAnsi="Times New Roman" w:eastAsia="方正仿宋_GBK"/>
          <w:b w:val="0"/>
          <w:sz w:val="24"/>
        </w:rPr>
        <w:t xml:space="preserve"> MW。全年本站故障工况中最小余量为1.51 MW。该小时按采用的固定区段预案，本站转出29.50 MW、承接1.74</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7</w:t>
      </w:r>
      <w:r>
        <w:rPr>
          <w:rFonts w:ascii="Times New Roman" w:hAnsi="Times New Roman" w:eastAsia="方正仿宋_GBK"/>
          <w:b w:val="0"/>
          <w:sz w:val="24"/>
        </w:rPr>
        <w:t xml:space="preserve">4</w:t>
      </w:r>
      <w:r>
        <w:rPr>
          <w:rFonts w:ascii="Times New Roman" w:hAnsi="Times New Roman" w:eastAsia="方正仿宋_GBK"/>
          <w:b w:val="0"/>
          <w:sz w:val="24"/>
        </w:rPr>
        <w:t xml:space="preserve">.</w:t>
      </w:r>
      <w:r>
        <w:rPr>
          <w:rFonts w:ascii="Times New Roman" w:hAnsi="Times New Roman" w:eastAsia="方正仿宋_GBK"/>
          <w:b w:val="0"/>
          <w:sz w:val="24"/>
        </w:rPr>
        <w:t xml:space="preserve">4</w:t>
      </w:r>
      <w:r>
        <w:rPr>
          <w:rFonts w:ascii="Times New Roman" w:hAnsi="Times New Roman" w:eastAsia="方正仿宋_GBK"/>
          <w:b w:val="0"/>
          <w:sz w:val="24"/>
        </w:rPr>
        <w:t xml:space="preserve">9 MW。</w:t>
      </w:r>
      <w:r>
        <w:rPr>
          <w:rFonts w:ascii="Times New Roman" w:hAnsi="Times New Roman" w:eastAsia="方正仿宋_GBK"/>
          <w:b w:val="0"/>
          <w:sz w:val="24"/>
        </w:rPr>
        <w:t xml:space="preserve">其中与河湾变之间的主要通道承担7.87 MW净功率转接，使用既有通道。</w:t>
      </w:r>
    </w:p>
    <w:p w14:paraId="4EC80AC4">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2F31AFF9">
      <w:pPr>
        <w:pStyle w:val="7"/>
        <w:keepNext/>
        <w:numPr>
          <w:ilvl w:val="0"/>
          <w:numId w:val="0"/>
        </w:numPr>
        <w:spacing w:before="160" w:after="120" w:line="360" w:lineRule="exact"/>
        <w:ind w:firstLine="0"/>
      </w:pPr>
      <w:bookmarkStart w:id="213" w:name="宿羊山变规划分析"/>
      <w:r>
        <w:rPr>
          <w:rFonts w:ascii="Times New Roman" w:hAnsi="Times New Roman" w:eastAsia="方正仿宋_GBK"/>
          <w:b/>
          <w:sz w:val="24"/>
        </w:rPr>
        <w:t>宿羊山变规划分析</w:t>
      </w:r>
      <w:bookmarkEnd w:id="213"/>
    </w:p>
    <w:p w14:paraId="5B713A79">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40.00+6</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w:t>
      </w:r>
      <w:r>
        <w:rPr>
          <w:rFonts w:ascii="Times New Roman" w:hAnsi="Times New Roman" w:eastAsia="方正仿宋_GBK"/>
          <w:b w:val="0"/>
          <w:sz w:val="24"/>
        </w:rPr>
        <w:t xml:space="preserve">8年40.00 MVA更换为</w:t>
      </w:r>
      <w:r>
        <w:rPr>
          <w:rFonts w:ascii="Times New Roman" w:hAnsi="Times New Roman" w:eastAsia="方正仿宋_GBK"/>
          <w:b w:val="0"/>
          <w:sz w:val="24"/>
        </w:rPr>
        <w:t xml:space="preserve">5</w:t>
      </w:r>
      <w:r>
        <w:rPr>
          <w:rFonts w:ascii="Times New Roman" w:hAnsi="Times New Roman" w:eastAsia="方正仿宋_GBK"/>
          <w:b w:val="0"/>
          <w:sz w:val="24"/>
        </w:rPr>
        <w:t xml:space="preserve">0.00 MVA。储能按本地支撑需求分批增加，</w:t>
      </w:r>
      <w:r>
        <w:rPr>
          <w:rFonts w:ascii="Times New Roman" w:hAnsi="Times New Roman" w:eastAsia="方正仿宋_GBK"/>
          <w:b w:val="0"/>
          <w:sz w:val="24"/>
        </w:rPr>
        <w:t xml:space="preserve">新增</w:t>
      </w:r>
      <w:r>
        <w:rPr>
          <w:rFonts w:ascii="Times New Roman" w:hAnsi="Times New Roman" w:eastAsia="方正仿宋_GBK"/>
          <w:b w:val="0"/>
          <w:sz w:val="24"/>
        </w:rPr>
        <w:t xml:space="preserve">额定功率为2027年0</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0 MW</w:t>
      </w:r>
      <w:r>
        <w:rPr>
          <w:rFonts w:ascii="Times New Roman" w:hAnsi="Times New Roman" w:eastAsia="方正仿宋_GBK"/>
          <w:b w:val="0"/>
          <w:sz w:val="24"/>
        </w:rPr>
        <w:t xml:space="preserve">、2031年1.60 MW、2032年4.20 MW、2033年4.40 MW、2034年2.50 MW</w:t>
      </w:r>
      <w:r>
        <w:rPr>
          <w:rFonts w:ascii="Times New Roman" w:hAnsi="Times New Roman" w:eastAsia="方正仿宋_GBK"/>
          <w:b w:val="0"/>
          <w:sz w:val="24"/>
        </w:rPr>
        <w:t xml:space="preserve">。</w:t>
      </w:r>
    </w:p>
    <w:p w14:paraId="7C71C4AE">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最大正向、反向净负荷分别为61.43 MW、30.80 MW</w:t>
      </w:r>
      <w:r>
        <w:rPr>
          <w:rFonts w:ascii="Times New Roman" w:hAnsi="Times New Roman" w:eastAsia="方正仿宋_GBK"/>
          <w:b w:val="0"/>
          <w:sz w:val="24"/>
        </w:rPr>
        <w:t xml:space="preserve">，2035年分别为90.52 MW、91.45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13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MVA、储能额定功率</w:t>
      </w:r>
      <w:r>
        <w:rPr>
          <w:rFonts w:ascii="Times New Roman" w:hAnsi="Times New Roman" w:eastAsia="方正仿宋_GBK"/>
          <w:b w:val="0"/>
          <w:sz w:val="24"/>
        </w:rPr>
        <w:t xml:space="preserve">5</w:t>
      </w:r>
      <w:r>
        <w:rPr>
          <w:rFonts w:ascii="Times New Roman" w:hAnsi="Times New Roman" w:eastAsia="方正仿宋_GBK"/>
          <w:b w:val="0"/>
          <w:sz w:val="24"/>
        </w:rPr>
        <w:t xml:space="preserve">.10 MW，弹性方案分别为</w:t>
      </w:r>
      <w:r>
        <w:rPr>
          <w:rFonts w:ascii="Times New Roman" w:hAnsi="Times New Roman" w:eastAsia="方正仿宋_GBK"/>
          <w:b w:val="0"/>
          <w:sz w:val="24"/>
        </w:rPr>
        <w:t xml:space="preserve">1</w:t>
      </w:r>
      <w:r>
        <w:rPr>
          <w:rFonts w:ascii="Times New Roman" w:hAnsi="Times New Roman" w:eastAsia="方正仿宋_GBK"/>
          <w:b w:val="0"/>
          <w:sz w:val="24"/>
        </w:rPr>
        <w:t xml:space="preserve">13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MVA和1</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3</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437CD5CC">
      <w:pPr>
        <w:pStyle w:val="2"/>
        <w:keepNext/>
        <w:spacing w:before="120" w:after="80" w:line="280" w:lineRule="exact"/>
        <w:ind w:firstLine="0"/>
        <w:jc w:val="center"/>
      </w:pPr>
      <w:r>
        <w:rPr>
          <w:rFonts w:ascii="Times New Roman" w:hAnsi="Times New Roman" w:eastAsia="宋体"/>
          <w:b w:val="0"/>
          <w:sz w:val="21"/>
        </w:rPr>
        <w:t xml:space="preserve">表5-25 宿羊山变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85.49</w:t>
            </w:r>
          </w:p>
        </w:tc>
      </w:tr>
    </w:tbl>
    <w:p w14:paraId="1D0E9AA9">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有效支撑功率为10.87 MW、反向有效吸收功率为10.87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中最小余量为0.79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-33</w:t>
      </w:r>
      <w:r>
        <w:rPr>
          <w:rFonts w:ascii="Times New Roman" w:hAnsi="Times New Roman" w:eastAsia="方正仿宋_GBK"/>
          <w:b w:val="0"/>
          <w:sz w:val="24"/>
        </w:rPr>
        <w:t xml:space="preserve">.</w:t>
      </w:r>
      <w:r>
        <w:rPr>
          <w:rFonts w:ascii="Times New Roman" w:hAnsi="Times New Roman" w:eastAsia="方正仿宋_GBK"/>
          <w:b w:val="0"/>
          <w:sz w:val="24"/>
        </w:rPr>
        <w:t xml:space="preserve">87</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-57</w:t>
      </w:r>
      <w:r>
        <w:rPr>
          <w:rFonts w:ascii="Times New Roman" w:hAnsi="Times New Roman" w:eastAsia="方正仿宋_GBK"/>
          <w:b w:val="0"/>
          <w:sz w:val="24"/>
        </w:rPr>
        <w:t xml:space="preserve">.</w:t>
      </w:r>
      <w:r>
        <w:rPr>
          <w:rFonts w:ascii="Times New Roman" w:hAnsi="Times New Roman" w:eastAsia="方正仿宋_GBK"/>
          <w:b w:val="0"/>
          <w:sz w:val="24"/>
        </w:rPr>
        <w:t xml:space="preserve">58</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其中与大宋变之间的主要通道承担8.47 MW净功率转接，使用既有通道。</w:t>
      </w:r>
    </w:p>
    <w:p w14:paraId="71BBD539">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储能额定功率相差8</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0560703D">
      <w:pPr>
        <w:pStyle w:val="7"/>
        <w:keepNext/>
        <w:numPr>
          <w:ilvl w:val="0"/>
          <w:numId w:val="0"/>
        </w:numPr>
        <w:spacing w:before="160" w:after="120" w:line="360" w:lineRule="exact"/>
        <w:ind w:firstLine="0"/>
      </w:pPr>
      <w:bookmarkStart w:id="214" w:name="铁富变规划分析"/>
      <w:r>
        <w:rPr>
          <w:rFonts w:ascii="Times New Roman" w:hAnsi="Times New Roman" w:eastAsia="方正仿宋_GBK"/>
          <w:b/>
          <w:sz w:val="24"/>
        </w:rPr>
        <w:t>铁富变规划分析</w:t>
      </w:r>
      <w:bookmarkEnd w:id="214"/>
    </w:p>
    <w:p w14:paraId="1A8F566F">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40.00+6</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弹性方案2022年</w:t>
      </w:r>
      <w:r>
        <w:rPr>
          <w:rFonts w:ascii="Times New Roman" w:hAnsi="Times New Roman" w:eastAsia="方正仿宋_GBK"/>
          <w:b w:val="0"/>
          <w:sz w:val="24"/>
        </w:rPr>
        <w:t xml:space="preserve">40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MVA更换为63</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新增额定功率为2026年4.90 MW、2027年6.80 MW、2028年5.80 MW、2029年3.60 MW、2030年7.40 MW、2031年9.40 MW、2032年17.90 MW、2033年18.70 MW、2034年19.50 MW、2035年20.10 MW</w:t>
      </w:r>
      <w:r>
        <w:rPr>
          <w:rFonts w:ascii="Times New Roman" w:hAnsi="Times New Roman" w:eastAsia="方正仿宋_GBK"/>
          <w:b w:val="0"/>
          <w:sz w:val="24"/>
        </w:rPr>
        <w:t xml:space="preserve">。</w:t>
      </w:r>
    </w:p>
    <w:p w14:paraId="25E4B0EC">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最大正向、反向净负荷分别为84.82 MW、57.21 MW</w:t>
      </w:r>
      <w:r>
        <w:rPr>
          <w:rFonts w:ascii="Times New Roman" w:hAnsi="Times New Roman" w:eastAsia="方正仿宋_GBK"/>
          <w:b w:val="0"/>
          <w:sz w:val="24"/>
        </w:rPr>
        <w:t xml:space="preserve">，2035年分别为125.00 MW、170.04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13</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129</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0 MW，弹性方案分别为126.00 MVA和</w:t>
      </w:r>
      <w:r>
        <w:rPr>
          <w:rFonts w:ascii="Times New Roman" w:hAnsi="Times New Roman" w:eastAsia="方正仿宋_GBK"/>
          <w:b w:val="0"/>
          <w:sz w:val="24"/>
        </w:rPr>
        <w:t xml:space="preserve">114</w:t>
      </w:r>
      <w:r>
        <w:rPr>
          <w:rFonts w:ascii="Times New Roman" w:hAnsi="Times New Roman" w:eastAsia="方正仿宋_GBK"/>
          <w:b w:val="0"/>
          <w:sz w:val="24"/>
        </w:rPr>
        <w:t xml:space="preserve">.</w:t>
      </w:r>
      <w:r>
        <w:rPr>
          <w:rFonts w:ascii="Times New Roman" w:hAnsi="Times New Roman" w:eastAsia="方正仿宋_GBK"/>
          <w:b w:val="0"/>
          <w:sz w:val="24"/>
        </w:rPr>
        <w:t xml:space="preserve">1</w:t>
      </w:r>
      <w:r>
        <w:rPr>
          <w:rFonts w:ascii="Times New Roman" w:hAnsi="Times New Roman" w:eastAsia="方正仿宋_GBK"/>
          <w:b w:val="0"/>
          <w:sz w:val="24"/>
        </w:rPr>
        <w:t xml:space="preserve">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较刚性增加13.00 MVA</w:t>
      </w:r>
      <w:r>
        <w:rPr>
          <w:rFonts w:ascii="Times New Roman" w:hAnsi="Times New Roman" w:eastAsia="方正仿宋_GBK"/>
          <w:b w:val="0"/>
          <w:sz w:val="24"/>
        </w:rPr>
        <w:t xml:space="preserve">。</w:t>
      </w:r>
    </w:p>
    <w:p w14:paraId="504A3B77">
      <w:pPr>
        <w:pStyle w:val="2"/>
        <w:keepNext/>
        <w:spacing w:before="120" w:after="80" w:line="280" w:lineRule="exact"/>
        <w:ind w:firstLine="0"/>
        <w:jc w:val="center"/>
      </w:pPr>
      <w:r>
        <w:rPr>
          <w:rFonts w:ascii="Times New Roman" w:hAnsi="Times New Roman" w:eastAsia="宋体"/>
          <w:b w:val="0"/>
          <w:sz w:val="21"/>
        </w:rPr>
        <w:t xml:space="preserve">表5-26 铁富变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43.70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129.20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121.09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114.10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121.09</w:t>
            </w:r>
          </w:p>
        </w:tc>
      </w:tr>
    </w:tbl>
    <w:p w14:paraId="7C95E718">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最大单台主变N-1后，弹性方案剩余主变容量为63.00 MVA，按0.95功率因数折算为59.85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有效支撑功率为93.22 MW、反向有效吸收功率为93.22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中最小余量为0.03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-17</w:t>
      </w:r>
      <w:r>
        <w:rPr>
          <w:rFonts w:ascii="Times New Roman" w:hAnsi="Times New Roman" w:eastAsia="方正仿宋_GBK"/>
          <w:b w:val="0"/>
          <w:sz w:val="24"/>
        </w:rPr>
        <w:t xml:space="preserve">.00 MW、承接0.00 MW，转接后净负荷为</w:t>
      </w:r>
      <w:r>
        <w:rPr>
          <w:rFonts w:ascii="Times New Roman" w:hAnsi="Times New Roman" w:eastAsia="方正仿宋_GBK"/>
          <w:b w:val="0"/>
          <w:sz w:val="24"/>
        </w:rPr>
        <w:t xml:space="preserve">-153</w:t>
      </w:r>
      <w:r>
        <w:rPr>
          <w:rFonts w:ascii="Times New Roman" w:hAnsi="Times New Roman" w:eastAsia="方正仿宋_GBK"/>
          <w:b w:val="0"/>
          <w:sz w:val="24"/>
        </w:rPr>
        <w:t xml:space="preserve">.</w:t>
      </w:r>
      <w:r>
        <w:rPr>
          <w:rFonts w:ascii="Times New Roman" w:hAnsi="Times New Roman" w:eastAsia="方正仿宋_GBK"/>
          <w:b w:val="0"/>
          <w:sz w:val="24"/>
        </w:rPr>
        <w:t xml:space="preserve">04</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其中与汶河变之间的主要通道承担6.80 MW净功率转接，使用已投运新增联络。</w:t>
      </w:r>
    </w:p>
    <w:p w14:paraId="7B01A2BE">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储能额定功率相差15</w:t>
      </w:r>
      <w:r>
        <w:rPr>
          <w:rFonts w:ascii="Times New Roman" w:hAnsi="Times New Roman" w:eastAsia="方正仿宋_GBK"/>
          <w:b w:val="0"/>
          <w:sz w:val="24"/>
        </w:rPr>
        <w:t xml:space="preserve">.</w:t>
      </w:r>
      <w:r>
        <w:rPr>
          <w:rFonts w:ascii="Times New Roman" w:hAnsi="Times New Roman" w:eastAsia="方正仿宋_GBK"/>
          <w:b w:val="0"/>
          <w:sz w:val="24"/>
        </w:rPr>
        <w:t xml:space="preserve">1</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355EEF71">
      <w:pPr>
        <w:pStyle w:val="7"/>
        <w:keepNext/>
        <w:numPr>
          <w:ilvl w:val="0"/>
          <w:numId w:val="0"/>
        </w:numPr>
        <w:spacing w:before="160" w:after="120" w:line="360" w:lineRule="exact"/>
        <w:ind w:firstLine="0"/>
      </w:pPr>
      <w:bookmarkStart w:id="215" w:name="土山变规划分析"/>
      <w:r>
        <w:rPr>
          <w:rFonts w:ascii="Times New Roman" w:hAnsi="Times New Roman" w:eastAsia="方正仿宋_GBK"/>
          <w:b/>
          <w:sz w:val="24"/>
        </w:rPr>
        <w:t>土山变规划分析</w:t>
      </w:r>
      <w:bookmarkEnd w:id="215"/>
    </w:p>
    <w:p w14:paraId="08D3B224">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w:t>
      </w:r>
      <w:r>
        <w:rPr>
          <w:rFonts w:ascii="Times New Roman" w:hAnsi="Times New Roman" w:eastAsia="方正仿宋_GBK"/>
          <w:b w:val="0"/>
          <w:sz w:val="24"/>
        </w:rPr>
        <w:t xml:space="preserve">0+</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弹性方案202</w:t>
      </w:r>
      <w:r>
        <w:rPr>
          <w:rFonts w:ascii="Times New Roman" w:hAnsi="Times New Roman" w:eastAsia="方正仿宋_GBK"/>
          <w:b w:val="0"/>
          <w:sz w:val="24"/>
        </w:rPr>
        <w:t xml:space="preserve">8</w:t>
      </w:r>
      <w:r>
        <w:rPr>
          <w:rFonts w:ascii="Times New Roman" w:hAnsi="Times New Roman" w:eastAsia="方正仿宋_GBK"/>
          <w:b w:val="0"/>
          <w:sz w:val="24"/>
        </w:rPr>
        <w:t xml:space="preserve">年</w:t>
      </w:r>
      <w:r>
        <w:rPr>
          <w:rFonts w:ascii="Times New Roman" w:hAnsi="Times New Roman" w:eastAsia="方正仿宋_GBK"/>
          <w:b w:val="0"/>
          <w:sz w:val="24"/>
        </w:rPr>
        <w:t xml:space="preserve">31.5</w:t>
      </w:r>
      <w:r>
        <w:rPr>
          <w:rFonts w:ascii="Times New Roman" w:hAnsi="Times New Roman" w:eastAsia="方正仿宋_GBK"/>
          <w:b w:val="0"/>
          <w:sz w:val="24"/>
        </w:rPr>
        <w:t xml:space="preserve">0 MVA更换为50</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新增额定功率为2027年0.40 MW、2030年0.40 MW、2031年1.20 MW、2032年9.70 MW、2033年11.70 MW、2034年14.20 MW、2035年9.20 MW</w:t>
      </w:r>
      <w:r>
        <w:rPr>
          <w:rFonts w:ascii="Times New Roman" w:hAnsi="Times New Roman" w:eastAsia="方正仿宋_GBK"/>
          <w:b w:val="0"/>
          <w:sz w:val="24"/>
        </w:rPr>
        <w:t xml:space="preserve">。</w:t>
      </w:r>
    </w:p>
    <w:p w14:paraId="17E72311">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最大正向、反向净负荷分别为39.87 MW、37.65 MW</w:t>
      </w:r>
      <w:r>
        <w:rPr>
          <w:rFonts w:ascii="Times New Roman" w:hAnsi="Times New Roman" w:eastAsia="方正仿宋_GBK"/>
          <w:b w:val="0"/>
          <w:sz w:val="24"/>
        </w:rPr>
        <w:t xml:space="preserve">，2035年分别为58.75 MW、112.61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13</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44</w:t>
      </w:r>
      <w:r>
        <w:rPr>
          <w:rFonts w:ascii="Times New Roman" w:hAnsi="Times New Roman" w:eastAsia="方正仿宋_GBK"/>
          <w:b w:val="0"/>
          <w:sz w:val="24"/>
        </w:rPr>
        <w:t xml:space="preserve">.</w:t>
      </w:r>
      <w:r>
        <w:rPr>
          <w:rFonts w:ascii="Times New Roman" w:hAnsi="Times New Roman" w:eastAsia="方正仿宋_GBK"/>
          <w:b w:val="0"/>
          <w:sz w:val="24"/>
        </w:rPr>
        <w:t xml:space="preserve">8</w:t>
      </w:r>
      <w:r>
        <w:rPr>
          <w:rFonts w:ascii="Times New Roman" w:hAnsi="Times New Roman" w:eastAsia="方正仿宋_GBK"/>
          <w:b w:val="0"/>
          <w:sz w:val="24"/>
        </w:rPr>
        <w:t xml:space="preserve">0 MW，弹性方案分别为1</w:t>
      </w:r>
      <w:r>
        <w:rPr>
          <w:rFonts w:ascii="Times New Roman" w:hAnsi="Times New Roman" w:eastAsia="方正仿宋_GBK"/>
          <w:b w:val="0"/>
          <w:sz w:val="24"/>
        </w:rPr>
        <w:t xml:space="preserve">13</w:t>
      </w:r>
      <w:r>
        <w:rPr>
          <w:rFonts w:ascii="Times New Roman" w:hAnsi="Times New Roman" w:eastAsia="方正仿宋_GBK"/>
          <w:b w:val="0"/>
          <w:sz w:val="24"/>
        </w:rPr>
        <w:t xml:space="preserve">.00 MVA和</w:t>
      </w:r>
      <w:r>
        <w:rPr>
          <w:rFonts w:ascii="Times New Roman" w:hAnsi="Times New Roman" w:eastAsia="方正仿宋_GBK"/>
          <w:b w:val="0"/>
          <w:sz w:val="24"/>
        </w:rPr>
        <w:t xml:space="preserve">46</w:t>
      </w:r>
      <w:r>
        <w:rPr>
          <w:rFonts w:ascii="Times New Roman" w:hAnsi="Times New Roman" w:eastAsia="方正仿宋_GBK"/>
          <w:b w:val="0"/>
          <w:sz w:val="24"/>
        </w:rPr>
        <w:t xml:space="preserve">.</w:t>
      </w:r>
      <w:r>
        <w:rPr>
          <w:rFonts w:ascii="Times New Roman" w:hAnsi="Times New Roman" w:eastAsia="方正仿宋_GBK"/>
          <w:b w:val="0"/>
          <w:sz w:val="24"/>
        </w:rPr>
        <w:t xml:space="preserve">8</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57646488">
      <w:pPr>
        <w:pStyle w:val="2"/>
        <w:keepNext/>
        <w:spacing w:before="120" w:after="80" w:line="280" w:lineRule="exact"/>
        <w:ind w:firstLine="0"/>
        <w:jc w:val="center"/>
      </w:pPr>
      <w:r>
        <w:rPr>
          <w:rFonts w:ascii="Times New Roman" w:hAnsi="Times New Roman" w:eastAsia="宋体"/>
          <w:b w:val="0"/>
          <w:sz w:val="21"/>
        </w:rPr>
        <w:t xml:space="preserve">表5-27 土山变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44.80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46.80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58.75</w:t>
            </w:r>
          </w:p>
        </w:tc>
      </w:tr>
    </w:tbl>
    <w:p w14:paraId="573CBE2F">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有效支撑功率为38.24 MW、反向有效吸收功率为38.24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中最小余量为0.02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-26</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-85</w:t>
      </w:r>
      <w:r>
        <w:rPr>
          <w:rFonts w:ascii="Times New Roman" w:hAnsi="Times New Roman" w:eastAsia="方正仿宋_GBK"/>
          <w:b w:val="0"/>
          <w:sz w:val="24"/>
        </w:rPr>
        <w:t xml:space="preserve">.</w:t>
      </w:r>
      <w:r>
        <w:rPr>
          <w:rFonts w:ascii="Times New Roman" w:hAnsi="Times New Roman" w:eastAsia="方正仿宋_GBK"/>
          <w:b w:val="0"/>
          <w:sz w:val="24"/>
        </w:rPr>
        <w:t xml:space="preserve">7</w:t>
      </w:r>
      <w:r>
        <w:rPr>
          <w:rFonts w:ascii="Times New Roman" w:hAnsi="Times New Roman" w:eastAsia="方正仿宋_GBK"/>
          <w:b w:val="0"/>
          <w:sz w:val="24"/>
        </w:rPr>
        <w:t xml:space="preserve">2</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其中与八义集变之间的主要通道承担6.72 MW净功率转接，使用已投运新增联络。</w:t>
      </w:r>
    </w:p>
    <w:p w14:paraId="2161CCCE">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w:t>
      </w:r>
      <w:r>
        <w:rPr>
          <w:rFonts w:ascii="Times New Roman" w:hAnsi="Times New Roman" w:eastAsia="方正仿宋_GBK"/>
          <w:b w:val="0"/>
          <w:sz w:val="24"/>
        </w:rPr>
        <w:t xml:space="preserve">额定</w:t>
      </w:r>
      <w:r>
        <w:rPr>
          <w:rFonts w:ascii="Times New Roman" w:hAnsi="Times New Roman" w:eastAsia="方正仿宋_GBK"/>
          <w:b w:val="0"/>
          <w:sz w:val="24"/>
        </w:rPr>
        <w:t xml:space="preserve">功率</w:t>
      </w:r>
      <w:r>
        <w:rPr>
          <w:rFonts w:ascii="Times New Roman" w:hAnsi="Times New Roman" w:eastAsia="方正仿宋_GBK"/>
          <w:b w:val="0"/>
          <w:sz w:val="24"/>
        </w:rPr>
        <w:t xml:space="preserve">相差2</w:t>
      </w:r>
      <w:r>
        <w:rPr>
          <w:rFonts w:ascii="Times New Roman" w:hAnsi="Times New Roman" w:eastAsia="方正仿宋_GBK"/>
          <w:b w:val="0"/>
          <w:sz w:val="24"/>
        </w:rPr>
        <w:t xml:space="preserve">.00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4CA08CA8">
      <w:pPr>
        <w:pStyle w:val="7"/>
        <w:keepNext/>
        <w:numPr>
          <w:ilvl w:val="0"/>
          <w:numId w:val="0"/>
        </w:numPr>
        <w:spacing w:before="160" w:after="120" w:line="360" w:lineRule="exact"/>
        <w:ind w:firstLine="0"/>
      </w:pPr>
      <w:bookmarkStart w:id="216" w:name="汶河变规划分析"/>
      <w:r>
        <w:rPr>
          <w:rFonts w:ascii="Times New Roman" w:hAnsi="Times New Roman" w:eastAsia="方正仿宋_GBK"/>
          <w:b/>
          <w:sz w:val="24"/>
        </w:rPr>
        <w:t>汶河变规划分析</w:t>
      </w:r>
      <w:bookmarkEnd w:id="216"/>
    </w:p>
    <w:p w14:paraId="040FC8DF">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w:t>
      </w:r>
      <w:r>
        <w:rPr>
          <w:rFonts w:ascii="Times New Roman" w:hAnsi="Times New Roman" w:eastAsia="方正仿宋_GBK"/>
          <w:b w:val="0"/>
          <w:sz w:val="24"/>
        </w:rPr>
        <w:t xml:space="preserve">0+40.00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弹性方案202</w:t>
      </w:r>
      <w:r>
        <w:rPr>
          <w:rFonts w:ascii="Times New Roman" w:hAnsi="Times New Roman" w:eastAsia="方正仿宋_GBK"/>
          <w:b w:val="0"/>
          <w:sz w:val="24"/>
        </w:rPr>
        <w:t xml:space="preserve">7</w:t>
      </w:r>
      <w:r>
        <w:rPr>
          <w:rFonts w:ascii="Times New Roman" w:hAnsi="Times New Roman" w:eastAsia="方正仿宋_GBK"/>
          <w:b w:val="0"/>
          <w:sz w:val="24"/>
        </w:rPr>
        <w:t xml:space="preserve">年</w:t>
      </w:r>
      <w:r>
        <w:rPr>
          <w:rFonts w:ascii="Times New Roman" w:hAnsi="Times New Roman" w:eastAsia="方正仿宋_GBK"/>
          <w:b w:val="0"/>
          <w:sz w:val="24"/>
        </w:rPr>
        <w:t xml:space="preserve">40.0</w:t>
      </w:r>
      <w:r>
        <w:rPr>
          <w:rFonts w:ascii="Times New Roman" w:hAnsi="Times New Roman" w:eastAsia="方正仿宋_GBK"/>
          <w:b w:val="0"/>
          <w:sz w:val="24"/>
        </w:rPr>
        <w:t xml:space="preserve">0 MVA更换为</w:t>
      </w:r>
      <w:r>
        <w:rPr>
          <w:rFonts w:ascii="Times New Roman" w:hAnsi="Times New Roman" w:eastAsia="方正仿宋_GBK"/>
          <w:b w:val="0"/>
          <w:sz w:val="24"/>
        </w:rPr>
        <w:t xml:space="preserve">50.00 MVA；2029年</w:t>
      </w:r>
      <w:r>
        <w:rPr>
          <w:rFonts w:ascii="Times New Roman" w:hAnsi="Times New Roman" w:eastAsia="方正仿宋_GBK"/>
          <w:b w:val="0"/>
          <w:sz w:val="24"/>
        </w:rPr>
        <w:t xml:space="preserve">31.5</w:t>
      </w:r>
      <w:r>
        <w:rPr>
          <w:rFonts w:ascii="Times New Roman" w:hAnsi="Times New Roman" w:eastAsia="方正仿宋_GBK"/>
          <w:b w:val="0"/>
          <w:sz w:val="24"/>
        </w:rPr>
        <w:t xml:space="preserve">0</w:t>
      </w:r>
      <w:r>
        <w:rPr>
          <w:rFonts w:ascii="Times New Roman" w:hAnsi="Times New Roman" w:eastAsia="方正仿宋_GBK"/>
          <w:b w:val="0"/>
          <w:sz w:val="24"/>
        </w:rPr>
        <w:t xml:space="preserve"> MVA</w:t>
      </w:r>
      <w:r>
        <w:rPr>
          <w:rFonts w:ascii="Times New Roman" w:hAnsi="Times New Roman" w:eastAsia="方正仿宋_GBK"/>
          <w:b w:val="0"/>
          <w:sz w:val="24"/>
        </w:rPr>
        <w:t xml:space="preserve">更换为50.00 MVA；2032年扩建第三台50.00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17163078">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最大正向、反向净负荷分别为25.93 MW、28.94 MW</w:t>
      </w:r>
      <w:r>
        <w:rPr>
          <w:rFonts w:ascii="Times New Roman" w:hAnsi="Times New Roman" w:eastAsia="方正仿宋_GBK"/>
          <w:b w:val="0"/>
          <w:sz w:val="24"/>
        </w:rPr>
        <w:t xml:space="preserve">，2035年分别为38.21 MW、79.63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150</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150</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6E4FA7C7">
      <w:pPr>
        <w:pStyle w:val="2"/>
        <w:keepNext/>
        <w:spacing w:before="120" w:after="80" w:line="280" w:lineRule="exact"/>
        <w:ind w:firstLine="0"/>
        <w:jc w:val="center"/>
      </w:pPr>
      <w:r>
        <w:rPr>
          <w:rFonts w:ascii="Times New Roman" w:hAnsi="Times New Roman" w:eastAsia="宋体"/>
          <w:b w:val="0"/>
          <w:sz w:val="21"/>
        </w:rPr>
        <w:t xml:space="preserve">表5-28 汶河变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38.81</w:t>
            </w:r>
          </w:p>
        </w:tc>
      </w:tr>
    </w:tbl>
    <w:p w14:paraId="36FCEDB2">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w:t>
      </w:r>
      <w:r>
        <w:rPr>
          <w:rFonts w:ascii="Times New Roman" w:hAnsi="Times New Roman" w:eastAsia="方正仿宋_GBK"/>
          <w:b w:val="0"/>
          <w:sz w:val="24"/>
        </w:rPr>
        <w:t xml:space="preserve"> MW。全年本站故障工况中最小余量为15.33 MW。该小时按采用的固定区段预案，本站转出-16.67 MW、承接-16.71</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-79</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7</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其中与铁富变之间的主要通道承担9.26 MW净功率转接，使用既有通道。</w:t>
      </w:r>
    </w:p>
    <w:p w14:paraId="5B3A3F33">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w:t>
      </w:r>
      <w:r>
        <w:rPr>
          <w:rFonts w:ascii="Times New Roman" w:hAnsi="Times New Roman" w:eastAsia="方正仿宋_GBK"/>
          <w:b w:val="0"/>
          <w:sz w:val="24"/>
        </w:rPr>
        <w:t xml:space="preserve">1.50 M</w:t>
      </w:r>
      <w:r>
        <w:rPr>
          <w:rFonts w:ascii="Times New Roman" w:hAnsi="Times New Roman" w:eastAsia="方正仿宋_GBK"/>
          <w:b w:val="0"/>
          <w:sz w:val="24"/>
        </w:rPr>
        <w:t xml:space="preserve">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3198A720">
      <w:pPr>
        <w:pStyle w:val="7"/>
        <w:keepNext/>
        <w:numPr>
          <w:ilvl w:val="0"/>
          <w:numId w:val="0"/>
        </w:numPr>
        <w:spacing w:before="160" w:after="120" w:line="360" w:lineRule="exact"/>
        <w:ind w:firstLine="0"/>
      </w:pPr>
      <w:bookmarkStart w:id="217" w:name="吴闸变规划分析"/>
      <w:r>
        <w:rPr>
          <w:rFonts w:ascii="Times New Roman" w:hAnsi="Times New Roman" w:eastAsia="方正仿宋_GBK"/>
          <w:b/>
          <w:sz w:val="24"/>
        </w:rPr>
        <w:t>吴闸变规划分析</w:t>
      </w:r>
      <w:bookmarkEnd w:id="217"/>
    </w:p>
    <w:p w14:paraId="41266638">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2021年主变组合为31.50+63.00 MVA。弹性方案2022—2035年保留</w:t>
      </w:r>
      <w:r>
        <w:rPr>
          <w:rFonts w:ascii="Times New Roman" w:hAnsi="Times New Roman" w:eastAsia="方正仿宋_GBK"/>
          <w:b w:val="0"/>
          <w:sz w:val="24"/>
        </w:rPr>
        <w:t xml:space="preserve">初始主变组合</w:t>
      </w:r>
      <w:r>
        <w:rPr>
          <w:rFonts w:ascii="Times New Roman" w:hAnsi="Times New Roman" w:eastAsia="方正仿宋_GBK"/>
          <w:b w:val="0"/>
          <w:sz w:val="24"/>
        </w:rPr>
        <w:t xml:space="preserve">。储能按本地支撑需求分批增加，新增额定功率</w:t>
      </w:r>
      <w:r>
        <w:rPr>
          <w:rFonts w:ascii="Times New Roman" w:hAnsi="Times New Roman" w:eastAsia="方正仿宋_GBK"/>
          <w:b w:val="0"/>
          <w:sz w:val="24"/>
        </w:rPr>
        <w:t xml:space="preserve">为20</w:t>
      </w:r>
      <w:r>
        <w:rPr>
          <w:rFonts w:ascii="Times New Roman" w:hAnsi="Times New Roman" w:eastAsia="方正仿宋_GBK"/>
          <w:b w:val="0"/>
          <w:sz w:val="24"/>
        </w:rPr>
        <w:t xml:space="preserve">34年1.3</w:t>
      </w:r>
      <w:r>
        <w:rPr>
          <w:rFonts w:ascii="Times New Roman" w:hAnsi="Times New Roman" w:eastAsia="方正仿宋_GBK"/>
          <w:b w:val="0"/>
          <w:sz w:val="24"/>
        </w:rPr>
        <w:t xml:space="preserve">0 M</w:t>
      </w:r>
      <w:r>
        <w:rPr>
          <w:rFonts w:ascii="Times New Roman" w:hAnsi="Times New Roman" w:eastAsia="方正仿宋_GBK"/>
          <w:b w:val="0"/>
          <w:sz w:val="24"/>
        </w:rPr>
        <w:t xml:space="preserve">W</w:t>
      </w:r>
      <w:r>
        <w:rPr>
          <w:rFonts w:ascii="Times New Roman" w:hAnsi="Times New Roman" w:eastAsia="方正仿宋_GBK"/>
          <w:b w:val="0"/>
          <w:sz w:val="24"/>
        </w:rPr>
        <w:t xml:space="preserve">。</w:t>
      </w:r>
    </w:p>
    <w:p w14:paraId="672E4775">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最大正向、反向净负荷分别为50.21 MW、0.00 MW</w:t>
      </w:r>
      <w:r>
        <w:rPr>
          <w:rFonts w:ascii="Times New Roman" w:hAnsi="Times New Roman" w:eastAsia="方正仿宋_GBK"/>
          <w:b w:val="0"/>
          <w:sz w:val="24"/>
        </w:rPr>
        <w:t xml:space="preserve">，2035年分别为73.99 MW、15.63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94</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MVA、储能额定功率0.00 MW，弹性方案分别为</w:t>
      </w:r>
      <w:r>
        <w:rPr>
          <w:rFonts w:ascii="Times New Roman" w:hAnsi="Times New Roman" w:eastAsia="方正仿宋_GBK"/>
          <w:b w:val="0"/>
          <w:sz w:val="24"/>
        </w:rPr>
        <w:t xml:space="preserve">94</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MVA和</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3</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0A4AA278">
      <w:pPr>
        <w:pStyle w:val="2"/>
        <w:keepNext/>
        <w:spacing w:before="120" w:after="80" w:line="280" w:lineRule="exact"/>
        <w:ind w:firstLine="0"/>
        <w:jc w:val="center"/>
      </w:pPr>
      <w:r>
        <w:rPr>
          <w:rFonts w:ascii="Times New Roman" w:hAnsi="Times New Roman" w:eastAsia="宋体"/>
          <w:b w:val="0"/>
          <w:sz w:val="21"/>
        </w:rPr>
        <w:t xml:space="preserve">表5-29 吴闸变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4.52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71.90</w:t>
            </w:r>
          </w:p>
        </w:tc>
      </w:tr>
    </w:tbl>
    <w:p w14:paraId="23DC4694">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最大单台主变N-1后，弹性方案剩余主变容量为31.50 MVA，按0.95功率因数折算为29.93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有效支撑功率为1.06 MW、反向有效吸收功率为1.30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中最小余量为0.07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44</w:t>
      </w:r>
      <w:r>
        <w:rPr>
          <w:rFonts w:ascii="Times New Roman" w:hAnsi="Times New Roman" w:eastAsia="方正仿宋_GBK"/>
          <w:b w:val="0"/>
          <w:sz w:val="24"/>
        </w:rPr>
        <w:t xml:space="preserve">.00 MW、承接0.</w:t>
      </w:r>
      <w:r>
        <w:rPr>
          <w:rFonts w:ascii="Times New Roman" w:hAnsi="Times New Roman" w:eastAsia="方正仿宋_GBK"/>
          <w:b w:val="0"/>
          <w:sz w:val="24"/>
        </w:rPr>
        <w:t xml:space="preserve">92</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30</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2</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其中与杜村变之间的主要通道承担10.00 MW净功率转接，使用既有通道。</w:t>
      </w:r>
    </w:p>
    <w:p w14:paraId="722CA1C2">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储能额定功率相差1</w:t>
      </w:r>
      <w:r>
        <w:rPr>
          <w:rFonts w:ascii="Times New Roman" w:hAnsi="Times New Roman" w:eastAsia="方正仿宋_GBK"/>
          <w:b w:val="0"/>
          <w:sz w:val="24"/>
        </w:rPr>
        <w:t xml:space="preserve">.</w:t>
      </w:r>
      <w:r>
        <w:rPr>
          <w:rFonts w:ascii="Times New Roman" w:hAnsi="Times New Roman" w:eastAsia="方正仿宋_GBK"/>
          <w:b w:val="0"/>
          <w:sz w:val="24"/>
        </w:rPr>
        <w:t xml:space="preserve">3</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5FF2E9A1">
      <w:pPr>
        <w:pStyle w:val="7"/>
        <w:keepNext/>
        <w:numPr>
          <w:ilvl w:val="0"/>
          <w:numId w:val="0"/>
        </w:numPr>
        <w:spacing w:before="160" w:after="120" w:line="360" w:lineRule="exact"/>
        <w:ind w:firstLine="0"/>
      </w:pPr>
      <w:bookmarkStart w:id="218" w:name="邢楼变规划分析"/>
      <w:r>
        <w:rPr>
          <w:rFonts w:ascii="Times New Roman" w:hAnsi="Times New Roman" w:eastAsia="方正仿宋_GBK"/>
          <w:b/>
          <w:sz w:val="24"/>
        </w:rPr>
        <w:t>邢楼变规划分析</w:t>
      </w:r>
      <w:bookmarkEnd w:id="218"/>
    </w:p>
    <w:p w14:paraId="0B13170E">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主变组合为20</w:t>
      </w:r>
      <w:r>
        <w:rPr>
          <w:rFonts w:ascii="Times New Roman" w:hAnsi="Times New Roman" w:eastAsia="方正仿宋_GBK"/>
          <w:b w:val="0"/>
          <w:sz w:val="24"/>
        </w:rPr>
        <w:t xml:space="preserve">.00</w:t>
      </w:r>
      <w:r>
        <w:rPr>
          <w:rFonts w:ascii="Times New Roman" w:hAnsi="Times New Roman" w:eastAsia="方正仿宋_GBK"/>
          <w:b w:val="0"/>
          <w:sz w:val="24"/>
        </w:rPr>
        <w:t xml:space="preserve">+2</w:t>
      </w:r>
      <w:r>
        <w:rPr>
          <w:rFonts w:ascii="Times New Roman" w:hAnsi="Times New Roman" w:eastAsia="方正仿宋_GBK"/>
          <w:b w:val="0"/>
          <w:sz w:val="24"/>
        </w:rPr>
        <w:t xml:space="preserve">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弹性方案202</w:t>
      </w:r>
      <w:r>
        <w:rPr>
          <w:rFonts w:ascii="Times New Roman" w:hAnsi="Times New Roman" w:eastAsia="方正仿宋_GBK"/>
          <w:b w:val="0"/>
          <w:sz w:val="24"/>
        </w:rPr>
        <w:t xml:space="preserve">5年</w:t>
      </w:r>
      <w:r>
        <w:rPr>
          <w:rFonts w:ascii="Times New Roman" w:hAnsi="Times New Roman" w:eastAsia="方正仿宋_GBK"/>
          <w:b w:val="0"/>
          <w:sz w:val="24"/>
        </w:rPr>
        <w:t xml:space="preserve">2</w:t>
      </w:r>
      <w:r>
        <w:rPr>
          <w:rFonts w:ascii="Times New Roman" w:hAnsi="Times New Roman" w:eastAsia="方正仿宋_GBK"/>
          <w:b w:val="0"/>
          <w:sz w:val="24"/>
        </w:rPr>
        <w:t xml:space="preserve">0.00 MVA更换为31.50 MVA、20.00 MVA更换为31.50 MVA；2028</w:t>
      </w:r>
      <w:r>
        <w:rPr>
          <w:rFonts w:ascii="Times New Roman" w:hAnsi="Times New Roman" w:eastAsia="方正仿宋_GBK"/>
          <w:b w:val="0"/>
          <w:sz w:val="24"/>
        </w:rPr>
        <w:t xml:space="preserve">年扩建第三台50</w:t>
      </w:r>
      <w:r>
        <w:rPr>
          <w:rFonts w:ascii="Times New Roman" w:hAnsi="Times New Roman" w:eastAsia="方正仿宋_GBK"/>
          <w:b w:val="0"/>
          <w:sz w:val="24"/>
        </w:rPr>
        <w:t xml:space="preserve">.00</w:t>
      </w:r>
      <w:r>
        <w:rPr>
          <w:rFonts w:ascii="Times New Roman" w:hAnsi="Times New Roman" w:eastAsia="方正仿宋_GBK"/>
          <w:b w:val="0"/>
          <w:sz w:val="24"/>
        </w:rPr>
        <w:t xml:space="preserve"> MVA主变</w:t>
      </w:r>
      <w:r>
        <w:rPr>
          <w:rFonts w:ascii="Times New Roman" w:hAnsi="Times New Roman" w:eastAsia="方正仿宋_GBK"/>
          <w:b w:val="0"/>
          <w:sz w:val="24"/>
        </w:rPr>
        <w:t xml:space="preserve">。储能按本地支撑需求分批增加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新增额定功率为2027年0.10 MW、2032年0.30 MW、2034年0.60 MW、2035年13.70 MW</w:t>
      </w:r>
      <w:r>
        <w:rPr>
          <w:rFonts w:ascii="Times New Roman" w:hAnsi="Times New Roman" w:eastAsia="方正仿宋_GBK"/>
          <w:b w:val="0"/>
          <w:sz w:val="24"/>
        </w:rPr>
        <w:t xml:space="preserve">。</w:t>
      </w:r>
    </w:p>
    <w:p w14:paraId="33D6879C">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最大正向、反向净负荷分别为19.20 MW、35.38 MW</w:t>
      </w:r>
      <w:r>
        <w:rPr>
          <w:rFonts w:ascii="Times New Roman" w:hAnsi="Times New Roman" w:eastAsia="方正仿宋_GBK"/>
          <w:b w:val="0"/>
          <w:sz w:val="24"/>
        </w:rPr>
        <w:t xml:space="preserve">，2035年分别为28.29 MW、95.87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13</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MVA、储能额定功率</w:t>
      </w:r>
      <w:r>
        <w:rPr>
          <w:rFonts w:ascii="Times New Roman" w:hAnsi="Times New Roman" w:eastAsia="方正仿宋_GBK"/>
          <w:b w:val="0"/>
          <w:sz w:val="24"/>
        </w:rPr>
        <w:t xml:space="preserve">5</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113</w:t>
      </w:r>
      <w:r>
        <w:rPr>
          <w:rFonts w:ascii="Times New Roman" w:hAnsi="Times New Roman" w:eastAsia="方正仿宋_GBK"/>
          <w:b w:val="0"/>
          <w:sz w:val="24"/>
        </w:rPr>
        <w:t xml:space="preserve">.00 MVA和</w:t>
      </w:r>
      <w:r>
        <w:rPr>
          <w:rFonts w:ascii="Times New Roman" w:hAnsi="Times New Roman" w:eastAsia="方正仿宋_GBK"/>
          <w:b w:val="0"/>
          <w:sz w:val="24"/>
        </w:rPr>
        <w:t xml:space="preserve">14</w:t>
      </w:r>
      <w:r>
        <w:rPr>
          <w:rFonts w:ascii="Times New Roman" w:hAnsi="Times New Roman" w:eastAsia="方正仿宋_GBK"/>
          <w:b w:val="0"/>
          <w:sz w:val="24"/>
        </w:rPr>
        <w:t xml:space="preserve">.</w:t>
      </w:r>
      <w:r>
        <w:rPr>
          <w:rFonts w:ascii="Times New Roman" w:hAnsi="Times New Roman" w:eastAsia="方正仿宋_GBK"/>
          <w:b w:val="0"/>
          <w:sz w:val="24"/>
        </w:rPr>
        <w:t xml:space="preserve">7</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弹性方案本站</w:t>
      </w:r>
      <w:r>
        <w:rPr>
          <w:rFonts w:ascii="Times New Roman" w:hAnsi="Times New Roman" w:eastAsia="方正仿宋_GBK"/>
          <w:b w:val="0"/>
          <w:sz w:val="24"/>
        </w:rPr>
        <w:t xml:space="preserve">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w:t>
      </w:r>
      <w:r>
        <w:rPr>
          <w:rFonts w:ascii="Times New Roman" w:hAnsi="Times New Roman" w:eastAsia="方正仿宋_GBK"/>
          <w:b w:val="0"/>
          <w:sz w:val="24"/>
        </w:rPr>
        <w:t xml:space="preserve">减少</w:t>
      </w:r>
      <w:r>
        <w:rPr>
          <w:rFonts w:ascii="Times New Roman" w:hAnsi="Times New Roman" w:eastAsia="方正仿宋_GBK"/>
          <w:b w:val="0"/>
          <w:sz w:val="24"/>
        </w:rPr>
        <w:t xml:space="preserve">18</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w:t>
      </w:r>
    </w:p>
    <w:p w14:paraId="18AA6EF8">
      <w:pPr>
        <w:pStyle w:val="2"/>
        <w:keepNext/>
        <w:spacing w:before="120" w:after="80" w:line="280" w:lineRule="exact"/>
        <w:ind w:firstLine="0"/>
        <w:jc w:val="center"/>
      </w:pPr>
      <w:r>
        <w:rPr>
          <w:rFonts w:ascii="Times New Roman" w:hAnsi="Times New Roman" w:eastAsia="宋体"/>
          <w:b w:val="0"/>
          <w:sz w:val="21"/>
        </w:rPr>
        <w:t xml:space="preserve">表5-30 邢楼变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19.21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31.50+31.50+50.00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20.39</w:t>
            </w:r>
          </w:p>
        </w:tc>
      </w:tr>
    </w:tbl>
    <w:p w14:paraId="1CD2B461">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最大单台主变N-1后，弹性方案剩余主变容量为63.00 MVA，按0.95功率因数折算为59.85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有效支撑功率为12.01 MW、反向有效吸收功率为8.01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中最小余量为0.18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-28</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0 MW、承接0.00 MW，转接后净负荷为</w:t>
      </w:r>
      <w:r>
        <w:rPr>
          <w:rFonts w:ascii="Times New Roman" w:hAnsi="Times New Roman" w:eastAsia="方正仿宋_GBK"/>
          <w:b w:val="0"/>
          <w:sz w:val="24"/>
        </w:rPr>
        <w:t xml:space="preserve">-67</w:t>
      </w:r>
      <w:r>
        <w:rPr>
          <w:rFonts w:ascii="Times New Roman" w:hAnsi="Times New Roman" w:eastAsia="方正仿宋_GBK"/>
          <w:b w:val="0"/>
          <w:sz w:val="24"/>
        </w:rPr>
        <w:t xml:space="preserve">.6</w:t>
      </w:r>
      <w:r>
        <w:rPr>
          <w:rFonts w:ascii="Times New Roman" w:hAnsi="Times New Roman" w:eastAsia="方正仿宋_GBK"/>
          <w:b w:val="0"/>
          <w:sz w:val="24"/>
        </w:rPr>
        <w:t xml:space="preserve">7</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其中与汶河变之间的主要通道承担5.64 MW净功率转接，使用已投运新增联络。</w:t>
      </w:r>
    </w:p>
    <w:p w14:paraId="454C24B4">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w:t>
      </w:r>
      <w:r>
        <w:rPr>
          <w:rFonts w:ascii="Times New Roman" w:hAnsi="Times New Roman" w:eastAsia="方正仿宋_GBK"/>
          <w:b w:val="0"/>
          <w:sz w:val="24"/>
        </w:rPr>
        <w:t xml:space="preserve">9.</w:t>
      </w:r>
      <w:r>
        <w:rPr>
          <w:rFonts w:ascii="Times New Roman" w:hAnsi="Times New Roman" w:eastAsia="方正仿宋_GBK"/>
          <w:b w:val="0"/>
          <w:sz w:val="24"/>
        </w:rPr>
        <w:t xml:space="preserve">70</w:t>
      </w:r>
      <w:r>
        <w:rPr>
          <w:rFonts w:ascii="Times New Roman" w:hAnsi="Times New Roman" w:eastAsia="方正仿宋_GBK"/>
          <w:b w:val="0"/>
          <w:sz w:val="24"/>
        </w:rPr>
        <w:t xml:space="preserve">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6D074BD9">
      <w:pPr>
        <w:pStyle w:val="7"/>
        <w:keepNext/>
        <w:numPr>
          <w:ilvl w:val="0"/>
          <w:numId w:val="0"/>
        </w:numPr>
        <w:spacing w:before="160" w:after="120" w:line="360" w:lineRule="exact"/>
        <w:ind w:firstLine="0"/>
      </w:pPr>
      <w:bookmarkStart w:id="219" w:name="兴塘变规划分析"/>
      <w:r>
        <w:rPr>
          <w:rFonts w:ascii="Times New Roman" w:hAnsi="Times New Roman" w:eastAsia="方正仿宋_GBK"/>
          <w:b/>
          <w:sz w:val="24"/>
        </w:rPr>
        <w:t>兴塘变规划分析</w:t>
      </w:r>
      <w:bookmarkEnd w:id="219"/>
    </w:p>
    <w:p w14:paraId="5E0B7472">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主变组合为20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40.0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弹性方案202</w:t>
      </w:r>
      <w:r>
        <w:rPr>
          <w:rFonts w:ascii="Times New Roman" w:hAnsi="Times New Roman" w:eastAsia="方正仿宋_GBK"/>
          <w:b w:val="0"/>
          <w:sz w:val="24"/>
        </w:rPr>
        <w:t xml:space="preserve">8</w:t>
      </w:r>
      <w:r>
        <w:rPr>
          <w:rFonts w:ascii="Times New Roman" w:hAnsi="Times New Roman" w:eastAsia="方正仿宋_GBK"/>
          <w:b w:val="0"/>
          <w:sz w:val="24"/>
        </w:rPr>
        <w:t xml:space="preserve">年2</w:t>
      </w:r>
      <w:r>
        <w:rPr>
          <w:rFonts w:ascii="Times New Roman" w:hAnsi="Times New Roman" w:eastAsia="方正仿宋_GBK"/>
          <w:b w:val="0"/>
          <w:sz w:val="24"/>
        </w:rPr>
        <w:t xml:space="preserve">0.0</w:t>
      </w:r>
      <w:r>
        <w:rPr>
          <w:rFonts w:ascii="Times New Roman" w:hAnsi="Times New Roman" w:eastAsia="方正仿宋_GBK"/>
          <w:b w:val="0"/>
          <w:sz w:val="24"/>
        </w:rPr>
        <w:t xml:space="preserve">0 MVA更换为31.5</w:t>
      </w:r>
      <w:r>
        <w:rPr>
          <w:rFonts w:ascii="Times New Roman" w:hAnsi="Times New Roman" w:eastAsia="方正仿宋_GBK"/>
          <w:b w:val="0"/>
          <w:sz w:val="24"/>
        </w:rPr>
        <w:t xml:space="preserve">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031年扩建第三台50.00 MVA主变；2035年40.0</w:t>
      </w:r>
      <w:r>
        <w:rPr>
          <w:rFonts w:ascii="Times New Roman" w:hAnsi="Times New Roman" w:eastAsia="方正仿宋_GBK"/>
          <w:b w:val="0"/>
          <w:sz w:val="24"/>
        </w:rPr>
        <w:t xml:space="preserve">0 MVA更换为</w:t>
      </w:r>
      <w:r>
        <w:rPr>
          <w:rFonts w:ascii="Times New Roman" w:hAnsi="Times New Roman" w:eastAsia="方正仿宋_GBK"/>
          <w:b w:val="0"/>
          <w:sz w:val="24"/>
        </w:rPr>
        <w:t xml:space="preserve">50</w:t>
      </w:r>
      <w:r>
        <w:rPr>
          <w:rFonts w:ascii="Times New Roman" w:hAnsi="Times New Roman" w:eastAsia="方正仿宋_GBK"/>
          <w:b w:val="0"/>
          <w:sz w:val="24"/>
        </w:rPr>
        <w:t xml:space="preserve">.</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。本站弹性方案各</w:t>
      </w:r>
      <w:r>
        <w:rPr>
          <w:rFonts w:ascii="Times New Roman" w:hAnsi="Times New Roman" w:eastAsia="方正仿宋_GBK"/>
          <w:b w:val="0"/>
          <w:sz w:val="24"/>
        </w:rPr>
        <w:t xml:space="preserve">年</w:t>
      </w:r>
      <w:r>
        <w:rPr>
          <w:rFonts w:ascii="Times New Roman" w:hAnsi="Times New Roman" w:eastAsia="方正仿宋_GBK"/>
          <w:b w:val="0"/>
          <w:sz w:val="24"/>
        </w:rPr>
        <w:t xml:space="preserve">未</w:t>
      </w:r>
      <w:r>
        <w:rPr>
          <w:rFonts w:ascii="Times New Roman" w:hAnsi="Times New Roman" w:eastAsia="方正仿宋_GBK"/>
          <w:b w:val="0"/>
          <w:sz w:val="24"/>
        </w:rPr>
        <w:t xml:space="preserve">新增</w:t>
      </w:r>
      <w:r>
        <w:rPr>
          <w:rFonts w:ascii="Times New Roman" w:hAnsi="Times New Roman" w:eastAsia="方正仿宋_GBK"/>
          <w:b w:val="0"/>
          <w:sz w:val="24"/>
        </w:rPr>
        <w:t xml:space="preserve">储能。</w:t>
      </w:r>
    </w:p>
    <w:p w14:paraId="57BAE7C1">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最大正向、反向净负荷分别为39.15 MW、30.66 MW</w:t>
      </w:r>
      <w:r>
        <w:rPr>
          <w:rFonts w:ascii="Times New Roman" w:hAnsi="Times New Roman" w:eastAsia="方正仿宋_GBK"/>
          <w:b w:val="0"/>
          <w:sz w:val="24"/>
        </w:rPr>
        <w:t xml:space="preserve">，2035年分别为57.69 MW、92.41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121</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MVA、储能额定功率</w:t>
      </w:r>
      <w:r>
        <w:rPr>
          <w:rFonts w:ascii="Times New Roman" w:hAnsi="Times New Roman" w:eastAsia="方正仿宋_GBK"/>
          <w:b w:val="0"/>
          <w:sz w:val="24"/>
        </w:rPr>
        <w:t xml:space="preserve">0</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w:t>
      </w:r>
      <w:r>
        <w:rPr>
          <w:rFonts w:ascii="Times New Roman" w:hAnsi="Times New Roman" w:eastAsia="方正仿宋_GBK"/>
          <w:b w:val="0"/>
          <w:sz w:val="24"/>
        </w:rPr>
        <w:t xml:space="preserve">3</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MVA和0.</w:t>
      </w:r>
      <w:r>
        <w:rPr>
          <w:rFonts w:ascii="Times New Roman" w:hAnsi="Times New Roman" w:eastAsia="方正仿宋_GBK"/>
          <w:b w:val="0"/>
          <w:sz w:val="24"/>
        </w:rPr>
        <w:t xml:space="preserve">0</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弹性方案本站</w:t>
      </w:r>
      <w:r>
        <w:rPr>
          <w:rFonts w:ascii="Times New Roman" w:hAnsi="Times New Roman" w:eastAsia="方正仿宋_GBK"/>
          <w:b w:val="0"/>
          <w:sz w:val="24"/>
        </w:rPr>
        <w:t xml:space="preserve">主变容量较刚性</w:t>
      </w:r>
      <w:r>
        <w:rPr>
          <w:rFonts w:ascii="Times New Roman" w:hAnsi="Times New Roman" w:eastAsia="方正仿宋_GBK"/>
          <w:b w:val="0"/>
          <w:sz w:val="24"/>
        </w:rPr>
        <w:t xml:space="preserve">增加</w:t>
      </w:r>
      <w:r>
        <w:rPr>
          <w:rFonts w:ascii="Times New Roman" w:hAnsi="Times New Roman" w:eastAsia="方正仿宋_GBK"/>
          <w:b w:val="0"/>
          <w:sz w:val="24"/>
        </w:rPr>
        <w:t xml:space="preserve">10</w:t>
      </w:r>
      <w:r>
        <w:rPr>
          <w:rFonts w:ascii="Times New Roman" w:hAnsi="Times New Roman" w:eastAsia="方正仿宋_GBK"/>
          <w:b w:val="0"/>
          <w:sz w:val="24"/>
        </w:rPr>
        <w:t xml:space="preserve">.00 MVA</w:t>
      </w:r>
      <w:r>
        <w:rPr>
          <w:rFonts w:ascii="Times New Roman" w:hAnsi="Times New Roman" w:eastAsia="方正仿宋_GBK"/>
          <w:b w:val="0"/>
          <w:sz w:val="24"/>
        </w:rPr>
        <w:t xml:space="preserve">。</w:t>
      </w:r>
    </w:p>
    <w:p w14:paraId="567169E3">
      <w:pPr>
        <w:pStyle w:val="2"/>
        <w:keepNext/>
        <w:spacing w:before="120" w:after="80" w:line="280" w:lineRule="exact"/>
        <w:ind w:firstLine="0"/>
        <w:jc w:val="center"/>
      </w:pPr>
      <w:r>
        <w:rPr>
          <w:rFonts w:ascii="Times New Roman" w:hAnsi="Times New Roman" w:eastAsia="宋体"/>
          <w:b w:val="0"/>
          <w:sz w:val="21"/>
        </w:rPr>
        <w:t xml:space="preserve">表5-31 兴塘变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47.95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57.69</w:t>
            </w:r>
          </w:p>
        </w:tc>
      </w:tr>
    </w:tbl>
    <w:p w14:paraId="4509C674">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最大单台主变N-1后，弹性方案剩余主变容量为81.50 MVA，按0.95功率因数折算为77.43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中最小余量为0.14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-15</w:t>
      </w:r>
      <w:r>
        <w:rPr>
          <w:rFonts w:ascii="Times New Roman" w:hAnsi="Times New Roman" w:eastAsia="方正仿宋_GBK"/>
          <w:b w:val="0"/>
          <w:sz w:val="24"/>
        </w:rPr>
        <w:t xml:space="preserve">.</w:t>
      </w:r>
      <w:r>
        <w:rPr>
          <w:rFonts w:ascii="Times New Roman" w:hAnsi="Times New Roman" w:eastAsia="方正仿宋_GBK"/>
          <w:b w:val="0"/>
          <w:sz w:val="24"/>
        </w:rPr>
        <w:t xml:space="preserve">12</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-77.2</w:t>
      </w:r>
      <w:r>
        <w:rPr>
          <w:rFonts w:ascii="Times New Roman" w:hAnsi="Times New Roman" w:eastAsia="方正仿宋_GBK"/>
          <w:b w:val="0"/>
          <w:sz w:val="24"/>
        </w:rPr>
        <w:t xml:space="preserve">9</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其中与宿羊山变之间的主要通道承担6.72 MW净功率转接，使用既有通道。</w:t>
      </w:r>
    </w:p>
    <w:p w14:paraId="019EBDC9">
      <w:pPr>
        <w:pStyle w:val="2"/>
        <w:widowControl/>
        <w:spacing w:before="0" w:after="0" w:line="348" w:lineRule="exact"/>
        <w:ind w:firstLine="480"/>
        <w:jc w:val="both"/>
      </w:pPr>
      <w:r>
        <w:rPr>
          <w:rFonts w:ascii="Times New Roman" w:hAnsi="Times New Roman" w:eastAsia="方正仿宋_GBK"/>
          <w:b w:val="0"/>
          <w:sz w:val="24"/>
        </w:rPr>
        <w:t xml:space="preserve">两方案本站储能规模相同，</w:t>
      </w:r>
      <w:r>
        <w:rPr>
          <w:rFonts w:ascii="Times New Roman" w:hAnsi="Times New Roman" w:eastAsia="方正仿宋_GBK"/>
          <w:b w:val="0"/>
          <w:sz w:val="24"/>
        </w:rPr>
        <w:t xml:space="preserve">主变</w:t>
      </w:r>
      <w:r>
        <w:rPr>
          <w:rFonts w:ascii="Times New Roman" w:hAnsi="Times New Roman" w:eastAsia="方正仿宋_GBK"/>
          <w:b w:val="0"/>
          <w:sz w:val="24"/>
        </w:rPr>
        <w:t xml:space="preserve">规格的差异主要体现为</w:t>
      </w:r>
      <w:r>
        <w:rPr>
          <w:rFonts w:ascii="Times New Roman" w:hAnsi="Times New Roman" w:eastAsia="方正仿宋_GBK"/>
          <w:b w:val="0"/>
          <w:sz w:val="24"/>
        </w:rPr>
        <w:t xml:space="preserve">站</w:t>
      </w:r>
      <w:r>
        <w:rPr>
          <w:rFonts w:ascii="Times New Roman" w:hAnsi="Times New Roman" w:eastAsia="方正仿宋_GBK"/>
          <w:b w:val="0"/>
          <w:sz w:val="24"/>
        </w:rPr>
        <w:t xml:space="preserve">内</w:t>
      </w:r>
      <w:r>
        <w:rPr>
          <w:rFonts w:ascii="Times New Roman" w:hAnsi="Times New Roman" w:eastAsia="方正仿宋_GBK"/>
          <w:b w:val="0"/>
          <w:sz w:val="24"/>
        </w:rPr>
        <w:t xml:space="preserve">容量</w:t>
      </w:r>
      <w:r>
        <w:rPr>
          <w:rFonts w:ascii="Times New Roman" w:hAnsi="Times New Roman" w:eastAsia="方正仿宋_GBK"/>
          <w:b w:val="0"/>
          <w:sz w:val="24"/>
        </w:rPr>
        <w:t xml:space="preserve">及故障</w:t>
      </w:r>
      <w:r>
        <w:rPr>
          <w:rFonts w:ascii="Times New Roman" w:hAnsi="Times New Roman" w:eastAsia="方正仿宋_GBK"/>
          <w:b w:val="0"/>
          <w:sz w:val="24"/>
        </w:rPr>
        <w:t xml:space="preserve">后</w:t>
      </w:r>
      <w:r>
        <w:rPr>
          <w:rFonts w:ascii="Times New Roman" w:hAnsi="Times New Roman" w:eastAsia="方正仿宋_GBK"/>
          <w:b w:val="0"/>
          <w:sz w:val="24"/>
        </w:rPr>
        <w:t xml:space="preserve">可用能力</w:t>
      </w:r>
      <w:r>
        <w:rPr>
          <w:rFonts w:ascii="Times New Roman" w:hAnsi="Times New Roman" w:eastAsia="方正仿宋_GBK"/>
          <w:b w:val="0"/>
          <w:sz w:val="24"/>
        </w:rPr>
        <w:t xml:space="preserve">的</w:t>
      </w:r>
      <w:r>
        <w:rPr>
          <w:rFonts w:ascii="Times New Roman" w:hAnsi="Times New Roman" w:eastAsia="方正仿宋_GBK"/>
          <w:b w:val="0"/>
          <w:sz w:val="24"/>
        </w:rPr>
        <w:t xml:space="preserve">变化</w:t>
      </w:r>
      <w:r>
        <w:rPr>
          <w:rFonts w:ascii="Times New Roman" w:hAnsi="Times New Roman" w:eastAsia="方正仿宋_GBK"/>
          <w:b w:val="0"/>
          <w:sz w:val="24"/>
        </w:rPr>
        <w:t xml:space="preserve">。</w:t>
      </w:r>
    </w:p>
    <w:p w14:paraId="34A39FD0">
      <w:pPr>
        <w:pStyle w:val="7"/>
        <w:keepNext/>
        <w:numPr>
          <w:ilvl w:val="0"/>
          <w:numId w:val="0"/>
        </w:numPr>
        <w:spacing w:before="160" w:after="120" w:line="360" w:lineRule="exact"/>
        <w:ind w:firstLine="0"/>
      </w:pPr>
      <w:bookmarkStart w:id="220" w:name="议堂变规划分析"/>
      <w:r>
        <w:rPr>
          <w:rFonts w:ascii="Times New Roman" w:hAnsi="Times New Roman" w:eastAsia="方正仿宋_GBK"/>
          <w:b/>
          <w:sz w:val="24"/>
        </w:rPr>
        <w:t>议堂变规划分析</w:t>
      </w:r>
      <w:bookmarkEnd w:id="220"/>
    </w:p>
    <w:p w14:paraId="4264DD50">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31.50+63.00 MVA。弹性方案</w:t>
      </w:r>
      <w:r>
        <w:rPr>
          <w:rFonts w:ascii="Times New Roman" w:hAnsi="Times New Roman" w:eastAsia="方正仿宋_GBK"/>
          <w:b w:val="0"/>
          <w:sz w:val="24"/>
        </w:rPr>
        <w:t xml:space="preserve">20</w:t>
      </w:r>
      <w:r>
        <w:rPr>
          <w:rFonts w:ascii="Times New Roman" w:hAnsi="Times New Roman" w:eastAsia="方正仿宋_GBK"/>
          <w:b w:val="0"/>
          <w:sz w:val="24"/>
        </w:rPr>
        <w:t xml:space="preserve">32年31.</w:t>
      </w:r>
      <w:r>
        <w:rPr>
          <w:rFonts w:ascii="Times New Roman" w:hAnsi="Times New Roman" w:eastAsia="方正仿宋_GBK"/>
          <w:b w:val="0"/>
          <w:sz w:val="24"/>
        </w:rPr>
        <w:t xml:space="preserve">50 MVA</w:t>
      </w:r>
      <w:r>
        <w:rPr>
          <w:rFonts w:ascii="Times New Roman" w:hAnsi="Times New Roman" w:eastAsia="方正仿宋_GBK"/>
          <w:b w:val="0"/>
          <w:sz w:val="24"/>
        </w:rPr>
        <w:t xml:space="preserve">更换为50.00 MVA；2034年扩建第三台50.00 MVA主变。本站</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各</w:t>
      </w:r>
      <w:r>
        <w:rPr>
          <w:rFonts w:ascii="Times New Roman" w:hAnsi="Times New Roman" w:eastAsia="方正仿宋_GBK"/>
          <w:b w:val="0"/>
          <w:sz w:val="24"/>
        </w:rPr>
        <w:t xml:space="preserve">年</w:t>
      </w:r>
      <w:r>
        <w:rPr>
          <w:rFonts w:ascii="Times New Roman" w:hAnsi="Times New Roman" w:eastAsia="方正仿宋_GBK"/>
          <w:b w:val="0"/>
          <w:sz w:val="24"/>
        </w:rPr>
        <w:t xml:space="preserve">未新增储能</w:t>
      </w:r>
      <w:r>
        <w:rPr>
          <w:rFonts w:ascii="Times New Roman" w:hAnsi="Times New Roman" w:eastAsia="方正仿宋_GBK"/>
          <w:b w:val="0"/>
          <w:sz w:val="24"/>
        </w:rPr>
        <w:t xml:space="preserve">。</w:t>
      </w:r>
    </w:p>
    <w:p w14:paraId="5A78F8A7">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最大正向、反向净负荷分别为34.43 MW、22.89 MW</w:t>
      </w:r>
      <w:r>
        <w:rPr>
          <w:rFonts w:ascii="Times New Roman" w:hAnsi="Times New Roman" w:eastAsia="方正仿宋_GBK"/>
          <w:b w:val="0"/>
          <w:sz w:val="24"/>
        </w:rPr>
        <w:t xml:space="preserve">，2035年分别为50.74 MW、74.04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113</w:t>
      </w:r>
      <w:r>
        <w:rPr>
          <w:rFonts w:ascii="Times New Roman" w:hAnsi="Times New Roman" w:eastAsia="方正仿宋_GBK"/>
          <w:b w:val="0"/>
          <w:sz w:val="24"/>
        </w:rPr>
        <w:t xml:space="preserve">.00 MVA、储能额定功率0.00 MW，弹性方案分别为</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较刚性增加50.00 MVA</w:t>
      </w:r>
      <w:r>
        <w:rPr>
          <w:rFonts w:ascii="Times New Roman" w:hAnsi="Times New Roman" w:eastAsia="方正仿宋_GBK"/>
          <w:b w:val="0"/>
          <w:sz w:val="24"/>
        </w:rPr>
        <w:t xml:space="preserve">。</w:t>
      </w:r>
    </w:p>
    <w:p w14:paraId="6433DA38">
      <w:pPr>
        <w:pStyle w:val="2"/>
        <w:keepNext/>
        <w:spacing w:before="120" w:after="80" w:line="280" w:lineRule="exact"/>
        <w:ind w:firstLine="0"/>
        <w:jc w:val="center"/>
      </w:pPr>
      <w:r>
        <w:rPr>
          <w:rFonts w:ascii="Times New Roman" w:hAnsi="Times New Roman" w:eastAsia="宋体"/>
          <w:b w:val="0"/>
          <w:sz w:val="21"/>
        </w:rPr>
        <w:t xml:space="preserve">表5-32 议堂变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35.04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4.32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42.18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55.77</w:t>
            </w:r>
          </w:p>
        </w:tc>
      </w:tr>
    </w:tbl>
    <w:p w14:paraId="07F07F0B">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中最小余量为16.90 MW。该小时按采用的固定区段预案</w:t>
      </w:r>
      <w:r>
        <w:rPr>
          <w:rFonts w:ascii="Times New Roman" w:hAnsi="Times New Roman" w:eastAsia="方正仿宋_GBK"/>
          <w:b w:val="0"/>
          <w:sz w:val="24"/>
        </w:rPr>
        <w:t xml:space="preserve">，本站转出0.00 MW、承接</w:t>
      </w:r>
      <w:r>
        <w:rPr>
          <w:rFonts w:ascii="Times New Roman" w:hAnsi="Times New Roman" w:eastAsia="方正仿宋_GBK"/>
          <w:b w:val="0"/>
          <w:sz w:val="24"/>
        </w:rPr>
        <w:t xml:space="preserve">-4</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6</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-78</w:t>
      </w:r>
      <w:r>
        <w:rPr>
          <w:rFonts w:ascii="Times New Roman" w:hAnsi="Times New Roman" w:eastAsia="方正仿宋_GBK"/>
          <w:b w:val="0"/>
          <w:sz w:val="24"/>
        </w:rPr>
        <w:t xml:space="preserve">.</w:t>
      </w:r>
      <w:r>
        <w:rPr>
          <w:rFonts w:ascii="Times New Roman" w:hAnsi="Times New Roman" w:eastAsia="方正仿宋_GBK"/>
          <w:b w:val="0"/>
          <w:sz w:val="24"/>
        </w:rPr>
        <w:t xml:space="preserve">1</w:t>
      </w:r>
      <w:r>
        <w:rPr>
          <w:rFonts w:ascii="Times New Roman" w:hAnsi="Times New Roman" w:eastAsia="方正仿宋_GBK"/>
          <w:b w:val="0"/>
          <w:sz w:val="24"/>
        </w:rPr>
        <w:t xml:space="preserve">0</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其中与宿羊山变之间的主要通道承担4.06 MW净功率转接，使用已投运新增联络。</w:t>
      </w:r>
    </w:p>
    <w:p w14:paraId="4714B5B2">
      <w:pPr>
        <w:pStyle w:val="2"/>
        <w:widowControl/>
        <w:spacing w:before="0" w:after="0" w:line="348" w:lineRule="exact"/>
        <w:ind w:firstLine="480"/>
        <w:jc w:val="both"/>
      </w:pPr>
      <w:r>
        <w:rPr>
          <w:rFonts w:ascii="Times New Roman" w:hAnsi="Times New Roman" w:eastAsia="方正仿宋_GBK"/>
          <w:b w:val="0"/>
          <w:sz w:val="24"/>
        </w:rPr>
        <w:t xml:space="preserve">本站弹性方案新增第三</w:t>
      </w:r>
      <w:r>
        <w:rPr>
          <w:rFonts w:ascii="Times New Roman" w:hAnsi="Times New Roman" w:eastAsia="方正仿宋_GBK"/>
          <w:b w:val="0"/>
          <w:sz w:val="24"/>
        </w:rPr>
        <w:t xml:space="preserve">台主变</w:t>
      </w:r>
      <w:r>
        <w:rPr>
          <w:rFonts w:ascii="Times New Roman" w:hAnsi="Times New Roman" w:eastAsia="方正仿宋_GBK"/>
          <w:b w:val="0"/>
          <w:sz w:val="24"/>
        </w:rPr>
        <w:t xml:space="preserve">，</w:t>
      </w:r>
      <w:r>
        <w:rPr>
          <w:rFonts w:ascii="Times New Roman" w:hAnsi="Times New Roman" w:eastAsia="方正仿宋_GBK"/>
          <w:b w:val="0"/>
          <w:sz w:val="24"/>
        </w:rPr>
        <w:t xml:space="preserve">改变了故障后</w:t>
      </w:r>
      <w:r>
        <w:rPr>
          <w:rFonts w:ascii="Times New Roman" w:hAnsi="Times New Roman" w:eastAsia="方正仿宋_GBK"/>
          <w:b w:val="0"/>
          <w:sz w:val="24"/>
        </w:rPr>
        <w:t xml:space="preserve">剩余</w:t>
      </w:r>
      <w:r>
        <w:rPr>
          <w:rFonts w:ascii="Times New Roman" w:hAnsi="Times New Roman" w:eastAsia="方正仿宋_GBK"/>
          <w:b w:val="0"/>
          <w:sz w:val="24"/>
        </w:rPr>
        <w:t xml:space="preserve">设备组合</w:t>
      </w:r>
      <w:r>
        <w:rPr>
          <w:rFonts w:ascii="Times New Roman" w:hAnsi="Times New Roman" w:eastAsia="方正仿宋_GBK"/>
          <w:b w:val="0"/>
          <w:sz w:val="24"/>
        </w:rPr>
        <w:t xml:space="preserve">，</w:t>
      </w:r>
      <w:r>
        <w:rPr>
          <w:rFonts w:ascii="Times New Roman" w:hAnsi="Times New Roman" w:eastAsia="方正仿宋_GBK"/>
          <w:b w:val="0"/>
          <w:sz w:val="24"/>
        </w:rPr>
        <w:t xml:space="preserve">可与刚性方案的配储及</w:t>
      </w:r>
      <w:r>
        <w:rPr>
          <w:rFonts w:ascii="Times New Roman" w:hAnsi="Times New Roman" w:eastAsia="方正仿宋_GBK"/>
          <w:b w:val="0"/>
          <w:sz w:val="24"/>
        </w:rPr>
        <w:t xml:space="preserve">转</w:t>
      </w:r>
      <w:r>
        <w:rPr>
          <w:rFonts w:ascii="Times New Roman" w:hAnsi="Times New Roman" w:eastAsia="方正仿宋_GBK"/>
          <w:b w:val="0"/>
          <w:sz w:val="24"/>
        </w:rPr>
        <w:t xml:space="preserve">接任务对应比较</w:t>
      </w:r>
      <w:r>
        <w:rPr>
          <w:rFonts w:ascii="Times New Roman" w:hAnsi="Times New Roman" w:eastAsia="方正仿宋_GBK"/>
          <w:b w:val="0"/>
          <w:sz w:val="24"/>
        </w:rPr>
        <w:t xml:space="preserve">。</w:t>
      </w:r>
    </w:p>
    <w:p w14:paraId="1E415241">
      <w:pPr>
        <w:pStyle w:val="2"/>
        <w:widowControl/>
        <w:spacing w:before="0" w:after="0" w:line="348" w:lineRule="exact"/>
        <w:ind w:firstLine="480"/>
        <w:jc w:val="both"/>
      </w:pPr>
      <w:r>
        <w:rPr>
          <w:rFonts w:ascii="Times New Roman" w:hAnsi="Times New Roman" w:eastAsia="方正仿宋_GBK"/>
          <w:b w:val="0"/>
          <w:sz w:val="24"/>
        </w:rPr>
        <w:t xml:space="preserve">将各</w:t>
      </w:r>
      <w:r>
        <w:rPr>
          <w:rFonts w:ascii="Times New Roman" w:hAnsi="Times New Roman" w:eastAsia="方正仿宋_GBK"/>
          <w:b w:val="0"/>
          <w:sz w:val="24"/>
        </w:rPr>
        <w:t xml:space="preserve">站</w:t>
      </w:r>
      <w:r>
        <w:rPr>
          <w:rFonts w:ascii="Times New Roman" w:hAnsi="Times New Roman" w:eastAsia="方正仿宋_GBK"/>
          <w:b w:val="0"/>
          <w:sz w:val="24"/>
        </w:rPr>
        <w:t xml:space="preserve">202</w:t>
      </w:r>
      <w:r>
        <w:rPr>
          <w:rFonts w:ascii="Times New Roman" w:hAnsi="Times New Roman" w:eastAsia="方正仿宋_GBK"/>
          <w:b w:val="0"/>
          <w:sz w:val="24"/>
        </w:rPr>
        <w:t xml:space="preserve">1年初始与203</w:t>
      </w:r>
      <w:r>
        <w:rPr>
          <w:rFonts w:ascii="Times New Roman" w:hAnsi="Times New Roman" w:eastAsia="方正仿宋_GBK"/>
          <w:b w:val="0"/>
          <w:sz w:val="24"/>
        </w:rPr>
        <w:t xml:space="preserve">5年</w:t>
      </w:r>
      <w:r>
        <w:rPr>
          <w:rFonts w:ascii="Times New Roman" w:hAnsi="Times New Roman" w:eastAsia="方正仿宋_GBK"/>
          <w:b w:val="0"/>
          <w:sz w:val="24"/>
        </w:rPr>
        <w:t xml:space="preserve">两方案的</w:t>
      </w:r>
      <w:r>
        <w:rPr>
          <w:rFonts w:ascii="Times New Roman" w:hAnsi="Times New Roman" w:eastAsia="方正仿宋_GBK"/>
          <w:b w:val="0"/>
          <w:sz w:val="24"/>
        </w:rPr>
        <w:t xml:space="preserve">最大单台</w:t>
      </w:r>
      <w:r>
        <w:rPr>
          <w:rFonts w:ascii="Times New Roman" w:hAnsi="Times New Roman" w:eastAsia="方正仿宋_GBK"/>
          <w:b w:val="0"/>
          <w:sz w:val="24"/>
        </w:rPr>
        <w:t xml:space="preserve">N-1</w:t>
      </w:r>
      <w:r>
        <w:rPr>
          <w:rFonts w:ascii="Times New Roman" w:hAnsi="Times New Roman" w:eastAsia="方正仿宋_GBK"/>
          <w:b w:val="0"/>
          <w:sz w:val="24"/>
        </w:rPr>
        <w:t xml:space="preserve">剩余</w:t>
      </w:r>
      <w:r>
        <w:rPr>
          <w:rFonts w:ascii="Times New Roman" w:hAnsi="Times New Roman" w:eastAsia="方正仿宋_GBK"/>
          <w:b w:val="0"/>
          <w:sz w:val="24"/>
        </w:rPr>
        <w:t xml:space="preserve">有功能力并列，可观察长期补强的站间分布。部分站点由两台共同升档提高剩余能力，具备预留位置的站点还可增加第三台，</w:t>
      </w:r>
      <w:r>
        <w:rPr>
          <w:rFonts w:ascii="Times New Roman" w:hAnsi="Times New Roman" w:eastAsia="方正仿宋_GBK"/>
          <w:b w:val="0"/>
          <w:sz w:val="24"/>
        </w:rPr>
        <w:t xml:space="preserve">容量</w:t>
      </w:r>
      <w:r>
        <w:rPr>
          <w:rFonts w:ascii="Times New Roman" w:hAnsi="Times New Roman" w:eastAsia="方正仿宋_GBK"/>
          <w:b w:val="0"/>
          <w:sz w:val="24"/>
        </w:rPr>
        <w:t xml:space="preserve">接近时配储和网络使用仍可能不同。图中按主变组合及</w:t>
      </w:r>
      <w:r>
        <w:rPr>
          <w:rFonts w:ascii="Times New Roman" w:hAnsi="Times New Roman" w:eastAsia="方正仿宋_GBK"/>
          <w:b w:val="0"/>
          <w:sz w:val="24"/>
        </w:rPr>
        <w:t xml:space="preserve">0.</w:t>
      </w:r>
      <w:r>
        <w:rPr>
          <w:rFonts w:ascii="Times New Roman" w:hAnsi="Times New Roman" w:eastAsia="方正仿宋_GBK"/>
          <w:b w:val="0"/>
          <w:sz w:val="24"/>
        </w:rPr>
        <w:t xml:space="preserve">9</w:t>
      </w:r>
      <w:r>
        <w:rPr>
          <w:rFonts w:ascii="Times New Roman" w:hAnsi="Times New Roman" w:eastAsia="方正仿宋_GBK"/>
          <w:b w:val="0"/>
          <w:sz w:val="24"/>
        </w:rPr>
        <w:t xml:space="preserve">5</w:t>
      </w:r>
      <w:r>
        <w:rPr>
          <w:rFonts w:ascii="Times New Roman" w:hAnsi="Times New Roman" w:eastAsia="方正仿宋_GBK"/>
          <w:b w:val="0"/>
          <w:sz w:val="24"/>
        </w:rPr>
        <w:t xml:space="preserve">功率</w:t>
      </w:r>
      <w:r>
        <w:rPr>
          <w:rFonts w:ascii="Times New Roman" w:hAnsi="Times New Roman" w:eastAsia="方正仿宋_GBK"/>
          <w:b w:val="0"/>
          <w:sz w:val="24"/>
        </w:rPr>
        <w:t xml:space="preserve">因数折算</w:t>
      </w:r>
      <w:r>
        <w:rPr>
          <w:rFonts w:ascii="Times New Roman" w:hAnsi="Times New Roman" w:eastAsia="方正仿宋_GBK"/>
          <w:b w:val="0"/>
          <w:sz w:val="24"/>
        </w:rPr>
        <w:t xml:space="preserve">，</w:t>
      </w:r>
      <w:r>
        <w:rPr>
          <w:rFonts w:ascii="Times New Roman" w:hAnsi="Times New Roman" w:eastAsia="方正仿宋_GBK"/>
          <w:b w:val="0"/>
          <w:sz w:val="24"/>
        </w:rPr>
        <w:t xml:space="preserve">运行支撑还包括实际可用储能和网络</w:t>
      </w:r>
      <w:r>
        <w:rPr>
          <w:rFonts w:ascii="Times New Roman" w:hAnsi="Times New Roman" w:eastAsia="方正仿宋_GBK"/>
          <w:b w:val="0"/>
          <w:sz w:val="24"/>
        </w:rPr>
        <w:t xml:space="preserve">。</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3657600"/>
            <wp:effectExtent b="0" l="0" r="0" t="0"/>
            <wp:docPr descr="" title="" id="93" name="Picture"/>
            <a:graphic>
              <a:graphicData uri="http://schemas.openxmlformats.org/drawingml/2006/picture">
                <pic:pic>
                  <pic:nvPicPr>
                    <pic:cNvPr descr="研究报告/02图表/当前版/pizhou_station_n1.png" id="0" name="Picture"/>
                    <pic:cNvPicPr>
                      <a:picLocks noChangeArrowheads="1" noChangeAspect="1"/>
                    </pic:cNvPicPr>
                  </pic:nvPicPr>
                  <pic:blipFill>
                    <a:blip r:embed="rIdReportRevision11"/>
                    <a:stretch>
                      <a:fillRect/>
                    </a:stretch>
                  </pic:blipFill>
                  <pic:spPr bwMode="auto">
                    <a:xfrm>
                      <a:off x="0" y="0"/>
                      <a:ext cx="5120640" cy="3657600"/>
                    </a:xfrm>
                    <a:prstGeom prst="rect">
                      <a:avLst/>
                    </a:prstGeom>
                    <a:noFill/>
                    <a:ln w="9525">
                      <a:noFill/>
                      <a:headEnd/>
                      <a:tailEnd/>
                    </a:ln>
                  </pic:spPr>
                </pic:pic>
              </a:graphicData>
            </a:graphic>
          </wp:inline>
        </w:drawing>
      </w:r>
    </w:p>
    <w:p w14:paraId="368AE4BF">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 xml:space="preserve">图5-8 邳州逐站初始与20</w:t>
      </w:r>
      <w:r>
        <w:rPr>
          <w:rFonts w:ascii="Times New Roman" w:hAnsi="Times New Roman" w:eastAsia="宋体"/>
          <w:b w:val="0"/>
          <w:sz w:val="21"/>
        </w:rPr>
        <w:t xml:space="preserve">3</w:t>
      </w:r>
      <w:r>
        <w:rPr>
          <w:rFonts w:ascii="Times New Roman" w:hAnsi="Times New Roman" w:eastAsia="宋体"/>
          <w:b w:val="0"/>
          <w:sz w:val="21"/>
        </w:rPr>
        <w:t xml:space="preserve">5年方案的N-1剩余主变能力</w:t>
      </w:r>
    </w:p>
    <w:p w14:paraId="6792DF23">
      <w:pPr>
        <w:pStyle w:val="5"/>
        <w:keepNext/>
        <w:numPr>
          <w:ilvl w:val="0"/>
          <w:numId w:val="0"/>
        </w:numPr>
        <w:spacing w:before="160" w:after="120" w:line="390" w:lineRule="exact"/>
        <w:ind w:firstLine="0"/>
      </w:pPr>
      <w:bookmarkStart w:id="221" w:name="市区逐站规划方案"/>
      <w:r>
        <w:rPr>
          <w:rFonts w:ascii="Times New Roman" w:hAnsi="Times New Roman" w:eastAsia="方正仿宋_GBK"/>
          <w:b/>
          <w:sz w:val="26"/>
        </w:rPr>
        <w:t>5.4.6 市区逐站规划方案</w:t>
      </w:r>
      <w:bookmarkEnd w:id="221"/>
    </w:p>
    <w:p w14:paraId="21A87E5F">
      <w:pPr>
        <w:pStyle w:val="115"/>
        <w:widowControl/>
        <w:spacing w:before="0" w:after="0" w:line="348" w:lineRule="exact"/>
        <w:ind w:firstLine="480"/>
        <w:jc w:val="both"/>
      </w:pPr>
      <w:r>
        <w:rPr>
          <w:rFonts w:ascii="Times New Roman" w:hAnsi="Times New Roman" w:eastAsia="方正仿宋_GBK"/>
          <w:b w:val="0"/>
          <w:sz w:val="24"/>
        </w:rPr>
        <w:t>市区26座具备设备对应资料的变电站分别列示逐年配置、正常转接及主变N-1校核结果。各站分析结合本地需求与邻站支援任务，说明设备组合和建设时点的差异。</w:t>
      </w:r>
    </w:p>
    <w:p w14:paraId="1C0A5BEE">
      <w:pPr>
        <w:pStyle w:val="7"/>
        <w:keepNext/>
        <w:numPr>
          <w:ilvl w:val="0"/>
          <w:numId w:val="0"/>
        </w:numPr>
        <w:spacing w:before="160" w:after="120" w:line="360" w:lineRule="exact"/>
        <w:ind w:firstLine="0"/>
      </w:pPr>
      <w:bookmarkStart w:id="222" w:name="大黄山变规划分析"/>
      <w:r>
        <w:rPr>
          <w:rFonts w:ascii="Times New Roman" w:hAnsi="Times New Roman" w:eastAsia="方正仿宋_GBK"/>
          <w:b/>
          <w:sz w:val="24"/>
        </w:rPr>
        <w:t>大黄山变规划分析</w:t>
      </w:r>
      <w:bookmarkEnd w:id="222"/>
    </w:p>
    <w:p w14:paraId="790CA8D4">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50.0</w:t>
      </w:r>
      <w:r>
        <w:rPr>
          <w:rFonts w:ascii="Times New Roman" w:hAnsi="Times New Roman" w:eastAsia="方正仿宋_GBK"/>
          <w:b w:val="0"/>
          <w:sz w:val="24"/>
        </w:rPr>
        <w:t xml:space="preserve">0+63</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2030</w:t>
      </w:r>
      <w:r>
        <w:rPr>
          <w:rFonts w:ascii="Times New Roman" w:hAnsi="Times New Roman" w:eastAsia="方正仿宋_GBK"/>
          <w:b w:val="0"/>
          <w:sz w:val="24"/>
        </w:rPr>
        <w:t xml:space="preserve">年</w:t>
      </w:r>
      <w:r>
        <w:rPr>
          <w:rFonts w:ascii="Times New Roman" w:hAnsi="Times New Roman" w:eastAsia="方正仿宋_GBK"/>
          <w:b w:val="0"/>
          <w:sz w:val="24"/>
        </w:rPr>
        <w:t xml:space="preserve">50.00 MVA更换为63.00 MVA。储能按本地支撑需求分批增加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新增额定功率为2033年3.90 MW、2034年8.30 MW、2035年12.40 MW</w:t>
      </w:r>
      <w:r>
        <w:rPr>
          <w:rFonts w:ascii="Times New Roman" w:hAnsi="Times New Roman" w:eastAsia="方正仿宋_GBK"/>
          <w:b w:val="0"/>
          <w:sz w:val="24"/>
        </w:rPr>
        <w:t xml:space="preserve">。</w:t>
      </w:r>
    </w:p>
    <w:p w14:paraId="61C5244F">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最大正向、反向净负荷分别为32.29 MW、35.73 MW</w:t>
      </w:r>
      <w:r>
        <w:rPr>
          <w:rFonts w:ascii="Times New Roman" w:hAnsi="Times New Roman" w:eastAsia="方正仿宋_GBK"/>
          <w:b w:val="0"/>
          <w:sz w:val="24"/>
        </w:rPr>
        <w:t xml:space="preserve">，2035年分别为47.02 MW、110.88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26</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18</w:t>
      </w:r>
      <w:r>
        <w:rPr>
          <w:rFonts w:ascii="Times New Roman" w:hAnsi="Times New Roman" w:eastAsia="方正仿宋_GBK"/>
          <w:b w:val="0"/>
          <w:sz w:val="24"/>
        </w:rPr>
        <w:t xml:space="preserve">.</w:t>
      </w:r>
      <w:r>
        <w:rPr>
          <w:rFonts w:ascii="Times New Roman" w:hAnsi="Times New Roman" w:eastAsia="方正仿宋_GBK"/>
          <w:b w:val="0"/>
          <w:sz w:val="24"/>
        </w:rPr>
        <w:t xml:space="preserve">4</w:t>
      </w:r>
      <w:r>
        <w:rPr>
          <w:rFonts w:ascii="Times New Roman" w:hAnsi="Times New Roman" w:eastAsia="方正仿宋_GBK"/>
          <w:b w:val="0"/>
          <w:sz w:val="24"/>
        </w:rPr>
        <w:t xml:space="preserve">0 MW，弹性方案分别为1</w:t>
      </w:r>
      <w:r>
        <w:rPr>
          <w:rFonts w:ascii="Times New Roman" w:hAnsi="Times New Roman" w:eastAsia="方正仿宋_GBK"/>
          <w:b w:val="0"/>
          <w:sz w:val="24"/>
        </w:rPr>
        <w:t xml:space="preserve">26</w:t>
      </w:r>
      <w:r>
        <w:rPr>
          <w:rFonts w:ascii="Times New Roman" w:hAnsi="Times New Roman" w:eastAsia="方正仿宋_GBK"/>
          <w:b w:val="0"/>
          <w:sz w:val="24"/>
        </w:rPr>
        <w:t xml:space="preserve">.00 MVA和</w:t>
      </w:r>
      <w:r>
        <w:rPr>
          <w:rFonts w:ascii="Times New Roman" w:hAnsi="Times New Roman" w:eastAsia="方正仿宋_GBK"/>
          <w:b w:val="0"/>
          <w:sz w:val="24"/>
        </w:rPr>
        <w:t xml:space="preserve">24</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12DC7E6A">
      <w:pPr>
        <w:pStyle w:val="2"/>
        <w:keepNext/>
        <w:spacing w:before="120" w:after="80" w:line="280" w:lineRule="exact"/>
        <w:ind w:firstLine="0"/>
        <w:jc w:val="center"/>
      </w:pPr>
      <w:r>
        <w:rPr>
          <w:rFonts w:ascii="Times New Roman" w:hAnsi="Times New Roman" w:eastAsia="宋体"/>
          <w:b w:val="0"/>
          <w:sz w:val="21"/>
        </w:rPr>
        <w:t xml:space="preserve">表5-33 大黄山变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10.79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40.62</w:t>
            </w:r>
          </w:p>
        </w:tc>
      </w:tr>
    </w:tbl>
    <w:p w14:paraId="4E57A3B0">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最大单台主变N-1后，弹性方案剩余主变容量为63.00 MVA，按0.95功率因数折算为59.85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有效支撑功率为6.70 MW、反向有效吸收功率为20.10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中最小余量为0.05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-3</w:t>
      </w:r>
      <w:r>
        <w:rPr>
          <w:rFonts w:ascii="Times New Roman" w:hAnsi="Times New Roman" w:eastAsia="方正仿宋_GBK"/>
          <w:b w:val="0"/>
          <w:sz w:val="24"/>
        </w:rPr>
        <w:t xml:space="preserve">0.</w:t>
      </w:r>
      <w:r>
        <w:rPr>
          <w:rFonts w:ascii="Times New Roman" w:hAnsi="Times New Roman" w:eastAsia="方正仿宋_GBK"/>
          <w:b w:val="0"/>
          <w:sz w:val="24"/>
        </w:rPr>
        <w:t xml:space="preserve">98</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-79.9</w:t>
      </w:r>
      <w:r>
        <w:rPr>
          <w:rFonts w:ascii="Times New Roman" w:hAnsi="Times New Roman" w:eastAsia="方正仿宋_GBK"/>
          <w:b w:val="0"/>
          <w:sz w:val="24"/>
        </w:rPr>
        <w:t xml:space="preserve">0</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其中与奎山变之间的主要通道承担11.41 MW净功率转接，使用既有通道。</w:t>
      </w:r>
    </w:p>
    <w:p w14:paraId="176F7282">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储能额定功率相差6.2</w:t>
      </w:r>
      <w:r>
        <w:rPr>
          <w:rFonts w:ascii="Times New Roman" w:hAnsi="Times New Roman" w:eastAsia="方正仿宋_GBK"/>
          <w:b w:val="0"/>
          <w:sz w:val="24"/>
        </w:rPr>
        <w:t xml:space="preserve">0</w:t>
      </w:r>
      <w:r>
        <w:rPr>
          <w:rFonts w:ascii="Times New Roman" w:hAnsi="Times New Roman" w:eastAsia="方正仿宋_GBK"/>
          <w:b w:val="0"/>
          <w:sz w:val="24"/>
        </w:rPr>
        <w:t xml:space="preserve">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0DD40F67">
      <w:pPr>
        <w:pStyle w:val="7"/>
        <w:keepNext/>
        <w:numPr>
          <w:ilvl w:val="0"/>
          <w:numId w:val="0"/>
        </w:numPr>
        <w:spacing w:before="160" w:after="120" w:line="360" w:lineRule="exact"/>
        <w:ind w:firstLine="0"/>
      </w:pPr>
      <w:bookmarkStart w:id="223" w:name="大庙变规划分析"/>
      <w:r>
        <w:rPr>
          <w:rFonts w:ascii="Times New Roman" w:hAnsi="Times New Roman" w:eastAsia="方正仿宋_GBK"/>
          <w:b/>
          <w:sz w:val="24"/>
        </w:rPr>
        <w:t>大庙变规划分析</w:t>
      </w:r>
      <w:bookmarkEnd w:id="223"/>
    </w:p>
    <w:p w14:paraId="40A1E40F">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2027</w:t>
      </w:r>
      <w:r>
        <w:rPr>
          <w:rFonts w:ascii="Times New Roman" w:hAnsi="Times New Roman" w:eastAsia="方正仿宋_GBK"/>
          <w:b w:val="0"/>
          <w:sz w:val="24"/>
        </w:rPr>
        <w:t xml:space="preserve">年</w:t>
      </w:r>
      <w:r>
        <w:rPr>
          <w:rFonts w:ascii="Times New Roman" w:hAnsi="Times New Roman" w:eastAsia="方正仿宋_GBK"/>
          <w:b w:val="0"/>
          <w:sz w:val="24"/>
        </w:rPr>
        <w:t xml:space="preserve">40.00 MVA更换为50.00 MVA；2030年扩建第三台50.00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177D1322">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最大正向、反向净负荷分别为70.32 MW、8.70 MW</w:t>
      </w:r>
      <w:r>
        <w:rPr>
          <w:rFonts w:ascii="Times New Roman" w:hAnsi="Times New Roman" w:eastAsia="方正仿宋_GBK"/>
          <w:b w:val="0"/>
          <w:sz w:val="24"/>
        </w:rPr>
        <w:t xml:space="preserve">，2035年分别为102.39 MW、61.95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MVA、储能额定功率0.00 MW，弹性方案分别为</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10770C5F">
      <w:pPr>
        <w:pStyle w:val="2"/>
        <w:keepNext/>
        <w:spacing w:before="120" w:after="80" w:line="280" w:lineRule="exact"/>
        <w:ind w:firstLine="0"/>
        <w:jc w:val="center"/>
      </w:pPr>
      <w:r>
        <w:rPr>
          <w:rFonts w:ascii="Times New Roman" w:hAnsi="Times New Roman" w:eastAsia="宋体"/>
          <w:b w:val="0"/>
          <w:sz w:val="21"/>
        </w:rPr>
        <w:t xml:space="preserve">表5-34 大庙变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70.87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101.53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101.53</w:t>
            </w:r>
          </w:p>
        </w:tc>
      </w:tr>
    </w:tbl>
    <w:p w14:paraId="44C150CF">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中最小余量为1.59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8</w:t>
      </w:r>
      <w:r>
        <w:rPr>
          <w:rFonts w:ascii="Times New Roman" w:hAnsi="Times New Roman" w:eastAsia="方正仿宋_GBK"/>
          <w:b w:val="0"/>
          <w:sz w:val="24"/>
        </w:rPr>
        <w:t xml:space="preserve">.</w:t>
      </w:r>
      <w:r>
        <w:rPr>
          <w:rFonts w:ascii="Times New Roman" w:hAnsi="Times New Roman" w:eastAsia="方正仿宋_GBK"/>
          <w:b w:val="0"/>
          <w:sz w:val="24"/>
        </w:rPr>
        <w:t xml:space="preserve">98</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9</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4</w:t>
      </w:r>
      <w:r>
        <w:rPr>
          <w:rFonts w:ascii="Times New Roman" w:hAnsi="Times New Roman" w:eastAsia="方正仿宋_GBK"/>
          <w:b w:val="0"/>
          <w:sz w:val="24"/>
        </w:rPr>
        <w:t xml:space="preserve">1</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其中与龙湖变之间的主要通道承担5.39 MW净功率转接，使用既有通道。</w:t>
      </w:r>
    </w:p>
    <w:p w14:paraId="3E4098D0">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4B528358">
      <w:pPr>
        <w:pStyle w:val="7"/>
        <w:keepNext/>
        <w:numPr>
          <w:ilvl w:val="0"/>
          <w:numId w:val="0"/>
        </w:numPr>
        <w:spacing w:before="160" w:after="120" w:line="360" w:lineRule="exact"/>
        <w:ind w:firstLine="0"/>
      </w:pPr>
      <w:bookmarkStart w:id="224" w:name="堤北变规划分析"/>
      <w:r>
        <w:rPr>
          <w:rFonts w:ascii="Times New Roman" w:hAnsi="Times New Roman" w:eastAsia="方正仿宋_GBK"/>
          <w:b/>
          <w:sz w:val="24"/>
        </w:rPr>
        <w:t>堤北变规划分析</w:t>
      </w:r>
      <w:bookmarkEnd w:id="224"/>
    </w:p>
    <w:p w14:paraId="41017B87">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主变组合为63</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80.00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2031</w:t>
      </w:r>
      <w:r>
        <w:rPr>
          <w:rFonts w:ascii="Times New Roman" w:hAnsi="Times New Roman" w:eastAsia="方正仿宋_GBK"/>
          <w:b w:val="0"/>
          <w:sz w:val="24"/>
        </w:rPr>
        <w:t xml:space="preserve">年</w:t>
      </w:r>
      <w:r>
        <w:rPr>
          <w:rFonts w:ascii="Times New Roman" w:hAnsi="Times New Roman" w:eastAsia="方正仿宋_GBK"/>
          <w:b w:val="0"/>
          <w:sz w:val="24"/>
        </w:rPr>
        <w:t xml:space="preserve">63.00 MVA更换为80.00 MVA。储能按本地支撑需求分批增加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新增额定功率为2034年4.40 MW</w:t>
      </w:r>
      <w:r>
        <w:rPr>
          <w:rFonts w:ascii="Times New Roman" w:hAnsi="Times New Roman" w:eastAsia="方正仿宋_GBK"/>
          <w:b w:val="0"/>
          <w:sz w:val="24"/>
        </w:rPr>
        <w:t xml:space="preserve">。</w:t>
      </w:r>
    </w:p>
    <w:p w14:paraId="49D4C4A6">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最大正向、反向净负荷分别为102.93 MW、0.00 MW</w:t>
      </w:r>
      <w:r>
        <w:rPr>
          <w:rFonts w:ascii="Times New Roman" w:hAnsi="Times New Roman" w:eastAsia="方正仿宋_GBK"/>
          <w:b w:val="0"/>
          <w:sz w:val="24"/>
        </w:rPr>
        <w:t xml:space="preserve">，2035年分别为149.87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6</w:t>
      </w:r>
      <w:r>
        <w:rPr>
          <w:rFonts w:ascii="Times New Roman" w:hAnsi="Times New Roman" w:eastAsia="方正仿宋_GBK"/>
          <w:b w:val="0"/>
          <w:sz w:val="24"/>
        </w:rPr>
        <w:t xml:space="preserve">0</w:t>
      </w:r>
      <w:r>
        <w:rPr>
          <w:rFonts w:ascii="Times New Roman" w:hAnsi="Times New Roman" w:eastAsia="方正仿宋_GBK"/>
          <w:b w:val="0"/>
          <w:sz w:val="24"/>
        </w:rPr>
        <w:t xml:space="preserve">.00 MVA、储能额定功率0.00 MW，弹性方案分别为1</w:t>
      </w:r>
      <w:r>
        <w:rPr>
          <w:rFonts w:ascii="Times New Roman" w:hAnsi="Times New Roman" w:eastAsia="方正仿宋_GBK"/>
          <w:b w:val="0"/>
          <w:sz w:val="24"/>
        </w:rPr>
        <w:t xml:space="preserve">6</w:t>
      </w:r>
      <w:r>
        <w:rPr>
          <w:rFonts w:ascii="Times New Roman" w:hAnsi="Times New Roman" w:eastAsia="方正仿宋_GBK"/>
          <w:b w:val="0"/>
          <w:sz w:val="24"/>
        </w:rPr>
        <w:t xml:space="preserve">0</w:t>
      </w:r>
      <w:r>
        <w:rPr>
          <w:rFonts w:ascii="Times New Roman" w:hAnsi="Times New Roman" w:eastAsia="方正仿宋_GBK"/>
          <w:b w:val="0"/>
          <w:sz w:val="24"/>
        </w:rPr>
        <w:t xml:space="preserve">.00 MVA和</w:t>
      </w:r>
      <w:r>
        <w:rPr>
          <w:rFonts w:ascii="Times New Roman" w:hAnsi="Times New Roman" w:eastAsia="方正仿宋_GBK"/>
          <w:b w:val="0"/>
          <w:sz w:val="24"/>
        </w:rPr>
        <w:t xml:space="preserve">4</w:t>
      </w:r>
      <w:r>
        <w:rPr>
          <w:rFonts w:ascii="Times New Roman" w:hAnsi="Times New Roman" w:eastAsia="方正仿宋_GBK"/>
          <w:b w:val="0"/>
          <w:sz w:val="24"/>
        </w:rPr>
        <w:t xml:space="preserve">.</w:t>
      </w:r>
      <w:r>
        <w:rPr>
          <w:rFonts w:ascii="Times New Roman" w:hAnsi="Times New Roman" w:eastAsia="方正仿宋_GBK"/>
          <w:b w:val="0"/>
          <w:sz w:val="24"/>
        </w:rPr>
        <w:t xml:space="preserve">4</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286350FD">
      <w:pPr>
        <w:pStyle w:val="2"/>
        <w:keepNext/>
        <w:spacing w:before="120" w:after="80" w:line="280" w:lineRule="exact"/>
        <w:ind w:firstLine="0"/>
        <w:jc w:val="center"/>
      </w:pPr>
      <w:r>
        <w:rPr>
          <w:rFonts w:ascii="Times New Roman" w:hAnsi="Times New Roman" w:eastAsia="宋体"/>
          <w:b w:val="0"/>
          <w:sz w:val="21"/>
        </w:rPr>
        <w:t xml:space="preserve">表5-35 堤北变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146.30</w:t>
            </w:r>
          </w:p>
        </w:tc>
      </w:tr>
    </w:tbl>
    <w:p w14:paraId="5A4B5C1C">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最大单台主变N-1后，弹性方案剩余主变容量为80.00 MVA，按0.95功率因数折算为76.00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有效支撑功率为1.20 MW、反向有效吸收功率为4.40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中最小余量为1.26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73</w:t>
      </w:r>
      <w:r>
        <w:rPr>
          <w:rFonts w:ascii="Times New Roman" w:hAnsi="Times New Roman" w:eastAsia="方正仿宋_GBK"/>
          <w:b w:val="0"/>
          <w:sz w:val="24"/>
        </w:rPr>
        <w:t xml:space="preserve">.</w:t>
      </w:r>
      <w:r>
        <w:rPr>
          <w:rFonts w:ascii="Times New Roman" w:hAnsi="Times New Roman" w:eastAsia="方正仿宋_GBK"/>
          <w:b w:val="0"/>
          <w:sz w:val="24"/>
        </w:rPr>
        <w:t xml:space="preserve">94</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75</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4</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。其中与刘湾变之间的主要通道承担1</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9 MW</w:t>
      </w:r>
      <w:r>
        <w:rPr>
          <w:rFonts w:ascii="Times New Roman" w:hAnsi="Times New Roman" w:eastAsia="方正仿宋_GBK"/>
          <w:b w:val="0"/>
          <w:sz w:val="24"/>
        </w:rPr>
        <w:t xml:space="preserve">净功率转接，使用既有通道</w:t>
      </w:r>
      <w:r>
        <w:rPr>
          <w:rFonts w:ascii="Times New Roman" w:hAnsi="Times New Roman" w:eastAsia="方正仿宋_GBK"/>
          <w:b w:val="0"/>
          <w:sz w:val="24"/>
        </w:rPr>
        <w:t xml:space="preserve">。</w:t>
      </w:r>
    </w:p>
    <w:p w14:paraId="1F5CD8B2">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储能额定功率相差4</w:t>
      </w:r>
      <w:r>
        <w:rPr>
          <w:rFonts w:ascii="Times New Roman" w:hAnsi="Times New Roman" w:eastAsia="方正仿宋_GBK"/>
          <w:b w:val="0"/>
          <w:sz w:val="24"/>
        </w:rPr>
        <w:t xml:space="preserve">.</w:t>
      </w:r>
      <w:r>
        <w:rPr>
          <w:rFonts w:ascii="Times New Roman" w:hAnsi="Times New Roman" w:eastAsia="方正仿宋_GBK"/>
          <w:b w:val="0"/>
          <w:sz w:val="24"/>
        </w:rPr>
        <w:t xml:space="preserve">4</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0C00C06B">
      <w:pPr>
        <w:pStyle w:val="7"/>
        <w:keepNext/>
        <w:numPr>
          <w:ilvl w:val="0"/>
          <w:numId w:val="0"/>
        </w:numPr>
        <w:spacing w:before="160" w:after="120" w:line="360" w:lineRule="exact"/>
        <w:ind w:firstLine="0"/>
      </w:pPr>
      <w:bookmarkStart w:id="225" w:name="翟山变规划分析"/>
      <w:r>
        <w:rPr>
          <w:rFonts w:ascii="Times New Roman" w:hAnsi="Times New Roman" w:eastAsia="方正仿宋_GBK"/>
          <w:b/>
          <w:sz w:val="24"/>
        </w:rPr>
        <w:t>翟山变规划分析</w:t>
      </w:r>
      <w:bookmarkEnd w:id="225"/>
    </w:p>
    <w:p w14:paraId="5A66E7CB">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63.0</w:t>
      </w:r>
      <w:r>
        <w:rPr>
          <w:rFonts w:ascii="Times New Roman" w:hAnsi="Times New Roman" w:eastAsia="方正仿宋_GBK"/>
          <w:b w:val="0"/>
          <w:sz w:val="24"/>
        </w:rPr>
        <w:t xml:space="preserve">0+</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弹性方案202</w:t>
      </w:r>
      <w:r>
        <w:rPr>
          <w:rFonts w:ascii="Times New Roman" w:hAnsi="Times New Roman" w:eastAsia="方正仿宋_GBK"/>
          <w:b w:val="0"/>
          <w:sz w:val="24"/>
        </w:rPr>
        <w:t xml:space="preserve">8</w:t>
      </w:r>
      <w:r>
        <w:rPr>
          <w:rFonts w:ascii="Times New Roman" w:hAnsi="Times New Roman" w:eastAsia="方正仿宋_GBK"/>
          <w:b w:val="0"/>
          <w:sz w:val="24"/>
        </w:rPr>
        <w:t xml:space="preserve">年</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MVA更换为</w:t>
      </w:r>
      <w:r>
        <w:rPr>
          <w:rFonts w:ascii="Times New Roman" w:hAnsi="Times New Roman" w:eastAsia="方正仿宋_GBK"/>
          <w:b w:val="0"/>
          <w:sz w:val="24"/>
        </w:rPr>
        <w:t xml:space="preserve">80.00</w:t>
      </w:r>
      <w:r>
        <w:rPr>
          <w:rFonts w:ascii="Times New Roman" w:hAnsi="Times New Roman" w:eastAsia="方正仿宋_GBK"/>
          <w:b w:val="0"/>
          <w:sz w:val="24"/>
        </w:rPr>
        <w:t xml:space="preserve"> MVA</w:t>
      </w:r>
      <w:r>
        <w:rPr>
          <w:rFonts w:ascii="Times New Roman" w:hAnsi="Times New Roman" w:eastAsia="方正仿宋_GBK"/>
          <w:b w:val="0"/>
          <w:sz w:val="24"/>
        </w:rPr>
        <w:t xml:space="preserve">、63.00 MVA更换为80.00 MVA。储能按本地支撑需求分批增加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新增额定功率为2032年2.90 MW、2033年3.80 MW</w:t>
      </w:r>
      <w:r>
        <w:rPr>
          <w:rFonts w:ascii="Times New Roman" w:hAnsi="Times New Roman" w:eastAsia="方正仿宋_GBK"/>
          <w:b w:val="0"/>
          <w:sz w:val="24"/>
        </w:rPr>
        <w:t xml:space="preserve">。</w:t>
      </w:r>
    </w:p>
    <w:p w14:paraId="6390E2D7">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最大正向、反向净负荷分别为95.63 MW、0.00 MW</w:t>
      </w:r>
      <w:r>
        <w:rPr>
          <w:rFonts w:ascii="Times New Roman" w:hAnsi="Times New Roman" w:eastAsia="方正仿宋_GBK"/>
          <w:b w:val="0"/>
          <w:sz w:val="24"/>
        </w:rPr>
        <w:t xml:space="preserve">，2035年分别为139.24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6</w:t>
      </w:r>
      <w:r>
        <w:rPr>
          <w:rFonts w:ascii="Times New Roman" w:hAnsi="Times New Roman" w:eastAsia="方正仿宋_GBK"/>
          <w:b w:val="0"/>
          <w:sz w:val="24"/>
        </w:rPr>
        <w:t xml:space="preserve">0.00 MVA、储能额定功率</w:t>
      </w:r>
      <w:r>
        <w:rPr>
          <w:rFonts w:ascii="Times New Roman" w:hAnsi="Times New Roman" w:eastAsia="方正仿宋_GBK"/>
          <w:b w:val="0"/>
          <w:sz w:val="24"/>
        </w:rPr>
        <w:t xml:space="preserve">13</w:t>
      </w:r>
      <w:r>
        <w:rPr>
          <w:rFonts w:ascii="Times New Roman" w:hAnsi="Times New Roman" w:eastAsia="方正仿宋_GBK"/>
          <w:b w:val="0"/>
          <w:sz w:val="24"/>
        </w:rPr>
        <w:t xml:space="preserve">.00 MW，弹性方案分别为1</w:t>
      </w:r>
      <w:r>
        <w:rPr>
          <w:rFonts w:ascii="Times New Roman" w:hAnsi="Times New Roman" w:eastAsia="方正仿宋_GBK"/>
          <w:b w:val="0"/>
          <w:sz w:val="24"/>
        </w:rPr>
        <w:t xml:space="preserve">60</w:t>
      </w:r>
      <w:r>
        <w:rPr>
          <w:rFonts w:ascii="Times New Roman" w:hAnsi="Times New Roman" w:eastAsia="方正仿宋_GBK"/>
          <w:b w:val="0"/>
          <w:sz w:val="24"/>
        </w:rPr>
        <w:t xml:space="preserve">.00 MVA和</w:t>
      </w:r>
      <w:r>
        <w:rPr>
          <w:rFonts w:ascii="Times New Roman" w:hAnsi="Times New Roman" w:eastAsia="方正仿宋_GBK"/>
          <w:b w:val="0"/>
          <w:sz w:val="24"/>
        </w:rPr>
        <w:t xml:space="preserve">6</w:t>
      </w:r>
      <w:r>
        <w:rPr>
          <w:rFonts w:ascii="Times New Roman" w:hAnsi="Times New Roman" w:eastAsia="方正仿宋_GBK"/>
          <w:b w:val="0"/>
          <w:sz w:val="24"/>
        </w:rPr>
        <w:t xml:space="preserve">.</w:t>
      </w:r>
      <w:r>
        <w:rPr>
          <w:rFonts w:ascii="Times New Roman" w:hAnsi="Times New Roman" w:eastAsia="方正仿宋_GBK"/>
          <w:b w:val="0"/>
          <w:sz w:val="24"/>
        </w:rPr>
        <w:t xml:space="preserve">7</w:t>
      </w:r>
      <w:r>
        <w:rPr>
          <w:rFonts w:ascii="Times New Roman" w:hAnsi="Times New Roman" w:eastAsia="方正仿宋_GBK"/>
          <w:b w:val="0"/>
          <w:sz w:val="24"/>
        </w:rPr>
        <w:t xml:space="preserve">0 MW</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w:t>
      </w:r>
      <w:r>
        <w:rPr>
          <w:rFonts w:ascii="Times New Roman" w:hAnsi="Times New Roman" w:eastAsia="方正仿宋_GBK"/>
          <w:b w:val="0"/>
          <w:sz w:val="24"/>
        </w:rPr>
        <w:t xml:space="preserve">主变总</w:t>
      </w:r>
      <w:r>
        <w:rPr>
          <w:rFonts w:ascii="Times New Roman" w:hAnsi="Times New Roman" w:eastAsia="方正仿宋_GBK"/>
          <w:b w:val="0"/>
          <w:sz w:val="24"/>
        </w:rPr>
        <w:t xml:space="preserve">容量</w:t>
      </w:r>
      <w:r>
        <w:rPr>
          <w:rFonts w:ascii="Times New Roman" w:hAnsi="Times New Roman" w:eastAsia="方正仿宋_GBK"/>
          <w:b w:val="0"/>
          <w:sz w:val="24"/>
        </w:rPr>
        <w:t xml:space="preserve">相同</w:t>
      </w:r>
      <w:r>
        <w:rPr>
          <w:rFonts w:ascii="Times New Roman" w:hAnsi="Times New Roman" w:eastAsia="方正仿宋_GBK"/>
          <w:b w:val="0"/>
          <w:sz w:val="24"/>
        </w:rPr>
        <w:t xml:space="preserve">。</w:t>
      </w:r>
    </w:p>
    <w:p w14:paraId="7C571586">
      <w:pPr>
        <w:pStyle w:val="2"/>
        <w:keepNext/>
        <w:spacing w:before="120" w:after="80" w:line="280" w:lineRule="exact"/>
        <w:ind w:firstLine="0"/>
        <w:jc w:val="center"/>
      </w:pPr>
      <w:r>
        <w:rPr>
          <w:rFonts w:ascii="Times New Roman" w:hAnsi="Times New Roman" w:eastAsia="宋体"/>
          <w:b w:val="0"/>
          <w:sz w:val="21"/>
        </w:rPr>
        <w:t xml:space="preserve">表5-36 翟山变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102.02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115.88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10.86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115.84</w:t>
            </w:r>
          </w:p>
        </w:tc>
      </w:tr>
    </w:tbl>
    <w:p w14:paraId="263D785A">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35年最大单台主变N-1后，弹性方案剩余主变容量为80.00 MVA，按0.95功率因数折算为76.00 MW。储能正向有效支撑功率为1.82 MW、反向有效吸收功率为6.70 MW。全年本站故障工况中最小余量为0.</w:t>
      </w:r>
      <w:r>
        <w:rPr>
          <w:rFonts w:ascii="Times New Roman" w:hAnsi="Times New Roman" w:eastAsia="方正仿宋_GBK"/>
          <w:b w:val="0"/>
          <w:sz w:val="24"/>
        </w:rPr>
        <w:t xml:space="preserve">25</w:t>
      </w:r>
      <w:r>
        <w:rPr>
          <w:rFonts w:ascii="Times New Roman" w:hAnsi="Times New Roman" w:eastAsia="方正仿宋_GBK"/>
          <w:b w:val="0"/>
          <w:sz w:val="24"/>
        </w:rPr>
        <w:t xml:space="preserve"> MW。该小时按采用的固定</w:t>
      </w:r>
      <w:r>
        <w:rPr>
          <w:rFonts w:ascii="Times New Roman" w:hAnsi="Times New Roman" w:eastAsia="方正仿宋_GBK"/>
          <w:b w:val="0"/>
          <w:sz w:val="24"/>
        </w:rPr>
        <w:t xml:space="preserve">区</w:t>
      </w:r>
      <w:r>
        <w:rPr>
          <w:rFonts w:ascii="Times New Roman" w:hAnsi="Times New Roman" w:eastAsia="方正仿宋_GBK"/>
          <w:b w:val="0"/>
          <w:sz w:val="24"/>
        </w:rPr>
        <w:t xml:space="preserve">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61</w:t>
      </w:r>
      <w:r>
        <w:rPr>
          <w:rFonts w:ascii="Times New Roman" w:hAnsi="Times New Roman" w:eastAsia="方正仿宋_GBK"/>
          <w:b w:val="0"/>
          <w:sz w:val="24"/>
        </w:rPr>
        <w:t xml:space="preserve">.</w:t>
      </w:r>
      <w:r>
        <w:rPr>
          <w:rFonts w:ascii="Times New Roman" w:hAnsi="Times New Roman" w:eastAsia="方正仿宋_GBK"/>
          <w:b w:val="0"/>
          <w:sz w:val="24"/>
        </w:rPr>
        <w:t xml:space="preserve">67</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7</w:t>
      </w:r>
      <w:r>
        <w:rPr>
          <w:rFonts w:ascii="Times New Roman" w:hAnsi="Times New Roman" w:eastAsia="方正仿宋_GBK"/>
          <w:b w:val="0"/>
          <w:sz w:val="24"/>
        </w:rPr>
        <w:t xml:space="preserve">7.</w:t>
      </w:r>
      <w:r>
        <w:rPr>
          <w:rFonts w:ascii="Times New Roman" w:hAnsi="Times New Roman" w:eastAsia="方正仿宋_GBK"/>
          <w:b w:val="0"/>
          <w:sz w:val="24"/>
        </w:rPr>
        <w:t xml:space="preserve">58</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其中与开元变之间的主要通道承担11.94 MW净功率转接，使用既有通道。</w:t>
      </w:r>
    </w:p>
    <w:p w14:paraId="6A5A44AA">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w:t>
      </w:r>
      <w:r>
        <w:rPr>
          <w:rFonts w:ascii="Times New Roman" w:hAnsi="Times New Roman" w:eastAsia="方正仿宋_GBK"/>
          <w:b w:val="0"/>
          <w:sz w:val="24"/>
        </w:rPr>
        <w:t xml:space="preserve">6.</w:t>
      </w:r>
      <w:r>
        <w:rPr>
          <w:rFonts w:ascii="Times New Roman" w:hAnsi="Times New Roman" w:eastAsia="方正仿宋_GBK"/>
          <w:b w:val="0"/>
          <w:sz w:val="24"/>
        </w:rPr>
        <w:t xml:space="preserve">3</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1AFE874B">
      <w:pPr>
        <w:pStyle w:val="7"/>
        <w:keepNext/>
        <w:numPr>
          <w:ilvl w:val="0"/>
          <w:numId w:val="0"/>
        </w:numPr>
        <w:spacing w:before="160" w:after="120" w:line="360" w:lineRule="exact"/>
        <w:ind w:firstLine="0"/>
      </w:pPr>
      <w:bookmarkStart w:id="226" w:name="古彭变规划分析"/>
      <w:r>
        <w:rPr>
          <w:rFonts w:ascii="Times New Roman" w:hAnsi="Times New Roman" w:eastAsia="方正仿宋_GBK"/>
          <w:b/>
          <w:sz w:val="24"/>
        </w:rPr>
        <w:t>古彭变规划分析</w:t>
      </w:r>
      <w:bookmarkEnd w:id="226"/>
    </w:p>
    <w:p w14:paraId="27B7E589">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63.0</w:t>
      </w:r>
      <w:r>
        <w:rPr>
          <w:rFonts w:ascii="Times New Roman" w:hAnsi="Times New Roman" w:eastAsia="方正仿宋_GBK"/>
          <w:b w:val="0"/>
          <w:sz w:val="24"/>
        </w:rPr>
        <w:t xml:space="preserve">0+8</w:t>
      </w:r>
      <w:r>
        <w:rPr>
          <w:rFonts w:ascii="Times New Roman" w:hAnsi="Times New Roman" w:eastAsia="方正仿宋_GBK"/>
          <w:b w:val="0"/>
          <w:sz w:val="24"/>
        </w:rPr>
        <w:t xml:space="preserve">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2031</w:t>
      </w:r>
      <w:r>
        <w:rPr>
          <w:rFonts w:ascii="Times New Roman" w:hAnsi="Times New Roman" w:eastAsia="方正仿宋_GBK"/>
          <w:b w:val="0"/>
          <w:sz w:val="24"/>
        </w:rPr>
        <w:t xml:space="preserve">年</w:t>
      </w:r>
      <w:r>
        <w:rPr>
          <w:rFonts w:ascii="Times New Roman" w:hAnsi="Times New Roman" w:eastAsia="方正仿宋_GBK"/>
          <w:b w:val="0"/>
          <w:sz w:val="24"/>
        </w:rPr>
        <w:t xml:space="preserve">63.00 MVA更换为80.00 MVA</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6AF53C95">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最大正向、反向净负荷分别为84.10 MW、0.00 MW</w:t>
      </w:r>
      <w:r>
        <w:rPr>
          <w:rFonts w:ascii="Times New Roman" w:hAnsi="Times New Roman" w:eastAsia="方正仿宋_GBK"/>
          <w:b w:val="0"/>
          <w:sz w:val="24"/>
        </w:rPr>
        <w:t xml:space="preserve">，2035年分别为122.46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4</w:t>
      </w:r>
      <w:r>
        <w:rPr>
          <w:rFonts w:ascii="Times New Roman" w:hAnsi="Times New Roman" w:eastAsia="方正仿宋_GBK"/>
          <w:b w:val="0"/>
          <w:sz w:val="24"/>
        </w:rPr>
        <w:t xml:space="preserve">3</w:t>
      </w:r>
      <w:r>
        <w:rPr>
          <w:rFonts w:ascii="Times New Roman" w:hAnsi="Times New Roman" w:eastAsia="方正仿宋_GBK"/>
          <w:b w:val="0"/>
          <w:sz w:val="24"/>
        </w:rPr>
        <w:t xml:space="preserve">.00 MVA、储能额定功率0.00 MW，弹性方案分别为1</w:t>
      </w:r>
      <w:r>
        <w:rPr>
          <w:rFonts w:ascii="Times New Roman" w:hAnsi="Times New Roman" w:eastAsia="方正仿宋_GBK"/>
          <w:b w:val="0"/>
          <w:sz w:val="24"/>
        </w:rPr>
        <w:t xml:space="preserve">6</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较刚性增加17.00 MVA</w:t>
      </w:r>
      <w:r>
        <w:rPr>
          <w:rFonts w:ascii="Times New Roman" w:hAnsi="Times New Roman" w:eastAsia="方正仿宋_GBK"/>
          <w:b w:val="0"/>
          <w:sz w:val="24"/>
        </w:rPr>
        <w:t xml:space="preserve">。</w:t>
      </w:r>
    </w:p>
    <w:p w14:paraId="3AD52E47">
      <w:pPr>
        <w:pStyle w:val="2"/>
        <w:keepNext/>
        <w:spacing w:before="120" w:after="80" w:line="280" w:lineRule="exact"/>
        <w:ind w:firstLine="0"/>
        <w:jc w:val="center"/>
      </w:pPr>
      <w:r>
        <w:rPr>
          <w:rFonts w:ascii="Times New Roman" w:hAnsi="Times New Roman" w:eastAsia="宋体"/>
          <w:b w:val="0"/>
          <w:sz w:val="21"/>
        </w:rPr>
        <w:t xml:space="preserve">表5-37 古彭变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84.59</w:t>
            </w:r>
          </w:p>
        </w:tc>
      </w:tr>
    </w:tbl>
    <w:p w14:paraId="67394CEC">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最大单台主变N-1后，弹性方案剩余主变容量为80.00 MVA，按0.95功率因数折算为76.00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中最小余量为0.94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47</w:t>
      </w:r>
      <w:r>
        <w:rPr>
          <w:rFonts w:ascii="Times New Roman" w:hAnsi="Times New Roman" w:eastAsia="方正仿宋_GBK"/>
          <w:b w:val="0"/>
          <w:sz w:val="24"/>
        </w:rPr>
        <w:t xml:space="preserve">.</w:t>
      </w:r>
      <w:r>
        <w:rPr>
          <w:rFonts w:ascii="Times New Roman" w:hAnsi="Times New Roman" w:eastAsia="方正仿宋_GBK"/>
          <w:b w:val="0"/>
          <w:sz w:val="24"/>
        </w:rPr>
        <w:t xml:space="preserve">4</w:t>
      </w:r>
      <w:r>
        <w:rPr>
          <w:rFonts w:ascii="Times New Roman" w:hAnsi="Times New Roman" w:eastAsia="方正仿宋_GBK"/>
          <w:b w:val="0"/>
          <w:sz w:val="24"/>
        </w:rPr>
        <w:t xml:space="preserve">0 MW、承接0.00 MW，转接后净负荷为</w:t>
      </w:r>
      <w:r>
        <w:rPr>
          <w:rFonts w:ascii="Times New Roman" w:hAnsi="Times New Roman" w:eastAsia="方正仿宋_GBK"/>
          <w:b w:val="0"/>
          <w:sz w:val="24"/>
        </w:rPr>
        <w:t xml:space="preserve">75</w:t>
      </w:r>
      <w:r>
        <w:rPr>
          <w:rFonts w:ascii="Times New Roman" w:hAnsi="Times New Roman" w:eastAsia="方正仿宋_GBK"/>
          <w:b w:val="0"/>
          <w:sz w:val="24"/>
        </w:rPr>
        <w:t xml:space="preserve">.0</w:t>
      </w:r>
      <w:r>
        <w:rPr>
          <w:rFonts w:ascii="Times New Roman" w:hAnsi="Times New Roman" w:eastAsia="方正仿宋_GBK"/>
          <w:b w:val="0"/>
          <w:sz w:val="24"/>
        </w:rPr>
        <w:t xml:space="preserve">6</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其中与开元变之间的主要通道承担11.85 MW净功率转接，使用既有通道。</w:t>
      </w:r>
    </w:p>
    <w:p w14:paraId="464A7BCE">
      <w:pPr>
        <w:pStyle w:val="2"/>
        <w:widowControl/>
        <w:spacing w:before="0" w:after="0" w:line="348" w:lineRule="exact"/>
        <w:ind w:firstLine="480"/>
        <w:jc w:val="both"/>
      </w:pPr>
      <w:r>
        <w:rPr>
          <w:rFonts w:ascii="Times New Roman" w:hAnsi="Times New Roman" w:eastAsia="方正仿宋_GBK"/>
          <w:b w:val="0"/>
          <w:sz w:val="24"/>
        </w:rPr>
        <w:t xml:space="preserve">两方案本站储能规模相同，</w:t>
      </w:r>
      <w:r>
        <w:rPr>
          <w:rFonts w:ascii="Times New Roman" w:hAnsi="Times New Roman" w:eastAsia="方正仿宋_GBK"/>
          <w:b w:val="0"/>
          <w:sz w:val="24"/>
        </w:rPr>
        <w:t xml:space="preserve">主变</w:t>
      </w:r>
      <w:r>
        <w:rPr>
          <w:rFonts w:ascii="Times New Roman" w:hAnsi="Times New Roman" w:eastAsia="方正仿宋_GBK"/>
          <w:b w:val="0"/>
          <w:sz w:val="24"/>
        </w:rPr>
        <w:t xml:space="preserve">规格的差异主要体现为</w:t>
      </w:r>
      <w:r>
        <w:rPr>
          <w:rFonts w:ascii="Times New Roman" w:hAnsi="Times New Roman" w:eastAsia="方正仿宋_GBK"/>
          <w:b w:val="0"/>
          <w:sz w:val="24"/>
        </w:rPr>
        <w:t xml:space="preserve">站</w:t>
      </w:r>
      <w:r>
        <w:rPr>
          <w:rFonts w:ascii="Times New Roman" w:hAnsi="Times New Roman" w:eastAsia="方正仿宋_GBK"/>
          <w:b w:val="0"/>
          <w:sz w:val="24"/>
        </w:rPr>
        <w:t xml:space="preserve">内</w:t>
      </w:r>
      <w:r>
        <w:rPr>
          <w:rFonts w:ascii="Times New Roman" w:hAnsi="Times New Roman" w:eastAsia="方正仿宋_GBK"/>
          <w:b w:val="0"/>
          <w:sz w:val="24"/>
        </w:rPr>
        <w:t xml:space="preserve">容量</w:t>
      </w:r>
      <w:r>
        <w:rPr>
          <w:rFonts w:ascii="Times New Roman" w:hAnsi="Times New Roman" w:eastAsia="方正仿宋_GBK"/>
          <w:b w:val="0"/>
          <w:sz w:val="24"/>
        </w:rPr>
        <w:t xml:space="preserve">及故障</w:t>
      </w:r>
      <w:r>
        <w:rPr>
          <w:rFonts w:ascii="Times New Roman" w:hAnsi="Times New Roman" w:eastAsia="方正仿宋_GBK"/>
          <w:b w:val="0"/>
          <w:sz w:val="24"/>
        </w:rPr>
        <w:t xml:space="preserve">后</w:t>
      </w:r>
      <w:r>
        <w:rPr>
          <w:rFonts w:ascii="Times New Roman" w:hAnsi="Times New Roman" w:eastAsia="方正仿宋_GBK"/>
          <w:b w:val="0"/>
          <w:sz w:val="24"/>
        </w:rPr>
        <w:t xml:space="preserve">可用能力</w:t>
      </w:r>
      <w:r>
        <w:rPr>
          <w:rFonts w:ascii="Times New Roman" w:hAnsi="Times New Roman" w:eastAsia="方正仿宋_GBK"/>
          <w:b w:val="0"/>
          <w:sz w:val="24"/>
        </w:rPr>
        <w:t xml:space="preserve">的</w:t>
      </w:r>
      <w:r>
        <w:rPr>
          <w:rFonts w:ascii="Times New Roman" w:hAnsi="Times New Roman" w:eastAsia="方正仿宋_GBK"/>
          <w:b w:val="0"/>
          <w:sz w:val="24"/>
        </w:rPr>
        <w:t xml:space="preserve">变化</w:t>
      </w:r>
      <w:r>
        <w:rPr>
          <w:rFonts w:ascii="Times New Roman" w:hAnsi="Times New Roman" w:eastAsia="方正仿宋_GBK"/>
          <w:b w:val="0"/>
          <w:sz w:val="24"/>
        </w:rPr>
        <w:t xml:space="preserve">。</w:t>
      </w:r>
    </w:p>
    <w:p w14:paraId="66272249">
      <w:pPr>
        <w:pStyle w:val="7"/>
        <w:keepNext/>
        <w:numPr>
          <w:ilvl w:val="0"/>
          <w:numId w:val="0"/>
        </w:numPr>
        <w:spacing w:before="160" w:after="120" w:line="360" w:lineRule="exact"/>
        <w:ind w:firstLine="0"/>
      </w:pPr>
      <w:bookmarkStart w:id="227" w:name="花园变规划分析"/>
      <w:r>
        <w:rPr>
          <w:rFonts w:ascii="Times New Roman" w:hAnsi="Times New Roman" w:eastAsia="方正仿宋_GBK"/>
          <w:b/>
          <w:sz w:val="24"/>
        </w:rPr>
        <w:t>花园变规划分析</w:t>
      </w:r>
      <w:bookmarkEnd w:id="227"/>
    </w:p>
    <w:p w14:paraId="06D2EDCD">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2030</w:t>
      </w:r>
      <w:r>
        <w:rPr>
          <w:rFonts w:ascii="Times New Roman" w:hAnsi="Times New Roman" w:eastAsia="方正仿宋_GBK"/>
          <w:b w:val="0"/>
          <w:sz w:val="24"/>
        </w:rPr>
        <w:t xml:space="preserve">年</w:t>
      </w:r>
      <w:r>
        <w:rPr>
          <w:rFonts w:ascii="Times New Roman" w:hAnsi="Times New Roman" w:eastAsia="方正仿宋_GBK"/>
          <w:b w:val="0"/>
          <w:sz w:val="24"/>
        </w:rPr>
        <w:t xml:space="preserve">40.00 MVA更换为50.00 MVA。储能按本地支撑需求分批增加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新增额定功率为2033年0.80 MW</w:t>
      </w:r>
      <w:r>
        <w:rPr>
          <w:rFonts w:ascii="Times New Roman" w:hAnsi="Times New Roman" w:eastAsia="方正仿宋_GBK"/>
          <w:b w:val="0"/>
          <w:sz w:val="24"/>
        </w:rPr>
        <w:t xml:space="preserve">。</w:t>
      </w:r>
    </w:p>
    <w:p w14:paraId="1BF18EF7">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最大正向、反向净负荷分别为63.57 MW、0.00 MW</w:t>
      </w:r>
      <w:r>
        <w:rPr>
          <w:rFonts w:ascii="Times New Roman" w:hAnsi="Times New Roman" w:eastAsia="方正仿宋_GBK"/>
          <w:b w:val="0"/>
          <w:sz w:val="24"/>
        </w:rPr>
        <w:t xml:space="preserve">，2035年分别为92.57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MVA、储能额定功率</w:t>
      </w:r>
      <w:r>
        <w:rPr>
          <w:rFonts w:ascii="Times New Roman" w:hAnsi="Times New Roman" w:eastAsia="方正仿宋_GBK"/>
          <w:b w:val="0"/>
          <w:sz w:val="24"/>
        </w:rPr>
        <w:t xml:space="preserve">2</w:t>
      </w:r>
      <w:r>
        <w:rPr>
          <w:rFonts w:ascii="Times New Roman" w:hAnsi="Times New Roman" w:eastAsia="方正仿宋_GBK"/>
          <w:b w:val="0"/>
          <w:sz w:val="24"/>
        </w:rPr>
        <w:t xml:space="preserve">.00 MW，弹性方案分别为</w:t>
      </w:r>
      <w:r>
        <w:rPr>
          <w:rFonts w:ascii="Times New Roman" w:hAnsi="Times New Roman" w:eastAsia="方正仿宋_GBK"/>
          <w:b w:val="0"/>
          <w:sz w:val="24"/>
        </w:rPr>
        <w:t xml:space="preserve">10</w:t>
      </w:r>
      <w:r>
        <w:rPr>
          <w:rFonts w:ascii="Times New Roman" w:hAnsi="Times New Roman" w:eastAsia="方正仿宋_GBK"/>
          <w:b w:val="0"/>
          <w:sz w:val="24"/>
        </w:rPr>
        <w:t xml:space="preserve">0.00 MVA和0.</w:t>
      </w:r>
      <w:r>
        <w:rPr>
          <w:rFonts w:ascii="Times New Roman" w:hAnsi="Times New Roman" w:eastAsia="方正仿宋_GBK"/>
          <w:b w:val="0"/>
          <w:sz w:val="24"/>
        </w:rPr>
        <w:t xml:space="preserve">8</w:t>
      </w:r>
      <w:r>
        <w:rPr>
          <w:rFonts w:ascii="Times New Roman" w:hAnsi="Times New Roman" w:eastAsia="方正仿宋_GBK"/>
          <w:b w:val="0"/>
          <w:sz w:val="24"/>
        </w:rPr>
        <w:t xml:space="preserve">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较刚性增加10.00 MVA</w:t>
      </w:r>
      <w:r>
        <w:rPr>
          <w:rFonts w:ascii="Times New Roman" w:hAnsi="Times New Roman" w:eastAsia="方正仿宋_GBK"/>
          <w:b w:val="0"/>
          <w:sz w:val="24"/>
        </w:rPr>
        <w:t xml:space="preserve">。</w:t>
      </w:r>
    </w:p>
    <w:p w14:paraId="79575F94">
      <w:pPr>
        <w:pStyle w:val="2"/>
        <w:keepNext/>
        <w:spacing w:before="120" w:after="80" w:line="280" w:lineRule="exact"/>
        <w:ind w:firstLine="0"/>
        <w:jc w:val="center"/>
      </w:pPr>
      <w:r>
        <w:rPr>
          <w:rFonts w:ascii="Times New Roman" w:hAnsi="Times New Roman" w:eastAsia="宋体"/>
          <w:b w:val="0"/>
          <w:sz w:val="21"/>
        </w:rPr>
        <w:t xml:space="preserve">表5-38 花园变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7.68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64.54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72.22</w:t>
            </w:r>
          </w:p>
        </w:tc>
      </w:tr>
    </w:tbl>
    <w:p w14:paraId="4C10AF5C">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有效支撑功率为0.22 MW、反向有效吸收功率为0.80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中最小余量为0.45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45</w:t>
      </w:r>
      <w:r>
        <w:rPr>
          <w:rFonts w:ascii="Times New Roman" w:hAnsi="Times New Roman" w:eastAsia="方正仿宋_GBK"/>
          <w:b w:val="0"/>
          <w:sz w:val="24"/>
        </w:rPr>
        <w:t xml:space="preserve">.</w:t>
      </w:r>
      <w:r>
        <w:rPr>
          <w:rFonts w:ascii="Times New Roman" w:hAnsi="Times New Roman" w:eastAsia="方正仿宋_GBK"/>
          <w:b w:val="0"/>
          <w:sz w:val="24"/>
        </w:rPr>
        <w:t xml:space="preserve">3</w:t>
      </w:r>
      <w:r>
        <w:rPr>
          <w:rFonts w:ascii="Times New Roman" w:hAnsi="Times New Roman" w:eastAsia="方正仿宋_GBK"/>
          <w:b w:val="0"/>
          <w:sz w:val="24"/>
        </w:rPr>
        <w:t xml:space="preserve">0 MW、承接0.00 MW，转接后净负荷为4</w:t>
      </w:r>
      <w:r>
        <w:rPr>
          <w:rFonts w:ascii="Times New Roman" w:hAnsi="Times New Roman" w:eastAsia="方正仿宋_GBK"/>
          <w:b w:val="0"/>
          <w:sz w:val="24"/>
        </w:rPr>
        <w:t xml:space="preserve">7</w:t>
      </w:r>
      <w:r>
        <w:rPr>
          <w:rFonts w:ascii="Times New Roman" w:hAnsi="Times New Roman" w:eastAsia="方正仿宋_GBK"/>
          <w:b w:val="0"/>
          <w:sz w:val="24"/>
        </w:rPr>
        <w:t xml:space="preserve">.</w:t>
      </w:r>
      <w:r>
        <w:rPr>
          <w:rFonts w:ascii="Times New Roman" w:hAnsi="Times New Roman" w:eastAsia="方正仿宋_GBK"/>
          <w:b w:val="0"/>
          <w:sz w:val="24"/>
        </w:rPr>
        <w:t xml:space="preserve">27</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。其中与彭场变之间的主要通道承担</w:t>
      </w:r>
      <w:r>
        <w:rPr>
          <w:rFonts w:ascii="Times New Roman" w:hAnsi="Times New Roman" w:eastAsia="方正仿宋_GBK"/>
          <w:b w:val="0"/>
          <w:sz w:val="24"/>
        </w:rPr>
        <w:t xml:space="preserve">1</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8</w:t>
      </w:r>
      <w:r>
        <w:rPr>
          <w:rFonts w:ascii="Times New Roman" w:hAnsi="Times New Roman" w:eastAsia="方正仿宋_GBK"/>
          <w:b w:val="0"/>
          <w:sz w:val="24"/>
        </w:rPr>
        <w:t xml:space="preserve">2 MW</w:t>
      </w:r>
      <w:r>
        <w:rPr>
          <w:rFonts w:ascii="Times New Roman" w:hAnsi="Times New Roman" w:eastAsia="方正仿宋_GBK"/>
          <w:b w:val="0"/>
          <w:sz w:val="24"/>
        </w:rPr>
        <w:t xml:space="preserve">净功率转接，使用既有通道</w:t>
      </w:r>
      <w:r>
        <w:rPr>
          <w:rFonts w:ascii="Times New Roman" w:hAnsi="Times New Roman" w:eastAsia="方正仿宋_GBK"/>
          <w:b w:val="0"/>
          <w:sz w:val="24"/>
        </w:rPr>
        <w:t xml:space="preserve">。</w:t>
      </w:r>
    </w:p>
    <w:p w14:paraId="4B6E1A7C">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储能额定功率相差1</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6582585E">
      <w:pPr>
        <w:pStyle w:val="7"/>
        <w:keepNext/>
        <w:numPr>
          <w:ilvl w:val="0"/>
          <w:numId w:val="0"/>
        </w:numPr>
        <w:spacing w:before="160" w:after="120" w:line="360" w:lineRule="exact"/>
        <w:ind w:firstLine="0"/>
      </w:pPr>
      <w:bookmarkStart w:id="228" w:name="惠民变规划分析"/>
      <w:r>
        <w:rPr>
          <w:rFonts w:ascii="Times New Roman" w:hAnsi="Times New Roman" w:eastAsia="方正仿宋_GBK"/>
          <w:b/>
          <w:sz w:val="24"/>
        </w:rPr>
        <w:t>惠民变规划分析</w:t>
      </w:r>
      <w:bookmarkEnd w:id="228"/>
    </w:p>
    <w:p w14:paraId="320DA138">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50.0</w:t>
      </w:r>
      <w:r>
        <w:rPr>
          <w:rFonts w:ascii="Times New Roman" w:hAnsi="Times New Roman" w:eastAsia="方正仿宋_GBK"/>
          <w:b w:val="0"/>
          <w:sz w:val="24"/>
        </w:rPr>
        <w:t xml:space="preserve">0+63</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2032</w:t>
      </w:r>
      <w:r>
        <w:rPr>
          <w:rFonts w:ascii="Times New Roman" w:hAnsi="Times New Roman" w:eastAsia="方正仿宋_GBK"/>
          <w:b w:val="0"/>
          <w:sz w:val="24"/>
        </w:rPr>
        <w:t xml:space="preserve">年</w:t>
      </w:r>
      <w:r>
        <w:rPr>
          <w:rFonts w:ascii="Times New Roman" w:hAnsi="Times New Roman" w:eastAsia="方正仿宋_GBK"/>
          <w:b w:val="0"/>
          <w:sz w:val="24"/>
        </w:rPr>
        <w:t xml:space="preserve">50.00 MVA更换为63.00 MVA；2033年扩建第三台50.00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23907052">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最大正向、反向净负荷分别为85.29 MW、0.00 MW</w:t>
      </w:r>
      <w:r>
        <w:rPr>
          <w:rFonts w:ascii="Times New Roman" w:hAnsi="Times New Roman" w:eastAsia="方正仿宋_GBK"/>
          <w:b w:val="0"/>
          <w:sz w:val="24"/>
        </w:rPr>
        <w:t xml:space="preserve">，2035年分别为124.19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1</w:t>
      </w:r>
      <w:r>
        <w:rPr>
          <w:rFonts w:ascii="Times New Roman" w:hAnsi="Times New Roman" w:eastAsia="方正仿宋_GBK"/>
          <w:b w:val="0"/>
          <w:sz w:val="24"/>
        </w:rPr>
        <w:t xml:space="preserve">3.00 MVA、储能额定功率0.</w:t>
      </w:r>
      <w:r>
        <w:rPr>
          <w:rFonts w:ascii="Times New Roman" w:hAnsi="Times New Roman" w:eastAsia="方正仿宋_GBK"/>
          <w:b w:val="0"/>
          <w:sz w:val="24"/>
        </w:rPr>
        <w:t xml:space="preserve">9</w:t>
      </w:r>
      <w:r>
        <w:rPr>
          <w:rFonts w:ascii="Times New Roman" w:hAnsi="Times New Roman" w:eastAsia="方正仿宋_GBK"/>
          <w:b w:val="0"/>
          <w:sz w:val="24"/>
        </w:rPr>
        <w:t xml:space="preserve">0 MW，弹性方案分别为1</w:t>
      </w:r>
      <w:r>
        <w:rPr>
          <w:rFonts w:ascii="Times New Roman" w:hAnsi="Times New Roman" w:eastAsia="方正仿宋_GBK"/>
          <w:b w:val="0"/>
          <w:sz w:val="24"/>
        </w:rPr>
        <w:t xml:space="preserve">76</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较刚性增加63.00 MVA</w:t>
      </w:r>
      <w:r>
        <w:rPr>
          <w:rFonts w:ascii="Times New Roman" w:hAnsi="Times New Roman" w:eastAsia="方正仿宋_GBK"/>
          <w:b w:val="0"/>
          <w:sz w:val="24"/>
        </w:rPr>
        <w:t xml:space="preserve">。</w:t>
      </w:r>
    </w:p>
    <w:p w14:paraId="02E28111">
      <w:pPr>
        <w:pStyle w:val="2"/>
        <w:keepNext/>
        <w:spacing w:before="120" w:after="80" w:line="280" w:lineRule="exact"/>
        <w:ind w:firstLine="0"/>
        <w:jc w:val="center"/>
      </w:pPr>
      <w:r>
        <w:rPr>
          <w:rFonts w:ascii="Times New Roman" w:hAnsi="Times New Roman" w:eastAsia="宋体"/>
          <w:b w:val="0"/>
          <w:sz w:val="21"/>
        </w:rPr>
        <w:t xml:space="preserve">表5-39 惠民变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15.47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92.83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112.23</w:t>
            </w:r>
          </w:p>
        </w:tc>
      </w:tr>
    </w:tbl>
    <w:p w14:paraId="4FECBC78">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最大单台主变N-1后，弹性方案剩余主变容量为113.00 MVA，按0.95功率因数折算为107.35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w:t>
      </w:r>
      <w:r>
        <w:rPr>
          <w:rFonts w:ascii="Times New Roman" w:hAnsi="Times New Roman" w:eastAsia="方正仿宋_GBK"/>
          <w:b w:val="0"/>
          <w:sz w:val="24"/>
        </w:rPr>
        <w:t xml:space="preserve"> MW。全年本站故障工况中最小余量为1.10 MW。该小时按采用的固定区段预案，本站转出21.68 MW、承接3.75</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106</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5</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其中与大庙变之间的主要通道承担9.86 MW净功率转接，使用既有通道。</w:t>
      </w:r>
    </w:p>
    <w:p w14:paraId="7BE56DA7">
      <w:pPr>
        <w:pStyle w:val="2"/>
        <w:widowControl/>
        <w:spacing w:before="0" w:after="0" w:line="348" w:lineRule="exact"/>
        <w:ind w:firstLine="480"/>
        <w:jc w:val="both"/>
      </w:pPr>
      <w:r>
        <w:rPr>
          <w:rFonts w:ascii="Times New Roman" w:hAnsi="Times New Roman" w:eastAsia="方正仿宋_GBK"/>
          <w:b w:val="0"/>
          <w:sz w:val="24"/>
        </w:rPr>
        <w:t xml:space="preserve">本站弹性方案新增第三</w:t>
      </w:r>
      <w:r>
        <w:rPr>
          <w:rFonts w:ascii="Times New Roman" w:hAnsi="Times New Roman" w:eastAsia="方正仿宋_GBK"/>
          <w:b w:val="0"/>
          <w:sz w:val="24"/>
        </w:rPr>
        <w:t xml:space="preserve">台主变</w:t>
      </w:r>
      <w:r>
        <w:rPr>
          <w:rFonts w:ascii="Times New Roman" w:hAnsi="Times New Roman" w:eastAsia="方正仿宋_GBK"/>
          <w:b w:val="0"/>
          <w:sz w:val="24"/>
        </w:rPr>
        <w:t xml:space="preserve">，</w:t>
      </w:r>
      <w:r>
        <w:rPr>
          <w:rFonts w:ascii="Times New Roman" w:hAnsi="Times New Roman" w:eastAsia="方正仿宋_GBK"/>
          <w:b w:val="0"/>
          <w:sz w:val="24"/>
        </w:rPr>
        <w:t xml:space="preserve">改变了故障后</w:t>
      </w:r>
      <w:r>
        <w:rPr>
          <w:rFonts w:ascii="Times New Roman" w:hAnsi="Times New Roman" w:eastAsia="方正仿宋_GBK"/>
          <w:b w:val="0"/>
          <w:sz w:val="24"/>
        </w:rPr>
        <w:t xml:space="preserve">剩余</w:t>
      </w:r>
      <w:r>
        <w:rPr>
          <w:rFonts w:ascii="Times New Roman" w:hAnsi="Times New Roman" w:eastAsia="方正仿宋_GBK"/>
          <w:b w:val="0"/>
          <w:sz w:val="24"/>
        </w:rPr>
        <w:t xml:space="preserve">设备组合</w:t>
      </w:r>
      <w:r>
        <w:rPr>
          <w:rFonts w:ascii="Times New Roman" w:hAnsi="Times New Roman" w:eastAsia="方正仿宋_GBK"/>
          <w:b w:val="0"/>
          <w:sz w:val="24"/>
        </w:rPr>
        <w:t xml:space="preserve">，</w:t>
      </w:r>
      <w:r>
        <w:rPr>
          <w:rFonts w:ascii="Times New Roman" w:hAnsi="Times New Roman" w:eastAsia="方正仿宋_GBK"/>
          <w:b w:val="0"/>
          <w:sz w:val="24"/>
        </w:rPr>
        <w:t xml:space="preserve">可与刚性方案的配储及</w:t>
      </w:r>
      <w:r>
        <w:rPr>
          <w:rFonts w:ascii="Times New Roman" w:hAnsi="Times New Roman" w:eastAsia="方正仿宋_GBK"/>
          <w:b w:val="0"/>
          <w:sz w:val="24"/>
        </w:rPr>
        <w:t xml:space="preserve">转</w:t>
      </w:r>
      <w:r>
        <w:rPr>
          <w:rFonts w:ascii="Times New Roman" w:hAnsi="Times New Roman" w:eastAsia="方正仿宋_GBK"/>
          <w:b w:val="0"/>
          <w:sz w:val="24"/>
        </w:rPr>
        <w:t xml:space="preserve">接任务对应比较</w:t>
      </w:r>
      <w:r>
        <w:rPr>
          <w:rFonts w:ascii="Times New Roman" w:hAnsi="Times New Roman" w:eastAsia="方正仿宋_GBK"/>
          <w:b w:val="0"/>
          <w:sz w:val="24"/>
        </w:rPr>
        <w:t xml:space="preserve">。</w:t>
      </w:r>
    </w:p>
    <w:p w14:paraId="3663D963">
      <w:pPr>
        <w:pStyle w:val="7"/>
        <w:keepNext/>
        <w:numPr>
          <w:ilvl w:val="0"/>
          <w:numId w:val="0"/>
        </w:numPr>
        <w:spacing w:before="160" w:after="120" w:line="360" w:lineRule="exact"/>
        <w:ind w:firstLine="0"/>
      </w:pPr>
      <w:bookmarkStart w:id="229" w:name="夹河变规划分析"/>
      <w:r>
        <w:rPr>
          <w:rFonts w:ascii="Times New Roman" w:hAnsi="Times New Roman" w:eastAsia="方正仿宋_GBK"/>
          <w:b/>
          <w:sz w:val="24"/>
        </w:rPr>
        <w:t>夹河变规划分析</w:t>
      </w:r>
      <w:bookmarkEnd w:id="229"/>
    </w:p>
    <w:p w14:paraId="535091BF">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w:t>
      </w:r>
      <w:r>
        <w:rPr>
          <w:rFonts w:ascii="Times New Roman" w:hAnsi="Times New Roman" w:eastAsia="方正仿宋_GBK"/>
          <w:b w:val="0"/>
          <w:sz w:val="24"/>
        </w:rPr>
        <w:t xml:space="preserve">0+4</w:t>
      </w:r>
      <w:r>
        <w:rPr>
          <w:rFonts w:ascii="Times New Roman" w:hAnsi="Times New Roman" w:eastAsia="方正仿宋_GBK"/>
          <w:b w:val="0"/>
          <w:sz w:val="24"/>
        </w:rPr>
        <w:t xml:space="preserve">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2028</w:t>
      </w:r>
      <w:r>
        <w:rPr>
          <w:rFonts w:ascii="Times New Roman" w:hAnsi="Times New Roman" w:eastAsia="方正仿宋_GBK"/>
          <w:b w:val="0"/>
          <w:sz w:val="24"/>
        </w:rPr>
        <w:t xml:space="preserve">年</w:t>
      </w:r>
      <w:r>
        <w:rPr>
          <w:rFonts w:ascii="Times New Roman" w:hAnsi="Times New Roman" w:eastAsia="方正仿宋_GBK"/>
          <w:b w:val="0"/>
          <w:sz w:val="24"/>
        </w:rPr>
        <w:t xml:space="preserve">31.50 MVA更换为50.00 MVA、40.00 MVA更换为50.00 MVA</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3C9D6440">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最大正向、反向净负荷分别为46.06 MW、6.81 MW</w:t>
      </w:r>
      <w:r>
        <w:rPr>
          <w:rFonts w:ascii="Times New Roman" w:hAnsi="Times New Roman" w:eastAsia="方正仿宋_GBK"/>
          <w:b w:val="0"/>
          <w:sz w:val="24"/>
        </w:rPr>
        <w:t xml:space="preserve">，2035年分别为67.07 MW、38.19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16</w:t>
      </w:r>
      <w:r>
        <w:rPr>
          <w:rFonts w:ascii="Times New Roman" w:hAnsi="Times New Roman" w:eastAsia="方正仿宋_GBK"/>
          <w:b w:val="0"/>
          <w:sz w:val="24"/>
        </w:rPr>
        <w:t xml:space="preserve">0.00 MVA、储能额定功率0.</w:t>
      </w:r>
      <w:r>
        <w:rPr>
          <w:rFonts w:ascii="Times New Roman" w:hAnsi="Times New Roman" w:eastAsia="方正仿宋_GBK"/>
          <w:b w:val="0"/>
          <w:sz w:val="24"/>
        </w:rPr>
        <w:t xml:space="preserve">7</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10</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较刚性减少60.00 MVA</w:t>
      </w:r>
      <w:r>
        <w:rPr>
          <w:rFonts w:ascii="Times New Roman" w:hAnsi="Times New Roman" w:eastAsia="方正仿宋_GBK"/>
          <w:b w:val="0"/>
          <w:sz w:val="24"/>
        </w:rPr>
        <w:t xml:space="preserve">。</w:t>
      </w:r>
    </w:p>
    <w:p w14:paraId="1913E791">
      <w:pPr>
        <w:pStyle w:val="2"/>
        <w:keepNext/>
        <w:spacing w:before="120" w:after="80" w:line="280" w:lineRule="exact"/>
        <w:ind w:firstLine="0"/>
        <w:jc w:val="center"/>
      </w:pPr>
      <w:r>
        <w:rPr>
          <w:rFonts w:ascii="Times New Roman" w:hAnsi="Times New Roman" w:eastAsia="宋体"/>
          <w:b w:val="0"/>
          <w:sz w:val="21"/>
        </w:rPr>
        <w:t xml:space="preserve">表5-40 夹河变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74.50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67.07</w:t>
            </w:r>
          </w:p>
        </w:tc>
      </w:tr>
    </w:tbl>
    <w:p w14:paraId="1383E7E2">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中最小余量为0.15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19</w:t>
      </w:r>
      <w:r>
        <w:rPr>
          <w:rFonts w:ascii="Times New Roman" w:hAnsi="Times New Roman" w:eastAsia="方正仿宋_GBK"/>
          <w:b w:val="0"/>
          <w:sz w:val="24"/>
        </w:rPr>
        <w:t xml:space="preserve">.</w:t>
      </w:r>
      <w:r>
        <w:rPr>
          <w:rFonts w:ascii="Times New Roman" w:hAnsi="Times New Roman" w:eastAsia="方正仿宋_GBK"/>
          <w:b w:val="0"/>
          <w:sz w:val="24"/>
        </w:rPr>
        <w:t xml:space="preserve">73</w:t>
      </w:r>
      <w:r>
        <w:rPr>
          <w:rFonts w:ascii="Times New Roman" w:hAnsi="Times New Roman" w:eastAsia="方正仿宋_GBK"/>
          <w:b w:val="0"/>
          <w:sz w:val="24"/>
        </w:rPr>
        <w:t xml:space="preserve"> MW、承接0.00 MW，转接后净负荷为4</w:t>
      </w:r>
      <w:r>
        <w:rPr>
          <w:rFonts w:ascii="Times New Roman" w:hAnsi="Times New Roman" w:eastAsia="方正仿宋_GBK"/>
          <w:b w:val="0"/>
          <w:sz w:val="24"/>
        </w:rPr>
        <w:t xml:space="preserve">7</w:t>
      </w:r>
      <w:r>
        <w:rPr>
          <w:rFonts w:ascii="Times New Roman" w:hAnsi="Times New Roman" w:eastAsia="方正仿宋_GBK"/>
          <w:b w:val="0"/>
          <w:sz w:val="24"/>
        </w:rPr>
        <w:t xml:space="preserve">.</w:t>
      </w:r>
      <w:r>
        <w:rPr>
          <w:rFonts w:ascii="Times New Roman" w:hAnsi="Times New Roman" w:eastAsia="方正仿宋_GBK"/>
          <w:b w:val="0"/>
          <w:sz w:val="24"/>
        </w:rPr>
        <w:t xml:space="preserve">35</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其中与翟山变之间的主要通道承担19.73 MW净功率转接，使用既有通道。</w:t>
      </w:r>
    </w:p>
    <w:p w14:paraId="50A4E5C5">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w:t>
      </w:r>
      <w:r>
        <w:rPr>
          <w:rFonts w:ascii="Times New Roman" w:hAnsi="Times New Roman" w:eastAsia="方正仿宋_GBK"/>
          <w:b w:val="0"/>
          <w:sz w:val="24"/>
        </w:rPr>
        <w:t xml:space="preserve">0.</w:t>
      </w:r>
      <w:r>
        <w:rPr>
          <w:rFonts w:ascii="Times New Roman" w:hAnsi="Times New Roman" w:eastAsia="方正仿宋_GBK"/>
          <w:b w:val="0"/>
          <w:sz w:val="24"/>
        </w:rPr>
        <w:t xml:space="preserve">7</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094A6924">
      <w:pPr>
        <w:pStyle w:val="7"/>
        <w:keepNext/>
        <w:numPr>
          <w:ilvl w:val="0"/>
          <w:numId w:val="0"/>
        </w:numPr>
        <w:spacing w:before="160" w:after="120" w:line="360" w:lineRule="exact"/>
        <w:ind w:firstLine="0"/>
      </w:pPr>
      <w:bookmarkStart w:id="230" w:name="开元变规划分析"/>
      <w:r>
        <w:rPr>
          <w:rFonts w:ascii="Times New Roman" w:hAnsi="Times New Roman" w:eastAsia="方正仿宋_GBK"/>
          <w:b/>
          <w:sz w:val="24"/>
        </w:rPr>
        <w:t>开元变规划分析</w:t>
      </w:r>
      <w:bookmarkEnd w:id="230"/>
    </w:p>
    <w:p w14:paraId="692FACED">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31.5</w:t>
      </w:r>
      <w:r>
        <w:rPr>
          <w:rFonts w:ascii="Times New Roman" w:hAnsi="Times New Roman" w:eastAsia="方正仿宋_GBK"/>
          <w:b w:val="0"/>
          <w:sz w:val="24"/>
        </w:rPr>
        <w:t xml:space="preserve">0+</w:t>
      </w:r>
      <w:r>
        <w:rPr>
          <w:rFonts w:ascii="Times New Roman" w:hAnsi="Times New Roman" w:eastAsia="方正仿宋_GBK"/>
          <w:b w:val="0"/>
          <w:sz w:val="24"/>
        </w:rPr>
        <w:t xml:space="preserve">80.00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2033</w:t>
      </w:r>
      <w:r>
        <w:rPr>
          <w:rFonts w:ascii="Times New Roman" w:hAnsi="Times New Roman" w:eastAsia="方正仿宋_GBK"/>
          <w:b w:val="0"/>
          <w:sz w:val="24"/>
        </w:rPr>
        <w:t xml:space="preserve">年</w:t>
      </w:r>
      <w:r>
        <w:rPr>
          <w:rFonts w:ascii="Times New Roman" w:hAnsi="Times New Roman" w:eastAsia="方正仿宋_GBK"/>
          <w:b w:val="0"/>
          <w:sz w:val="24"/>
        </w:rPr>
        <w:t xml:space="preserve">31.50 MVA更换为50.00 MVA</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3944FB73">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最大正向、反向净负荷分别为56.24 MW、0.00 MW</w:t>
      </w:r>
      <w:r>
        <w:rPr>
          <w:rFonts w:ascii="Times New Roman" w:hAnsi="Times New Roman" w:eastAsia="方正仿宋_GBK"/>
          <w:b w:val="0"/>
          <w:sz w:val="24"/>
        </w:rPr>
        <w:t xml:space="preserve">，2035年分别为81.89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11</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MVA、储能额定功率0.00 MW，弹性方案分别为1</w:t>
      </w:r>
      <w:r>
        <w:rPr>
          <w:rFonts w:ascii="Times New Roman" w:hAnsi="Times New Roman" w:eastAsia="方正仿宋_GBK"/>
          <w:b w:val="0"/>
          <w:sz w:val="24"/>
        </w:rPr>
        <w:t xml:space="preserve">3</w:t>
      </w:r>
      <w:r>
        <w:rPr>
          <w:rFonts w:ascii="Times New Roman" w:hAnsi="Times New Roman" w:eastAsia="方正仿宋_GBK"/>
          <w:b w:val="0"/>
          <w:sz w:val="24"/>
        </w:rPr>
        <w:t xml:space="preserve">0</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较刚性增加18.50 MVA</w:t>
      </w:r>
      <w:r>
        <w:rPr>
          <w:rFonts w:ascii="Times New Roman" w:hAnsi="Times New Roman" w:eastAsia="方正仿宋_GBK"/>
          <w:b w:val="0"/>
          <w:sz w:val="24"/>
        </w:rPr>
        <w:t xml:space="preserve">。</w:t>
      </w:r>
    </w:p>
    <w:p w14:paraId="65C21D8B">
      <w:pPr>
        <w:pStyle w:val="2"/>
        <w:keepNext/>
        <w:spacing w:before="120" w:after="80" w:line="280" w:lineRule="exact"/>
        <w:ind w:firstLine="0"/>
        <w:jc w:val="center"/>
      </w:pPr>
      <w:r>
        <w:rPr>
          <w:rFonts w:ascii="Times New Roman" w:hAnsi="Times New Roman" w:eastAsia="宋体"/>
          <w:b w:val="0"/>
          <w:sz w:val="21"/>
        </w:rPr>
        <w:t xml:space="preserve">表5-41 开元变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85.51</w:t>
            </w:r>
          </w:p>
        </w:tc>
      </w:tr>
    </w:tbl>
    <w:p w14:paraId="3C426D87">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反向有效吸收功率为0.00 MW。全年本站故障工况中最小余量为1.93 MW。该小时按采用的固定区段预案，本站转出39.95 MW、</w:t>
      </w:r>
      <w:r>
        <w:rPr>
          <w:rFonts w:ascii="Times New Roman" w:hAnsi="Times New Roman" w:eastAsia="方正仿宋_GBK"/>
          <w:b w:val="0"/>
          <w:sz w:val="24"/>
        </w:rPr>
        <w:t xml:space="preserve">承接</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62</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4</w:t>
      </w:r>
      <w:r>
        <w:rPr>
          <w:rFonts w:ascii="Times New Roman" w:hAnsi="Times New Roman" w:eastAsia="方正仿宋_GBK"/>
          <w:b w:val="0"/>
          <w:sz w:val="24"/>
        </w:rPr>
        <w:t xml:space="preserve">5</w:t>
      </w:r>
      <w:r>
        <w:rPr>
          <w:rFonts w:ascii="Times New Roman" w:hAnsi="Times New Roman" w:eastAsia="方正仿宋_GBK"/>
          <w:b w:val="0"/>
          <w:sz w:val="24"/>
        </w:rPr>
        <w:t xml:space="preserve">.5</w:t>
      </w:r>
      <w:r>
        <w:rPr>
          <w:rFonts w:ascii="Times New Roman" w:hAnsi="Times New Roman" w:eastAsia="方正仿宋_GBK"/>
          <w:b w:val="0"/>
          <w:sz w:val="24"/>
        </w:rPr>
        <w:t xml:space="preserve">7</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其中与翟山变之间的主要通道承担11.98 MW净功率转接，使用既有通道。</w:t>
      </w:r>
    </w:p>
    <w:p w14:paraId="11C8F9B7">
      <w:pPr>
        <w:pStyle w:val="2"/>
        <w:widowControl/>
        <w:spacing w:before="0" w:after="0" w:line="348" w:lineRule="exact"/>
        <w:ind w:firstLine="480"/>
        <w:jc w:val="both"/>
      </w:pPr>
      <w:r>
        <w:rPr>
          <w:rFonts w:ascii="Times New Roman" w:hAnsi="Times New Roman" w:eastAsia="方正仿宋_GBK"/>
          <w:b w:val="0"/>
          <w:sz w:val="24"/>
        </w:rPr>
        <w:t xml:space="preserve">两方案本站储能规模相同，</w:t>
      </w:r>
      <w:r>
        <w:rPr>
          <w:rFonts w:ascii="Times New Roman" w:hAnsi="Times New Roman" w:eastAsia="方正仿宋_GBK"/>
          <w:b w:val="0"/>
          <w:sz w:val="24"/>
        </w:rPr>
        <w:t xml:space="preserve">主变</w:t>
      </w:r>
      <w:r>
        <w:rPr>
          <w:rFonts w:ascii="Times New Roman" w:hAnsi="Times New Roman" w:eastAsia="方正仿宋_GBK"/>
          <w:b w:val="0"/>
          <w:sz w:val="24"/>
        </w:rPr>
        <w:t xml:space="preserve">规格的差异主要体现为</w:t>
      </w:r>
      <w:r>
        <w:rPr>
          <w:rFonts w:ascii="Times New Roman" w:hAnsi="Times New Roman" w:eastAsia="方正仿宋_GBK"/>
          <w:b w:val="0"/>
          <w:sz w:val="24"/>
        </w:rPr>
        <w:t xml:space="preserve">站</w:t>
      </w:r>
      <w:r>
        <w:rPr>
          <w:rFonts w:ascii="Times New Roman" w:hAnsi="Times New Roman" w:eastAsia="方正仿宋_GBK"/>
          <w:b w:val="0"/>
          <w:sz w:val="24"/>
        </w:rPr>
        <w:t xml:space="preserve">内</w:t>
      </w:r>
      <w:r>
        <w:rPr>
          <w:rFonts w:ascii="Times New Roman" w:hAnsi="Times New Roman" w:eastAsia="方正仿宋_GBK"/>
          <w:b w:val="0"/>
          <w:sz w:val="24"/>
        </w:rPr>
        <w:t xml:space="preserve">容量</w:t>
      </w:r>
      <w:r>
        <w:rPr>
          <w:rFonts w:ascii="Times New Roman" w:hAnsi="Times New Roman" w:eastAsia="方正仿宋_GBK"/>
          <w:b w:val="0"/>
          <w:sz w:val="24"/>
        </w:rPr>
        <w:t xml:space="preserve">及故障</w:t>
      </w:r>
      <w:r>
        <w:rPr>
          <w:rFonts w:ascii="Times New Roman" w:hAnsi="Times New Roman" w:eastAsia="方正仿宋_GBK"/>
          <w:b w:val="0"/>
          <w:sz w:val="24"/>
        </w:rPr>
        <w:t xml:space="preserve">后</w:t>
      </w:r>
      <w:r>
        <w:rPr>
          <w:rFonts w:ascii="Times New Roman" w:hAnsi="Times New Roman" w:eastAsia="方正仿宋_GBK"/>
          <w:b w:val="0"/>
          <w:sz w:val="24"/>
        </w:rPr>
        <w:t xml:space="preserve">可用能力</w:t>
      </w:r>
      <w:r>
        <w:rPr>
          <w:rFonts w:ascii="Times New Roman" w:hAnsi="Times New Roman" w:eastAsia="方正仿宋_GBK"/>
          <w:b w:val="0"/>
          <w:sz w:val="24"/>
        </w:rPr>
        <w:t xml:space="preserve">的</w:t>
      </w:r>
      <w:r>
        <w:rPr>
          <w:rFonts w:ascii="Times New Roman" w:hAnsi="Times New Roman" w:eastAsia="方正仿宋_GBK"/>
          <w:b w:val="0"/>
          <w:sz w:val="24"/>
        </w:rPr>
        <w:t xml:space="preserve">变化</w:t>
      </w:r>
      <w:r>
        <w:rPr>
          <w:rFonts w:ascii="Times New Roman" w:hAnsi="Times New Roman" w:eastAsia="方正仿宋_GBK"/>
          <w:b w:val="0"/>
          <w:sz w:val="24"/>
        </w:rPr>
        <w:t xml:space="preserve">。</w:t>
      </w:r>
    </w:p>
    <w:p w14:paraId="3E3B91B4">
      <w:pPr>
        <w:pStyle w:val="7"/>
        <w:keepNext/>
        <w:numPr>
          <w:ilvl w:val="0"/>
          <w:numId w:val="0"/>
        </w:numPr>
        <w:spacing w:before="160" w:after="120" w:line="360" w:lineRule="exact"/>
        <w:ind w:firstLine="0"/>
      </w:pPr>
      <w:bookmarkStart w:id="231" w:name="奎山变规划分析"/>
      <w:r>
        <w:rPr>
          <w:rFonts w:ascii="Times New Roman" w:hAnsi="Times New Roman" w:eastAsia="方正仿宋_GBK"/>
          <w:b/>
          <w:sz w:val="24"/>
        </w:rPr>
        <w:t>奎山变规划分析</w:t>
      </w:r>
      <w:bookmarkEnd w:id="231"/>
    </w:p>
    <w:p w14:paraId="522CDD2B">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63.0</w:t>
      </w:r>
      <w:r>
        <w:rPr>
          <w:rFonts w:ascii="Times New Roman" w:hAnsi="Times New Roman" w:eastAsia="方正仿宋_GBK"/>
          <w:b w:val="0"/>
          <w:sz w:val="24"/>
        </w:rPr>
        <w:t xml:space="preserve">0+8</w:t>
      </w:r>
      <w:r>
        <w:rPr>
          <w:rFonts w:ascii="Times New Roman" w:hAnsi="Times New Roman" w:eastAsia="方正仿宋_GBK"/>
          <w:b w:val="0"/>
          <w:sz w:val="24"/>
        </w:rPr>
        <w:t xml:space="preserve">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2033</w:t>
      </w:r>
      <w:r>
        <w:rPr>
          <w:rFonts w:ascii="Times New Roman" w:hAnsi="Times New Roman" w:eastAsia="方正仿宋_GBK"/>
          <w:b w:val="0"/>
          <w:sz w:val="24"/>
        </w:rPr>
        <w:t xml:space="preserve">年</w:t>
      </w:r>
      <w:r>
        <w:rPr>
          <w:rFonts w:ascii="Times New Roman" w:hAnsi="Times New Roman" w:eastAsia="方正仿宋_GBK"/>
          <w:b w:val="0"/>
          <w:sz w:val="24"/>
        </w:rPr>
        <w:t xml:space="preserve">63.00 MVA更换为80.00 MVA</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4EF28764">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最大正向、反向净负荷分别为83.73 MW、0.00 MW</w:t>
      </w:r>
      <w:r>
        <w:rPr>
          <w:rFonts w:ascii="Times New Roman" w:hAnsi="Times New Roman" w:eastAsia="方正仿宋_GBK"/>
          <w:b w:val="0"/>
          <w:sz w:val="24"/>
        </w:rPr>
        <w:t xml:space="preserve">，2035年分别为121.93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4</w:t>
      </w:r>
      <w:r>
        <w:rPr>
          <w:rFonts w:ascii="Times New Roman" w:hAnsi="Times New Roman" w:eastAsia="方正仿宋_GBK"/>
          <w:b w:val="0"/>
          <w:sz w:val="24"/>
        </w:rPr>
        <w:t xml:space="preserve">3</w:t>
      </w:r>
      <w:r>
        <w:rPr>
          <w:rFonts w:ascii="Times New Roman" w:hAnsi="Times New Roman" w:eastAsia="方正仿宋_GBK"/>
          <w:b w:val="0"/>
          <w:sz w:val="24"/>
        </w:rPr>
        <w:t xml:space="preserve">.00 MVA、储能额定功率0.00 MW，弹性方案分别为1</w:t>
      </w:r>
      <w:r>
        <w:rPr>
          <w:rFonts w:ascii="Times New Roman" w:hAnsi="Times New Roman" w:eastAsia="方正仿宋_GBK"/>
          <w:b w:val="0"/>
          <w:sz w:val="24"/>
        </w:rPr>
        <w:t xml:space="preserve">6</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较刚性增加17.00 MVA</w:t>
      </w:r>
      <w:r>
        <w:rPr>
          <w:rFonts w:ascii="Times New Roman" w:hAnsi="Times New Roman" w:eastAsia="方正仿宋_GBK"/>
          <w:b w:val="0"/>
          <w:sz w:val="24"/>
        </w:rPr>
        <w:t xml:space="preserve">。</w:t>
      </w:r>
    </w:p>
    <w:p w14:paraId="0426AF4E">
      <w:pPr>
        <w:pStyle w:val="2"/>
        <w:keepNext/>
        <w:spacing w:before="120" w:after="80" w:line="280" w:lineRule="exact"/>
        <w:ind w:firstLine="0"/>
        <w:jc w:val="center"/>
      </w:pPr>
      <w:r>
        <w:rPr>
          <w:rFonts w:ascii="Times New Roman" w:hAnsi="Times New Roman" w:eastAsia="宋体"/>
          <w:b w:val="0"/>
          <w:sz w:val="21"/>
        </w:rPr>
        <w:t xml:space="preserve">表5-42 奎山变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112.10</w:t>
            </w:r>
          </w:p>
        </w:tc>
      </w:tr>
    </w:tbl>
    <w:p w14:paraId="74CD52B9">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最大单台主变N-1后，弹性方案剩余主变容量为80.00 MVA，按0.95功率因数折算为76.00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反向有效吸收功率为0.00 MW。全年本站故障工况中最小余量为2.22 MW。该小时按采用的固定区段预案，本站转出49.90 MW、</w:t>
      </w:r>
      <w:r>
        <w:rPr>
          <w:rFonts w:ascii="Times New Roman" w:hAnsi="Times New Roman" w:eastAsia="方正仿宋_GBK"/>
          <w:b w:val="0"/>
          <w:sz w:val="24"/>
        </w:rPr>
        <w:t xml:space="preserve">承接1</w:t>
      </w:r>
      <w:r>
        <w:rPr>
          <w:rFonts w:ascii="Times New Roman" w:hAnsi="Times New Roman" w:eastAsia="方正仿宋_GBK"/>
          <w:b w:val="0"/>
          <w:sz w:val="24"/>
        </w:rPr>
        <w:t xml:space="preserve">.</w:t>
      </w:r>
      <w:r>
        <w:rPr>
          <w:rFonts w:ascii="Times New Roman" w:hAnsi="Times New Roman" w:eastAsia="方正仿宋_GBK"/>
          <w:b w:val="0"/>
          <w:sz w:val="24"/>
        </w:rPr>
        <w:t xml:space="preserve">93</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73</w:t>
      </w:r>
      <w:r>
        <w:rPr>
          <w:rFonts w:ascii="Times New Roman" w:hAnsi="Times New Roman" w:eastAsia="方正仿宋_GBK"/>
          <w:b w:val="0"/>
          <w:sz w:val="24"/>
        </w:rPr>
        <w:t xml:space="preserve">.</w:t>
      </w:r>
      <w:r>
        <w:rPr>
          <w:rFonts w:ascii="Times New Roman" w:hAnsi="Times New Roman" w:eastAsia="方正仿宋_GBK"/>
          <w:b w:val="0"/>
          <w:sz w:val="24"/>
        </w:rPr>
        <w:t xml:space="preserve">7</w:t>
      </w:r>
      <w:r>
        <w:rPr>
          <w:rFonts w:ascii="Times New Roman" w:hAnsi="Times New Roman" w:eastAsia="方正仿宋_GBK"/>
          <w:b w:val="0"/>
          <w:sz w:val="24"/>
        </w:rPr>
        <w:t xml:space="preserve">8 MW。</w:t>
      </w:r>
      <w:r>
        <w:rPr>
          <w:rFonts w:ascii="Times New Roman" w:hAnsi="Times New Roman" w:eastAsia="方正仿宋_GBK"/>
          <w:b w:val="0"/>
          <w:sz w:val="24"/>
        </w:rPr>
        <w:t xml:space="preserve">其中与翟山变之间的主要通道承担19.96 MW净功率转接，使用既有通道。</w:t>
      </w:r>
    </w:p>
    <w:p w14:paraId="22E6C1EF">
      <w:pPr>
        <w:pStyle w:val="2"/>
        <w:widowControl/>
        <w:spacing w:before="0" w:after="0" w:line="348" w:lineRule="exact"/>
        <w:ind w:firstLine="480"/>
        <w:jc w:val="both"/>
      </w:pPr>
      <w:r>
        <w:rPr>
          <w:rFonts w:ascii="Times New Roman" w:hAnsi="Times New Roman" w:eastAsia="方正仿宋_GBK"/>
          <w:b w:val="0"/>
          <w:sz w:val="24"/>
        </w:rPr>
        <w:t xml:space="preserve">两方案本站储能规模相同，</w:t>
      </w:r>
      <w:r>
        <w:rPr>
          <w:rFonts w:ascii="Times New Roman" w:hAnsi="Times New Roman" w:eastAsia="方正仿宋_GBK"/>
          <w:b w:val="0"/>
          <w:sz w:val="24"/>
        </w:rPr>
        <w:t xml:space="preserve">主变</w:t>
      </w:r>
      <w:r>
        <w:rPr>
          <w:rFonts w:ascii="Times New Roman" w:hAnsi="Times New Roman" w:eastAsia="方正仿宋_GBK"/>
          <w:b w:val="0"/>
          <w:sz w:val="24"/>
        </w:rPr>
        <w:t xml:space="preserve">规格的差异主要体现为</w:t>
      </w:r>
      <w:r>
        <w:rPr>
          <w:rFonts w:ascii="Times New Roman" w:hAnsi="Times New Roman" w:eastAsia="方正仿宋_GBK"/>
          <w:b w:val="0"/>
          <w:sz w:val="24"/>
        </w:rPr>
        <w:t xml:space="preserve">站</w:t>
      </w:r>
      <w:r>
        <w:rPr>
          <w:rFonts w:ascii="Times New Roman" w:hAnsi="Times New Roman" w:eastAsia="方正仿宋_GBK"/>
          <w:b w:val="0"/>
          <w:sz w:val="24"/>
        </w:rPr>
        <w:t xml:space="preserve">内</w:t>
      </w:r>
      <w:r>
        <w:rPr>
          <w:rFonts w:ascii="Times New Roman" w:hAnsi="Times New Roman" w:eastAsia="方正仿宋_GBK"/>
          <w:b w:val="0"/>
          <w:sz w:val="24"/>
        </w:rPr>
        <w:t xml:space="preserve">容量</w:t>
      </w:r>
      <w:r>
        <w:rPr>
          <w:rFonts w:ascii="Times New Roman" w:hAnsi="Times New Roman" w:eastAsia="方正仿宋_GBK"/>
          <w:b w:val="0"/>
          <w:sz w:val="24"/>
        </w:rPr>
        <w:t xml:space="preserve">及故障</w:t>
      </w:r>
      <w:r>
        <w:rPr>
          <w:rFonts w:ascii="Times New Roman" w:hAnsi="Times New Roman" w:eastAsia="方正仿宋_GBK"/>
          <w:b w:val="0"/>
          <w:sz w:val="24"/>
        </w:rPr>
        <w:t xml:space="preserve">后</w:t>
      </w:r>
      <w:r>
        <w:rPr>
          <w:rFonts w:ascii="Times New Roman" w:hAnsi="Times New Roman" w:eastAsia="方正仿宋_GBK"/>
          <w:b w:val="0"/>
          <w:sz w:val="24"/>
        </w:rPr>
        <w:t xml:space="preserve">可用能力</w:t>
      </w:r>
      <w:r>
        <w:rPr>
          <w:rFonts w:ascii="Times New Roman" w:hAnsi="Times New Roman" w:eastAsia="方正仿宋_GBK"/>
          <w:b w:val="0"/>
          <w:sz w:val="24"/>
        </w:rPr>
        <w:t xml:space="preserve">的</w:t>
      </w:r>
      <w:r>
        <w:rPr>
          <w:rFonts w:ascii="Times New Roman" w:hAnsi="Times New Roman" w:eastAsia="方正仿宋_GBK"/>
          <w:b w:val="0"/>
          <w:sz w:val="24"/>
        </w:rPr>
        <w:t xml:space="preserve">变化</w:t>
      </w:r>
      <w:r>
        <w:rPr>
          <w:rFonts w:ascii="Times New Roman" w:hAnsi="Times New Roman" w:eastAsia="方正仿宋_GBK"/>
          <w:b w:val="0"/>
          <w:sz w:val="24"/>
        </w:rPr>
        <w:t xml:space="preserve">。</w:t>
      </w:r>
    </w:p>
    <w:p w14:paraId="38A1FFBC">
      <w:pPr>
        <w:pStyle w:val="7"/>
        <w:keepNext/>
        <w:numPr>
          <w:ilvl w:val="0"/>
          <w:numId w:val="0"/>
        </w:numPr>
        <w:spacing w:before="160" w:after="120" w:line="360" w:lineRule="exact"/>
        <w:ind w:firstLine="0"/>
      </w:pPr>
      <w:bookmarkStart w:id="232" w:name="刘湾变规划分析"/>
      <w:r>
        <w:rPr>
          <w:rFonts w:ascii="Times New Roman" w:hAnsi="Times New Roman" w:eastAsia="方正仿宋_GBK"/>
          <w:b/>
          <w:sz w:val="24"/>
        </w:rPr>
        <w:t>刘湾变规划分析</w:t>
      </w:r>
      <w:bookmarkEnd w:id="232"/>
    </w:p>
    <w:p w14:paraId="77D4D1F6">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63.0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2023</w:t>
      </w:r>
      <w:r>
        <w:rPr>
          <w:rFonts w:ascii="Times New Roman" w:hAnsi="Times New Roman" w:eastAsia="方正仿宋_GBK"/>
          <w:b w:val="0"/>
          <w:sz w:val="24"/>
        </w:rPr>
        <w:t xml:space="preserve">年</w:t>
      </w:r>
      <w:r>
        <w:rPr>
          <w:rFonts w:ascii="Times New Roman" w:hAnsi="Times New Roman" w:eastAsia="方正仿宋_GBK"/>
          <w:b w:val="0"/>
          <w:sz w:val="24"/>
        </w:rPr>
        <w:t xml:space="preserve">40.00 MVA更换为50.00 MVA；2029年扩建第三台50.00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0EF1279C">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最大正向、反向净负荷分别为71.22 MW、13.31 MW</w:t>
      </w:r>
      <w:r>
        <w:rPr>
          <w:rFonts w:ascii="Times New Roman" w:hAnsi="Times New Roman" w:eastAsia="方正仿宋_GBK"/>
          <w:b w:val="0"/>
          <w:sz w:val="24"/>
        </w:rPr>
        <w:t xml:space="preserve">，2035年分别为103.71 MW、68.33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153</w:t>
      </w:r>
      <w:r>
        <w:rPr>
          <w:rFonts w:ascii="Times New Roman" w:hAnsi="Times New Roman" w:eastAsia="方正仿宋_GBK"/>
          <w:b w:val="0"/>
          <w:sz w:val="24"/>
        </w:rPr>
        <w:t xml:space="preserve">.00 MVA、储能额定功率</w:t>
      </w:r>
      <w:r>
        <w:rPr>
          <w:rFonts w:ascii="Times New Roman" w:hAnsi="Times New Roman" w:eastAsia="方正仿宋_GBK"/>
          <w:b w:val="0"/>
          <w:sz w:val="24"/>
        </w:rPr>
        <w:t xml:space="preserve">2</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163</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较刚性增加10.00 MVA</w:t>
      </w:r>
      <w:r>
        <w:rPr>
          <w:rFonts w:ascii="Times New Roman" w:hAnsi="Times New Roman" w:eastAsia="方正仿宋_GBK"/>
          <w:b w:val="0"/>
          <w:sz w:val="24"/>
        </w:rPr>
        <w:t xml:space="preserve">。</w:t>
      </w:r>
    </w:p>
    <w:p w14:paraId="78EE9E10">
      <w:pPr>
        <w:pStyle w:val="2"/>
        <w:keepNext/>
        <w:spacing w:before="120" w:after="80" w:line="280" w:lineRule="exact"/>
        <w:ind w:firstLine="0"/>
        <w:jc w:val="center"/>
      </w:pPr>
      <w:r>
        <w:rPr>
          <w:rFonts w:ascii="Times New Roman" w:hAnsi="Times New Roman" w:eastAsia="宋体"/>
          <w:b w:val="0"/>
          <w:sz w:val="21"/>
        </w:rPr>
        <w:t xml:space="preserve">表5-43 刘湾变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93.46</w:t>
            </w:r>
          </w:p>
        </w:tc>
      </w:tr>
    </w:tbl>
    <w:p w14:paraId="04DE4D6F">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w:t>
      </w:r>
      <w:r>
        <w:rPr>
          <w:rFonts w:ascii="Times New Roman" w:hAnsi="Times New Roman" w:eastAsia="方正仿宋_GBK"/>
          <w:b w:val="0"/>
          <w:sz w:val="24"/>
        </w:rPr>
        <w:t xml:space="preserve"> MW。全年本站故障工况中最小余量为12.34 MW。该小时按采用的固定区段预案，本站转出25.93 MW、承接4.88</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8</w:t>
      </w:r>
      <w:r>
        <w:rPr>
          <w:rFonts w:ascii="Times New Roman" w:hAnsi="Times New Roman" w:eastAsia="方正仿宋_GBK"/>
          <w:b w:val="0"/>
          <w:sz w:val="24"/>
        </w:rPr>
        <w:t xml:space="preserve">2.</w:t>
      </w:r>
      <w:r>
        <w:rPr>
          <w:rFonts w:ascii="Times New Roman" w:hAnsi="Times New Roman" w:eastAsia="方正仿宋_GBK"/>
          <w:b w:val="0"/>
          <w:sz w:val="24"/>
        </w:rPr>
        <w:t xml:space="preserve">66</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其中与玉潭变之间的主要通道承担9.26 MW净功率转接，使用既有通道。</w:t>
      </w:r>
    </w:p>
    <w:p w14:paraId="257AAE59">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w:t>
      </w:r>
      <w:r>
        <w:rPr>
          <w:rFonts w:ascii="Times New Roman" w:hAnsi="Times New Roman" w:eastAsia="方正仿宋_GBK"/>
          <w:b w:val="0"/>
          <w:sz w:val="24"/>
        </w:rPr>
        <w:t xml:space="preserve">2.</w:t>
      </w:r>
      <w:r>
        <w:rPr>
          <w:rFonts w:ascii="Times New Roman" w:hAnsi="Times New Roman" w:eastAsia="方正仿宋_GBK"/>
          <w:b w:val="0"/>
          <w:sz w:val="24"/>
        </w:rPr>
        <w:t xml:space="preserve">5</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24027ED2">
      <w:pPr>
        <w:pStyle w:val="7"/>
        <w:keepNext/>
        <w:numPr>
          <w:ilvl w:val="0"/>
          <w:numId w:val="0"/>
        </w:numPr>
        <w:spacing w:before="160" w:after="120" w:line="360" w:lineRule="exact"/>
        <w:ind w:firstLine="0"/>
      </w:pPr>
      <w:bookmarkStart w:id="233" w:name="龙湖变规划分析"/>
      <w:r>
        <w:rPr>
          <w:rFonts w:ascii="Times New Roman" w:hAnsi="Times New Roman" w:eastAsia="方正仿宋_GBK"/>
          <w:b/>
          <w:sz w:val="24"/>
        </w:rPr>
        <w:t>龙湖变规划分析</w:t>
      </w:r>
      <w:bookmarkEnd w:id="233"/>
    </w:p>
    <w:p w14:paraId="3BCBEF1A">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2022—2035</w:t>
      </w:r>
      <w:r>
        <w:rPr>
          <w:rFonts w:ascii="Times New Roman" w:hAnsi="Times New Roman" w:eastAsia="方正仿宋_GBK"/>
          <w:b w:val="0"/>
          <w:sz w:val="24"/>
        </w:rPr>
        <w:t xml:space="preserve">年</w:t>
      </w:r>
      <w:r>
        <w:rPr>
          <w:rFonts w:ascii="Times New Roman" w:hAnsi="Times New Roman" w:eastAsia="方正仿宋_GBK"/>
          <w:b w:val="0"/>
          <w:sz w:val="24"/>
        </w:rPr>
        <w:t xml:space="preserve">保留</w:t>
      </w:r>
      <w:r>
        <w:rPr>
          <w:rFonts w:ascii="Times New Roman" w:hAnsi="Times New Roman" w:eastAsia="方正仿宋_GBK"/>
          <w:b w:val="0"/>
          <w:sz w:val="24"/>
        </w:rPr>
        <w:t xml:space="preserve">初始主变</w:t>
      </w:r>
      <w:r>
        <w:rPr>
          <w:rFonts w:ascii="Times New Roman" w:hAnsi="Times New Roman" w:eastAsia="方正仿宋_GBK"/>
          <w:b w:val="0"/>
          <w:sz w:val="24"/>
        </w:rPr>
        <w:t xml:space="preserve">组合</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610B8FCC">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最大正向、反向净负荷分别为31.83 MW、0.00 MW</w:t>
      </w:r>
      <w:r>
        <w:rPr>
          <w:rFonts w:ascii="Times New Roman" w:hAnsi="Times New Roman" w:eastAsia="方正仿宋_GBK"/>
          <w:b w:val="0"/>
          <w:sz w:val="24"/>
        </w:rPr>
        <w:t xml:space="preserve">，2035年分别为46.35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MVA、储能额定功率0.00 MW，弹性方案分别为</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332B8F5A">
      <w:pPr>
        <w:pStyle w:val="2"/>
        <w:keepNext/>
        <w:spacing w:before="120" w:after="80" w:line="280" w:lineRule="exact"/>
        <w:ind w:firstLine="0"/>
        <w:jc w:val="center"/>
      </w:pPr>
      <w:r>
        <w:rPr>
          <w:rFonts w:ascii="Times New Roman" w:hAnsi="Times New Roman" w:eastAsia="宋体"/>
          <w:b w:val="0"/>
          <w:sz w:val="21"/>
        </w:rPr>
        <w:t xml:space="preserve">表5-44 龙湖变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45.47</w:t>
            </w:r>
          </w:p>
        </w:tc>
      </w:tr>
    </w:tbl>
    <w:p w14:paraId="5589442E">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最大单台主变N-1后，弹性方案剩余主变容量为40.00 MVA，按0.95功率因数折算为38.00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w:t>
      </w:r>
      <w:r>
        <w:rPr>
          <w:rFonts w:ascii="Times New Roman" w:hAnsi="Times New Roman" w:eastAsia="方正仿宋_GBK"/>
          <w:b w:val="0"/>
          <w:sz w:val="24"/>
        </w:rPr>
        <w:t xml:space="preserve"> MW。全年本站故障工况中最小余量为2.69 MW。该小时按采用的固定区段预案，本站转出13.52 MW、承接2.48</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3</w:t>
      </w:r>
      <w:r>
        <w:rPr>
          <w:rFonts w:ascii="Times New Roman" w:hAnsi="Times New Roman" w:eastAsia="方正仿宋_GBK"/>
          <w:b w:val="0"/>
          <w:sz w:val="24"/>
        </w:rPr>
        <w:t xml:space="preserve">5</w:t>
      </w:r>
      <w:r>
        <w:rPr>
          <w:rFonts w:ascii="Times New Roman" w:hAnsi="Times New Roman" w:eastAsia="方正仿宋_GBK"/>
          <w:b w:val="0"/>
          <w:sz w:val="24"/>
        </w:rPr>
        <w:t xml:space="preserve">.3</w:t>
      </w:r>
      <w:r>
        <w:rPr>
          <w:rFonts w:ascii="Times New Roman" w:hAnsi="Times New Roman" w:eastAsia="方正仿宋_GBK"/>
          <w:b w:val="0"/>
          <w:sz w:val="24"/>
        </w:rPr>
        <w:t xml:space="preserve">1</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其中与惠民变之间的主要通道承担11.59 MW净功率转接，使用既有通道。</w:t>
      </w:r>
    </w:p>
    <w:p w14:paraId="009CB1F5">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53DB096A">
      <w:pPr>
        <w:pStyle w:val="7"/>
        <w:keepNext/>
        <w:numPr>
          <w:ilvl w:val="0"/>
          <w:numId w:val="0"/>
        </w:numPr>
        <w:spacing w:before="160" w:after="120" w:line="360" w:lineRule="exact"/>
        <w:ind w:firstLine="0"/>
      </w:pPr>
      <w:bookmarkStart w:id="234" w:name="庞庄变规划分析"/>
      <w:r>
        <w:rPr>
          <w:rFonts w:ascii="Times New Roman" w:hAnsi="Times New Roman" w:eastAsia="方正仿宋_GBK"/>
          <w:b/>
          <w:sz w:val="24"/>
        </w:rPr>
        <w:t>庞庄变规划分析</w:t>
      </w:r>
      <w:bookmarkEnd w:id="234"/>
    </w:p>
    <w:p w14:paraId="74B691EC">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2022—2035</w:t>
      </w:r>
      <w:r>
        <w:rPr>
          <w:rFonts w:ascii="Times New Roman" w:hAnsi="Times New Roman" w:eastAsia="方正仿宋_GBK"/>
          <w:b w:val="0"/>
          <w:sz w:val="24"/>
        </w:rPr>
        <w:t xml:space="preserve">年</w:t>
      </w:r>
      <w:r>
        <w:rPr>
          <w:rFonts w:ascii="Times New Roman" w:hAnsi="Times New Roman" w:eastAsia="方正仿宋_GBK"/>
          <w:b w:val="0"/>
          <w:sz w:val="24"/>
        </w:rPr>
        <w:t xml:space="preserve">保留</w:t>
      </w:r>
      <w:r>
        <w:rPr>
          <w:rFonts w:ascii="Times New Roman" w:hAnsi="Times New Roman" w:eastAsia="方正仿宋_GBK"/>
          <w:b w:val="0"/>
          <w:sz w:val="24"/>
        </w:rPr>
        <w:t xml:space="preserve">初始主变</w:t>
      </w:r>
      <w:r>
        <w:rPr>
          <w:rFonts w:ascii="Times New Roman" w:hAnsi="Times New Roman" w:eastAsia="方正仿宋_GBK"/>
          <w:b w:val="0"/>
          <w:sz w:val="24"/>
        </w:rPr>
        <w:t xml:space="preserve">组合</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61E5E6F2">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最大正向、反向净负荷分别为11.20 MW、7.08 MW</w:t>
      </w:r>
      <w:r>
        <w:rPr>
          <w:rFonts w:ascii="Times New Roman" w:hAnsi="Times New Roman" w:eastAsia="方正仿宋_GBK"/>
          <w:b w:val="0"/>
          <w:sz w:val="24"/>
        </w:rPr>
        <w:t xml:space="preserve">，2035年分别为16.31 MW、24.51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MVA、储能额定功率0.00 MW，弹性方案分别为</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053B01A1">
      <w:pPr>
        <w:pStyle w:val="2"/>
        <w:keepNext/>
        <w:spacing w:before="120" w:after="80" w:line="280" w:lineRule="exact"/>
        <w:ind w:firstLine="0"/>
        <w:jc w:val="center"/>
      </w:pPr>
      <w:r>
        <w:rPr>
          <w:rFonts w:ascii="Times New Roman" w:hAnsi="Times New Roman" w:eastAsia="宋体"/>
          <w:b w:val="0"/>
          <w:sz w:val="21"/>
        </w:rPr>
        <w:t xml:space="preserve">表5-45 庞庄变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21.44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35.28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33.71</w:t>
            </w:r>
          </w:p>
        </w:tc>
      </w:tr>
    </w:tbl>
    <w:p w14:paraId="101491EC">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最大单台主变N-1后，弹性方案剩余主变容量为40.00 MVA，按0.95功率因数折算为38.00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中最小余量为4.09 MW。该小时按采用的固定区段预案</w:t>
      </w:r>
      <w:r>
        <w:rPr>
          <w:rFonts w:ascii="Times New Roman" w:hAnsi="Times New Roman" w:eastAsia="方正仿宋_GBK"/>
          <w:b w:val="0"/>
          <w:sz w:val="24"/>
        </w:rPr>
        <w:t xml:space="preserve">，本站转出0.00 MW、承接</w:t>
      </w:r>
      <w:r>
        <w:rPr>
          <w:rFonts w:ascii="Times New Roman" w:hAnsi="Times New Roman" w:eastAsia="方正仿宋_GBK"/>
          <w:b w:val="0"/>
          <w:sz w:val="24"/>
        </w:rPr>
        <w:t xml:space="preserve">19</w:t>
      </w:r>
      <w:r>
        <w:rPr>
          <w:rFonts w:ascii="Times New Roman" w:hAnsi="Times New Roman" w:eastAsia="方正仿宋_GBK"/>
          <w:b w:val="0"/>
          <w:sz w:val="24"/>
        </w:rPr>
        <w:t xml:space="preserve">.</w:t>
      </w:r>
      <w:r>
        <w:rPr>
          <w:rFonts w:ascii="Times New Roman" w:hAnsi="Times New Roman" w:eastAsia="方正仿宋_GBK"/>
          <w:b w:val="0"/>
          <w:sz w:val="24"/>
        </w:rPr>
        <w:t xml:space="preserve">65</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33.</w:t>
      </w:r>
      <w:r>
        <w:rPr>
          <w:rFonts w:ascii="Times New Roman" w:hAnsi="Times New Roman" w:eastAsia="方正仿宋_GBK"/>
          <w:b w:val="0"/>
          <w:sz w:val="24"/>
        </w:rPr>
        <w:t xml:space="preserve">9</w:t>
      </w:r>
      <w:r>
        <w:rPr>
          <w:rFonts w:ascii="Times New Roman" w:hAnsi="Times New Roman" w:eastAsia="方正仿宋_GBK"/>
          <w:b w:val="0"/>
          <w:sz w:val="24"/>
        </w:rPr>
        <w:t xml:space="preserve">1</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其中与西郊变之间的主要通道承担3.93 MW净功率转接，使用已投运新增联络。</w:t>
      </w:r>
    </w:p>
    <w:p w14:paraId="5053BE4C">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7A7A5946">
      <w:pPr>
        <w:pStyle w:val="7"/>
        <w:keepNext/>
        <w:numPr>
          <w:ilvl w:val="0"/>
          <w:numId w:val="0"/>
        </w:numPr>
        <w:spacing w:before="160" w:after="120" w:line="360" w:lineRule="exact"/>
        <w:ind w:firstLine="0"/>
      </w:pPr>
      <w:bookmarkStart w:id="235" w:name="彭场变规划分析"/>
      <w:r>
        <w:rPr>
          <w:rFonts w:ascii="Times New Roman" w:hAnsi="Times New Roman" w:eastAsia="方正仿宋_GBK"/>
          <w:b/>
          <w:sz w:val="24"/>
        </w:rPr>
        <w:t>彭场变规划分析</w:t>
      </w:r>
      <w:bookmarkEnd w:id="235"/>
    </w:p>
    <w:p w14:paraId="3F7B9EFD">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50.0</w:t>
      </w:r>
      <w:r>
        <w:rPr>
          <w:rFonts w:ascii="Times New Roman" w:hAnsi="Times New Roman" w:eastAsia="方正仿宋_GBK"/>
          <w:b w:val="0"/>
          <w:sz w:val="24"/>
        </w:rPr>
        <w:t xml:space="preserve">0+5</w:t>
      </w:r>
      <w:r>
        <w:rPr>
          <w:rFonts w:ascii="Times New Roman" w:hAnsi="Times New Roman" w:eastAsia="方正仿宋_GBK"/>
          <w:b w:val="0"/>
          <w:sz w:val="24"/>
        </w:rPr>
        <w:t xml:space="preserve">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2035</w:t>
      </w:r>
      <w:r>
        <w:rPr>
          <w:rFonts w:ascii="Times New Roman" w:hAnsi="Times New Roman" w:eastAsia="方正仿宋_GBK"/>
          <w:b w:val="0"/>
          <w:sz w:val="24"/>
        </w:rPr>
        <w:t xml:space="preserve">年</w:t>
      </w:r>
      <w:r>
        <w:rPr>
          <w:rFonts w:ascii="Times New Roman" w:hAnsi="Times New Roman" w:eastAsia="方正仿宋_GBK"/>
          <w:b w:val="0"/>
          <w:sz w:val="24"/>
        </w:rPr>
        <w:t xml:space="preserve">扩建第三台50.00 MVA</w:t>
      </w:r>
      <w:r>
        <w:rPr>
          <w:rFonts w:ascii="Times New Roman" w:hAnsi="Times New Roman" w:eastAsia="方正仿宋_GBK"/>
          <w:b w:val="0"/>
          <w:sz w:val="24"/>
        </w:rPr>
        <w:t xml:space="preserve">主变</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5EE4CF74">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最大正向、反向净负荷分别为64.92 MW、0.00 MW</w:t>
      </w:r>
      <w:r>
        <w:rPr>
          <w:rFonts w:ascii="Times New Roman" w:hAnsi="Times New Roman" w:eastAsia="方正仿宋_GBK"/>
          <w:b w:val="0"/>
          <w:sz w:val="24"/>
        </w:rPr>
        <w:t xml:space="preserve">，2035年分别为94.53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15</w:t>
      </w:r>
      <w:r>
        <w:rPr>
          <w:rFonts w:ascii="Times New Roman" w:hAnsi="Times New Roman" w:eastAsia="方正仿宋_GBK"/>
          <w:b w:val="0"/>
          <w:sz w:val="24"/>
        </w:rPr>
        <w:t xml:space="preserve">0.00 MVA、储能额定功率0.00 MW，弹性方案分别为</w:t>
      </w:r>
      <w:r>
        <w:rPr>
          <w:rFonts w:ascii="Times New Roman" w:hAnsi="Times New Roman" w:eastAsia="方正仿宋_GBK"/>
          <w:b w:val="0"/>
          <w:sz w:val="24"/>
        </w:rPr>
        <w:t xml:space="preserve">15</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2678BE05">
      <w:pPr>
        <w:pStyle w:val="2"/>
        <w:keepNext/>
        <w:spacing w:before="120" w:after="80" w:line="280" w:lineRule="exact"/>
        <w:ind w:firstLine="0"/>
        <w:jc w:val="center"/>
      </w:pPr>
      <w:r>
        <w:rPr>
          <w:rFonts w:ascii="Times New Roman" w:hAnsi="Times New Roman" w:eastAsia="宋体"/>
          <w:b w:val="0"/>
          <w:sz w:val="21"/>
        </w:rPr>
        <w:t xml:space="preserve">表5-46 彭场变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81.05</w:t>
            </w:r>
          </w:p>
        </w:tc>
      </w:tr>
    </w:tbl>
    <w:p w14:paraId="45D24113">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最大单台主变N-1后，弹性方案剩余主变容量为100.00 MVA，按0.95功率因数折算为95.00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。全年本站故障工况中最小余量为0.47 MW。该小时本站未</w:t>
      </w:r>
      <w:r>
        <w:rPr>
          <w:rFonts w:ascii="Times New Roman" w:hAnsi="Times New Roman" w:eastAsia="方正仿宋_GBK"/>
          <w:b w:val="0"/>
          <w:sz w:val="24"/>
        </w:rPr>
        <w:t xml:space="preserve">转接</w:t>
      </w:r>
      <w:r>
        <w:rPr>
          <w:rFonts w:ascii="Times New Roman" w:hAnsi="Times New Roman" w:eastAsia="方正仿宋_GBK"/>
          <w:b w:val="0"/>
          <w:sz w:val="24"/>
        </w:rPr>
        <w:t xml:space="preserve">负荷，</w:t>
      </w:r>
      <w:r>
        <w:rPr>
          <w:rFonts w:ascii="Times New Roman" w:hAnsi="Times New Roman" w:eastAsia="方正仿宋_GBK"/>
          <w:b w:val="0"/>
          <w:sz w:val="24"/>
        </w:rPr>
        <w:t xml:space="preserve">净负荷为</w:t>
      </w:r>
      <w:r>
        <w:rPr>
          <w:rFonts w:ascii="Times New Roman" w:hAnsi="Times New Roman" w:eastAsia="方正仿宋_GBK"/>
          <w:b w:val="0"/>
          <w:sz w:val="24"/>
        </w:rPr>
        <w:t xml:space="preserve">94.</w:t>
      </w:r>
      <w:r>
        <w:rPr>
          <w:rFonts w:ascii="Times New Roman" w:hAnsi="Times New Roman" w:eastAsia="方正仿宋_GBK"/>
          <w:b w:val="0"/>
          <w:sz w:val="24"/>
        </w:rPr>
        <w:t xml:space="preserve">5</w:t>
      </w:r>
      <w:r>
        <w:rPr>
          <w:rFonts w:ascii="Times New Roman" w:hAnsi="Times New Roman" w:eastAsia="方正仿宋_GBK"/>
          <w:b w:val="0"/>
          <w:sz w:val="24"/>
        </w:rPr>
        <w:t xml:space="preserve">3</w:t>
      </w:r>
      <w:r>
        <w:rPr>
          <w:rFonts w:ascii="Times New Roman" w:hAnsi="Times New Roman" w:eastAsia="方正仿宋_GBK"/>
          <w:b w:val="0"/>
          <w:sz w:val="24"/>
        </w:rPr>
        <w:t xml:space="preserve"> MW。</w:t>
      </w:r>
    </w:p>
    <w:p w14:paraId="7051C8C6">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61F78468">
      <w:pPr>
        <w:pStyle w:val="7"/>
        <w:keepNext/>
        <w:numPr>
          <w:ilvl w:val="0"/>
          <w:numId w:val="0"/>
        </w:numPr>
        <w:spacing w:before="160" w:after="120" w:line="360" w:lineRule="exact"/>
        <w:ind w:firstLine="0"/>
      </w:pPr>
      <w:bookmarkStart w:id="236" w:name="庆云桥变规划分析"/>
      <w:r>
        <w:rPr>
          <w:rFonts w:ascii="Times New Roman" w:hAnsi="Times New Roman" w:eastAsia="方正仿宋_GBK"/>
          <w:b/>
          <w:sz w:val="24"/>
        </w:rPr>
        <w:t>庆云桥变规划分析</w:t>
      </w:r>
      <w:bookmarkEnd w:id="236"/>
    </w:p>
    <w:p w14:paraId="00F0D991">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2030</w:t>
      </w:r>
      <w:r>
        <w:rPr>
          <w:rFonts w:ascii="Times New Roman" w:hAnsi="Times New Roman" w:eastAsia="方正仿宋_GBK"/>
          <w:b w:val="0"/>
          <w:sz w:val="24"/>
        </w:rPr>
        <w:t xml:space="preserve">年</w:t>
      </w:r>
      <w:r>
        <w:rPr>
          <w:rFonts w:ascii="Times New Roman" w:hAnsi="Times New Roman" w:eastAsia="方正仿宋_GBK"/>
          <w:b w:val="0"/>
          <w:sz w:val="24"/>
        </w:rPr>
        <w:t xml:space="preserve">40.00 MVA更换为50.00 MVA。储能按本地支撑需求分批增加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新增额定功率为2035年1.40 MW</w:t>
      </w:r>
      <w:r>
        <w:rPr>
          <w:rFonts w:ascii="Times New Roman" w:hAnsi="Times New Roman" w:eastAsia="方正仿宋_GBK"/>
          <w:b w:val="0"/>
          <w:sz w:val="24"/>
        </w:rPr>
        <w:t xml:space="preserve">。</w:t>
      </w:r>
    </w:p>
    <w:p w14:paraId="2458BFA2">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最大正向、反向净负荷分别为65.76 MW、0.00 MW</w:t>
      </w:r>
      <w:r>
        <w:rPr>
          <w:rFonts w:ascii="Times New Roman" w:hAnsi="Times New Roman" w:eastAsia="方正仿宋_GBK"/>
          <w:b w:val="0"/>
          <w:sz w:val="24"/>
        </w:rPr>
        <w:t xml:space="preserve">，2035年分别为95.76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10</w:t>
      </w:r>
      <w:r>
        <w:rPr>
          <w:rFonts w:ascii="Times New Roman" w:hAnsi="Times New Roman" w:eastAsia="方正仿宋_GBK"/>
          <w:b w:val="0"/>
          <w:sz w:val="24"/>
        </w:rPr>
        <w:t xml:space="preserve">0.00 MVA、储能额定功率0.</w:t>
      </w:r>
      <w:r>
        <w:rPr>
          <w:rFonts w:ascii="Times New Roman" w:hAnsi="Times New Roman" w:eastAsia="方正仿宋_GBK"/>
          <w:b w:val="0"/>
          <w:sz w:val="24"/>
        </w:rPr>
        <w:t xml:space="preserve">4</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10</w:t>
      </w:r>
      <w:r>
        <w:rPr>
          <w:rFonts w:ascii="Times New Roman" w:hAnsi="Times New Roman" w:eastAsia="方正仿宋_GBK"/>
          <w:b w:val="0"/>
          <w:sz w:val="24"/>
        </w:rPr>
        <w:t xml:space="preserve">0.00 MVA和</w:t>
      </w:r>
      <w:r>
        <w:rPr>
          <w:rFonts w:ascii="Times New Roman" w:hAnsi="Times New Roman" w:eastAsia="方正仿宋_GBK"/>
          <w:b w:val="0"/>
          <w:sz w:val="24"/>
        </w:rPr>
        <w:t xml:space="preserve">1</w:t>
      </w:r>
      <w:r>
        <w:rPr>
          <w:rFonts w:ascii="Times New Roman" w:hAnsi="Times New Roman" w:eastAsia="方正仿宋_GBK"/>
          <w:b w:val="0"/>
          <w:sz w:val="24"/>
        </w:rPr>
        <w:t xml:space="preserve">.</w:t>
      </w:r>
      <w:r>
        <w:rPr>
          <w:rFonts w:ascii="Times New Roman" w:hAnsi="Times New Roman" w:eastAsia="方正仿宋_GBK"/>
          <w:b w:val="0"/>
          <w:sz w:val="24"/>
        </w:rPr>
        <w:t xml:space="preserve">4</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6BB6B232">
      <w:pPr>
        <w:pStyle w:val="2"/>
        <w:keepNext/>
        <w:spacing w:before="120" w:after="80" w:line="280" w:lineRule="exact"/>
        <w:ind w:firstLine="0"/>
        <w:jc w:val="center"/>
      </w:pPr>
      <w:r>
        <w:rPr>
          <w:rFonts w:ascii="Times New Roman" w:hAnsi="Times New Roman" w:eastAsia="宋体"/>
          <w:b w:val="0"/>
          <w:sz w:val="21"/>
        </w:rPr>
        <w:t xml:space="preserve">表5-47 庆云桥变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67.61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7.09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5.96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70.55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81.56</w:t>
            </w:r>
          </w:p>
        </w:tc>
      </w:tr>
    </w:tbl>
    <w:p w14:paraId="07869E8A">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有效支撑功率为0.38 MW、反向有效吸收功率为1.40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中最小余量为0.00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47</w:t>
      </w:r>
      <w:r>
        <w:rPr>
          <w:rFonts w:ascii="Times New Roman" w:hAnsi="Times New Roman" w:eastAsia="方正仿宋_GBK"/>
          <w:b w:val="0"/>
          <w:sz w:val="24"/>
        </w:rPr>
        <w:t xml:space="preserve">.</w:t>
      </w:r>
      <w:r>
        <w:rPr>
          <w:rFonts w:ascii="Times New Roman" w:hAnsi="Times New Roman" w:eastAsia="方正仿宋_GBK"/>
          <w:b w:val="0"/>
          <w:sz w:val="24"/>
        </w:rPr>
        <w:t xml:space="preserve">88</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4</w:t>
      </w:r>
      <w:r>
        <w:rPr>
          <w:rFonts w:ascii="Times New Roman" w:hAnsi="Times New Roman" w:eastAsia="方正仿宋_GBK"/>
          <w:b w:val="0"/>
          <w:sz w:val="24"/>
        </w:rPr>
        <w:t xml:space="preserve">7.8</w:t>
      </w:r>
      <w:r>
        <w:rPr>
          <w:rFonts w:ascii="Times New Roman" w:hAnsi="Times New Roman" w:eastAsia="方正仿宋_GBK"/>
          <w:b w:val="0"/>
          <w:sz w:val="24"/>
        </w:rPr>
        <w:t xml:space="preserve">8</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其中与彭场变之间的主要通道承担11.97 MW净功率转接，使用既有通道。</w:t>
      </w:r>
    </w:p>
    <w:p w14:paraId="10DADF07">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w:t>
      </w:r>
      <w:r>
        <w:rPr>
          <w:rFonts w:ascii="Times New Roman" w:hAnsi="Times New Roman" w:eastAsia="方正仿宋_GBK"/>
          <w:b w:val="0"/>
          <w:sz w:val="24"/>
        </w:rPr>
        <w:t xml:space="preserve">1</w:t>
      </w:r>
      <w:r>
        <w:rPr>
          <w:rFonts w:ascii="Times New Roman" w:hAnsi="Times New Roman" w:eastAsia="方正仿宋_GBK"/>
          <w:b w:val="0"/>
          <w:sz w:val="24"/>
        </w:rPr>
        <w:t xml:space="preserve">.00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18A2B38D">
      <w:pPr>
        <w:pStyle w:val="7"/>
        <w:keepNext/>
        <w:numPr>
          <w:ilvl w:val="0"/>
          <w:numId w:val="0"/>
        </w:numPr>
        <w:spacing w:before="160" w:after="120" w:line="360" w:lineRule="exact"/>
        <w:ind w:firstLine="0"/>
      </w:pPr>
      <w:bookmarkStart w:id="237" w:name="山南变规划分析"/>
      <w:r>
        <w:rPr>
          <w:rFonts w:ascii="Times New Roman" w:hAnsi="Times New Roman" w:eastAsia="方正仿宋_GBK"/>
          <w:b/>
          <w:sz w:val="24"/>
        </w:rPr>
        <w:t>山南变规划分析</w:t>
      </w:r>
      <w:bookmarkEnd w:id="237"/>
    </w:p>
    <w:p w14:paraId="7B65AF63">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2022—2035</w:t>
      </w:r>
      <w:r>
        <w:rPr>
          <w:rFonts w:ascii="Times New Roman" w:hAnsi="Times New Roman" w:eastAsia="方正仿宋_GBK"/>
          <w:b w:val="0"/>
          <w:sz w:val="24"/>
        </w:rPr>
        <w:t xml:space="preserve">年</w:t>
      </w:r>
      <w:r>
        <w:rPr>
          <w:rFonts w:ascii="Times New Roman" w:hAnsi="Times New Roman" w:eastAsia="方正仿宋_GBK"/>
          <w:b w:val="0"/>
          <w:sz w:val="24"/>
        </w:rPr>
        <w:t xml:space="preserve">保留</w:t>
      </w:r>
      <w:r>
        <w:rPr>
          <w:rFonts w:ascii="Times New Roman" w:hAnsi="Times New Roman" w:eastAsia="方正仿宋_GBK"/>
          <w:b w:val="0"/>
          <w:sz w:val="24"/>
        </w:rPr>
        <w:t xml:space="preserve">初始主变</w:t>
      </w:r>
      <w:r>
        <w:rPr>
          <w:rFonts w:ascii="Times New Roman" w:hAnsi="Times New Roman" w:eastAsia="方正仿宋_GBK"/>
          <w:b w:val="0"/>
          <w:sz w:val="24"/>
        </w:rPr>
        <w:t xml:space="preserve">组合</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0BFDDB04">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最大正向、反向净负荷分别为5.80 MW、0.00 MW</w:t>
      </w:r>
      <w:r>
        <w:rPr>
          <w:rFonts w:ascii="Times New Roman" w:hAnsi="Times New Roman" w:eastAsia="方正仿宋_GBK"/>
          <w:b w:val="0"/>
          <w:sz w:val="24"/>
        </w:rPr>
        <w:t xml:space="preserve">，2035年分别为8.45 MW、0.35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MVA、储能额定功率0.00 MW，弹性方案分别为</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26354784">
      <w:pPr>
        <w:pStyle w:val="2"/>
        <w:keepNext/>
        <w:spacing w:before="120" w:after="80" w:line="280" w:lineRule="exact"/>
        <w:ind w:firstLine="0"/>
        <w:jc w:val="center"/>
      </w:pPr>
      <w:r>
        <w:rPr>
          <w:rFonts w:ascii="Times New Roman" w:hAnsi="Times New Roman" w:eastAsia="宋体"/>
          <w:b w:val="0"/>
          <w:sz w:val="21"/>
        </w:rPr>
        <w:t xml:space="preserve">表5-48 山南变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25.37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16.29</w:t>
            </w:r>
          </w:p>
        </w:tc>
      </w:tr>
    </w:tbl>
    <w:p w14:paraId="146BCF50">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最大单台主变N-1后，弹性方案剩余主变容量为40.00 MVA，按0.95功率因数折算为38.00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中最小余量为21.71 MW。该小时按采用的固定区段预案</w:t>
      </w:r>
      <w:r>
        <w:rPr>
          <w:rFonts w:ascii="Times New Roman" w:hAnsi="Times New Roman" w:eastAsia="方正仿宋_GBK"/>
          <w:b w:val="0"/>
          <w:sz w:val="24"/>
        </w:rPr>
        <w:t xml:space="preserve">，本站转出0.00 MW、承接</w:t>
      </w:r>
      <w:r>
        <w:rPr>
          <w:rFonts w:ascii="Times New Roman" w:hAnsi="Times New Roman" w:eastAsia="方正仿宋_GBK"/>
          <w:b w:val="0"/>
          <w:sz w:val="24"/>
        </w:rPr>
        <w:t xml:space="preserve">7</w:t>
      </w:r>
      <w:r>
        <w:rPr>
          <w:rFonts w:ascii="Times New Roman" w:hAnsi="Times New Roman" w:eastAsia="方正仿宋_GBK"/>
          <w:b w:val="0"/>
          <w:sz w:val="24"/>
        </w:rPr>
        <w:t xml:space="preserve">.</w:t>
      </w:r>
      <w:r>
        <w:rPr>
          <w:rFonts w:ascii="Times New Roman" w:hAnsi="Times New Roman" w:eastAsia="方正仿宋_GBK"/>
          <w:b w:val="0"/>
          <w:sz w:val="24"/>
        </w:rPr>
        <w:t xml:space="preserve">84</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16</w:t>
      </w:r>
      <w:r>
        <w:rPr>
          <w:rFonts w:ascii="Times New Roman" w:hAnsi="Times New Roman" w:eastAsia="方正仿宋_GBK"/>
          <w:b w:val="0"/>
          <w:sz w:val="24"/>
        </w:rPr>
        <w:t xml:space="preserve">.</w:t>
      </w:r>
      <w:r>
        <w:rPr>
          <w:rFonts w:ascii="Times New Roman" w:hAnsi="Times New Roman" w:eastAsia="方正仿宋_GBK"/>
          <w:b w:val="0"/>
          <w:sz w:val="24"/>
        </w:rPr>
        <w:t xml:space="preserve">29</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其中与统一变之间的主要通道承担3.92 MW净功率转接，使用已投运新增联络。</w:t>
      </w:r>
    </w:p>
    <w:p w14:paraId="3171B6A7">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70A9F059">
      <w:pPr>
        <w:pStyle w:val="7"/>
        <w:keepNext/>
        <w:numPr>
          <w:ilvl w:val="0"/>
          <w:numId w:val="0"/>
        </w:numPr>
        <w:spacing w:before="160" w:after="120" w:line="360" w:lineRule="exact"/>
        <w:ind w:firstLine="0"/>
      </w:pPr>
      <w:bookmarkStart w:id="238" w:name="升辉变规划分析"/>
      <w:r>
        <w:rPr>
          <w:rFonts w:ascii="Times New Roman" w:hAnsi="Times New Roman" w:eastAsia="方正仿宋_GBK"/>
          <w:b/>
          <w:sz w:val="24"/>
        </w:rPr>
        <w:t>升辉变规划分析</w:t>
      </w:r>
      <w:bookmarkEnd w:id="238"/>
    </w:p>
    <w:p w14:paraId="4F085457">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主变组合为80</w:t>
      </w:r>
      <w:r>
        <w:rPr>
          <w:rFonts w:ascii="Times New Roman" w:hAnsi="Times New Roman" w:eastAsia="方正仿宋_GBK"/>
          <w:b w:val="0"/>
          <w:sz w:val="24"/>
        </w:rPr>
        <w:t xml:space="preserve">.00</w:t>
      </w:r>
      <w:r>
        <w:rPr>
          <w:rFonts w:ascii="Times New Roman" w:hAnsi="Times New Roman" w:eastAsia="方正仿宋_GBK"/>
          <w:b w:val="0"/>
          <w:sz w:val="24"/>
        </w:rPr>
        <w:t xml:space="preserve">+8</w:t>
      </w:r>
      <w:r>
        <w:rPr>
          <w:rFonts w:ascii="Times New Roman" w:hAnsi="Times New Roman" w:eastAsia="方正仿宋_GBK"/>
          <w:b w:val="0"/>
          <w:sz w:val="24"/>
        </w:rPr>
        <w:t xml:space="preserve">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2022—2035</w:t>
      </w:r>
      <w:r>
        <w:rPr>
          <w:rFonts w:ascii="Times New Roman" w:hAnsi="Times New Roman" w:eastAsia="方正仿宋_GBK"/>
          <w:b w:val="0"/>
          <w:sz w:val="24"/>
        </w:rPr>
        <w:t xml:space="preserve">年</w:t>
      </w:r>
      <w:r>
        <w:rPr>
          <w:rFonts w:ascii="Times New Roman" w:hAnsi="Times New Roman" w:eastAsia="方正仿宋_GBK"/>
          <w:b w:val="0"/>
          <w:sz w:val="24"/>
        </w:rPr>
        <w:t xml:space="preserve">保留</w:t>
      </w:r>
      <w:r>
        <w:rPr>
          <w:rFonts w:ascii="Times New Roman" w:hAnsi="Times New Roman" w:eastAsia="方正仿宋_GBK"/>
          <w:b w:val="0"/>
          <w:sz w:val="24"/>
        </w:rPr>
        <w:t xml:space="preserve">初始主变</w:t>
      </w:r>
      <w:r>
        <w:rPr>
          <w:rFonts w:ascii="Times New Roman" w:hAnsi="Times New Roman" w:eastAsia="方正仿宋_GBK"/>
          <w:b w:val="0"/>
          <w:sz w:val="24"/>
        </w:rPr>
        <w:t xml:space="preserve">组合</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30D7FC94">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最大正向、反向净负荷分别为38.35 MW、0.00 MW</w:t>
      </w:r>
      <w:r>
        <w:rPr>
          <w:rFonts w:ascii="Times New Roman" w:hAnsi="Times New Roman" w:eastAsia="方正仿宋_GBK"/>
          <w:b w:val="0"/>
          <w:sz w:val="24"/>
        </w:rPr>
        <w:t xml:space="preserve">，2035年分别为55.84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160.00 MVA、储能额定功率0.00 MW，弹性方案分别为160.00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196BDC08">
      <w:pPr>
        <w:pStyle w:val="2"/>
        <w:keepNext/>
        <w:spacing w:before="120" w:after="80" w:line="280" w:lineRule="exact"/>
        <w:ind w:firstLine="0"/>
        <w:jc w:val="center"/>
      </w:pPr>
      <w:r>
        <w:rPr>
          <w:rFonts w:ascii="Times New Roman" w:hAnsi="Times New Roman" w:eastAsia="宋体"/>
          <w:b w:val="0"/>
          <w:sz w:val="21"/>
        </w:rPr>
        <w:t xml:space="preserve">表5-49 升辉变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5.39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33.93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64.49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37.71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60.57</w:t>
            </w:r>
          </w:p>
        </w:tc>
      </w:tr>
    </w:tbl>
    <w:p w14:paraId="3AF4D185">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最大单台主变N-1后，弹性方案剩余主变容量为80.00 MVA，按0.95功率因数折算为76.00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中最小余量为1.62 MW。该小时按采用的固定区段预案</w:t>
      </w:r>
      <w:r>
        <w:rPr>
          <w:rFonts w:ascii="Times New Roman" w:hAnsi="Times New Roman" w:eastAsia="方正仿宋_GBK"/>
          <w:b w:val="0"/>
          <w:sz w:val="24"/>
        </w:rPr>
        <w:t xml:space="preserve">，本站转出0.00 MW、承接</w:t>
      </w:r>
      <w:r>
        <w:rPr>
          <w:rFonts w:ascii="Times New Roman" w:hAnsi="Times New Roman" w:eastAsia="方正仿宋_GBK"/>
          <w:b w:val="0"/>
          <w:sz w:val="24"/>
        </w:rPr>
        <w:t xml:space="preserve">19</w:t>
      </w:r>
      <w:r>
        <w:rPr>
          <w:rFonts w:ascii="Times New Roman" w:hAnsi="Times New Roman" w:eastAsia="方正仿宋_GBK"/>
          <w:b w:val="0"/>
          <w:sz w:val="24"/>
        </w:rPr>
        <w:t xml:space="preserve">.</w:t>
      </w:r>
      <w:r>
        <w:rPr>
          <w:rFonts w:ascii="Times New Roman" w:hAnsi="Times New Roman" w:eastAsia="方正仿宋_GBK"/>
          <w:b w:val="0"/>
          <w:sz w:val="24"/>
        </w:rPr>
        <w:t xml:space="preserve">23</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74.3</w:t>
      </w:r>
      <w:r>
        <w:rPr>
          <w:rFonts w:ascii="Times New Roman" w:hAnsi="Times New Roman" w:eastAsia="方正仿宋_GBK"/>
          <w:b w:val="0"/>
          <w:sz w:val="24"/>
        </w:rPr>
        <w:t xml:space="preserve">8</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其中与翟山变之间的主要通道承担3.98 MW净功率转接，使用已投运新增联络。</w:t>
      </w:r>
    </w:p>
    <w:p w14:paraId="5F065048">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1BFA9FD4">
      <w:pPr>
        <w:pStyle w:val="7"/>
        <w:keepNext/>
        <w:numPr>
          <w:ilvl w:val="0"/>
          <w:numId w:val="0"/>
        </w:numPr>
        <w:spacing w:before="160" w:after="120" w:line="360" w:lineRule="exact"/>
        <w:ind w:firstLine="0"/>
      </w:pPr>
      <w:bookmarkStart w:id="239" w:name="石桥变规划分析"/>
      <w:r>
        <w:rPr>
          <w:rFonts w:ascii="Times New Roman" w:hAnsi="Times New Roman" w:eastAsia="方正仿宋_GBK"/>
          <w:b/>
          <w:sz w:val="24"/>
        </w:rPr>
        <w:t>石桥变规划分析</w:t>
      </w:r>
      <w:bookmarkEnd w:id="239"/>
    </w:p>
    <w:p w14:paraId="7EDD5B2F">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2021年主变组合为80.00+80.00 MVA。弹性方案2022—2035年保留</w:t>
      </w:r>
      <w:r>
        <w:rPr>
          <w:rFonts w:ascii="Times New Roman" w:hAnsi="Times New Roman" w:eastAsia="方正仿宋_GBK"/>
          <w:b w:val="0"/>
          <w:sz w:val="24"/>
        </w:rPr>
        <w:t xml:space="preserve">初始主变组合</w:t>
      </w:r>
      <w:r>
        <w:rPr>
          <w:rFonts w:ascii="Times New Roman" w:hAnsi="Times New Roman" w:eastAsia="方正仿宋_GBK"/>
          <w:b w:val="0"/>
          <w:sz w:val="24"/>
        </w:rPr>
        <w:t xml:space="preserve">。储能按本地支撑需求分批增加，新增额定功率</w:t>
      </w:r>
      <w:r>
        <w:rPr>
          <w:rFonts w:ascii="Times New Roman" w:hAnsi="Times New Roman" w:eastAsia="方正仿宋_GBK"/>
          <w:b w:val="0"/>
          <w:sz w:val="24"/>
        </w:rPr>
        <w:t xml:space="preserve">为</w:t>
      </w: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2年0.9</w:t>
      </w:r>
      <w:r>
        <w:rPr>
          <w:rFonts w:ascii="Times New Roman" w:hAnsi="Times New Roman" w:eastAsia="方正仿宋_GBK"/>
          <w:b w:val="0"/>
          <w:sz w:val="24"/>
        </w:rPr>
        <w:t xml:space="preserve">0 M</w:t>
      </w:r>
      <w:r>
        <w:rPr>
          <w:rFonts w:ascii="Times New Roman" w:hAnsi="Times New Roman" w:eastAsia="方正仿宋_GBK"/>
          <w:b w:val="0"/>
          <w:sz w:val="24"/>
        </w:rPr>
        <w:t xml:space="preserve">W</w:t>
      </w:r>
      <w:r>
        <w:rPr>
          <w:rFonts w:ascii="Times New Roman" w:hAnsi="Times New Roman" w:eastAsia="方正仿宋_GBK"/>
          <w:b w:val="0"/>
          <w:sz w:val="24"/>
        </w:rPr>
        <w:t xml:space="preserve">。</w:t>
      </w:r>
    </w:p>
    <w:p w14:paraId="37CA03E8">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最大正向、反向净负荷分别为110.02 MW、10.95 MW</w:t>
      </w:r>
      <w:r>
        <w:rPr>
          <w:rFonts w:ascii="Times New Roman" w:hAnsi="Times New Roman" w:eastAsia="方正仿宋_GBK"/>
          <w:b w:val="0"/>
          <w:sz w:val="24"/>
        </w:rPr>
        <w:t xml:space="preserve">，2035年分别为160.20 MW、87.97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60</w:t>
      </w:r>
      <w:r>
        <w:rPr>
          <w:rFonts w:ascii="Times New Roman" w:hAnsi="Times New Roman" w:eastAsia="方正仿宋_GBK"/>
          <w:b w:val="0"/>
          <w:sz w:val="24"/>
        </w:rPr>
        <w:t xml:space="preserve">.00 MVA、储能额定功率0.00 MW，弹性方案分别为1</w:t>
      </w:r>
      <w:r>
        <w:rPr>
          <w:rFonts w:ascii="Times New Roman" w:hAnsi="Times New Roman" w:eastAsia="方正仿宋_GBK"/>
          <w:b w:val="0"/>
          <w:sz w:val="24"/>
        </w:rPr>
        <w:t xml:space="preserve">60</w:t>
      </w:r>
      <w:r>
        <w:rPr>
          <w:rFonts w:ascii="Times New Roman" w:hAnsi="Times New Roman" w:eastAsia="方正仿宋_GBK"/>
          <w:b w:val="0"/>
          <w:sz w:val="24"/>
        </w:rPr>
        <w:t xml:space="preserve">.00 MVA和0.</w:t>
      </w:r>
      <w:r>
        <w:rPr>
          <w:rFonts w:ascii="Times New Roman" w:hAnsi="Times New Roman" w:eastAsia="方正仿宋_GBK"/>
          <w:b w:val="0"/>
          <w:sz w:val="24"/>
        </w:rPr>
        <w:t xml:space="preserve">9</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279E51C8">
      <w:pPr>
        <w:pStyle w:val="2"/>
        <w:keepNext/>
        <w:spacing w:before="120" w:after="80" w:line="280" w:lineRule="exact"/>
        <w:ind w:firstLine="0"/>
        <w:jc w:val="center"/>
      </w:pPr>
      <w:r>
        <w:rPr>
          <w:rFonts w:ascii="Times New Roman" w:hAnsi="Times New Roman" w:eastAsia="宋体"/>
          <w:b w:val="0"/>
          <w:sz w:val="21"/>
        </w:rPr>
        <w:t xml:space="preserve">表5-50 石桥变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0.66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142.58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141.41</w:t>
            </w:r>
          </w:p>
        </w:tc>
      </w:tr>
    </w:tbl>
    <w:p w14:paraId="2B996F56">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35年最大单台主变N-1后，弹性方案剩余主变容量为80.00 MVA，按0.95功率因数折算为76.00 MW。储能正向有效支撑功率为0.</w:t>
      </w:r>
      <w:r>
        <w:rPr>
          <w:rFonts w:ascii="Times New Roman" w:hAnsi="Times New Roman" w:eastAsia="方正仿宋_GBK"/>
          <w:b w:val="0"/>
          <w:sz w:val="24"/>
        </w:rPr>
        <w:t xml:space="preserve">25</w:t>
      </w:r>
      <w:r>
        <w:rPr>
          <w:rFonts w:ascii="Times New Roman" w:hAnsi="Times New Roman" w:eastAsia="方正仿宋_GBK"/>
          <w:b w:val="0"/>
          <w:sz w:val="24"/>
        </w:rPr>
        <w:t xml:space="preserve"> MW、反向有效吸收功率为0.90 MW。全</w:t>
      </w:r>
      <w:r>
        <w:rPr>
          <w:rFonts w:ascii="Times New Roman" w:hAnsi="Times New Roman" w:eastAsia="方正仿宋_GBK"/>
          <w:b w:val="0"/>
          <w:sz w:val="24"/>
        </w:rPr>
        <w:t xml:space="preserve">年</w:t>
      </w:r>
      <w:r>
        <w:rPr>
          <w:rFonts w:ascii="Times New Roman" w:hAnsi="Times New Roman" w:eastAsia="方正仿宋_GBK"/>
          <w:b w:val="0"/>
          <w:sz w:val="24"/>
        </w:rPr>
        <w:t xml:space="preserve">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中最小余量为0.23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84</w:t>
      </w:r>
      <w:r>
        <w:rPr>
          <w:rFonts w:ascii="Times New Roman" w:hAnsi="Times New Roman" w:eastAsia="方正仿宋_GBK"/>
          <w:b w:val="0"/>
          <w:sz w:val="24"/>
        </w:rPr>
        <w:t xml:space="preserve">.</w:t>
      </w:r>
      <w:r>
        <w:rPr>
          <w:rFonts w:ascii="Times New Roman" w:hAnsi="Times New Roman" w:eastAsia="方正仿宋_GBK"/>
          <w:b w:val="0"/>
          <w:sz w:val="24"/>
        </w:rPr>
        <w:t xml:space="preserve">93</w:t>
      </w:r>
      <w:r>
        <w:rPr>
          <w:rFonts w:ascii="Times New Roman" w:hAnsi="Times New Roman" w:eastAsia="方正仿宋_GBK"/>
          <w:b w:val="0"/>
          <w:sz w:val="24"/>
        </w:rPr>
        <w:t xml:space="preserve"> MW、承接0.</w:t>
      </w:r>
      <w:r>
        <w:rPr>
          <w:rFonts w:ascii="Times New Roman" w:hAnsi="Times New Roman" w:eastAsia="方正仿宋_GBK"/>
          <w:b w:val="0"/>
          <w:sz w:val="24"/>
        </w:rPr>
        <w:t xml:space="preserve">74</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76.</w:t>
      </w:r>
      <w:r>
        <w:rPr>
          <w:rFonts w:ascii="Times New Roman" w:hAnsi="Times New Roman" w:eastAsia="方正仿宋_GBK"/>
          <w:b w:val="0"/>
          <w:sz w:val="24"/>
        </w:rPr>
        <w:t xml:space="preserve">0</w:t>
      </w:r>
      <w:r>
        <w:rPr>
          <w:rFonts w:ascii="Times New Roman" w:hAnsi="Times New Roman" w:eastAsia="方正仿宋_GBK"/>
          <w:b w:val="0"/>
          <w:sz w:val="24"/>
        </w:rPr>
        <w:t xml:space="preserve">1 MW。</w:t>
      </w:r>
      <w:r>
        <w:rPr>
          <w:rFonts w:ascii="Times New Roman" w:hAnsi="Times New Roman" w:eastAsia="方正仿宋_GBK"/>
          <w:b w:val="0"/>
          <w:sz w:val="24"/>
        </w:rPr>
        <w:t xml:space="preserve">其中与奎山变之间的主要通道承担15.44 MW净功率转接，使用既有通道。</w:t>
      </w:r>
    </w:p>
    <w:p w14:paraId="6714821D">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w:t>
      </w:r>
      <w:r>
        <w:rPr>
          <w:rFonts w:ascii="Times New Roman" w:hAnsi="Times New Roman" w:eastAsia="方正仿宋_GBK"/>
          <w:b w:val="0"/>
          <w:sz w:val="24"/>
        </w:rPr>
        <w:t xml:space="preserve">0</w:t>
      </w:r>
      <w:r>
        <w:rPr>
          <w:rFonts w:ascii="Times New Roman" w:hAnsi="Times New Roman" w:eastAsia="方正仿宋_GBK"/>
          <w:b w:val="0"/>
          <w:sz w:val="24"/>
        </w:rPr>
        <w:t xml:space="preserve">.9</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60704513">
      <w:pPr>
        <w:pStyle w:val="7"/>
        <w:keepNext/>
        <w:numPr>
          <w:ilvl w:val="0"/>
          <w:numId w:val="0"/>
        </w:numPr>
        <w:spacing w:before="160" w:after="120" w:line="360" w:lineRule="exact"/>
        <w:ind w:firstLine="0"/>
      </w:pPr>
      <w:bookmarkStart w:id="240" w:name="拾屯变规划分析"/>
      <w:r>
        <w:rPr>
          <w:rFonts w:ascii="Times New Roman" w:hAnsi="Times New Roman" w:eastAsia="方正仿宋_GBK"/>
          <w:b/>
          <w:sz w:val="24"/>
        </w:rPr>
        <w:t>拾屯变规划分析</w:t>
      </w:r>
      <w:bookmarkEnd w:id="240"/>
    </w:p>
    <w:p w14:paraId="2B0EF70E">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2029</w:t>
      </w:r>
      <w:r>
        <w:rPr>
          <w:rFonts w:ascii="Times New Roman" w:hAnsi="Times New Roman" w:eastAsia="方正仿宋_GBK"/>
          <w:b w:val="0"/>
          <w:sz w:val="24"/>
        </w:rPr>
        <w:t xml:space="preserve">年</w:t>
      </w:r>
      <w:r>
        <w:rPr>
          <w:rFonts w:ascii="Times New Roman" w:hAnsi="Times New Roman" w:eastAsia="方正仿宋_GBK"/>
          <w:b w:val="0"/>
          <w:sz w:val="24"/>
        </w:rPr>
        <w:t xml:space="preserve">40.00 MVA更换为50.00 MVA；2032年50.00 MVA更换为63.00 MVA。储能按本地支撑需求分批增加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新增额定功率为2035年0.20 MW</w:t>
      </w:r>
      <w:r>
        <w:rPr>
          <w:rFonts w:ascii="Times New Roman" w:hAnsi="Times New Roman" w:eastAsia="方正仿宋_GBK"/>
          <w:b w:val="0"/>
          <w:sz w:val="24"/>
        </w:rPr>
        <w:t xml:space="preserve">。</w:t>
      </w:r>
    </w:p>
    <w:p w14:paraId="069E4306">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最大正向、反向净负荷分别为73.47 MW、0.00 MW</w:t>
      </w:r>
      <w:r>
        <w:rPr>
          <w:rFonts w:ascii="Times New Roman" w:hAnsi="Times New Roman" w:eastAsia="方正仿宋_GBK"/>
          <w:b w:val="0"/>
          <w:sz w:val="24"/>
        </w:rPr>
        <w:t xml:space="preserve">，2035年分别为106.98 MW、20.31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15</w:t>
      </w:r>
      <w:r>
        <w:rPr>
          <w:rFonts w:ascii="Times New Roman" w:hAnsi="Times New Roman" w:eastAsia="方正仿宋_GBK"/>
          <w:b w:val="0"/>
          <w:sz w:val="24"/>
        </w:rPr>
        <w:t xml:space="preserve">0.00 MVA、储能额定功率</w:t>
      </w:r>
      <w:r>
        <w:rPr>
          <w:rFonts w:ascii="Times New Roman" w:hAnsi="Times New Roman" w:eastAsia="方正仿宋_GBK"/>
          <w:b w:val="0"/>
          <w:sz w:val="24"/>
        </w:rPr>
        <w:t xml:space="preserve">2</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0 MW，弹性方案分别为</w:t>
      </w:r>
      <w:r>
        <w:rPr>
          <w:rFonts w:ascii="Times New Roman" w:hAnsi="Times New Roman" w:eastAsia="方正仿宋_GBK"/>
          <w:b w:val="0"/>
          <w:sz w:val="24"/>
        </w:rPr>
        <w:t xml:space="preserve">113</w:t>
      </w:r>
      <w:r>
        <w:rPr>
          <w:rFonts w:ascii="Times New Roman" w:hAnsi="Times New Roman" w:eastAsia="方正仿宋_GBK"/>
          <w:b w:val="0"/>
          <w:sz w:val="24"/>
        </w:rPr>
        <w:t xml:space="preserve">.00 MVA和0.</w:t>
      </w:r>
      <w:r>
        <w:rPr>
          <w:rFonts w:ascii="Times New Roman" w:hAnsi="Times New Roman" w:eastAsia="方正仿宋_GBK"/>
          <w:b w:val="0"/>
          <w:sz w:val="24"/>
        </w:rPr>
        <w:t xml:space="preserve">2</w:t>
      </w:r>
      <w:r>
        <w:rPr>
          <w:rFonts w:ascii="Times New Roman" w:hAnsi="Times New Roman" w:eastAsia="方正仿宋_GBK"/>
          <w:b w:val="0"/>
          <w:sz w:val="24"/>
        </w:rPr>
        <w:t xml:space="preserve">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较刚性减少37.00 MVA</w:t>
      </w:r>
      <w:r>
        <w:rPr>
          <w:rFonts w:ascii="Times New Roman" w:hAnsi="Times New Roman" w:eastAsia="方正仿宋_GBK"/>
          <w:b w:val="0"/>
          <w:sz w:val="24"/>
        </w:rPr>
        <w:t xml:space="preserve">。</w:t>
      </w:r>
    </w:p>
    <w:p w14:paraId="2206A419">
      <w:pPr>
        <w:pStyle w:val="2"/>
        <w:keepNext/>
        <w:spacing w:before="120" w:after="80" w:line="280" w:lineRule="exact"/>
        <w:ind w:firstLine="0"/>
        <w:jc w:val="center"/>
      </w:pPr>
      <w:r>
        <w:rPr>
          <w:rFonts w:ascii="Times New Roman" w:hAnsi="Times New Roman" w:eastAsia="宋体"/>
          <w:b w:val="0"/>
          <w:sz w:val="21"/>
        </w:rPr>
        <w:t xml:space="preserve">表5-51 拾屯变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115.26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87.21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105.22</w:t>
            </w:r>
          </w:p>
        </w:tc>
      </w:tr>
    </w:tbl>
    <w:p w14:paraId="5C591A1E">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有效支撑功率为0.05 MW、反向有效吸收功率为0.20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中最小余量为0.01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59</w:t>
      </w:r>
      <w:r>
        <w:rPr>
          <w:rFonts w:ascii="Times New Roman" w:hAnsi="Times New Roman" w:eastAsia="方正仿宋_GBK"/>
          <w:b w:val="0"/>
          <w:sz w:val="24"/>
        </w:rPr>
        <w:t xml:space="preserve">.</w:t>
      </w:r>
      <w:r>
        <w:rPr>
          <w:rFonts w:ascii="Times New Roman" w:hAnsi="Times New Roman" w:eastAsia="方正仿宋_GBK"/>
          <w:b w:val="0"/>
          <w:sz w:val="24"/>
        </w:rPr>
        <w:t xml:space="preserve">43</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4</w:t>
      </w:r>
      <w:r>
        <w:rPr>
          <w:rFonts w:ascii="Times New Roman" w:hAnsi="Times New Roman" w:eastAsia="方正仿宋_GBK"/>
          <w:b w:val="0"/>
          <w:sz w:val="24"/>
        </w:rPr>
        <w:t xml:space="preserve">7</w:t>
      </w:r>
      <w:r>
        <w:rPr>
          <w:rFonts w:ascii="Times New Roman" w:hAnsi="Times New Roman" w:eastAsia="方正仿宋_GBK"/>
          <w:b w:val="0"/>
          <w:sz w:val="24"/>
        </w:rPr>
        <w:t xml:space="preserve">.</w:t>
      </w:r>
      <w:r>
        <w:rPr>
          <w:rFonts w:ascii="Times New Roman" w:hAnsi="Times New Roman" w:eastAsia="方正仿宋_GBK"/>
          <w:b w:val="0"/>
          <w:sz w:val="24"/>
        </w:rPr>
        <w:t xml:space="preserve">55</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其中与刘湾变之间的主要通道承担13.87 MW净功率转接，使用既有通道。</w:t>
      </w:r>
    </w:p>
    <w:p w14:paraId="3ADBEAFA">
      <w:pPr>
        <w:pStyle w:val="2"/>
        <w:widowControl/>
        <w:spacing w:before="0" w:after="0" w:line="348" w:lineRule="exact"/>
        <w:ind w:firstLine="480"/>
        <w:jc w:val="both"/>
      </w:pPr>
      <w:r>
        <w:rPr>
          <w:rFonts w:ascii="Times New Roman" w:hAnsi="Times New Roman" w:eastAsia="方正仿宋_GBK"/>
          <w:b w:val="0"/>
          <w:sz w:val="24"/>
        </w:rPr>
        <w:t xml:space="preserve">刚性方案在本站采用第三</w:t>
      </w:r>
      <w:r>
        <w:rPr>
          <w:rFonts w:ascii="Times New Roman" w:hAnsi="Times New Roman" w:eastAsia="方正仿宋_GBK"/>
          <w:b w:val="0"/>
          <w:sz w:val="24"/>
        </w:rPr>
        <w:t xml:space="preserve">台主变</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弹性方案保留两台结构，</w:t>
      </w:r>
      <w:r>
        <w:rPr>
          <w:rFonts w:ascii="Times New Roman" w:hAnsi="Times New Roman" w:eastAsia="方正仿宋_GBK"/>
          <w:b w:val="0"/>
          <w:sz w:val="24"/>
        </w:rPr>
        <w:t xml:space="preserve">容量</w:t>
      </w:r>
      <w:r>
        <w:rPr>
          <w:rFonts w:ascii="Times New Roman" w:hAnsi="Times New Roman" w:eastAsia="方正仿宋_GBK"/>
          <w:b w:val="0"/>
          <w:sz w:val="24"/>
        </w:rPr>
        <w:t xml:space="preserve">与配储差异需结合可用通道及邻</w:t>
      </w:r>
      <w:r>
        <w:rPr>
          <w:rFonts w:ascii="Times New Roman" w:hAnsi="Times New Roman" w:eastAsia="方正仿宋_GBK"/>
          <w:b w:val="0"/>
          <w:sz w:val="24"/>
        </w:rPr>
        <w:t xml:space="preserve">站</w:t>
      </w:r>
      <w:r>
        <w:rPr>
          <w:rFonts w:ascii="Times New Roman" w:hAnsi="Times New Roman" w:eastAsia="方正仿宋_GBK"/>
          <w:b w:val="0"/>
          <w:sz w:val="24"/>
        </w:rPr>
        <w:t xml:space="preserve">支</w:t>
      </w:r>
      <w:r>
        <w:rPr>
          <w:rFonts w:ascii="Times New Roman" w:hAnsi="Times New Roman" w:eastAsia="方正仿宋_GBK"/>
          <w:b w:val="0"/>
          <w:sz w:val="24"/>
        </w:rPr>
        <w:t xml:space="preserve">援判断</w:t>
      </w:r>
      <w:r>
        <w:rPr>
          <w:rFonts w:ascii="Times New Roman" w:hAnsi="Times New Roman" w:eastAsia="方正仿宋_GBK"/>
          <w:b w:val="0"/>
          <w:sz w:val="24"/>
        </w:rPr>
        <w:t xml:space="preserve">。</w:t>
      </w:r>
    </w:p>
    <w:p w14:paraId="1E15503B">
      <w:pPr>
        <w:pStyle w:val="7"/>
        <w:keepNext/>
        <w:numPr>
          <w:ilvl w:val="0"/>
          <w:numId w:val="0"/>
        </w:numPr>
        <w:spacing w:before="160" w:after="120" w:line="360" w:lineRule="exact"/>
        <w:ind w:firstLine="0"/>
      </w:pPr>
      <w:bookmarkStart w:id="241" w:name="统一变规划分析"/>
      <w:r>
        <w:rPr>
          <w:rFonts w:ascii="Times New Roman" w:hAnsi="Times New Roman" w:eastAsia="方正仿宋_GBK"/>
          <w:b/>
          <w:sz w:val="24"/>
        </w:rPr>
        <w:t>统一变规划分析</w:t>
      </w:r>
      <w:bookmarkEnd w:id="241"/>
    </w:p>
    <w:p w14:paraId="7F99FFA0">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2023</w:t>
      </w:r>
      <w:r>
        <w:rPr>
          <w:rFonts w:ascii="Times New Roman" w:hAnsi="Times New Roman" w:eastAsia="方正仿宋_GBK"/>
          <w:b w:val="0"/>
          <w:sz w:val="24"/>
        </w:rPr>
        <w:t xml:space="preserve">年</w:t>
      </w:r>
      <w:r>
        <w:rPr>
          <w:rFonts w:ascii="Times New Roman" w:hAnsi="Times New Roman" w:eastAsia="方正仿宋_GBK"/>
          <w:b w:val="0"/>
          <w:sz w:val="24"/>
        </w:rPr>
        <w:t xml:space="preserve">40.00 MVA更换为50.00 MVA；2027年50.00 MVA更换为63.00 MVA。储能按本地支撑需求分批增加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新增额定功率为2031年3.10 MW、2032年2.90 MW</w:t>
      </w:r>
      <w:r>
        <w:rPr>
          <w:rFonts w:ascii="Times New Roman" w:hAnsi="Times New Roman" w:eastAsia="方正仿宋_GBK"/>
          <w:b w:val="0"/>
          <w:sz w:val="24"/>
        </w:rPr>
        <w:t xml:space="preserve">。</w:t>
      </w:r>
    </w:p>
    <w:p w14:paraId="46AAD0B8">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最大正向、反向净负荷分别为92.94 MW、0.00 MW</w:t>
      </w:r>
      <w:r>
        <w:rPr>
          <w:rFonts w:ascii="Times New Roman" w:hAnsi="Times New Roman" w:eastAsia="方正仿宋_GBK"/>
          <w:b w:val="0"/>
          <w:sz w:val="24"/>
        </w:rPr>
        <w:t xml:space="preserve">，2035年分别为135.34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13</w:t>
      </w:r>
      <w:r>
        <w:rPr>
          <w:rFonts w:ascii="Times New Roman" w:hAnsi="Times New Roman" w:eastAsia="方正仿宋_GBK"/>
          <w:b w:val="0"/>
          <w:sz w:val="24"/>
        </w:rPr>
        <w:t xml:space="preserve">0.00 MVA、储能额定功率0.00 MW，弹性方案分别为</w:t>
      </w:r>
      <w:r>
        <w:rPr>
          <w:rFonts w:ascii="Times New Roman" w:hAnsi="Times New Roman" w:eastAsia="方正仿宋_GBK"/>
          <w:b w:val="0"/>
          <w:sz w:val="24"/>
        </w:rPr>
        <w:t xml:space="preserve">113</w:t>
      </w:r>
      <w:r>
        <w:rPr>
          <w:rFonts w:ascii="Times New Roman" w:hAnsi="Times New Roman" w:eastAsia="方正仿宋_GBK"/>
          <w:b w:val="0"/>
          <w:sz w:val="24"/>
        </w:rPr>
        <w:t xml:space="preserve">.00 MVA和</w:t>
      </w:r>
      <w:r>
        <w:rPr>
          <w:rFonts w:ascii="Times New Roman" w:hAnsi="Times New Roman" w:eastAsia="方正仿宋_GBK"/>
          <w:b w:val="0"/>
          <w:sz w:val="24"/>
        </w:rPr>
        <w:t xml:space="preserve">6</w:t>
      </w:r>
      <w:r>
        <w:rPr>
          <w:rFonts w:ascii="Times New Roman" w:hAnsi="Times New Roman" w:eastAsia="方正仿宋_GBK"/>
          <w:b w:val="0"/>
          <w:sz w:val="24"/>
        </w:rPr>
        <w:t xml:space="preserve">.00 MW</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方案本站主变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较刚性减少17.00 MVA</w:t>
      </w:r>
      <w:r>
        <w:rPr>
          <w:rFonts w:ascii="Times New Roman" w:hAnsi="Times New Roman" w:eastAsia="方正仿宋_GBK"/>
          <w:b w:val="0"/>
          <w:sz w:val="24"/>
        </w:rPr>
        <w:t xml:space="preserve">。</w:t>
      </w:r>
    </w:p>
    <w:p w14:paraId="19E7D0EB">
      <w:pPr>
        <w:pStyle w:val="2"/>
        <w:keepNext/>
        <w:spacing w:before="120" w:after="80" w:line="280" w:lineRule="exact"/>
        <w:ind w:firstLine="0"/>
        <w:jc w:val="center"/>
      </w:pPr>
      <w:r>
        <w:rPr>
          <w:rFonts w:ascii="Times New Roman" w:hAnsi="Times New Roman" w:eastAsia="宋体"/>
          <w:b w:val="0"/>
          <w:sz w:val="21"/>
        </w:rPr>
        <w:t xml:space="preserve">表5-52 统一变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27.45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88.86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27.45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105.87</w:t>
            </w:r>
          </w:p>
        </w:tc>
      </w:tr>
    </w:tbl>
    <w:p w14:paraId="704BC2EE">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有效支撑功率为1.63 MW、反向有效吸收功率为6.00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中最小余量为1.37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87</w:t>
      </w:r>
      <w:r>
        <w:rPr>
          <w:rFonts w:ascii="Times New Roman" w:hAnsi="Times New Roman" w:eastAsia="方正仿宋_GBK"/>
          <w:b w:val="0"/>
          <w:sz w:val="24"/>
        </w:rPr>
        <w:t xml:space="preserve">.5</w:t>
      </w:r>
      <w:r>
        <w:rPr>
          <w:rFonts w:ascii="Times New Roman" w:hAnsi="Times New Roman" w:eastAsia="方正仿宋_GBK"/>
          <w:b w:val="0"/>
          <w:sz w:val="24"/>
        </w:rPr>
        <w:t xml:space="preserve">7</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4</w:t>
      </w:r>
      <w:r>
        <w:rPr>
          <w:rFonts w:ascii="Times New Roman" w:hAnsi="Times New Roman" w:eastAsia="方正仿宋_GBK"/>
          <w:b w:val="0"/>
          <w:sz w:val="24"/>
        </w:rPr>
        <w:t xml:space="preserve">7</w:t>
      </w:r>
      <w:r>
        <w:rPr>
          <w:rFonts w:ascii="Times New Roman" w:hAnsi="Times New Roman" w:eastAsia="方正仿宋_GBK"/>
          <w:b w:val="0"/>
          <w:sz w:val="24"/>
        </w:rPr>
        <w:t xml:space="preserve">.</w:t>
      </w:r>
      <w:r>
        <w:rPr>
          <w:rFonts w:ascii="Times New Roman" w:hAnsi="Times New Roman" w:eastAsia="方正仿宋_GBK"/>
          <w:b w:val="0"/>
          <w:sz w:val="24"/>
        </w:rPr>
        <w:t xml:space="preserve">77</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其中与翟山变之间的主要通道承担15.92 MW净功率转接，使用既有通道。</w:t>
      </w:r>
    </w:p>
    <w:p w14:paraId="7DBD0223">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储能额定功率相差6</w:t>
      </w:r>
      <w:r>
        <w:rPr>
          <w:rFonts w:ascii="Times New Roman" w:hAnsi="Times New Roman" w:eastAsia="方正仿宋_GBK"/>
          <w:b w:val="0"/>
          <w:sz w:val="24"/>
        </w:rPr>
        <w:t xml:space="preserve">.00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73B50CF8">
      <w:pPr>
        <w:pStyle w:val="7"/>
        <w:keepNext/>
        <w:numPr>
          <w:ilvl w:val="0"/>
          <w:numId w:val="0"/>
        </w:numPr>
        <w:spacing w:before="160" w:after="120" w:line="360" w:lineRule="exact"/>
        <w:ind w:firstLine="0"/>
      </w:pPr>
      <w:bookmarkStart w:id="242" w:name="吴庄变规划分析"/>
      <w:r>
        <w:rPr>
          <w:rFonts w:ascii="Times New Roman" w:hAnsi="Times New Roman" w:eastAsia="方正仿宋_GBK"/>
          <w:b/>
          <w:sz w:val="24"/>
        </w:rPr>
        <w:t>吴庄变规划分析</w:t>
      </w:r>
      <w:bookmarkEnd w:id="242"/>
    </w:p>
    <w:p w14:paraId="3EAC4392">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w:t>
      </w:r>
      <w:r>
        <w:rPr>
          <w:rFonts w:ascii="Times New Roman" w:hAnsi="Times New Roman" w:eastAsia="方正仿宋_GBK"/>
          <w:b w:val="0"/>
          <w:sz w:val="24"/>
        </w:rPr>
        <w:t xml:space="preserve">63.0</w:t>
      </w:r>
      <w:r>
        <w:rPr>
          <w:rFonts w:ascii="Times New Roman" w:hAnsi="Times New Roman" w:eastAsia="方正仿宋_GBK"/>
          <w:b w:val="0"/>
          <w:sz w:val="24"/>
        </w:rPr>
        <w:t xml:space="preserve">0+8</w:t>
      </w:r>
      <w:r>
        <w:rPr>
          <w:rFonts w:ascii="Times New Roman" w:hAnsi="Times New Roman" w:eastAsia="方正仿宋_GBK"/>
          <w:b w:val="0"/>
          <w:sz w:val="24"/>
        </w:rPr>
        <w:t xml:space="preserve">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2030</w:t>
      </w:r>
      <w:r>
        <w:rPr>
          <w:rFonts w:ascii="Times New Roman" w:hAnsi="Times New Roman" w:eastAsia="方正仿宋_GBK"/>
          <w:b w:val="0"/>
          <w:sz w:val="24"/>
        </w:rPr>
        <w:t xml:space="preserve">年</w:t>
      </w:r>
      <w:r>
        <w:rPr>
          <w:rFonts w:ascii="Times New Roman" w:hAnsi="Times New Roman" w:eastAsia="方正仿宋_GBK"/>
          <w:b w:val="0"/>
          <w:sz w:val="24"/>
        </w:rPr>
        <w:t xml:space="preserve">63.00 MVA更换为80.00 MVA。储能按本地支撑需求分批增加</w:t>
      </w:r>
      <w:r>
        <w:rPr>
          <w:rFonts w:ascii="Times New Roman" w:hAnsi="Times New Roman" w:eastAsia="方正仿宋_GBK"/>
          <w:b w:val="0"/>
          <w:sz w:val="24"/>
        </w:rPr>
        <w:t xml:space="preserve">，</w:t>
      </w:r>
      <w:r>
        <w:rPr>
          <w:rFonts w:ascii="Times New Roman" w:hAnsi="Times New Roman" w:eastAsia="方正仿宋_GBK"/>
          <w:b w:val="0"/>
          <w:sz w:val="24"/>
        </w:rPr>
        <w:t xml:space="preserve">新增额定功率为2034年0.90 MW、2035年2.70 MW</w:t>
      </w:r>
      <w:r>
        <w:rPr>
          <w:rFonts w:ascii="Times New Roman" w:hAnsi="Times New Roman" w:eastAsia="方正仿宋_GBK"/>
          <w:b w:val="0"/>
          <w:sz w:val="24"/>
        </w:rPr>
        <w:t xml:space="preserve">。</w:t>
      </w:r>
    </w:p>
    <w:p w14:paraId="499F6F6F">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最大正向、反向净负荷分别为103.02 MW、0.00 MW</w:t>
      </w:r>
      <w:r>
        <w:rPr>
          <w:rFonts w:ascii="Times New Roman" w:hAnsi="Times New Roman" w:eastAsia="方正仿宋_GBK"/>
          <w:b w:val="0"/>
          <w:sz w:val="24"/>
        </w:rPr>
        <w:t xml:space="preserve">，2035年分别为150.01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6</w:t>
      </w:r>
      <w:r>
        <w:rPr>
          <w:rFonts w:ascii="Times New Roman" w:hAnsi="Times New Roman" w:eastAsia="方正仿宋_GBK"/>
          <w:b w:val="0"/>
          <w:sz w:val="24"/>
        </w:rPr>
        <w:t xml:space="preserve">0.00 MVA、储能额定功率0.00 MW，弹性方案分别为1</w:t>
      </w:r>
      <w:r>
        <w:rPr>
          <w:rFonts w:ascii="Times New Roman" w:hAnsi="Times New Roman" w:eastAsia="方正仿宋_GBK"/>
          <w:b w:val="0"/>
          <w:sz w:val="24"/>
        </w:rPr>
        <w:t xml:space="preserve">6</w:t>
      </w:r>
      <w:r>
        <w:rPr>
          <w:rFonts w:ascii="Times New Roman" w:hAnsi="Times New Roman" w:eastAsia="方正仿宋_GBK"/>
          <w:b w:val="0"/>
          <w:sz w:val="24"/>
        </w:rPr>
        <w:t xml:space="preserve">0.00 MVA和</w:t>
      </w:r>
      <w:r>
        <w:rPr>
          <w:rFonts w:ascii="Times New Roman" w:hAnsi="Times New Roman" w:eastAsia="方正仿宋_GBK"/>
          <w:b w:val="0"/>
          <w:sz w:val="24"/>
        </w:rPr>
        <w:t xml:space="preserve">3</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218F1598">
      <w:pPr>
        <w:pStyle w:val="2"/>
        <w:keepNext/>
        <w:spacing w:before="120" w:after="80" w:line="280" w:lineRule="exact"/>
        <w:ind w:firstLine="0"/>
        <w:jc w:val="center"/>
      </w:pPr>
      <w:r>
        <w:rPr>
          <w:rFonts w:ascii="Times New Roman" w:hAnsi="Times New Roman" w:eastAsia="宋体"/>
          <w:b w:val="0"/>
          <w:sz w:val="21"/>
        </w:rPr>
        <w:t xml:space="preserve">表5-53 吴庄变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136.78</w:t>
            </w:r>
          </w:p>
        </w:tc>
      </w:tr>
    </w:tbl>
    <w:p w14:paraId="340A268F">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最大单台主变N-1后，弹性方案剩余主变容量为80.00 MVA，按0.95功率因数折算为76.00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有效支撑功率为0.98 MW、反向有效吸收功率为3.60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中最小余量为0.00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73</w:t>
      </w:r>
      <w:r>
        <w:rPr>
          <w:rFonts w:ascii="Times New Roman" w:hAnsi="Times New Roman" w:eastAsia="方正仿宋_GBK"/>
          <w:b w:val="0"/>
          <w:sz w:val="24"/>
        </w:rPr>
        <w:t xml:space="preserve">.0</w:t>
      </w:r>
      <w:r>
        <w:rPr>
          <w:rFonts w:ascii="Times New Roman" w:hAnsi="Times New Roman" w:eastAsia="方正仿宋_GBK"/>
          <w:b w:val="0"/>
          <w:sz w:val="24"/>
        </w:rPr>
        <w:t xml:space="preserve">3</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7</w:t>
      </w:r>
      <w:r>
        <w:rPr>
          <w:rFonts w:ascii="Times New Roman" w:hAnsi="Times New Roman" w:eastAsia="方正仿宋_GBK"/>
          <w:b w:val="0"/>
          <w:sz w:val="24"/>
        </w:rPr>
        <w:t xml:space="preserve">6.</w:t>
      </w:r>
      <w:r>
        <w:rPr>
          <w:rFonts w:ascii="Times New Roman" w:hAnsi="Times New Roman" w:eastAsia="方正仿宋_GBK"/>
          <w:b w:val="0"/>
          <w:sz w:val="24"/>
        </w:rPr>
        <w:t xml:space="preserve">98</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其中与古彭变之间的主要通道承担13.82 MW净功率转接，使用既有通道。</w:t>
      </w:r>
    </w:p>
    <w:p w14:paraId="4D6E40D5">
      <w:pPr>
        <w:pStyle w:val="2"/>
        <w:widowControl/>
        <w:spacing w:before="0" w:after="0" w:line="348" w:lineRule="exact"/>
        <w:ind w:firstLine="480"/>
        <w:jc w:val="both"/>
      </w:pPr>
      <w:r>
        <w:rPr>
          <w:rFonts w:ascii="Times New Roman" w:hAnsi="Times New Roman" w:eastAsia="方正仿宋_GBK"/>
          <w:b w:val="0"/>
          <w:sz w:val="24"/>
        </w:rPr>
        <w:t xml:space="preserve">两方案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储能额定功率相差3</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0 MW，</w:t>
      </w:r>
      <w:r>
        <w:rPr>
          <w:rFonts w:ascii="Times New Roman" w:hAnsi="Times New Roman" w:eastAsia="方正仿宋_GBK"/>
          <w:b w:val="0"/>
          <w:sz w:val="24"/>
        </w:rPr>
        <w:t xml:space="preserve">差额与所列主变组合及年度固定转接任务共同形成局部供电安排</w:t>
      </w:r>
      <w:r>
        <w:rPr>
          <w:rFonts w:ascii="Times New Roman" w:hAnsi="Times New Roman" w:eastAsia="方正仿宋_GBK"/>
          <w:b w:val="0"/>
          <w:sz w:val="24"/>
        </w:rPr>
        <w:t xml:space="preserve">。</w:t>
      </w:r>
    </w:p>
    <w:p w14:paraId="661180FC">
      <w:pPr>
        <w:pStyle w:val="7"/>
        <w:keepNext/>
        <w:numPr>
          <w:ilvl w:val="0"/>
          <w:numId w:val="0"/>
        </w:numPr>
        <w:spacing w:before="160" w:after="120" w:line="360" w:lineRule="exact"/>
        <w:ind w:firstLine="0"/>
      </w:pPr>
      <w:bookmarkStart w:id="243" w:name="西郊变规划分析"/>
      <w:r>
        <w:rPr>
          <w:rFonts w:ascii="Times New Roman" w:hAnsi="Times New Roman" w:eastAsia="方正仿宋_GBK"/>
          <w:b/>
          <w:sz w:val="24"/>
        </w:rPr>
        <w:t>西郊变规划分析</w:t>
      </w:r>
      <w:bookmarkEnd w:id="243"/>
    </w:p>
    <w:p w14:paraId="32DDDA9B">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主变组合为63</w:t>
      </w:r>
      <w:r>
        <w:rPr>
          <w:rFonts w:ascii="Times New Roman" w:hAnsi="Times New Roman" w:eastAsia="方正仿宋_GBK"/>
          <w:b w:val="0"/>
          <w:sz w:val="24"/>
        </w:rPr>
        <w:t xml:space="preserve">.00</w:t>
      </w:r>
      <w:r>
        <w:rPr>
          <w:rFonts w:ascii="Times New Roman" w:hAnsi="Times New Roman" w:eastAsia="方正仿宋_GBK"/>
          <w:b w:val="0"/>
          <w:sz w:val="24"/>
        </w:rPr>
        <w:t xml:space="preserve">+63</w:t>
      </w:r>
      <w:r>
        <w:rPr>
          <w:rFonts w:ascii="Times New Roman" w:hAnsi="Times New Roman" w:eastAsia="方正仿宋_GBK"/>
          <w:b w:val="0"/>
          <w:sz w:val="24"/>
        </w:rPr>
        <w:t xml:space="preserve">.00</w:t>
      </w:r>
      <w:r>
        <w:rPr>
          <w:rFonts w:ascii="Times New Roman" w:hAnsi="Times New Roman" w:eastAsia="方正仿宋_GBK"/>
          <w:b w:val="0"/>
          <w:sz w:val="24"/>
        </w:rPr>
        <w:t xml:space="preserve">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2023</w:t>
      </w:r>
      <w:r>
        <w:rPr>
          <w:rFonts w:ascii="Times New Roman" w:hAnsi="Times New Roman" w:eastAsia="方正仿宋_GBK"/>
          <w:b w:val="0"/>
          <w:sz w:val="24"/>
        </w:rPr>
        <w:t xml:space="preserve">年</w:t>
      </w:r>
      <w:r>
        <w:rPr>
          <w:rFonts w:ascii="Times New Roman" w:hAnsi="Times New Roman" w:eastAsia="方正仿宋_GBK"/>
          <w:b w:val="0"/>
          <w:sz w:val="24"/>
        </w:rPr>
        <w:t xml:space="preserve">63.00 MVA更换为80.00 MVA；2027年63.00 MVA更换为80.00 MVA</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68C6DAFD">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最大正向、反向净负荷分别为128.27 MW、0.00 MW</w:t>
      </w:r>
      <w:r>
        <w:rPr>
          <w:rFonts w:ascii="Times New Roman" w:hAnsi="Times New Roman" w:eastAsia="方正仿宋_GBK"/>
          <w:b w:val="0"/>
          <w:sz w:val="24"/>
        </w:rPr>
        <w:t xml:space="preserve">，2035年分别为186.78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6</w:t>
      </w:r>
      <w:r>
        <w:rPr>
          <w:rFonts w:ascii="Times New Roman" w:hAnsi="Times New Roman" w:eastAsia="方正仿宋_GBK"/>
          <w:b w:val="0"/>
          <w:sz w:val="24"/>
        </w:rPr>
        <w:t xml:space="preserve">0</w:t>
      </w:r>
      <w:r>
        <w:rPr>
          <w:rFonts w:ascii="Times New Roman" w:hAnsi="Times New Roman" w:eastAsia="方正仿宋_GBK"/>
          <w:b w:val="0"/>
          <w:sz w:val="24"/>
        </w:rPr>
        <w:t xml:space="preserve">.00 MVA、储能额定功率0.00 MW，弹性方案分别为1</w:t>
      </w:r>
      <w:r>
        <w:rPr>
          <w:rFonts w:ascii="Times New Roman" w:hAnsi="Times New Roman" w:eastAsia="方正仿宋_GBK"/>
          <w:b w:val="0"/>
          <w:sz w:val="24"/>
        </w:rPr>
        <w:t xml:space="preserve">6</w:t>
      </w:r>
      <w:r>
        <w:rPr>
          <w:rFonts w:ascii="Times New Roman" w:hAnsi="Times New Roman" w:eastAsia="方正仿宋_GBK"/>
          <w:b w:val="0"/>
          <w:sz w:val="24"/>
        </w:rPr>
        <w:t xml:space="preserve">0</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7B6E89FD">
      <w:pPr>
        <w:pStyle w:val="2"/>
        <w:keepNext/>
        <w:spacing w:before="120" w:after="80" w:line="280" w:lineRule="exact"/>
        <w:ind w:firstLine="0"/>
        <w:jc w:val="center"/>
      </w:pPr>
      <w:r>
        <w:rPr>
          <w:rFonts w:ascii="Times New Roman" w:hAnsi="Times New Roman" w:eastAsia="宋体"/>
          <w:b w:val="0"/>
          <w:sz w:val="21"/>
        </w:rPr>
        <w:t xml:space="preserve">表5-54 西郊变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117.35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149.02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128.27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151.53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35.77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151.01</w:t>
            </w:r>
          </w:p>
        </w:tc>
      </w:tr>
    </w:tbl>
    <w:p w14:paraId="011431DF">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最大单台主变N-1后，弹性方案剩余主变容量为80.00 MVA，按0.95功率因数折算为76.00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中最小余量为0.49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111</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7 MW、承接0.00 MW，转接后净负荷为</w:t>
      </w:r>
      <w:r>
        <w:rPr>
          <w:rFonts w:ascii="Times New Roman" w:hAnsi="Times New Roman" w:eastAsia="方正仿宋_GBK"/>
          <w:b w:val="0"/>
          <w:sz w:val="24"/>
        </w:rPr>
        <w:t xml:space="preserve">75.5</w:t>
      </w:r>
      <w:r>
        <w:rPr>
          <w:rFonts w:ascii="Times New Roman" w:hAnsi="Times New Roman" w:eastAsia="方正仿宋_GBK"/>
          <w:b w:val="0"/>
          <w:sz w:val="24"/>
        </w:rPr>
        <w:t xml:space="preserve">1</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其中与古彭变之间的主要通道承担13.91 MW净功率转接，使用既有通道。</w:t>
      </w:r>
    </w:p>
    <w:p w14:paraId="07ED6E53">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2F3A807A">
      <w:pPr>
        <w:pStyle w:val="7"/>
        <w:keepNext/>
        <w:numPr>
          <w:ilvl w:val="0"/>
          <w:numId w:val="0"/>
        </w:numPr>
        <w:spacing w:before="160" w:after="120" w:line="360" w:lineRule="exact"/>
        <w:ind w:firstLine="0"/>
      </w:pPr>
      <w:bookmarkStart w:id="244" w:name="祥和变规划分析"/>
      <w:r>
        <w:rPr>
          <w:rFonts w:ascii="Times New Roman" w:hAnsi="Times New Roman" w:eastAsia="方正仿宋_GBK"/>
          <w:b/>
          <w:sz w:val="24"/>
        </w:rPr>
        <w:t>祥和变规划分析</w:t>
      </w:r>
      <w:bookmarkEnd w:id="244"/>
    </w:p>
    <w:p w14:paraId="4F617823">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2021年主变组合为50.00+50.00 MVA。弹性方案2022—2035年保留</w:t>
      </w:r>
      <w:r>
        <w:rPr>
          <w:rFonts w:ascii="Times New Roman" w:hAnsi="Times New Roman" w:eastAsia="方正仿宋_GBK"/>
          <w:b w:val="0"/>
          <w:sz w:val="24"/>
        </w:rPr>
        <w:t xml:space="preserve">初始主变组合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各</w:t>
      </w:r>
      <w:r>
        <w:rPr>
          <w:rFonts w:ascii="Times New Roman" w:hAnsi="Times New Roman" w:eastAsia="方正仿宋_GBK"/>
          <w:b w:val="0"/>
          <w:sz w:val="24"/>
        </w:rPr>
        <w:t xml:space="preserve">年</w:t>
      </w:r>
      <w:r>
        <w:rPr>
          <w:rFonts w:ascii="Times New Roman" w:hAnsi="Times New Roman" w:eastAsia="方正仿宋_GBK"/>
          <w:b w:val="0"/>
          <w:sz w:val="24"/>
        </w:rPr>
        <w:t xml:space="preserve">未新增储能</w:t>
      </w:r>
      <w:r>
        <w:rPr>
          <w:rFonts w:ascii="Times New Roman" w:hAnsi="Times New Roman" w:eastAsia="方正仿宋_GBK"/>
          <w:b w:val="0"/>
          <w:sz w:val="24"/>
        </w:rPr>
        <w:t xml:space="preserve">。</w:t>
      </w:r>
    </w:p>
    <w:p w14:paraId="77F2FA88">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最大正向、反向净负荷分别为19.37 MW、0.00 MW</w:t>
      </w:r>
      <w:r>
        <w:rPr>
          <w:rFonts w:ascii="Times New Roman" w:hAnsi="Times New Roman" w:eastAsia="方正仿宋_GBK"/>
          <w:b w:val="0"/>
          <w:sz w:val="24"/>
        </w:rPr>
        <w:t xml:space="preserve">，2035年分别为28.21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10</w:t>
      </w:r>
      <w:r>
        <w:rPr>
          <w:rFonts w:ascii="Times New Roman" w:hAnsi="Times New Roman" w:eastAsia="方正仿宋_GBK"/>
          <w:b w:val="0"/>
          <w:sz w:val="24"/>
        </w:rPr>
        <w:t xml:space="preserve">0.00 MVA、储能额定功率0.00 MW，弹性方案分别为</w:t>
      </w:r>
      <w:r>
        <w:rPr>
          <w:rFonts w:ascii="Times New Roman" w:hAnsi="Times New Roman" w:eastAsia="方正仿宋_GBK"/>
          <w:b w:val="0"/>
          <w:sz w:val="24"/>
        </w:rPr>
        <w:t xml:space="preserve">10</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67919555">
      <w:pPr>
        <w:pStyle w:val="2"/>
        <w:keepNext/>
        <w:spacing w:before="120" w:after="80" w:line="280" w:lineRule="exact"/>
        <w:ind w:firstLine="0"/>
        <w:jc w:val="center"/>
      </w:pPr>
      <w:r>
        <w:rPr>
          <w:rFonts w:ascii="Times New Roman" w:hAnsi="Times New Roman" w:eastAsia="宋体"/>
          <w:b w:val="0"/>
          <w:sz w:val="21"/>
        </w:rPr>
        <w:t xml:space="preserve">表5-55 祥和变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11.49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21.98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50.15</w:t>
            </w:r>
          </w:p>
        </w:tc>
      </w:tr>
    </w:tbl>
    <w:p w14:paraId="0B15BFF5">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w:t>
      </w:r>
      <w:r>
        <w:rPr>
          <w:rFonts w:ascii="Times New Roman" w:hAnsi="Times New Roman" w:eastAsia="方正仿宋_GBK"/>
          <w:b w:val="0"/>
          <w:sz w:val="24"/>
        </w:rPr>
        <w:t xml:space="preserve"> MW。全年本站故障工况中最小余量为1.10 MW。该小时按采用的固定区段预案，本站转出3.76 MW、承接21.98</w:t>
      </w:r>
      <w:r>
        <w:rPr>
          <w:rFonts w:ascii="Times New Roman" w:hAnsi="Times New Roman" w:eastAsia="方正仿宋_GBK"/>
          <w:b w:val="0"/>
          <w:sz w:val="24"/>
        </w:rPr>
        <w:t xml:space="preserve"> MW，转接后净负荷为</w:t>
      </w:r>
      <w:r>
        <w:rPr>
          <w:rFonts w:ascii="Times New Roman" w:hAnsi="Times New Roman" w:eastAsia="方正仿宋_GBK"/>
          <w:b w:val="0"/>
          <w:sz w:val="24"/>
        </w:rPr>
        <w:t xml:space="preserve">46</w:t>
      </w:r>
      <w:r>
        <w:rPr>
          <w:rFonts w:ascii="Times New Roman" w:hAnsi="Times New Roman" w:eastAsia="方正仿宋_GBK"/>
          <w:b w:val="0"/>
          <w:sz w:val="24"/>
        </w:rPr>
        <w:t xml:space="preserve">.</w:t>
      </w:r>
      <w:r>
        <w:rPr>
          <w:rFonts w:ascii="Times New Roman" w:hAnsi="Times New Roman" w:eastAsia="方正仿宋_GBK"/>
          <w:b w:val="0"/>
          <w:sz w:val="24"/>
        </w:rPr>
        <w:t xml:space="preserve">40</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。其中与西郊变之间的主要通道承担3</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7 MW</w:t>
      </w:r>
      <w:r>
        <w:rPr>
          <w:rFonts w:ascii="Times New Roman" w:hAnsi="Times New Roman" w:eastAsia="方正仿宋_GBK"/>
          <w:b w:val="0"/>
          <w:sz w:val="24"/>
        </w:rPr>
        <w:t xml:space="preserve">净功率转接，使用已投运新增联络</w:t>
      </w:r>
      <w:r>
        <w:rPr>
          <w:rFonts w:ascii="Times New Roman" w:hAnsi="Times New Roman" w:eastAsia="方正仿宋_GBK"/>
          <w:b w:val="0"/>
          <w:sz w:val="24"/>
        </w:rPr>
        <w:t xml:space="preserve">。</w:t>
      </w:r>
    </w:p>
    <w:p w14:paraId="6DDD6B15">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48656AAF">
      <w:pPr>
        <w:pStyle w:val="7"/>
        <w:keepNext/>
        <w:numPr>
          <w:ilvl w:val="0"/>
          <w:numId w:val="0"/>
        </w:numPr>
        <w:spacing w:before="160" w:after="120" w:line="360" w:lineRule="exact"/>
        <w:ind w:firstLine="0"/>
      </w:pPr>
      <w:bookmarkStart w:id="245" w:name="响山变规划分析"/>
      <w:r>
        <w:rPr>
          <w:rFonts w:ascii="Times New Roman" w:hAnsi="Times New Roman" w:eastAsia="方正仿宋_GBK"/>
          <w:b/>
          <w:sz w:val="24"/>
        </w:rPr>
        <w:t>响山变规划分析</w:t>
      </w:r>
      <w:bookmarkEnd w:id="245"/>
    </w:p>
    <w:p w14:paraId="78D59B66">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2022—2035</w:t>
      </w:r>
      <w:r>
        <w:rPr>
          <w:rFonts w:ascii="Times New Roman" w:hAnsi="Times New Roman" w:eastAsia="方正仿宋_GBK"/>
          <w:b w:val="0"/>
          <w:sz w:val="24"/>
        </w:rPr>
        <w:t xml:space="preserve">年</w:t>
      </w:r>
      <w:r>
        <w:rPr>
          <w:rFonts w:ascii="Times New Roman" w:hAnsi="Times New Roman" w:eastAsia="方正仿宋_GBK"/>
          <w:b w:val="0"/>
          <w:sz w:val="24"/>
        </w:rPr>
        <w:t xml:space="preserve">保留</w:t>
      </w:r>
      <w:r>
        <w:rPr>
          <w:rFonts w:ascii="Times New Roman" w:hAnsi="Times New Roman" w:eastAsia="方正仿宋_GBK"/>
          <w:b w:val="0"/>
          <w:sz w:val="24"/>
        </w:rPr>
        <w:t xml:space="preserve">初始主变</w:t>
      </w:r>
      <w:r>
        <w:rPr>
          <w:rFonts w:ascii="Times New Roman" w:hAnsi="Times New Roman" w:eastAsia="方正仿宋_GBK"/>
          <w:b w:val="0"/>
          <w:sz w:val="24"/>
        </w:rPr>
        <w:t xml:space="preserve">组合</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4F91EEE4">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最大正向、反向净负荷分别为53.11 MW、0.00 MW</w:t>
      </w:r>
      <w:r>
        <w:rPr>
          <w:rFonts w:ascii="Times New Roman" w:hAnsi="Times New Roman" w:eastAsia="方正仿宋_GBK"/>
          <w:b w:val="0"/>
          <w:sz w:val="24"/>
        </w:rPr>
        <w:t xml:space="preserve">，2035年分别为77.34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MVA、储能额定功率0.00 MW，弹性方案分别为</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3249D93B">
      <w:pPr>
        <w:pStyle w:val="2"/>
        <w:keepNext/>
        <w:spacing w:before="120" w:after="80" w:line="280" w:lineRule="exact"/>
        <w:ind w:firstLine="0"/>
        <w:jc w:val="center"/>
      </w:pPr>
      <w:r>
        <w:rPr>
          <w:rFonts w:ascii="Times New Roman" w:hAnsi="Times New Roman" w:eastAsia="宋体"/>
          <w:b w:val="0"/>
          <w:sz w:val="21"/>
        </w:rPr>
        <w:t xml:space="preserve">表5-56 响山变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77.34</w:t>
            </w:r>
          </w:p>
        </w:tc>
      </w:tr>
    </w:tbl>
    <w:p w14:paraId="4D3E4CF0">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最大单台主变N-1后，弹性方案剩余主变容量为40.00 MVA，按0.95功率因数折算为38.00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中最小余量为0.32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39</w:t>
      </w:r>
      <w:r>
        <w:rPr>
          <w:rFonts w:ascii="Times New Roman" w:hAnsi="Times New Roman" w:eastAsia="方正仿宋_GBK"/>
          <w:b w:val="0"/>
          <w:sz w:val="24"/>
        </w:rPr>
        <w:t xml:space="preserve">.</w:t>
      </w:r>
      <w:r>
        <w:rPr>
          <w:rFonts w:ascii="Times New Roman" w:hAnsi="Times New Roman" w:eastAsia="方正仿宋_GBK"/>
          <w:b w:val="0"/>
          <w:sz w:val="24"/>
        </w:rPr>
        <w:t xml:space="preserve">66</w:t>
      </w:r>
      <w:r>
        <w:rPr>
          <w:rFonts w:ascii="Times New Roman" w:hAnsi="Times New Roman" w:eastAsia="方正仿宋_GBK"/>
          <w:b w:val="0"/>
          <w:sz w:val="24"/>
        </w:rPr>
        <w:t xml:space="preserve"> MW、承接0.00 MW，转接后净负荷为</w:t>
      </w:r>
      <w:r>
        <w:rPr>
          <w:rFonts w:ascii="Times New Roman" w:hAnsi="Times New Roman" w:eastAsia="方正仿宋_GBK"/>
          <w:b w:val="0"/>
          <w:sz w:val="24"/>
        </w:rPr>
        <w:t xml:space="preserve">3</w:t>
      </w:r>
      <w:r>
        <w:rPr>
          <w:rFonts w:ascii="Times New Roman" w:hAnsi="Times New Roman" w:eastAsia="方正仿宋_GBK"/>
          <w:b w:val="0"/>
          <w:sz w:val="24"/>
        </w:rPr>
        <w:t xml:space="preserve">7</w:t>
      </w:r>
      <w:r>
        <w:rPr>
          <w:rFonts w:ascii="Times New Roman" w:hAnsi="Times New Roman" w:eastAsia="方正仿宋_GBK"/>
          <w:b w:val="0"/>
          <w:sz w:val="24"/>
        </w:rPr>
        <w:t xml:space="preserve">.</w:t>
      </w:r>
      <w:r>
        <w:rPr>
          <w:rFonts w:ascii="Times New Roman" w:hAnsi="Times New Roman" w:eastAsia="方正仿宋_GBK"/>
          <w:b w:val="0"/>
          <w:sz w:val="24"/>
        </w:rPr>
        <w:t xml:space="preserve">6</w:t>
      </w:r>
      <w:r>
        <w:rPr>
          <w:rFonts w:ascii="Times New Roman" w:hAnsi="Times New Roman" w:eastAsia="方正仿宋_GBK"/>
          <w:b w:val="0"/>
          <w:sz w:val="24"/>
        </w:rPr>
        <w:t xml:space="preserve">8 MW。</w:t>
      </w:r>
      <w:r>
        <w:rPr>
          <w:rFonts w:ascii="Times New Roman" w:hAnsi="Times New Roman" w:eastAsia="方正仿宋_GBK"/>
          <w:b w:val="0"/>
          <w:sz w:val="24"/>
        </w:rPr>
        <w:t xml:space="preserve">其中与奎山变之间的主要通道承担15.86 MW净功率转接，使用既有通道。</w:t>
      </w:r>
    </w:p>
    <w:p w14:paraId="5381FB5C">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41C35D63">
      <w:pPr>
        <w:pStyle w:val="7"/>
        <w:keepNext/>
        <w:numPr>
          <w:ilvl w:val="0"/>
          <w:numId w:val="0"/>
        </w:numPr>
        <w:spacing w:before="160" w:after="120" w:line="360" w:lineRule="exact"/>
        <w:ind w:firstLine="0"/>
      </w:pPr>
      <w:bookmarkStart w:id="246" w:name="玉潭变规划分析"/>
      <w:r>
        <w:rPr>
          <w:rFonts w:ascii="Times New Roman" w:hAnsi="Times New Roman" w:eastAsia="方正仿宋_GBK"/>
          <w:b/>
          <w:sz w:val="24"/>
        </w:rPr>
        <w:t>玉潭变规划分析</w:t>
      </w:r>
      <w:bookmarkEnd w:id="246"/>
    </w:p>
    <w:p w14:paraId="69F38638">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2021年主变组合为50.00+80.00 MVA。弹性方案2022—2035年保留</w:t>
      </w:r>
      <w:r>
        <w:rPr>
          <w:rFonts w:ascii="Times New Roman" w:hAnsi="Times New Roman" w:eastAsia="方正仿宋_GBK"/>
          <w:b w:val="0"/>
          <w:sz w:val="24"/>
        </w:rPr>
        <w:t xml:space="preserve">初始主变组合</w:t>
      </w:r>
      <w:r>
        <w:rPr>
          <w:rFonts w:ascii="Times New Roman" w:hAnsi="Times New Roman" w:eastAsia="方正仿宋_GBK"/>
          <w:b w:val="0"/>
          <w:sz w:val="24"/>
        </w:rPr>
        <w:t xml:space="preserve">。本站</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各</w:t>
      </w:r>
      <w:r>
        <w:rPr>
          <w:rFonts w:ascii="Times New Roman" w:hAnsi="Times New Roman" w:eastAsia="方正仿宋_GBK"/>
          <w:b w:val="0"/>
          <w:sz w:val="24"/>
        </w:rPr>
        <w:t xml:space="preserve">年</w:t>
      </w:r>
      <w:r>
        <w:rPr>
          <w:rFonts w:ascii="Times New Roman" w:hAnsi="Times New Roman" w:eastAsia="方正仿宋_GBK"/>
          <w:b w:val="0"/>
          <w:sz w:val="24"/>
        </w:rPr>
        <w:t xml:space="preserve">未新增储能</w:t>
      </w:r>
      <w:r>
        <w:rPr>
          <w:rFonts w:ascii="Times New Roman" w:hAnsi="Times New Roman" w:eastAsia="方正仿宋_GBK"/>
          <w:b w:val="0"/>
          <w:sz w:val="24"/>
        </w:rPr>
        <w:t xml:space="preserve">。</w:t>
      </w:r>
    </w:p>
    <w:p w14:paraId="221C9FC5">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最大正向、反向净负荷分别为45.03 MW、0.00 MW</w:t>
      </w:r>
      <w:r>
        <w:rPr>
          <w:rFonts w:ascii="Times New Roman" w:hAnsi="Times New Roman" w:eastAsia="方正仿宋_GBK"/>
          <w:b w:val="0"/>
          <w:sz w:val="24"/>
        </w:rPr>
        <w:t xml:space="preserve">，2035年分别为65.56 MW、0.00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1</w:t>
      </w:r>
      <w:r>
        <w:rPr>
          <w:rFonts w:ascii="Times New Roman" w:hAnsi="Times New Roman" w:eastAsia="方正仿宋_GBK"/>
          <w:b w:val="0"/>
          <w:sz w:val="24"/>
        </w:rPr>
        <w:t xml:space="preserve">30</w:t>
      </w:r>
      <w:r>
        <w:rPr>
          <w:rFonts w:ascii="Times New Roman" w:hAnsi="Times New Roman" w:eastAsia="方正仿宋_GBK"/>
          <w:b w:val="0"/>
          <w:sz w:val="24"/>
        </w:rPr>
        <w:t xml:space="preserve">.00 MVA、储能额定功率0.00 MW，弹性方案分别为1</w:t>
      </w:r>
      <w:r>
        <w:rPr>
          <w:rFonts w:ascii="Times New Roman" w:hAnsi="Times New Roman" w:eastAsia="方正仿宋_GBK"/>
          <w:b w:val="0"/>
          <w:sz w:val="24"/>
        </w:rPr>
        <w:t xml:space="preserve">30</w:t>
      </w:r>
      <w:r>
        <w:rPr>
          <w:rFonts w:ascii="Times New Roman" w:hAnsi="Times New Roman" w:eastAsia="方正仿宋_GBK"/>
          <w:b w:val="0"/>
          <w:sz w:val="24"/>
        </w:rPr>
        <w:t xml:space="preserve">.00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0C78DA3D">
      <w:pPr>
        <w:pStyle w:val="2"/>
        <w:keepNext/>
        <w:spacing w:before="120" w:after="80" w:line="280" w:lineRule="exact"/>
        <w:ind w:firstLine="0"/>
        <w:jc w:val="center"/>
      </w:pPr>
      <w:r>
        <w:rPr>
          <w:rFonts w:ascii="Times New Roman" w:hAnsi="Times New Roman" w:eastAsia="宋体"/>
          <w:b w:val="0"/>
          <w:sz w:val="21"/>
        </w:rPr>
        <w:t xml:space="preserve">表5-57 玉潭变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69.54</w:t>
            </w:r>
          </w:p>
        </w:tc>
      </w:tr>
    </w:tbl>
    <w:p w14:paraId="059C764B">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最大单台主变N-1后，弹性方案剩余主变容量为50.00 MVA，按0.95功率因数折算为47.50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w:t>
      </w:r>
      <w:r>
        <w:rPr>
          <w:rFonts w:ascii="Times New Roman" w:hAnsi="Times New Roman" w:eastAsia="方正仿宋_GBK"/>
          <w:b w:val="0"/>
          <w:sz w:val="24"/>
        </w:rPr>
        <w:t xml:space="preserve">0.00 MW、</w:t>
      </w:r>
      <w:r>
        <w:rPr>
          <w:rFonts w:ascii="Times New Roman" w:hAnsi="Times New Roman" w:eastAsia="方正仿宋_GBK"/>
          <w:b w:val="0"/>
          <w:sz w:val="24"/>
        </w:rPr>
        <w:t xml:space="preserve">反向有效吸收功率为</w:t>
      </w:r>
      <w:r>
        <w:rPr>
          <w:rFonts w:ascii="Times New Roman" w:hAnsi="Times New Roman" w:eastAsia="方正仿宋_GBK"/>
          <w:b w:val="0"/>
          <w:sz w:val="24"/>
        </w:rPr>
        <w:t xml:space="preserve">0.00</w:t>
      </w:r>
      <w:r>
        <w:rPr>
          <w:rFonts w:ascii="Times New Roman" w:hAnsi="Times New Roman" w:eastAsia="方正仿宋_GBK"/>
          <w:b w:val="0"/>
          <w:sz w:val="24"/>
        </w:rPr>
        <w:t xml:space="preserve"> MW。全年本站故障工况中最小余量为1.80 MW。该小时按采用的固定区段预案，本站转出23.84 MW、承接3.97</w:t>
      </w:r>
      <w:r>
        <w:rPr>
          <w:rFonts w:ascii="Times New Roman" w:hAnsi="Times New Roman" w:eastAsia="方正仿宋_GBK"/>
          <w:b w:val="0"/>
          <w:sz w:val="24"/>
        </w:rPr>
        <w:t xml:space="preserve"> MW，转接后净负荷为45.</w:t>
      </w:r>
      <w:r>
        <w:rPr>
          <w:rFonts w:ascii="Times New Roman" w:hAnsi="Times New Roman" w:eastAsia="方正仿宋_GBK"/>
          <w:b w:val="0"/>
          <w:sz w:val="24"/>
        </w:rPr>
        <w:t xml:space="preserve">7</w:t>
      </w:r>
      <w:r>
        <w:rPr>
          <w:rFonts w:ascii="Times New Roman" w:hAnsi="Times New Roman" w:eastAsia="方正仿宋_GBK"/>
          <w:b w:val="0"/>
          <w:sz w:val="24"/>
        </w:rPr>
        <w:t xml:space="preserve">0</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其中与刘湾变之间的主要通道承担13.91 MW净功率转接，使用既有通道。</w:t>
      </w:r>
    </w:p>
    <w:p w14:paraId="117032B0">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7C2D3521">
      <w:pPr>
        <w:pStyle w:val="7"/>
        <w:keepNext/>
        <w:numPr>
          <w:ilvl w:val="0"/>
          <w:numId w:val="0"/>
        </w:numPr>
        <w:spacing w:before="160" w:after="120" w:line="360" w:lineRule="exact"/>
        <w:ind w:firstLine="0"/>
      </w:pPr>
      <w:bookmarkStart w:id="247" w:name="茱萸变规划分析"/>
      <w:r>
        <w:rPr>
          <w:rFonts w:ascii="Times New Roman" w:hAnsi="Times New Roman" w:eastAsia="方正仿宋_GBK"/>
          <w:b/>
          <w:sz w:val="24"/>
        </w:rPr>
        <w:t>茱萸变规划分析</w:t>
      </w:r>
      <w:bookmarkEnd w:id="247"/>
    </w:p>
    <w:p w14:paraId="34B9FFCA">
      <w:pPr>
        <w:pStyle w:val="115"/>
        <w:widowControl/>
        <w:spacing w:before="0" w:after="0" w:line="348" w:lineRule="exact"/>
        <w:ind w:firstLine="480"/>
        <w:jc w:val="both"/>
      </w:pPr>
      <w:r>
        <w:rPr>
          <w:rFonts w:ascii="Times New Roman" w:hAnsi="Times New Roman" w:eastAsia="方正仿宋_GBK"/>
          <w:b w:val="0"/>
          <w:sz w:val="24"/>
        </w:rPr>
        <w:t xml:space="preserve">该站</w:t>
      </w:r>
      <w:r>
        <w:rPr>
          <w:rFonts w:ascii="Times New Roman" w:hAnsi="Times New Roman" w:eastAsia="方正仿宋_GBK"/>
          <w:b w:val="0"/>
          <w:sz w:val="24"/>
        </w:rPr>
        <w:t xml:space="preserve">2021年</w:t>
      </w:r>
      <w:r>
        <w:rPr>
          <w:rFonts w:ascii="Times New Roman" w:hAnsi="Times New Roman" w:eastAsia="方正仿宋_GBK"/>
          <w:b w:val="0"/>
          <w:sz w:val="24"/>
        </w:rPr>
        <w:t xml:space="preserve">主变组合为40</w:t>
      </w:r>
      <w:r>
        <w:rPr>
          <w:rFonts w:ascii="Times New Roman" w:hAnsi="Times New Roman" w:eastAsia="方正仿宋_GBK"/>
          <w:b w:val="0"/>
          <w:sz w:val="24"/>
        </w:rPr>
        <w:t xml:space="preserve">.00</w:t>
      </w:r>
      <w:r>
        <w:rPr>
          <w:rFonts w:ascii="Times New Roman" w:hAnsi="Times New Roman" w:eastAsia="方正仿宋_GBK"/>
          <w:b w:val="0"/>
          <w:sz w:val="24"/>
        </w:rPr>
        <w:t xml:space="preserve">+</w:t>
      </w:r>
      <w:r>
        <w:rPr>
          <w:rFonts w:ascii="Times New Roman" w:hAnsi="Times New Roman" w:eastAsia="方正仿宋_GBK"/>
          <w:b w:val="0"/>
          <w:sz w:val="24"/>
        </w:rPr>
        <w:t xml:space="preserve">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弹性方案</w:t>
      </w:r>
      <w:r>
        <w:rPr>
          <w:rFonts w:ascii="Times New Roman" w:hAnsi="Times New Roman" w:eastAsia="方正仿宋_GBK"/>
          <w:b w:val="0"/>
          <w:sz w:val="24"/>
        </w:rPr>
        <w:t xml:space="preserve">2022—2035</w:t>
      </w:r>
      <w:r>
        <w:rPr>
          <w:rFonts w:ascii="Times New Roman" w:hAnsi="Times New Roman" w:eastAsia="方正仿宋_GBK"/>
          <w:b w:val="0"/>
          <w:sz w:val="24"/>
        </w:rPr>
        <w:t xml:space="preserve">年</w:t>
      </w:r>
      <w:r>
        <w:rPr>
          <w:rFonts w:ascii="Times New Roman" w:hAnsi="Times New Roman" w:eastAsia="方正仿宋_GBK"/>
          <w:b w:val="0"/>
          <w:sz w:val="24"/>
        </w:rPr>
        <w:t xml:space="preserve">保留</w:t>
      </w:r>
      <w:r>
        <w:rPr>
          <w:rFonts w:ascii="Times New Roman" w:hAnsi="Times New Roman" w:eastAsia="方正仿宋_GBK"/>
          <w:b w:val="0"/>
          <w:sz w:val="24"/>
        </w:rPr>
        <w:t xml:space="preserve">初始主变</w:t>
      </w:r>
      <w:r>
        <w:rPr>
          <w:rFonts w:ascii="Times New Roman" w:hAnsi="Times New Roman" w:eastAsia="方正仿宋_GBK"/>
          <w:b w:val="0"/>
          <w:sz w:val="24"/>
        </w:rPr>
        <w:t xml:space="preserve">组合</w:t>
      </w:r>
      <w:r>
        <w:rPr>
          <w:rFonts w:ascii="Times New Roman" w:hAnsi="Times New Roman" w:eastAsia="方正仿宋_GBK"/>
          <w:b w:val="0"/>
          <w:sz w:val="24"/>
        </w:rPr>
        <w:t xml:space="preserve">。</w:t>
      </w:r>
      <w:r>
        <w:rPr>
          <w:rFonts w:ascii="Times New Roman" w:hAnsi="Times New Roman" w:eastAsia="方正仿宋_GBK"/>
          <w:b w:val="0"/>
          <w:sz w:val="24"/>
        </w:rPr>
        <w:t xml:space="preserve">本站弹性方案各年未新增储能。</w:t>
      </w:r>
    </w:p>
    <w:p w14:paraId="0A9D9E5A">
      <w:pPr>
        <w:pStyle w:val="2"/>
        <w:widowControl/>
        <w:spacing w:before="0" w:after="0" w:line="348" w:lineRule="exact"/>
        <w:ind w:firstLine="480"/>
        <w:jc w:val="both"/>
      </w:pPr>
      <w:r>
        <w:rPr>
          <w:rFonts w:ascii="Times New Roman" w:hAnsi="Times New Roman" w:eastAsia="方正仿宋_GBK"/>
          <w:b w:val="0"/>
          <w:sz w:val="24"/>
        </w:rPr>
        <w:t xml:space="preserve">2025年</w:t>
      </w:r>
      <w:r>
        <w:rPr>
          <w:rFonts w:ascii="Times New Roman" w:hAnsi="Times New Roman" w:eastAsia="方正仿宋_GBK"/>
          <w:b w:val="0"/>
          <w:sz w:val="24"/>
        </w:rPr>
        <w:t xml:space="preserve">最大正向、反向净负荷分别为16.47 MW、5.61 MW</w:t>
      </w:r>
      <w:r>
        <w:rPr>
          <w:rFonts w:ascii="Times New Roman" w:hAnsi="Times New Roman" w:eastAsia="方正仿宋_GBK"/>
          <w:b w:val="0"/>
          <w:sz w:val="24"/>
        </w:rPr>
        <w:t xml:space="preserve">，2035年分别为23.98 MW、18.55 MW</w:t>
      </w:r>
      <w:r>
        <w:rPr>
          <w:rFonts w:ascii="Times New Roman" w:hAnsi="Times New Roman" w:eastAsia="方正仿宋_GBK"/>
          <w:b w:val="0"/>
          <w:sz w:val="24"/>
        </w:rPr>
        <w:t xml:space="preserve">。</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刚性方案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MVA、储能额定功率0.00 MW，弹性方案分别为</w:t>
      </w:r>
      <w:r>
        <w:rPr>
          <w:rFonts w:ascii="Times New Roman" w:hAnsi="Times New Roman" w:eastAsia="方正仿宋_GBK"/>
          <w:b w:val="0"/>
          <w:sz w:val="24"/>
        </w:rPr>
        <w:t xml:space="preserve">9</w:t>
      </w:r>
      <w:r>
        <w:rPr>
          <w:rFonts w:ascii="Times New Roman" w:hAnsi="Times New Roman" w:eastAsia="方正仿宋_GBK"/>
          <w:b w:val="0"/>
          <w:sz w:val="24"/>
        </w:rPr>
        <w:t xml:space="preserve">0.00 MVA和0.00 MW</w:t>
      </w:r>
      <w:r>
        <w:rPr>
          <w:rFonts w:ascii="Times New Roman" w:hAnsi="Times New Roman" w:eastAsia="方正仿宋_GBK"/>
          <w:b w:val="0"/>
          <w:sz w:val="24"/>
        </w:rPr>
        <w:t xml:space="preserve">。</w:t>
      </w:r>
      <w:r>
        <w:rPr>
          <w:rFonts w:ascii="Times New Roman" w:hAnsi="Times New Roman" w:eastAsia="方正仿宋_GBK"/>
          <w:b w:val="0"/>
          <w:sz w:val="24"/>
        </w:rPr>
        <w:t xml:space="preserve">两</w:t>
      </w:r>
      <w:r>
        <w:rPr>
          <w:rFonts w:ascii="Times New Roman" w:hAnsi="Times New Roman" w:eastAsia="方正仿宋_GBK"/>
          <w:b w:val="0"/>
          <w:sz w:val="24"/>
        </w:rPr>
        <w:t xml:space="preserve">方案本站主变总容量相同。</w:t>
      </w:r>
    </w:p>
    <w:p w14:paraId="24E80171">
      <w:pPr>
        <w:pStyle w:val="2"/>
        <w:keepNext/>
        <w:spacing w:before="120" w:after="80" w:line="280" w:lineRule="exact"/>
        <w:ind w:firstLine="0"/>
        <w:jc w:val="center"/>
      </w:pPr>
      <w:r>
        <w:rPr>
          <w:rFonts w:ascii="Times New Roman" w:hAnsi="Times New Roman" w:eastAsia="宋体"/>
          <w:b w:val="0"/>
          <w:sz w:val="21"/>
        </w:rPr>
        <w:t xml:space="preserve">表5-58 茱萸变</w:t>
      </w:r>
      <w:r>
        <w:rPr>
          <w:rFonts w:ascii="Times New Roman" w:hAnsi="Times New Roman" w:eastAsia="宋体"/>
          <w:b w:val="0"/>
          <w:sz w:val="21"/>
        </w:rPr>
        <w:t xml:space="preserve">代表</w:t>
      </w:r>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13.89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16.75</w:t>
            </w:r>
          </w:p>
        </w:tc>
      </w:tr>
    </w:tbl>
    <w:p w14:paraId="3C4E166C">
      <w:pPr>
        <w:pStyle w:val="2"/>
        <w:widowControl/>
        <w:spacing w:before="0" w:after="0" w:line="348" w:lineRule="exact"/>
        <w:ind w:firstLine="480"/>
        <w:jc w:val="both"/>
      </w:pP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最大单台主变N-1后，弹性方案剩余主变容量为40.00 MVA，按0.95功率因数折算为38.00 MW。储能</w:t>
      </w:r>
      <w:r>
        <w:rPr>
          <w:rFonts w:ascii="Times New Roman" w:hAnsi="Times New Roman" w:eastAsia="方正仿宋_GBK"/>
          <w:b w:val="0"/>
          <w:sz w:val="24"/>
        </w:rPr>
        <w:t xml:space="preserve">正向</w:t>
      </w:r>
      <w:r>
        <w:rPr>
          <w:rFonts w:ascii="Times New Roman" w:hAnsi="Times New Roman" w:eastAsia="方正仿宋_GBK"/>
          <w:b w:val="0"/>
          <w:sz w:val="24"/>
        </w:rPr>
        <w:t xml:space="preserve">有效支撑功率为0.00 MW、反向有效吸收功率为0.00 MW。全年本站故障</w:t>
      </w:r>
      <w:r>
        <w:rPr>
          <w:rFonts w:ascii="Times New Roman" w:hAnsi="Times New Roman" w:eastAsia="方正仿宋_GBK"/>
          <w:b w:val="0"/>
          <w:sz w:val="24"/>
        </w:rPr>
        <w:t xml:space="preserve">工况</w:t>
      </w:r>
      <w:r>
        <w:rPr>
          <w:rFonts w:ascii="Times New Roman" w:hAnsi="Times New Roman" w:eastAsia="方正仿宋_GBK"/>
          <w:b w:val="0"/>
          <w:sz w:val="24"/>
        </w:rPr>
        <w:t xml:space="preserve">中最小余量为22.02 MW。该小时按采用的固定区段预案</w:t>
      </w:r>
      <w:r>
        <w:rPr>
          <w:rFonts w:ascii="Times New Roman" w:hAnsi="Times New Roman" w:eastAsia="方正仿宋_GBK"/>
          <w:b w:val="0"/>
          <w:sz w:val="24"/>
        </w:rPr>
        <w:t xml:space="preserve">，本站转出</w:t>
      </w:r>
      <w:r>
        <w:rPr>
          <w:rFonts w:ascii="Times New Roman" w:hAnsi="Times New Roman" w:eastAsia="方正仿宋_GBK"/>
          <w:b w:val="0"/>
          <w:sz w:val="24"/>
        </w:rPr>
        <w:t xml:space="preserve">7</w:t>
      </w:r>
      <w:r>
        <w:rPr>
          <w:rFonts w:ascii="Times New Roman" w:hAnsi="Times New Roman" w:eastAsia="方正仿宋_GBK"/>
          <w:b w:val="0"/>
          <w:sz w:val="24"/>
        </w:rPr>
        <w:t xml:space="preserve">.</w:t>
      </w:r>
      <w:r>
        <w:rPr>
          <w:rFonts w:ascii="Times New Roman" w:hAnsi="Times New Roman" w:eastAsia="方正仿宋_GBK"/>
          <w:b w:val="0"/>
          <w:sz w:val="24"/>
        </w:rPr>
        <w:t xml:space="preserve">99</w:t>
      </w:r>
      <w:r>
        <w:rPr>
          <w:rFonts w:ascii="Times New Roman" w:hAnsi="Times New Roman" w:eastAsia="方正仿宋_GBK"/>
          <w:b w:val="0"/>
          <w:sz w:val="24"/>
        </w:rPr>
        <w:t xml:space="preserve"> MW、承接0.00 MW，转接后净负荷为1</w:t>
      </w:r>
      <w:r>
        <w:rPr>
          <w:rFonts w:ascii="Times New Roman" w:hAnsi="Times New Roman" w:eastAsia="方正仿宋_GBK"/>
          <w:b w:val="0"/>
          <w:sz w:val="24"/>
        </w:rPr>
        <w:t xml:space="preserve">5</w:t>
      </w:r>
      <w:r>
        <w:rPr>
          <w:rFonts w:ascii="Times New Roman" w:hAnsi="Times New Roman" w:eastAsia="方正仿宋_GBK"/>
          <w:b w:val="0"/>
          <w:sz w:val="24"/>
        </w:rPr>
        <w:t xml:space="preserve">.</w:t>
      </w:r>
      <w:r>
        <w:rPr>
          <w:rFonts w:ascii="Times New Roman" w:hAnsi="Times New Roman" w:eastAsia="方正仿宋_GBK"/>
          <w:b w:val="0"/>
          <w:sz w:val="24"/>
        </w:rPr>
        <w:t xml:space="preserve">9</w:t>
      </w:r>
      <w:r>
        <w:rPr>
          <w:rFonts w:ascii="Times New Roman" w:hAnsi="Times New Roman" w:eastAsia="方正仿宋_GBK"/>
          <w:b w:val="0"/>
          <w:sz w:val="24"/>
        </w:rPr>
        <w:t xml:space="preserve">8</w:t>
      </w:r>
      <w:r>
        <w:rPr>
          <w:rFonts w:ascii="Times New Roman" w:hAnsi="Times New Roman" w:eastAsia="方正仿宋_GBK"/>
          <w:b w:val="0"/>
          <w:sz w:val="24"/>
        </w:rPr>
        <w:t xml:space="preserve"> MW。</w:t>
      </w:r>
      <w:r>
        <w:rPr>
          <w:rFonts w:ascii="Times New Roman" w:hAnsi="Times New Roman" w:eastAsia="方正仿宋_GBK"/>
          <w:b w:val="0"/>
          <w:sz w:val="24"/>
        </w:rPr>
        <w:t xml:space="preserve">其中与大庙变之间的主要通道承担7.99 MW净功率转接，使用既有通道。</w:t>
      </w:r>
    </w:p>
    <w:p w14:paraId="00F8EF47">
      <w:pPr>
        <w:pStyle w:val="2"/>
        <w:widowControl/>
        <w:spacing w:before="0" w:after="0" w:line="348" w:lineRule="exact"/>
        <w:ind w:firstLine="480"/>
        <w:jc w:val="both"/>
      </w:pPr>
      <w:r>
        <w:rPr>
          <w:rFonts w:ascii="Times New Roman" w:hAnsi="Times New Roman" w:eastAsia="方正仿宋_GBK"/>
          <w:b w:val="0"/>
          <w:sz w:val="24"/>
        </w:rPr>
        <w:t xml:space="preserve">两方案本站</w:t>
      </w:r>
      <w:r>
        <w:rPr>
          <w:rFonts w:ascii="Times New Roman" w:hAnsi="Times New Roman" w:eastAsia="方正仿宋_GBK"/>
          <w:b w:val="0"/>
          <w:sz w:val="24"/>
        </w:rPr>
        <w:t xml:space="preserve">最</w:t>
      </w:r>
      <w:r>
        <w:rPr>
          <w:rFonts w:ascii="Times New Roman" w:hAnsi="Times New Roman" w:eastAsia="方正仿宋_GBK"/>
          <w:b w:val="0"/>
          <w:sz w:val="24"/>
        </w:rPr>
        <w:t xml:space="preserve">终</w:t>
      </w:r>
      <w:r>
        <w:rPr>
          <w:rFonts w:ascii="Times New Roman" w:hAnsi="Times New Roman" w:eastAsia="方正仿宋_GBK"/>
          <w:b w:val="0"/>
          <w:sz w:val="24"/>
        </w:rPr>
        <w:t xml:space="preserve">主变</w:t>
      </w:r>
      <w:r>
        <w:rPr>
          <w:rFonts w:ascii="Times New Roman" w:hAnsi="Times New Roman" w:eastAsia="方正仿宋_GBK"/>
          <w:b w:val="0"/>
          <w:sz w:val="24"/>
        </w:rPr>
        <w:t xml:space="preserve">和</w:t>
      </w:r>
      <w:r>
        <w:rPr>
          <w:rFonts w:ascii="Times New Roman" w:hAnsi="Times New Roman" w:eastAsia="方正仿宋_GBK"/>
          <w:b w:val="0"/>
          <w:sz w:val="24"/>
        </w:rPr>
        <w:t xml:space="preserve">储能</w:t>
      </w:r>
      <w:r>
        <w:rPr>
          <w:rFonts w:ascii="Times New Roman" w:hAnsi="Times New Roman" w:eastAsia="方正仿宋_GBK"/>
          <w:b w:val="0"/>
          <w:sz w:val="24"/>
        </w:rPr>
        <w:t xml:space="preserve">规模相同，局部设备采用结果保持一致</w:t>
      </w:r>
      <w:r>
        <w:rPr>
          <w:rFonts w:ascii="Times New Roman" w:hAnsi="Times New Roman" w:eastAsia="方正仿宋_GBK"/>
          <w:b w:val="0"/>
          <w:sz w:val="24"/>
        </w:rPr>
        <w:t xml:space="preserve">。</w:t>
      </w:r>
    </w:p>
    <w:p w14:paraId="534D761E">
      <w:pPr>
        <w:pStyle w:val="2"/>
        <w:widowControl/>
        <w:spacing w:before="0" w:after="0" w:line="348" w:lineRule="exact"/>
        <w:ind w:firstLine="480"/>
        <w:jc w:val="both"/>
      </w:pPr>
      <w:r>
        <w:rPr>
          <w:rFonts w:ascii="Times New Roman" w:hAnsi="Times New Roman" w:eastAsia="方正仿宋_GBK"/>
          <w:b w:val="0"/>
          <w:sz w:val="24"/>
        </w:rPr>
        <w:t xml:space="preserve">市区各站补强分散在不同</w:t>
      </w:r>
      <w:r>
        <w:rPr>
          <w:rFonts w:ascii="Times New Roman" w:hAnsi="Times New Roman" w:eastAsia="方正仿宋_GBK"/>
          <w:b w:val="0"/>
          <w:sz w:val="24"/>
        </w:rPr>
        <w:t xml:space="preserve">年</w:t>
      </w:r>
      <w:r>
        <w:rPr>
          <w:rFonts w:ascii="Times New Roman" w:hAnsi="Times New Roman" w:eastAsia="方正仿宋_GBK"/>
          <w:b w:val="0"/>
          <w:sz w:val="24"/>
        </w:rPr>
        <w:t xml:space="preserve">度。部分</w:t>
      </w:r>
      <w:r>
        <w:rPr>
          <w:rFonts w:ascii="Times New Roman" w:hAnsi="Times New Roman" w:eastAsia="方正仿宋_GBK"/>
          <w:b w:val="0"/>
          <w:sz w:val="24"/>
        </w:rPr>
        <w:t xml:space="preserve">站</w:t>
      </w:r>
      <w:r>
        <w:rPr>
          <w:rFonts w:ascii="Times New Roman" w:hAnsi="Times New Roman" w:eastAsia="方正仿宋_GBK"/>
          <w:b w:val="0"/>
          <w:sz w:val="24"/>
        </w:rPr>
        <w:t xml:space="preserve">通过更换</w:t>
      </w:r>
      <w:r>
        <w:rPr>
          <w:rFonts w:ascii="Times New Roman" w:hAnsi="Times New Roman" w:eastAsia="方正仿宋_GBK"/>
          <w:b w:val="0"/>
          <w:sz w:val="24"/>
        </w:rPr>
        <w:t xml:space="preserve">主变</w:t>
      </w:r>
      <w:r>
        <w:rPr>
          <w:rFonts w:ascii="Times New Roman" w:hAnsi="Times New Roman" w:eastAsia="方正仿宋_GBK"/>
          <w:b w:val="0"/>
          <w:sz w:val="24"/>
        </w:rPr>
        <w:t xml:space="preserve">承担本地增长，部分站新增第三台提高故障</w:t>
      </w:r>
      <w:r>
        <w:rPr>
          <w:rFonts w:ascii="Times New Roman" w:hAnsi="Times New Roman" w:eastAsia="方正仿宋_GBK"/>
          <w:b w:val="0"/>
          <w:sz w:val="24"/>
        </w:rPr>
        <w:t xml:space="preserve">后剩余容量</w:t>
      </w:r>
      <w:r>
        <w:rPr>
          <w:rFonts w:ascii="Times New Roman" w:hAnsi="Times New Roman" w:eastAsia="方正仿宋_GBK"/>
          <w:b w:val="0"/>
          <w:sz w:val="24"/>
        </w:rPr>
        <w:t xml:space="preserve">，其余站结合既有及新增联络承担邻站支援。2</w:t>
      </w:r>
      <w:r>
        <w:rPr>
          <w:rFonts w:ascii="Times New Roman" w:hAnsi="Times New Roman" w:eastAsia="方正仿宋_GBK"/>
          <w:b w:val="0"/>
          <w:sz w:val="24"/>
        </w:rPr>
        <w:t xml:space="preserve">0</w:t>
      </w:r>
      <w:r>
        <w:rPr>
          <w:rFonts w:ascii="Times New Roman" w:hAnsi="Times New Roman" w:eastAsia="方正仿宋_GBK"/>
          <w:b w:val="0"/>
          <w:sz w:val="24"/>
        </w:rPr>
        <w:t xml:space="preserve">35年两类方案的</w:t>
      </w:r>
      <w:r>
        <w:rPr>
          <w:rFonts w:ascii="Times New Roman" w:hAnsi="Times New Roman" w:eastAsia="方正仿宋_GBK"/>
          <w:b w:val="0"/>
          <w:sz w:val="24"/>
        </w:rPr>
        <w:t xml:space="preserve">剩余</w:t>
      </w:r>
      <w:r>
        <w:rPr>
          <w:rFonts w:ascii="Times New Roman" w:hAnsi="Times New Roman" w:eastAsia="方正仿宋_GBK"/>
          <w:b w:val="0"/>
          <w:sz w:val="24"/>
        </w:rPr>
        <w:t xml:space="preserve">能力与配储规模分别列示，具体建设时点和任务由逐站表及原始采用预案回代分析</w:t>
      </w:r>
      <w:r>
        <w:rPr>
          <w:rFonts w:ascii="Times New Roman" w:hAnsi="Times New Roman" w:eastAsia="方正仿宋_GBK"/>
          <w:b w:val="0"/>
          <w:sz w:val="24"/>
        </w:rPr>
        <w:t xml:space="preserve">。</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4754880"/>
            <wp:effectExtent b="0" l="0" r="0" t="0"/>
            <wp:docPr descr="" title="" id="94" name="Picture"/>
            <a:graphic>
              <a:graphicData uri="http://schemas.openxmlformats.org/drawingml/2006/picture">
                <pic:pic>
                  <pic:nvPicPr>
                    <pic:cNvPr descr="研究报告/02图表/当前版/city_station_n1.png" id="0" name="Picture"/>
                    <pic:cNvPicPr>
                      <a:picLocks noChangeArrowheads="1" noChangeAspect="1"/>
                    </pic:cNvPicPr>
                  </pic:nvPicPr>
                  <pic:blipFill>
                    <a:blip r:embed="rIdReportRevision12"/>
                    <a:stretch>
                      <a:fillRect/>
                    </a:stretch>
                  </pic:blipFill>
                  <pic:spPr bwMode="auto">
                    <a:xfrm>
                      <a:off x="0" y="0"/>
                      <a:ext cx="5120640" cy="4754880"/>
                    </a:xfrm>
                    <a:prstGeom prst="rect">
                      <a:avLst/>
                    </a:prstGeom>
                    <a:noFill/>
                    <a:ln w="9525">
                      <a:noFill/>
                      <a:headEnd/>
                      <a:tailEnd/>
                    </a:ln>
                  </pic:spPr>
                </pic:pic>
              </a:graphicData>
            </a:graphic>
          </wp:inline>
        </w:drawing>
      </w:r>
    </w:p>
    <w:p w14:paraId="44A55CF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 xml:space="preserve">图5-9 市区逐站初始与20</w:t>
      </w:r>
      <w:r>
        <w:rPr>
          <w:rFonts w:ascii="Times New Roman" w:hAnsi="Times New Roman" w:eastAsia="宋体"/>
          <w:b w:val="0"/>
          <w:sz w:val="21"/>
        </w:rPr>
        <w:t xml:space="preserve">3</w:t>
      </w:r>
      <w:r>
        <w:rPr>
          <w:rFonts w:ascii="Times New Roman" w:hAnsi="Times New Roman" w:eastAsia="宋体"/>
          <w:b w:val="0"/>
          <w:sz w:val="21"/>
        </w:rPr>
        <w:t xml:space="preserve">5年方案的N-1剩余主变能力</w:t>
      </w:r>
    </w:p>
    <w:p w14:paraId="427E3A6E">
      <w:pPr>
        <w:pStyle w:val="5"/>
        <w:keepNext/>
        <w:numPr>
          <w:ilvl w:val="0"/>
          <w:numId w:val="0"/>
        </w:numPr>
        <w:spacing w:before="160" w:after="120" w:line="390" w:lineRule="exact"/>
        <w:ind w:firstLine="0"/>
      </w:pPr>
      <w:bookmarkStart w:id="248" w:name="年度设备配置与站间差异"/>
      <w:r>
        <w:rPr>
          <w:rFonts w:ascii="Times New Roman" w:hAnsi="Times New Roman" w:eastAsia="方正仿宋_GBK"/>
          <w:b/>
          <w:sz w:val="26"/>
        </w:rPr>
        <w:t>5.4.7 年度设备配置与站间差异</w:t>
      </w:r>
      <w:bookmarkEnd w:id="248"/>
    </w:p>
    <w:p w14:paraId="0CAE6D96">
      <w:pPr>
        <w:pStyle w:val="115"/>
        <w:widowControl/>
        <w:spacing w:before="0" w:after="0" w:line="348" w:lineRule="exact"/>
        <w:ind w:firstLine="480"/>
        <w:jc w:val="both"/>
      </w:pPr>
      <w:r>
        <w:rPr>
          <w:rFonts w:ascii="Times New Roman" w:hAnsi="Times New Roman" w:eastAsia="方正仿宋_GBK"/>
          <w:b w:val="0"/>
          <w:sz w:val="24"/>
        </w:rPr>
        <w:t>区域总容量可以由更换较大主变、增加主变台数或两者结合形成。总容量相近的站，在最大单台主变N-1后的剩余容量也可能不同，因此需要同时列示设备组合与配储地点。</w:t>
      </w:r>
    </w:p>
    <w:p w14:paraId="6BE68585">
      <w:pPr>
        <w:pStyle w:val="2"/>
        <w:keepNext/>
        <w:spacing w:before="120" w:after="80" w:line="280" w:lineRule="exact"/>
        <w:ind w:firstLine="0"/>
        <w:jc w:val="center"/>
      </w:pPr>
      <w:r>
        <w:rPr>
          <w:rFonts w:ascii="Times New Roman" w:hAnsi="Times New Roman" w:eastAsia="宋体"/>
          <w:b w:val="0"/>
          <w:sz w:val="21"/>
        </w:rPr>
        <w:t xml:space="preserve">表5-59 20</w:t>
      </w:r>
      <w:r>
        <w:rPr>
          <w:rFonts w:ascii="Times New Roman" w:hAnsi="Times New Roman" w:eastAsia="宋体"/>
          <w:b w:val="0"/>
          <w:sz w:val="21"/>
        </w:rPr>
        <w:t xml:space="preserve">3</w:t>
      </w:r>
      <w:r>
        <w:rPr>
          <w:rFonts w:ascii="Times New Roman" w:hAnsi="Times New Roman" w:eastAsia="宋体"/>
          <w:b w:val="0"/>
          <w:sz w:val="21"/>
        </w:rPr>
        <w:t xml:space="preserve">5年站级展示范围内主变台数与配储站数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264.30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253.80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15.38%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40.80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15.38%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48.60</w:t>
            </w:r>
          </w:p>
        </w:tc>
      </w:tr>
    </w:tbl>
    <w:p w14:paraId="3C8EDC30">
      <w:pPr>
        <w:pStyle w:val="2"/>
        <w:widowControl/>
        <w:spacing w:before="0" w:after="0" w:line="348" w:lineRule="exact"/>
        <w:ind w:firstLine="480"/>
        <w:jc w:val="both"/>
      </w:pPr>
      <w:r>
        <w:rPr>
          <w:rFonts w:ascii="Times New Roman" w:hAnsi="Times New Roman" w:eastAsia="方正仿宋_GBK"/>
          <w:b w:val="0"/>
          <w:sz w:val="24"/>
        </w:rPr>
        <w:t xml:space="preserve">表中</w:t>
      </w:r>
      <w:r>
        <w:rPr>
          <w:rFonts w:ascii="Times New Roman" w:hAnsi="Times New Roman" w:eastAsia="方正仿宋_GBK"/>
          <w:b w:val="0"/>
          <w:sz w:val="24"/>
        </w:rPr>
        <w:t xml:space="preserve">两</w:t>
      </w:r>
      <w:r>
        <w:rPr>
          <w:rFonts w:ascii="Times New Roman" w:hAnsi="Times New Roman" w:eastAsia="方正仿宋_GBK"/>
          <w:b w:val="0"/>
          <w:sz w:val="24"/>
        </w:rPr>
        <w:t xml:space="preserve">台、</w:t>
      </w:r>
      <w:r>
        <w:rPr>
          <w:rFonts w:ascii="Times New Roman" w:hAnsi="Times New Roman" w:eastAsia="方正仿宋_GBK"/>
          <w:b w:val="0"/>
          <w:sz w:val="24"/>
        </w:rPr>
        <w:t xml:space="preserve">三台主变站</w:t>
      </w:r>
      <w:r>
        <w:rPr>
          <w:rFonts w:ascii="Times New Roman" w:hAnsi="Times New Roman" w:eastAsia="方正仿宋_GBK"/>
          <w:b w:val="0"/>
          <w:sz w:val="24"/>
        </w:rPr>
        <w:t xml:space="preserve">数按2035年实际采用组合统计。相同台数的</w:t>
      </w:r>
      <w:r>
        <w:rPr>
          <w:rFonts w:ascii="Times New Roman" w:hAnsi="Times New Roman" w:eastAsia="方正仿宋_GBK"/>
          <w:b w:val="0"/>
          <w:sz w:val="24"/>
        </w:rPr>
        <w:t xml:space="preserve">站</w:t>
      </w:r>
      <w:r>
        <w:rPr>
          <w:rFonts w:ascii="Times New Roman" w:hAnsi="Times New Roman" w:eastAsia="方正仿宋_GBK"/>
          <w:b w:val="0"/>
          <w:sz w:val="24"/>
        </w:rPr>
        <w:t xml:space="preserve">点仍可</w:t>
      </w:r>
      <w:r>
        <w:rPr>
          <w:rFonts w:ascii="Times New Roman" w:hAnsi="Times New Roman" w:eastAsia="方正仿宋_GBK"/>
          <w:b w:val="0"/>
          <w:sz w:val="24"/>
        </w:rPr>
        <w:t xml:space="preserve">能</w:t>
      </w:r>
      <w:r>
        <w:rPr>
          <w:rFonts w:ascii="Times New Roman" w:hAnsi="Times New Roman" w:eastAsia="方正仿宋_GBK"/>
          <w:b w:val="0"/>
          <w:sz w:val="24"/>
        </w:rPr>
        <w:t xml:space="preserve">采用</w:t>
      </w:r>
      <w:r>
        <w:rPr>
          <w:rFonts w:ascii="Times New Roman" w:hAnsi="Times New Roman" w:eastAsia="方正仿宋_GBK"/>
          <w:b w:val="0"/>
          <w:sz w:val="24"/>
        </w:rPr>
        <w:t xml:space="preserve">不同</w:t>
      </w:r>
      <w:r>
        <w:rPr>
          <w:rFonts w:ascii="Times New Roman" w:hAnsi="Times New Roman" w:eastAsia="方正仿宋_GBK"/>
          <w:b w:val="0"/>
          <w:sz w:val="24"/>
        </w:rPr>
        <w:t xml:space="preserve">额定容量</w:t>
      </w:r>
      <w:r>
        <w:rPr>
          <w:rFonts w:ascii="Times New Roman" w:hAnsi="Times New Roman" w:eastAsia="方正仿宋_GBK"/>
          <w:b w:val="0"/>
          <w:sz w:val="24"/>
        </w:rPr>
        <w:t xml:space="preserve">，</w:t>
      </w:r>
      <w:r>
        <w:rPr>
          <w:rFonts w:ascii="Times New Roman" w:hAnsi="Times New Roman" w:eastAsia="方正仿宋_GBK"/>
          <w:b w:val="0"/>
          <w:sz w:val="24"/>
        </w:rPr>
        <w:t xml:space="preserve">故障后剩余</w:t>
      </w:r>
      <w:r>
        <w:rPr>
          <w:rFonts w:ascii="Times New Roman" w:hAnsi="Times New Roman" w:eastAsia="方正仿宋_GBK"/>
          <w:b w:val="0"/>
          <w:sz w:val="24"/>
        </w:rPr>
        <w:t xml:space="preserve">能力还需</w:t>
      </w:r>
      <w:r>
        <w:rPr>
          <w:rFonts w:ascii="Times New Roman" w:hAnsi="Times New Roman" w:eastAsia="方正仿宋_GBK"/>
          <w:b w:val="0"/>
          <w:sz w:val="24"/>
        </w:rPr>
        <w:t xml:space="preserve">结</w:t>
      </w:r>
      <w:r>
        <w:rPr>
          <w:rFonts w:ascii="Times New Roman" w:hAnsi="Times New Roman" w:eastAsia="方正仿宋_GBK"/>
          <w:b w:val="0"/>
          <w:sz w:val="24"/>
        </w:rPr>
        <w:t xml:space="preserve">合</w:t>
      </w:r>
      <w:r>
        <w:rPr>
          <w:rFonts w:ascii="Times New Roman" w:hAnsi="Times New Roman" w:eastAsia="方正仿宋_GBK"/>
          <w:b w:val="0"/>
          <w:sz w:val="24"/>
        </w:rPr>
        <w:t xml:space="preserve">最大单台</w:t>
      </w:r>
      <w:r>
        <w:rPr>
          <w:rFonts w:ascii="Times New Roman" w:hAnsi="Times New Roman" w:eastAsia="方正仿宋_GBK"/>
          <w:b w:val="0"/>
          <w:sz w:val="24"/>
        </w:rPr>
        <w:t xml:space="preserve">容量</w:t>
      </w:r>
      <w:r>
        <w:rPr>
          <w:rFonts w:ascii="Times New Roman" w:hAnsi="Times New Roman" w:eastAsia="方正仿宋_GBK"/>
          <w:b w:val="0"/>
          <w:sz w:val="24"/>
        </w:rPr>
        <w:t xml:space="preserve">判断</w:t>
      </w:r>
      <w:r>
        <w:rPr>
          <w:rFonts w:ascii="Times New Roman" w:hAnsi="Times New Roman" w:eastAsia="方正仿宋_GBK"/>
          <w:b w:val="0"/>
          <w:sz w:val="24"/>
        </w:rPr>
        <w:t xml:space="preserve">。</w:t>
      </w:r>
      <w:r>
        <w:rPr>
          <w:rFonts w:ascii="Times New Roman" w:hAnsi="Times New Roman" w:eastAsia="方正仿宋_GBK"/>
          <w:b w:val="0"/>
          <w:sz w:val="24"/>
        </w:rPr>
        <w:t xml:space="preserve">配储站数与储能规模分别反映补充支撑</w:t>
      </w:r>
      <w:r>
        <w:rPr>
          <w:rFonts w:ascii="Times New Roman" w:hAnsi="Times New Roman" w:eastAsia="方正仿宋_GBK"/>
          <w:b w:val="0"/>
          <w:sz w:val="24"/>
        </w:rPr>
        <w:t xml:space="preserve">的</w:t>
      </w:r>
      <w:r>
        <w:rPr>
          <w:rFonts w:ascii="Times New Roman" w:hAnsi="Times New Roman" w:eastAsia="方正仿宋_GBK"/>
          <w:b w:val="0"/>
          <w:sz w:val="24"/>
        </w:rPr>
        <w:t xml:space="preserve">空间范围</w:t>
      </w:r>
      <w:r>
        <w:rPr>
          <w:rFonts w:ascii="Times New Roman" w:hAnsi="Times New Roman" w:eastAsia="方正仿宋_GBK"/>
          <w:b w:val="0"/>
          <w:sz w:val="24"/>
        </w:rPr>
        <w:t xml:space="preserve">和</w:t>
      </w:r>
      <w:r>
        <w:rPr>
          <w:rFonts w:ascii="Times New Roman" w:hAnsi="Times New Roman" w:eastAsia="方正仿宋_GBK"/>
          <w:b w:val="0"/>
          <w:sz w:val="24"/>
        </w:rPr>
        <w:t xml:space="preserve">总量</w:t>
      </w:r>
      <w:r>
        <w:rPr>
          <w:rFonts w:ascii="Times New Roman" w:hAnsi="Times New Roman" w:eastAsia="方正仿宋_GBK"/>
          <w:b w:val="0"/>
          <w:sz w:val="24"/>
        </w:rPr>
        <w:t xml:space="preserve">。</w:t>
      </w:r>
    </w:p>
    <w:p w14:paraId="18550677">
      <w:pPr>
        <w:pStyle w:val="2"/>
        <w:widowControl/>
        <w:spacing w:before="0" w:after="0" w:line="348" w:lineRule="exact"/>
        <w:ind w:firstLine="480"/>
        <w:jc w:val="both"/>
      </w:pPr>
      <w:r>
        <w:rPr>
          <w:rFonts w:ascii="Times New Roman" w:hAnsi="Times New Roman" w:eastAsia="方正仿宋_GBK"/>
          <w:b w:val="0"/>
          <w:sz w:val="24"/>
        </w:rPr>
        <w:t>同一容载比可以由不同站内设备结构形成，因此区域推荐区间需与主变台数、规格及站间任务对应。逐站比较需求和建设选择后，再归纳区域指标，才能说明新增容量用于哪些站点，以及费用变化来自哪些措施。</w:t>
      </w:r>
    </w:p>
    <w:p w14:paraId="2B21AD9C">
      <w:pPr>
        <w:pStyle w:val="2"/>
        <w:widowControl/>
        <w:spacing w:before="0" w:after="0" w:line="348" w:lineRule="exact"/>
        <w:ind w:firstLine="480"/>
        <w:jc w:val="both"/>
      </w:pPr>
      <w:r>
        <w:rPr>
          <w:rFonts w:ascii="Times New Roman" w:hAnsi="Times New Roman" w:eastAsia="方正仿宋_GBK"/>
          <w:b w:val="0"/>
          <w:sz w:val="24"/>
        </w:rPr>
        <w:t>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14:paraId="17EFD6A4">
      <w:pPr>
        <w:pStyle w:val="5"/>
        <w:keepNext/>
        <w:numPr>
          <w:ilvl w:val="0"/>
          <w:numId w:val="0"/>
        </w:numPr>
        <w:spacing w:before="160" w:after="120" w:line="390" w:lineRule="exact"/>
        <w:ind w:firstLine="0"/>
      </w:pPr>
      <w:bookmarkStart w:id="249" w:name="保留2021实际容量的方案对照"/>
      <w:r>
        <w:rPr>
          <w:rFonts w:ascii="Times New Roman" w:hAnsi="Times New Roman" w:eastAsia="方正仿宋_GBK"/>
          <w:b/>
          <w:sz w:val="26"/>
        </w:rPr>
        <w:t>5.4.8 保留2021实际容量的方案对照</w:t>
      </w:r>
      <w:bookmarkEnd w:id="249"/>
    </w:p>
    <w:p w14:paraId="04DD5871">
      <w:pPr>
        <w:pStyle w:val="115"/>
        <w:widowControl/>
        <w:spacing w:before="0" w:after="0" w:line="348" w:lineRule="exact"/>
        <w:ind w:firstLine="480"/>
        <w:jc w:val="both"/>
      </w:pPr>
      <w:r>
        <w:rPr>
          <w:rFonts w:ascii="Times New Roman" w:hAnsi="Times New Roman" w:eastAsia="方正仿宋_GBK"/>
          <w:b w:val="0"/>
          <w:sz w:val="24"/>
        </w:rPr>
        <w:t xml:space="preserve">两地区均保留</w:t>
      </w:r>
      <w:r>
        <w:rPr>
          <w:rFonts w:ascii="Times New Roman" w:hAnsi="Times New Roman" w:eastAsia="方正仿宋_GBK"/>
          <w:b w:val="0"/>
          <w:sz w:val="24"/>
        </w:rPr>
        <w:t xml:space="preserve">2021年实际</w:t>
      </w:r>
      <w:r>
        <w:rPr>
          <w:rFonts w:ascii="Times New Roman" w:hAnsi="Times New Roman" w:eastAsia="方正仿宋_GBK"/>
          <w:b w:val="0"/>
          <w:sz w:val="24"/>
        </w:rPr>
        <w:t xml:space="preserve">主变</w:t>
      </w:r>
      <w:r>
        <w:rPr>
          <w:rFonts w:ascii="Times New Roman" w:hAnsi="Times New Roman" w:eastAsia="方正仿宋_GBK"/>
          <w:b w:val="0"/>
          <w:sz w:val="24"/>
        </w:rPr>
        <w:t xml:space="preserve">容量</w:t>
      </w:r>
      <w:r>
        <w:rPr>
          <w:rFonts w:ascii="Times New Roman" w:hAnsi="Times New Roman" w:eastAsia="方正仿宋_GBK"/>
          <w:b w:val="0"/>
          <w:sz w:val="24"/>
        </w:rPr>
        <w:t xml:space="preserve">作</w:t>
      </w:r>
      <w:r>
        <w:rPr>
          <w:rFonts w:ascii="Times New Roman" w:hAnsi="Times New Roman" w:eastAsia="方正仿宋_GBK"/>
          <w:b w:val="0"/>
          <w:sz w:val="24"/>
        </w:rPr>
        <w:t xml:space="preserve">为</w:t>
      </w:r>
      <w:r>
        <w:rPr>
          <w:rFonts w:ascii="Times New Roman" w:hAnsi="Times New Roman" w:eastAsia="方正仿宋_GBK"/>
          <w:b w:val="0"/>
          <w:sz w:val="24"/>
        </w:rPr>
        <w:t xml:space="preserve">刚性、弹性的共同</w:t>
      </w:r>
      <w:r>
        <w:rPr>
          <w:rFonts w:ascii="Times New Roman" w:hAnsi="Times New Roman" w:eastAsia="方正仿宋_GBK"/>
          <w:b w:val="0"/>
          <w:sz w:val="24"/>
        </w:rPr>
        <w:t xml:space="preserve">起点</w:t>
      </w:r>
      <w:r>
        <w:rPr>
          <w:rFonts w:ascii="Times New Roman" w:hAnsi="Times New Roman" w:eastAsia="方正仿宋_GBK"/>
          <w:b w:val="0"/>
          <w:sz w:val="24"/>
        </w:rPr>
        <w:t xml:space="preserve">。</w:t>
      </w:r>
      <w:r>
        <w:rPr>
          <w:rFonts w:ascii="Times New Roman" w:hAnsi="Times New Roman" w:eastAsia="方正仿宋_GBK"/>
          <w:b w:val="0"/>
          <w:sz w:val="24"/>
        </w:rPr>
        <w:t xml:space="preserve">以下汇总</w:t>
      </w:r>
      <w:r>
        <w:rPr>
          <w:rFonts w:ascii="Times New Roman" w:hAnsi="Times New Roman" w:eastAsia="方正仿宋_GBK"/>
          <w:b w:val="0"/>
          <w:sz w:val="24"/>
        </w:rPr>
        <w:t xml:space="preserve">2021</w:t>
      </w:r>
      <w:r>
        <w:rPr>
          <w:rFonts w:ascii="Times New Roman" w:hAnsi="Times New Roman" w:eastAsia="方正仿宋_GBK"/>
          <w:b w:val="0"/>
          <w:sz w:val="24"/>
        </w:rPr>
        <w:t xml:space="preserve">、2025、2030、2035</w:t>
      </w:r>
      <w:r>
        <w:rPr>
          <w:rFonts w:ascii="Times New Roman" w:hAnsi="Times New Roman" w:eastAsia="方正仿宋_GBK"/>
          <w:b w:val="0"/>
          <w:sz w:val="24"/>
        </w:rPr>
        <w:t xml:space="preserve">年</w:t>
      </w:r>
      <w:r>
        <w:rPr>
          <w:rFonts w:ascii="Times New Roman" w:hAnsi="Times New Roman" w:eastAsia="方正仿宋_GBK"/>
          <w:b w:val="0"/>
          <w:sz w:val="24"/>
        </w:rPr>
        <w:t xml:space="preserve">，完整逐年配置见第5.4.1、5.4.2节。基期新增措施均为零</w:t>
      </w:r>
      <w:r>
        <w:rPr>
          <w:rFonts w:ascii="Times New Roman" w:hAnsi="Times New Roman" w:eastAsia="方正仿宋_GBK"/>
          <w:b w:val="0"/>
          <w:sz w:val="24"/>
        </w:rPr>
        <w:t xml:space="preserve">，2022</w:t>
      </w:r>
      <w:r>
        <w:rPr>
          <w:rFonts w:ascii="Times New Roman" w:hAnsi="Times New Roman" w:eastAsia="方正仿宋_GBK"/>
          <w:b w:val="0"/>
          <w:sz w:val="24"/>
        </w:rPr>
        <w:t xml:space="preserve">年</w:t>
      </w:r>
      <w:r>
        <w:rPr>
          <w:rFonts w:ascii="Times New Roman" w:hAnsi="Times New Roman" w:eastAsia="方正仿宋_GBK"/>
          <w:b w:val="0"/>
          <w:sz w:val="24"/>
        </w:rPr>
        <w:t xml:space="preserve">起各年工程</w:t>
      </w:r>
      <w:r>
        <w:rPr>
          <w:rFonts w:ascii="Times New Roman" w:hAnsi="Times New Roman" w:eastAsia="方正仿宋_GBK"/>
          <w:b w:val="0"/>
          <w:sz w:val="24"/>
        </w:rPr>
        <w:t xml:space="preserve">继</w:t>
      </w:r>
      <w:r>
        <w:rPr>
          <w:rFonts w:ascii="Times New Roman" w:hAnsi="Times New Roman" w:eastAsia="方正仿宋_GBK"/>
          <w:b w:val="0"/>
          <w:sz w:val="24"/>
        </w:rPr>
        <w:t xml:space="preserve">承上</w:t>
      </w:r>
      <w:r>
        <w:rPr>
          <w:rFonts w:ascii="Times New Roman" w:hAnsi="Times New Roman" w:eastAsia="方正仿宋_GBK"/>
          <w:b w:val="0"/>
          <w:sz w:val="24"/>
        </w:rPr>
        <w:t xml:space="preserve">年</w:t>
      </w:r>
      <w:r>
        <w:rPr>
          <w:rFonts w:ascii="Times New Roman" w:hAnsi="Times New Roman" w:eastAsia="方正仿宋_GBK"/>
          <w:b w:val="0"/>
          <w:sz w:val="24"/>
        </w:rPr>
        <w:t xml:space="preserve">在役设备</w:t>
      </w:r>
      <w:r>
        <w:rPr>
          <w:rFonts w:ascii="Times New Roman" w:hAnsi="Times New Roman" w:eastAsia="方正仿宋_GBK"/>
          <w:b w:val="0"/>
          <w:sz w:val="24"/>
        </w:rPr>
        <w:t xml:space="preserve">。</w:t>
      </w:r>
    </w:p>
    <w:p w14:paraId="5E06981A">
      <w:pPr>
        <w:pStyle w:val="2"/>
        <w:keepNext/>
        <w:spacing w:before="120" w:after="80" w:line="280" w:lineRule="exact"/>
        <w:ind w:firstLine="0"/>
        <w:jc w:val="center"/>
      </w:pPr>
      <w:r>
        <w:rPr>
          <w:rFonts w:ascii="Times New Roman" w:hAnsi="Times New Roman" w:eastAsia="宋体"/>
          <w:b w:val="0"/>
          <w:sz w:val="21"/>
        </w:rPr>
        <w:t xml:space="preserve">表5-60 保留2021实际容量的</w:t>
      </w:r>
      <w:r>
        <w:rPr>
          <w:rFonts w:ascii="Times New Roman" w:hAnsi="Times New Roman" w:eastAsia="宋体"/>
          <w:b w:val="0"/>
          <w:sz w:val="21"/>
        </w:rPr>
        <w:t xml:space="preserve">代表</w:t>
      </w:r>
      <w:r>
        <w:rPr>
          <w:rFonts w:ascii="Times New Roman" w:hAnsi="Times New Roman" w:eastAsia="宋体"/>
          <w:b w:val="0"/>
          <w:sz w:val="21"/>
        </w:rPr>
        <w:t xml:space="preserve">年</w:t>
      </w:r>
      <w:r>
        <w:rPr>
          <w:rFonts w:ascii="Times New Roman" w:hAnsi="Times New Roman" w:eastAsia="宋体"/>
          <w:b w:val="0"/>
          <w:sz w:val="21"/>
        </w:rPr>
        <w:t xml:space="preserve">度</w:t>
      </w:r>
      <w:r>
        <w:rPr>
          <w:rFonts w:ascii="Times New Roman" w:hAnsi="Times New Roman" w:eastAsia="宋体"/>
          <w:b w:val="0"/>
          <w:sz w:val="21"/>
        </w:rPr>
        <w:t xml:space="preserve">汇总</w:t>
      </w:r>
      <w:r>
        <w:rPr>
          <w:woUserID w:val="2"/>
        </w:rPr>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年末主变/MVA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年末储能/MWh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累计新联络/条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2091.50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2125.50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153.94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2388.50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69.66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3140.50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3413.00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2678.00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568.25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2901.00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545.67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92.88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109.65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w:t>
            </w:r>
          </w:p>
        </w:tc>
      </w:tr>
    </w:tbl>
    <w:p w14:paraId="772F43B0">
      <w:pPr>
        <w:pStyle w:val="2"/>
        <w:widowControl/>
        <w:spacing w:before="0" w:after="0" w:line="348" w:lineRule="exact"/>
        <w:ind w:firstLine="480"/>
        <w:jc w:val="both"/>
      </w:pPr>
      <w:r>
        <w:rPr>
          <w:rFonts w:ascii="Times New Roman" w:hAnsi="Times New Roman" w:eastAsia="方正仿宋_GBK"/>
          <w:b w:val="0"/>
          <w:sz w:val="24"/>
        </w:rPr>
        <w:t xml:space="preserve">未来输入来自区域负荷与光伏预测。2030年市区、</w:t>
      </w:r>
      <w:r>
        <w:rPr>
          <w:rFonts w:ascii="Times New Roman" w:hAnsi="Times New Roman" w:eastAsia="方正仿宋_GBK"/>
          <w:b w:val="0"/>
          <w:sz w:val="24"/>
        </w:rPr>
        <w:t xml:space="preserve">邳州</w:t>
      </w:r>
      <w:r>
        <w:rPr>
          <w:rFonts w:ascii="Times New Roman" w:hAnsi="Times New Roman" w:eastAsia="方正仿宋_GBK"/>
          <w:b w:val="0"/>
          <w:sz w:val="24"/>
        </w:rPr>
        <w:t xml:space="preserve">区域总</w:t>
      </w:r>
      <w:r>
        <w:rPr>
          <w:rFonts w:ascii="Times New Roman" w:hAnsi="Times New Roman" w:eastAsia="方正仿宋_GBK"/>
          <w:b w:val="0"/>
          <w:sz w:val="24"/>
        </w:rPr>
        <w:t xml:space="preserve">负荷</w:t>
      </w:r>
      <w:r>
        <w:rPr>
          <w:rFonts w:ascii="Times New Roman" w:hAnsi="Times New Roman" w:eastAsia="方正仿宋_GBK"/>
          <w:b w:val="0"/>
          <w:sz w:val="24"/>
        </w:rPr>
        <w:t xml:space="preserve">预测分别为344</w:t>
      </w:r>
      <w:r>
        <w:rPr>
          <w:rFonts w:ascii="Times New Roman" w:hAnsi="Times New Roman" w:eastAsia="方正仿宋_GBK"/>
          <w:b w:val="0"/>
          <w:sz w:val="24"/>
        </w:rPr>
        <w:t xml:space="preserve">0</w:t>
      </w:r>
      <w:r>
        <w:rPr>
          <w:rFonts w:ascii="Times New Roman" w:hAnsi="Times New Roman" w:eastAsia="方正仿宋_GBK"/>
          <w:b w:val="0"/>
          <w:sz w:val="24"/>
        </w:rPr>
        <w:t xml:space="preserve">.00 M</w:t>
      </w:r>
      <w:r>
        <w:rPr>
          <w:rFonts w:ascii="Times New Roman" w:hAnsi="Times New Roman" w:eastAsia="方正仿宋_GBK"/>
          <w:b w:val="0"/>
          <w:sz w:val="24"/>
        </w:rPr>
        <w:t xml:space="preserve">W、19</w:t>
      </w:r>
      <w:r>
        <w:rPr>
          <w:rFonts w:ascii="Times New Roman" w:hAnsi="Times New Roman" w:eastAsia="方正仿宋_GBK"/>
          <w:b w:val="0"/>
          <w:sz w:val="24"/>
        </w:rPr>
        <w:t xml:space="preserve">0</w:t>
      </w:r>
      <w:r>
        <w:rPr>
          <w:rFonts w:ascii="Times New Roman" w:hAnsi="Times New Roman" w:eastAsia="方正仿宋_GBK"/>
          <w:b w:val="0"/>
          <w:sz w:val="24"/>
        </w:rPr>
        <w:t xml:space="preserve">6</w:t>
      </w:r>
      <w:r>
        <w:rPr>
          <w:rFonts w:ascii="Times New Roman" w:hAnsi="Times New Roman" w:eastAsia="方正仿宋_GBK"/>
          <w:b w:val="0"/>
          <w:sz w:val="24"/>
        </w:rPr>
        <w:t xml:space="preserve">.</w:t>
      </w:r>
      <w:r>
        <w:rPr>
          <w:rFonts w:ascii="Times New Roman" w:hAnsi="Times New Roman" w:eastAsia="方正仿宋_GBK"/>
          <w:b w:val="0"/>
          <w:sz w:val="24"/>
        </w:rPr>
        <w:t xml:space="preserve">00</w:t>
      </w:r>
      <w:r>
        <w:rPr>
          <w:rFonts w:ascii="Times New Roman" w:hAnsi="Times New Roman" w:eastAsia="方正仿宋_GBK"/>
          <w:b w:val="0"/>
          <w:sz w:val="24"/>
        </w:rPr>
        <w:t xml:space="preserve"> MW</w:t>
      </w:r>
      <w:r>
        <w:rPr>
          <w:rFonts w:ascii="Times New Roman" w:hAnsi="Times New Roman" w:eastAsia="方正仿宋_GBK"/>
          <w:b w:val="0"/>
          <w:sz w:val="24"/>
        </w:rPr>
        <w:t xml:space="preserve">，</w:t>
      </w:r>
      <w:r>
        <w:rPr>
          <w:rFonts w:ascii="Times New Roman" w:hAnsi="Times New Roman" w:eastAsia="方正仿宋_GBK"/>
          <w:b w:val="0"/>
          <w:sz w:val="24"/>
        </w:rPr>
        <w:t xml:space="preserve">相对</w:t>
      </w:r>
      <w:r>
        <w:rPr>
          <w:rFonts w:ascii="Times New Roman" w:hAnsi="Times New Roman" w:eastAsia="方正仿宋_GBK"/>
          <w:b w:val="0"/>
          <w:sz w:val="24"/>
        </w:rPr>
        <w:t xml:space="preserve">2025年</w:t>
      </w:r>
      <w:r>
        <w:rPr>
          <w:rFonts w:ascii="Times New Roman" w:hAnsi="Times New Roman" w:eastAsia="方正仿宋_GBK"/>
          <w:b w:val="0"/>
          <w:sz w:val="24"/>
        </w:rPr>
        <w:t xml:space="preserve">2</w:t>
      </w:r>
      <w:r>
        <w:rPr>
          <w:rFonts w:ascii="Times New Roman" w:hAnsi="Times New Roman" w:eastAsia="方正仿宋_GBK"/>
          <w:b w:val="0"/>
          <w:sz w:val="24"/>
        </w:rPr>
        <w:t xml:space="preserve">85</w:t>
      </w:r>
      <w:r>
        <w:rPr>
          <w:rFonts w:ascii="Times New Roman" w:hAnsi="Times New Roman" w:eastAsia="方正仿宋_GBK"/>
          <w:b w:val="0"/>
          <w:sz w:val="24"/>
        </w:rPr>
        <w:t xml:space="preserve">0</w:t>
      </w:r>
      <w:r>
        <w:rPr>
          <w:rFonts w:ascii="Times New Roman" w:hAnsi="Times New Roman" w:eastAsia="方正仿宋_GBK"/>
          <w:b w:val="0"/>
          <w:sz w:val="24"/>
        </w:rPr>
        <w:t xml:space="preserve">.</w:t>
      </w:r>
      <w:r>
        <w:rPr>
          <w:rFonts w:ascii="Times New Roman" w:hAnsi="Times New Roman" w:eastAsia="方正仿宋_GBK"/>
          <w:b w:val="0"/>
          <w:sz w:val="24"/>
        </w:rPr>
        <w:t xml:space="preserve">00</w:t>
      </w:r>
      <w:r>
        <w:rPr>
          <w:rFonts w:ascii="Times New Roman" w:hAnsi="Times New Roman" w:eastAsia="方正仿宋_GBK"/>
          <w:b w:val="0"/>
          <w:sz w:val="24"/>
        </w:rPr>
        <w:t xml:space="preserve"> MW</w:t>
      </w:r>
      <w:r>
        <w:rPr>
          <w:rFonts w:ascii="Times New Roman" w:hAnsi="Times New Roman" w:eastAsia="方正仿宋_GBK"/>
          <w:b w:val="0"/>
          <w:sz w:val="24"/>
        </w:rPr>
        <w:t xml:space="preserve">、1556.</w:t>
      </w:r>
      <w:r>
        <w:rPr>
          <w:rFonts w:ascii="Times New Roman" w:hAnsi="Times New Roman" w:eastAsia="方正仿宋_GBK"/>
          <w:b w:val="0"/>
          <w:sz w:val="24"/>
        </w:rPr>
        <w:t xml:space="preserve">0</w:t>
      </w:r>
      <w:r>
        <w:rPr>
          <w:rFonts w:ascii="Times New Roman" w:hAnsi="Times New Roman" w:eastAsia="方正仿宋_GBK"/>
          <w:b w:val="0"/>
          <w:sz w:val="24"/>
        </w:rPr>
        <w:t xml:space="preserve">0 MW的比例用于缩放同范围规划峰值，得到</w:t>
      </w:r>
      <w:r>
        <w:rPr>
          <w:rFonts w:ascii="Times New Roman" w:hAnsi="Times New Roman" w:eastAsia="方正仿宋_GBK"/>
          <w:b w:val="0"/>
          <w:sz w:val="24"/>
        </w:rPr>
        <w:t xml:space="preserve">1</w:t>
      </w:r>
      <w:r>
        <w:rPr>
          <w:rFonts w:ascii="Times New Roman" w:hAnsi="Times New Roman" w:eastAsia="方正仿宋_GBK"/>
          <w:b w:val="0"/>
          <w:sz w:val="24"/>
        </w:rPr>
        <w:t xml:space="preserve">845.31 MW、117</w:t>
      </w:r>
      <w:r>
        <w:rPr>
          <w:rFonts w:ascii="Times New Roman" w:hAnsi="Times New Roman" w:eastAsia="方正仿宋_GBK"/>
          <w:b w:val="0"/>
          <w:sz w:val="24"/>
        </w:rPr>
        <w:t xml:space="preserve">1.5</w:t>
      </w:r>
      <w:r>
        <w:rPr>
          <w:rFonts w:ascii="Times New Roman" w:hAnsi="Times New Roman" w:eastAsia="方正仿宋_GBK"/>
          <w:b w:val="0"/>
          <w:sz w:val="24"/>
        </w:rPr>
        <w:t xml:space="preserve">9 MW。2035年区域预测分别为4150.0</w:t>
      </w:r>
      <w:r>
        <w:rPr>
          <w:rFonts w:ascii="Times New Roman" w:hAnsi="Times New Roman" w:eastAsia="方正仿宋_GBK"/>
          <w:b w:val="0"/>
          <w:sz w:val="24"/>
        </w:rPr>
        <w:t xml:space="preserve">0 M</w:t>
      </w:r>
      <w:r>
        <w:rPr>
          <w:rFonts w:ascii="Times New Roman" w:hAnsi="Times New Roman" w:eastAsia="方正仿宋_GBK"/>
          <w:b w:val="0"/>
          <w:sz w:val="24"/>
        </w:rPr>
        <w:t xml:space="preserve">W、</w:t>
      </w:r>
      <w:r>
        <w:rPr>
          <w:rFonts w:ascii="Times New Roman" w:hAnsi="Times New Roman" w:eastAsia="方正仿宋_GBK"/>
          <w:b w:val="0"/>
          <w:sz w:val="24"/>
        </w:rPr>
        <w:t xml:space="preserve">2</w:t>
      </w:r>
      <w:r>
        <w:rPr>
          <w:rFonts w:ascii="Times New Roman" w:hAnsi="Times New Roman" w:eastAsia="方正仿宋_GBK"/>
          <w:b w:val="0"/>
          <w:sz w:val="24"/>
        </w:rPr>
        <w:t xml:space="preserve">293</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w:t>
      </w:r>
      <w:r>
        <w:rPr>
          <w:rFonts w:ascii="Times New Roman" w:hAnsi="Times New Roman" w:eastAsia="方正仿宋_GBK"/>
          <w:b w:val="0"/>
          <w:sz w:val="24"/>
        </w:rPr>
        <w:t xml:space="preserve">W</w:t>
      </w:r>
      <w:r>
        <w:rPr>
          <w:rFonts w:ascii="Times New Roman" w:hAnsi="Times New Roman" w:eastAsia="方正仿宋_GBK"/>
          <w:b w:val="0"/>
          <w:sz w:val="24"/>
        </w:rPr>
        <w:t xml:space="preserve">，</w:t>
      </w:r>
      <w:r>
        <w:rPr>
          <w:rFonts w:ascii="Times New Roman" w:hAnsi="Times New Roman" w:eastAsia="方正仿宋_GBK"/>
          <w:b w:val="0"/>
          <w:sz w:val="24"/>
        </w:rPr>
        <w:t xml:space="preserve">对应规划峰值2226</w:t>
      </w:r>
      <w:r>
        <w:rPr>
          <w:rFonts w:ascii="Times New Roman" w:hAnsi="Times New Roman" w:eastAsia="方正仿宋_GBK"/>
          <w:b w:val="0"/>
          <w:sz w:val="24"/>
        </w:rPr>
        <w:t xml:space="preserve">.</w:t>
      </w:r>
      <w:r>
        <w:rPr>
          <w:rFonts w:ascii="Times New Roman" w:hAnsi="Times New Roman" w:eastAsia="方正仿宋_GBK"/>
          <w:b w:val="0"/>
          <w:sz w:val="24"/>
        </w:rPr>
        <w:t xml:space="preserve">18</w:t>
      </w:r>
      <w:r>
        <w:rPr>
          <w:rFonts w:ascii="Times New Roman" w:hAnsi="Times New Roman" w:eastAsia="方正仿宋_GBK"/>
          <w:b w:val="0"/>
          <w:sz w:val="24"/>
        </w:rPr>
        <w:t xml:space="preserve"> MW</w:t>
      </w:r>
      <w:r>
        <w:rPr>
          <w:rFonts w:ascii="Times New Roman" w:hAnsi="Times New Roman" w:eastAsia="方正仿宋_GBK"/>
          <w:b w:val="0"/>
          <w:sz w:val="24"/>
        </w:rPr>
        <w:t xml:space="preserve">、1409.47 MW。上述为区域预测</w:t>
      </w:r>
      <w:r>
        <w:rPr>
          <w:rFonts w:ascii="Times New Roman" w:hAnsi="Times New Roman" w:eastAsia="方正仿宋_GBK"/>
          <w:b w:val="0"/>
          <w:sz w:val="24"/>
        </w:rPr>
        <w:t xml:space="preserve">，</w:t>
      </w:r>
      <w:r>
        <w:rPr>
          <w:rFonts w:ascii="Times New Roman" w:hAnsi="Times New Roman" w:eastAsia="方正仿宋_GBK"/>
          <w:b w:val="0"/>
          <w:sz w:val="24"/>
        </w:rPr>
        <w:t xml:space="preserve">站点空间分配沿用基准模板</w:t>
      </w:r>
      <w:r>
        <w:rPr>
          <w:rFonts w:ascii="Times New Roman" w:hAnsi="Times New Roman" w:eastAsia="方正仿宋_GBK"/>
          <w:b w:val="0"/>
          <w:sz w:val="24"/>
        </w:rPr>
        <w:t xml:space="preserve">。</w:t>
      </w:r>
    </w:p>
    <w:p w14:paraId="49E99DCE">
      <w:pPr>
        <w:pStyle w:val="2"/>
        <w:widowControl/>
        <w:spacing w:before="0" w:after="0" w:line="348" w:lineRule="exact"/>
        <w:ind w:firstLine="480"/>
        <w:jc w:val="both"/>
      </w:pPr>
      <w:r>
        <w:rPr>
          <w:rFonts w:ascii="Times New Roman" w:hAnsi="Times New Roman" w:eastAsia="方正仿宋_GBK"/>
          <w:b w:val="0"/>
          <w:sz w:val="24"/>
        </w:rPr>
        <w:t xml:space="preserve">光伏预测资料中全市2025、2030、2035年装机数值分别为709、1107、1840，原截图未标单位，本研究仅使用其相对2025年的增长倍数1.56和2.60。以第三章2025年地区装机为参照，</w:t>
      </w:r>
      <w:r>
        <w:rPr>
          <w:rFonts w:ascii="Times New Roman" w:hAnsi="Times New Roman" w:eastAsia="方正仿宋_GBK"/>
          <w:b w:val="0"/>
          <w:sz w:val="24"/>
        </w:rPr>
        <w:t xml:space="preserve">市区</w:t>
      </w:r>
      <w:r>
        <w:rPr>
          <w:rFonts w:ascii="Times New Roman" w:hAnsi="Times New Roman" w:eastAsia="方正仿宋_GBK"/>
          <w:b w:val="0"/>
          <w:sz w:val="24"/>
        </w:rPr>
        <w:t xml:space="preserve">2030、2035</w:t>
      </w:r>
      <w:r>
        <w:rPr>
          <w:rFonts w:ascii="Times New Roman" w:hAnsi="Times New Roman" w:eastAsia="方正仿宋_GBK"/>
          <w:b w:val="0"/>
          <w:sz w:val="24"/>
        </w:rPr>
        <w:t xml:space="preserve">年</w:t>
      </w:r>
      <w:r>
        <w:rPr>
          <w:rFonts w:ascii="Times New Roman" w:hAnsi="Times New Roman" w:eastAsia="方正仿宋_GBK"/>
          <w:b w:val="0"/>
          <w:sz w:val="24"/>
        </w:rPr>
        <w:t xml:space="preserve">情景规模分别为766.9</w:t>
      </w:r>
      <w:r>
        <w:rPr>
          <w:rFonts w:ascii="Times New Roman" w:hAnsi="Times New Roman" w:eastAsia="方正仿宋_GBK"/>
          <w:b w:val="0"/>
          <w:sz w:val="24"/>
        </w:rPr>
        <w:t xml:space="preserve">1</w:t>
      </w:r>
      <w:r>
        <w:rPr>
          <w:rFonts w:ascii="Times New Roman" w:hAnsi="Times New Roman" w:eastAsia="方正仿宋_GBK"/>
          <w:b w:val="0"/>
          <w:sz w:val="24"/>
        </w:rPr>
        <w:t xml:space="preserve"> M</w:t>
      </w:r>
      <w:r>
        <w:rPr>
          <w:rFonts w:ascii="Times New Roman" w:hAnsi="Times New Roman" w:eastAsia="方正仿宋_GBK"/>
          <w:b w:val="0"/>
          <w:sz w:val="24"/>
        </w:rPr>
        <w:t xml:space="preserve">W、1274.71 MW</w:t>
      </w:r>
      <w:r>
        <w:rPr>
          <w:rFonts w:ascii="Times New Roman" w:hAnsi="Times New Roman" w:eastAsia="方正仿宋_GBK"/>
          <w:b w:val="0"/>
          <w:sz w:val="24"/>
        </w:rPr>
        <w:t xml:space="preserve">，</w:t>
      </w:r>
      <w:r>
        <w:rPr>
          <w:rFonts w:ascii="Times New Roman" w:hAnsi="Times New Roman" w:eastAsia="方正仿宋_GBK"/>
          <w:b w:val="0"/>
          <w:sz w:val="24"/>
        </w:rPr>
        <w:t xml:space="preserve">邳州分别</w:t>
      </w:r>
      <w:r>
        <w:rPr>
          <w:rFonts w:ascii="Times New Roman" w:hAnsi="Times New Roman" w:eastAsia="方正仿宋_GBK"/>
          <w:b w:val="0"/>
          <w:sz w:val="24"/>
        </w:rPr>
        <w:t xml:space="preserve">为2</w:t>
      </w:r>
      <w:r>
        <w:rPr>
          <w:rFonts w:ascii="Times New Roman" w:hAnsi="Times New Roman" w:eastAsia="方正仿宋_GBK"/>
          <w:b w:val="0"/>
          <w:sz w:val="24"/>
        </w:rPr>
        <w:t xml:space="preserve">435</w:t>
      </w:r>
      <w:r>
        <w:rPr>
          <w:rFonts w:ascii="Times New Roman" w:hAnsi="Times New Roman" w:eastAsia="方正仿宋_GBK"/>
          <w:b w:val="0"/>
          <w:sz w:val="24"/>
        </w:rPr>
        <w:t xml:space="preserve">.15</w:t>
      </w:r>
      <w:r>
        <w:rPr>
          <w:rFonts w:ascii="Times New Roman" w:hAnsi="Times New Roman" w:eastAsia="方正仿宋_GBK"/>
          <w:b w:val="0"/>
          <w:sz w:val="24"/>
        </w:rPr>
        <w:t xml:space="preserve"> MW、4</w:t>
      </w:r>
      <w:r>
        <w:rPr>
          <w:rFonts w:ascii="Times New Roman" w:hAnsi="Times New Roman" w:eastAsia="方正仿宋_GBK"/>
          <w:b w:val="0"/>
          <w:sz w:val="24"/>
        </w:rPr>
        <w:t xml:space="preserve">04</w:t>
      </w:r>
      <w:r>
        <w:rPr>
          <w:rFonts w:ascii="Times New Roman" w:hAnsi="Times New Roman" w:eastAsia="方正仿宋_GBK"/>
          <w:b w:val="0"/>
          <w:sz w:val="24"/>
        </w:rPr>
        <w:t xml:space="preserve">7.58 MW</w:t>
      </w:r>
      <w:r>
        <w:rPr>
          <w:rFonts w:ascii="Times New Roman" w:hAnsi="Times New Roman" w:eastAsia="方正仿宋_GBK"/>
          <w:b w:val="0"/>
          <w:sz w:val="24"/>
        </w:rPr>
        <w:t xml:space="preserve">。</w:t>
      </w:r>
      <w:r>
        <w:rPr>
          <w:rFonts w:ascii="Times New Roman" w:hAnsi="Times New Roman" w:eastAsia="方正仿宋_GBK"/>
          <w:b w:val="0"/>
          <w:sz w:val="24"/>
        </w:rPr>
        <w:t xml:space="preserve">两地区采用同一全市发展比例，作为光伏</w:t>
      </w:r>
      <w:r>
        <w:rPr>
          <w:rFonts w:ascii="Times New Roman" w:hAnsi="Times New Roman" w:eastAsia="方正仿宋_GBK"/>
          <w:b w:val="0"/>
          <w:sz w:val="24"/>
        </w:rPr>
        <w:t xml:space="preserve">增</w:t>
      </w:r>
      <w:r>
        <w:rPr>
          <w:rFonts w:ascii="Times New Roman" w:hAnsi="Times New Roman" w:eastAsia="方正仿宋_GBK"/>
          <w:b w:val="0"/>
          <w:sz w:val="24"/>
        </w:rPr>
        <w:t xml:space="preserve">长情景</w:t>
      </w:r>
      <w:r>
        <w:rPr>
          <w:rFonts w:ascii="Times New Roman" w:hAnsi="Times New Roman" w:eastAsia="方正仿宋_GBK"/>
          <w:b w:val="0"/>
          <w:sz w:val="24"/>
        </w:rPr>
        <w:t xml:space="preserve">。</w:t>
      </w:r>
    </w:p>
    <w:p w14:paraId="1879A538">
      <w:pPr>
        <w:pStyle w:val="2"/>
        <w:keepNext/>
        <w:spacing w:before="120" w:after="80" w:line="280" w:lineRule="exact"/>
        <w:ind w:firstLine="0"/>
        <w:jc w:val="center"/>
      </w:pPr>
      <w:r>
        <w:rPr>
          <w:rFonts w:ascii="Times New Roman" w:hAnsi="Times New Roman" w:eastAsia="宋体"/>
          <w:b w:val="0"/>
          <w:sz w:val="21"/>
        </w:rPr>
        <w:t>表5-61 保留2021实际容量的方案费用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58369.68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57521.36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39636.85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37586.50</w:t>
            </w:r>
          </w:p>
        </w:tc>
      </w:tr>
    </w:tbl>
    <w:p w14:paraId="11C33E28">
      <w:pPr>
        <w:pStyle w:val="2"/>
        <w:widowControl/>
        <w:spacing w:before="0" w:after="0" w:line="348" w:lineRule="exact"/>
        <w:ind w:firstLine="480"/>
        <w:jc w:val="both"/>
      </w:pPr>
      <w:r>
        <w:rPr>
          <w:rFonts w:ascii="Times New Roman" w:hAnsi="Times New Roman" w:eastAsia="方正仿宋_GBK"/>
          <w:b w:val="0"/>
          <w:sz w:val="24"/>
        </w:rPr>
        <w:t xml:space="preserve">两</w:t>
      </w:r>
      <w:r>
        <w:rPr>
          <w:rFonts w:ascii="Times New Roman" w:hAnsi="Times New Roman" w:eastAsia="方正仿宋_GBK"/>
          <w:b w:val="0"/>
          <w:sz w:val="24"/>
        </w:rPr>
        <w:t xml:space="preserve">方案在各年采用相同源荷和容载比下限，差异来自新增</w:t>
      </w:r>
      <w:r>
        <w:rPr>
          <w:rFonts w:ascii="Times New Roman" w:hAnsi="Times New Roman" w:eastAsia="方正仿宋_GBK"/>
          <w:b w:val="0"/>
          <w:sz w:val="24"/>
        </w:rPr>
        <w:t xml:space="preserve">容量</w:t>
      </w:r>
      <w:r>
        <w:rPr>
          <w:rFonts w:ascii="Times New Roman" w:hAnsi="Times New Roman" w:eastAsia="方正仿宋_GBK"/>
          <w:b w:val="0"/>
          <w:sz w:val="24"/>
        </w:rPr>
        <w:t xml:space="preserve">控制和工程选择。市区2022年两方案新增</w:t>
      </w:r>
      <w:r>
        <w:rPr>
          <w:rFonts w:ascii="Times New Roman" w:hAnsi="Times New Roman" w:eastAsia="方正仿宋_GBK"/>
          <w:b w:val="0"/>
          <w:sz w:val="24"/>
        </w:rPr>
        <w:t xml:space="preserve">费用</w:t>
      </w:r>
      <w:r>
        <w:rPr>
          <w:rFonts w:ascii="Times New Roman" w:hAnsi="Times New Roman" w:eastAsia="方正仿宋_GBK"/>
          <w:b w:val="0"/>
          <w:sz w:val="24"/>
        </w:rPr>
        <w:t xml:space="preserve">均为零，其</w:t>
      </w:r>
      <w:r>
        <w:rPr>
          <w:rFonts w:ascii="Times New Roman" w:hAnsi="Times New Roman" w:eastAsia="方正仿宋_GBK"/>
          <w:b w:val="0"/>
          <w:sz w:val="24"/>
        </w:rPr>
        <w:t xml:space="preserve">后</w:t>
      </w:r>
      <w:r>
        <w:rPr>
          <w:rFonts w:ascii="Times New Roman" w:hAnsi="Times New Roman" w:eastAsia="方正仿宋_GBK"/>
          <w:b w:val="0"/>
          <w:sz w:val="24"/>
        </w:rPr>
        <w:t xml:space="preserve">逐年</w:t>
      </w:r>
      <w:r>
        <w:rPr>
          <w:rFonts w:ascii="Times New Roman" w:hAnsi="Times New Roman" w:eastAsia="方正仿宋_GBK"/>
          <w:b w:val="0"/>
          <w:sz w:val="24"/>
        </w:rPr>
        <w:t xml:space="preserve">新增工程</w:t>
      </w:r>
      <w:r>
        <w:rPr>
          <w:rFonts w:ascii="Times New Roman" w:hAnsi="Times New Roman" w:eastAsia="方正仿宋_GBK"/>
          <w:b w:val="0"/>
          <w:sz w:val="24"/>
        </w:rPr>
        <w:t xml:space="preserve">；邳州2021年事故支撑缺口在基线检验中单列，2022年起通过主变、储能及通道补强</w:t>
      </w:r>
      <w:r>
        <w:rPr>
          <w:rFonts w:ascii="Times New Roman" w:hAnsi="Times New Roman" w:eastAsia="方正仿宋_GBK"/>
          <w:b w:val="0"/>
          <w:sz w:val="24"/>
        </w:rPr>
        <w:t xml:space="preserve">。</w:t>
      </w:r>
      <w:r>
        <w:rPr>
          <w:rFonts w:ascii="Times New Roman" w:hAnsi="Times New Roman" w:eastAsia="方正仿宋_GBK"/>
          <w:b w:val="0"/>
          <w:sz w:val="24"/>
        </w:rPr>
        <w:t xml:space="preserve">2022—2035年累计费用由每年</w:t>
      </w:r>
      <w:r>
        <w:rPr>
          <w:rFonts w:ascii="Times New Roman" w:hAnsi="Times New Roman" w:eastAsia="方正仿宋_GBK"/>
          <w:b w:val="0"/>
          <w:sz w:val="24"/>
        </w:rPr>
        <w:t xml:space="preserve">实际</w:t>
      </w:r>
      <w:r>
        <w:rPr>
          <w:rFonts w:ascii="Times New Roman" w:hAnsi="Times New Roman" w:eastAsia="方正仿宋_GBK"/>
          <w:b w:val="0"/>
          <w:sz w:val="24"/>
        </w:rPr>
        <w:t xml:space="preserve">投运批次</w:t>
      </w:r>
      <w:r>
        <w:rPr>
          <w:rFonts w:ascii="Times New Roman" w:hAnsi="Times New Roman" w:eastAsia="方正仿宋_GBK"/>
          <w:b w:val="0"/>
          <w:sz w:val="24"/>
        </w:rPr>
        <w:t xml:space="preserve">形成</w:t>
      </w:r>
      <w:r>
        <w:rPr>
          <w:rFonts w:ascii="Times New Roman" w:hAnsi="Times New Roman" w:eastAsia="方正仿宋_GBK"/>
          <w:b w:val="0"/>
          <w:sz w:val="24"/>
        </w:rPr>
        <w:t xml:space="preserve">。</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4389120"/>
            <wp:effectExtent b="0" l="0" r="0" t="0"/>
            <wp:docPr descr="" title="" id="95" name="Picture"/>
            <a:graphic>
              <a:graphicData uri="http://schemas.openxmlformats.org/drawingml/2006/picture">
                <pic:pic>
                  <pic:nvPicPr>
                    <pic:cNvPr descr="研究报告/02图表/当前版/initial_capacity_cost_comparison.png" id="0" name="Picture"/>
                    <pic:cNvPicPr>
                      <a:picLocks noChangeArrowheads="1" noChangeAspect="1"/>
                    </pic:cNvPicPr>
                  </pic:nvPicPr>
                  <pic:blipFill>
                    <a:blip r:embed="rIdReportRevision13"/>
                    <a:stretch>
                      <a:fillRect/>
                    </a:stretch>
                  </pic:blipFill>
                  <pic:spPr bwMode="auto">
                    <a:xfrm>
                      <a:off x="0" y="0"/>
                      <a:ext cx="5120640" cy="4389120"/>
                    </a:xfrm>
                    <a:prstGeom prst="rect">
                      <a:avLst/>
                    </a:prstGeom>
                    <a:noFill/>
                    <a:ln w="9525">
                      <a:noFill/>
                      <a:headEnd/>
                      <a:tailEnd/>
                    </a:ln>
                  </pic:spPr>
                </pic:pic>
              </a:graphicData>
            </a:graphic>
          </wp:inline>
        </w:drawing>
      </w:r>
    </w:p>
    <w:p w14:paraId="51C07C0F">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 xml:space="preserve">图5-10 </w:t>
      </w:r>
      <w:r>
        <w:rPr>
          <w:rFonts w:ascii="Times New Roman" w:hAnsi="Times New Roman" w:eastAsia="宋体"/>
          <w:b w:val="0"/>
          <w:sz w:val="21"/>
        </w:rPr>
        <w:t xml:space="preserve">2021实际</w:t>
      </w:r>
      <w:r>
        <w:rPr>
          <w:rFonts w:ascii="Times New Roman" w:hAnsi="Times New Roman" w:eastAsia="宋体"/>
          <w:b w:val="0"/>
          <w:sz w:val="21"/>
        </w:rPr>
        <w:t xml:space="preserve">容量</w:t>
      </w:r>
      <w:r>
        <w:rPr>
          <w:rFonts w:ascii="Times New Roman" w:hAnsi="Times New Roman" w:eastAsia="宋体"/>
          <w:b w:val="0"/>
          <w:sz w:val="21"/>
        </w:rPr>
        <w:t xml:space="preserve">起点</w:t>
      </w:r>
      <w:r>
        <w:rPr>
          <w:rFonts w:ascii="Times New Roman" w:hAnsi="Times New Roman" w:eastAsia="宋体"/>
          <w:b w:val="0"/>
          <w:sz w:val="21"/>
        </w:rPr>
        <w:t xml:space="preserve">下</w:t>
      </w:r>
      <w:r>
        <w:rPr>
          <w:rFonts w:ascii="Times New Roman" w:hAnsi="Times New Roman" w:eastAsia="宋体"/>
          <w:b w:val="0"/>
          <w:sz w:val="21"/>
        </w:rPr>
        <w:t xml:space="preserve">两地区</w:t>
      </w:r>
      <w:r>
        <w:rPr>
          <w:rFonts w:ascii="Times New Roman" w:hAnsi="Times New Roman" w:eastAsia="宋体"/>
          <w:b w:val="0"/>
          <w:sz w:val="21"/>
        </w:rPr>
        <w:t xml:space="preserve">方案</w:t>
      </w:r>
      <w:r>
        <w:rPr>
          <w:rFonts w:ascii="Times New Roman" w:hAnsi="Times New Roman" w:eastAsia="宋体"/>
          <w:b w:val="0"/>
          <w:sz w:val="21"/>
        </w:rPr>
        <w:t xml:space="preserve">累计</w:t>
      </w:r>
      <w:r>
        <w:rPr>
          <w:rFonts w:ascii="Times New Roman" w:hAnsi="Times New Roman" w:eastAsia="宋体"/>
          <w:b w:val="0"/>
          <w:sz w:val="21"/>
        </w:rPr>
        <w:t xml:space="preserve">新增</w:t>
      </w:r>
      <w:r>
        <w:rPr>
          <w:rFonts w:ascii="Times New Roman" w:hAnsi="Times New Roman" w:eastAsia="宋体"/>
          <w:b w:val="0"/>
          <w:sz w:val="21"/>
        </w:rPr>
        <w:t xml:space="preserve">费用</w:t>
      </w:r>
    </w:p>
    <w:p w14:paraId="38E1E798">
      <w:pPr>
        <w:pStyle w:val="4"/>
        <w:keepNext/>
        <w:numPr>
          <w:ilvl w:val="0"/>
          <w:numId w:val="0"/>
        </w:numPr>
        <w:spacing w:before="160" w:after="120" w:line="480" w:lineRule="exact"/>
        <w:ind w:firstLine="0"/>
      </w:pPr>
      <w:bookmarkStart w:id="329" w:name="Report1017_h1022"/>
      <w:bookmarkEnd w:id="329"/>
      <w:bookmarkStart w:id="250" w:name="措施作用与工程衔接"/>
      <w:bookmarkStart w:id="251" w:name="h1068"/>
      <w:r>
        <w:rPr>
          <w:rFonts w:ascii="Times New Roman" w:hAnsi="Times New Roman" w:eastAsia="方正仿宋_GBK"/>
          <w:b/>
          <w:sz w:val="32"/>
        </w:rPr>
        <w:t>5.5 措施作用与工程衔接</w:t>
      </w:r>
      <w:bookmarkEnd w:id="250"/>
      <w:bookmarkEnd w:id="251"/>
    </w:p>
    <w:p w14:paraId="5C63C674">
      <w:pPr>
        <w:pStyle w:val="5"/>
        <w:keepNext/>
        <w:numPr>
          <w:ilvl w:val="0"/>
          <w:numId w:val="0"/>
        </w:numPr>
        <w:spacing w:before="160" w:after="120" w:line="390" w:lineRule="exact"/>
        <w:ind w:firstLine="0"/>
      </w:pPr>
      <w:bookmarkStart w:id="252" w:name="逐年负荷转接与站间任务"/>
      <w:r>
        <w:rPr>
          <w:rFonts w:ascii="Times New Roman" w:hAnsi="Times New Roman" w:eastAsia="方正仿宋_GBK"/>
          <w:b/>
          <w:sz w:val="26"/>
        </w:rPr>
        <w:t>5.5.1 逐年负荷转接与站间任务</w:t>
      </w:r>
      <w:bookmarkEnd w:id="252"/>
    </w:p>
    <w:p w14:paraId="55F415D1">
      <w:pPr>
        <w:pStyle w:val="115"/>
        <w:widowControl/>
        <w:spacing w:before="0" w:after="0" w:line="348" w:lineRule="exact"/>
        <w:ind w:firstLine="480"/>
        <w:jc w:val="both"/>
      </w:pPr>
      <w:r>
        <w:rPr>
          <w:rFonts w:ascii="Times New Roman" w:hAnsi="Times New Roman" w:eastAsia="方正仿宋_GBK"/>
          <w:b w:val="0"/>
          <w:sz w:val="24"/>
        </w:rPr>
        <w:t>新增线路按建设数量计投资，可转能力受线路及两端设备限制，实际转接功率则由具体运行工况确定，因此三者需分别统计。以下按区域正向峰值与最低净负荷两种正常工况列示网络利用情况。</w:t>
      </w:r>
    </w:p>
    <w:p w14:paraId="7A167FBF">
      <w:pPr>
        <w:pStyle w:val="2"/>
        <w:keepNext/>
        <w:spacing w:before="120" w:after="80" w:line="280" w:lineRule="exact"/>
        <w:ind w:firstLine="0"/>
        <w:jc w:val="center"/>
      </w:pPr>
      <w:r>
        <w:rPr>
          <w:rFonts w:ascii="Times New Roman" w:hAnsi="Times New Roman" w:eastAsia="宋体"/>
          <w:b w:val="0"/>
          <w:sz w:val="21"/>
        </w:rPr>
        <w:t>表5-62 邳州正常方式下的分工况转接任务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0.14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5.81</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18.08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9.06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52.01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52.01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10.63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15.39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23.14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12.02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26.15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26.15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9.53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16.61</w:t>
            </w:r>
          </w:p>
        </w:tc>
      </w:tr>
    </w:tbl>
    <w:p>
      <w:pPr>
        <w:pStyle w:val="2"/>
        <w:widowControl/>
        <w:spacing w:line="348" w:lineRule="exact" w:before="0" w:after="0"/>
        <w:ind w:firstLine="480"/>
        <w:jc w:val="both"/>
        <w:rPr/>
      </w:pPr>
      <w:r>
        <w:rPr>
          <w:rFonts w:ascii="Times New Roman" w:hAnsi="Times New Roman" w:eastAsia="方正仿宋_GBK"/>
          <w:b w:val="0"/>
          <w:sz w:val="24"/>
        </w:rPr>
        <w:t xml:space="preserve">注：列示代表年度，转接合计为沿已采用区段预案转接的净功率幅值之和。</w:t>
      </w:r>
    </w:p>
    <w:p w14:paraId="11BE3B22">
      <w:pPr>
        <w:pStyle w:val="2"/>
        <w:keepNext/>
        <w:spacing w:before="120" w:after="80" w:line="280" w:lineRule="exact"/>
        <w:ind w:firstLine="0"/>
        <w:jc w:val="center"/>
      </w:pPr>
      <w:r>
        <w:rPr>
          <w:rFonts w:ascii="Times New Roman" w:hAnsi="Times New Roman" w:eastAsia="宋体"/>
          <w:b w:val="0"/>
          <w:sz w:val="21"/>
        </w:rPr>
        <w:t>表5-63 市区正常方式下的分工况转接任务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4.04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73.10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68.21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16.00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0.71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2.45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144.53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136.63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37.75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22.92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51.38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50.50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17.03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13.93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0.58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2.69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0.44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0.72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0.72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98.98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91.09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35.77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21.98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30.21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29.33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9.29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9.12</w:t>
            </w:r>
          </w:p>
        </w:tc>
      </w:tr>
    </w:tbl>
    <w:p>
      <w:pPr>
        <w:pStyle w:val="2"/>
        <w:widowControl/>
        <w:spacing w:line="348" w:lineRule="exact" w:before="0" w:after="0"/>
        <w:ind w:firstLine="480"/>
        <w:jc w:val="both"/>
        <w:rPr/>
      </w:pPr>
      <w:r>
        <w:rPr>
          <w:rFonts w:ascii="Times New Roman" w:hAnsi="Times New Roman" w:eastAsia="方正仿宋_GBK"/>
          <w:b w:val="0"/>
          <w:sz w:val="24"/>
        </w:rPr>
        <w:t xml:space="preserve">注：列示代表年度，转接合计为沿已采用区段预案转接的净功率幅值之和。</w:t>
      </w:r>
    </w:p>
    <w:p w14:paraId="34C92F85">
      <w:pPr>
        <w:pStyle w:val="2"/>
        <w:widowControl/>
        <w:spacing w:before="0" w:after="0" w:line="348" w:lineRule="exact"/>
        <w:ind w:firstLine="480"/>
        <w:jc w:val="both"/>
      </w:pPr>
      <w:r>
        <w:rPr>
          <w:rFonts w:ascii="Times New Roman" w:hAnsi="Times New Roman" w:eastAsia="方正仿宋_GBK"/>
          <w:b w:val="0"/>
          <w:sz w:val="24"/>
        </w:rPr>
        <w:t>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14:paraId="47F5CB2A">
      <w:pPr>
        <w:pStyle w:val="2"/>
        <w:widowControl/>
        <w:spacing w:before="0" w:after="0" w:line="348" w:lineRule="exact"/>
        <w:ind w:firstLine="480"/>
        <w:jc w:val="both"/>
      </w:pPr>
      <w:r>
        <w:rPr>
          <w:rFonts w:ascii="Times New Roman" w:hAnsi="Times New Roman" w:eastAsia="方正仿宋_GBK"/>
          <w:b w:val="0"/>
          <w:sz w:val="24"/>
        </w:rPr>
        <w:t>同一设备布局可对应多种可行负荷分配，表中转接量展示所列方案的网络利用情况。后续工程安排应结合开关位置、实际负荷块和操作条件确定具体转供方式。</w:t>
      </w:r>
    </w:p>
    <w:p w14:paraId="41B591B6">
      <w:pPr>
        <w:pStyle w:val="5"/>
        <w:keepNext/>
        <w:numPr>
          <w:ilvl w:val="0"/>
          <w:numId w:val="0"/>
        </w:numPr>
        <w:spacing w:before="160" w:after="120" w:line="390" w:lineRule="exact"/>
        <w:ind w:firstLine="0"/>
      </w:pPr>
      <w:bookmarkStart w:id="253" w:name="主变储能与联络的共同作用"/>
      <w:r>
        <w:rPr>
          <w:rFonts w:ascii="Times New Roman" w:hAnsi="Times New Roman" w:eastAsia="方正仿宋_GBK"/>
          <w:b/>
          <w:sz w:val="26"/>
        </w:rPr>
        <w:t>5.5.2 主变、储能与联络的共同作用</w:t>
      </w:r>
      <w:bookmarkEnd w:id="253"/>
    </w:p>
    <w:p w14:paraId="6337686F">
      <w:pPr>
        <w:pStyle w:val="115"/>
        <w:widowControl/>
        <w:spacing w:before="0" w:after="0" w:line="348" w:lineRule="exact"/>
        <w:ind w:firstLine="480"/>
        <w:jc w:val="both"/>
      </w:pPr>
      <w:r>
        <w:rPr>
          <w:rFonts w:ascii="Times New Roman" w:hAnsi="Times New Roman" w:eastAsia="方正仿宋_GBK"/>
          <w:b w:val="0"/>
          <w:sz w:val="24"/>
        </w:rPr>
        <w:t>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14:paraId="4E6F833A">
      <w:pPr>
        <w:pStyle w:val="2"/>
        <w:widowControl/>
        <w:spacing w:before="0" w:after="0" w:line="348" w:lineRule="exact"/>
        <w:ind w:firstLine="480"/>
        <w:jc w:val="both"/>
      </w:pPr>
      <w:r>
        <w:rPr>
          <w:rFonts w:ascii="Times New Roman" w:hAnsi="Times New Roman" w:eastAsia="方正仿宋_GBK"/>
          <w:b w:val="0"/>
          <w:sz w:val="24"/>
        </w:rPr>
        <w:t>正常供电与N-1条件的转接任务分别校核。正常方式下未充分使用的线路，可能承担故障时的必要支援，正常负载率较低的主变，也可能用于承接邻站故障负荷。设备经济性应按共同约束下的整体方案判断。</w:t>
      </w:r>
    </w:p>
    <w:p w14:paraId="4C9CCFA9">
      <w:pPr>
        <w:pStyle w:val="2"/>
        <w:widowControl/>
        <w:spacing w:before="0" w:after="0" w:line="348" w:lineRule="exact"/>
        <w:ind w:firstLine="480"/>
        <w:jc w:val="both"/>
      </w:pPr>
      <w:r>
        <w:rPr>
          <w:rFonts w:ascii="Times New Roman" w:hAnsi="Times New Roman" w:eastAsia="方正仿宋_GBK"/>
          <w:b w:val="0"/>
          <w:sz w:val="24"/>
        </w:rPr>
        <w:t xml:space="preserve">逐站结果显示，</w:t>
      </w:r>
      <w:r>
        <w:rPr>
          <w:rFonts w:ascii="Times New Roman" w:hAnsi="Times New Roman" w:eastAsia="方正仿宋_GBK"/>
          <w:b w:val="0"/>
          <w:sz w:val="24"/>
        </w:rPr>
        <w:t xml:space="preserve">主变规格、台数</w:t>
      </w:r>
      <w:r>
        <w:rPr>
          <w:rFonts w:ascii="Times New Roman" w:hAnsi="Times New Roman" w:eastAsia="方正仿宋_GBK"/>
          <w:b w:val="0"/>
          <w:sz w:val="24"/>
        </w:rPr>
        <w:t xml:space="preserve">与站间任务相互衔接。</w:t>
      </w:r>
      <w:r>
        <w:rPr>
          <w:rFonts w:ascii="Times New Roman" w:hAnsi="Times New Roman" w:eastAsia="方正仿宋_GBK"/>
          <w:b w:val="0"/>
          <w:sz w:val="24"/>
        </w:rPr>
        <w:t xml:space="preserve">同一站</w:t>
      </w:r>
      <w:r>
        <w:rPr>
          <w:rFonts w:ascii="Times New Roman" w:hAnsi="Times New Roman" w:eastAsia="方正仿宋_GBK"/>
          <w:b w:val="0"/>
          <w:sz w:val="24"/>
        </w:rPr>
        <w:t xml:space="preserve">的</w:t>
      </w:r>
      <w:r>
        <w:rPr>
          <w:rFonts w:ascii="Times New Roman" w:hAnsi="Times New Roman" w:eastAsia="方正仿宋_GBK"/>
          <w:b w:val="0"/>
          <w:sz w:val="24"/>
        </w:rPr>
        <w:t xml:space="preserve">容量</w:t>
      </w:r>
      <w:r>
        <w:rPr>
          <w:rFonts w:ascii="Times New Roman" w:hAnsi="Times New Roman" w:eastAsia="方正仿宋_GBK"/>
          <w:b w:val="0"/>
          <w:sz w:val="24"/>
        </w:rPr>
        <w:t xml:space="preserve">补强既可能用于承担本地正反向需求</w:t>
      </w:r>
      <w:r>
        <w:rPr>
          <w:rFonts w:ascii="Times New Roman" w:hAnsi="Times New Roman" w:eastAsia="方正仿宋_GBK"/>
          <w:b w:val="0"/>
          <w:sz w:val="24"/>
        </w:rPr>
        <w:t xml:space="preserve">，</w:t>
      </w:r>
      <w:r>
        <w:rPr>
          <w:rFonts w:ascii="Times New Roman" w:hAnsi="Times New Roman" w:eastAsia="方正仿宋_GBK"/>
          <w:b w:val="0"/>
          <w:sz w:val="24"/>
        </w:rPr>
        <w:t xml:space="preserve">也可能提高邻站故障时</w:t>
      </w:r>
      <w:r>
        <w:rPr>
          <w:rFonts w:ascii="Times New Roman" w:hAnsi="Times New Roman" w:eastAsia="方正仿宋_GBK"/>
          <w:b w:val="0"/>
          <w:sz w:val="24"/>
        </w:rPr>
        <w:t xml:space="preserve">的</w:t>
      </w:r>
      <w:r>
        <w:rPr>
          <w:rFonts w:ascii="Times New Roman" w:hAnsi="Times New Roman" w:eastAsia="方正仿宋_GBK"/>
          <w:b w:val="0"/>
          <w:sz w:val="24"/>
        </w:rPr>
        <w:t xml:space="preserve">接收能力。</w:t>
      </w:r>
      <w:r>
        <w:rPr>
          <w:rFonts w:ascii="Times New Roman" w:hAnsi="Times New Roman" w:eastAsia="方正仿宋_GBK"/>
          <w:b w:val="0"/>
          <w:sz w:val="24"/>
        </w:rPr>
        <w:t xml:space="preserve">既有</w:t>
      </w:r>
      <w:r>
        <w:rPr>
          <w:rFonts w:ascii="Times New Roman" w:hAnsi="Times New Roman" w:eastAsia="方正仿宋_GBK"/>
          <w:b w:val="0"/>
          <w:sz w:val="24"/>
        </w:rPr>
        <w:t xml:space="preserve">转供MW上限</w:t>
      </w:r>
      <w:r>
        <w:rPr>
          <w:rFonts w:ascii="Times New Roman" w:hAnsi="Times New Roman" w:eastAsia="方正仿宋_GBK"/>
          <w:b w:val="0"/>
          <w:sz w:val="24"/>
        </w:rPr>
        <w:t xml:space="preserve">、</w:t>
      </w:r>
      <w:r>
        <w:rPr>
          <w:rFonts w:ascii="Times New Roman" w:hAnsi="Times New Roman" w:eastAsia="方正仿宋_GBK"/>
          <w:b w:val="0"/>
          <w:sz w:val="24"/>
        </w:rPr>
        <w:t xml:space="preserve">区段切换数量和受端余量</w:t>
      </w:r>
      <w:r>
        <w:rPr>
          <w:rFonts w:ascii="Times New Roman" w:hAnsi="Times New Roman" w:eastAsia="方正仿宋_GBK"/>
          <w:b w:val="0"/>
          <w:sz w:val="24"/>
        </w:rPr>
        <w:t xml:space="preserve">共同</w:t>
      </w:r>
      <w:r>
        <w:rPr>
          <w:rFonts w:ascii="Times New Roman" w:hAnsi="Times New Roman" w:eastAsia="方正仿宋_GBK"/>
          <w:b w:val="0"/>
          <w:sz w:val="24"/>
        </w:rPr>
        <w:t xml:space="preserve">限制其作用，新增联络与配储规模由对应局部缺口</w:t>
      </w:r>
      <w:r>
        <w:rPr>
          <w:rFonts w:ascii="Times New Roman" w:hAnsi="Times New Roman" w:eastAsia="方正仿宋_GBK"/>
          <w:b w:val="0"/>
          <w:sz w:val="24"/>
        </w:rPr>
        <w:t xml:space="preserve">确定</w:t>
      </w:r>
      <w:r>
        <w:rPr>
          <w:rFonts w:ascii="Times New Roman" w:hAnsi="Times New Roman" w:eastAsia="方正仿宋_GBK"/>
          <w:b w:val="0"/>
          <w:sz w:val="24"/>
        </w:rPr>
        <w:t xml:space="preserve">。</w:t>
      </w:r>
    </w:p>
    <w:p w14:paraId="485C6FAB">
      <w:pPr>
        <w:pStyle w:val="2"/>
        <w:widowControl/>
        <w:spacing w:before="0" w:after="0" w:line="348" w:lineRule="exact"/>
        <w:ind w:firstLine="480"/>
        <w:jc w:val="both"/>
      </w:pPr>
      <w:r>
        <w:rPr>
          <w:rFonts w:ascii="Times New Roman" w:hAnsi="Times New Roman" w:eastAsia="方正仿宋_GBK"/>
          <w:b w:val="0"/>
          <w:sz w:val="24"/>
        </w:rPr>
        <w:t xml:space="preserve">兴塘变</w:t>
      </w:r>
      <w:r>
        <w:rPr>
          <w:rFonts w:ascii="Times New Roman" w:hAnsi="Times New Roman" w:eastAsia="方正仿宋_GBK"/>
          <w:b w:val="0"/>
          <w:sz w:val="24"/>
        </w:rPr>
        <w:t xml:space="preserve">20</w:t>
      </w:r>
      <w:r>
        <w:rPr>
          <w:rFonts w:ascii="Times New Roman" w:hAnsi="Times New Roman" w:eastAsia="方正仿宋_GBK"/>
          <w:b w:val="0"/>
          <w:sz w:val="24"/>
        </w:rPr>
        <w:t xml:space="preserve">3</w:t>
      </w:r>
      <w:r>
        <w:rPr>
          <w:rFonts w:ascii="Times New Roman" w:hAnsi="Times New Roman" w:eastAsia="方正仿宋_GBK"/>
          <w:b w:val="0"/>
          <w:sz w:val="24"/>
        </w:rPr>
        <w:t xml:space="preserve">5年</w:t>
      </w:r>
      <w:r>
        <w:rPr>
          <w:rFonts w:ascii="Times New Roman" w:hAnsi="Times New Roman" w:eastAsia="方正仿宋_GBK"/>
          <w:b w:val="0"/>
          <w:sz w:val="24"/>
        </w:rPr>
        <w:t xml:space="preserve">刚性方案主变</w:t>
      </w:r>
      <w:r>
        <w:rPr>
          <w:rFonts w:ascii="Times New Roman" w:hAnsi="Times New Roman" w:eastAsia="方正仿宋_GBK"/>
          <w:b w:val="0"/>
          <w:sz w:val="24"/>
        </w:rPr>
        <w:t xml:space="preserve">组合为31.5</w:t>
      </w:r>
      <w:r>
        <w:rPr>
          <w:rFonts w:ascii="Times New Roman" w:hAnsi="Times New Roman" w:eastAsia="方正仿宋_GBK"/>
          <w:b w:val="0"/>
          <w:sz w:val="24"/>
        </w:rPr>
        <w:t xml:space="preserve">0+</w:t>
      </w:r>
      <w:r>
        <w:rPr>
          <w:rFonts w:ascii="Times New Roman" w:hAnsi="Times New Roman" w:eastAsia="方正仿宋_GBK"/>
          <w:b w:val="0"/>
          <w:sz w:val="24"/>
        </w:rPr>
        <w:t xml:space="preserve">40.00+50.0</w:t>
      </w:r>
      <w:r>
        <w:rPr>
          <w:rFonts w:ascii="Times New Roman" w:hAnsi="Times New Roman" w:eastAsia="方正仿宋_GBK"/>
          <w:b w:val="0"/>
          <w:sz w:val="24"/>
        </w:rPr>
        <w:t xml:space="preserve">0 MVA，</w:t>
      </w:r>
      <w:r>
        <w:rPr>
          <w:rFonts w:ascii="Times New Roman" w:hAnsi="Times New Roman" w:eastAsia="方正仿宋_GBK"/>
          <w:b w:val="0"/>
          <w:sz w:val="24"/>
        </w:rPr>
        <w:t xml:space="preserve">弹性为31.50+50.00+50.00 MVA。</w:t>
      </w:r>
      <w:r>
        <w:rPr>
          <w:rFonts w:ascii="Times New Roman" w:hAnsi="Times New Roman" w:eastAsia="方正仿宋_GBK"/>
          <w:b w:val="0"/>
          <w:sz w:val="24"/>
        </w:rPr>
        <w:t xml:space="preserve">最大单台停运后</w:t>
      </w:r>
      <w:r>
        <w:rPr>
          <w:rFonts w:ascii="Times New Roman" w:hAnsi="Times New Roman" w:eastAsia="方正仿宋_GBK"/>
          <w:b w:val="0"/>
          <w:sz w:val="24"/>
        </w:rPr>
        <w:t xml:space="preserve">分别剩余7</w:t>
      </w:r>
      <w:r>
        <w:rPr>
          <w:rFonts w:ascii="Times New Roman" w:hAnsi="Times New Roman" w:eastAsia="方正仿宋_GBK"/>
          <w:b w:val="0"/>
          <w:sz w:val="24"/>
        </w:rPr>
        <w:t xml:space="preserve">1.50</w:t>
      </w:r>
      <w:r>
        <w:rPr>
          <w:rFonts w:ascii="Times New Roman" w:hAnsi="Times New Roman" w:eastAsia="方正仿宋_GBK"/>
          <w:b w:val="0"/>
          <w:sz w:val="24"/>
        </w:rPr>
        <w:t xml:space="preserve"> MVA和8</w:t>
      </w:r>
      <w:r>
        <w:rPr>
          <w:rFonts w:ascii="Times New Roman" w:hAnsi="Times New Roman" w:eastAsia="方正仿宋_GBK"/>
          <w:b w:val="0"/>
          <w:sz w:val="24"/>
        </w:rPr>
        <w:t xml:space="preserve">1.50 MVA，</w:t>
      </w:r>
      <w:r>
        <w:rPr>
          <w:rFonts w:ascii="Times New Roman" w:hAnsi="Times New Roman" w:eastAsia="方正仿宋_GBK"/>
          <w:b w:val="0"/>
          <w:sz w:val="24"/>
        </w:rPr>
        <w:t xml:space="preserve">按0.95</w:t>
      </w:r>
      <w:r>
        <w:rPr>
          <w:rFonts w:ascii="Times New Roman" w:hAnsi="Times New Roman" w:eastAsia="方正仿宋_GBK"/>
          <w:b w:val="0"/>
          <w:sz w:val="24"/>
        </w:rPr>
        <w:t xml:space="preserve">功</w:t>
      </w:r>
      <w:r>
        <w:rPr>
          <w:rFonts w:ascii="Times New Roman" w:hAnsi="Times New Roman" w:eastAsia="方正仿宋_GBK"/>
          <w:b w:val="0"/>
          <w:sz w:val="24"/>
        </w:rPr>
        <w:t xml:space="preserve">率因数折算为67</w:t>
      </w:r>
      <w:r>
        <w:rPr>
          <w:rFonts w:ascii="Times New Roman" w:hAnsi="Times New Roman" w:eastAsia="方正仿宋_GBK"/>
          <w:b w:val="0"/>
          <w:sz w:val="24"/>
        </w:rPr>
        <w:t xml:space="preserve">.93 MW</w:t>
      </w:r>
      <w:r>
        <w:rPr>
          <w:rFonts w:ascii="Times New Roman" w:hAnsi="Times New Roman" w:eastAsia="方正仿宋_GBK"/>
          <w:b w:val="0"/>
          <w:sz w:val="24"/>
        </w:rPr>
        <w:t xml:space="preserve">和77</w:t>
      </w:r>
      <w:r>
        <w:rPr>
          <w:rFonts w:ascii="Times New Roman" w:hAnsi="Times New Roman" w:eastAsia="方正仿宋_GBK"/>
          <w:b w:val="0"/>
          <w:sz w:val="24"/>
        </w:rPr>
        <w:t xml:space="preserve">.</w:t>
      </w:r>
      <w:r>
        <w:rPr>
          <w:rFonts w:ascii="Times New Roman" w:hAnsi="Times New Roman" w:eastAsia="方正仿宋_GBK"/>
          <w:b w:val="0"/>
          <w:sz w:val="24"/>
        </w:rPr>
        <w:t xml:space="preserve">4</w:t>
      </w:r>
      <w:r>
        <w:rPr>
          <w:rFonts w:ascii="Times New Roman" w:hAnsi="Times New Roman" w:eastAsia="方正仿宋_GBK"/>
          <w:b w:val="0"/>
          <w:sz w:val="24"/>
        </w:rPr>
        <w:t xml:space="preserve">3</w:t>
      </w:r>
      <w:r>
        <w:rPr>
          <w:rFonts w:ascii="Times New Roman" w:hAnsi="Times New Roman" w:eastAsia="方正仿宋_GBK"/>
          <w:b w:val="0"/>
          <w:sz w:val="24"/>
        </w:rPr>
        <w:t xml:space="preserve"> MW</w:t>
      </w:r>
      <w:r>
        <w:rPr>
          <w:rFonts w:ascii="Times New Roman" w:hAnsi="Times New Roman" w:eastAsia="方正仿宋_GBK"/>
          <w:b w:val="0"/>
          <w:sz w:val="24"/>
        </w:rPr>
        <w:t xml:space="preserve">，均未新增</w:t>
      </w:r>
      <w:r>
        <w:rPr>
          <w:rFonts w:ascii="Times New Roman" w:hAnsi="Times New Roman" w:eastAsia="方正仿宋_GBK"/>
          <w:b w:val="0"/>
          <w:sz w:val="24"/>
        </w:rPr>
        <w:t xml:space="preserve">储能</w:t>
      </w:r>
      <w:r>
        <w:rPr>
          <w:rFonts w:ascii="Times New Roman" w:hAnsi="Times New Roman" w:eastAsia="方正仿宋_GBK"/>
          <w:b w:val="0"/>
          <w:sz w:val="24"/>
        </w:rPr>
        <w:t xml:space="preserve">。</w:t>
      </w:r>
      <w:r>
        <w:rPr>
          <w:rFonts w:ascii="Times New Roman" w:hAnsi="Times New Roman" w:eastAsia="方正仿宋_GBK"/>
          <w:b w:val="0"/>
          <w:sz w:val="24"/>
        </w:rPr>
        <w:t xml:space="preserve">该</w:t>
      </w:r>
      <w:r>
        <w:rPr>
          <w:rFonts w:ascii="Times New Roman" w:hAnsi="Times New Roman" w:eastAsia="方正仿宋_GBK"/>
          <w:b w:val="0"/>
          <w:sz w:val="24"/>
        </w:rPr>
        <w:t xml:space="preserve">站</w:t>
      </w:r>
      <w:r>
        <w:rPr>
          <w:rFonts w:ascii="Times New Roman" w:hAnsi="Times New Roman" w:eastAsia="方正仿宋_GBK"/>
          <w:b w:val="0"/>
          <w:sz w:val="24"/>
        </w:rPr>
        <w:t xml:space="preserve">两类方案</w:t>
      </w:r>
      <w:r>
        <w:rPr>
          <w:rFonts w:ascii="Times New Roman" w:hAnsi="Times New Roman" w:eastAsia="方正仿宋_GBK"/>
          <w:b w:val="0"/>
          <w:sz w:val="24"/>
        </w:rPr>
        <w:t xml:space="preserve">的差异表现</w:t>
      </w:r>
      <w:r>
        <w:rPr>
          <w:rFonts w:ascii="Times New Roman" w:hAnsi="Times New Roman" w:eastAsia="方正仿宋_GBK"/>
          <w:b w:val="0"/>
          <w:sz w:val="24"/>
        </w:rPr>
        <w:t xml:space="preserve">为</w:t>
      </w:r>
      <w:r>
        <w:rPr>
          <w:rFonts w:ascii="Times New Roman" w:hAnsi="Times New Roman" w:eastAsia="方正仿宋_GBK"/>
          <w:b w:val="0"/>
          <w:sz w:val="24"/>
        </w:rPr>
        <w:t xml:space="preserve">故障后</w:t>
      </w:r>
      <w:r>
        <w:rPr>
          <w:rFonts w:ascii="Times New Roman" w:hAnsi="Times New Roman" w:eastAsia="方正仿宋_GBK"/>
          <w:b w:val="0"/>
          <w:sz w:val="24"/>
        </w:rPr>
        <w:t xml:space="preserve">剩余</w:t>
      </w:r>
      <w:r>
        <w:rPr>
          <w:rFonts w:ascii="Times New Roman" w:hAnsi="Times New Roman" w:eastAsia="方正仿宋_GBK"/>
          <w:b w:val="0"/>
          <w:sz w:val="24"/>
        </w:rPr>
        <w:t xml:space="preserve">主变</w:t>
      </w:r>
      <w:r>
        <w:rPr>
          <w:rFonts w:ascii="Times New Roman" w:hAnsi="Times New Roman" w:eastAsia="方正仿宋_GBK"/>
          <w:b w:val="0"/>
          <w:sz w:val="24"/>
        </w:rPr>
        <w:t xml:space="preserve">能力</w:t>
      </w:r>
      <w:r>
        <w:rPr>
          <w:rFonts w:ascii="Times New Roman" w:hAnsi="Times New Roman" w:eastAsia="方正仿宋_GBK"/>
          <w:b w:val="0"/>
          <w:sz w:val="24"/>
        </w:rPr>
        <w:t xml:space="preserve">，具体正反向转接任务由年度区段预案确定</w:t>
      </w:r>
      <w:r>
        <w:rPr>
          <w:rFonts w:ascii="Times New Roman" w:hAnsi="Times New Roman" w:eastAsia="方正仿宋_GBK"/>
          <w:b w:val="0"/>
          <w:sz w:val="24"/>
        </w:rPr>
        <w:t xml:space="preserve">。</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pPr>
      <w:r>
        <w:drawing>
          <wp:inline>
            <wp:extent cx="5120640" cy="2633472"/>
            <wp:effectExtent b="0" l="0" r="0" t="0"/>
            <wp:docPr descr="" title="" id="96" name="Picture"/>
            <a:graphic>
              <a:graphicData uri="http://schemas.openxmlformats.org/drawingml/2006/picture">
                <pic:pic>
                  <pic:nvPicPr>
                    <pic:cNvPr descr="研究报告/02图表/当前版/xingtang_reverse_capacity.png" id="0" name="Picture"/>
                    <pic:cNvPicPr>
                      <a:picLocks noChangeArrowheads="1" noChangeAspect="1"/>
                    </pic:cNvPicPr>
                  </pic:nvPicPr>
                  <pic:blipFill>
                    <a:blip r:embed="rIdReportRevision14"/>
                    <a:stretch>
                      <a:fillRect/>
                    </a:stretch>
                  </pic:blipFill>
                  <pic:spPr bwMode="auto">
                    <a:xfrm>
                      <a:off x="0" y="0"/>
                      <a:ext cx="5120640" cy="2633472"/>
                    </a:xfrm>
                    <a:prstGeom prst="rect">
                      <a:avLst/>
                    </a:prstGeom>
                    <a:noFill/>
                    <a:ln w="9525">
                      <a:noFill/>
                      <a:headEnd/>
                      <a:tailEnd/>
                    </a:ln>
                  </pic:spPr>
                </pic:pic>
              </a:graphicData>
            </a:graphic>
          </wp:inline>
        </w:drawing>
      </w:r>
    </w:p>
    <w:p w14:paraId="64BCA57B">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 xml:space="preserve">图5-11 兴塘变</w:t>
      </w:r>
      <w:r>
        <w:rPr>
          <w:rFonts w:ascii="Times New Roman" w:hAnsi="Times New Roman" w:eastAsia="宋体"/>
          <w:b w:val="0"/>
          <w:sz w:val="21"/>
        </w:rPr>
        <w:t xml:space="preserve">2035年两方案</w:t>
      </w:r>
      <w:r>
        <w:rPr>
          <w:rFonts w:ascii="Times New Roman" w:hAnsi="Times New Roman" w:eastAsia="宋体"/>
          <w:b w:val="0"/>
          <w:sz w:val="21"/>
        </w:rPr>
        <w:t xml:space="preserve">的</w:t>
      </w:r>
      <w:r>
        <w:rPr>
          <w:rFonts w:ascii="Times New Roman" w:hAnsi="Times New Roman" w:eastAsia="宋体"/>
          <w:b w:val="0"/>
          <w:sz w:val="21"/>
        </w:rPr>
        <w:t xml:space="preserve">N-1</w:t>
      </w:r>
      <w:r>
        <w:rPr>
          <w:rFonts w:ascii="Times New Roman" w:hAnsi="Times New Roman" w:eastAsia="宋体"/>
          <w:b w:val="0"/>
          <w:sz w:val="21"/>
        </w:rPr>
        <w:t xml:space="preserve">剩余主变能力</w:t>
      </w:r>
    </w:p>
    <w:p w14:paraId="7EC5327B">
      <w:pPr>
        <w:pStyle w:val="5"/>
        <w:keepNext/>
        <w:numPr>
          <w:ilvl w:val="0"/>
          <w:numId w:val="0"/>
        </w:numPr>
        <w:spacing w:before="160" w:after="120" w:line="390" w:lineRule="exact"/>
        <w:ind w:firstLine="0"/>
      </w:pPr>
      <w:bookmarkStart w:id="254" w:name="储能支撑与必要转供量"/>
      <w:r>
        <w:rPr>
          <w:rFonts w:ascii="Times New Roman" w:hAnsi="Times New Roman" w:eastAsia="方正仿宋_GBK"/>
          <w:b/>
          <w:sz w:val="26"/>
        </w:rPr>
        <w:t>5.5.3 储能支撑与必要转供量</w:t>
      </w:r>
      <w:bookmarkEnd w:id="254"/>
    </w:p>
    <w:p w14:paraId="202DABF2">
      <w:pPr>
        <w:pStyle w:val="115"/>
        <w:widowControl/>
        <w:spacing w:before="0" w:after="0" w:line="348" w:lineRule="exact"/>
        <w:ind w:firstLine="480"/>
        <w:jc w:val="both"/>
      </w:pPr>
      <w:r>
        <w:rPr>
          <w:rFonts w:ascii="Times New Roman" w:hAnsi="Times New Roman" w:eastAsia="方正仿宋_GBK"/>
          <w:b w:val="0"/>
          <w:sz w:val="24"/>
        </w:rPr>
        <w:t xml:space="preserve">邳州和市区的正向储能支撑持续时间分别为2.00 h和6.00 h。</w:t>
      </w:r>
      <w:r>
        <w:rPr>
          <w:rFonts w:ascii="Times New Roman" w:hAnsi="Times New Roman" w:eastAsia="方正仿宋_GBK"/>
          <w:b w:val="0"/>
          <w:sz w:val="24"/>
        </w:rPr>
        <w:t xml:space="preserve">额定功率1.00 MW、额定能量2.15 MWh的</w:t>
      </w:r>
      <w:r>
        <w:rPr>
          <w:rFonts w:ascii="Times New Roman" w:hAnsi="Times New Roman" w:eastAsia="方正仿宋_GBK"/>
          <w:b w:val="0"/>
          <w:sz w:val="24"/>
        </w:rPr>
        <w:t xml:space="preserve">同</w:t>
      </w:r>
      <w:r>
        <w:rPr>
          <w:rFonts w:ascii="Times New Roman" w:hAnsi="Times New Roman" w:eastAsia="方正仿宋_GBK"/>
          <w:b w:val="0"/>
          <w:sz w:val="24"/>
        </w:rPr>
        <w:t xml:space="preserve">一</w:t>
      </w:r>
      <w:r>
        <w:rPr>
          <w:rFonts w:ascii="Times New Roman" w:hAnsi="Times New Roman" w:eastAsia="方正仿宋_GBK"/>
          <w:b w:val="0"/>
          <w:sz w:val="24"/>
        </w:rPr>
        <w:t xml:space="preserve">配置</w:t>
      </w:r>
      <w:r>
        <w:rPr>
          <w:rFonts w:ascii="Times New Roman" w:hAnsi="Times New Roman" w:eastAsia="方正仿宋_GBK"/>
          <w:b w:val="0"/>
          <w:sz w:val="24"/>
        </w:rPr>
        <w:t xml:space="preserve">，有效支撑功率分别为0.82 MW和0.27 MW。</w:t>
      </w:r>
      <w:r>
        <w:rPr>
          <w:rFonts w:ascii="Times New Roman" w:hAnsi="Times New Roman" w:eastAsia="方正仿宋_GBK"/>
          <w:b w:val="0"/>
          <w:sz w:val="24"/>
        </w:rPr>
        <w:t xml:space="preserve">2035年</w:t>
      </w:r>
      <w:r>
        <w:rPr>
          <w:rFonts w:ascii="Times New Roman" w:hAnsi="Times New Roman" w:eastAsia="方正仿宋_GBK"/>
          <w:b w:val="0"/>
          <w:sz w:val="24"/>
        </w:rPr>
        <w:t xml:space="preserve">邳州弹性</w:t>
      </w:r>
      <w:r>
        <w:rPr>
          <w:rFonts w:ascii="Times New Roman" w:hAnsi="Times New Roman" w:eastAsia="方正仿宋_GBK"/>
          <w:b w:val="0"/>
          <w:sz w:val="24"/>
        </w:rPr>
        <w:t xml:space="preserve">储能额定功率</w:t>
      </w:r>
      <w:r>
        <w:rPr>
          <w:rFonts w:ascii="Times New Roman" w:hAnsi="Times New Roman" w:eastAsia="方正仿宋_GBK"/>
          <w:b w:val="0"/>
          <w:sz w:val="24"/>
        </w:rPr>
        <w:t xml:space="preserve">25</w:t>
      </w:r>
      <w:r>
        <w:rPr>
          <w:rFonts w:ascii="Times New Roman" w:hAnsi="Times New Roman" w:eastAsia="方正仿宋_GBK"/>
          <w:b w:val="0"/>
          <w:sz w:val="24"/>
        </w:rPr>
        <w:t xml:space="preserve">3.</w:t>
      </w:r>
      <w:r>
        <w:rPr>
          <w:rFonts w:ascii="Times New Roman" w:hAnsi="Times New Roman" w:eastAsia="方正仿宋_GBK"/>
          <w:b w:val="0"/>
          <w:sz w:val="24"/>
        </w:rPr>
        <w:t xml:space="preserve">8</w:t>
      </w:r>
      <w:r>
        <w:rPr>
          <w:rFonts w:ascii="Times New Roman" w:hAnsi="Times New Roman" w:eastAsia="方正仿宋_GBK"/>
          <w:b w:val="0"/>
          <w:sz w:val="24"/>
        </w:rPr>
        <w:t xml:space="preserve">0 MW、额定能量</w:t>
      </w:r>
      <w:r>
        <w:rPr>
          <w:rFonts w:ascii="Times New Roman" w:hAnsi="Times New Roman" w:eastAsia="方正仿宋_GBK"/>
          <w:b w:val="0"/>
          <w:sz w:val="24"/>
        </w:rPr>
        <w:t xml:space="preserve">545.6</w:t>
      </w:r>
      <w:r>
        <w:rPr>
          <w:rFonts w:ascii="Times New Roman" w:hAnsi="Times New Roman" w:eastAsia="方正仿宋_GBK"/>
          <w:b w:val="0"/>
          <w:sz w:val="24"/>
        </w:rPr>
        <w:t xml:space="preserve">7</w:t>
      </w:r>
      <w:r>
        <w:rPr>
          <w:rFonts w:ascii="Times New Roman" w:hAnsi="Times New Roman" w:eastAsia="方正仿宋_GBK"/>
          <w:b w:val="0"/>
          <w:sz w:val="24"/>
        </w:rPr>
        <w:t xml:space="preserve"> MWh，刚性</w:t>
      </w:r>
      <w:r>
        <w:rPr>
          <w:rFonts w:ascii="Times New Roman" w:hAnsi="Times New Roman" w:eastAsia="方正仿宋_GBK"/>
          <w:b w:val="0"/>
          <w:sz w:val="24"/>
        </w:rPr>
        <w:t xml:space="preserve">分别为2</w:t>
      </w:r>
      <w:r>
        <w:rPr>
          <w:rFonts w:ascii="Times New Roman" w:hAnsi="Times New Roman" w:eastAsia="方正仿宋_GBK"/>
          <w:b w:val="0"/>
          <w:sz w:val="24"/>
        </w:rPr>
        <w:t xml:space="preserve">64</w:t>
      </w:r>
      <w:r>
        <w:rPr>
          <w:rFonts w:ascii="Times New Roman" w:hAnsi="Times New Roman" w:eastAsia="方正仿宋_GBK"/>
          <w:b w:val="0"/>
          <w:sz w:val="24"/>
        </w:rPr>
        <w:t xml:space="preserve">.30 MW</w:t>
      </w:r>
      <w:r>
        <w:rPr>
          <w:rFonts w:ascii="Times New Roman" w:hAnsi="Times New Roman" w:eastAsia="方正仿宋_GBK"/>
          <w:b w:val="0"/>
          <w:sz w:val="24"/>
        </w:rPr>
        <w:t xml:space="preserve">和568</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5 MWh</w:t>
      </w:r>
      <w:r>
        <w:rPr>
          <w:rFonts w:ascii="Times New Roman" w:hAnsi="Times New Roman" w:eastAsia="方正仿宋_GBK"/>
          <w:b w:val="0"/>
          <w:sz w:val="24"/>
        </w:rPr>
        <w:t xml:space="preserve">；</w:t>
      </w:r>
      <w:r>
        <w:rPr>
          <w:rFonts w:ascii="Times New Roman" w:hAnsi="Times New Roman" w:eastAsia="方正仿宋_GBK"/>
          <w:b w:val="0"/>
          <w:sz w:val="24"/>
        </w:rPr>
        <w:t xml:space="preserve">市区</w:t>
      </w:r>
      <w:r>
        <w:rPr>
          <w:rFonts w:ascii="Times New Roman" w:hAnsi="Times New Roman" w:eastAsia="方正仿宋_GBK"/>
          <w:b w:val="0"/>
          <w:sz w:val="24"/>
        </w:rPr>
        <w:t xml:space="preserve">弹性分别为51.00 MW和109.65 MWh，刚性为43.20 MW和92.88 MWh。储能规模与本地剩余</w:t>
      </w:r>
      <w:r>
        <w:rPr>
          <w:rFonts w:ascii="Times New Roman" w:hAnsi="Times New Roman" w:eastAsia="方正仿宋_GBK"/>
          <w:b w:val="0"/>
          <w:sz w:val="24"/>
        </w:rPr>
        <w:t xml:space="preserve">主变</w:t>
      </w:r>
      <w:r>
        <w:rPr>
          <w:rFonts w:ascii="Times New Roman" w:hAnsi="Times New Roman" w:eastAsia="方正仿宋_GBK"/>
          <w:b w:val="0"/>
          <w:sz w:val="24"/>
        </w:rPr>
        <w:t xml:space="preserve">、联</w:t>
      </w:r>
      <w:r>
        <w:rPr>
          <w:rFonts w:ascii="Times New Roman" w:hAnsi="Times New Roman" w:eastAsia="方正仿宋_GBK"/>
          <w:b w:val="0"/>
          <w:sz w:val="24"/>
        </w:rPr>
        <w:t xml:space="preserve">络</w:t>
      </w:r>
      <w:r>
        <w:rPr>
          <w:rFonts w:ascii="Times New Roman" w:hAnsi="Times New Roman" w:eastAsia="方正仿宋_GBK"/>
          <w:b w:val="0"/>
          <w:sz w:val="24"/>
        </w:rPr>
        <w:t xml:space="preserve">路径及方向持续时间共同对应</w:t>
      </w:r>
      <w:r>
        <w:rPr>
          <w:rFonts w:ascii="Times New Roman" w:hAnsi="Times New Roman" w:eastAsia="方正仿宋_GBK"/>
          <w:b w:val="0"/>
          <w:sz w:val="24"/>
        </w:rPr>
        <w:t xml:space="preserve">。</w:t>
      </w:r>
    </w:p>
    <w:p w14:paraId="3B188E36">
      <w:pPr>
        <w:pStyle w:val="2"/>
        <w:keepNext/>
        <w:spacing w:before="120" w:after="80" w:line="280" w:lineRule="exact"/>
        <w:ind w:firstLine="0"/>
        <w:jc w:val="center"/>
      </w:pPr>
      <w:r>
        <w:rPr>
          <w:rFonts w:ascii="Times New Roman" w:hAnsi="Times New Roman" w:eastAsia="宋体"/>
          <w:b w:val="0"/>
          <w:sz w:val="21"/>
        </w:rPr>
        <w:t xml:space="preserve">表5-64 </w:t>
      </w:r>
      <w:r>
        <w:rPr>
          <w:rFonts w:ascii="Times New Roman" w:hAnsi="Times New Roman" w:eastAsia="宋体"/>
          <w:b w:val="0"/>
          <w:sz w:val="21"/>
        </w:rPr>
        <w:t xml:space="preserve">代表年度固定区段预案</w:t>
      </w:r>
      <w:r>
        <w:rPr>
          <w:rFonts w:ascii="Times New Roman" w:hAnsi="Times New Roman" w:eastAsia="宋体"/>
          <w:b w:val="0"/>
          <w:sz w:val="21"/>
        </w:rPr>
        <w:t xml:space="preserve">的最大</w:t>
      </w:r>
      <w:r>
        <w:rPr>
          <w:rFonts w:ascii="Times New Roman" w:hAnsi="Times New Roman" w:eastAsia="宋体"/>
          <w:b w:val="0"/>
          <w:sz w:val="21"/>
        </w:rPr>
        <w:t xml:space="preserve">转</w:t>
      </w:r>
      <w:r>
        <w:rPr>
          <w:rFonts w:ascii="Times New Roman" w:hAnsi="Times New Roman" w:eastAsia="宋体"/>
          <w:b w:val="0"/>
          <w:sz w:val="21"/>
        </w:rPr>
        <w:t xml:space="preserve">接</w:t>
      </w:r>
      <w:r>
        <w:rPr>
          <w:rFonts w:ascii="Times New Roman" w:hAnsi="Times New Roman" w:eastAsia="宋体"/>
          <w:b w:val="0"/>
          <w:sz w:val="21"/>
        </w:rPr>
        <w:t xml:space="preserve">功率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正常总量/MW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正常既有边/MW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N-1总量/MW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sz w:val="18"/>
              </w:rPr>
              <w:t>N-1既有边/MW</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44.05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42.04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58.18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28.09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86.13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56.38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52.01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102.51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49.88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56.05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52.87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46.13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80.83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51.87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63.89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18.99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5.42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77.67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64.10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152.16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83.96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144.53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224.01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87.37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66.45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83.20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87.23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98.98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7.90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174.49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pPr>
            <w:r>
              <w:rPr>
                <w:rFonts w:ascii="Times New Roman" w:hAnsi="Times New Roman" w:eastAsia="宋体"/>
                <w:b w:val="0"/>
                <w:sz w:val="18"/>
              </w:rPr>
              <w:t>81.41</w:t>
            </w:r>
          </w:p>
        </w:tc>
      </w:tr>
    </w:tbl>
    <w:p w14:paraId="31967561">
      <w:pPr>
        <w:pStyle w:val="2"/>
        <w:widowControl/>
        <w:spacing w:before="0" w:after="0" w:line="348" w:lineRule="exact"/>
        <w:ind w:firstLine="480"/>
        <w:jc w:val="both"/>
      </w:pPr>
      <w:r>
        <w:rPr>
          <w:rFonts w:ascii="Times New Roman" w:hAnsi="Times New Roman" w:eastAsia="方正仿宋_GBK"/>
          <w:b w:val="0"/>
          <w:sz w:val="24"/>
        </w:rPr>
        <w:t xml:space="preserve">注：</w:t>
      </w:r>
      <w:r>
        <w:rPr>
          <w:rFonts w:ascii="Times New Roman" w:hAnsi="Times New Roman" w:eastAsia="方正仿宋_GBK"/>
          <w:b w:val="0"/>
          <w:sz w:val="24"/>
        </w:rPr>
        <w:t xml:space="preserve">沿采用的正常</w:t>
      </w:r>
      <w:r>
        <w:rPr>
          <w:rFonts w:ascii="Times New Roman" w:hAnsi="Times New Roman" w:eastAsia="方正仿宋_GBK"/>
          <w:b w:val="0"/>
          <w:sz w:val="24"/>
        </w:rPr>
        <w:t xml:space="preserve">固定</w:t>
      </w:r>
      <w:r>
        <w:rPr>
          <w:rFonts w:ascii="Times New Roman" w:hAnsi="Times New Roman" w:eastAsia="方正仿宋_GBK"/>
          <w:b w:val="0"/>
          <w:sz w:val="24"/>
        </w:rPr>
        <w:t xml:space="preserve">及事故追加预案回代8760</w:t>
      </w:r>
      <w:r>
        <w:rPr>
          <w:rFonts w:ascii="Times New Roman" w:hAnsi="Times New Roman" w:eastAsia="方正仿宋_GBK"/>
          <w:b w:val="0"/>
          <w:sz w:val="24"/>
        </w:rPr>
        <w:t xml:space="preserve">小</w:t>
      </w:r>
      <w:r>
        <w:rPr>
          <w:rFonts w:ascii="Times New Roman" w:hAnsi="Times New Roman" w:eastAsia="方正仿宋_GBK"/>
          <w:b w:val="0"/>
          <w:sz w:val="24"/>
        </w:rPr>
        <w:t xml:space="preserve">时</w:t>
      </w:r>
      <w:r>
        <w:rPr>
          <w:rFonts w:ascii="Times New Roman" w:hAnsi="Times New Roman" w:eastAsia="方正仿宋_GBK"/>
          <w:b w:val="0"/>
          <w:sz w:val="24"/>
        </w:rPr>
        <w:t xml:space="preserve">，分别</w:t>
      </w:r>
      <w:r>
        <w:rPr>
          <w:rFonts w:ascii="Times New Roman" w:hAnsi="Times New Roman" w:eastAsia="方正仿宋_GBK"/>
          <w:b w:val="0"/>
          <w:sz w:val="24"/>
        </w:rPr>
        <w:t xml:space="preserve">列</w:t>
      </w:r>
      <w:r>
        <w:rPr>
          <w:rFonts w:ascii="Times New Roman" w:hAnsi="Times New Roman" w:eastAsia="方正仿宋_GBK"/>
          <w:b w:val="0"/>
          <w:sz w:val="24"/>
        </w:rPr>
        <w:t xml:space="preserve">出各列</w:t>
      </w:r>
      <w:r>
        <w:rPr>
          <w:rFonts w:ascii="Times New Roman" w:hAnsi="Times New Roman" w:eastAsia="方正仿宋_GBK"/>
          <w:b w:val="0"/>
          <w:sz w:val="24"/>
        </w:rPr>
        <w:t xml:space="preserve">最大值。</w:t>
      </w:r>
    </w:p>
    <w:p w14:paraId="655F2F8C">
      <w:pPr>
        <w:pStyle w:val="2"/>
        <w:widowControl/>
        <w:spacing w:before="0" w:after="0" w:line="348" w:lineRule="exact"/>
        <w:ind w:firstLine="480"/>
        <w:jc w:val="both"/>
      </w:pPr>
      <w:r>
        <w:rPr>
          <w:rFonts w:ascii="Times New Roman" w:hAnsi="Times New Roman" w:eastAsia="方正仿宋_GBK"/>
          <w:b w:val="0"/>
          <w:sz w:val="24"/>
        </w:rPr>
        <w:t xml:space="preserve">表中</w:t>
      </w:r>
      <w:r>
        <w:rPr>
          <w:rFonts w:ascii="Times New Roman" w:hAnsi="Times New Roman" w:eastAsia="方正仿宋_GBK"/>
          <w:b w:val="0"/>
          <w:sz w:val="24"/>
        </w:rPr>
        <w:t xml:space="preserve">沿已采用的年度正常及事故追加区段预</w:t>
      </w:r>
      <w:r>
        <w:rPr>
          <w:rFonts w:ascii="Times New Roman" w:hAnsi="Times New Roman" w:eastAsia="方正仿宋_GBK"/>
          <w:b w:val="0"/>
          <w:sz w:val="24"/>
        </w:rPr>
        <w:t xml:space="preserve">案</w:t>
      </w:r>
      <w:r>
        <w:rPr>
          <w:rFonts w:ascii="Times New Roman" w:hAnsi="Times New Roman" w:eastAsia="方正仿宋_GBK"/>
          <w:b w:val="0"/>
          <w:sz w:val="24"/>
        </w:rPr>
        <w:t xml:space="preserve">，</w:t>
      </w:r>
      <w:r>
        <w:rPr>
          <w:rFonts w:ascii="Times New Roman" w:hAnsi="Times New Roman" w:eastAsia="方正仿宋_GBK"/>
          <w:b w:val="0"/>
          <w:sz w:val="24"/>
        </w:rPr>
        <w:t xml:space="preserve">回代</w:t>
      </w:r>
      <w:r>
        <w:rPr>
          <w:rFonts w:ascii="Times New Roman" w:hAnsi="Times New Roman" w:eastAsia="方正仿宋_GBK"/>
          <w:b w:val="0"/>
          <w:sz w:val="24"/>
        </w:rPr>
        <w:t xml:space="preserve">各</w:t>
      </w:r>
      <w:r>
        <w:rPr>
          <w:rFonts w:ascii="Times New Roman" w:hAnsi="Times New Roman" w:eastAsia="方正仿宋_GBK"/>
          <w:b w:val="0"/>
          <w:sz w:val="24"/>
        </w:rPr>
        <w:t xml:space="preserve">年8760小时源荷，分别汇总正常和</w:t>
      </w:r>
      <w:r>
        <w:rPr>
          <w:rFonts w:ascii="Times New Roman" w:hAnsi="Times New Roman" w:eastAsia="方正仿宋_GBK"/>
          <w:b w:val="0"/>
          <w:sz w:val="24"/>
        </w:rPr>
        <w:t xml:space="preserve">N-1</w:t>
      </w:r>
      <w:r>
        <w:rPr>
          <w:rFonts w:ascii="Times New Roman" w:hAnsi="Times New Roman" w:eastAsia="方正仿宋_GBK"/>
          <w:b w:val="0"/>
          <w:sz w:val="24"/>
        </w:rPr>
        <w:t xml:space="preserve">工况中的</w:t>
      </w:r>
      <w:r>
        <w:rPr>
          <w:rFonts w:ascii="Times New Roman" w:hAnsi="Times New Roman" w:eastAsia="方正仿宋_GBK"/>
          <w:b w:val="0"/>
          <w:sz w:val="24"/>
        </w:rPr>
        <w:t xml:space="preserve">转</w:t>
      </w:r>
      <w:r>
        <w:rPr>
          <w:rFonts w:ascii="Times New Roman" w:hAnsi="Times New Roman" w:eastAsia="方正仿宋_GBK"/>
          <w:b w:val="0"/>
          <w:sz w:val="24"/>
        </w:rPr>
        <w:t xml:space="preserve">接峰值。</w:t>
      </w:r>
      <w:r>
        <w:rPr>
          <w:rFonts w:ascii="Times New Roman" w:hAnsi="Times New Roman" w:eastAsia="方正仿宋_GBK"/>
          <w:b w:val="0"/>
          <w:sz w:val="24"/>
        </w:rPr>
        <w:t xml:space="preserve">总量与既有边</w:t>
      </w:r>
      <w:r>
        <w:rPr>
          <w:rFonts w:ascii="Times New Roman" w:hAnsi="Times New Roman" w:eastAsia="方正仿宋_GBK"/>
          <w:b w:val="0"/>
          <w:sz w:val="24"/>
        </w:rPr>
        <w:t xml:space="preserve">两列分别取对应工况</w:t>
      </w:r>
      <w:r>
        <w:rPr>
          <w:rFonts w:ascii="Times New Roman" w:hAnsi="Times New Roman" w:eastAsia="方正仿宋_GBK"/>
          <w:b w:val="0"/>
          <w:sz w:val="24"/>
        </w:rPr>
        <w:t xml:space="preserve">最大值</w:t>
      </w:r>
      <w:r>
        <w:rPr>
          <w:rFonts w:ascii="Times New Roman" w:hAnsi="Times New Roman" w:eastAsia="方正仿宋_GBK"/>
          <w:b w:val="0"/>
          <w:sz w:val="24"/>
        </w:rPr>
        <w:t xml:space="preserve">，</w:t>
      </w:r>
      <w:r>
        <w:rPr>
          <w:rFonts w:ascii="Times New Roman" w:hAnsi="Times New Roman" w:eastAsia="方正仿宋_GBK"/>
          <w:b w:val="0"/>
          <w:sz w:val="24"/>
        </w:rPr>
        <w:t xml:space="preserve">既有网络</w:t>
      </w:r>
      <w:r>
        <w:rPr>
          <w:rFonts w:ascii="Times New Roman" w:hAnsi="Times New Roman" w:eastAsia="方正仿宋_GBK"/>
          <w:b w:val="0"/>
          <w:sz w:val="24"/>
        </w:rPr>
        <w:t xml:space="preserve">参与</w:t>
      </w:r>
      <w:r>
        <w:rPr>
          <w:rFonts w:ascii="Times New Roman" w:hAnsi="Times New Roman" w:eastAsia="方正仿宋_GBK"/>
          <w:b w:val="0"/>
          <w:sz w:val="24"/>
        </w:rPr>
        <w:t xml:space="preserve">支援</w:t>
      </w:r>
      <w:r>
        <w:rPr>
          <w:rFonts w:ascii="Times New Roman" w:hAnsi="Times New Roman" w:eastAsia="方正仿宋_GBK"/>
          <w:b w:val="0"/>
          <w:sz w:val="24"/>
        </w:rPr>
        <w:t xml:space="preserve">，新增联络</w:t>
      </w:r>
      <w:r>
        <w:rPr>
          <w:rFonts w:ascii="Times New Roman" w:hAnsi="Times New Roman" w:eastAsia="方正仿宋_GBK"/>
          <w:b w:val="0"/>
          <w:sz w:val="24"/>
        </w:rPr>
        <w:t xml:space="preserve">按</w:t>
      </w:r>
      <w:r>
        <w:rPr>
          <w:rFonts w:ascii="Times New Roman" w:hAnsi="Times New Roman" w:eastAsia="方正仿宋_GBK"/>
          <w:b w:val="0"/>
          <w:sz w:val="24"/>
        </w:rPr>
        <w:t xml:space="preserve">实际建设项目计</w:t>
      </w:r>
      <w:r>
        <w:rPr>
          <w:rFonts w:ascii="Times New Roman" w:hAnsi="Times New Roman" w:eastAsia="方正仿宋_GBK"/>
          <w:b w:val="0"/>
          <w:sz w:val="24"/>
        </w:rPr>
        <w:t xml:space="preserve">费</w:t>
      </w:r>
      <w:r>
        <w:rPr>
          <w:rFonts w:ascii="Times New Roman" w:hAnsi="Times New Roman" w:eastAsia="方正仿宋_GBK"/>
          <w:b w:val="0"/>
          <w:sz w:val="24"/>
        </w:rPr>
        <w:t xml:space="preserve">。</w:t>
      </w:r>
    </w:p>
    <w:p w14:paraId="5AC5AC38">
      <w:pPr>
        <w:pStyle w:val="2"/>
        <w:widowControl/>
        <w:spacing w:before="0" w:after="0" w:line="348" w:lineRule="exact"/>
        <w:ind w:firstLine="480"/>
        <w:jc w:val="both"/>
      </w:pPr>
      <w:r>
        <w:rPr>
          <w:rFonts w:ascii="Times New Roman" w:hAnsi="Times New Roman" w:eastAsia="方正仿宋_GBK"/>
          <w:b w:val="0"/>
          <w:sz w:val="24"/>
        </w:rPr>
        <w:t xml:space="preserve">固定预案的</w:t>
      </w:r>
      <w:r>
        <w:rPr>
          <w:rFonts w:ascii="Times New Roman" w:hAnsi="Times New Roman" w:eastAsia="方正仿宋_GBK"/>
          <w:b w:val="0"/>
          <w:sz w:val="24"/>
        </w:rPr>
        <w:t xml:space="preserve">转</w:t>
      </w:r>
      <w:r>
        <w:rPr>
          <w:rFonts w:ascii="Times New Roman" w:hAnsi="Times New Roman" w:eastAsia="方正仿宋_GBK"/>
          <w:b w:val="0"/>
          <w:sz w:val="24"/>
        </w:rPr>
        <w:t xml:space="preserve">接峰值</w:t>
      </w:r>
      <w:r>
        <w:rPr>
          <w:rFonts w:ascii="Times New Roman" w:hAnsi="Times New Roman" w:eastAsia="方正仿宋_GBK"/>
          <w:b w:val="0"/>
          <w:sz w:val="24"/>
        </w:rPr>
        <w:t xml:space="preserve">说明</w:t>
      </w:r>
      <w:r>
        <w:rPr>
          <w:rFonts w:ascii="Times New Roman" w:hAnsi="Times New Roman" w:eastAsia="方正仿宋_GBK"/>
          <w:b w:val="0"/>
          <w:sz w:val="24"/>
        </w:rPr>
        <w:t xml:space="preserve">已采用</w:t>
      </w:r>
      <w:r>
        <w:rPr>
          <w:rFonts w:ascii="Times New Roman" w:hAnsi="Times New Roman" w:eastAsia="方正仿宋_GBK"/>
          <w:b w:val="0"/>
          <w:sz w:val="24"/>
        </w:rPr>
        <w:t xml:space="preserve">网络的</w:t>
      </w:r>
      <w:r>
        <w:rPr>
          <w:rFonts w:ascii="Times New Roman" w:hAnsi="Times New Roman" w:eastAsia="方正仿宋_GBK"/>
          <w:b w:val="0"/>
          <w:sz w:val="24"/>
        </w:rPr>
        <w:t xml:space="preserve">实际任务</w:t>
      </w:r>
      <w:r>
        <w:rPr>
          <w:rFonts w:ascii="Times New Roman" w:hAnsi="Times New Roman" w:eastAsia="方正仿宋_GBK"/>
          <w:b w:val="0"/>
          <w:sz w:val="24"/>
        </w:rPr>
        <w:t xml:space="preserve">。市区弹性方案</w:t>
      </w:r>
      <w:r>
        <w:rPr>
          <w:rFonts w:ascii="Times New Roman" w:hAnsi="Times New Roman" w:eastAsia="方正仿宋_GBK"/>
          <w:b w:val="0"/>
          <w:sz w:val="24"/>
        </w:rPr>
        <w:t xml:space="preserve">2030年尚未</w:t>
      </w:r>
      <w:r>
        <w:rPr>
          <w:rFonts w:ascii="Times New Roman" w:hAnsi="Times New Roman" w:eastAsia="方正仿宋_GBK"/>
          <w:b w:val="0"/>
          <w:sz w:val="24"/>
        </w:rPr>
        <w:t xml:space="preserve">新</w:t>
      </w:r>
      <w:r>
        <w:rPr>
          <w:rFonts w:ascii="Times New Roman" w:hAnsi="Times New Roman" w:eastAsia="方正仿宋_GBK"/>
          <w:b w:val="0"/>
          <w:sz w:val="24"/>
        </w:rPr>
        <w:t xml:space="preserve">建</w:t>
      </w:r>
      <w:r>
        <w:rPr>
          <w:rFonts w:ascii="Times New Roman" w:hAnsi="Times New Roman" w:eastAsia="方正仿宋_GBK"/>
          <w:b w:val="0"/>
          <w:sz w:val="24"/>
        </w:rPr>
        <w:t xml:space="preserve">联络，仍需</w:t>
      </w:r>
      <w:r>
        <w:rPr>
          <w:rFonts w:ascii="Times New Roman" w:hAnsi="Times New Roman" w:eastAsia="方正仿宋_GBK"/>
          <w:b w:val="0"/>
          <w:sz w:val="24"/>
        </w:rPr>
        <w:t xml:space="preserve">在既有逐站额度</w:t>
      </w:r>
      <w:r>
        <w:rPr>
          <w:rFonts w:ascii="Times New Roman" w:hAnsi="Times New Roman" w:eastAsia="方正仿宋_GBK"/>
          <w:b w:val="0"/>
          <w:sz w:val="24"/>
        </w:rPr>
        <w:t xml:space="preserve">与路径</w:t>
      </w:r>
      <w:r>
        <w:rPr>
          <w:rFonts w:ascii="Times New Roman" w:hAnsi="Times New Roman" w:eastAsia="方正仿宋_GBK"/>
          <w:b w:val="0"/>
          <w:sz w:val="24"/>
        </w:rPr>
        <w:t xml:space="preserve">内安排</w:t>
      </w:r>
      <w:r>
        <w:rPr>
          <w:rFonts w:ascii="Times New Roman" w:hAnsi="Times New Roman" w:eastAsia="方正仿宋_GBK"/>
          <w:b w:val="0"/>
          <w:sz w:val="24"/>
        </w:rPr>
        <w:t xml:space="preserve">供区</w:t>
      </w:r>
      <w:r>
        <w:rPr>
          <w:rFonts w:ascii="Times New Roman" w:hAnsi="Times New Roman" w:eastAsia="方正仿宋_GBK"/>
          <w:b w:val="0"/>
          <w:sz w:val="24"/>
        </w:rPr>
        <w:t xml:space="preserve">；</w:t>
      </w:r>
      <w:r>
        <w:rPr>
          <w:rFonts w:ascii="Times New Roman" w:hAnsi="Times New Roman" w:eastAsia="方正仿宋_GBK"/>
          <w:b w:val="0"/>
          <w:sz w:val="24"/>
        </w:rPr>
        <w:t xml:space="preserve">后期</w:t>
      </w:r>
      <w:r>
        <w:rPr>
          <w:rFonts w:ascii="Times New Roman" w:hAnsi="Times New Roman" w:eastAsia="方正仿宋_GBK"/>
          <w:b w:val="0"/>
          <w:sz w:val="24"/>
        </w:rPr>
        <w:t xml:space="preserve">新增</w:t>
      </w:r>
      <w:r>
        <w:rPr>
          <w:rFonts w:ascii="Times New Roman" w:hAnsi="Times New Roman" w:eastAsia="方正仿宋_GBK"/>
          <w:b w:val="0"/>
          <w:sz w:val="24"/>
        </w:rPr>
        <w:t xml:space="preserve">通道与储能逐步</w:t>
      </w:r>
      <w:r>
        <w:rPr>
          <w:rFonts w:ascii="Times New Roman" w:hAnsi="Times New Roman" w:eastAsia="方正仿宋_GBK"/>
          <w:b w:val="0"/>
          <w:sz w:val="24"/>
        </w:rPr>
        <w:t xml:space="preserve">增加</w:t>
      </w:r>
      <w:r>
        <w:rPr>
          <w:rFonts w:ascii="Times New Roman" w:hAnsi="Times New Roman" w:eastAsia="方正仿宋_GBK"/>
          <w:b w:val="0"/>
          <w:sz w:val="24"/>
        </w:rPr>
        <w:t xml:space="preserve">。邳州两</w:t>
      </w:r>
      <w:r>
        <w:rPr>
          <w:rFonts w:ascii="Times New Roman" w:hAnsi="Times New Roman" w:eastAsia="方正仿宋_GBK"/>
          <w:b w:val="0"/>
          <w:sz w:val="24"/>
        </w:rPr>
        <w:t xml:space="preserve">方案均</w:t>
      </w:r>
      <w:r>
        <w:rPr>
          <w:rFonts w:ascii="Times New Roman" w:hAnsi="Times New Roman" w:eastAsia="方正仿宋_GBK"/>
          <w:b w:val="0"/>
          <w:sz w:val="24"/>
        </w:rPr>
        <w:t xml:space="preserve">分年</w:t>
      </w:r>
      <w:r>
        <w:rPr>
          <w:rFonts w:ascii="Times New Roman" w:hAnsi="Times New Roman" w:eastAsia="方正仿宋_GBK"/>
          <w:b w:val="0"/>
          <w:sz w:val="24"/>
        </w:rPr>
        <w:t xml:space="preserve">建设联络，</w:t>
      </w:r>
      <w:r>
        <w:rPr>
          <w:rFonts w:ascii="Times New Roman" w:hAnsi="Times New Roman" w:eastAsia="方正仿宋_GBK"/>
          <w:b w:val="0"/>
          <w:sz w:val="24"/>
        </w:rPr>
        <w:t xml:space="preserve">站内主变及</w:t>
      </w:r>
      <w:r>
        <w:rPr>
          <w:rFonts w:ascii="Times New Roman" w:hAnsi="Times New Roman" w:eastAsia="方正仿宋_GBK"/>
          <w:b w:val="0"/>
          <w:sz w:val="24"/>
        </w:rPr>
        <w:t xml:space="preserve">储能</w:t>
      </w:r>
      <w:r>
        <w:rPr>
          <w:rFonts w:ascii="Times New Roman" w:hAnsi="Times New Roman" w:eastAsia="方正仿宋_GBK"/>
          <w:b w:val="0"/>
          <w:sz w:val="24"/>
        </w:rPr>
        <w:t xml:space="preserve">配置</w:t>
      </w:r>
      <w:r>
        <w:rPr>
          <w:rFonts w:ascii="Times New Roman" w:hAnsi="Times New Roman" w:eastAsia="方正仿宋_GBK"/>
          <w:b w:val="0"/>
          <w:sz w:val="24"/>
        </w:rPr>
        <w:t xml:space="preserve">不同，各年</w:t>
      </w:r>
      <w:r>
        <w:rPr>
          <w:rFonts w:ascii="Times New Roman" w:hAnsi="Times New Roman" w:eastAsia="方正仿宋_GBK"/>
          <w:b w:val="0"/>
          <w:sz w:val="24"/>
        </w:rPr>
        <w:t xml:space="preserve">转</w:t>
      </w:r>
      <w:r>
        <w:rPr>
          <w:rFonts w:ascii="Times New Roman" w:hAnsi="Times New Roman" w:eastAsia="方正仿宋_GBK"/>
          <w:b w:val="0"/>
          <w:sz w:val="24"/>
        </w:rPr>
        <w:t xml:space="preserve">接</w:t>
      </w:r>
      <w:r>
        <w:rPr>
          <w:rFonts w:ascii="Times New Roman" w:hAnsi="Times New Roman" w:eastAsia="方正仿宋_GBK"/>
          <w:b w:val="0"/>
          <w:sz w:val="24"/>
        </w:rPr>
        <w:t xml:space="preserve">任务随</w:t>
      </w:r>
      <w:r>
        <w:rPr>
          <w:rFonts w:ascii="Times New Roman" w:hAnsi="Times New Roman" w:eastAsia="方正仿宋_GBK"/>
          <w:b w:val="0"/>
          <w:sz w:val="24"/>
        </w:rPr>
        <w:t xml:space="preserve">源</w:t>
      </w:r>
      <w:r>
        <w:rPr>
          <w:rFonts w:ascii="Times New Roman" w:hAnsi="Times New Roman" w:eastAsia="方正仿宋_GBK"/>
          <w:b w:val="0"/>
          <w:sz w:val="24"/>
        </w:rPr>
        <w:t xml:space="preserve">荷及投运状态变化。</w:t>
      </w:r>
    </w:p>
    <w:p w14:paraId="1506295E">
      <w:pPr>
        <w:pStyle w:val="4"/>
        <w:keepNext/>
        <w:numPr>
          <w:ilvl w:val="0"/>
          <w:numId w:val="0"/>
        </w:numPr>
        <w:spacing w:before="160" w:after="120" w:line="480" w:lineRule="exact"/>
        <w:ind w:firstLine="0"/>
      </w:pPr>
      <w:bookmarkStart w:id="330" w:name="Report1017_h1044"/>
      <w:bookmarkEnd w:id="330"/>
      <w:bookmarkStart w:id="255" w:name="五参数推广矩阵"/>
      <w:bookmarkStart w:id="256" w:name="h1088"/>
      <w:r>
        <w:rPr>
          <w:rFonts w:ascii="Times New Roman" w:hAnsi="Times New Roman" w:eastAsia="方正仿宋_GBK"/>
          <w:b/>
          <w:sz w:val="32"/>
        </w:rPr>
        <w:t>5.6 五参数推广矩阵</w:t>
      </w:r>
      <w:bookmarkEnd w:id="255"/>
      <w:bookmarkEnd w:id="256"/>
    </w:p>
    <w:p w14:paraId="521676BF">
      <w:pPr>
        <w:pStyle w:val="5"/>
        <w:keepNext/>
        <w:numPr>
          <w:ilvl w:val="0"/>
          <w:numId w:val="0"/>
        </w:numPr>
        <w:spacing w:before="160" w:after="120" w:line="390" w:lineRule="exact"/>
        <w:ind w:firstLine="0"/>
      </w:pPr>
      <w:bookmarkStart w:id="257" w:name="参数组织与推广模型"/>
      <w:r>
        <w:rPr>
          <w:rFonts w:ascii="Times New Roman" w:hAnsi="Times New Roman" w:eastAsia="方正仿宋_GBK"/>
          <w:b/>
          <w:sz w:val="26"/>
        </w:rPr>
        <w:t>5.6.1 参数组织与推广模型</w:t>
      </w:r>
      <w:bookmarkEnd w:id="257"/>
    </w:p>
    <w:p w14:paraId="166D82BB">
      <w:pPr>
        <w:pStyle w:val="115"/>
        <w:widowControl/>
        <w:spacing w:before="0" w:after="0" w:line="348" w:lineRule="exact"/>
        <w:ind w:firstLine="480"/>
        <w:jc w:val="both"/>
      </w:pPr>
      <w:r>
        <w:rPr>
          <w:rFonts w:ascii="Times New Roman" w:hAnsi="Times New Roman" w:eastAsia="方正仿宋_GBK"/>
          <w:b w:val="0"/>
          <w:sz w:val="24"/>
        </w:rPr>
        <w:t>第3.5节通过与容载比的相关强度筛选、指标间信息归并及参数间相关核验，确定分布式电源装机渗透率、年最大净负荷平均增长率、电缆长度占比、初始转供率和负荷分散系数五项推广参数。本节按这些条件归纳设备比选结果，形成容载比矩阵。</w:t>
      </w:r>
    </w:p>
    <w:p w14:paraId="6EA5F5A9">
      <w:pPr>
        <w:pStyle w:val="2"/>
        <w:widowControl/>
        <w:spacing w:before="0" w:after="0" w:line="348" w:lineRule="exact"/>
        <w:ind w:firstLine="480"/>
        <w:jc w:val="both"/>
      </w:pPr>
      <w:r>
        <w:rPr>
          <w:rFonts w:ascii="Times New Roman" w:hAnsi="Times New Roman" w:eastAsia="方正仿宋_GBK"/>
          <w:b w:val="0"/>
          <w:sz w:val="24"/>
        </w:rPr>
        <w:t>区间矩阵采用五站存量设备模板，每站初始为两台50 MVA主变，总容量500.00 MVA。既有主变可保留或更换为63、80 MVA，各站允许扩建一台50 MVA主变。基期网供峰值250 MW，比选时点为基期后第4年。主变允许规格、扩建位置、馈线和间隔条件进入承载约束，主变、储能和新增联络按共同评价期费用比选。</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pPr>
            <w:r>
              <w:rPr>
                <w:rFonts w:ascii="Times New Roman" w:hAnsi="Times New Roman" w:eastAsia="方正仿宋_GBK"/>
                <w:b w:val="0"/>
                <w:sz w:val="18"/>
              </w:rPr>
              <w:t>（5-11）</w:t>
            </w:r>
          </w:p>
        </w:tc>
      </w:tr>
    </w:tbl>
    <w:p w14:paraId="33218695">
      <w:pPr>
        <w:pStyle w:val="115"/>
        <w:widowControl/>
        <w:spacing w:before="0" w:after="0" w:line="348" w:lineRule="exact"/>
        <w:ind w:left="0" w:leftChars="0" w:right="0" w:rightChars="0" w:firstLine="0" w:firstLineChars="0" w:hanging="0" w:hangingChars="0" w:start="0" w:end="0" w:startChars="0" w:end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为基期后第4年的网供最大负荷，</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,evening</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,day</m:t>
            </m:r>
          </m:sub>
        </m:sSub>
      </m:oMath>
      <w:r>
        <w:rPr>
          <w:rFonts w:ascii="Times New Roman" w:hAnsi="Times New Roman" w:eastAsia="方正仿宋_GBK"/>
          <w:b w:val="0"/>
          <w:sz w:val="24"/>
        </w:rPr>
        <w:t>为站</w:t>
      </w:r>
      <m:oMath>
        <m:r>
          <m:rPr>
            <m:nor/>
          </m:rPr>
          <w:rPr>
            <w:rFonts w:ascii="Times New Roman" w:hAnsi="Times New Roman" w:eastAsia="方正仿宋_GBK" w:cs="Times New Roman"/>
            <w:i/>
            <w:iCs/>
          </w:rPr>
          <m:t>i</m:t>
        </m:r>
      </m:oMath>
      <w:r>
        <w:rPr>
          <w:rFonts w:ascii="Times New Roman" w:hAnsi="Times New Roman" w:eastAsia="方正仿宋_GBK"/>
          <w:b w:val="0"/>
          <w:sz w:val="24"/>
        </w:rPr>
        <w:t>晚峰及日间净负荷，单位MW；</w:t>
      </w:r>
      <m:oMath>
        <m:acc>
          <m:accPr>
            <m:chr m:val="‾"/>
          </m:accPr>
          <m:e>
            <m:r>
              <m:rPr>
                <m:nor/>
              </m:rPr>
              <w:rPr>
                <w:rFonts w:ascii="Times New Roman" w:hAnsi="Times New Roman" w:eastAsia="方正仿宋_GBK" w:cs="Times New Roman"/>
                <w:i/>
                <w:iCs/>
              </w:rPr>
              <m:t>g</m:t>
            </m:r>
          </m:e>
        </m:acc>
      </m:oMath>
      <w:r>
        <w:rPr>
          <w:rFonts w:ascii="Times New Roman" w:hAnsi="Times New Roman" w:eastAsia="方正仿宋_GBK"/>
          <w:b w:val="0"/>
          <w:sz w:val="24"/>
        </w:rPr>
        <w:t>为年最大净负荷平均增长率，</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C</m:t>
            </m:r>
          </m:sub>
        </m:sSub>
      </m:oMath>
      <w:r>
        <w:rPr>
          <w:rFonts w:ascii="Times New Roman" w:hAnsi="Times New Roman" w:eastAsia="方正仿宋_GBK"/>
          <w:b w:val="0"/>
          <w:sz w:val="24"/>
        </w:rPr>
        <w:t>为装机渗透率；</w:t>
      </w:r>
      <m:oMath>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L</m:t>
            </m:r>
          </m:sup>
        </m:sSubSup>
      </m:oMath>
      <w:r>
        <w:rPr>
          <w:rFonts w:ascii="Times New Roman" w:hAnsi="Times New Roman" w:eastAsia="方正仿宋_GBK"/>
          <w:b w:val="0"/>
          <w:sz w:val="24"/>
        </w:rPr>
        <w:t>、</w:t>
      </w:r>
      <m:oMath>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G</m:t>
            </m:r>
          </m:sup>
        </m:sSubSup>
      </m:oMath>
      <w:r>
        <w:rPr>
          <w:rFonts w:ascii="Times New Roman" w:hAnsi="Times New Roman" w:eastAsia="方正仿宋_GBK"/>
          <w:b w:val="0"/>
          <w:sz w:val="24"/>
        </w:rPr>
        <w:t>分别为负荷、光伏分配权重，各自合计为1。晚峰光伏出力取零，日间负荷和光伏出力系数分别为0.30、0.75。</w:t>
      </w:r>
    </w:p>
    <w:p w14:paraId="11940EA1">
      <w:pPr>
        <w:pStyle w:val="2"/>
        <w:widowControl/>
        <w:spacing w:before="0" w:after="0" w:line="348" w:lineRule="exact"/>
        <w:ind w:firstLine="480"/>
        <w:jc w:val="both"/>
      </w:pPr>
      <w:r>
        <w:rPr>
          <w:rFonts w:ascii="Times New Roman" w:hAnsi="Times New Roman" w:eastAsia="方正仿宋_GBK"/>
          <w:b w:val="0"/>
          <w:sz w:val="24"/>
        </w:rPr>
        <w:t>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14:paraId="1989DC34">
      <w:pPr>
        <w:pStyle w:val="2"/>
        <w:keepNext/>
        <w:spacing w:before="120" w:after="80" w:line="280" w:lineRule="exact"/>
        <w:ind w:firstLine="0"/>
        <w:jc w:val="center"/>
      </w:pPr>
      <w:r>
        <w:rPr>
          <w:rFonts w:ascii="Times New Roman" w:hAnsi="Times New Roman" w:eastAsia="宋体"/>
          <w:b w:val="0"/>
          <w:sz w:val="21"/>
        </w:rPr>
        <w:t>表5-65 五站推广模板</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4156"/>
        <w:gridCol w:w="4156"/>
      </w:tblGrid>
      <w:tr w14:paraId="22289A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4156" w:type="dxa"/>
            <w:tcMar>
              <w:left w:w="70" w:type="dxa"/>
              <w:right w:w="70" w:type="dxa"/>
            </w:tcMar>
            <w:vAlign w:val="center"/>
          </w:tcPr>
          <w:p w14:paraId="64207966">
            <w:pPr>
              <w:keepNext/>
              <w:spacing w:before="20" w:after="20" w:line="260" w:lineRule="exact"/>
              <w:ind w:left="0" w:leftChars="0" w:right="0" w:rightChars="0" w:firstLine="0" w:firstLineChars="0"/>
              <w:jc w:val="center"/>
            </w:pPr>
            <w:r>
              <w:rPr>
                <w:rFonts w:ascii="Times New Roman" w:hAnsi="Times New Roman" w:eastAsia="宋体"/>
                <w:b/>
                <w:sz w:val="18"/>
              </w:rPr>
              <w:t>项目</w:t>
            </w:r>
          </w:p>
        </w:tc>
        <w:tc>
          <w:tcPr>
            <w:tcW w:w="4156" w:type="dxa"/>
            <w:tcMar>
              <w:left w:w="70" w:type="dxa"/>
              <w:right w:w="70" w:type="dxa"/>
            </w:tcMar>
            <w:vAlign w:val="center"/>
          </w:tcPr>
          <w:p w14:paraId="26F485EB">
            <w:pPr>
              <w:keepNext/>
              <w:spacing w:before="20" w:after="20" w:line="260" w:lineRule="exact"/>
              <w:ind w:left="0" w:leftChars="0" w:right="0" w:rightChars="0" w:firstLine="0" w:firstLineChars="0"/>
              <w:jc w:val="center"/>
            </w:pPr>
            <w:r>
              <w:rPr>
                <w:rFonts w:ascii="Times New Roman" w:hAnsi="Times New Roman" w:eastAsia="宋体"/>
                <w:b/>
                <w:sz w:val="18"/>
              </w:rPr>
              <w:t>设置</w:t>
            </w:r>
          </w:p>
        </w:tc>
      </w:tr>
      <w:tr w14:paraId="1B817A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4C218FE2">
            <w:pPr>
              <w:keepNext w:val="0"/>
              <w:spacing w:before="20" w:after="20" w:line="260" w:lineRule="exact"/>
              <w:ind w:left="0" w:leftChars="0" w:right="0" w:rightChars="0" w:firstLine="0" w:firstLineChars="0"/>
              <w:jc w:val="center"/>
            </w:pPr>
            <w:r>
              <w:rPr>
                <w:rFonts w:ascii="Times New Roman" w:hAnsi="Times New Roman" w:eastAsia="宋体"/>
                <w:b w:val="0"/>
                <w:sz w:val="18"/>
              </w:rPr>
              <w:t>区间矩阵设备</w:t>
            </w:r>
          </w:p>
        </w:tc>
        <w:tc>
          <w:tcPr>
            <w:tcW w:w="4156" w:type="dxa"/>
            <w:tcMar>
              <w:left w:w="70" w:type="dxa"/>
              <w:right w:w="70" w:type="dxa"/>
            </w:tcMar>
            <w:vAlign w:val="center"/>
          </w:tcPr>
          <w:p w14:paraId="2F0AE05B">
            <w:pPr>
              <w:keepNext w:val="0"/>
              <w:spacing w:before="20" w:after="20" w:line="260" w:lineRule="exact"/>
              <w:ind w:left="0" w:leftChars="0" w:right="0" w:rightChars="0" w:firstLine="0" w:firstLineChars="0"/>
              <w:jc w:val="center"/>
            </w:pPr>
            <w:r>
              <w:rPr>
                <w:rFonts w:ascii="Times New Roman" w:hAnsi="Times New Roman" w:eastAsia="宋体"/>
                <w:b w:val="0"/>
                <w:sz w:val="18"/>
              </w:rPr>
              <w:t>5站，每站保留2×50 MVA，允许更换63、80 MVA，并可扩建第三台50 MVA主变，初始总容量500 MVA</w:t>
            </w:r>
          </w:p>
        </w:tc>
      </w:tr>
      <w:tr w14:paraId="0584043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10FF938">
            <w:pPr>
              <w:keepNext w:val="0"/>
              <w:spacing w:before="20" w:after="20" w:line="260" w:lineRule="exact"/>
              <w:ind w:left="0" w:leftChars="0" w:right="0" w:rightChars="0" w:firstLine="0" w:firstLineChars="0"/>
              <w:jc w:val="center"/>
            </w:pPr>
            <w:r>
              <w:rPr>
                <w:rFonts w:ascii="Times New Roman" w:hAnsi="Times New Roman" w:eastAsia="宋体"/>
                <w:b w:val="0"/>
                <w:sz w:val="18"/>
              </w:rPr>
              <w:t>典型转供对照设备</w:t>
            </w:r>
          </w:p>
        </w:tc>
        <w:tc>
          <w:tcPr>
            <w:tcW w:w="4156" w:type="dxa"/>
            <w:tcMar>
              <w:left w:w="70" w:type="dxa"/>
              <w:right w:w="70" w:type="dxa"/>
            </w:tcMar>
            <w:vAlign w:val="center"/>
          </w:tcPr>
          <w:p w14:paraId="34CB2C8F">
            <w:pPr>
              <w:keepNext w:val="0"/>
              <w:spacing w:before="20" w:after="20" w:line="260" w:lineRule="exact"/>
              <w:ind w:left="0" w:leftChars="0" w:right="0" w:rightChars="0" w:firstLine="0" w:firstLineChars="0"/>
              <w:jc w:val="center"/>
            </w:pPr>
            <w:r>
              <w:rPr>
                <w:rFonts w:ascii="Times New Roman" w:hAnsi="Times New Roman" w:eastAsia="宋体"/>
                <w:b w:val="0"/>
                <w:sz w:val="18"/>
              </w:rPr>
              <w:t>5站，每站两台在31.50、50、63、80 MVA中重新选配，基础最小总容量315 MVA</w:t>
            </w:r>
          </w:p>
        </w:tc>
      </w:tr>
      <w:tr w14:paraId="3D563D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53D4852C">
            <w:pPr>
              <w:keepNext w:val="0"/>
              <w:spacing w:before="20" w:after="20" w:line="260" w:lineRule="exact"/>
              <w:ind w:left="0" w:leftChars="0" w:right="0" w:rightChars="0" w:firstLine="0" w:firstLineChars="0"/>
              <w:jc w:val="center"/>
            </w:pPr>
            <w:r>
              <w:rPr>
                <w:rFonts w:ascii="Times New Roman" w:hAnsi="Times New Roman" w:eastAsia="宋体"/>
                <w:b w:val="0"/>
                <w:sz w:val="18"/>
              </w:rPr>
              <w:t>基期网供峰值/目标时点</w:t>
            </w:r>
          </w:p>
        </w:tc>
        <w:tc>
          <w:tcPr>
            <w:tcW w:w="4156" w:type="dxa"/>
            <w:tcMar>
              <w:left w:w="70" w:type="dxa"/>
              <w:right w:w="70" w:type="dxa"/>
            </w:tcMar>
            <w:vAlign w:val="center"/>
          </w:tcPr>
          <w:p w14:paraId="064A72CF">
            <w:pPr>
              <w:keepNext w:val="0"/>
              <w:spacing w:before="20" w:after="20" w:line="260" w:lineRule="exact"/>
              <w:ind w:left="0" w:leftChars="0" w:right="0" w:rightChars="0" w:firstLine="0" w:firstLineChars="0"/>
              <w:jc w:val="center"/>
            </w:pPr>
            <w:r>
              <w:rPr>
                <w:rFonts w:ascii="Times New Roman" w:hAnsi="Times New Roman" w:eastAsia="宋体"/>
                <w:b w:val="0"/>
                <w:sz w:val="18"/>
              </w:rPr>
              <w:t>250 MW/基期后第4年</w:t>
            </w:r>
          </w:p>
        </w:tc>
      </w:tr>
      <w:tr w14:paraId="727AED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416B5767">
            <w:pPr>
              <w:keepNext w:val="0"/>
              <w:spacing w:before="20" w:after="20" w:line="260" w:lineRule="exact"/>
              <w:ind w:left="0" w:leftChars="0" w:right="0" w:rightChars="0" w:firstLine="0" w:firstLineChars="0"/>
              <w:jc w:val="center"/>
            </w:pPr>
            <w:r>
              <w:rPr>
                <w:rFonts w:ascii="Times New Roman" w:hAnsi="Times New Roman" w:eastAsia="宋体"/>
                <w:b w:val="0"/>
                <w:sz w:val="18"/>
              </w:rPr>
              <w:t>负荷权重</w:t>
            </w:r>
          </w:p>
        </w:tc>
        <w:tc>
          <w:tcPr>
            <w:tcW w:w="4156" w:type="dxa"/>
            <w:tcMar>
              <w:left w:w="70" w:type="dxa"/>
              <w:right w:w="70" w:type="dxa"/>
            </w:tcMar>
            <w:vAlign w:val="center"/>
          </w:tcPr>
          <w:p w14:paraId="7E61DD74">
            <w:pPr>
              <w:keepNext w:val="0"/>
              <w:spacing w:before="20" w:after="20" w:line="260" w:lineRule="exact"/>
              <w:ind w:left="0" w:leftChars="0" w:right="0" w:rightChars="0" w:firstLine="0" w:firstLineChars="0"/>
              <w:jc w:val="center"/>
            </w:pPr>
            <w:r>
              <w:rPr>
                <w:rFonts w:ascii="Times New Roman" w:hAnsi="Times New Roman" w:eastAsia="宋体"/>
                <w:b w:val="0"/>
                <w:sz w:val="18"/>
              </w:rPr>
              <w:t>0.10、0.15、0.20、0.25、0.30</w:t>
            </w:r>
          </w:p>
        </w:tc>
      </w:tr>
      <w:tr w14:paraId="23CED1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4B264EF">
            <w:pPr>
              <w:keepNext w:val="0"/>
              <w:spacing w:before="20" w:after="20" w:line="260" w:lineRule="exact"/>
              <w:ind w:left="0" w:leftChars="0" w:right="0" w:rightChars="0" w:firstLine="0" w:firstLineChars="0"/>
              <w:jc w:val="center"/>
            </w:pPr>
            <w:r>
              <w:rPr>
                <w:rFonts w:ascii="Times New Roman" w:hAnsi="Times New Roman" w:eastAsia="宋体"/>
                <w:b w:val="0"/>
                <w:sz w:val="18"/>
              </w:rPr>
              <w:t>光伏权重</w:t>
            </w:r>
          </w:p>
        </w:tc>
        <w:tc>
          <w:tcPr>
            <w:tcW w:w="4156" w:type="dxa"/>
            <w:tcMar>
              <w:left w:w="70" w:type="dxa"/>
              <w:right w:w="70" w:type="dxa"/>
            </w:tcMar>
            <w:vAlign w:val="center"/>
          </w:tcPr>
          <w:p w14:paraId="0559ED70">
            <w:pPr>
              <w:keepNext w:val="0"/>
              <w:spacing w:before="20" w:after="20" w:line="260" w:lineRule="exact"/>
              <w:ind w:left="0" w:leftChars="0" w:right="0" w:rightChars="0" w:firstLine="0" w:firstLineChars="0"/>
              <w:jc w:val="center"/>
            </w:pPr>
            <w:r>
              <w:rPr>
                <w:rFonts w:ascii="Times New Roman" w:hAnsi="Times New Roman" w:eastAsia="宋体"/>
                <w:b w:val="0"/>
                <w:sz w:val="18"/>
              </w:rPr>
              <w:t>0.08、0.14、0.18、0.25、0.35</w:t>
            </w:r>
          </w:p>
        </w:tc>
      </w:tr>
      <w:tr w14:paraId="52E576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67C751D">
            <w:pPr>
              <w:keepNext w:val="0"/>
              <w:spacing w:before="20" w:after="20" w:line="260" w:lineRule="exact"/>
              <w:ind w:left="0" w:leftChars="0" w:right="0" w:rightChars="0" w:firstLine="0" w:firstLineChars="0"/>
              <w:jc w:val="center"/>
            </w:pPr>
            <w:r>
              <w:rPr>
                <w:rFonts w:ascii="Times New Roman" w:hAnsi="Times New Roman" w:eastAsia="宋体"/>
                <w:b w:val="0"/>
                <w:sz w:val="18"/>
              </w:rPr>
              <w:t>日间负荷系数/光伏出力系数</w:t>
            </w:r>
          </w:p>
        </w:tc>
        <w:tc>
          <w:tcPr>
            <w:tcW w:w="4156" w:type="dxa"/>
            <w:tcMar>
              <w:left w:w="70" w:type="dxa"/>
              <w:right w:w="70" w:type="dxa"/>
            </w:tcMar>
            <w:vAlign w:val="center"/>
          </w:tcPr>
          <w:p w14:paraId="6AC1B174">
            <w:pPr>
              <w:keepNext w:val="0"/>
              <w:spacing w:before="20" w:after="20" w:line="260" w:lineRule="exact"/>
              <w:ind w:left="0" w:leftChars="0" w:right="0" w:rightChars="0" w:firstLine="0" w:firstLineChars="0"/>
              <w:jc w:val="center"/>
            </w:pPr>
            <w:r>
              <w:rPr>
                <w:rFonts w:ascii="Times New Roman" w:hAnsi="Times New Roman" w:eastAsia="宋体"/>
                <w:b w:val="0"/>
                <w:sz w:val="18"/>
              </w:rPr>
              <w:t>0.30/0.75</w:t>
            </w:r>
          </w:p>
        </w:tc>
      </w:tr>
      <w:tr w14:paraId="3B3C79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07259795">
            <w:pPr>
              <w:keepNext w:val="0"/>
              <w:spacing w:before="20" w:after="20" w:line="260" w:lineRule="exact"/>
              <w:ind w:left="0" w:leftChars="0" w:right="0" w:rightChars="0" w:firstLine="0" w:firstLineChars="0"/>
              <w:jc w:val="center"/>
            </w:pPr>
            <w:r>
              <w:rPr>
                <w:rFonts w:ascii="Times New Roman" w:hAnsi="Times New Roman" w:eastAsia="宋体"/>
                <w:b w:val="0"/>
                <w:sz w:val="18"/>
              </w:rPr>
              <w:t>既有网络</w:t>
            </w:r>
          </w:p>
        </w:tc>
        <w:tc>
          <w:tcPr>
            <w:tcW w:w="4156" w:type="dxa"/>
            <w:tcMar>
              <w:left w:w="70" w:type="dxa"/>
              <w:right w:w="70" w:type="dxa"/>
            </w:tcMar>
            <w:vAlign w:val="center"/>
          </w:tcPr>
          <w:p w14:paraId="355071B4">
            <w:pPr>
              <w:keepNext w:val="0"/>
              <w:spacing w:before="20" w:after="20" w:line="260" w:lineRule="exact"/>
              <w:ind w:left="0" w:leftChars="0" w:right="0" w:rightChars="0" w:firstLine="0" w:firstLineChars="0"/>
              <w:jc w:val="center"/>
            </w:pPr>
            <w:r>
              <w:rPr>
                <w:rFonts w:ascii="Times New Roman" w:hAnsi="Times New Roman" w:eastAsia="宋体"/>
                <w:b w:val="0"/>
                <w:sz w:val="18"/>
              </w:rPr>
              <w:t>相邻站环网；按基期可实现转供率标定通道和馈线余量</w:t>
            </w:r>
          </w:p>
        </w:tc>
      </w:tr>
      <w:tr w14:paraId="5F5406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5CEBC69">
            <w:pPr>
              <w:keepNext w:val="0"/>
              <w:spacing w:before="20" w:after="20" w:line="260" w:lineRule="exact"/>
              <w:ind w:left="0" w:leftChars="0" w:right="0" w:rightChars="0" w:firstLine="0" w:firstLineChars="0"/>
              <w:jc w:val="center"/>
            </w:pPr>
            <w:r>
              <w:rPr>
                <w:rFonts w:ascii="Times New Roman" w:hAnsi="Times New Roman" w:eastAsia="宋体"/>
                <w:b w:val="0"/>
                <w:sz w:val="18"/>
              </w:rPr>
              <w:t>新增联络</w:t>
            </w:r>
          </w:p>
        </w:tc>
        <w:tc>
          <w:tcPr>
            <w:tcW w:w="4156" w:type="dxa"/>
            <w:tcMar>
              <w:left w:w="70" w:type="dxa"/>
              <w:right w:w="70" w:type="dxa"/>
            </w:tcMar>
            <w:vAlign w:val="center"/>
          </w:tcPr>
          <w:p w14:paraId="4F08EA4B">
            <w:pPr>
              <w:keepNext w:val="0"/>
              <w:spacing w:before="20" w:after="20" w:line="260" w:lineRule="exact"/>
              <w:ind w:left="0" w:leftChars="0" w:right="0" w:rightChars="0" w:firstLine="0" w:firstLineChars="0"/>
              <w:jc w:val="center"/>
            </w:pPr>
            <w:r>
              <w:rPr>
                <w:rFonts w:ascii="Times New Roman" w:hAnsi="Times New Roman" w:eastAsia="宋体"/>
                <w:b w:val="0"/>
                <w:sz w:val="18"/>
              </w:rPr>
              <w:t>单项3 km、7.49 MW；允许独立接收馈线，备用间隔按站限制</w:t>
            </w:r>
          </w:p>
        </w:tc>
      </w:tr>
      <w:tr w14:paraId="404B2A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0D2B4848">
            <w:pPr>
              <w:keepNext w:val="0"/>
              <w:spacing w:before="20" w:after="20" w:line="260" w:lineRule="exact"/>
              <w:ind w:left="0" w:leftChars="0" w:right="0" w:rightChars="0" w:firstLine="0" w:firstLineChars="0"/>
              <w:jc w:val="center"/>
            </w:pPr>
            <w:r>
              <w:rPr>
                <w:rFonts w:ascii="Times New Roman" w:hAnsi="Times New Roman" w:eastAsia="宋体"/>
                <w:b w:val="0"/>
                <w:sz w:val="18"/>
              </w:rPr>
              <w:t>经济参数</w:t>
            </w:r>
          </w:p>
        </w:tc>
        <w:tc>
          <w:tcPr>
            <w:tcW w:w="4156" w:type="dxa"/>
            <w:tcMar>
              <w:left w:w="70" w:type="dxa"/>
              <w:right w:w="70" w:type="dxa"/>
            </w:tcMar>
            <w:vAlign w:val="center"/>
          </w:tcPr>
          <w:p w14:paraId="44BEF2BC">
            <w:pPr>
              <w:keepNext w:val="0"/>
              <w:spacing w:before="20" w:after="20" w:line="260" w:lineRule="exact"/>
              <w:ind w:left="0" w:leftChars="0" w:right="0" w:rightChars="0" w:firstLine="0" w:firstLineChars="0"/>
              <w:jc w:val="center"/>
            </w:pPr>
            <w:r>
              <w:rPr>
                <w:rFonts w:ascii="Times New Roman" w:hAnsi="Times New Roman" w:eastAsia="宋体"/>
                <w:b w:val="0"/>
                <w:sz w:val="18"/>
              </w:rPr>
              <w:t>第四章统一工程价格与评价期费用</w:t>
            </w:r>
          </w:p>
        </w:tc>
      </w:tr>
      <w:tr w14:paraId="3CD89C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C66A1B7">
            <w:pPr>
              <w:keepNext w:val="0"/>
              <w:spacing w:before="20" w:after="20" w:line="260" w:lineRule="exact"/>
              <w:ind w:left="0" w:leftChars="0" w:right="0" w:rightChars="0" w:firstLine="0" w:firstLineChars="0"/>
              <w:jc w:val="center"/>
            </w:pPr>
            <w:r>
              <w:rPr>
                <w:rFonts w:ascii="Times New Roman" w:hAnsi="Times New Roman" w:eastAsia="宋体"/>
                <w:b w:val="0"/>
                <w:sz w:val="18"/>
              </w:rPr>
              <w:t>容载比</w:t>
            </w:r>
          </w:p>
        </w:tc>
        <w:tc>
          <w:tcPr>
            <w:tcW w:w="4156" w:type="dxa"/>
            <w:tcMar>
              <w:left w:w="70" w:type="dxa"/>
              <w:right w:w="70" w:type="dxa"/>
            </w:tcMar>
            <w:vAlign w:val="center"/>
          </w:tcPr>
          <w:p w14:paraId="3DBACDEA">
            <w:pPr>
              <w:keepNext w:val="0"/>
              <w:spacing w:before="20" w:after="20" w:line="260" w:lineRule="exact"/>
              <w:ind w:left="0" w:leftChars="0" w:right="0" w:rightChars="0" w:firstLine="0" w:firstLineChars="0"/>
              <w:jc w:val="center"/>
            </w:pPr>
            <w:r>
              <w:rPr>
                <w:rFonts w:ascii="Times New Roman" w:hAnsi="Times New Roman" w:eastAsia="宋体"/>
                <w:b w:val="0"/>
                <w:sz w:val="18"/>
              </w:rPr>
              <w:t>由满足正常及N-1约束、按费用目标比选的可行设备方案计算</w:t>
            </w:r>
          </w:p>
        </w:tc>
      </w:tr>
    </w:tbl>
    <w:p w14:paraId="36C231F4">
      <w:pPr>
        <w:pStyle w:val="5"/>
        <w:keepNext/>
        <w:numPr>
          <w:ilvl w:val="0"/>
          <w:numId w:val="0"/>
        </w:numPr>
        <w:spacing w:before="160" w:after="120" w:line="390" w:lineRule="exact"/>
        <w:ind w:firstLine="0"/>
      </w:pPr>
      <w:bookmarkStart w:id="258" w:name="矩阵结果与查表方法"/>
      <w:r>
        <w:rPr>
          <w:rFonts w:ascii="Times New Roman" w:hAnsi="Times New Roman" w:eastAsia="方正仿宋_GBK"/>
          <w:b/>
          <w:sz w:val="26"/>
        </w:rPr>
        <w:t>5.6.2 矩阵结果与查表方法</w:t>
      </w:r>
      <w:bookmarkEnd w:id="258"/>
    </w:p>
    <w:p w14:paraId="45F3600A">
      <w:pPr>
        <w:pStyle w:val="115"/>
        <w:widowControl/>
        <w:spacing w:before="0" w:after="0" w:line="348" w:lineRule="exact"/>
        <w:ind w:firstLine="480"/>
        <w:jc w:val="both"/>
      </w:pPr>
      <w:r>
        <w:rPr>
          <w:rFonts w:ascii="Times New Roman" w:hAnsi="Times New Roman" w:eastAsia="方正仿宋_GBK"/>
          <w:b w:val="0"/>
          <w:sz w:val="24"/>
        </w:rPr>
        <w:t>矩阵按电缆长度占比≤10%、(10%,30%]、&gt;30%划分三档，每档分别列示负荷分散系数1.00、1.10、1.15的结果，共九张表。每张表以年最大净负荷平均增长率四档和装机渗透率三档选行，以初始转供率四档选列，形成48个区间单元，合计432个单元。</w:t>
      </w:r>
    </w:p>
    <w:p w14:paraId="2BB883EB">
      <w:pPr>
        <w:pStyle w:val="2"/>
        <w:widowControl/>
        <w:spacing w:before="0" w:after="0" w:line="348" w:lineRule="exact"/>
        <w:ind w:firstLine="480"/>
        <w:jc w:val="both"/>
      </w:pPr>
      <w:r>
        <w:rPr>
          <w:rFonts w:ascii="Times New Roman" w:hAnsi="Times New Roman" w:eastAsia="方正仿宋_GBK"/>
          <w:b w:val="0"/>
          <w:sz w:val="24"/>
        </w:rPr>
        <w:t>矩阵采用统一工程价格、日间负荷系数0.30和光伏出力系数0.75。查表先按电缆长度占比确定分区，再确定负荷分散系数，以年最大净负荷平均增长率和装机渗透率定位行，以初始转供率定位列。每格取对应已计算有效节点的容载比最小值和最大值，反映该组源荷与网络条件下的容量范围。电缆长度占比节点为10%、30%、50%、80%、90%，分别归入≤10%、(10%,30%]、&gt;30%三档，分区结果保留不同敷设造价引起的配置差异。电缆造价变化对应的设备替代在第5.6.7节结合完整节点分析。</w:t>
      </w:r>
    </w:p>
    <w:p w14:paraId="71CB4EFE">
      <w:pPr>
        <w:pStyle w:val="2"/>
        <w:widowControl/>
        <w:spacing w:before="0" w:after="0" w:line="348" w:lineRule="exact"/>
        <w:ind w:firstLine="480"/>
        <w:jc w:val="both"/>
      </w:pPr>
      <w:r>
        <w:rPr>
          <w:rFonts w:ascii="Times New Roman" w:hAnsi="Times New Roman" w:eastAsia="方正仿宋_GBK"/>
          <w:b w:val="0"/>
          <w:sz w:val="24"/>
        </w:rPr>
        <w:t>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14:paraId="23613403">
      <w:pPr>
        <w:pStyle w:val="2"/>
        <w:keepNext/>
        <w:spacing w:before="120" w:after="80" w:line="280" w:lineRule="exact"/>
        <w:ind w:firstLine="0"/>
        <w:jc w:val="center"/>
      </w:pPr>
      <w:r>
        <w:rPr>
          <w:rFonts w:ascii="Times New Roman" w:hAnsi="Times New Roman" w:eastAsia="宋体"/>
          <w:b w:val="0"/>
          <w:sz w:val="21"/>
        </w:rPr>
        <w:t>表5-66 电缆长度占比≤10%、负荷分散系数1.00的容载比区间矩阵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4A8A5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7DD6D99C">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0875BCCF">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31A5AF0D">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29F469F8">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61CEDF17">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1BA5CD4C">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5CDAF0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CA9C3BF">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5439884">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274C489">
            <w:pPr>
              <w:keepNext/>
              <w:spacing w:before="20" w:after="20" w:line="260" w:lineRule="exact"/>
              <w:ind w:left="0" w:leftChars="0" w:right="0" w:rightChars="0" w:firstLine="0" w:firstLineChars="0"/>
              <w:jc w:val="center"/>
            </w:pPr>
            <w:r>
              <w:rPr>
                <w:rFonts w:ascii="Times New Roman" w:hAnsi="Times New Roman" w:eastAsia="宋体"/>
                <w:b w:val="0"/>
                <w:sz w:val="18"/>
              </w:rPr>
              <w:t>1.84～2.04</w:t>
            </w:r>
          </w:p>
        </w:tc>
        <w:tc>
          <w:tcPr>
            <w:tcW w:w="1385" w:type="dxa"/>
            <w:tcMar>
              <w:left w:w="70" w:type="dxa"/>
              <w:right w:w="70" w:type="dxa"/>
            </w:tcMar>
            <w:vAlign w:val="center"/>
          </w:tcPr>
          <w:p w14:paraId="37C545C4">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60B37A8A">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0689A74F">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473EA5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4AE5B4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2E262A9E">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3FEBF865">
            <w:pPr>
              <w:keepNext/>
              <w:spacing w:before="20" w:after="20" w:line="260" w:lineRule="exact"/>
              <w:ind w:left="0" w:leftChars="0" w:right="0" w:rightChars="0" w:firstLine="0" w:firstLineChars="0"/>
              <w:jc w:val="center"/>
            </w:pPr>
            <w:r>
              <w:rPr>
                <w:rFonts w:ascii="Times New Roman" w:hAnsi="Times New Roman" w:eastAsia="宋体"/>
                <w:b w:val="0"/>
                <w:sz w:val="18"/>
              </w:rPr>
              <w:t>1.84～2.40</w:t>
            </w:r>
          </w:p>
        </w:tc>
        <w:tc>
          <w:tcPr>
            <w:tcW w:w="1385" w:type="dxa"/>
            <w:tcMar>
              <w:left w:w="70" w:type="dxa"/>
              <w:right w:w="70" w:type="dxa"/>
            </w:tcMar>
            <w:vAlign w:val="center"/>
          </w:tcPr>
          <w:p w14:paraId="4E67DCEA">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3CC534E4">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69C8E786">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4D10BA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D752214">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2E040F41">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E37CD9A">
            <w:pPr>
              <w:keepNext/>
              <w:spacing w:before="20" w:after="20" w:line="260" w:lineRule="exact"/>
              <w:ind w:left="0" w:leftChars="0" w:right="0" w:rightChars="0" w:firstLine="0" w:firstLineChars="0"/>
              <w:jc w:val="center"/>
            </w:pPr>
            <w:r>
              <w:rPr>
                <w:rFonts w:ascii="Times New Roman" w:hAnsi="Times New Roman" w:eastAsia="宋体"/>
                <w:b w:val="0"/>
                <w:sz w:val="18"/>
              </w:rPr>
              <w:t>2.20～3.04</w:t>
            </w:r>
          </w:p>
        </w:tc>
        <w:tc>
          <w:tcPr>
            <w:tcW w:w="1385" w:type="dxa"/>
            <w:tcMar>
              <w:left w:w="70" w:type="dxa"/>
              <w:right w:w="70" w:type="dxa"/>
            </w:tcMar>
            <w:vAlign w:val="center"/>
          </w:tcPr>
          <w:p w14:paraId="2E4075DD">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144A8240">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15FB671E">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62D564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9DBC5B3">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6C88F08">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63E646C4">
            <w:pPr>
              <w:keepNext/>
              <w:spacing w:before="20" w:after="20" w:line="260" w:lineRule="exact"/>
              <w:ind w:left="0" w:leftChars="0" w:right="0" w:rightChars="0" w:firstLine="0" w:firstLineChars="0"/>
              <w:jc w:val="center"/>
            </w:pPr>
            <w:r>
              <w:rPr>
                <w:rFonts w:ascii="Times New Roman" w:hAnsi="Times New Roman" w:eastAsia="宋体"/>
                <w:b w:val="0"/>
                <w:sz w:val="18"/>
              </w:rPr>
              <w:t>1.70～2.14</w:t>
            </w:r>
          </w:p>
        </w:tc>
        <w:tc>
          <w:tcPr>
            <w:tcW w:w="1385" w:type="dxa"/>
            <w:tcMar>
              <w:left w:w="70" w:type="dxa"/>
              <w:right w:w="70" w:type="dxa"/>
            </w:tcMar>
            <w:vAlign w:val="center"/>
          </w:tcPr>
          <w:p w14:paraId="51BD0E3B">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c>
          <w:tcPr>
            <w:tcW w:w="1385" w:type="dxa"/>
            <w:tcMar>
              <w:left w:w="70" w:type="dxa"/>
              <w:right w:w="70" w:type="dxa"/>
            </w:tcMar>
            <w:vAlign w:val="center"/>
          </w:tcPr>
          <w:p w14:paraId="0DD1D553">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c>
          <w:tcPr>
            <w:tcW w:w="1385" w:type="dxa"/>
            <w:tcMar>
              <w:left w:w="70" w:type="dxa"/>
              <w:right w:w="70" w:type="dxa"/>
            </w:tcMar>
            <w:vAlign w:val="center"/>
          </w:tcPr>
          <w:p w14:paraId="69A49E7D">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r>
      <w:tr w14:paraId="7C6AC2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E4B89A8">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070B88EC">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4397C0F7">
            <w:pPr>
              <w:keepNext/>
              <w:spacing w:before="20" w:after="20" w:line="260" w:lineRule="exact"/>
              <w:ind w:left="0" w:leftChars="0" w:right="0" w:rightChars="0" w:firstLine="0" w:firstLineChars="0"/>
              <w:jc w:val="center"/>
            </w:pPr>
            <w:r>
              <w:rPr>
                <w:rFonts w:ascii="Times New Roman" w:hAnsi="Times New Roman" w:eastAsia="宋体"/>
                <w:b w:val="0"/>
                <w:sz w:val="18"/>
              </w:rPr>
              <w:t>1.70～2.26</w:t>
            </w:r>
          </w:p>
        </w:tc>
        <w:tc>
          <w:tcPr>
            <w:tcW w:w="1385" w:type="dxa"/>
            <w:tcMar>
              <w:left w:w="70" w:type="dxa"/>
              <w:right w:w="70" w:type="dxa"/>
            </w:tcMar>
            <w:vAlign w:val="center"/>
          </w:tcPr>
          <w:p w14:paraId="5E4B986F">
            <w:pPr>
              <w:keepNext/>
              <w:spacing w:before="20" w:after="20" w:line="260" w:lineRule="exact"/>
              <w:ind w:left="0" w:leftChars="0" w:right="0" w:rightChars="0" w:firstLine="0" w:firstLineChars="0"/>
              <w:jc w:val="center"/>
            </w:pPr>
            <w:r>
              <w:rPr>
                <w:rFonts w:ascii="Times New Roman" w:hAnsi="Times New Roman" w:eastAsia="宋体"/>
                <w:b w:val="0"/>
                <w:sz w:val="18"/>
              </w:rPr>
              <w:t>1.70～2.06</w:t>
            </w:r>
          </w:p>
        </w:tc>
        <w:tc>
          <w:tcPr>
            <w:tcW w:w="1385" w:type="dxa"/>
            <w:tcMar>
              <w:left w:w="70" w:type="dxa"/>
              <w:right w:w="70" w:type="dxa"/>
            </w:tcMar>
            <w:vAlign w:val="center"/>
          </w:tcPr>
          <w:p w14:paraId="22ED8EF8">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4CABA32F">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3D8966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69912EA">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0733B9DA">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7BB9C7C">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61D8481F">
            <w:pPr>
              <w:keepNext/>
              <w:spacing w:before="20" w:after="20" w:line="260" w:lineRule="exact"/>
              <w:ind w:left="0" w:leftChars="0" w:right="0" w:rightChars="0" w:firstLine="0" w:firstLineChars="0"/>
              <w:jc w:val="center"/>
            </w:pPr>
            <w:r>
              <w:rPr>
                <w:rFonts w:ascii="Times New Roman" w:hAnsi="Times New Roman" w:eastAsia="宋体"/>
                <w:b w:val="0"/>
                <w:sz w:val="18"/>
              </w:rPr>
              <w:t>2.25～2.81</w:t>
            </w:r>
          </w:p>
        </w:tc>
        <w:tc>
          <w:tcPr>
            <w:tcW w:w="1385" w:type="dxa"/>
            <w:tcMar>
              <w:left w:w="70" w:type="dxa"/>
              <w:right w:w="70" w:type="dxa"/>
            </w:tcMar>
            <w:vAlign w:val="center"/>
          </w:tcPr>
          <w:p w14:paraId="61EE8FE4">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c>
          <w:tcPr>
            <w:tcW w:w="1385" w:type="dxa"/>
            <w:tcMar>
              <w:left w:w="70" w:type="dxa"/>
              <w:right w:w="70" w:type="dxa"/>
            </w:tcMar>
            <w:vAlign w:val="center"/>
          </w:tcPr>
          <w:p w14:paraId="6D0A1086">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5CD7A0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48A6BA8">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7C9CD011">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4D7080F">
            <w:pPr>
              <w:keepNext/>
              <w:spacing w:before="20" w:after="20" w:line="260" w:lineRule="exact"/>
              <w:ind w:left="0" w:leftChars="0" w:right="0" w:rightChars="0" w:firstLine="0" w:firstLineChars="0"/>
              <w:jc w:val="center"/>
            </w:pPr>
            <w:r>
              <w:rPr>
                <w:rFonts w:ascii="Times New Roman" w:hAnsi="Times New Roman" w:eastAsia="宋体"/>
                <w:b w:val="0"/>
                <w:sz w:val="18"/>
              </w:rPr>
              <w:t>1.67～2.10</w:t>
            </w:r>
          </w:p>
        </w:tc>
        <w:tc>
          <w:tcPr>
            <w:tcW w:w="1385" w:type="dxa"/>
            <w:tcMar>
              <w:left w:w="70" w:type="dxa"/>
              <w:right w:w="70" w:type="dxa"/>
            </w:tcMar>
            <w:vAlign w:val="center"/>
          </w:tcPr>
          <w:p w14:paraId="0F76BC72">
            <w:pPr>
              <w:keepNext/>
              <w:spacing w:before="20" w:after="20" w:line="260" w:lineRule="exact"/>
              <w:ind w:left="0" w:leftChars="0" w:right="0" w:rightChars="0" w:firstLine="0" w:firstLineChars="0"/>
              <w:jc w:val="center"/>
            </w:pPr>
            <w:r>
              <w:rPr>
                <w:rFonts w:ascii="Times New Roman" w:hAnsi="Times New Roman" w:eastAsia="宋体"/>
                <w:b w:val="0"/>
                <w:sz w:val="18"/>
              </w:rPr>
              <w:t>1.52～1.68</w:t>
            </w:r>
          </w:p>
        </w:tc>
        <w:tc>
          <w:tcPr>
            <w:tcW w:w="1385" w:type="dxa"/>
            <w:tcMar>
              <w:left w:w="70" w:type="dxa"/>
              <w:right w:w="70" w:type="dxa"/>
            </w:tcMar>
            <w:vAlign w:val="center"/>
          </w:tcPr>
          <w:p w14:paraId="0353955D">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c>
          <w:tcPr>
            <w:tcW w:w="1385" w:type="dxa"/>
            <w:tcMar>
              <w:left w:w="70" w:type="dxa"/>
              <w:right w:w="70" w:type="dxa"/>
            </w:tcMar>
            <w:vAlign w:val="center"/>
          </w:tcPr>
          <w:p w14:paraId="5E67C4D6">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r>
      <w:tr w14:paraId="59AA15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6C4CA9A">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788AC9E3">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65DAEBC">
            <w:pPr>
              <w:keepNext/>
              <w:spacing w:before="20" w:after="20" w:line="260" w:lineRule="exact"/>
              <w:ind w:left="0" w:leftChars="0" w:right="0" w:rightChars="0" w:firstLine="0" w:firstLineChars="0"/>
              <w:jc w:val="center"/>
            </w:pPr>
            <w:r>
              <w:rPr>
                <w:rFonts w:ascii="Times New Roman" w:hAnsi="Times New Roman" w:eastAsia="宋体"/>
                <w:b w:val="0"/>
                <w:sz w:val="18"/>
              </w:rPr>
              <w:t>1.67～2.30</w:t>
            </w:r>
          </w:p>
        </w:tc>
        <w:tc>
          <w:tcPr>
            <w:tcW w:w="1385" w:type="dxa"/>
            <w:tcMar>
              <w:left w:w="70" w:type="dxa"/>
              <w:right w:w="70" w:type="dxa"/>
            </w:tcMar>
            <w:vAlign w:val="center"/>
          </w:tcPr>
          <w:p w14:paraId="4A1C1437">
            <w:pPr>
              <w:keepNext/>
              <w:spacing w:before="20" w:after="20" w:line="260" w:lineRule="exact"/>
              <w:ind w:left="0" w:leftChars="0" w:right="0" w:rightChars="0" w:firstLine="0" w:firstLineChars="0"/>
              <w:jc w:val="center"/>
            </w:pPr>
            <w:r>
              <w:rPr>
                <w:rFonts w:ascii="Times New Roman" w:hAnsi="Times New Roman" w:eastAsia="宋体"/>
                <w:b w:val="0"/>
                <w:sz w:val="18"/>
              </w:rPr>
              <w:t>1.52～2.03</w:t>
            </w:r>
          </w:p>
        </w:tc>
        <w:tc>
          <w:tcPr>
            <w:tcW w:w="1385" w:type="dxa"/>
            <w:tcMar>
              <w:left w:w="70" w:type="dxa"/>
              <w:right w:w="70" w:type="dxa"/>
            </w:tcMar>
            <w:vAlign w:val="center"/>
          </w:tcPr>
          <w:p w14:paraId="69A3C761">
            <w:pPr>
              <w:keepNext/>
              <w:spacing w:before="20" w:after="20" w:line="260" w:lineRule="exact"/>
              <w:ind w:left="0" w:leftChars="0" w:right="0" w:rightChars="0" w:firstLine="0" w:firstLineChars="0"/>
              <w:jc w:val="center"/>
            </w:pPr>
            <w:r>
              <w:rPr>
                <w:rFonts w:ascii="Times New Roman" w:hAnsi="Times New Roman" w:eastAsia="宋体"/>
                <w:b w:val="0"/>
                <w:sz w:val="18"/>
              </w:rPr>
              <w:t>1.52～2.02</w:t>
            </w:r>
          </w:p>
        </w:tc>
        <w:tc>
          <w:tcPr>
            <w:tcW w:w="1385" w:type="dxa"/>
            <w:tcMar>
              <w:left w:w="70" w:type="dxa"/>
              <w:right w:w="70" w:type="dxa"/>
            </w:tcMar>
            <w:vAlign w:val="center"/>
          </w:tcPr>
          <w:p w14:paraId="1337E755">
            <w:pPr>
              <w:keepNext/>
              <w:spacing w:before="20" w:after="20" w:line="260" w:lineRule="exact"/>
              <w:ind w:left="0" w:leftChars="0" w:right="0" w:rightChars="0" w:firstLine="0" w:firstLineChars="0"/>
              <w:jc w:val="center"/>
            </w:pPr>
            <w:r>
              <w:rPr>
                <w:rFonts w:ascii="Times New Roman" w:hAnsi="Times New Roman" w:eastAsia="宋体"/>
                <w:b w:val="0"/>
                <w:sz w:val="18"/>
              </w:rPr>
              <w:t>1.52～2.02</w:t>
            </w:r>
          </w:p>
        </w:tc>
      </w:tr>
      <w:tr w14:paraId="343578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9571886">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7739944B">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22171D6">
            <w:pPr>
              <w:keepNext/>
              <w:spacing w:before="20" w:after="20" w:line="260" w:lineRule="exact"/>
              <w:ind w:left="0" w:leftChars="0" w:right="0" w:rightChars="0" w:firstLine="0" w:firstLineChars="0"/>
              <w:jc w:val="center"/>
            </w:pPr>
            <w:r>
              <w:rPr>
                <w:rFonts w:ascii="Times New Roman" w:hAnsi="Times New Roman" w:eastAsia="宋体"/>
                <w:b w:val="0"/>
                <w:sz w:val="18"/>
              </w:rPr>
              <w:t>2.16～2.65</w:t>
            </w:r>
          </w:p>
        </w:tc>
        <w:tc>
          <w:tcPr>
            <w:tcW w:w="1385" w:type="dxa"/>
            <w:tcMar>
              <w:left w:w="70" w:type="dxa"/>
              <w:right w:w="70" w:type="dxa"/>
            </w:tcMar>
            <w:vAlign w:val="center"/>
          </w:tcPr>
          <w:p w14:paraId="210FC757">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c>
          <w:tcPr>
            <w:tcW w:w="1385" w:type="dxa"/>
            <w:tcMar>
              <w:left w:w="70" w:type="dxa"/>
              <w:right w:w="70" w:type="dxa"/>
            </w:tcMar>
            <w:vAlign w:val="center"/>
          </w:tcPr>
          <w:p w14:paraId="69214302">
            <w:pPr>
              <w:keepNext/>
              <w:spacing w:before="20" w:after="20" w:line="260" w:lineRule="exact"/>
              <w:ind w:left="0" w:leftChars="0" w:right="0" w:rightChars="0" w:firstLine="0" w:firstLineChars="0"/>
              <w:jc w:val="center"/>
            </w:pPr>
            <w:r>
              <w:rPr>
                <w:rFonts w:ascii="Times New Roman" w:hAnsi="Times New Roman" w:eastAsia="宋体"/>
                <w:b w:val="0"/>
                <w:sz w:val="18"/>
              </w:rPr>
              <w:t>2.01～2.54</w:t>
            </w:r>
          </w:p>
        </w:tc>
        <w:tc>
          <w:tcPr>
            <w:tcW w:w="1385" w:type="dxa"/>
            <w:tcMar>
              <w:left w:w="70" w:type="dxa"/>
              <w:right w:w="70" w:type="dxa"/>
            </w:tcMar>
            <w:vAlign w:val="center"/>
          </w:tcPr>
          <w:p w14:paraId="3ABF6A5E">
            <w:pPr>
              <w:keepNext/>
              <w:spacing w:before="20" w:after="20" w:line="260" w:lineRule="exact"/>
              <w:ind w:left="0" w:leftChars="0" w:right="0" w:rightChars="0" w:firstLine="0" w:firstLineChars="0"/>
              <w:jc w:val="center"/>
            </w:pPr>
            <w:r>
              <w:rPr>
                <w:rFonts w:ascii="Times New Roman" w:hAnsi="Times New Roman" w:eastAsia="宋体"/>
                <w:b w:val="0"/>
                <w:sz w:val="18"/>
              </w:rPr>
              <w:t>2.01～2.54</w:t>
            </w:r>
          </w:p>
        </w:tc>
      </w:tr>
      <w:tr w14:paraId="69405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B27320D">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4767EAC3">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D0FE8BD">
            <w:pPr>
              <w:keepNext/>
              <w:spacing w:before="20" w:after="20" w:line="260" w:lineRule="exact"/>
              <w:ind w:left="0" w:leftChars="0" w:right="0" w:rightChars="0" w:firstLine="0" w:firstLineChars="0"/>
              <w:jc w:val="center"/>
            </w:pPr>
            <w:r>
              <w:rPr>
                <w:rFonts w:ascii="Times New Roman" w:hAnsi="Times New Roman" w:eastAsia="宋体"/>
                <w:b w:val="0"/>
                <w:sz w:val="18"/>
              </w:rPr>
              <w:t>1.77～1.92</w:t>
            </w:r>
          </w:p>
        </w:tc>
        <w:tc>
          <w:tcPr>
            <w:tcW w:w="1385" w:type="dxa"/>
            <w:tcMar>
              <w:left w:w="70" w:type="dxa"/>
              <w:right w:w="70" w:type="dxa"/>
            </w:tcMar>
            <w:vAlign w:val="center"/>
          </w:tcPr>
          <w:p w14:paraId="2A957D30">
            <w:pPr>
              <w:keepNext/>
              <w:spacing w:before="20" w:after="20" w:line="260" w:lineRule="exact"/>
              <w:ind w:left="0" w:leftChars="0" w:right="0" w:rightChars="0" w:firstLine="0" w:firstLineChars="0"/>
              <w:jc w:val="center"/>
            </w:pPr>
            <w:r>
              <w:rPr>
                <w:rFonts w:ascii="Times New Roman" w:hAnsi="Times New Roman" w:eastAsia="宋体"/>
                <w:b w:val="0"/>
                <w:sz w:val="18"/>
              </w:rPr>
              <w:t>1.50～1.78</w:t>
            </w:r>
          </w:p>
        </w:tc>
        <w:tc>
          <w:tcPr>
            <w:tcW w:w="1385" w:type="dxa"/>
            <w:tcMar>
              <w:left w:w="70" w:type="dxa"/>
              <w:right w:w="70" w:type="dxa"/>
            </w:tcMar>
            <w:vAlign w:val="center"/>
          </w:tcPr>
          <w:p w14:paraId="46353435">
            <w:pPr>
              <w:keepNext/>
              <w:spacing w:before="20" w:after="20" w:line="260" w:lineRule="exact"/>
              <w:ind w:left="0" w:leftChars="0" w:right="0" w:rightChars="0" w:firstLine="0" w:firstLineChars="0"/>
              <w:jc w:val="center"/>
            </w:pPr>
            <w:r>
              <w:rPr>
                <w:rFonts w:ascii="Times New Roman" w:hAnsi="Times New Roman" w:eastAsia="宋体"/>
                <w:b w:val="0"/>
                <w:sz w:val="18"/>
              </w:rPr>
              <w:t>1.36～1.51</w:t>
            </w:r>
          </w:p>
        </w:tc>
        <w:tc>
          <w:tcPr>
            <w:tcW w:w="1385" w:type="dxa"/>
            <w:tcMar>
              <w:left w:w="70" w:type="dxa"/>
              <w:right w:w="70" w:type="dxa"/>
            </w:tcMar>
            <w:vAlign w:val="center"/>
          </w:tcPr>
          <w:p w14:paraId="654752D2">
            <w:pPr>
              <w:keepNext/>
              <w:spacing w:before="20" w:after="20" w:line="260" w:lineRule="exact"/>
              <w:ind w:left="0" w:leftChars="0" w:right="0" w:rightChars="0" w:firstLine="0" w:firstLineChars="0"/>
              <w:jc w:val="center"/>
            </w:pPr>
            <w:r>
              <w:rPr>
                <w:rFonts w:ascii="Times New Roman" w:hAnsi="Times New Roman" w:eastAsia="宋体"/>
                <w:b w:val="0"/>
                <w:sz w:val="18"/>
              </w:rPr>
              <w:t>1.36～1.48</w:t>
            </w:r>
          </w:p>
        </w:tc>
      </w:tr>
      <w:tr w14:paraId="555FFF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6AA60AC">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7F5A630E">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57C673BB">
            <w:pPr>
              <w:keepNext/>
              <w:spacing w:before="20" w:after="20" w:line="260" w:lineRule="exact"/>
              <w:ind w:left="0" w:leftChars="0" w:right="0" w:rightChars="0" w:firstLine="0" w:firstLineChars="0"/>
              <w:jc w:val="center"/>
            </w:pPr>
            <w:r>
              <w:rPr>
                <w:rFonts w:ascii="Times New Roman" w:hAnsi="Times New Roman" w:eastAsia="宋体"/>
                <w:b w:val="0"/>
                <w:sz w:val="18"/>
              </w:rPr>
              <w:t>1.77～2.09</w:t>
            </w:r>
          </w:p>
        </w:tc>
        <w:tc>
          <w:tcPr>
            <w:tcW w:w="1385" w:type="dxa"/>
            <w:tcMar>
              <w:left w:w="70" w:type="dxa"/>
              <w:right w:w="70" w:type="dxa"/>
            </w:tcMar>
            <w:vAlign w:val="center"/>
          </w:tcPr>
          <w:p w14:paraId="781B5E20">
            <w:pPr>
              <w:keepNext/>
              <w:spacing w:before="20" w:after="20" w:line="260" w:lineRule="exact"/>
              <w:ind w:left="0" w:leftChars="0" w:right="0" w:rightChars="0" w:firstLine="0" w:firstLineChars="0"/>
              <w:jc w:val="center"/>
            </w:pPr>
            <w:r>
              <w:rPr>
                <w:rFonts w:ascii="Times New Roman" w:hAnsi="Times New Roman" w:eastAsia="宋体"/>
                <w:b w:val="0"/>
                <w:sz w:val="18"/>
              </w:rPr>
              <w:t>1.50～2.09</w:t>
            </w:r>
          </w:p>
        </w:tc>
        <w:tc>
          <w:tcPr>
            <w:tcW w:w="1385" w:type="dxa"/>
            <w:tcMar>
              <w:left w:w="70" w:type="dxa"/>
              <w:right w:w="70" w:type="dxa"/>
            </w:tcMar>
            <w:vAlign w:val="center"/>
          </w:tcPr>
          <w:p w14:paraId="3F5C746E">
            <w:pPr>
              <w:keepNext/>
              <w:spacing w:before="20" w:after="20" w:line="260" w:lineRule="exact"/>
              <w:ind w:left="0" w:leftChars="0" w:right="0" w:rightChars="0" w:firstLine="0" w:firstLineChars="0"/>
              <w:jc w:val="center"/>
            </w:pPr>
            <w:r>
              <w:rPr>
                <w:rFonts w:ascii="Times New Roman" w:hAnsi="Times New Roman" w:eastAsia="宋体"/>
                <w:b w:val="0"/>
                <w:sz w:val="18"/>
              </w:rPr>
              <w:t>1.47～1.95</w:t>
            </w:r>
          </w:p>
        </w:tc>
        <w:tc>
          <w:tcPr>
            <w:tcW w:w="1385" w:type="dxa"/>
            <w:tcMar>
              <w:left w:w="70" w:type="dxa"/>
              <w:right w:w="70" w:type="dxa"/>
            </w:tcMar>
            <w:vAlign w:val="center"/>
          </w:tcPr>
          <w:p w14:paraId="65117AC5">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7ACDF9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D7C3515">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487CD87E">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1D711B2">
            <w:pPr>
              <w:keepNext w:val="0"/>
              <w:spacing w:before="20" w:after="20" w:line="260" w:lineRule="exact"/>
              <w:ind w:left="0" w:leftChars="0" w:right="0" w:rightChars="0" w:firstLine="0" w:firstLineChars="0"/>
              <w:jc w:val="center"/>
            </w:pPr>
            <w:r>
              <w:rPr>
                <w:rFonts w:ascii="Times New Roman" w:hAnsi="Times New Roman" w:eastAsia="宋体"/>
                <w:b w:val="0"/>
                <w:sz w:val="18"/>
              </w:rPr>
              <w:t>2.23～2.49</w:t>
            </w:r>
          </w:p>
        </w:tc>
        <w:tc>
          <w:tcPr>
            <w:tcW w:w="1385" w:type="dxa"/>
            <w:tcMar>
              <w:left w:w="70" w:type="dxa"/>
              <w:right w:w="70" w:type="dxa"/>
            </w:tcMar>
            <w:vAlign w:val="center"/>
          </w:tcPr>
          <w:p w14:paraId="45D52B8B">
            <w:pPr>
              <w:keepNext w:val="0"/>
              <w:spacing w:before="20" w:after="20" w:line="260" w:lineRule="exact"/>
              <w:ind w:left="0" w:leftChars="0" w:right="0" w:rightChars="0" w:firstLine="0" w:firstLineChars="0"/>
              <w:jc w:val="center"/>
            </w:pPr>
            <w:r>
              <w:rPr>
                <w:rFonts w:ascii="Times New Roman" w:hAnsi="Times New Roman" w:eastAsia="宋体"/>
                <w:b w:val="0"/>
                <w:sz w:val="18"/>
              </w:rPr>
              <w:t>2.01～2.42</w:t>
            </w:r>
          </w:p>
        </w:tc>
        <w:tc>
          <w:tcPr>
            <w:tcW w:w="1385" w:type="dxa"/>
            <w:tcMar>
              <w:left w:w="70" w:type="dxa"/>
              <w:right w:w="70" w:type="dxa"/>
            </w:tcMar>
            <w:vAlign w:val="center"/>
          </w:tcPr>
          <w:p w14:paraId="2180BA67">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5F94B6D1">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14:paraId="09A506DA">
      <w:pPr>
        <w:pStyle w:val="2"/>
        <w:keepNext/>
        <w:spacing w:before="120" w:after="80" w:line="280" w:lineRule="exact"/>
        <w:ind w:firstLine="0"/>
        <w:jc w:val="center"/>
      </w:pPr>
      <w:r>
        <w:rPr>
          <w:rFonts w:ascii="Times New Roman" w:hAnsi="Times New Roman" w:eastAsia="宋体"/>
          <w:b w:val="0"/>
          <w:sz w:val="21"/>
        </w:rPr>
        <w:t>表5-67 电缆长度占比≤10%、负荷分散系数1.10的容载比区间矩阵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9EC97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6498BBF1">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70DD810D">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1A26E8E9">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0B22B495">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61A30A59">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0D4BD0DE">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67DD50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544211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2BD5E28D">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6D3CAFF">
            <w:pPr>
              <w:keepNext/>
              <w:spacing w:before="20" w:after="20" w:line="260" w:lineRule="exact"/>
              <w:ind w:left="0" w:leftChars="0" w:right="0" w:rightChars="0" w:firstLine="0" w:firstLineChars="0"/>
              <w:jc w:val="center"/>
            </w:pPr>
            <w:r>
              <w:rPr>
                <w:rFonts w:ascii="Times New Roman" w:hAnsi="Times New Roman" w:eastAsia="宋体"/>
                <w:b w:val="0"/>
                <w:sz w:val="18"/>
              </w:rPr>
              <w:t>1.84～2.22</w:t>
            </w:r>
          </w:p>
        </w:tc>
        <w:tc>
          <w:tcPr>
            <w:tcW w:w="1385" w:type="dxa"/>
            <w:tcMar>
              <w:left w:w="70" w:type="dxa"/>
              <w:right w:w="70" w:type="dxa"/>
            </w:tcMar>
            <w:vAlign w:val="center"/>
          </w:tcPr>
          <w:p w14:paraId="23EF5A88">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3B6B64C7">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2BCDDC53">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7C6C23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B939613">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2807CA10">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122F453">
            <w:pPr>
              <w:keepNext/>
              <w:spacing w:before="20" w:after="20" w:line="260" w:lineRule="exact"/>
              <w:ind w:left="0" w:leftChars="0" w:right="0" w:rightChars="0" w:firstLine="0" w:firstLineChars="0"/>
              <w:jc w:val="center"/>
            </w:pPr>
            <w:r>
              <w:rPr>
                <w:rFonts w:ascii="Times New Roman" w:hAnsi="Times New Roman" w:eastAsia="宋体"/>
                <w:b w:val="0"/>
                <w:sz w:val="18"/>
              </w:rPr>
              <w:t>1.84～2.40</w:t>
            </w:r>
          </w:p>
        </w:tc>
        <w:tc>
          <w:tcPr>
            <w:tcW w:w="1385" w:type="dxa"/>
            <w:tcMar>
              <w:left w:w="70" w:type="dxa"/>
              <w:right w:w="70" w:type="dxa"/>
            </w:tcMar>
            <w:vAlign w:val="center"/>
          </w:tcPr>
          <w:p w14:paraId="5B4B0EF6">
            <w:pPr>
              <w:keepNext/>
              <w:spacing w:before="20" w:after="20" w:line="260" w:lineRule="exact"/>
              <w:ind w:left="0" w:leftChars="0" w:right="0" w:rightChars="0" w:firstLine="0" w:firstLineChars="0"/>
              <w:jc w:val="center"/>
            </w:pPr>
            <w:r>
              <w:rPr>
                <w:rFonts w:ascii="Times New Roman" w:hAnsi="Times New Roman" w:eastAsia="宋体"/>
                <w:b w:val="0"/>
                <w:sz w:val="18"/>
              </w:rPr>
              <w:t>1.84～2.22</w:t>
            </w:r>
          </w:p>
        </w:tc>
        <w:tc>
          <w:tcPr>
            <w:tcW w:w="1385" w:type="dxa"/>
            <w:tcMar>
              <w:left w:w="70" w:type="dxa"/>
              <w:right w:w="70" w:type="dxa"/>
            </w:tcMar>
            <w:vAlign w:val="center"/>
          </w:tcPr>
          <w:p w14:paraId="5915C1D2">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6FA0F450">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252A51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271A5F6">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450693F6">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FD803A0">
            <w:pPr>
              <w:keepNext/>
              <w:spacing w:before="20" w:after="20" w:line="260" w:lineRule="exact"/>
              <w:ind w:left="0" w:leftChars="0" w:right="0" w:rightChars="0" w:firstLine="0" w:firstLineChars="0"/>
              <w:jc w:val="center"/>
            </w:pPr>
            <w:r>
              <w:rPr>
                <w:rFonts w:ascii="Times New Roman" w:hAnsi="Times New Roman" w:eastAsia="宋体"/>
                <w:b w:val="0"/>
                <w:sz w:val="18"/>
              </w:rPr>
              <w:t>2.40～3.15</w:t>
            </w:r>
          </w:p>
        </w:tc>
        <w:tc>
          <w:tcPr>
            <w:tcW w:w="1385" w:type="dxa"/>
            <w:tcMar>
              <w:left w:w="70" w:type="dxa"/>
              <w:right w:w="70" w:type="dxa"/>
            </w:tcMar>
            <w:vAlign w:val="center"/>
          </w:tcPr>
          <w:p w14:paraId="0D580590">
            <w:pPr>
              <w:keepNext/>
              <w:spacing w:before="20" w:after="20" w:line="260" w:lineRule="exact"/>
              <w:ind w:left="0" w:leftChars="0" w:right="0" w:rightChars="0" w:firstLine="0" w:firstLineChars="0"/>
              <w:jc w:val="center"/>
            </w:pPr>
            <w:r>
              <w:rPr>
                <w:rFonts w:ascii="Times New Roman" w:hAnsi="Times New Roman" w:eastAsia="宋体"/>
                <w:b w:val="0"/>
                <w:sz w:val="18"/>
              </w:rPr>
              <w:t>2.20～2.91</w:t>
            </w:r>
          </w:p>
        </w:tc>
        <w:tc>
          <w:tcPr>
            <w:tcW w:w="1385" w:type="dxa"/>
            <w:tcMar>
              <w:left w:w="70" w:type="dxa"/>
              <w:right w:w="70" w:type="dxa"/>
            </w:tcMar>
            <w:vAlign w:val="center"/>
          </w:tcPr>
          <w:p w14:paraId="3CB24EB0">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1806E74E">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17103E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4F05C83">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F238001">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710C67B3">
            <w:pPr>
              <w:keepNext/>
              <w:spacing w:before="20" w:after="20" w:line="260" w:lineRule="exact"/>
              <w:ind w:left="0" w:leftChars="0" w:right="0" w:rightChars="0" w:firstLine="0" w:firstLineChars="0"/>
              <w:jc w:val="center"/>
            </w:pPr>
            <w:r>
              <w:rPr>
                <w:rFonts w:ascii="Times New Roman" w:hAnsi="Times New Roman" w:eastAsia="宋体"/>
                <w:b w:val="0"/>
                <w:sz w:val="18"/>
              </w:rPr>
              <w:t>1.88～2.23</w:t>
            </w:r>
          </w:p>
        </w:tc>
        <w:tc>
          <w:tcPr>
            <w:tcW w:w="1385" w:type="dxa"/>
            <w:tcMar>
              <w:left w:w="70" w:type="dxa"/>
              <w:right w:w="70" w:type="dxa"/>
            </w:tcMar>
            <w:vAlign w:val="center"/>
          </w:tcPr>
          <w:p w14:paraId="6EF6D35F">
            <w:pPr>
              <w:keepNext/>
              <w:spacing w:before="20" w:after="20" w:line="260" w:lineRule="exact"/>
              <w:ind w:left="0" w:leftChars="0" w:right="0" w:rightChars="0" w:firstLine="0" w:firstLineChars="0"/>
              <w:jc w:val="center"/>
            </w:pPr>
            <w:r>
              <w:rPr>
                <w:rFonts w:ascii="Times New Roman" w:hAnsi="Times New Roman" w:eastAsia="宋体"/>
                <w:b w:val="0"/>
                <w:sz w:val="18"/>
              </w:rPr>
              <w:t>1.70～1.89</w:t>
            </w:r>
          </w:p>
        </w:tc>
        <w:tc>
          <w:tcPr>
            <w:tcW w:w="1385" w:type="dxa"/>
            <w:tcMar>
              <w:left w:w="70" w:type="dxa"/>
              <w:right w:w="70" w:type="dxa"/>
            </w:tcMar>
            <w:vAlign w:val="center"/>
          </w:tcPr>
          <w:p w14:paraId="5D7F00F6">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c>
          <w:tcPr>
            <w:tcW w:w="1385" w:type="dxa"/>
            <w:tcMar>
              <w:left w:w="70" w:type="dxa"/>
              <w:right w:w="70" w:type="dxa"/>
            </w:tcMar>
            <w:vAlign w:val="center"/>
          </w:tcPr>
          <w:p w14:paraId="313D4F35">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r>
      <w:tr w14:paraId="01E296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C2E224A">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67589943">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5C8195BC">
            <w:pPr>
              <w:keepNext/>
              <w:spacing w:before="20" w:after="20" w:line="260" w:lineRule="exact"/>
              <w:ind w:left="0" w:leftChars="0" w:right="0" w:rightChars="0" w:firstLine="0" w:firstLineChars="0"/>
              <w:jc w:val="center"/>
            </w:pPr>
            <w:r>
              <w:rPr>
                <w:rFonts w:ascii="Times New Roman" w:hAnsi="Times New Roman" w:eastAsia="宋体"/>
                <w:b w:val="0"/>
                <w:sz w:val="18"/>
              </w:rPr>
              <w:t>1.88～2.43</w:t>
            </w:r>
          </w:p>
        </w:tc>
        <w:tc>
          <w:tcPr>
            <w:tcW w:w="1385" w:type="dxa"/>
            <w:tcMar>
              <w:left w:w="70" w:type="dxa"/>
              <w:right w:w="70" w:type="dxa"/>
            </w:tcMar>
            <w:vAlign w:val="center"/>
          </w:tcPr>
          <w:p w14:paraId="104A5C3D">
            <w:pPr>
              <w:keepNext/>
              <w:spacing w:before="20" w:after="20" w:line="260" w:lineRule="exact"/>
              <w:ind w:left="0" w:leftChars="0" w:right="0" w:rightChars="0" w:firstLine="0" w:firstLineChars="0"/>
              <w:jc w:val="center"/>
            </w:pPr>
            <w:r>
              <w:rPr>
                <w:rFonts w:ascii="Times New Roman" w:hAnsi="Times New Roman" w:eastAsia="宋体"/>
                <w:b w:val="0"/>
                <w:sz w:val="18"/>
              </w:rPr>
              <w:t>1.70～2.15</w:t>
            </w:r>
          </w:p>
        </w:tc>
        <w:tc>
          <w:tcPr>
            <w:tcW w:w="1385" w:type="dxa"/>
            <w:tcMar>
              <w:left w:w="70" w:type="dxa"/>
              <w:right w:w="70" w:type="dxa"/>
            </w:tcMar>
            <w:vAlign w:val="center"/>
          </w:tcPr>
          <w:p w14:paraId="263C17D5">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23828A9D">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38A8B3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0EDB429">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40B7A59">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8D29606">
            <w:pPr>
              <w:keepNext/>
              <w:spacing w:before="20" w:after="20" w:line="260" w:lineRule="exact"/>
              <w:ind w:left="0" w:leftChars="0" w:right="0" w:rightChars="0" w:firstLine="0" w:firstLineChars="0"/>
              <w:jc w:val="center"/>
            </w:pPr>
            <w:r>
              <w:rPr>
                <w:rFonts w:ascii="Times New Roman" w:hAnsi="Times New Roman" w:eastAsia="宋体"/>
                <w:b w:val="0"/>
                <w:sz w:val="18"/>
              </w:rPr>
              <w:t>2.34～2.92</w:t>
            </w:r>
          </w:p>
        </w:tc>
        <w:tc>
          <w:tcPr>
            <w:tcW w:w="1385" w:type="dxa"/>
            <w:tcMar>
              <w:left w:w="70" w:type="dxa"/>
              <w:right w:w="70" w:type="dxa"/>
            </w:tcMar>
            <w:vAlign w:val="center"/>
          </w:tcPr>
          <w:p w14:paraId="1A812BED">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6F3A2C02">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c>
          <w:tcPr>
            <w:tcW w:w="1385" w:type="dxa"/>
            <w:tcMar>
              <w:left w:w="70" w:type="dxa"/>
              <w:right w:w="70" w:type="dxa"/>
            </w:tcMar>
            <w:vAlign w:val="center"/>
          </w:tcPr>
          <w:p w14:paraId="43A76E7D">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254262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81BC88D">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6A37986">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CC2BB93">
            <w:pPr>
              <w:keepNext/>
              <w:spacing w:before="20" w:after="20" w:line="260" w:lineRule="exact"/>
              <w:ind w:left="0" w:leftChars="0" w:right="0" w:rightChars="0" w:firstLine="0" w:firstLineChars="0"/>
              <w:jc w:val="center"/>
            </w:pPr>
            <w:r>
              <w:rPr>
                <w:rFonts w:ascii="Times New Roman" w:hAnsi="Times New Roman" w:eastAsia="宋体"/>
                <w:b w:val="0"/>
                <w:sz w:val="18"/>
              </w:rPr>
              <w:t>1.98～2.10</w:t>
            </w:r>
          </w:p>
        </w:tc>
        <w:tc>
          <w:tcPr>
            <w:tcW w:w="1385" w:type="dxa"/>
            <w:tcMar>
              <w:left w:w="70" w:type="dxa"/>
              <w:right w:w="70" w:type="dxa"/>
            </w:tcMar>
            <w:vAlign w:val="center"/>
          </w:tcPr>
          <w:p w14:paraId="08B7D604">
            <w:pPr>
              <w:keepNext/>
              <w:spacing w:before="20" w:after="20" w:line="260" w:lineRule="exact"/>
              <w:ind w:left="0" w:leftChars="0" w:right="0" w:rightChars="0" w:firstLine="0" w:firstLineChars="0"/>
              <w:jc w:val="center"/>
            </w:pPr>
            <w:r>
              <w:rPr>
                <w:rFonts w:ascii="Times New Roman" w:hAnsi="Times New Roman" w:eastAsia="宋体"/>
                <w:b w:val="0"/>
                <w:sz w:val="18"/>
              </w:rPr>
              <w:t>1.67～1.84</w:t>
            </w:r>
          </w:p>
        </w:tc>
        <w:tc>
          <w:tcPr>
            <w:tcW w:w="1385" w:type="dxa"/>
            <w:tcMar>
              <w:left w:w="70" w:type="dxa"/>
              <w:right w:w="70" w:type="dxa"/>
            </w:tcMar>
            <w:vAlign w:val="center"/>
          </w:tcPr>
          <w:p w14:paraId="063EA1CD">
            <w:pPr>
              <w:keepNext/>
              <w:spacing w:before="20" w:after="20" w:line="260" w:lineRule="exact"/>
              <w:ind w:left="0" w:leftChars="0" w:right="0" w:rightChars="0" w:firstLine="0" w:firstLineChars="0"/>
              <w:jc w:val="center"/>
            </w:pPr>
            <w:r>
              <w:rPr>
                <w:rFonts w:ascii="Times New Roman" w:hAnsi="Times New Roman" w:eastAsia="宋体"/>
                <w:b w:val="0"/>
                <w:sz w:val="18"/>
              </w:rPr>
              <w:t>1.52～1.68</w:t>
            </w:r>
          </w:p>
        </w:tc>
        <w:tc>
          <w:tcPr>
            <w:tcW w:w="1385" w:type="dxa"/>
            <w:tcMar>
              <w:left w:w="70" w:type="dxa"/>
              <w:right w:w="70" w:type="dxa"/>
            </w:tcMar>
            <w:vAlign w:val="center"/>
          </w:tcPr>
          <w:p w14:paraId="3704625A">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r>
      <w:tr w14:paraId="31CB9A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43A0709">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090C44FA">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75E9A5DD">
            <w:pPr>
              <w:keepNext/>
              <w:spacing w:before="20" w:after="20" w:line="260" w:lineRule="exact"/>
              <w:ind w:left="0" w:leftChars="0" w:right="0" w:rightChars="0" w:firstLine="0" w:firstLineChars="0"/>
              <w:jc w:val="center"/>
            </w:pPr>
            <w:r>
              <w:rPr>
                <w:rFonts w:ascii="Times New Roman" w:hAnsi="Times New Roman" w:eastAsia="宋体"/>
                <w:b w:val="0"/>
                <w:sz w:val="18"/>
              </w:rPr>
              <w:t>1.98～2.30</w:t>
            </w:r>
          </w:p>
        </w:tc>
        <w:tc>
          <w:tcPr>
            <w:tcW w:w="1385" w:type="dxa"/>
            <w:tcMar>
              <w:left w:w="70" w:type="dxa"/>
              <w:right w:w="70" w:type="dxa"/>
            </w:tcMar>
            <w:vAlign w:val="center"/>
          </w:tcPr>
          <w:p w14:paraId="07B4FDF2">
            <w:pPr>
              <w:keepNext/>
              <w:spacing w:before="20" w:after="20" w:line="260" w:lineRule="exact"/>
              <w:ind w:left="0" w:leftChars="0" w:right="0" w:rightChars="0" w:firstLine="0" w:firstLineChars="0"/>
              <w:jc w:val="center"/>
            </w:pPr>
            <w:r>
              <w:rPr>
                <w:rFonts w:ascii="Times New Roman" w:hAnsi="Times New Roman" w:eastAsia="宋体"/>
                <w:b w:val="0"/>
                <w:sz w:val="18"/>
              </w:rPr>
              <w:t>1.67～2.17</w:t>
            </w:r>
          </w:p>
        </w:tc>
        <w:tc>
          <w:tcPr>
            <w:tcW w:w="1385" w:type="dxa"/>
            <w:tcMar>
              <w:left w:w="70" w:type="dxa"/>
              <w:right w:w="70" w:type="dxa"/>
            </w:tcMar>
            <w:vAlign w:val="center"/>
          </w:tcPr>
          <w:p w14:paraId="20C66BB9">
            <w:pPr>
              <w:keepNext/>
              <w:spacing w:before="20" w:after="20" w:line="260" w:lineRule="exact"/>
              <w:ind w:left="0" w:leftChars="0" w:right="0" w:rightChars="0" w:firstLine="0" w:firstLineChars="0"/>
              <w:jc w:val="center"/>
            </w:pPr>
            <w:r>
              <w:rPr>
                <w:rFonts w:ascii="Times New Roman" w:hAnsi="Times New Roman" w:eastAsia="宋体"/>
                <w:b w:val="0"/>
                <w:sz w:val="18"/>
              </w:rPr>
              <w:t>1.52～2.03</w:t>
            </w:r>
          </w:p>
        </w:tc>
        <w:tc>
          <w:tcPr>
            <w:tcW w:w="1385" w:type="dxa"/>
            <w:tcMar>
              <w:left w:w="70" w:type="dxa"/>
              <w:right w:w="70" w:type="dxa"/>
            </w:tcMar>
            <w:vAlign w:val="center"/>
          </w:tcPr>
          <w:p w14:paraId="022D5887">
            <w:pPr>
              <w:keepNext/>
              <w:spacing w:before="20" w:after="20" w:line="260" w:lineRule="exact"/>
              <w:ind w:left="0" w:leftChars="0" w:right="0" w:rightChars="0" w:firstLine="0" w:firstLineChars="0"/>
              <w:jc w:val="center"/>
            </w:pPr>
            <w:r>
              <w:rPr>
                <w:rFonts w:ascii="Times New Roman" w:hAnsi="Times New Roman" w:eastAsia="宋体"/>
                <w:b w:val="0"/>
                <w:sz w:val="18"/>
              </w:rPr>
              <w:t>1.52～2.02</w:t>
            </w:r>
          </w:p>
        </w:tc>
      </w:tr>
      <w:tr w14:paraId="4C0176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0B33444">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107C534F">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09A39059">
            <w:pPr>
              <w:keepNext/>
              <w:spacing w:before="20" w:after="20" w:line="260" w:lineRule="exact"/>
              <w:ind w:left="0" w:leftChars="0" w:right="0" w:rightChars="0" w:firstLine="0" w:firstLineChars="0"/>
              <w:jc w:val="center"/>
            </w:pPr>
            <w:r>
              <w:rPr>
                <w:rFonts w:ascii="Times New Roman" w:hAnsi="Times New Roman" w:eastAsia="宋体"/>
                <w:b w:val="0"/>
                <w:sz w:val="18"/>
              </w:rPr>
              <w:t>2.29～2.65</w:t>
            </w:r>
          </w:p>
        </w:tc>
        <w:tc>
          <w:tcPr>
            <w:tcW w:w="1385" w:type="dxa"/>
            <w:tcMar>
              <w:left w:w="70" w:type="dxa"/>
              <w:right w:w="70" w:type="dxa"/>
            </w:tcMar>
            <w:vAlign w:val="center"/>
          </w:tcPr>
          <w:p w14:paraId="4F072040">
            <w:pPr>
              <w:keepNext/>
              <w:spacing w:before="20" w:after="20" w:line="260" w:lineRule="exact"/>
              <w:ind w:left="0" w:leftChars="0" w:right="0" w:rightChars="0" w:firstLine="0" w:firstLineChars="0"/>
              <w:jc w:val="center"/>
            </w:pPr>
            <w:r>
              <w:rPr>
                <w:rFonts w:ascii="Times New Roman" w:hAnsi="Times New Roman" w:eastAsia="宋体"/>
                <w:b w:val="0"/>
                <w:sz w:val="18"/>
              </w:rPr>
              <w:t>2.13～2.65</w:t>
            </w:r>
          </w:p>
        </w:tc>
        <w:tc>
          <w:tcPr>
            <w:tcW w:w="1385" w:type="dxa"/>
            <w:tcMar>
              <w:left w:w="70" w:type="dxa"/>
              <w:right w:w="70" w:type="dxa"/>
            </w:tcMar>
            <w:vAlign w:val="center"/>
          </w:tcPr>
          <w:p w14:paraId="2E074BFE">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c>
          <w:tcPr>
            <w:tcW w:w="1385" w:type="dxa"/>
            <w:tcMar>
              <w:left w:w="70" w:type="dxa"/>
              <w:right w:w="70" w:type="dxa"/>
            </w:tcMar>
            <w:vAlign w:val="center"/>
          </w:tcPr>
          <w:p w14:paraId="37770D79">
            <w:pPr>
              <w:keepNext/>
              <w:spacing w:before="20" w:after="20" w:line="260" w:lineRule="exact"/>
              <w:ind w:left="0" w:leftChars="0" w:right="0" w:rightChars="0" w:firstLine="0" w:firstLineChars="0"/>
              <w:jc w:val="center"/>
            </w:pPr>
            <w:r>
              <w:rPr>
                <w:rFonts w:ascii="Times New Roman" w:hAnsi="Times New Roman" w:eastAsia="宋体"/>
                <w:b w:val="0"/>
                <w:sz w:val="18"/>
              </w:rPr>
              <w:t>2.01～2.54</w:t>
            </w:r>
          </w:p>
        </w:tc>
      </w:tr>
      <w:tr w14:paraId="0F3257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BB47AC0">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6E52ABA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7184399C">
            <w:pPr>
              <w:keepNext/>
              <w:spacing w:before="20" w:after="20" w:line="260" w:lineRule="exact"/>
              <w:ind w:left="0" w:leftChars="0" w:right="0" w:rightChars="0" w:firstLine="0" w:firstLineChars="0"/>
              <w:jc w:val="center"/>
            </w:pPr>
            <w:r>
              <w:rPr>
                <w:rFonts w:ascii="Times New Roman" w:hAnsi="Times New Roman" w:eastAsia="宋体"/>
                <w:b w:val="0"/>
                <w:sz w:val="18"/>
              </w:rPr>
              <w:t>1.91～1.92</w:t>
            </w:r>
          </w:p>
        </w:tc>
        <w:tc>
          <w:tcPr>
            <w:tcW w:w="1385" w:type="dxa"/>
            <w:tcMar>
              <w:left w:w="70" w:type="dxa"/>
              <w:right w:w="70" w:type="dxa"/>
            </w:tcMar>
            <w:vAlign w:val="center"/>
          </w:tcPr>
          <w:p w14:paraId="5480E9CE">
            <w:pPr>
              <w:keepNext/>
              <w:spacing w:before="20" w:after="20" w:line="260" w:lineRule="exact"/>
              <w:ind w:left="0" w:leftChars="0" w:right="0" w:rightChars="0" w:firstLine="0" w:firstLineChars="0"/>
              <w:jc w:val="center"/>
            </w:pPr>
            <w:r>
              <w:rPr>
                <w:rFonts w:ascii="Times New Roman" w:hAnsi="Times New Roman" w:eastAsia="宋体"/>
                <w:b w:val="0"/>
                <w:sz w:val="18"/>
              </w:rPr>
              <w:t>1.76～1.92</w:t>
            </w:r>
          </w:p>
        </w:tc>
        <w:tc>
          <w:tcPr>
            <w:tcW w:w="1385" w:type="dxa"/>
            <w:tcMar>
              <w:left w:w="70" w:type="dxa"/>
              <w:right w:w="70" w:type="dxa"/>
            </w:tcMar>
            <w:vAlign w:val="center"/>
          </w:tcPr>
          <w:p w14:paraId="159FA9FA">
            <w:pPr>
              <w:keepNext/>
              <w:spacing w:before="20" w:after="20" w:line="260" w:lineRule="exact"/>
              <w:ind w:left="0" w:leftChars="0" w:right="0" w:rightChars="0" w:firstLine="0" w:firstLineChars="0"/>
              <w:jc w:val="center"/>
            </w:pPr>
            <w:r>
              <w:rPr>
                <w:rFonts w:ascii="Times New Roman" w:hAnsi="Times New Roman" w:eastAsia="宋体"/>
                <w:b w:val="0"/>
                <w:sz w:val="18"/>
              </w:rPr>
              <w:t>1.50～1.64</w:t>
            </w:r>
          </w:p>
        </w:tc>
        <w:tc>
          <w:tcPr>
            <w:tcW w:w="1385" w:type="dxa"/>
            <w:tcMar>
              <w:left w:w="70" w:type="dxa"/>
              <w:right w:w="70" w:type="dxa"/>
            </w:tcMar>
            <w:vAlign w:val="center"/>
          </w:tcPr>
          <w:p w14:paraId="39A8ACCE">
            <w:pPr>
              <w:keepNext/>
              <w:spacing w:before="20" w:after="20" w:line="260" w:lineRule="exact"/>
              <w:ind w:left="0" w:leftChars="0" w:right="0" w:rightChars="0" w:firstLine="0" w:firstLineChars="0"/>
              <w:jc w:val="center"/>
            </w:pPr>
            <w:r>
              <w:rPr>
                <w:rFonts w:ascii="Times New Roman" w:hAnsi="Times New Roman" w:eastAsia="宋体"/>
                <w:b w:val="0"/>
                <w:sz w:val="18"/>
              </w:rPr>
              <w:t>1.36～1.51</w:t>
            </w:r>
          </w:p>
        </w:tc>
      </w:tr>
      <w:tr w14:paraId="2E7816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BF2E320">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089EAAA3">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D0805AA">
            <w:pPr>
              <w:keepNext/>
              <w:spacing w:before="20" w:after="20" w:line="260" w:lineRule="exact"/>
              <w:ind w:left="0" w:leftChars="0" w:right="0" w:rightChars="0" w:firstLine="0" w:firstLineChars="0"/>
              <w:jc w:val="center"/>
            </w:pPr>
            <w:r>
              <w:rPr>
                <w:rFonts w:ascii="Times New Roman" w:hAnsi="Times New Roman" w:eastAsia="宋体"/>
                <w:b w:val="0"/>
                <w:sz w:val="18"/>
              </w:rPr>
              <w:t>1.91～2.09</w:t>
            </w:r>
          </w:p>
        </w:tc>
        <w:tc>
          <w:tcPr>
            <w:tcW w:w="1385" w:type="dxa"/>
            <w:tcMar>
              <w:left w:w="70" w:type="dxa"/>
              <w:right w:w="70" w:type="dxa"/>
            </w:tcMar>
            <w:vAlign w:val="center"/>
          </w:tcPr>
          <w:p w14:paraId="3F0EAFB3">
            <w:pPr>
              <w:keepNext/>
              <w:spacing w:before="20" w:after="20" w:line="260" w:lineRule="exact"/>
              <w:ind w:left="0" w:leftChars="0" w:right="0" w:rightChars="0" w:firstLine="0" w:firstLineChars="0"/>
              <w:jc w:val="center"/>
            </w:pPr>
            <w:r>
              <w:rPr>
                <w:rFonts w:ascii="Times New Roman" w:hAnsi="Times New Roman" w:eastAsia="宋体"/>
                <w:b w:val="0"/>
                <w:sz w:val="18"/>
              </w:rPr>
              <w:t>1.76～2.09</w:t>
            </w:r>
          </w:p>
        </w:tc>
        <w:tc>
          <w:tcPr>
            <w:tcW w:w="1385" w:type="dxa"/>
            <w:tcMar>
              <w:left w:w="70" w:type="dxa"/>
              <w:right w:w="70" w:type="dxa"/>
            </w:tcMar>
            <w:vAlign w:val="center"/>
          </w:tcPr>
          <w:p w14:paraId="545C6DB3">
            <w:pPr>
              <w:keepNext/>
              <w:spacing w:before="20" w:after="20" w:line="260" w:lineRule="exact"/>
              <w:ind w:left="0" w:leftChars="0" w:right="0" w:rightChars="0" w:firstLine="0" w:firstLineChars="0"/>
              <w:jc w:val="center"/>
              <w:rPr>
                <w:woUserID w:val="2"/>
              </w:rPr>
            </w:pPr>
            <w:r>
              <w:rPr>
                <w:rFonts w:ascii="Times New Roman" w:hAnsi="Times New Roman" w:eastAsia="宋体"/>
                <w:b w:val="0"/>
                <w:sz w:val="18"/>
                <w:woUserID w:val="2"/>
              </w:rPr>
              <w:t>1.50～1.95</w:t>
            </w:r>
            <w:r>
              <w:rPr>
                <w:woUserID w:val="2"/>
              </w:rPr>
            </w:r>
          </w:p>
        </w:tc>
        <w:tc>
          <w:tcPr>
            <w:tcW w:w="1385" w:type="dxa"/>
            <w:tcMar>
              <w:left w:w="70" w:type="dxa"/>
              <w:right w:w="70" w:type="dxa"/>
            </w:tcMar>
            <w:vAlign w:val="center"/>
          </w:tcPr>
          <w:p w14:paraId="58108283">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1523A2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F3F3A8D">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73F29070">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E1CA9E4">
            <w:pPr>
              <w:keepNext w:val="0"/>
              <w:spacing w:before="20" w:after="20" w:line="260" w:lineRule="exact"/>
              <w:ind w:left="0" w:leftChars="0" w:right="0" w:rightChars="0" w:firstLine="0" w:firstLineChars="0"/>
              <w:jc w:val="center"/>
            </w:pPr>
            <w:r>
              <w:rPr>
                <w:rFonts w:ascii="Times New Roman" w:hAnsi="Times New Roman" w:eastAsia="宋体"/>
                <w:b w:val="0"/>
                <w:sz w:val="18"/>
              </w:rPr>
              <w:t>2.23～2.49</w:t>
            </w:r>
          </w:p>
        </w:tc>
        <w:tc>
          <w:tcPr>
            <w:tcW w:w="1385" w:type="dxa"/>
            <w:tcMar>
              <w:left w:w="70" w:type="dxa"/>
              <w:right w:w="70" w:type="dxa"/>
            </w:tcMar>
            <w:vAlign w:val="center"/>
          </w:tcPr>
          <w:p w14:paraId="0A163FEE">
            <w:pPr>
              <w:keepNext w:val="0"/>
              <w:spacing w:before="20" w:after="20" w:line="260" w:lineRule="exact"/>
              <w:ind w:left="0" w:leftChars="0" w:right="0" w:rightChars="0" w:firstLine="0" w:firstLineChars="0"/>
              <w:jc w:val="center"/>
            </w:pPr>
            <w:r>
              <w:rPr>
                <w:rFonts w:ascii="Times New Roman" w:hAnsi="Times New Roman" w:eastAsia="宋体"/>
                <w:b w:val="0"/>
                <w:sz w:val="18"/>
              </w:rPr>
              <w:t>2.08～2.49</w:t>
            </w:r>
          </w:p>
        </w:tc>
        <w:tc>
          <w:tcPr>
            <w:tcW w:w="1385" w:type="dxa"/>
            <w:tcMar>
              <w:left w:w="70" w:type="dxa"/>
              <w:right w:w="70" w:type="dxa"/>
            </w:tcMar>
            <w:vAlign w:val="center"/>
          </w:tcPr>
          <w:p w14:paraId="0CBD1B8C">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036FC668">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14:paraId="5B6051D4">
      <w:pPr>
        <w:pStyle w:val="2"/>
        <w:keepNext/>
        <w:spacing w:before="120" w:after="80" w:line="280" w:lineRule="exact"/>
        <w:ind w:firstLine="0"/>
        <w:jc w:val="center"/>
      </w:pPr>
      <w:r>
        <w:rPr>
          <w:rFonts w:ascii="Times New Roman" w:hAnsi="Times New Roman" w:eastAsia="宋体"/>
          <w:b w:val="0"/>
          <w:sz w:val="21"/>
        </w:rPr>
        <w:t>表5-68 电缆长度占比≤10%、负荷分散系数1.15的容载比区间矩阵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A3B86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6258999">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6E440A3E">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24870E9B">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0B82AEB6">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0E242B2F">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18380BEC">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29EE06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A855BD3">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14B77491">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67600C3">
            <w:pPr>
              <w:keepNext/>
              <w:spacing w:before="20" w:after="20" w:line="260" w:lineRule="exact"/>
              <w:ind w:left="0" w:leftChars="0" w:right="0" w:rightChars="0" w:firstLine="0" w:firstLineChars="0"/>
              <w:jc w:val="center"/>
            </w:pPr>
            <w:r>
              <w:rPr>
                <w:rFonts w:ascii="Times New Roman" w:hAnsi="Times New Roman" w:eastAsia="宋体"/>
                <w:b w:val="0"/>
                <w:sz w:val="18"/>
              </w:rPr>
              <w:t>2.00～2.40</w:t>
            </w:r>
          </w:p>
        </w:tc>
        <w:tc>
          <w:tcPr>
            <w:tcW w:w="1385" w:type="dxa"/>
            <w:tcMar>
              <w:left w:w="70" w:type="dxa"/>
              <w:right w:w="70" w:type="dxa"/>
            </w:tcMar>
            <w:vAlign w:val="center"/>
          </w:tcPr>
          <w:p w14:paraId="4278C69F">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55C5BE84">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57CF902C">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15731D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E58939E">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D63AC69">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0224D692">
            <w:pPr>
              <w:keepNext/>
              <w:spacing w:before="20" w:after="20" w:line="260" w:lineRule="exact"/>
              <w:ind w:left="0" w:leftChars="0" w:right="0" w:rightChars="0" w:firstLine="0" w:firstLineChars="0"/>
              <w:jc w:val="center"/>
            </w:pPr>
            <w:r>
              <w:rPr>
                <w:rFonts w:ascii="Times New Roman" w:hAnsi="Times New Roman" w:eastAsia="宋体"/>
                <w:b w:val="0"/>
                <w:sz w:val="18"/>
              </w:rPr>
              <w:t>2.00～2.40</w:t>
            </w:r>
          </w:p>
        </w:tc>
        <w:tc>
          <w:tcPr>
            <w:tcW w:w="1385" w:type="dxa"/>
            <w:tcMar>
              <w:left w:w="70" w:type="dxa"/>
              <w:right w:w="70" w:type="dxa"/>
            </w:tcMar>
            <w:vAlign w:val="center"/>
          </w:tcPr>
          <w:p w14:paraId="4C43E9F5">
            <w:pPr>
              <w:keepNext/>
              <w:spacing w:before="20" w:after="20" w:line="260" w:lineRule="exact"/>
              <w:ind w:left="0" w:leftChars="0" w:right="0" w:rightChars="0" w:firstLine="0" w:firstLineChars="0"/>
              <w:jc w:val="center"/>
            </w:pPr>
            <w:r>
              <w:rPr>
                <w:rFonts w:ascii="Times New Roman" w:hAnsi="Times New Roman" w:eastAsia="宋体"/>
                <w:b w:val="0"/>
                <w:sz w:val="18"/>
              </w:rPr>
              <w:t>1.84～2.22</w:t>
            </w:r>
          </w:p>
        </w:tc>
        <w:tc>
          <w:tcPr>
            <w:tcW w:w="1385" w:type="dxa"/>
            <w:tcMar>
              <w:left w:w="70" w:type="dxa"/>
              <w:right w:w="70" w:type="dxa"/>
            </w:tcMar>
            <w:vAlign w:val="center"/>
          </w:tcPr>
          <w:p w14:paraId="66F1B4A3">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4456096F">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0ED17E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1551564">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8D0F42C">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F5CD5E1">
            <w:pPr>
              <w:keepNext/>
              <w:spacing w:before="20" w:after="20" w:line="260" w:lineRule="exact"/>
              <w:ind w:left="0" w:leftChars="0" w:right="0" w:rightChars="0" w:firstLine="0" w:firstLineChars="0"/>
              <w:jc w:val="center"/>
            </w:pPr>
            <w:r>
              <w:rPr>
                <w:rFonts w:ascii="Times New Roman" w:hAnsi="Times New Roman" w:eastAsia="宋体"/>
                <w:b w:val="0"/>
                <w:sz w:val="18"/>
              </w:rPr>
              <w:t>2.40～3.15</w:t>
            </w:r>
          </w:p>
        </w:tc>
        <w:tc>
          <w:tcPr>
            <w:tcW w:w="1385" w:type="dxa"/>
            <w:tcMar>
              <w:left w:w="70" w:type="dxa"/>
              <w:right w:w="70" w:type="dxa"/>
            </w:tcMar>
            <w:vAlign w:val="center"/>
          </w:tcPr>
          <w:p w14:paraId="36ED0CAB">
            <w:pPr>
              <w:keepNext/>
              <w:spacing w:before="20" w:after="20" w:line="260" w:lineRule="exact"/>
              <w:ind w:left="0" w:leftChars="0" w:right="0" w:rightChars="0" w:firstLine="0" w:firstLineChars="0"/>
              <w:jc w:val="center"/>
            </w:pPr>
            <w:r>
              <w:rPr>
                <w:rFonts w:ascii="Times New Roman" w:hAnsi="Times New Roman" w:eastAsia="宋体"/>
                <w:b w:val="0"/>
                <w:sz w:val="18"/>
              </w:rPr>
              <w:t>2.20～2.91</w:t>
            </w:r>
          </w:p>
        </w:tc>
        <w:tc>
          <w:tcPr>
            <w:tcW w:w="1385" w:type="dxa"/>
            <w:tcMar>
              <w:left w:w="70" w:type="dxa"/>
              <w:right w:w="70" w:type="dxa"/>
            </w:tcMar>
            <w:vAlign w:val="center"/>
          </w:tcPr>
          <w:p w14:paraId="3D2121DA">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4E856243">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63F6E6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C9388FD">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6E5F2F0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09696F6">
            <w:pPr>
              <w:keepNext/>
              <w:spacing w:before="20" w:after="20" w:line="260" w:lineRule="exact"/>
              <w:ind w:left="0" w:leftChars="0" w:right="0" w:rightChars="0" w:firstLine="0" w:firstLineChars="0"/>
              <w:jc w:val="center"/>
            </w:pPr>
            <w:r>
              <w:rPr>
                <w:rFonts w:ascii="Times New Roman" w:hAnsi="Times New Roman" w:eastAsia="宋体"/>
                <w:b w:val="0"/>
                <w:sz w:val="18"/>
              </w:rPr>
              <w:t>1.95～2.32</w:t>
            </w:r>
          </w:p>
        </w:tc>
        <w:tc>
          <w:tcPr>
            <w:tcW w:w="1385" w:type="dxa"/>
            <w:tcMar>
              <w:left w:w="70" w:type="dxa"/>
              <w:right w:w="70" w:type="dxa"/>
            </w:tcMar>
            <w:vAlign w:val="center"/>
          </w:tcPr>
          <w:p w14:paraId="7B8A4158">
            <w:pPr>
              <w:keepNext/>
              <w:spacing w:before="20" w:after="20" w:line="260" w:lineRule="exact"/>
              <w:ind w:left="0" w:leftChars="0" w:right="0" w:rightChars="0" w:firstLine="0" w:firstLineChars="0"/>
              <w:jc w:val="center"/>
            </w:pPr>
            <w:r>
              <w:rPr>
                <w:rFonts w:ascii="Times New Roman" w:hAnsi="Times New Roman" w:eastAsia="宋体"/>
                <w:b w:val="0"/>
                <w:sz w:val="18"/>
              </w:rPr>
              <w:t>1.77～1.96</w:t>
            </w:r>
          </w:p>
        </w:tc>
        <w:tc>
          <w:tcPr>
            <w:tcW w:w="1385" w:type="dxa"/>
            <w:tcMar>
              <w:left w:w="70" w:type="dxa"/>
              <w:right w:w="70" w:type="dxa"/>
            </w:tcMar>
            <w:vAlign w:val="center"/>
          </w:tcPr>
          <w:p w14:paraId="06475E63">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c>
          <w:tcPr>
            <w:tcW w:w="1385" w:type="dxa"/>
            <w:tcMar>
              <w:left w:w="70" w:type="dxa"/>
              <w:right w:w="70" w:type="dxa"/>
            </w:tcMar>
            <w:vAlign w:val="center"/>
          </w:tcPr>
          <w:p w14:paraId="2090714B">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r>
      <w:tr w14:paraId="4A8D71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788E44">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ABBB6BA">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021D5C4B">
            <w:pPr>
              <w:keepNext/>
              <w:spacing w:before="20" w:after="20" w:line="260" w:lineRule="exact"/>
              <w:ind w:left="0" w:leftChars="0" w:right="0" w:rightChars="0" w:firstLine="0" w:firstLineChars="0"/>
              <w:jc w:val="center"/>
            </w:pPr>
            <w:r>
              <w:rPr>
                <w:rFonts w:ascii="Times New Roman" w:hAnsi="Times New Roman" w:eastAsia="宋体"/>
                <w:b w:val="0"/>
                <w:sz w:val="18"/>
              </w:rPr>
              <w:t>1.95～2.43</w:t>
            </w:r>
          </w:p>
        </w:tc>
        <w:tc>
          <w:tcPr>
            <w:tcW w:w="1385" w:type="dxa"/>
            <w:tcMar>
              <w:left w:w="70" w:type="dxa"/>
              <w:right w:w="70" w:type="dxa"/>
            </w:tcMar>
            <w:vAlign w:val="center"/>
          </w:tcPr>
          <w:p w14:paraId="43CC7A81">
            <w:pPr>
              <w:keepNext/>
              <w:spacing w:before="20" w:after="20" w:line="260" w:lineRule="exact"/>
              <w:ind w:left="0" w:leftChars="0" w:right="0" w:rightChars="0" w:firstLine="0" w:firstLineChars="0"/>
              <w:jc w:val="center"/>
            </w:pPr>
            <w:r>
              <w:rPr>
                <w:rFonts w:ascii="Times New Roman" w:hAnsi="Times New Roman" w:eastAsia="宋体"/>
                <w:b w:val="0"/>
                <w:sz w:val="18"/>
              </w:rPr>
              <w:t>1.77～2.15</w:t>
            </w:r>
          </w:p>
        </w:tc>
        <w:tc>
          <w:tcPr>
            <w:tcW w:w="1385" w:type="dxa"/>
            <w:tcMar>
              <w:left w:w="70" w:type="dxa"/>
              <w:right w:w="70" w:type="dxa"/>
            </w:tcMar>
            <w:vAlign w:val="center"/>
          </w:tcPr>
          <w:p w14:paraId="0BF35954">
            <w:pPr>
              <w:keepNext/>
              <w:spacing w:before="20" w:after="20" w:line="260" w:lineRule="exact"/>
              <w:ind w:left="0" w:leftChars="0" w:right="0" w:rightChars="0" w:firstLine="0" w:firstLineChars="0"/>
              <w:jc w:val="center"/>
            </w:pPr>
            <w:r>
              <w:rPr>
                <w:rFonts w:ascii="Times New Roman" w:hAnsi="Times New Roman" w:eastAsia="宋体"/>
                <w:b w:val="0"/>
                <w:sz w:val="18"/>
              </w:rPr>
              <w:t>1.70～2.06</w:t>
            </w:r>
          </w:p>
        </w:tc>
        <w:tc>
          <w:tcPr>
            <w:tcW w:w="1385" w:type="dxa"/>
            <w:tcMar>
              <w:left w:w="70" w:type="dxa"/>
              <w:right w:w="70" w:type="dxa"/>
            </w:tcMar>
            <w:vAlign w:val="center"/>
          </w:tcPr>
          <w:p w14:paraId="502E73B7">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45478C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2068A7E">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3D426B2D">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FFB5F85">
            <w:pPr>
              <w:keepNext/>
              <w:spacing w:before="20" w:after="20" w:line="260" w:lineRule="exact"/>
              <w:ind w:left="0" w:leftChars="0" w:right="0" w:rightChars="0" w:firstLine="0" w:firstLineChars="0"/>
              <w:jc w:val="center"/>
            </w:pPr>
            <w:r>
              <w:rPr>
                <w:rFonts w:ascii="Times New Roman" w:hAnsi="Times New Roman" w:eastAsia="宋体"/>
                <w:b w:val="0"/>
                <w:sz w:val="18"/>
              </w:rPr>
              <w:t>2.34～2.92</w:t>
            </w:r>
          </w:p>
        </w:tc>
        <w:tc>
          <w:tcPr>
            <w:tcW w:w="1385" w:type="dxa"/>
            <w:tcMar>
              <w:left w:w="70" w:type="dxa"/>
              <w:right w:w="70" w:type="dxa"/>
            </w:tcMar>
            <w:vAlign w:val="center"/>
          </w:tcPr>
          <w:p w14:paraId="456EE026">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211819E7">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c>
          <w:tcPr>
            <w:tcW w:w="1385" w:type="dxa"/>
            <w:tcMar>
              <w:left w:w="70" w:type="dxa"/>
              <w:right w:w="70" w:type="dxa"/>
            </w:tcMar>
            <w:vAlign w:val="center"/>
          </w:tcPr>
          <w:p w14:paraId="11169C74">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1B8DF3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2808F3B">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B77824A">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8C93D22">
            <w:pPr>
              <w:keepNext/>
              <w:spacing w:before="20" w:after="20" w:line="260" w:lineRule="exact"/>
              <w:ind w:left="0" w:leftChars="0" w:right="0" w:rightChars="0" w:firstLine="0" w:firstLineChars="0"/>
              <w:jc w:val="center"/>
            </w:pPr>
            <w:r>
              <w:rPr>
                <w:rFonts w:ascii="Times New Roman" w:hAnsi="Times New Roman" w:eastAsia="宋体"/>
                <w:b w:val="0"/>
                <w:sz w:val="18"/>
              </w:rPr>
              <w:t>1.98～2.10</w:t>
            </w:r>
          </w:p>
        </w:tc>
        <w:tc>
          <w:tcPr>
            <w:tcW w:w="1385" w:type="dxa"/>
            <w:tcMar>
              <w:left w:w="70" w:type="dxa"/>
              <w:right w:w="70" w:type="dxa"/>
            </w:tcMar>
            <w:vAlign w:val="center"/>
          </w:tcPr>
          <w:p w14:paraId="03382253">
            <w:pPr>
              <w:keepNext/>
              <w:spacing w:before="20" w:after="20" w:line="260" w:lineRule="exact"/>
              <w:ind w:left="0" w:leftChars="0" w:right="0" w:rightChars="0" w:firstLine="0" w:firstLineChars="0"/>
              <w:jc w:val="center"/>
            </w:pPr>
            <w:r>
              <w:rPr>
                <w:rFonts w:ascii="Times New Roman" w:hAnsi="Times New Roman" w:eastAsia="宋体"/>
                <w:b w:val="0"/>
                <w:sz w:val="18"/>
              </w:rPr>
              <w:t>1.77～2.07</w:t>
            </w:r>
          </w:p>
        </w:tc>
        <w:tc>
          <w:tcPr>
            <w:tcW w:w="1385" w:type="dxa"/>
            <w:tcMar>
              <w:left w:w="70" w:type="dxa"/>
              <w:right w:w="70" w:type="dxa"/>
            </w:tcMar>
            <w:vAlign w:val="center"/>
          </w:tcPr>
          <w:p w14:paraId="1883D42E">
            <w:pPr>
              <w:keepNext/>
              <w:spacing w:before="20" w:after="20" w:line="260" w:lineRule="exact"/>
              <w:ind w:left="0" w:leftChars="0" w:right="0" w:rightChars="0" w:firstLine="0" w:firstLineChars="0"/>
              <w:jc w:val="center"/>
            </w:pPr>
            <w:r>
              <w:rPr>
                <w:rFonts w:ascii="Times New Roman" w:hAnsi="Times New Roman" w:eastAsia="宋体"/>
                <w:b w:val="0"/>
                <w:sz w:val="18"/>
              </w:rPr>
              <w:t>1.61～1.78</w:t>
            </w:r>
          </w:p>
        </w:tc>
        <w:tc>
          <w:tcPr>
            <w:tcW w:w="1385" w:type="dxa"/>
            <w:tcMar>
              <w:left w:w="70" w:type="dxa"/>
              <w:right w:w="70" w:type="dxa"/>
            </w:tcMar>
            <w:vAlign w:val="center"/>
          </w:tcPr>
          <w:p w14:paraId="61CFB91D">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r>
      <w:tr w14:paraId="35A51D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C4B2FF0">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03CE76D8">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373F014">
            <w:pPr>
              <w:keepNext/>
              <w:spacing w:before="20" w:after="20" w:line="260" w:lineRule="exact"/>
              <w:ind w:left="0" w:leftChars="0" w:right="0" w:rightChars="0" w:firstLine="0" w:firstLineChars="0"/>
              <w:jc w:val="center"/>
            </w:pPr>
            <w:r>
              <w:rPr>
                <w:rFonts w:ascii="Times New Roman" w:hAnsi="Times New Roman" w:eastAsia="宋体"/>
                <w:b w:val="0"/>
                <w:sz w:val="18"/>
              </w:rPr>
              <w:t>1.98～2.30</w:t>
            </w:r>
          </w:p>
        </w:tc>
        <w:tc>
          <w:tcPr>
            <w:tcW w:w="1385" w:type="dxa"/>
            <w:tcMar>
              <w:left w:w="70" w:type="dxa"/>
              <w:right w:w="70" w:type="dxa"/>
            </w:tcMar>
            <w:vAlign w:val="center"/>
          </w:tcPr>
          <w:p w14:paraId="0942641F">
            <w:pPr>
              <w:keepNext/>
              <w:spacing w:before="20" w:after="20" w:line="260" w:lineRule="exact"/>
              <w:ind w:left="0" w:leftChars="0" w:right="0" w:rightChars="0" w:firstLine="0" w:firstLineChars="0"/>
              <w:jc w:val="center"/>
            </w:pPr>
            <w:r>
              <w:rPr>
                <w:rFonts w:ascii="Times New Roman" w:hAnsi="Times New Roman" w:eastAsia="宋体"/>
                <w:b w:val="0"/>
                <w:sz w:val="18"/>
              </w:rPr>
              <w:t>1.77～2.17</w:t>
            </w:r>
          </w:p>
        </w:tc>
        <w:tc>
          <w:tcPr>
            <w:tcW w:w="1385" w:type="dxa"/>
            <w:tcMar>
              <w:left w:w="70" w:type="dxa"/>
              <w:right w:w="70" w:type="dxa"/>
            </w:tcMar>
            <w:vAlign w:val="center"/>
          </w:tcPr>
          <w:p w14:paraId="7FE9B2CE">
            <w:pPr>
              <w:keepNext/>
              <w:spacing w:before="20" w:after="20" w:line="260" w:lineRule="exact"/>
              <w:ind w:left="0" w:leftChars="0" w:right="0" w:rightChars="0" w:firstLine="0" w:firstLineChars="0"/>
              <w:jc w:val="center"/>
            </w:pPr>
            <w:r>
              <w:rPr>
                <w:rFonts w:ascii="Times New Roman" w:hAnsi="Times New Roman" w:eastAsia="宋体"/>
                <w:b w:val="0"/>
                <w:sz w:val="18"/>
              </w:rPr>
              <w:t>1.61～2.03</w:t>
            </w:r>
          </w:p>
        </w:tc>
        <w:tc>
          <w:tcPr>
            <w:tcW w:w="1385" w:type="dxa"/>
            <w:tcMar>
              <w:left w:w="70" w:type="dxa"/>
              <w:right w:w="70" w:type="dxa"/>
            </w:tcMar>
            <w:vAlign w:val="center"/>
          </w:tcPr>
          <w:p w14:paraId="6E7BEBB1">
            <w:pPr>
              <w:keepNext/>
              <w:spacing w:before="20" w:after="20" w:line="260" w:lineRule="exact"/>
              <w:ind w:left="0" w:leftChars="0" w:right="0" w:rightChars="0" w:firstLine="0" w:firstLineChars="0"/>
              <w:jc w:val="center"/>
            </w:pPr>
            <w:r>
              <w:rPr>
                <w:rFonts w:ascii="Times New Roman" w:hAnsi="Times New Roman" w:eastAsia="宋体"/>
                <w:b w:val="0"/>
                <w:sz w:val="18"/>
              </w:rPr>
              <w:t>1.52～2.02</w:t>
            </w:r>
          </w:p>
        </w:tc>
      </w:tr>
      <w:tr w14:paraId="4F1894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DDFA2F5">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219D0BCF">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0439E40">
            <w:pPr>
              <w:keepNext/>
              <w:spacing w:before="20" w:after="20" w:line="260" w:lineRule="exact"/>
              <w:ind w:left="0" w:leftChars="0" w:right="0" w:rightChars="0" w:firstLine="0" w:firstLineChars="0"/>
              <w:jc w:val="center"/>
            </w:pPr>
            <w:r>
              <w:rPr>
                <w:rFonts w:ascii="Times New Roman" w:hAnsi="Times New Roman" w:eastAsia="宋体"/>
                <w:b w:val="0"/>
                <w:sz w:val="18"/>
              </w:rPr>
              <w:t>2.29～2.65</w:t>
            </w:r>
          </w:p>
        </w:tc>
        <w:tc>
          <w:tcPr>
            <w:tcW w:w="1385" w:type="dxa"/>
            <w:tcMar>
              <w:left w:w="70" w:type="dxa"/>
              <w:right w:w="70" w:type="dxa"/>
            </w:tcMar>
            <w:vAlign w:val="center"/>
          </w:tcPr>
          <w:p w14:paraId="7C6E6222">
            <w:pPr>
              <w:keepNext/>
              <w:spacing w:before="20" w:after="20" w:line="260" w:lineRule="exact"/>
              <w:ind w:left="0" w:leftChars="0" w:right="0" w:rightChars="0" w:firstLine="0" w:firstLineChars="0"/>
              <w:jc w:val="center"/>
            </w:pPr>
            <w:r>
              <w:rPr>
                <w:rFonts w:ascii="Times New Roman" w:hAnsi="Times New Roman" w:eastAsia="宋体"/>
                <w:b w:val="0"/>
                <w:sz w:val="18"/>
              </w:rPr>
              <w:t>2.16～2.65</w:t>
            </w:r>
          </w:p>
        </w:tc>
        <w:tc>
          <w:tcPr>
            <w:tcW w:w="1385" w:type="dxa"/>
            <w:tcMar>
              <w:left w:w="70" w:type="dxa"/>
              <w:right w:w="70" w:type="dxa"/>
            </w:tcMar>
            <w:vAlign w:val="center"/>
          </w:tcPr>
          <w:p w14:paraId="062466D1">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c>
          <w:tcPr>
            <w:tcW w:w="1385" w:type="dxa"/>
            <w:tcMar>
              <w:left w:w="70" w:type="dxa"/>
              <w:right w:w="70" w:type="dxa"/>
            </w:tcMar>
            <w:vAlign w:val="center"/>
          </w:tcPr>
          <w:p w14:paraId="75E84DA1">
            <w:pPr>
              <w:keepNext/>
              <w:spacing w:before="20" w:after="20" w:line="260" w:lineRule="exact"/>
              <w:ind w:left="0" w:leftChars="0" w:right="0" w:rightChars="0" w:firstLine="0" w:firstLineChars="0"/>
              <w:jc w:val="center"/>
            </w:pPr>
            <w:r>
              <w:rPr>
                <w:rFonts w:ascii="Times New Roman" w:hAnsi="Times New Roman" w:eastAsia="宋体"/>
                <w:b w:val="0"/>
                <w:sz w:val="18"/>
              </w:rPr>
              <w:t>2.01～2.54</w:t>
            </w:r>
          </w:p>
        </w:tc>
      </w:tr>
      <w:tr w14:paraId="3357DE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4FCC67B">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5B606B21">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C790997">
            <w:pPr>
              <w:keepNext/>
              <w:spacing w:before="20" w:after="20" w:line="260" w:lineRule="exact"/>
              <w:ind w:left="0" w:leftChars="0" w:right="0" w:rightChars="0" w:firstLine="0" w:firstLineChars="0"/>
              <w:jc w:val="center"/>
            </w:pPr>
            <w:r>
              <w:rPr>
                <w:rFonts w:ascii="Times New Roman" w:hAnsi="Times New Roman" w:eastAsia="宋体"/>
                <w:b w:val="0"/>
                <w:sz w:val="18"/>
              </w:rPr>
              <w:t>1.94～2.06</w:t>
            </w:r>
          </w:p>
        </w:tc>
        <w:tc>
          <w:tcPr>
            <w:tcW w:w="1385" w:type="dxa"/>
            <w:tcMar>
              <w:left w:w="70" w:type="dxa"/>
              <w:right w:w="70" w:type="dxa"/>
            </w:tcMar>
            <w:vAlign w:val="center"/>
          </w:tcPr>
          <w:p w14:paraId="592FC08D">
            <w:pPr>
              <w:keepNext/>
              <w:spacing w:before="20" w:after="20" w:line="260" w:lineRule="exact"/>
              <w:ind w:left="0" w:leftChars="0" w:right="0" w:rightChars="0" w:firstLine="0" w:firstLineChars="0"/>
              <w:jc w:val="center"/>
            </w:pPr>
            <w:r>
              <w:rPr>
                <w:rFonts w:ascii="Times New Roman" w:hAnsi="Times New Roman" w:eastAsia="宋体"/>
                <w:b w:val="0"/>
                <w:sz w:val="18"/>
              </w:rPr>
              <w:t>1.91～1.99</w:t>
            </w:r>
          </w:p>
        </w:tc>
        <w:tc>
          <w:tcPr>
            <w:tcW w:w="1385" w:type="dxa"/>
            <w:tcMar>
              <w:left w:w="70" w:type="dxa"/>
              <w:right w:w="70" w:type="dxa"/>
            </w:tcMar>
            <w:vAlign w:val="center"/>
          </w:tcPr>
          <w:p w14:paraId="61B79370">
            <w:pPr>
              <w:keepNext/>
              <w:spacing w:before="20" w:after="20" w:line="260" w:lineRule="exact"/>
              <w:ind w:left="0" w:leftChars="0" w:right="0" w:rightChars="0" w:firstLine="0" w:firstLineChars="0"/>
              <w:jc w:val="center"/>
            </w:pPr>
            <w:r>
              <w:rPr>
                <w:rFonts w:ascii="Times New Roman" w:hAnsi="Times New Roman" w:eastAsia="宋体"/>
                <w:b w:val="0"/>
                <w:sz w:val="18"/>
              </w:rPr>
              <w:t>1.50～1.78</w:t>
            </w:r>
          </w:p>
        </w:tc>
        <w:tc>
          <w:tcPr>
            <w:tcW w:w="1385" w:type="dxa"/>
            <w:tcMar>
              <w:left w:w="70" w:type="dxa"/>
              <w:right w:w="70" w:type="dxa"/>
            </w:tcMar>
            <w:vAlign w:val="center"/>
          </w:tcPr>
          <w:p w14:paraId="422C5E96">
            <w:pPr>
              <w:keepNext/>
              <w:spacing w:before="20" w:after="20" w:line="260" w:lineRule="exact"/>
              <w:ind w:left="0" w:leftChars="0" w:right="0" w:rightChars="0" w:firstLine="0" w:firstLineChars="0"/>
              <w:jc w:val="center"/>
            </w:pPr>
            <w:r>
              <w:rPr>
                <w:rFonts w:ascii="Times New Roman" w:hAnsi="Times New Roman" w:eastAsia="宋体"/>
                <w:b w:val="0"/>
                <w:sz w:val="18"/>
              </w:rPr>
              <w:t>1.36～1.51</w:t>
            </w:r>
          </w:p>
        </w:tc>
      </w:tr>
      <w:tr w14:paraId="095631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910EE37">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4B315323">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5C642730">
            <w:pPr>
              <w:keepNext/>
              <w:spacing w:before="20" w:after="20" w:line="260" w:lineRule="exact"/>
              <w:ind w:left="0" w:leftChars="0" w:right="0" w:rightChars="0" w:firstLine="0" w:firstLineChars="0"/>
              <w:jc w:val="center"/>
            </w:pPr>
            <w:r>
              <w:rPr>
                <w:rFonts w:ascii="Times New Roman" w:hAnsi="Times New Roman" w:eastAsia="宋体"/>
                <w:b w:val="0"/>
                <w:sz w:val="18"/>
              </w:rPr>
              <w:t>1.94～2.06</w:t>
            </w:r>
          </w:p>
        </w:tc>
        <w:tc>
          <w:tcPr>
            <w:tcW w:w="1385" w:type="dxa"/>
            <w:tcMar>
              <w:left w:w="70" w:type="dxa"/>
              <w:right w:w="70" w:type="dxa"/>
            </w:tcMar>
            <w:vAlign w:val="center"/>
          </w:tcPr>
          <w:p w14:paraId="6C84610C">
            <w:pPr>
              <w:keepNext/>
              <w:spacing w:before="20" w:after="20" w:line="260" w:lineRule="exact"/>
              <w:ind w:left="0" w:leftChars="0" w:right="0" w:rightChars="0" w:firstLine="0" w:firstLineChars="0"/>
              <w:jc w:val="center"/>
            </w:pPr>
            <w:r>
              <w:rPr>
                <w:rFonts w:ascii="Times New Roman" w:hAnsi="Times New Roman" w:eastAsia="宋体"/>
                <w:b w:val="0"/>
                <w:sz w:val="18"/>
              </w:rPr>
              <w:t>1.91～2.09</w:t>
            </w:r>
          </w:p>
        </w:tc>
        <w:tc>
          <w:tcPr>
            <w:tcW w:w="1385" w:type="dxa"/>
            <w:tcMar>
              <w:left w:w="70" w:type="dxa"/>
              <w:right w:w="70" w:type="dxa"/>
            </w:tcMar>
            <w:vAlign w:val="center"/>
          </w:tcPr>
          <w:p w14:paraId="6F6ACE26">
            <w:pPr>
              <w:keepNext/>
              <w:spacing w:before="20" w:after="20" w:line="260" w:lineRule="exact"/>
              <w:ind w:left="0" w:leftChars="0" w:right="0" w:rightChars="0" w:firstLine="0" w:firstLineChars="0"/>
              <w:jc w:val="center"/>
            </w:pPr>
            <w:r>
              <w:rPr>
                <w:rFonts w:ascii="Times New Roman" w:hAnsi="Times New Roman" w:eastAsia="宋体"/>
                <w:b w:val="0"/>
                <w:sz w:val="18"/>
              </w:rPr>
              <w:t>1.50～2.09</w:t>
            </w:r>
          </w:p>
        </w:tc>
        <w:tc>
          <w:tcPr>
            <w:tcW w:w="1385" w:type="dxa"/>
            <w:tcMar>
              <w:left w:w="70" w:type="dxa"/>
              <w:right w:w="70" w:type="dxa"/>
            </w:tcMar>
            <w:vAlign w:val="center"/>
          </w:tcPr>
          <w:p w14:paraId="07839C0B">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6BB37C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CA5E495">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77DFA7E6">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1FF63712">
            <w:pPr>
              <w:keepNext w:val="0"/>
              <w:spacing w:before="20" w:after="20" w:line="260" w:lineRule="exact"/>
              <w:ind w:left="0" w:leftChars="0" w:right="0" w:rightChars="0" w:firstLine="0" w:firstLineChars="0"/>
              <w:jc w:val="center"/>
            </w:pPr>
            <w:r>
              <w:rPr>
                <w:rFonts w:ascii="Times New Roman" w:hAnsi="Times New Roman" w:eastAsia="宋体"/>
                <w:b w:val="0"/>
                <w:sz w:val="18"/>
              </w:rPr>
              <w:t>2.45～2.50</w:t>
            </w:r>
          </w:p>
        </w:tc>
        <w:tc>
          <w:tcPr>
            <w:tcW w:w="1385" w:type="dxa"/>
            <w:tcMar>
              <w:left w:w="70" w:type="dxa"/>
              <w:right w:w="70" w:type="dxa"/>
            </w:tcMar>
            <w:vAlign w:val="center"/>
          </w:tcPr>
          <w:p w14:paraId="0564F0BD">
            <w:pPr>
              <w:keepNext w:val="0"/>
              <w:spacing w:before="20" w:after="20" w:line="260" w:lineRule="exact"/>
              <w:ind w:left="0" w:leftChars="0" w:right="0" w:rightChars="0" w:firstLine="0" w:firstLineChars="0"/>
              <w:jc w:val="center"/>
            </w:pPr>
            <w:r>
              <w:rPr>
                <w:rFonts w:ascii="Times New Roman" w:hAnsi="Times New Roman" w:eastAsia="宋体"/>
                <w:b w:val="0"/>
                <w:sz w:val="18"/>
              </w:rPr>
              <w:t>2.08～2.49</w:t>
            </w:r>
          </w:p>
        </w:tc>
        <w:tc>
          <w:tcPr>
            <w:tcW w:w="1385" w:type="dxa"/>
            <w:tcMar>
              <w:left w:w="70" w:type="dxa"/>
              <w:right w:w="70" w:type="dxa"/>
            </w:tcMar>
            <w:vAlign w:val="center"/>
          </w:tcPr>
          <w:p w14:paraId="53BC5A1B">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0F836ED5">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14:paraId="037743E9">
      <w:pPr>
        <w:pStyle w:val="2"/>
        <w:keepNext/>
        <w:spacing w:before="120" w:after="80" w:line="280" w:lineRule="exact"/>
        <w:ind w:firstLine="0"/>
        <w:jc w:val="center"/>
      </w:pPr>
      <w:r>
        <w:rPr>
          <w:rFonts w:ascii="Times New Roman" w:hAnsi="Times New Roman" w:eastAsia="宋体"/>
          <w:b w:val="0"/>
          <w:sz w:val="21"/>
        </w:rPr>
        <w:t>表5-69 电缆长度占比(10%,30%]、负荷分散系数1.00的容载比区间矩阵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0B605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FEFFA46">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0009FBF2">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5281706B">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3AB5DC41">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0A458549">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7EEF589F">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722761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5847EAB">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5658CE0">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8D4BEF8">
            <w:pPr>
              <w:keepNext/>
              <w:spacing w:before="20" w:after="20" w:line="260" w:lineRule="exact"/>
              <w:ind w:left="0" w:leftChars="0" w:right="0" w:rightChars="0" w:firstLine="0" w:firstLineChars="0"/>
              <w:jc w:val="center"/>
            </w:pPr>
            <w:r>
              <w:rPr>
                <w:rFonts w:ascii="Times New Roman" w:hAnsi="Times New Roman" w:eastAsia="宋体"/>
                <w:b w:val="0"/>
                <w:sz w:val="18"/>
              </w:rPr>
              <w:t>1.84～2.04</w:t>
            </w:r>
          </w:p>
        </w:tc>
        <w:tc>
          <w:tcPr>
            <w:tcW w:w="1385" w:type="dxa"/>
            <w:tcMar>
              <w:left w:w="70" w:type="dxa"/>
              <w:right w:w="70" w:type="dxa"/>
            </w:tcMar>
            <w:vAlign w:val="center"/>
          </w:tcPr>
          <w:p w14:paraId="25DF9691">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6353A337">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7D66B7DB">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1C49D3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7361B2E">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404E8D3D">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4C017627">
            <w:pPr>
              <w:keepNext/>
              <w:spacing w:before="20" w:after="20" w:line="260" w:lineRule="exact"/>
              <w:ind w:left="0" w:leftChars="0" w:right="0" w:rightChars="0" w:firstLine="0" w:firstLineChars="0"/>
              <w:jc w:val="center"/>
            </w:pPr>
            <w:r>
              <w:rPr>
                <w:rFonts w:ascii="Times New Roman" w:hAnsi="Times New Roman" w:eastAsia="宋体"/>
                <w:b w:val="0"/>
                <w:sz w:val="18"/>
              </w:rPr>
              <w:t>1.84～2.40</w:t>
            </w:r>
          </w:p>
        </w:tc>
        <w:tc>
          <w:tcPr>
            <w:tcW w:w="1385" w:type="dxa"/>
            <w:tcMar>
              <w:left w:w="70" w:type="dxa"/>
              <w:right w:w="70" w:type="dxa"/>
            </w:tcMar>
            <w:vAlign w:val="center"/>
          </w:tcPr>
          <w:p w14:paraId="79BD8606">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423DDF2E">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3B15275C">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2255DF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E2C5C1D">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D7C8139">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29CDC3E0">
            <w:pPr>
              <w:keepNext/>
              <w:spacing w:before="20" w:after="20" w:line="260" w:lineRule="exact"/>
              <w:ind w:left="0" w:leftChars="0" w:right="0" w:rightChars="0" w:firstLine="0" w:firstLineChars="0"/>
              <w:jc w:val="center"/>
            </w:pPr>
            <w:r>
              <w:rPr>
                <w:rFonts w:ascii="Times New Roman" w:hAnsi="Times New Roman" w:eastAsia="宋体"/>
                <w:b w:val="0"/>
                <w:sz w:val="18"/>
              </w:rPr>
              <w:t>2.20～3.04</w:t>
            </w:r>
          </w:p>
        </w:tc>
        <w:tc>
          <w:tcPr>
            <w:tcW w:w="1385" w:type="dxa"/>
            <w:tcMar>
              <w:left w:w="70" w:type="dxa"/>
              <w:right w:w="70" w:type="dxa"/>
            </w:tcMar>
            <w:vAlign w:val="center"/>
          </w:tcPr>
          <w:p w14:paraId="26AE7D4D">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2EF5B771">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170405E1">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609ECD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5C181EA">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1AC56390">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D62ED63">
            <w:pPr>
              <w:keepNext/>
              <w:spacing w:before="20" w:after="20" w:line="260" w:lineRule="exact"/>
              <w:ind w:left="0" w:leftChars="0" w:right="0" w:rightChars="0" w:firstLine="0" w:firstLineChars="0"/>
              <w:jc w:val="center"/>
            </w:pPr>
            <w:r>
              <w:rPr>
                <w:rFonts w:ascii="Times New Roman" w:hAnsi="Times New Roman" w:eastAsia="宋体"/>
                <w:b w:val="0"/>
                <w:sz w:val="18"/>
              </w:rPr>
              <w:t>1.70～2.14</w:t>
            </w:r>
          </w:p>
        </w:tc>
        <w:tc>
          <w:tcPr>
            <w:tcW w:w="1385" w:type="dxa"/>
            <w:tcMar>
              <w:left w:w="70" w:type="dxa"/>
              <w:right w:w="70" w:type="dxa"/>
            </w:tcMar>
            <w:vAlign w:val="center"/>
          </w:tcPr>
          <w:p w14:paraId="14F141B8">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c>
          <w:tcPr>
            <w:tcW w:w="1385" w:type="dxa"/>
            <w:tcMar>
              <w:left w:w="70" w:type="dxa"/>
              <w:right w:w="70" w:type="dxa"/>
            </w:tcMar>
            <w:vAlign w:val="center"/>
          </w:tcPr>
          <w:p w14:paraId="3D88ADE6">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c>
          <w:tcPr>
            <w:tcW w:w="1385" w:type="dxa"/>
            <w:tcMar>
              <w:left w:w="70" w:type="dxa"/>
              <w:right w:w="70" w:type="dxa"/>
            </w:tcMar>
            <w:vAlign w:val="center"/>
          </w:tcPr>
          <w:p w14:paraId="4B404BB6">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r>
      <w:tr w14:paraId="6B93E2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DC429B0">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4FC0607A">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424754AE">
            <w:pPr>
              <w:keepNext/>
              <w:spacing w:before="20" w:after="20" w:line="260" w:lineRule="exact"/>
              <w:ind w:left="0" w:leftChars="0" w:right="0" w:rightChars="0" w:firstLine="0" w:firstLineChars="0"/>
              <w:jc w:val="center"/>
            </w:pPr>
            <w:r>
              <w:rPr>
                <w:rFonts w:ascii="Times New Roman" w:hAnsi="Times New Roman" w:eastAsia="宋体"/>
                <w:b w:val="0"/>
                <w:sz w:val="18"/>
              </w:rPr>
              <w:t>1.70～2.26</w:t>
            </w:r>
          </w:p>
        </w:tc>
        <w:tc>
          <w:tcPr>
            <w:tcW w:w="1385" w:type="dxa"/>
            <w:tcMar>
              <w:left w:w="70" w:type="dxa"/>
              <w:right w:w="70" w:type="dxa"/>
            </w:tcMar>
            <w:vAlign w:val="center"/>
          </w:tcPr>
          <w:p w14:paraId="385EB453">
            <w:pPr>
              <w:keepNext/>
              <w:spacing w:before="20" w:after="20" w:line="260" w:lineRule="exact"/>
              <w:ind w:left="0" w:leftChars="0" w:right="0" w:rightChars="0" w:firstLine="0" w:firstLineChars="0"/>
              <w:jc w:val="center"/>
            </w:pPr>
            <w:r>
              <w:rPr>
                <w:rFonts w:ascii="Times New Roman" w:hAnsi="Times New Roman" w:eastAsia="宋体"/>
                <w:b w:val="0"/>
                <w:sz w:val="18"/>
              </w:rPr>
              <w:t>1.70～2.14</w:t>
            </w:r>
          </w:p>
        </w:tc>
        <w:tc>
          <w:tcPr>
            <w:tcW w:w="1385" w:type="dxa"/>
            <w:tcMar>
              <w:left w:w="70" w:type="dxa"/>
              <w:right w:w="70" w:type="dxa"/>
            </w:tcMar>
            <w:vAlign w:val="center"/>
          </w:tcPr>
          <w:p w14:paraId="2FEEE3B1">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708D0B73">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401A25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D6A90D9">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0703D7E4">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2EF0C008">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76CFBD77">
            <w:pPr>
              <w:keepNext/>
              <w:spacing w:before="20" w:after="20" w:line="260" w:lineRule="exact"/>
              <w:ind w:left="0" w:leftChars="0" w:right="0" w:rightChars="0" w:firstLine="0" w:firstLineChars="0"/>
              <w:jc w:val="center"/>
            </w:pPr>
            <w:r>
              <w:rPr>
                <w:rFonts w:ascii="Times New Roman" w:hAnsi="Times New Roman" w:eastAsia="宋体"/>
                <w:b w:val="0"/>
                <w:sz w:val="18"/>
              </w:rPr>
              <w:t>2.25～2.81</w:t>
            </w:r>
          </w:p>
        </w:tc>
        <w:tc>
          <w:tcPr>
            <w:tcW w:w="1385" w:type="dxa"/>
            <w:tcMar>
              <w:left w:w="70" w:type="dxa"/>
              <w:right w:w="70" w:type="dxa"/>
            </w:tcMar>
            <w:vAlign w:val="center"/>
          </w:tcPr>
          <w:p w14:paraId="26C82C4C">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c>
          <w:tcPr>
            <w:tcW w:w="1385" w:type="dxa"/>
            <w:tcMar>
              <w:left w:w="70" w:type="dxa"/>
              <w:right w:w="70" w:type="dxa"/>
            </w:tcMar>
            <w:vAlign w:val="center"/>
          </w:tcPr>
          <w:p w14:paraId="49D5BF4B">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54F72C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7A3DEE2">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4AC6ADF7">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F99ECD1">
            <w:pPr>
              <w:keepNext/>
              <w:spacing w:before="20" w:after="20" w:line="260" w:lineRule="exact"/>
              <w:ind w:left="0" w:leftChars="0" w:right="0" w:rightChars="0" w:firstLine="0" w:firstLineChars="0"/>
              <w:jc w:val="center"/>
            </w:pPr>
            <w:r>
              <w:rPr>
                <w:rFonts w:ascii="Times New Roman" w:hAnsi="Times New Roman" w:eastAsia="宋体"/>
                <w:b w:val="0"/>
                <w:sz w:val="18"/>
              </w:rPr>
              <w:t>1.67～2.10</w:t>
            </w:r>
          </w:p>
        </w:tc>
        <w:tc>
          <w:tcPr>
            <w:tcW w:w="1385" w:type="dxa"/>
            <w:tcMar>
              <w:left w:w="70" w:type="dxa"/>
              <w:right w:w="70" w:type="dxa"/>
            </w:tcMar>
            <w:vAlign w:val="center"/>
          </w:tcPr>
          <w:p w14:paraId="5DC16A8B">
            <w:pPr>
              <w:keepNext/>
              <w:spacing w:before="20" w:after="20" w:line="260" w:lineRule="exact"/>
              <w:ind w:left="0" w:leftChars="0" w:right="0" w:rightChars="0" w:firstLine="0" w:firstLineChars="0"/>
              <w:jc w:val="center"/>
            </w:pPr>
            <w:r>
              <w:rPr>
                <w:rFonts w:ascii="Times New Roman" w:hAnsi="Times New Roman" w:eastAsia="宋体"/>
                <w:b w:val="0"/>
                <w:sz w:val="18"/>
              </w:rPr>
              <w:t>1.52～1.68</w:t>
            </w:r>
          </w:p>
        </w:tc>
        <w:tc>
          <w:tcPr>
            <w:tcW w:w="1385" w:type="dxa"/>
            <w:tcMar>
              <w:left w:w="70" w:type="dxa"/>
              <w:right w:w="70" w:type="dxa"/>
            </w:tcMar>
            <w:vAlign w:val="center"/>
          </w:tcPr>
          <w:p w14:paraId="491A2EBB">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c>
          <w:tcPr>
            <w:tcW w:w="1385" w:type="dxa"/>
            <w:tcMar>
              <w:left w:w="70" w:type="dxa"/>
              <w:right w:w="70" w:type="dxa"/>
            </w:tcMar>
            <w:vAlign w:val="center"/>
          </w:tcPr>
          <w:p w14:paraId="478A4227">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r>
      <w:tr w14:paraId="7A8A56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FE7F18A">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13E29930">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7FD7D22D">
            <w:pPr>
              <w:keepNext/>
              <w:spacing w:before="20" w:after="20" w:line="260" w:lineRule="exact"/>
              <w:ind w:left="0" w:leftChars="0" w:right="0" w:rightChars="0" w:firstLine="0" w:firstLineChars="0"/>
              <w:jc w:val="center"/>
            </w:pPr>
            <w:r>
              <w:rPr>
                <w:rFonts w:ascii="Times New Roman" w:hAnsi="Times New Roman" w:eastAsia="宋体"/>
                <w:b w:val="0"/>
                <w:sz w:val="18"/>
              </w:rPr>
              <w:t>1.67～2.30</w:t>
            </w:r>
          </w:p>
        </w:tc>
        <w:tc>
          <w:tcPr>
            <w:tcW w:w="1385" w:type="dxa"/>
            <w:tcMar>
              <w:left w:w="70" w:type="dxa"/>
              <w:right w:w="70" w:type="dxa"/>
            </w:tcMar>
            <w:vAlign w:val="center"/>
          </w:tcPr>
          <w:p w14:paraId="4AB0CB2C">
            <w:pPr>
              <w:keepNext/>
              <w:spacing w:before="20" w:after="20" w:line="260" w:lineRule="exact"/>
              <w:ind w:left="0" w:leftChars="0" w:right="0" w:rightChars="0" w:firstLine="0" w:firstLineChars="0"/>
              <w:jc w:val="center"/>
            </w:pPr>
            <w:r>
              <w:rPr>
                <w:rFonts w:ascii="Times New Roman" w:hAnsi="Times New Roman" w:eastAsia="宋体"/>
                <w:b w:val="0"/>
                <w:sz w:val="18"/>
              </w:rPr>
              <w:t>1.61～2.03</w:t>
            </w:r>
          </w:p>
        </w:tc>
        <w:tc>
          <w:tcPr>
            <w:tcW w:w="1385" w:type="dxa"/>
            <w:tcMar>
              <w:left w:w="70" w:type="dxa"/>
              <w:right w:w="70" w:type="dxa"/>
            </w:tcMar>
            <w:vAlign w:val="center"/>
          </w:tcPr>
          <w:p w14:paraId="28B4712F">
            <w:pPr>
              <w:keepNext/>
              <w:spacing w:before="20" w:after="20" w:line="260" w:lineRule="exact"/>
              <w:ind w:left="0" w:leftChars="0" w:right="0" w:rightChars="0" w:firstLine="0" w:firstLineChars="0"/>
              <w:jc w:val="center"/>
            </w:pPr>
            <w:r>
              <w:rPr>
                <w:rFonts w:ascii="Times New Roman" w:hAnsi="Times New Roman" w:eastAsia="宋体"/>
                <w:b w:val="0"/>
                <w:sz w:val="18"/>
              </w:rPr>
              <w:t>1.52～2.02</w:t>
            </w:r>
          </w:p>
        </w:tc>
        <w:tc>
          <w:tcPr>
            <w:tcW w:w="1385" w:type="dxa"/>
            <w:tcMar>
              <w:left w:w="70" w:type="dxa"/>
              <w:right w:w="70" w:type="dxa"/>
            </w:tcMar>
            <w:vAlign w:val="center"/>
          </w:tcPr>
          <w:p w14:paraId="30161EC7">
            <w:pPr>
              <w:keepNext/>
              <w:spacing w:before="20" w:after="20" w:line="260" w:lineRule="exact"/>
              <w:ind w:left="0" w:leftChars="0" w:right="0" w:rightChars="0" w:firstLine="0" w:firstLineChars="0"/>
              <w:jc w:val="center"/>
            </w:pPr>
            <w:r>
              <w:rPr>
                <w:rFonts w:ascii="Times New Roman" w:hAnsi="Times New Roman" w:eastAsia="宋体"/>
                <w:b w:val="0"/>
                <w:sz w:val="18"/>
              </w:rPr>
              <w:t>1.52～2.02</w:t>
            </w:r>
          </w:p>
        </w:tc>
      </w:tr>
      <w:tr w14:paraId="350CA4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51D2E8D">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0831F90D">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7030CDE5">
            <w:pPr>
              <w:keepNext/>
              <w:spacing w:before="20" w:after="20" w:line="260" w:lineRule="exact"/>
              <w:ind w:left="0" w:leftChars="0" w:right="0" w:rightChars="0" w:firstLine="0" w:firstLineChars="0"/>
              <w:jc w:val="center"/>
            </w:pPr>
            <w:r>
              <w:rPr>
                <w:rFonts w:ascii="Times New Roman" w:hAnsi="Times New Roman" w:eastAsia="宋体"/>
                <w:b w:val="0"/>
                <w:sz w:val="18"/>
              </w:rPr>
              <w:t>2.16～2.65</w:t>
            </w:r>
          </w:p>
        </w:tc>
        <w:tc>
          <w:tcPr>
            <w:tcW w:w="1385" w:type="dxa"/>
            <w:tcMar>
              <w:left w:w="70" w:type="dxa"/>
              <w:right w:w="70" w:type="dxa"/>
            </w:tcMar>
            <w:vAlign w:val="center"/>
          </w:tcPr>
          <w:p w14:paraId="53A1C8D1">
            <w:pPr>
              <w:keepNext/>
              <w:spacing w:before="20" w:after="20" w:line="260" w:lineRule="exact"/>
              <w:ind w:left="0" w:leftChars="0" w:right="0" w:rightChars="0" w:firstLine="0" w:firstLineChars="0"/>
              <w:jc w:val="center"/>
            </w:pPr>
            <w:r>
              <w:rPr>
                <w:rFonts w:ascii="Times New Roman" w:hAnsi="Times New Roman" w:eastAsia="宋体"/>
                <w:b w:val="0"/>
                <w:sz w:val="18"/>
              </w:rPr>
              <w:t>2.13～2.65</w:t>
            </w:r>
          </w:p>
        </w:tc>
        <w:tc>
          <w:tcPr>
            <w:tcW w:w="1385" w:type="dxa"/>
            <w:tcMar>
              <w:left w:w="70" w:type="dxa"/>
              <w:right w:w="70" w:type="dxa"/>
            </w:tcMar>
            <w:vAlign w:val="center"/>
          </w:tcPr>
          <w:p w14:paraId="7D3A6397">
            <w:pPr>
              <w:keepNext/>
              <w:spacing w:before="20" w:after="20" w:line="260" w:lineRule="exact"/>
              <w:ind w:left="0" w:leftChars="0" w:right="0" w:rightChars="0" w:firstLine="0" w:firstLineChars="0"/>
              <w:jc w:val="center"/>
            </w:pPr>
            <w:r>
              <w:rPr>
                <w:rFonts w:ascii="Times New Roman" w:hAnsi="Times New Roman" w:eastAsia="宋体"/>
                <w:b w:val="0"/>
                <w:sz w:val="18"/>
              </w:rPr>
              <w:t>2.01～2.54</w:t>
            </w:r>
          </w:p>
        </w:tc>
        <w:tc>
          <w:tcPr>
            <w:tcW w:w="1385" w:type="dxa"/>
            <w:tcMar>
              <w:left w:w="70" w:type="dxa"/>
              <w:right w:w="70" w:type="dxa"/>
            </w:tcMar>
            <w:vAlign w:val="center"/>
          </w:tcPr>
          <w:p w14:paraId="37A8B17A">
            <w:pPr>
              <w:keepNext/>
              <w:spacing w:before="20" w:after="20" w:line="260" w:lineRule="exact"/>
              <w:ind w:left="0" w:leftChars="0" w:right="0" w:rightChars="0" w:firstLine="0" w:firstLineChars="0"/>
              <w:jc w:val="center"/>
            </w:pPr>
            <w:r>
              <w:rPr>
                <w:rFonts w:ascii="Times New Roman" w:hAnsi="Times New Roman" w:eastAsia="宋体"/>
                <w:b w:val="0"/>
                <w:sz w:val="18"/>
              </w:rPr>
              <w:t>2.01～2.54</w:t>
            </w:r>
          </w:p>
        </w:tc>
      </w:tr>
      <w:tr w14:paraId="7C7445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C20BD61">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437150E6">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37D5853">
            <w:pPr>
              <w:keepNext/>
              <w:spacing w:before="20" w:after="20" w:line="260" w:lineRule="exact"/>
              <w:ind w:left="0" w:leftChars="0" w:right="0" w:rightChars="0" w:firstLine="0" w:firstLineChars="0"/>
              <w:jc w:val="center"/>
            </w:pPr>
            <w:r>
              <w:rPr>
                <w:rFonts w:ascii="Times New Roman" w:hAnsi="Times New Roman" w:eastAsia="宋体"/>
                <w:b w:val="0"/>
                <w:sz w:val="18"/>
              </w:rPr>
              <w:t>1.77～1.92</w:t>
            </w:r>
          </w:p>
        </w:tc>
        <w:tc>
          <w:tcPr>
            <w:tcW w:w="1385" w:type="dxa"/>
            <w:tcMar>
              <w:left w:w="70" w:type="dxa"/>
              <w:right w:w="70" w:type="dxa"/>
            </w:tcMar>
            <w:vAlign w:val="center"/>
          </w:tcPr>
          <w:p w14:paraId="41681BB3">
            <w:pPr>
              <w:keepNext/>
              <w:spacing w:before="20" w:after="20" w:line="260" w:lineRule="exact"/>
              <w:ind w:left="0" w:leftChars="0" w:right="0" w:rightChars="0" w:firstLine="0" w:firstLineChars="0"/>
              <w:jc w:val="center"/>
            </w:pPr>
            <w:r>
              <w:rPr>
                <w:rFonts w:ascii="Times New Roman" w:hAnsi="Times New Roman" w:eastAsia="宋体"/>
                <w:b w:val="0"/>
                <w:sz w:val="18"/>
              </w:rPr>
              <w:t>1.50～1.78</w:t>
            </w:r>
          </w:p>
        </w:tc>
        <w:tc>
          <w:tcPr>
            <w:tcW w:w="1385" w:type="dxa"/>
            <w:tcMar>
              <w:left w:w="70" w:type="dxa"/>
              <w:right w:w="70" w:type="dxa"/>
            </w:tcMar>
            <w:vAlign w:val="center"/>
          </w:tcPr>
          <w:p w14:paraId="7AB4BCE1">
            <w:pPr>
              <w:keepNext/>
              <w:spacing w:before="20" w:after="20" w:line="260" w:lineRule="exact"/>
              <w:ind w:left="0" w:leftChars="0" w:right="0" w:rightChars="0" w:firstLine="0" w:firstLineChars="0"/>
              <w:jc w:val="center"/>
            </w:pPr>
            <w:r>
              <w:rPr>
                <w:rFonts w:ascii="Times New Roman" w:hAnsi="Times New Roman" w:eastAsia="宋体"/>
                <w:b w:val="0"/>
                <w:sz w:val="18"/>
              </w:rPr>
              <w:t>1.47～1.51</w:t>
            </w:r>
          </w:p>
        </w:tc>
        <w:tc>
          <w:tcPr>
            <w:tcW w:w="1385" w:type="dxa"/>
            <w:tcMar>
              <w:left w:w="70" w:type="dxa"/>
              <w:right w:w="70" w:type="dxa"/>
            </w:tcMar>
            <w:vAlign w:val="center"/>
          </w:tcPr>
          <w:p w14:paraId="1AC92094">
            <w:pPr>
              <w:keepNext/>
              <w:spacing w:before="20" w:after="20" w:line="260" w:lineRule="exact"/>
              <w:ind w:left="0" w:leftChars="0" w:right="0" w:rightChars="0" w:firstLine="0" w:firstLineChars="0"/>
              <w:jc w:val="center"/>
            </w:pPr>
            <w:r>
              <w:rPr>
                <w:rFonts w:ascii="Times New Roman" w:hAnsi="Times New Roman" w:eastAsia="宋体"/>
                <w:b w:val="0"/>
                <w:sz w:val="18"/>
              </w:rPr>
              <w:t>1.36～1.48</w:t>
            </w:r>
          </w:p>
        </w:tc>
      </w:tr>
      <w:tr w14:paraId="7D4C10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A616104">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47DE9456">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B720581">
            <w:pPr>
              <w:keepNext/>
              <w:spacing w:before="20" w:after="20" w:line="260" w:lineRule="exact"/>
              <w:ind w:left="0" w:leftChars="0" w:right="0" w:rightChars="0" w:firstLine="0" w:firstLineChars="0"/>
              <w:jc w:val="center"/>
            </w:pPr>
            <w:r>
              <w:rPr>
                <w:rFonts w:ascii="Times New Roman" w:hAnsi="Times New Roman" w:eastAsia="宋体"/>
                <w:b w:val="0"/>
                <w:sz w:val="18"/>
              </w:rPr>
              <w:t>1.77～2.09</w:t>
            </w:r>
          </w:p>
        </w:tc>
        <w:tc>
          <w:tcPr>
            <w:tcW w:w="1385" w:type="dxa"/>
            <w:tcMar>
              <w:left w:w="70" w:type="dxa"/>
              <w:right w:w="70" w:type="dxa"/>
            </w:tcMar>
            <w:vAlign w:val="center"/>
          </w:tcPr>
          <w:p w14:paraId="3502FBDE">
            <w:pPr>
              <w:keepNext/>
              <w:spacing w:before="20" w:after="20" w:line="260" w:lineRule="exact"/>
              <w:ind w:left="0" w:leftChars="0" w:right="0" w:rightChars="0" w:firstLine="0" w:firstLineChars="0"/>
              <w:jc w:val="center"/>
            </w:pPr>
            <w:r>
              <w:rPr>
                <w:rFonts w:ascii="Times New Roman" w:hAnsi="Times New Roman" w:eastAsia="宋体"/>
                <w:b w:val="0"/>
                <w:sz w:val="18"/>
              </w:rPr>
              <w:t>1.50～2.09</w:t>
            </w:r>
          </w:p>
        </w:tc>
        <w:tc>
          <w:tcPr>
            <w:tcW w:w="1385" w:type="dxa"/>
            <w:tcMar>
              <w:left w:w="70" w:type="dxa"/>
              <w:right w:w="70" w:type="dxa"/>
            </w:tcMar>
            <w:vAlign w:val="center"/>
          </w:tcPr>
          <w:p w14:paraId="6079112C">
            <w:pPr>
              <w:keepNext/>
              <w:spacing w:before="20" w:after="20" w:line="260" w:lineRule="exact"/>
              <w:ind w:left="0" w:leftChars="0" w:right="0" w:rightChars="0" w:firstLine="0" w:firstLineChars="0"/>
              <w:jc w:val="center"/>
            </w:pPr>
            <w:r>
              <w:rPr>
                <w:rFonts w:ascii="Times New Roman" w:hAnsi="Times New Roman" w:eastAsia="宋体"/>
                <w:b w:val="0"/>
                <w:sz w:val="18"/>
              </w:rPr>
              <w:t>1.47～1.95</w:t>
            </w:r>
          </w:p>
        </w:tc>
        <w:tc>
          <w:tcPr>
            <w:tcW w:w="1385" w:type="dxa"/>
            <w:tcMar>
              <w:left w:w="70" w:type="dxa"/>
              <w:right w:w="70" w:type="dxa"/>
            </w:tcMar>
            <w:vAlign w:val="center"/>
          </w:tcPr>
          <w:p w14:paraId="7301DC19">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1F59B0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41CED06">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5C8D19DB">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74C5AB0">
            <w:pPr>
              <w:keepNext w:val="0"/>
              <w:spacing w:before="20" w:after="20" w:line="260" w:lineRule="exact"/>
              <w:ind w:left="0" w:leftChars="0" w:right="0" w:rightChars="0" w:firstLine="0" w:firstLineChars="0"/>
              <w:jc w:val="center"/>
            </w:pPr>
            <w:r>
              <w:rPr>
                <w:rFonts w:ascii="Times New Roman" w:hAnsi="Times New Roman" w:eastAsia="宋体"/>
                <w:b w:val="0"/>
                <w:sz w:val="18"/>
              </w:rPr>
              <w:t>2.23～2.49</w:t>
            </w:r>
          </w:p>
        </w:tc>
        <w:tc>
          <w:tcPr>
            <w:tcW w:w="1385" w:type="dxa"/>
            <w:tcMar>
              <w:left w:w="70" w:type="dxa"/>
              <w:right w:w="70" w:type="dxa"/>
            </w:tcMar>
            <w:vAlign w:val="center"/>
          </w:tcPr>
          <w:p w14:paraId="0DC07A18">
            <w:pPr>
              <w:keepNext w:val="0"/>
              <w:spacing w:before="20" w:after="20" w:line="260" w:lineRule="exact"/>
              <w:ind w:left="0" w:leftChars="0" w:right="0" w:rightChars="0" w:firstLine="0" w:firstLineChars="0"/>
              <w:jc w:val="center"/>
            </w:pPr>
            <w:r>
              <w:rPr>
                <w:rFonts w:ascii="Times New Roman" w:hAnsi="Times New Roman" w:eastAsia="宋体"/>
                <w:b w:val="0"/>
                <w:sz w:val="18"/>
              </w:rPr>
              <w:t>2.01～2.42</w:t>
            </w:r>
          </w:p>
        </w:tc>
        <w:tc>
          <w:tcPr>
            <w:tcW w:w="1385" w:type="dxa"/>
            <w:tcMar>
              <w:left w:w="70" w:type="dxa"/>
              <w:right w:w="70" w:type="dxa"/>
            </w:tcMar>
            <w:vAlign w:val="center"/>
          </w:tcPr>
          <w:p w14:paraId="1CA095B0">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040C4F66">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14:paraId="57CAB538">
      <w:pPr>
        <w:pStyle w:val="2"/>
        <w:keepNext/>
        <w:spacing w:before="120" w:after="80" w:line="280" w:lineRule="exact"/>
        <w:ind w:firstLine="0"/>
        <w:jc w:val="center"/>
      </w:pPr>
      <w:r>
        <w:rPr>
          <w:rFonts w:ascii="Times New Roman" w:hAnsi="Times New Roman" w:eastAsia="宋体"/>
          <w:b w:val="0"/>
          <w:sz w:val="21"/>
        </w:rPr>
        <w:t>表5-70 电缆长度占比(10%,30%]、负荷分散系数1.10的容载比区间矩阵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4F1F8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3C069FC4">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5B7D56BB">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0386835E">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3527C647">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713D5EB0">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18119EB9">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353605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E6E9586">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15C8429D">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0E80EEB">
            <w:pPr>
              <w:keepNext/>
              <w:spacing w:before="20" w:after="20" w:line="260" w:lineRule="exact"/>
              <w:ind w:left="0" w:leftChars="0" w:right="0" w:rightChars="0" w:firstLine="0" w:firstLineChars="0"/>
              <w:jc w:val="center"/>
            </w:pPr>
            <w:r>
              <w:rPr>
                <w:rFonts w:ascii="Times New Roman" w:hAnsi="Times New Roman" w:eastAsia="宋体"/>
                <w:b w:val="0"/>
                <w:sz w:val="18"/>
              </w:rPr>
              <w:t>1.84～2.22</w:t>
            </w:r>
          </w:p>
        </w:tc>
        <w:tc>
          <w:tcPr>
            <w:tcW w:w="1385" w:type="dxa"/>
            <w:tcMar>
              <w:left w:w="70" w:type="dxa"/>
              <w:right w:w="70" w:type="dxa"/>
            </w:tcMar>
            <w:vAlign w:val="center"/>
          </w:tcPr>
          <w:p w14:paraId="398ABE8E">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4018125E">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6AFDA3AD">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68872B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2C75673">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4D1B669">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878E826">
            <w:pPr>
              <w:keepNext/>
              <w:spacing w:before="20" w:after="20" w:line="260" w:lineRule="exact"/>
              <w:ind w:left="0" w:leftChars="0" w:right="0" w:rightChars="0" w:firstLine="0" w:firstLineChars="0"/>
              <w:jc w:val="center"/>
            </w:pPr>
            <w:r>
              <w:rPr>
                <w:rFonts w:ascii="Times New Roman" w:hAnsi="Times New Roman" w:eastAsia="宋体"/>
                <w:b w:val="0"/>
                <w:sz w:val="18"/>
              </w:rPr>
              <w:t>1.84～2.40</w:t>
            </w:r>
          </w:p>
        </w:tc>
        <w:tc>
          <w:tcPr>
            <w:tcW w:w="1385" w:type="dxa"/>
            <w:tcMar>
              <w:left w:w="70" w:type="dxa"/>
              <w:right w:w="70" w:type="dxa"/>
            </w:tcMar>
            <w:vAlign w:val="center"/>
          </w:tcPr>
          <w:p w14:paraId="5EAEF020">
            <w:pPr>
              <w:keepNext/>
              <w:spacing w:before="20" w:after="20" w:line="260" w:lineRule="exact"/>
              <w:ind w:left="0" w:leftChars="0" w:right="0" w:rightChars="0" w:firstLine="0" w:firstLineChars="0"/>
              <w:jc w:val="center"/>
            </w:pPr>
            <w:r>
              <w:rPr>
                <w:rFonts w:ascii="Times New Roman" w:hAnsi="Times New Roman" w:eastAsia="宋体"/>
                <w:b w:val="0"/>
                <w:sz w:val="18"/>
              </w:rPr>
              <w:t>1.84～2.22</w:t>
            </w:r>
          </w:p>
        </w:tc>
        <w:tc>
          <w:tcPr>
            <w:tcW w:w="1385" w:type="dxa"/>
            <w:tcMar>
              <w:left w:w="70" w:type="dxa"/>
              <w:right w:w="70" w:type="dxa"/>
            </w:tcMar>
            <w:vAlign w:val="center"/>
          </w:tcPr>
          <w:p w14:paraId="63FC53A3">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73B9AECB">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5D4458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09659C2">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13626230">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F63A5D2">
            <w:pPr>
              <w:keepNext/>
              <w:spacing w:before="20" w:after="20" w:line="260" w:lineRule="exact"/>
              <w:ind w:left="0" w:leftChars="0" w:right="0" w:rightChars="0" w:firstLine="0" w:firstLineChars="0"/>
              <w:jc w:val="center"/>
            </w:pPr>
            <w:r>
              <w:rPr>
                <w:rFonts w:ascii="Times New Roman" w:hAnsi="Times New Roman" w:eastAsia="宋体"/>
                <w:b w:val="0"/>
                <w:sz w:val="18"/>
              </w:rPr>
              <w:t>2.40～3.15</w:t>
            </w:r>
          </w:p>
        </w:tc>
        <w:tc>
          <w:tcPr>
            <w:tcW w:w="1385" w:type="dxa"/>
            <w:tcMar>
              <w:left w:w="70" w:type="dxa"/>
              <w:right w:w="70" w:type="dxa"/>
            </w:tcMar>
            <w:vAlign w:val="center"/>
          </w:tcPr>
          <w:p w14:paraId="502834AD">
            <w:pPr>
              <w:keepNext/>
              <w:spacing w:before="20" w:after="20" w:line="260" w:lineRule="exact"/>
              <w:ind w:left="0" w:leftChars="0" w:right="0" w:rightChars="0" w:firstLine="0" w:firstLineChars="0"/>
              <w:jc w:val="center"/>
            </w:pPr>
            <w:r>
              <w:rPr>
                <w:rFonts w:ascii="Times New Roman" w:hAnsi="Times New Roman" w:eastAsia="宋体"/>
                <w:b w:val="0"/>
                <w:sz w:val="18"/>
              </w:rPr>
              <w:t>2.20～2.91</w:t>
            </w:r>
          </w:p>
        </w:tc>
        <w:tc>
          <w:tcPr>
            <w:tcW w:w="1385" w:type="dxa"/>
            <w:tcMar>
              <w:left w:w="70" w:type="dxa"/>
              <w:right w:w="70" w:type="dxa"/>
            </w:tcMar>
            <w:vAlign w:val="center"/>
          </w:tcPr>
          <w:p w14:paraId="3169CB1E">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6F1E8D1D">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0DFF2E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14E27BD">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399B7BEB">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70630405">
            <w:pPr>
              <w:keepNext/>
              <w:spacing w:before="20" w:after="20" w:line="260" w:lineRule="exact"/>
              <w:ind w:left="0" w:leftChars="0" w:right="0" w:rightChars="0" w:firstLine="0" w:firstLineChars="0"/>
              <w:jc w:val="center"/>
            </w:pPr>
            <w:r>
              <w:rPr>
                <w:rFonts w:ascii="Times New Roman" w:hAnsi="Times New Roman" w:eastAsia="宋体"/>
                <w:b w:val="0"/>
                <w:sz w:val="18"/>
              </w:rPr>
              <w:t>1.88～2.23</w:t>
            </w:r>
          </w:p>
        </w:tc>
        <w:tc>
          <w:tcPr>
            <w:tcW w:w="1385" w:type="dxa"/>
            <w:tcMar>
              <w:left w:w="70" w:type="dxa"/>
              <w:right w:w="70" w:type="dxa"/>
            </w:tcMar>
            <w:vAlign w:val="center"/>
          </w:tcPr>
          <w:p w14:paraId="55A130C4">
            <w:pPr>
              <w:keepNext/>
              <w:spacing w:before="20" w:after="20" w:line="260" w:lineRule="exact"/>
              <w:ind w:left="0" w:leftChars="0" w:right="0" w:rightChars="0" w:firstLine="0" w:firstLineChars="0"/>
              <w:jc w:val="center"/>
            </w:pPr>
            <w:r>
              <w:rPr>
                <w:rFonts w:ascii="Times New Roman" w:hAnsi="Times New Roman" w:eastAsia="宋体"/>
                <w:b w:val="0"/>
                <w:sz w:val="18"/>
              </w:rPr>
              <w:t>1.70～1.89</w:t>
            </w:r>
          </w:p>
        </w:tc>
        <w:tc>
          <w:tcPr>
            <w:tcW w:w="1385" w:type="dxa"/>
            <w:tcMar>
              <w:left w:w="70" w:type="dxa"/>
              <w:right w:w="70" w:type="dxa"/>
            </w:tcMar>
            <w:vAlign w:val="center"/>
          </w:tcPr>
          <w:p w14:paraId="355A8578">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c>
          <w:tcPr>
            <w:tcW w:w="1385" w:type="dxa"/>
            <w:tcMar>
              <w:left w:w="70" w:type="dxa"/>
              <w:right w:w="70" w:type="dxa"/>
            </w:tcMar>
            <w:vAlign w:val="center"/>
          </w:tcPr>
          <w:p w14:paraId="58669925">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r>
      <w:tr w14:paraId="4F4AC3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4218D9">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14F7AB07">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B9D9901">
            <w:pPr>
              <w:keepNext/>
              <w:spacing w:before="20" w:after="20" w:line="260" w:lineRule="exact"/>
              <w:ind w:left="0" w:leftChars="0" w:right="0" w:rightChars="0" w:firstLine="0" w:firstLineChars="0"/>
              <w:jc w:val="center"/>
            </w:pPr>
            <w:r>
              <w:rPr>
                <w:rFonts w:ascii="Times New Roman" w:hAnsi="Times New Roman" w:eastAsia="宋体"/>
                <w:b w:val="0"/>
                <w:sz w:val="18"/>
              </w:rPr>
              <w:t>1.88～2.43</w:t>
            </w:r>
          </w:p>
        </w:tc>
        <w:tc>
          <w:tcPr>
            <w:tcW w:w="1385" w:type="dxa"/>
            <w:tcMar>
              <w:left w:w="70" w:type="dxa"/>
              <w:right w:w="70" w:type="dxa"/>
            </w:tcMar>
            <w:vAlign w:val="center"/>
          </w:tcPr>
          <w:p w14:paraId="626065EC">
            <w:pPr>
              <w:keepNext/>
              <w:spacing w:before="20" w:after="20" w:line="260" w:lineRule="exact"/>
              <w:ind w:left="0" w:leftChars="0" w:right="0" w:rightChars="0" w:firstLine="0" w:firstLineChars="0"/>
              <w:jc w:val="center"/>
            </w:pPr>
            <w:r>
              <w:rPr>
                <w:rFonts w:ascii="Times New Roman" w:hAnsi="Times New Roman" w:eastAsia="宋体"/>
                <w:b w:val="0"/>
                <w:sz w:val="18"/>
              </w:rPr>
              <w:t>1.70～2.15</w:t>
            </w:r>
          </w:p>
        </w:tc>
        <w:tc>
          <w:tcPr>
            <w:tcW w:w="1385" w:type="dxa"/>
            <w:tcMar>
              <w:left w:w="70" w:type="dxa"/>
              <w:right w:w="70" w:type="dxa"/>
            </w:tcMar>
            <w:vAlign w:val="center"/>
          </w:tcPr>
          <w:p w14:paraId="368821BD">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61CB86E7">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566DFA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A86A705">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40DEC1BE">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684DCBE">
            <w:pPr>
              <w:keepNext/>
              <w:spacing w:before="20" w:after="20" w:line="260" w:lineRule="exact"/>
              <w:ind w:left="0" w:leftChars="0" w:right="0" w:rightChars="0" w:firstLine="0" w:firstLineChars="0"/>
              <w:jc w:val="center"/>
            </w:pPr>
            <w:r>
              <w:rPr>
                <w:rFonts w:ascii="Times New Roman" w:hAnsi="Times New Roman" w:eastAsia="宋体"/>
                <w:b w:val="0"/>
                <w:sz w:val="18"/>
              </w:rPr>
              <w:t>2.34～2.92</w:t>
            </w:r>
          </w:p>
        </w:tc>
        <w:tc>
          <w:tcPr>
            <w:tcW w:w="1385" w:type="dxa"/>
            <w:tcMar>
              <w:left w:w="70" w:type="dxa"/>
              <w:right w:w="70" w:type="dxa"/>
            </w:tcMar>
            <w:vAlign w:val="center"/>
          </w:tcPr>
          <w:p w14:paraId="41739005">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082DD18C">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c>
          <w:tcPr>
            <w:tcW w:w="1385" w:type="dxa"/>
            <w:tcMar>
              <w:left w:w="70" w:type="dxa"/>
              <w:right w:w="70" w:type="dxa"/>
            </w:tcMar>
            <w:vAlign w:val="center"/>
          </w:tcPr>
          <w:p w14:paraId="0E777CA6">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4BCD4F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028738C">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67BDCDA">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856388E">
            <w:pPr>
              <w:keepNext/>
              <w:spacing w:before="20" w:after="20" w:line="260" w:lineRule="exact"/>
              <w:ind w:left="0" w:leftChars="0" w:right="0" w:rightChars="0" w:firstLine="0" w:firstLineChars="0"/>
              <w:jc w:val="center"/>
            </w:pPr>
            <w:r>
              <w:rPr>
                <w:rFonts w:ascii="Times New Roman" w:hAnsi="Times New Roman" w:eastAsia="宋体"/>
                <w:b w:val="0"/>
                <w:sz w:val="18"/>
              </w:rPr>
              <w:t>1.98～2.10</w:t>
            </w:r>
          </w:p>
        </w:tc>
        <w:tc>
          <w:tcPr>
            <w:tcW w:w="1385" w:type="dxa"/>
            <w:tcMar>
              <w:left w:w="70" w:type="dxa"/>
              <w:right w:w="70" w:type="dxa"/>
            </w:tcMar>
            <w:vAlign w:val="center"/>
          </w:tcPr>
          <w:p w14:paraId="64BAB589">
            <w:pPr>
              <w:keepNext/>
              <w:spacing w:before="20" w:after="20" w:line="260" w:lineRule="exact"/>
              <w:ind w:left="0" w:leftChars="0" w:right="0" w:rightChars="0" w:firstLine="0" w:firstLineChars="0"/>
              <w:jc w:val="center"/>
            </w:pPr>
            <w:r>
              <w:rPr>
                <w:rFonts w:ascii="Times New Roman" w:hAnsi="Times New Roman" w:eastAsia="宋体"/>
                <w:b w:val="0"/>
                <w:sz w:val="18"/>
              </w:rPr>
              <w:t>1.67～1.84</w:t>
            </w:r>
          </w:p>
        </w:tc>
        <w:tc>
          <w:tcPr>
            <w:tcW w:w="1385" w:type="dxa"/>
            <w:tcMar>
              <w:left w:w="70" w:type="dxa"/>
              <w:right w:w="70" w:type="dxa"/>
            </w:tcMar>
            <w:vAlign w:val="center"/>
          </w:tcPr>
          <w:p w14:paraId="033D8618">
            <w:pPr>
              <w:keepNext/>
              <w:spacing w:before="20" w:after="20" w:line="260" w:lineRule="exact"/>
              <w:ind w:left="0" w:leftChars="0" w:right="0" w:rightChars="0" w:firstLine="0" w:firstLineChars="0"/>
              <w:jc w:val="center"/>
            </w:pPr>
            <w:r>
              <w:rPr>
                <w:rFonts w:ascii="Times New Roman" w:hAnsi="Times New Roman" w:eastAsia="宋体"/>
                <w:b w:val="0"/>
                <w:sz w:val="18"/>
              </w:rPr>
              <w:t>1.52～1.68</w:t>
            </w:r>
          </w:p>
        </w:tc>
        <w:tc>
          <w:tcPr>
            <w:tcW w:w="1385" w:type="dxa"/>
            <w:tcMar>
              <w:left w:w="70" w:type="dxa"/>
              <w:right w:w="70" w:type="dxa"/>
            </w:tcMar>
            <w:vAlign w:val="center"/>
          </w:tcPr>
          <w:p w14:paraId="7FE3FB3F">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r>
      <w:tr w14:paraId="2744F1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A008029">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106EC2C6">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51C8C4D">
            <w:pPr>
              <w:keepNext/>
              <w:spacing w:before="20" w:after="20" w:line="260" w:lineRule="exact"/>
              <w:ind w:left="0" w:leftChars="0" w:right="0" w:rightChars="0" w:firstLine="0" w:firstLineChars="0"/>
              <w:jc w:val="center"/>
            </w:pPr>
            <w:r>
              <w:rPr>
                <w:rFonts w:ascii="Times New Roman" w:hAnsi="Times New Roman" w:eastAsia="宋体"/>
                <w:b w:val="0"/>
                <w:sz w:val="18"/>
              </w:rPr>
              <w:t>1.98～2.30</w:t>
            </w:r>
          </w:p>
        </w:tc>
        <w:tc>
          <w:tcPr>
            <w:tcW w:w="1385" w:type="dxa"/>
            <w:tcMar>
              <w:left w:w="70" w:type="dxa"/>
              <w:right w:w="70" w:type="dxa"/>
            </w:tcMar>
            <w:vAlign w:val="center"/>
          </w:tcPr>
          <w:p w14:paraId="1C0BAA51">
            <w:pPr>
              <w:keepNext/>
              <w:spacing w:before="20" w:after="20" w:line="260" w:lineRule="exact"/>
              <w:ind w:left="0" w:leftChars="0" w:right="0" w:rightChars="0" w:firstLine="0" w:firstLineChars="0"/>
              <w:jc w:val="center"/>
            </w:pPr>
            <w:r>
              <w:rPr>
                <w:rFonts w:ascii="Times New Roman" w:hAnsi="Times New Roman" w:eastAsia="宋体"/>
                <w:b w:val="0"/>
                <w:sz w:val="18"/>
              </w:rPr>
              <w:t>1.67～2.17</w:t>
            </w:r>
          </w:p>
        </w:tc>
        <w:tc>
          <w:tcPr>
            <w:tcW w:w="1385" w:type="dxa"/>
            <w:tcMar>
              <w:left w:w="70" w:type="dxa"/>
              <w:right w:w="70" w:type="dxa"/>
            </w:tcMar>
            <w:vAlign w:val="center"/>
          </w:tcPr>
          <w:p w14:paraId="7AC842CB">
            <w:pPr>
              <w:keepNext/>
              <w:spacing w:before="20" w:after="20" w:line="260" w:lineRule="exact"/>
              <w:ind w:left="0" w:leftChars="0" w:right="0" w:rightChars="0" w:firstLine="0" w:firstLineChars="0"/>
              <w:jc w:val="center"/>
            </w:pPr>
            <w:r>
              <w:rPr>
                <w:rFonts w:ascii="Times New Roman" w:hAnsi="Times New Roman" w:eastAsia="宋体"/>
                <w:b w:val="0"/>
                <w:sz w:val="18"/>
              </w:rPr>
              <w:t>1.52～2.03</w:t>
            </w:r>
          </w:p>
        </w:tc>
        <w:tc>
          <w:tcPr>
            <w:tcW w:w="1385" w:type="dxa"/>
            <w:tcMar>
              <w:left w:w="70" w:type="dxa"/>
              <w:right w:w="70" w:type="dxa"/>
            </w:tcMar>
            <w:vAlign w:val="center"/>
          </w:tcPr>
          <w:p w14:paraId="2636D645">
            <w:pPr>
              <w:keepNext/>
              <w:spacing w:before="20" w:after="20" w:line="260" w:lineRule="exact"/>
              <w:ind w:left="0" w:leftChars="0" w:right="0" w:rightChars="0" w:firstLine="0" w:firstLineChars="0"/>
              <w:jc w:val="center"/>
            </w:pPr>
            <w:r>
              <w:rPr>
                <w:rFonts w:ascii="Times New Roman" w:hAnsi="Times New Roman" w:eastAsia="宋体"/>
                <w:b w:val="0"/>
                <w:sz w:val="18"/>
              </w:rPr>
              <w:t>1.52～2.02</w:t>
            </w:r>
          </w:p>
        </w:tc>
      </w:tr>
      <w:tr w14:paraId="05CA73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EED8779">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0A2C7EEF">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0DFE9582">
            <w:pPr>
              <w:keepNext/>
              <w:spacing w:before="20" w:after="20" w:line="260" w:lineRule="exact"/>
              <w:ind w:left="0" w:leftChars="0" w:right="0" w:rightChars="0" w:firstLine="0" w:firstLineChars="0"/>
              <w:jc w:val="center"/>
            </w:pPr>
            <w:r>
              <w:rPr>
                <w:rFonts w:ascii="Times New Roman" w:hAnsi="Times New Roman" w:eastAsia="宋体"/>
                <w:b w:val="0"/>
                <w:sz w:val="18"/>
              </w:rPr>
              <w:t>2.29～2.65</w:t>
            </w:r>
          </w:p>
        </w:tc>
        <w:tc>
          <w:tcPr>
            <w:tcW w:w="1385" w:type="dxa"/>
            <w:tcMar>
              <w:left w:w="70" w:type="dxa"/>
              <w:right w:w="70" w:type="dxa"/>
            </w:tcMar>
            <w:vAlign w:val="center"/>
          </w:tcPr>
          <w:p w14:paraId="023B0723">
            <w:pPr>
              <w:keepNext/>
              <w:spacing w:before="20" w:after="20" w:line="260" w:lineRule="exact"/>
              <w:ind w:left="0" w:leftChars="0" w:right="0" w:rightChars="0" w:firstLine="0" w:firstLineChars="0"/>
              <w:jc w:val="center"/>
            </w:pPr>
            <w:r>
              <w:rPr>
                <w:rFonts w:ascii="Times New Roman" w:hAnsi="Times New Roman" w:eastAsia="宋体"/>
                <w:b w:val="0"/>
                <w:sz w:val="18"/>
              </w:rPr>
              <w:t>2.13～2.65</w:t>
            </w:r>
          </w:p>
        </w:tc>
        <w:tc>
          <w:tcPr>
            <w:tcW w:w="1385" w:type="dxa"/>
            <w:tcMar>
              <w:left w:w="70" w:type="dxa"/>
              <w:right w:w="70" w:type="dxa"/>
            </w:tcMar>
            <w:vAlign w:val="center"/>
          </w:tcPr>
          <w:p w14:paraId="4071B19F">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c>
          <w:tcPr>
            <w:tcW w:w="1385" w:type="dxa"/>
            <w:tcMar>
              <w:left w:w="70" w:type="dxa"/>
              <w:right w:w="70" w:type="dxa"/>
            </w:tcMar>
            <w:vAlign w:val="center"/>
          </w:tcPr>
          <w:p w14:paraId="7EE22D27">
            <w:pPr>
              <w:keepNext/>
              <w:spacing w:before="20" w:after="20" w:line="260" w:lineRule="exact"/>
              <w:ind w:left="0" w:leftChars="0" w:right="0" w:rightChars="0" w:firstLine="0" w:firstLineChars="0"/>
              <w:jc w:val="center"/>
            </w:pPr>
            <w:r>
              <w:rPr>
                <w:rFonts w:ascii="Times New Roman" w:hAnsi="Times New Roman" w:eastAsia="宋体"/>
                <w:b w:val="0"/>
                <w:sz w:val="18"/>
              </w:rPr>
              <w:t>2.01～2.54</w:t>
            </w:r>
          </w:p>
        </w:tc>
      </w:tr>
      <w:tr w14:paraId="2D2024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9BB96A2">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1BFBB13B">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8B29721">
            <w:pPr>
              <w:keepNext/>
              <w:spacing w:before="20" w:after="20" w:line="260" w:lineRule="exact"/>
              <w:ind w:left="0" w:leftChars="0" w:right="0" w:rightChars="0" w:firstLine="0" w:firstLineChars="0"/>
              <w:jc w:val="center"/>
            </w:pPr>
            <w:r>
              <w:rPr>
                <w:rFonts w:ascii="Times New Roman" w:hAnsi="Times New Roman" w:eastAsia="宋体"/>
                <w:b w:val="0"/>
                <w:sz w:val="18"/>
              </w:rPr>
              <w:t>1.91～1.92</w:t>
            </w:r>
          </w:p>
        </w:tc>
        <w:tc>
          <w:tcPr>
            <w:tcW w:w="1385" w:type="dxa"/>
            <w:tcMar>
              <w:left w:w="70" w:type="dxa"/>
              <w:right w:w="70" w:type="dxa"/>
            </w:tcMar>
            <w:vAlign w:val="center"/>
          </w:tcPr>
          <w:p w14:paraId="33E4F957">
            <w:pPr>
              <w:keepNext/>
              <w:spacing w:before="20" w:after="20" w:line="260" w:lineRule="exact"/>
              <w:ind w:left="0" w:leftChars="0" w:right="0" w:rightChars="0" w:firstLine="0" w:firstLineChars="0"/>
              <w:jc w:val="center"/>
            </w:pPr>
            <w:r>
              <w:rPr>
                <w:rFonts w:ascii="Times New Roman" w:hAnsi="Times New Roman" w:eastAsia="宋体"/>
                <w:b w:val="0"/>
                <w:sz w:val="18"/>
              </w:rPr>
              <w:t>1.76～1.92</w:t>
            </w:r>
          </w:p>
        </w:tc>
        <w:tc>
          <w:tcPr>
            <w:tcW w:w="1385" w:type="dxa"/>
            <w:tcMar>
              <w:left w:w="70" w:type="dxa"/>
              <w:right w:w="70" w:type="dxa"/>
            </w:tcMar>
            <w:vAlign w:val="center"/>
          </w:tcPr>
          <w:p w14:paraId="1141B3F5">
            <w:pPr>
              <w:keepNext/>
              <w:spacing w:before="20" w:after="20" w:line="260" w:lineRule="exact"/>
              <w:ind w:left="0" w:leftChars="0" w:right="0" w:rightChars="0" w:firstLine="0" w:firstLineChars="0"/>
              <w:jc w:val="center"/>
            </w:pPr>
            <w:r>
              <w:rPr>
                <w:rFonts w:ascii="Times New Roman" w:hAnsi="Times New Roman" w:eastAsia="宋体"/>
                <w:b w:val="0"/>
                <w:sz w:val="18"/>
              </w:rPr>
              <w:t>1.50～1.64</w:t>
            </w:r>
          </w:p>
        </w:tc>
        <w:tc>
          <w:tcPr>
            <w:tcW w:w="1385" w:type="dxa"/>
            <w:tcMar>
              <w:left w:w="70" w:type="dxa"/>
              <w:right w:w="70" w:type="dxa"/>
            </w:tcMar>
            <w:vAlign w:val="center"/>
          </w:tcPr>
          <w:p w14:paraId="6D1D411B">
            <w:pPr>
              <w:keepNext/>
              <w:spacing w:before="20" w:after="20" w:line="260" w:lineRule="exact"/>
              <w:ind w:left="0" w:leftChars="0" w:right="0" w:rightChars="0" w:firstLine="0" w:firstLineChars="0"/>
              <w:jc w:val="center"/>
            </w:pPr>
            <w:r>
              <w:rPr>
                <w:rFonts w:ascii="Times New Roman" w:hAnsi="Times New Roman" w:eastAsia="宋体"/>
                <w:b w:val="0"/>
                <w:sz w:val="18"/>
              </w:rPr>
              <w:t>1.36～1.51</w:t>
            </w:r>
          </w:p>
        </w:tc>
      </w:tr>
      <w:tr w14:paraId="326296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DEAF353">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2CE5A63C">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3D430558">
            <w:pPr>
              <w:keepNext/>
              <w:spacing w:before="20" w:after="20" w:line="260" w:lineRule="exact"/>
              <w:ind w:left="0" w:leftChars="0" w:right="0" w:rightChars="0" w:firstLine="0" w:firstLineChars="0"/>
              <w:jc w:val="center"/>
            </w:pPr>
            <w:r>
              <w:rPr>
                <w:rFonts w:ascii="Times New Roman" w:hAnsi="Times New Roman" w:eastAsia="宋体"/>
                <w:b w:val="0"/>
                <w:sz w:val="18"/>
              </w:rPr>
              <w:t>1.91～2.09</w:t>
            </w:r>
          </w:p>
        </w:tc>
        <w:tc>
          <w:tcPr>
            <w:tcW w:w="1385" w:type="dxa"/>
            <w:tcMar>
              <w:left w:w="70" w:type="dxa"/>
              <w:right w:w="70" w:type="dxa"/>
            </w:tcMar>
            <w:vAlign w:val="center"/>
          </w:tcPr>
          <w:p w14:paraId="02765F07">
            <w:pPr>
              <w:keepNext/>
              <w:spacing w:before="20" w:after="20" w:line="260" w:lineRule="exact"/>
              <w:ind w:left="0" w:leftChars="0" w:right="0" w:rightChars="0" w:firstLine="0" w:firstLineChars="0"/>
              <w:jc w:val="center"/>
            </w:pPr>
            <w:r>
              <w:rPr>
                <w:rFonts w:ascii="Times New Roman" w:hAnsi="Times New Roman" w:eastAsia="宋体"/>
                <w:b w:val="0"/>
                <w:sz w:val="18"/>
              </w:rPr>
              <w:t>1.76～2.09</w:t>
            </w:r>
          </w:p>
        </w:tc>
        <w:tc>
          <w:tcPr>
            <w:tcW w:w="1385" w:type="dxa"/>
            <w:tcMar>
              <w:left w:w="70" w:type="dxa"/>
              <w:right w:w="70" w:type="dxa"/>
            </w:tcMar>
            <w:vAlign w:val="center"/>
          </w:tcPr>
          <w:p w14:paraId="4D13BAD0">
            <w:pPr>
              <w:keepNext/>
              <w:spacing w:before="20" w:after="20" w:line="260" w:lineRule="exact"/>
              <w:ind w:left="0" w:leftChars="0" w:right="0" w:rightChars="0" w:firstLine="0" w:firstLineChars="0"/>
              <w:jc w:val="center"/>
            </w:pPr>
            <w:r>
              <w:rPr>
                <w:rFonts w:ascii="Times New Roman" w:hAnsi="Times New Roman" w:eastAsia="宋体"/>
                <w:b w:val="0"/>
                <w:sz w:val="18"/>
              </w:rPr>
              <w:t>1.50～1.95</w:t>
            </w:r>
          </w:p>
        </w:tc>
        <w:tc>
          <w:tcPr>
            <w:tcW w:w="1385" w:type="dxa"/>
            <w:tcMar>
              <w:left w:w="70" w:type="dxa"/>
              <w:right w:w="70" w:type="dxa"/>
            </w:tcMar>
            <w:vAlign w:val="center"/>
          </w:tcPr>
          <w:p w14:paraId="1F770FF2">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5F54D7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A41E837">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6535E944">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4DEFBDE">
            <w:pPr>
              <w:keepNext w:val="0"/>
              <w:spacing w:before="20" w:after="20" w:line="260" w:lineRule="exact"/>
              <w:ind w:left="0" w:leftChars="0" w:right="0" w:rightChars="0" w:firstLine="0" w:firstLineChars="0"/>
              <w:jc w:val="center"/>
            </w:pPr>
            <w:r>
              <w:rPr>
                <w:rFonts w:ascii="Times New Roman" w:hAnsi="Times New Roman" w:eastAsia="宋体"/>
                <w:b w:val="0"/>
                <w:sz w:val="18"/>
              </w:rPr>
              <w:t>2.23～2.49</w:t>
            </w:r>
          </w:p>
        </w:tc>
        <w:tc>
          <w:tcPr>
            <w:tcW w:w="1385" w:type="dxa"/>
            <w:tcMar>
              <w:left w:w="70" w:type="dxa"/>
              <w:right w:w="70" w:type="dxa"/>
            </w:tcMar>
            <w:vAlign w:val="center"/>
          </w:tcPr>
          <w:p w14:paraId="3E01382E">
            <w:pPr>
              <w:keepNext w:val="0"/>
              <w:spacing w:before="20" w:after="20" w:line="260" w:lineRule="exact"/>
              <w:ind w:left="0" w:leftChars="0" w:right="0" w:rightChars="0" w:firstLine="0" w:firstLineChars="0"/>
              <w:jc w:val="center"/>
            </w:pPr>
            <w:r>
              <w:rPr>
                <w:rFonts w:ascii="Times New Roman" w:hAnsi="Times New Roman" w:eastAsia="宋体"/>
                <w:b w:val="0"/>
                <w:sz w:val="18"/>
              </w:rPr>
              <w:t>2.08～2.49</w:t>
            </w:r>
          </w:p>
        </w:tc>
        <w:tc>
          <w:tcPr>
            <w:tcW w:w="1385" w:type="dxa"/>
            <w:tcMar>
              <w:left w:w="70" w:type="dxa"/>
              <w:right w:w="70" w:type="dxa"/>
            </w:tcMar>
            <w:vAlign w:val="center"/>
          </w:tcPr>
          <w:p w14:paraId="6267BA46">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2B1354A9">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14:paraId="30BBE32C">
      <w:pPr>
        <w:pStyle w:val="2"/>
        <w:keepNext/>
        <w:spacing w:before="120" w:after="80" w:line="280" w:lineRule="exact"/>
        <w:ind w:firstLine="0"/>
        <w:jc w:val="center"/>
      </w:pPr>
      <w:r>
        <w:rPr>
          <w:rFonts w:ascii="Times New Roman" w:hAnsi="Times New Roman" w:eastAsia="宋体"/>
          <w:b w:val="0"/>
          <w:sz w:val="21"/>
        </w:rPr>
        <w:t>表5-71 电缆长度占比(10%,30%]、负荷分散系数1.15的容载比区间矩阵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4260A4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67927CCE">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42FECAF8">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0DE93502">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254BBA58">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21B65BFF">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251F003D">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669DDD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9C4AC44">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109D0BFF">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6A63A54A">
            <w:pPr>
              <w:keepNext/>
              <w:spacing w:before="20" w:after="20" w:line="260" w:lineRule="exact"/>
              <w:ind w:left="0" w:leftChars="0" w:right="0" w:rightChars="0" w:firstLine="0" w:firstLineChars="0"/>
              <w:jc w:val="center"/>
            </w:pPr>
            <w:r>
              <w:rPr>
                <w:rFonts w:ascii="Times New Roman" w:hAnsi="Times New Roman" w:eastAsia="宋体"/>
                <w:b w:val="0"/>
                <w:sz w:val="18"/>
              </w:rPr>
              <w:t>2.00～2.40</w:t>
            </w:r>
          </w:p>
        </w:tc>
        <w:tc>
          <w:tcPr>
            <w:tcW w:w="1385" w:type="dxa"/>
            <w:tcMar>
              <w:left w:w="70" w:type="dxa"/>
              <w:right w:w="70" w:type="dxa"/>
            </w:tcMar>
            <w:vAlign w:val="center"/>
          </w:tcPr>
          <w:p w14:paraId="760FBAFC">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209BDAAD">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5955D34E">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7A4097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DD4ABD0">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408F2AA">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F5410C9">
            <w:pPr>
              <w:keepNext/>
              <w:spacing w:before="20" w:after="20" w:line="260" w:lineRule="exact"/>
              <w:ind w:left="0" w:leftChars="0" w:right="0" w:rightChars="0" w:firstLine="0" w:firstLineChars="0"/>
              <w:jc w:val="center"/>
            </w:pPr>
            <w:r>
              <w:rPr>
                <w:rFonts w:ascii="Times New Roman" w:hAnsi="Times New Roman" w:eastAsia="宋体"/>
                <w:b w:val="0"/>
                <w:sz w:val="18"/>
              </w:rPr>
              <w:t>2.00～2.40</w:t>
            </w:r>
          </w:p>
        </w:tc>
        <w:tc>
          <w:tcPr>
            <w:tcW w:w="1385" w:type="dxa"/>
            <w:tcMar>
              <w:left w:w="70" w:type="dxa"/>
              <w:right w:w="70" w:type="dxa"/>
            </w:tcMar>
            <w:vAlign w:val="center"/>
          </w:tcPr>
          <w:p w14:paraId="503F9241">
            <w:pPr>
              <w:keepNext/>
              <w:spacing w:before="20" w:after="20" w:line="260" w:lineRule="exact"/>
              <w:ind w:left="0" w:leftChars="0" w:right="0" w:rightChars="0" w:firstLine="0" w:firstLineChars="0"/>
              <w:jc w:val="center"/>
            </w:pPr>
            <w:r>
              <w:rPr>
                <w:rFonts w:ascii="Times New Roman" w:hAnsi="Times New Roman" w:eastAsia="宋体"/>
                <w:b w:val="0"/>
                <w:sz w:val="18"/>
              </w:rPr>
              <w:t>1.84～2.22</w:t>
            </w:r>
          </w:p>
        </w:tc>
        <w:tc>
          <w:tcPr>
            <w:tcW w:w="1385" w:type="dxa"/>
            <w:tcMar>
              <w:left w:w="70" w:type="dxa"/>
              <w:right w:w="70" w:type="dxa"/>
            </w:tcMar>
            <w:vAlign w:val="center"/>
          </w:tcPr>
          <w:p w14:paraId="0DADDEEB">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091B95D4">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1CBDA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944EBBA">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438CCB74">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AD97F0B">
            <w:pPr>
              <w:keepNext/>
              <w:spacing w:before="20" w:after="20" w:line="260" w:lineRule="exact"/>
              <w:ind w:left="0" w:leftChars="0" w:right="0" w:rightChars="0" w:firstLine="0" w:firstLineChars="0"/>
              <w:jc w:val="center"/>
            </w:pPr>
            <w:r>
              <w:rPr>
                <w:rFonts w:ascii="Times New Roman" w:hAnsi="Times New Roman" w:eastAsia="宋体"/>
                <w:b w:val="0"/>
                <w:sz w:val="18"/>
              </w:rPr>
              <w:t>2.40～3.15</w:t>
            </w:r>
          </w:p>
        </w:tc>
        <w:tc>
          <w:tcPr>
            <w:tcW w:w="1385" w:type="dxa"/>
            <w:tcMar>
              <w:left w:w="70" w:type="dxa"/>
              <w:right w:w="70" w:type="dxa"/>
            </w:tcMar>
            <w:vAlign w:val="center"/>
          </w:tcPr>
          <w:p w14:paraId="4FE5D166">
            <w:pPr>
              <w:keepNext/>
              <w:spacing w:before="20" w:after="20" w:line="260" w:lineRule="exact"/>
              <w:ind w:left="0" w:leftChars="0" w:right="0" w:rightChars="0" w:firstLine="0" w:firstLineChars="0"/>
              <w:jc w:val="center"/>
            </w:pPr>
            <w:r>
              <w:rPr>
                <w:rFonts w:ascii="Times New Roman" w:hAnsi="Times New Roman" w:eastAsia="宋体"/>
                <w:b w:val="0"/>
                <w:sz w:val="18"/>
              </w:rPr>
              <w:t>2.20～2.91</w:t>
            </w:r>
          </w:p>
        </w:tc>
        <w:tc>
          <w:tcPr>
            <w:tcW w:w="1385" w:type="dxa"/>
            <w:tcMar>
              <w:left w:w="70" w:type="dxa"/>
              <w:right w:w="70" w:type="dxa"/>
            </w:tcMar>
            <w:vAlign w:val="center"/>
          </w:tcPr>
          <w:p w14:paraId="0D40C8B2">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10C65367">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578E96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1DA9CB9">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60B3EDBC">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6BCC3B13">
            <w:pPr>
              <w:keepNext/>
              <w:spacing w:before="20" w:after="20" w:line="260" w:lineRule="exact"/>
              <w:ind w:left="0" w:leftChars="0" w:right="0" w:rightChars="0" w:firstLine="0" w:firstLineChars="0"/>
              <w:jc w:val="center"/>
            </w:pPr>
            <w:r>
              <w:rPr>
                <w:rFonts w:ascii="Times New Roman" w:hAnsi="Times New Roman" w:eastAsia="宋体"/>
                <w:b w:val="0"/>
                <w:sz w:val="18"/>
              </w:rPr>
              <w:t>1.95～2.32</w:t>
            </w:r>
          </w:p>
        </w:tc>
        <w:tc>
          <w:tcPr>
            <w:tcW w:w="1385" w:type="dxa"/>
            <w:tcMar>
              <w:left w:w="70" w:type="dxa"/>
              <w:right w:w="70" w:type="dxa"/>
            </w:tcMar>
            <w:vAlign w:val="center"/>
          </w:tcPr>
          <w:p w14:paraId="79E6F793">
            <w:pPr>
              <w:keepNext/>
              <w:spacing w:before="20" w:after="20" w:line="260" w:lineRule="exact"/>
              <w:ind w:left="0" w:leftChars="0" w:right="0" w:rightChars="0" w:firstLine="0" w:firstLineChars="0"/>
              <w:jc w:val="center"/>
            </w:pPr>
            <w:r>
              <w:rPr>
                <w:rFonts w:ascii="Times New Roman" w:hAnsi="Times New Roman" w:eastAsia="宋体"/>
                <w:b w:val="0"/>
                <w:sz w:val="18"/>
              </w:rPr>
              <w:t>1.77～1.96</w:t>
            </w:r>
          </w:p>
        </w:tc>
        <w:tc>
          <w:tcPr>
            <w:tcW w:w="1385" w:type="dxa"/>
            <w:tcMar>
              <w:left w:w="70" w:type="dxa"/>
              <w:right w:w="70" w:type="dxa"/>
            </w:tcMar>
            <w:vAlign w:val="center"/>
          </w:tcPr>
          <w:p w14:paraId="6F2CE19F">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c>
          <w:tcPr>
            <w:tcW w:w="1385" w:type="dxa"/>
            <w:tcMar>
              <w:left w:w="70" w:type="dxa"/>
              <w:right w:w="70" w:type="dxa"/>
            </w:tcMar>
            <w:vAlign w:val="center"/>
          </w:tcPr>
          <w:p w14:paraId="5B0E2BAB">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r>
      <w:tr w14:paraId="346B2B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888DEC3">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1F63E25E">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AD8CB47">
            <w:pPr>
              <w:keepNext/>
              <w:spacing w:before="20" w:after="20" w:line="260" w:lineRule="exact"/>
              <w:ind w:left="0" w:leftChars="0" w:right="0" w:rightChars="0" w:firstLine="0" w:firstLineChars="0"/>
              <w:jc w:val="center"/>
            </w:pPr>
            <w:r>
              <w:rPr>
                <w:rFonts w:ascii="Times New Roman" w:hAnsi="Times New Roman" w:eastAsia="宋体"/>
                <w:b w:val="0"/>
                <w:sz w:val="18"/>
              </w:rPr>
              <w:t>1.95～2.43</w:t>
            </w:r>
          </w:p>
        </w:tc>
        <w:tc>
          <w:tcPr>
            <w:tcW w:w="1385" w:type="dxa"/>
            <w:tcMar>
              <w:left w:w="70" w:type="dxa"/>
              <w:right w:w="70" w:type="dxa"/>
            </w:tcMar>
            <w:vAlign w:val="center"/>
          </w:tcPr>
          <w:p w14:paraId="2380AD92">
            <w:pPr>
              <w:keepNext/>
              <w:spacing w:before="20" w:after="20" w:line="260" w:lineRule="exact"/>
              <w:ind w:left="0" w:leftChars="0" w:right="0" w:rightChars="0" w:firstLine="0" w:firstLineChars="0"/>
              <w:jc w:val="center"/>
            </w:pPr>
            <w:r>
              <w:rPr>
                <w:rFonts w:ascii="Times New Roman" w:hAnsi="Times New Roman" w:eastAsia="宋体"/>
                <w:b w:val="0"/>
                <w:sz w:val="18"/>
              </w:rPr>
              <w:t>1.77～2.15</w:t>
            </w:r>
          </w:p>
        </w:tc>
        <w:tc>
          <w:tcPr>
            <w:tcW w:w="1385" w:type="dxa"/>
            <w:tcMar>
              <w:left w:w="70" w:type="dxa"/>
              <w:right w:w="70" w:type="dxa"/>
            </w:tcMar>
            <w:vAlign w:val="center"/>
          </w:tcPr>
          <w:p w14:paraId="37ACD473">
            <w:pPr>
              <w:keepNext/>
              <w:spacing w:before="20" w:after="20" w:line="260" w:lineRule="exact"/>
              <w:ind w:left="0" w:leftChars="0" w:right="0" w:rightChars="0" w:firstLine="0" w:firstLineChars="0"/>
              <w:jc w:val="center"/>
            </w:pPr>
            <w:r>
              <w:rPr>
                <w:rFonts w:ascii="Times New Roman" w:hAnsi="Times New Roman" w:eastAsia="宋体"/>
                <w:b w:val="0"/>
                <w:sz w:val="18"/>
              </w:rPr>
              <w:t>1.70～2.06</w:t>
            </w:r>
          </w:p>
        </w:tc>
        <w:tc>
          <w:tcPr>
            <w:tcW w:w="1385" w:type="dxa"/>
            <w:tcMar>
              <w:left w:w="70" w:type="dxa"/>
              <w:right w:w="70" w:type="dxa"/>
            </w:tcMar>
            <w:vAlign w:val="center"/>
          </w:tcPr>
          <w:p w14:paraId="54A01B04">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3DA7621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3E52DC7">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1D529319">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1121AE87">
            <w:pPr>
              <w:keepNext/>
              <w:spacing w:before="20" w:after="20" w:line="260" w:lineRule="exact"/>
              <w:ind w:left="0" w:leftChars="0" w:right="0" w:rightChars="0" w:firstLine="0" w:firstLineChars="0"/>
              <w:jc w:val="center"/>
            </w:pPr>
            <w:r>
              <w:rPr>
                <w:rFonts w:ascii="Times New Roman" w:hAnsi="Times New Roman" w:eastAsia="宋体"/>
                <w:b w:val="0"/>
                <w:sz w:val="18"/>
              </w:rPr>
              <w:t>2.42～2.92</w:t>
            </w:r>
          </w:p>
        </w:tc>
        <w:tc>
          <w:tcPr>
            <w:tcW w:w="1385" w:type="dxa"/>
            <w:tcMar>
              <w:left w:w="70" w:type="dxa"/>
              <w:right w:w="70" w:type="dxa"/>
            </w:tcMar>
            <w:vAlign w:val="center"/>
          </w:tcPr>
          <w:p w14:paraId="3A3CC6B1">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0697DAA8">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c>
          <w:tcPr>
            <w:tcW w:w="1385" w:type="dxa"/>
            <w:tcMar>
              <w:left w:w="70" w:type="dxa"/>
              <w:right w:w="70" w:type="dxa"/>
            </w:tcMar>
            <w:vAlign w:val="center"/>
          </w:tcPr>
          <w:p w14:paraId="4873B825">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389C821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C498594">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7C95D46F">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854BF2C">
            <w:pPr>
              <w:keepNext/>
              <w:spacing w:before="20" w:after="20" w:line="260" w:lineRule="exact"/>
              <w:ind w:left="0" w:leftChars="0" w:right="0" w:rightChars="0" w:firstLine="0" w:firstLineChars="0"/>
              <w:jc w:val="center"/>
            </w:pPr>
            <w:r>
              <w:rPr>
                <w:rFonts w:ascii="Times New Roman" w:hAnsi="Times New Roman" w:eastAsia="宋体"/>
                <w:b w:val="0"/>
                <w:sz w:val="18"/>
              </w:rPr>
              <w:t>1.98～2.10</w:t>
            </w:r>
          </w:p>
        </w:tc>
        <w:tc>
          <w:tcPr>
            <w:tcW w:w="1385" w:type="dxa"/>
            <w:tcMar>
              <w:left w:w="70" w:type="dxa"/>
              <w:right w:w="70" w:type="dxa"/>
            </w:tcMar>
            <w:vAlign w:val="center"/>
          </w:tcPr>
          <w:p w14:paraId="2CDB6A68">
            <w:pPr>
              <w:keepNext/>
              <w:spacing w:before="20" w:after="20" w:line="260" w:lineRule="exact"/>
              <w:ind w:left="0" w:leftChars="0" w:right="0" w:rightChars="0" w:firstLine="0" w:firstLineChars="0"/>
              <w:jc w:val="center"/>
            </w:pPr>
            <w:r>
              <w:rPr>
                <w:rFonts w:ascii="Times New Roman" w:hAnsi="Times New Roman" w:eastAsia="宋体"/>
                <w:b w:val="0"/>
                <w:sz w:val="18"/>
              </w:rPr>
              <w:t>1.77～2.07</w:t>
            </w:r>
          </w:p>
        </w:tc>
        <w:tc>
          <w:tcPr>
            <w:tcW w:w="1385" w:type="dxa"/>
            <w:tcMar>
              <w:left w:w="70" w:type="dxa"/>
              <w:right w:w="70" w:type="dxa"/>
            </w:tcMar>
            <w:vAlign w:val="center"/>
          </w:tcPr>
          <w:p w14:paraId="58923D8F">
            <w:pPr>
              <w:keepNext/>
              <w:spacing w:before="20" w:after="20" w:line="260" w:lineRule="exact"/>
              <w:ind w:left="0" w:leftChars="0" w:right="0" w:rightChars="0" w:firstLine="0" w:firstLineChars="0"/>
              <w:jc w:val="center"/>
            </w:pPr>
            <w:r>
              <w:rPr>
                <w:rFonts w:ascii="Times New Roman" w:hAnsi="Times New Roman" w:eastAsia="宋体"/>
                <w:b w:val="0"/>
                <w:sz w:val="18"/>
              </w:rPr>
              <w:t>1.61～1.78</w:t>
            </w:r>
          </w:p>
        </w:tc>
        <w:tc>
          <w:tcPr>
            <w:tcW w:w="1385" w:type="dxa"/>
            <w:tcMar>
              <w:left w:w="70" w:type="dxa"/>
              <w:right w:w="70" w:type="dxa"/>
            </w:tcMar>
            <w:vAlign w:val="center"/>
          </w:tcPr>
          <w:p w14:paraId="696D006A">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r>
      <w:tr w14:paraId="2F1883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56FC13A">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F0683DF">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DE0A3A4">
            <w:pPr>
              <w:keepNext/>
              <w:spacing w:before="20" w:after="20" w:line="260" w:lineRule="exact"/>
              <w:ind w:left="0" w:leftChars="0" w:right="0" w:rightChars="0" w:firstLine="0" w:firstLineChars="0"/>
              <w:jc w:val="center"/>
            </w:pPr>
            <w:r>
              <w:rPr>
                <w:rFonts w:ascii="Times New Roman" w:hAnsi="Times New Roman" w:eastAsia="宋体"/>
                <w:b w:val="0"/>
                <w:sz w:val="18"/>
              </w:rPr>
              <w:t>1.98～2.30</w:t>
            </w:r>
          </w:p>
        </w:tc>
        <w:tc>
          <w:tcPr>
            <w:tcW w:w="1385" w:type="dxa"/>
            <w:tcMar>
              <w:left w:w="70" w:type="dxa"/>
              <w:right w:w="70" w:type="dxa"/>
            </w:tcMar>
            <w:vAlign w:val="center"/>
          </w:tcPr>
          <w:p w14:paraId="393BE1CA">
            <w:pPr>
              <w:keepNext/>
              <w:spacing w:before="20" w:after="20" w:line="260" w:lineRule="exact"/>
              <w:ind w:left="0" w:leftChars="0" w:right="0" w:rightChars="0" w:firstLine="0" w:firstLineChars="0"/>
              <w:jc w:val="center"/>
            </w:pPr>
            <w:r>
              <w:rPr>
                <w:rFonts w:ascii="Times New Roman" w:hAnsi="Times New Roman" w:eastAsia="宋体"/>
                <w:b w:val="0"/>
                <w:sz w:val="18"/>
              </w:rPr>
              <w:t>1.77～2.30</w:t>
            </w:r>
          </w:p>
        </w:tc>
        <w:tc>
          <w:tcPr>
            <w:tcW w:w="1385" w:type="dxa"/>
            <w:tcMar>
              <w:left w:w="70" w:type="dxa"/>
              <w:right w:w="70" w:type="dxa"/>
            </w:tcMar>
            <w:vAlign w:val="center"/>
          </w:tcPr>
          <w:p w14:paraId="124A7887">
            <w:pPr>
              <w:keepNext/>
              <w:spacing w:before="20" w:after="20" w:line="260" w:lineRule="exact"/>
              <w:ind w:left="0" w:leftChars="0" w:right="0" w:rightChars="0" w:firstLine="0" w:firstLineChars="0"/>
              <w:jc w:val="center"/>
            </w:pPr>
            <w:r>
              <w:rPr>
                <w:rFonts w:ascii="Times New Roman" w:hAnsi="Times New Roman" w:eastAsia="宋体"/>
                <w:b w:val="0"/>
                <w:sz w:val="18"/>
              </w:rPr>
              <w:t>1.61～2.03</w:t>
            </w:r>
          </w:p>
        </w:tc>
        <w:tc>
          <w:tcPr>
            <w:tcW w:w="1385" w:type="dxa"/>
            <w:tcMar>
              <w:left w:w="70" w:type="dxa"/>
              <w:right w:w="70" w:type="dxa"/>
            </w:tcMar>
            <w:vAlign w:val="center"/>
          </w:tcPr>
          <w:p w14:paraId="2FFCAD4B">
            <w:pPr>
              <w:keepNext/>
              <w:spacing w:before="20" w:after="20" w:line="260" w:lineRule="exact"/>
              <w:ind w:left="0" w:leftChars="0" w:right="0" w:rightChars="0" w:firstLine="0" w:firstLineChars="0"/>
              <w:jc w:val="center"/>
            </w:pPr>
            <w:r>
              <w:rPr>
                <w:rFonts w:ascii="Times New Roman" w:hAnsi="Times New Roman" w:eastAsia="宋体"/>
                <w:b w:val="0"/>
                <w:sz w:val="18"/>
              </w:rPr>
              <w:t>1.52～2.02</w:t>
            </w:r>
          </w:p>
        </w:tc>
      </w:tr>
      <w:tr w14:paraId="710CAA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7308214">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136F5FD">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D932BE2">
            <w:pPr>
              <w:keepNext/>
              <w:spacing w:before="20" w:after="20" w:line="260" w:lineRule="exact"/>
              <w:ind w:left="0" w:leftChars="0" w:right="0" w:rightChars="0" w:firstLine="0" w:firstLineChars="0"/>
              <w:jc w:val="center"/>
            </w:pPr>
            <w:r>
              <w:rPr>
                <w:rFonts w:ascii="Times New Roman" w:hAnsi="Times New Roman" w:eastAsia="宋体"/>
                <w:b w:val="0"/>
                <w:sz w:val="18"/>
              </w:rPr>
              <w:t>2.29～2.65</w:t>
            </w:r>
          </w:p>
        </w:tc>
        <w:tc>
          <w:tcPr>
            <w:tcW w:w="1385" w:type="dxa"/>
            <w:tcMar>
              <w:left w:w="70" w:type="dxa"/>
              <w:right w:w="70" w:type="dxa"/>
            </w:tcMar>
            <w:vAlign w:val="center"/>
          </w:tcPr>
          <w:p w14:paraId="46907EAB">
            <w:pPr>
              <w:keepNext/>
              <w:spacing w:before="20" w:after="20" w:line="260" w:lineRule="exact"/>
              <w:ind w:left="0" w:leftChars="0" w:right="0" w:rightChars="0" w:firstLine="0" w:firstLineChars="0"/>
              <w:jc w:val="center"/>
            </w:pPr>
            <w:r>
              <w:rPr>
                <w:rFonts w:ascii="Times New Roman" w:hAnsi="Times New Roman" w:eastAsia="宋体"/>
                <w:b w:val="0"/>
                <w:sz w:val="18"/>
              </w:rPr>
              <w:t>2.16～2.65</w:t>
            </w:r>
          </w:p>
        </w:tc>
        <w:tc>
          <w:tcPr>
            <w:tcW w:w="1385" w:type="dxa"/>
            <w:tcMar>
              <w:left w:w="70" w:type="dxa"/>
              <w:right w:w="70" w:type="dxa"/>
            </w:tcMar>
            <w:vAlign w:val="center"/>
          </w:tcPr>
          <w:p w14:paraId="4C0FE2C0">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c>
          <w:tcPr>
            <w:tcW w:w="1385" w:type="dxa"/>
            <w:tcMar>
              <w:left w:w="70" w:type="dxa"/>
              <w:right w:w="70" w:type="dxa"/>
            </w:tcMar>
            <w:vAlign w:val="center"/>
          </w:tcPr>
          <w:p w14:paraId="5E929429">
            <w:pPr>
              <w:keepNext/>
              <w:spacing w:before="20" w:after="20" w:line="260" w:lineRule="exact"/>
              <w:ind w:left="0" w:leftChars="0" w:right="0" w:rightChars="0" w:firstLine="0" w:firstLineChars="0"/>
              <w:jc w:val="center"/>
            </w:pPr>
            <w:r>
              <w:rPr>
                <w:rFonts w:ascii="Times New Roman" w:hAnsi="Times New Roman" w:eastAsia="宋体"/>
                <w:b w:val="0"/>
                <w:sz w:val="18"/>
              </w:rPr>
              <w:t>2.01～2.54</w:t>
            </w:r>
          </w:p>
        </w:tc>
      </w:tr>
      <w:tr w14:paraId="0A9AB1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755AD19">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4EE3306F">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4CC235E">
            <w:pPr>
              <w:keepNext/>
              <w:spacing w:before="20" w:after="20" w:line="260" w:lineRule="exact"/>
              <w:ind w:left="0" w:leftChars="0" w:right="0" w:rightChars="0" w:firstLine="0" w:firstLineChars="0"/>
              <w:jc w:val="center"/>
            </w:pPr>
            <w:r>
              <w:rPr>
                <w:rFonts w:ascii="Times New Roman" w:hAnsi="Times New Roman" w:eastAsia="宋体"/>
                <w:b w:val="0"/>
                <w:sz w:val="18"/>
              </w:rPr>
              <w:t>1.94～2.06</w:t>
            </w:r>
          </w:p>
        </w:tc>
        <w:tc>
          <w:tcPr>
            <w:tcW w:w="1385" w:type="dxa"/>
            <w:tcMar>
              <w:left w:w="70" w:type="dxa"/>
              <w:right w:w="70" w:type="dxa"/>
            </w:tcMar>
            <w:vAlign w:val="center"/>
          </w:tcPr>
          <w:p w14:paraId="409C783E">
            <w:pPr>
              <w:keepNext/>
              <w:spacing w:before="20" w:after="20" w:line="260" w:lineRule="exact"/>
              <w:ind w:left="0" w:leftChars="0" w:right="0" w:rightChars="0" w:firstLine="0" w:firstLineChars="0"/>
              <w:jc w:val="center"/>
            </w:pPr>
            <w:r>
              <w:rPr>
                <w:rFonts w:ascii="Times New Roman" w:hAnsi="Times New Roman" w:eastAsia="宋体"/>
                <w:b w:val="0"/>
                <w:sz w:val="18"/>
              </w:rPr>
              <w:t>1.91～1.99</w:t>
            </w:r>
          </w:p>
        </w:tc>
        <w:tc>
          <w:tcPr>
            <w:tcW w:w="1385" w:type="dxa"/>
            <w:tcMar>
              <w:left w:w="70" w:type="dxa"/>
              <w:right w:w="70" w:type="dxa"/>
            </w:tcMar>
            <w:vAlign w:val="center"/>
          </w:tcPr>
          <w:p w14:paraId="3BDD5E52">
            <w:pPr>
              <w:keepNext/>
              <w:spacing w:before="20" w:after="20" w:line="260" w:lineRule="exact"/>
              <w:ind w:left="0" w:leftChars="0" w:right="0" w:rightChars="0" w:firstLine="0" w:firstLineChars="0"/>
              <w:jc w:val="center"/>
            </w:pPr>
            <w:r>
              <w:rPr>
                <w:rFonts w:ascii="Times New Roman" w:hAnsi="Times New Roman" w:eastAsia="宋体"/>
                <w:b w:val="0"/>
                <w:sz w:val="18"/>
              </w:rPr>
              <w:t>1.61～1.78</w:t>
            </w:r>
          </w:p>
        </w:tc>
        <w:tc>
          <w:tcPr>
            <w:tcW w:w="1385" w:type="dxa"/>
            <w:tcMar>
              <w:left w:w="70" w:type="dxa"/>
              <w:right w:w="70" w:type="dxa"/>
            </w:tcMar>
            <w:vAlign w:val="center"/>
          </w:tcPr>
          <w:p w14:paraId="4E2858DB">
            <w:pPr>
              <w:keepNext/>
              <w:spacing w:before="20" w:after="20" w:line="260" w:lineRule="exact"/>
              <w:ind w:left="0" w:leftChars="0" w:right="0" w:rightChars="0" w:firstLine="0" w:firstLineChars="0"/>
              <w:jc w:val="center"/>
            </w:pPr>
            <w:r>
              <w:rPr>
                <w:rFonts w:ascii="Times New Roman" w:hAnsi="Times New Roman" w:eastAsia="宋体"/>
                <w:b w:val="0"/>
                <w:sz w:val="18"/>
              </w:rPr>
              <w:t>1.36～1.51</w:t>
            </w:r>
          </w:p>
        </w:tc>
      </w:tr>
      <w:tr w14:paraId="5DC732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F6C59DC">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59ACF402">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36DC74A0">
            <w:pPr>
              <w:keepNext/>
              <w:spacing w:before="20" w:after="20" w:line="260" w:lineRule="exact"/>
              <w:ind w:left="0" w:leftChars="0" w:right="0" w:rightChars="0" w:firstLine="0" w:firstLineChars="0"/>
              <w:jc w:val="center"/>
            </w:pPr>
            <w:r>
              <w:rPr>
                <w:rFonts w:ascii="Times New Roman" w:hAnsi="Times New Roman" w:eastAsia="宋体"/>
                <w:b w:val="0"/>
                <w:sz w:val="18"/>
              </w:rPr>
              <w:t>1.94～2.06</w:t>
            </w:r>
          </w:p>
        </w:tc>
        <w:tc>
          <w:tcPr>
            <w:tcW w:w="1385" w:type="dxa"/>
            <w:tcMar>
              <w:left w:w="70" w:type="dxa"/>
              <w:right w:w="70" w:type="dxa"/>
            </w:tcMar>
            <w:vAlign w:val="center"/>
          </w:tcPr>
          <w:p w14:paraId="16D8A8CE">
            <w:pPr>
              <w:keepNext/>
              <w:spacing w:before="20" w:after="20" w:line="260" w:lineRule="exact"/>
              <w:ind w:left="0" w:leftChars="0" w:right="0" w:rightChars="0" w:firstLine="0" w:firstLineChars="0"/>
              <w:jc w:val="center"/>
            </w:pPr>
            <w:r>
              <w:rPr>
                <w:rFonts w:ascii="Times New Roman" w:hAnsi="Times New Roman" w:eastAsia="宋体"/>
                <w:b w:val="0"/>
                <w:sz w:val="18"/>
              </w:rPr>
              <w:t>1.91～2.09</w:t>
            </w:r>
          </w:p>
        </w:tc>
        <w:tc>
          <w:tcPr>
            <w:tcW w:w="1385" w:type="dxa"/>
            <w:tcMar>
              <w:left w:w="70" w:type="dxa"/>
              <w:right w:w="70" w:type="dxa"/>
            </w:tcMar>
            <w:vAlign w:val="center"/>
          </w:tcPr>
          <w:p w14:paraId="02F0F784">
            <w:pPr>
              <w:keepNext/>
              <w:spacing w:before="20" w:after="20" w:line="260" w:lineRule="exact"/>
              <w:ind w:left="0" w:leftChars="0" w:right="0" w:rightChars="0" w:firstLine="0" w:firstLineChars="0"/>
              <w:jc w:val="center"/>
            </w:pPr>
            <w:r>
              <w:rPr>
                <w:rFonts w:ascii="Times New Roman" w:hAnsi="Times New Roman" w:eastAsia="宋体"/>
                <w:b w:val="0"/>
                <w:sz w:val="18"/>
              </w:rPr>
              <w:t>1.61～2.09</w:t>
            </w:r>
          </w:p>
        </w:tc>
        <w:tc>
          <w:tcPr>
            <w:tcW w:w="1385" w:type="dxa"/>
            <w:tcMar>
              <w:left w:w="70" w:type="dxa"/>
              <w:right w:w="70" w:type="dxa"/>
            </w:tcMar>
            <w:vAlign w:val="center"/>
          </w:tcPr>
          <w:p w14:paraId="17B72F8E">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7EF048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E0D6402">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2884CD09">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5EA6E79">
            <w:pPr>
              <w:keepNext w:val="0"/>
              <w:spacing w:before="20" w:after="20" w:line="260" w:lineRule="exact"/>
              <w:ind w:left="0" w:leftChars="0" w:right="0" w:rightChars="0" w:firstLine="0" w:firstLineChars="0"/>
              <w:jc w:val="center"/>
            </w:pPr>
            <w:r>
              <w:rPr>
                <w:rFonts w:ascii="Times New Roman" w:hAnsi="Times New Roman" w:eastAsia="宋体"/>
                <w:b w:val="0"/>
                <w:sz w:val="18"/>
              </w:rPr>
              <w:t>2.45～2.50</w:t>
            </w:r>
          </w:p>
        </w:tc>
        <w:tc>
          <w:tcPr>
            <w:tcW w:w="1385" w:type="dxa"/>
            <w:tcMar>
              <w:left w:w="70" w:type="dxa"/>
              <w:right w:w="70" w:type="dxa"/>
            </w:tcMar>
            <w:vAlign w:val="center"/>
          </w:tcPr>
          <w:p w14:paraId="492E3A1E">
            <w:pPr>
              <w:keepNext w:val="0"/>
              <w:spacing w:before="20" w:after="20" w:line="260" w:lineRule="exact"/>
              <w:ind w:left="0" w:leftChars="0" w:right="0" w:rightChars="0" w:firstLine="0" w:firstLineChars="0"/>
              <w:jc w:val="center"/>
            </w:pPr>
            <w:r>
              <w:rPr>
                <w:rFonts w:ascii="Times New Roman" w:hAnsi="Times New Roman" w:eastAsia="宋体"/>
                <w:b w:val="0"/>
                <w:sz w:val="18"/>
              </w:rPr>
              <w:t>2.23～2.49</w:t>
            </w:r>
          </w:p>
        </w:tc>
        <w:tc>
          <w:tcPr>
            <w:tcW w:w="1385" w:type="dxa"/>
            <w:tcMar>
              <w:left w:w="70" w:type="dxa"/>
              <w:right w:w="70" w:type="dxa"/>
            </w:tcMar>
            <w:vAlign w:val="center"/>
          </w:tcPr>
          <w:p w14:paraId="76ECB594">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46E561A7">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14:paraId="7C75AFA2">
      <w:pPr>
        <w:pStyle w:val="2"/>
        <w:keepNext/>
        <w:spacing w:before="120" w:after="80" w:line="280" w:lineRule="exact"/>
        <w:ind w:firstLine="0"/>
        <w:jc w:val="center"/>
      </w:pPr>
      <w:r>
        <w:rPr>
          <w:rFonts w:ascii="Times New Roman" w:hAnsi="Times New Roman" w:eastAsia="宋体"/>
          <w:b w:val="0"/>
          <w:sz w:val="21"/>
        </w:rPr>
        <w:t>表5-72 电缆长度占比&gt;30%、负荷分散系数1.00的容载比区间矩阵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161868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07235E51">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42D008FF">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5BDF3A11">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55F2AEF5">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44554F99">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0DD71CAC">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0AFB20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7EF2E60">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22E0F267">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7E82199F">
            <w:pPr>
              <w:keepNext/>
              <w:spacing w:before="20" w:after="20" w:line="260" w:lineRule="exact"/>
              <w:ind w:left="0" w:leftChars="0" w:right="0" w:rightChars="0" w:firstLine="0" w:firstLineChars="0"/>
              <w:jc w:val="center"/>
            </w:pPr>
            <w:r>
              <w:rPr>
                <w:rFonts w:ascii="Times New Roman" w:hAnsi="Times New Roman" w:eastAsia="宋体"/>
                <w:b w:val="0"/>
                <w:sz w:val="18"/>
              </w:rPr>
              <w:t>1.84～2.04</w:t>
            </w:r>
          </w:p>
        </w:tc>
        <w:tc>
          <w:tcPr>
            <w:tcW w:w="1385" w:type="dxa"/>
            <w:tcMar>
              <w:left w:w="70" w:type="dxa"/>
              <w:right w:w="70" w:type="dxa"/>
            </w:tcMar>
            <w:vAlign w:val="center"/>
          </w:tcPr>
          <w:p w14:paraId="5248E8C9">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23BEF915">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c>
          <w:tcPr>
            <w:tcW w:w="1385" w:type="dxa"/>
            <w:tcMar>
              <w:left w:w="70" w:type="dxa"/>
              <w:right w:w="70" w:type="dxa"/>
            </w:tcMar>
            <w:vAlign w:val="center"/>
          </w:tcPr>
          <w:p w14:paraId="707FBB70">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55AE72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26F5230">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C46E701">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EF744A5">
            <w:pPr>
              <w:keepNext/>
              <w:spacing w:before="20" w:after="20" w:line="260" w:lineRule="exact"/>
              <w:ind w:left="0" w:leftChars="0" w:right="0" w:rightChars="0" w:firstLine="0" w:firstLineChars="0"/>
              <w:jc w:val="center"/>
            </w:pPr>
            <w:r>
              <w:rPr>
                <w:rFonts w:ascii="Times New Roman" w:hAnsi="Times New Roman" w:eastAsia="宋体"/>
                <w:b w:val="0"/>
                <w:sz w:val="18"/>
              </w:rPr>
              <w:t>1.84～2.40</w:t>
            </w:r>
          </w:p>
        </w:tc>
        <w:tc>
          <w:tcPr>
            <w:tcW w:w="1385" w:type="dxa"/>
            <w:tcMar>
              <w:left w:w="70" w:type="dxa"/>
              <w:right w:w="70" w:type="dxa"/>
            </w:tcMar>
            <w:vAlign w:val="center"/>
          </w:tcPr>
          <w:p w14:paraId="79F9ABE1">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061F8ECF">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258CEED2">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0841E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E5B336B">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67B930FF">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C1C8561">
            <w:pPr>
              <w:keepNext/>
              <w:spacing w:before="20" w:after="20" w:line="260" w:lineRule="exact"/>
              <w:ind w:left="0" w:leftChars="0" w:right="0" w:rightChars="0" w:firstLine="0" w:firstLineChars="0"/>
              <w:jc w:val="center"/>
            </w:pPr>
            <w:r>
              <w:rPr>
                <w:rFonts w:ascii="Times New Roman" w:hAnsi="Times New Roman" w:eastAsia="宋体"/>
                <w:b w:val="0"/>
                <w:sz w:val="18"/>
              </w:rPr>
              <w:t>2.20～3.15</w:t>
            </w:r>
          </w:p>
        </w:tc>
        <w:tc>
          <w:tcPr>
            <w:tcW w:w="1385" w:type="dxa"/>
            <w:tcMar>
              <w:left w:w="70" w:type="dxa"/>
              <w:right w:w="70" w:type="dxa"/>
            </w:tcMar>
            <w:vAlign w:val="center"/>
          </w:tcPr>
          <w:p w14:paraId="6098BDF7">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11B0557A">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03BDA435">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726A32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E4E310C">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17483221">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0FF18A1">
            <w:pPr>
              <w:keepNext/>
              <w:spacing w:before="20" w:after="20" w:line="260" w:lineRule="exact"/>
              <w:ind w:left="0" w:leftChars="0" w:right="0" w:rightChars="0" w:firstLine="0" w:firstLineChars="0"/>
              <w:jc w:val="center"/>
            </w:pPr>
            <w:r>
              <w:rPr>
                <w:rFonts w:ascii="Times New Roman" w:hAnsi="Times New Roman" w:eastAsia="宋体"/>
                <w:b w:val="0"/>
                <w:sz w:val="18"/>
              </w:rPr>
              <w:t>1.70～2.14</w:t>
            </w:r>
          </w:p>
        </w:tc>
        <w:tc>
          <w:tcPr>
            <w:tcW w:w="1385" w:type="dxa"/>
            <w:tcMar>
              <w:left w:w="70" w:type="dxa"/>
              <w:right w:w="70" w:type="dxa"/>
            </w:tcMar>
            <w:vAlign w:val="center"/>
          </w:tcPr>
          <w:p w14:paraId="736D92B3">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44BF0517">
            <w:pPr>
              <w:keepNext/>
              <w:spacing w:before="20" w:after="20" w:line="260" w:lineRule="exact"/>
              <w:ind w:left="0" w:leftChars="0" w:right="0" w:rightChars="0" w:firstLine="0" w:firstLineChars="0"/>
              <w:jc w:val="center"/>
            </w:pPr>
            <w:r>
              <w:rPr>
                <w:rFonts w:ascii="Times New Roman" w:hAnsi="Times New Roman" w:eastAsia="宋体"/>
                <w:b w:val="0"/>
                <w:sz w:val="18"/>
              </w:rPr>
              <w:t>1.70～1.89</w:t>
            </w:r>
          </w:p>
        </w:tc>
        <w:tc>
          <w:tcPr>
            <w:tcW w:w="1385" w:type="dxa"/>
            <w:tcMar>
              <w:left w:w="70" w:type="dxa"/>
              <w:right w:w="70" w:type="dxa"/>
            </w:tcMar>
            <w:vAlign w:val="center"/>
          </w:tcPr>
          <w:p w14:paraId="075F63C9">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r>
      <w:tr w14:paraId="0ED65F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18A7809">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15172BE6">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B0D915A">
            <w:pPr>
              <w:keepNext/>
              <w:spacing w:before="20" w:after="20" w:line="260" w:lineRule="exact"/>
              <w:ind w:left="0" w:leftChars="0" w:right="0" w:rightChars="0" w:firstLine="0" w:firstLineChars="0"/>
              <w:jc w:val="center"/>
            </w:pPr>
            <w:r>
              <w:rPr>
                <w:rFonts w:ascii="Times New Roman" w:hAnsi="Times New Roman" w:eastAsia="宋体"/>
                <w:b w:val="0"/>
                <w:sz w:val="18"/>
              </w:rPr>
              <w:t>1.77～2.26</w:t>
            </w:r>
          </w:p>
        </w:tc>
        <w:tc>
          <w:tcPr>
            <w:tcW w:w="1385" w:type="dxa"/>
            <w:tcMar>
              <w:left w:w="70" w:type="dxa"/>
              <w:right w:w="70" w:type="dxa"/>
            </w:tcMar>
            <w:vAlign w:val="center"/>
          </w:tcPr>
          <w:p w14:paraId="57FC5D03">
            <w:pPr>
              <w:keepNext/>
              <w:spacing w:before="20" w:after="20" w:line="260" w:lineRule="exact"/>
              <w:ind w:left="0" w:leftChars="0" w:right="0" w:rightChars="0" w:firstLine="0" w:firstLineChars="0"/>
              <w:jc w:val="center"/>
            </w:pPr>
            <w:r>
              <w:rPr>
                <w:rFonts w:ascii="Times New Roman" w:hAnsi="Times New Roman" w:eastAsia="宋体"/>
                <w:b w:val="0"/>
                <w:sz w:val="18"/>
              </w:rPr>
              <w:t>1.70～2.14</w:t>
            </w:r>
          </w:p>
        </w:tc>
        <w:tc>
          <w:tcPr>
            <w:tcW w:w="1385" w:type="dxa"/>
            <w:tcMar>
              <w:left w:w="70" w:type="dxa"/>
              <w:right w:w="70" w:type="dxa"/>
            </w:tcMar>
            <w:vAlign w:val="center"/>
          </w:tcPr>
          <w:p w14:paraId="76C708BD">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05BF961A">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56B25B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25A58B5">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010CB0C1">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3B7A326">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438650F7">
            <w:pPr>
              <w:keepNext/>
              <w:spacing w:before="20" w:after="20" w:line="260" w:lineRule="exact"/>
              <w:ind w:left="0" w:leftChars="0" w:right="0" w:rightChars="0" w:firstLine="0" w:firstLineChars="0"/>
              <w:jc w:val="center"/>
            </w:pPr>
            <w:r>
              <w:rPr>
                <w:rFonts w:ascii="Times New Roman" w:hAnsi="Times New Roman" w:eastAsia="宋体"/>
                <w:b w:val="0"/>
                <w:sz w:val="18"/>
              </w:rPr>
              <w:t>2.25～2.81</w:t>
            </w:r>
          </w:p>
        </w:tc>
        <w:tc>
          <w:tcPr>
            <w:tcW w:w="1385" w:type="dxa"/>
            <w:tcMar>
              <w:left w:w="70" w:type="dxa"/>
              <w:right w:w="70" w:type="dxa"/>
            </w:tcMar>
            <w:vAlign w:val="center"/>
          </w:tcPr>
          <w:p w14:paraId="11DA07EE">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c>
          <w:tcPr>
            <w:tcW w:w="1385" w:type="dxa"/>
            <w:tcMar>
              <w:left w:w="70" w:type="dxa"/>
              <w:right w:w="70" w:type="dxa"/>
            </w:tcMar>
            <w:vAlign w:val="center"/>
          </w:tcPr>
          <w:p w14:paraId="3DA2DE25">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07804A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E4117F1">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49758E88">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12E3D5E">
            <w:pPr>
              <w:keepNext/>
              <w:spacing w:before="20" w:after="20" w:line="260" w:lineRule="exact"/>
              <w:ind w:left="0" w:leftChars="0" w:right="0" w:rightChars="0" w:firstLine="0" w:firstLineChars="0"/>
              <w:jc w:val="center"/>
            </w:pPr>
            <w:r>
              <w:rPr>
                <w:rFonts w:ascii="Times New Roman" w:hAnsi="Times New Roman" w:eastAsia="宋体"/>
                <w:b w:val="0"/>
                <w:sz w:val="18"/>
              </w:rPr>
              <w:t>1.77～2.10</w:t>
            </w:r>
          </w:p>
        </w:tc>
        <w:tc>
          <w:tcPr>
            <w:tcW w:w="1385" w:type="dxa"/>
            <w:tcMar>
              <w:left w:w="70" w:type="dxa"/>
              <w:right w:w="70" w:type="dxa"/>
            </w:tcMar>
            <w:vAlign w:val="center"/>
          </w:tcPr>
          <w:p w14:paraId="3DCC2FDD">
            <w:pPr>
              <w:keepNext/>
              <w:spacing w:before="20" w:after="20" w:line="260" w:lineRule="exact"/>
              <w:ind w:left="0" w:leftChars="0" w:right="0" w:rightChars="0" w:firstLine="0" w:firstLineChars="0"/>
              <w:jc w:val="center"/>
            </w:pPr>
            <w:r>
              <w:rPr>
                <w:rFonts w:ascii="Times New Roman" w:hAnsi="Times New Roman" w:eastAsia="宋体"/>
                <w:b w:val="0"/>
                <w:sz w:val="18"/>
              </w:rPr>
              <w:t>1.61～1.78</w:t>
            </w:r>
          </w:p>
        </w:tc>
        <w:tc>
          <w:tcPr>
            <w:tcW w:w="1385" w:type="dxa"/>
            <w:tcMar>
              <w:left w:w="70" w:type="dxa"/>
              <w:right w:w="70" w:type="dxa"/>
            </w:tcMar>
            <w:vAlign w:val="center"/>
          </w:tcPr>
          <w:p w14:paraId="6F2EC22B">
            <w:pPr>
              <w:keepNext/>
              <w:spacing w:before="20" w:after="20" w:line="260" w:lineRule="exact"/>
              <w:ind w:left="0" w:leftChars="0" w:right="0" w:rightChars="0" w:firstLine="0" w:firstLineChars="0"/>
              <w:jc w:val="center"/>
            </w:pPr>
            <w:r>
              <w:rPr>
                <w:rFonts w:ascii="Times New Roman" w:hAnsi="Times New Roman" w:eastAsia="宋体"/>
                <w:b w:val="0"/>
                <w:sz w:val="18"/>
              </w:rPr>
              <w:t>1.52～1.78</w:t>
            </w:r>
          </w:p>
        </w:tc>
        <w:tc>
          <w:tcPr>
            <w:tcW w:w="1385" w:type="dxa"/>
            <w:tcMar>
              <w:left w:w="70" w:type="dxa"/>
              <w:right w:w="70" w:type="dxa"/>
            </w:tcMar>
            <w:vAlign w:val="center"/>
          </w:tcPr>
          <w:p w14:paraId="697B8BA7">
            <w:pPr>
              <w:keepNext/>
              <w:spacing w:before="20" w:after="20" w:line="260" w:lineRule="exact"/>
              <w:ind w:left="0" w:leftChars="0" w:right="0" w:rightChars="0" w:firstLine="0" w:firstLineChars="0"/>
              <w:jc w:val="center"/>
            </w:pPr>
            <w:r>
              <w:rPr>
                <w:rFonts w:ascii="Times New Roman" w:hAnsi="Times New Roman" w:eastAsia="宋体"/>
                <w:b w:val="0"/>
                <w:sz w:val="18"/>
              </w:rPr>
              <w:t>1.52～1.62</w:t>
            </w:r>
          </w:p>
        </w:tc>
      </w:tr>
      <w:tr w14:paraId="60290B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07BEE3B">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5AAABF4D">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505DBC62">
            <w:pPr>
              <w:keepNext/>
              <w:spacing w:before="20" w:after="20" w:line="260" w:lineRule="exact"/>
              <w:ind w:left="0" w:leftChars="0" w:right="0" w:rightChars="0" w:firstLine="0" w:firstLineChars="0"/>
              <w:jc w:val="center"/>
            </w:pPr>
            <w:r>
              <w:rPr>
                <w:rFonts w:ascii="Times New Roman" w:hAnsi="Times New Roman" w:eastAsia="宋体"/>
                <w:b w:val="0"/>
                <w:sz w:val="18"/>
              </w:rPr>
              <w:t>1.77～2.30</w:t>
            </w:r>
          </w:p>
        </w:tc>
        <w:tc>
          <w:tcPr>
            <w:tcW w:w="1385" w:type="dxa"/>
            <w:tcMar>
              <w:left w:w="70" w:type="dxa"/>
              <w:right w:w="70" w:type="dxa"/>
            </w:tcMar>
            <w:vAlign w:val="center"/>
          </w:tcPr>
          <w:p w14:paraId="6CB7DCC9">
            <w:pPr>
              <w:keepNext/>
              <w:spacing w:before="20" w:after="20" w:line="260" w:lineRule="exact"/>
              <w:ind w:left="0" w:leftChars="0" w:right="0" w:rightChars="0" w:firstLine="0" w:firstLineChars="0"/>
              <w:jc w:val="center"/>
            </w:pPr>
            <w:r>
              <w:rPr>
                <w:rFonts w:ascii="Times New Roman" w:hAnsi="Times New Roman" w:eastAsia="宋体"/>
                <w:b w:val="0"/>
                <w:sz w:val="18"/>
              </w:rPr>
              <w:t>1.61～2.14</w:t>
            </w:r>
          </w:p>
        </w:tc>
        <w:tc>
          <w:tcPr>
            <w:tcW w:w="1385" w:type="dxa"/>
            <w:tcMar>
              <w:left w:w="70" w:type="dxa"/>
              <w:right w:w="70" w:type="dxa"/>
            </w:tcMar>
            <w:vAlign w:val="center"/>
          </w:tcPr>
          <w:p w14:paraId="71668271">
            <w:pPr>
              <w:keepNext/>
              <w:spacing w:before="20" w:after="20" w:line="260" w:lineRule="exact"/>
              <w:ind w:left="0" w:leftChars="0" w:right="0" w:rightChars="0" w:firstLine="0" w:firstLineChars="0"/>
              <w:jc w:val="center"/>
            </w:pPr>
            <w:r>
              <w:rPr>
                <w:rFonts w:ascii="Times New Roman" w:hAnsi="Times New Roman" w:eastAsia="宋体"/>
                <w:b w:val="0"/>
                <w:sz w:val="18"/>
              </w:rPr>
              <w:t>1.61～2.14</w:t>
            </w:r>
          </w:p>
        </w:tc>
        <w:tc>
          <w:tcPr>
            <w:tcW w:w="1385" w:type="dxa"/>
            <w:tcMar>
              <w:left w:w="70" w:type="dxa"/>
              <w:right w:w="70" w:type="dxa"/>
            </w:tcMar>
            <w:vAlign w:val="center"/>
          </w:tcPr>
          <w:p w14:paraId="538F602C">
            <w:pPr>
              <w:keepNext/>
              <w:spacing w:before="20" w:after="20" w:line="260" w:lineRule="exact"/>
              <w:ind w:left="0" w:leftChars="0" w:right="0" w:rightChars="0" w:firstLine="0" w:firstLineChars="0"/>
              <w:jc w:val="center"/>
            </w:pPr>
            <w:r>
              <w:rPr>
                <w:rFonts w:ascii="Times New Roman" w:hAnsi="Times New Roman" w:eastAsia="宋体"/>
                <w:b w:val="0"/>
                <w:sz w:val="18"/>
              </w:rPr>
              <w:t>1.52～2.14</w:t>
            </w:r>
          </w:p>
        </w:tc>
      </w:tr>
      <w:tr w14:paraId="136CBB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4B7EACE">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7751DCE0">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18E54C56">
            <w:pPr>
              <w:keepNext/>
              <w:spacing w:before="20" w:after="20" w:line="260" w:lineRule="exact"/>
              <w:ind w:left="0" w:leftChars="0" w:right="0" w:rightChars="0" w:firstLine="0" w:firstLineChars="0"/>
              <w:jc w:val="center"/>
            </w:pPr>
            <w:r>
              <w:rPr>
                <w:rFonts w:ascii="Times New Roman" w:hAnsi="Times New Roman" w:eastAsia="宋体"/>
                <w:b w:val="0"/>
                <w:sz w:val="18"/>
              </w:rPr>
              <w:t>2.16～2.65</w:t>
            </w:r>
          </w:p>
        </w:tc>
        <w:tc>
          <w:tcPr>
            <w:tcW w:w="1385" w:type="dxa"/>
            <w:tcMar>
              <w:left w:w="70" w:type="dxa"/>
              <w:right w:w="70" w:type="dxa"/>
            </w:tcMar>
            <w:vAlign w:val="center"/>
          </w:tcPr>
          <w:p w14:paraId="1CA127F2">
            <w:pPr>
              <w:keepNext/>
              <w:spacing w:before="20" w:after="20" w:line="260" w:lineRule="exact"/>
              <w:ind w:left="0" w:leftChars="0" w:right="0" w:rightChars="0" w:firstLine="0" w:firstLineChars="0"/>
              <w:jc w:val="center"/>
            </w:pPr>
            <w:r>
              <w:rPr>
                <w:rFonts w:ascii="Times New Roman" w:hAnsi="Times New Roman" w:eastAsia="宋体"/>
                <w:b w:val="0"/>
                <w:sz w:val="18"/>
              </w:rPr>
              <w:t>2.13～2.65</w:t>
            </w:r>
          </w:p>
        </w:tc>
        <w:tc>
          <w:tcPr>
            <w:tcW w:w="1385" w:type="dxa"/>
            <w:tcMar>
              <w:left w:w="70" w:type="dxa"/>
              <w:right w:w="70" w:type="dxa"/>
            </w:tcMar>
            <w:vAlign w:val="center"/>
          </w:tcPr>
          <w:p w14:paraId="32B22C2A">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c>
          <w:tcPr>
            <w:tcW w:w="1385" w:type="dxa"/>
            <w:tcMar>
              <w:left w:w="70" w:type="dxa"/>
              <w:right w:w="70" w:type="dxa"/>
            </w:tcMar>
            <w:vAlign w:val="center"/>
          </w:tcPr>
          <w:p w14:paraId="7AEB8758">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r>
      <w:tr w14:paraId="7EF1C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E75192F">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10CADAF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0E78B92">
            <w:pPr>
              <w:keepNext/>
              <w:spacing w:before="20" w:after="20" w:line="260" w:lineRule="exact"/>
              <w:ind w:left="0" w:leftChars="0" w:right="0" w:rightChars="0" w:firstLine="0" w:firstLineChars="0"/>
              <w:jc w:val="center"/>
            </w:pPr>
            <w:r>
              <w:rPr>
                <w:rFonts w:ascii="Times New Roman" w:hAnsi="Times New Roman" w:eastAsia="宋体"/>
                <w:b w:val="0"/>
                <w:sz w:val="18"/>
              </w:rPr>
              <w:t>1.77～1.92</w:t>
            </w:r>
          </w:p>
        </w:tc>
        <w:tc>
          <w:tcPr>
            <w:tcW w:w="1385" w:type="dxa"/>
            <w:tcMar>
              <w:left w:w="70" w:type="dxa"/>
              <w:right w:w="70" w:type="dxa"/>
            </w:tcMar>
            <w:vAlign w:val="center"/>
          </w:tcPr>
          <w:p w14:paraId="3BFDC426">
            <w:pPr>
              <w:keepNext/>
              <w:spacing w:before="20" w:after="20" w:line="260" w:lineRule="exact"/>
              <w:ind w:left="0" w:leftChars="0" w:right="0" w:rightChars="0" w:firstLine="0" w:firstLineChars="0"/>
              <w:jc w:val="center"/>
            </w:pPr>
            <w:r>
              <w:rPr>
                <w:rFonts w:ascii="Times New Roman" w:hAnsi="Times New Roman" w:eastAsia="宋体"/>
                <w:b w:val="0"/>
                <w:sz w:val="18"/>
              </w:rPr>
              <w:t>1.50～1.78</w:t>
            </w:r>
          </w:p>
        </w:tc>
        <w:tc>
          <w:tcPr>
            <w:tcW w:w="1385" w:type="dxa"/>
            <w:tcMar>
              <w:left w:w="70" w:type="dxa"/>
              <w:right w:w="70" w:type="dxa"/>
            </w:tcMar>
            <w:vAlign w:val="center"/>
          </w:tcPr>
          <w:p w14:paraId="62E48816">
            <w:pPr>
              <w:keepNext/>
              <w:spacing w:before="20" w:after="20" w:line="260" w:lineRule="exact"/>
              <w:ind w:left="0" w:leftChars="0" w:right="0" w:rightChars="0" w:firstLine="0" w:firstLineChars="0"/>
              <w:jc w:val="center"/>
            </w:pPr>
            <w:r>
              <w:rPr>
                <w:rFonts w:ascii="Times New Roman" w:hAnsi="Times New Roman" w:eastAsia="宋体"/>
                <w:b w:val="0"/>
                <w:sz w:val="18"/>
              </w:rPr>
              <w:t>1.50～1.62</w:t>
            </w:r>
          </w:p>
        </w:tc>
        <w:tc>
          <w:tcPr>
            <w:tcW w:w="1385" w:type="dxa"/>
            <w:tcMar>
              <w:left w:w="70" w:type="dxa"/>
              <w:right w:w="70" w:type="dxa"/>
            </w:tcMar>
            <w:vAlign w:val="center"/>
          </w:tcPr>
          <w:p w14:paraId="30B37A81">
            <w:pPr>
              <w:keepNext/>
              <w:spacing w:before="20" w:after="20" w:line="260" w:lineRule="exact"/>
              <w:ind w:left="0" w:leftChars="0" w:right="0" w:rightChars="0" w:firstLine="0" w:firstLineChars="0"/>
              <w:jc w:val="center"/>
            </w:pPr>
            <w:r>
              <w:rPr>
                <w:rFonts w:ascii="Times New Roman" w:hAnsi="Times New Roman" w:eastAsia="宋体"/>
                <w:b w:val="0"/>
                <w:sz w:val="18"/>
              </w:rPr>
              <w:t>1.36～1.62</w:t>
            </w:r>
          </w:p>
        </w:tc>
      </w:tr>
      <w:tr w14:paraId="75D915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BA31F2E">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0758573A">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334794C">
            <w:pPr>
              <w:keepNext/>
              <w:spacing w:before="20" w:after="20" w:line="260" w:lineRule="exact"/>
              <w:ind w:left="0" w:leftChars="0" w:right="0" w:rightChars="0" w:firstLine="0" w:firstLineChars="0"/>
              <w:jc w:val="center"/>
            </w:pPr>
            <w:r>
              <w:rPr>
                <w:rFonts w:ascii="Times New Roman" w:hAnsi="Times New Roman" w:eastAsia="宋体"/>
                <w:b w:val="0"/>
                <w:sz w:val="18"/>
              </w:rPr>
              <w:t>1.77～2.09</w:t>
            </w:r>
          </w:p>
        </w:tc>
        <w:tc>
          <w:tcPr>
            <w:tcW w:w="1385" w:type="dxa"/>
            <w:tcMar>
              <w:left w:w="70" w:type="dxa"/>
              <w:right w:w="70" w:type="dxa"/>
            </w:tcMar>
            <w:vAlign w:val="center"/>
          </w:tcPr>
          <w:p w14:paraId="4EC83CE5">
            <w:pPr>
              <w:keepNext/>
              <w:spacing w:before="20" w:after="20" w:line="260" w:lineRule="exact"/>
              <w:ind w:left="0" w:leftChars="0" w:right="0" w:rightChars="0" w:firstLine="0" w:firstLineChars="0"/>
              <w:jc w:val="center"/>
            </w:pPr>
            <w:r>
              <w:rPr>
                <w:rFonts w:ascii="Times New Roman" w:hAnsi="Times New Roman" w:eastAsia="宋体"/>
                <w:b w:val="0"/>
                <w:sz w:val="18"/>
              </w:rPr>
              <w:t>1.50～2.09</w:t>
            </w:r>
          </w:p>
        </w:tc>
        <w:tc>
          <w:tcPr>
            <w:tcW w:w="1385" w:type="dxa"/>
            <w:tcMar>
              <w:left w:w="70" w:type="dxa"/>
              <w:right w:w="70" w:type="dxa"/>
            </w:tcMar>
            <w:vAlign w:val="center"/>
          </w:tcPr>
          <w:p w14:paraId="2FE86B44">
            <w:pPr>
              <w:keepNext/>
              <w:spacing w:before="20" w:after="20" w:line="260" w:lineRule="exact"/>
              <w:ind w:left="0" w:leftChars="0" w:right="0" w:rightChars="0" w:firstLine="0" w:firstLineChars="0"/>
              <w:jc w:val="center"/>
            </w:pPr>
            <w:r>
              <w:rPr>
                <w:rFonts w:ascii="Times New Roman" w:hAnsi="Times New Roman" w:eastAsia="宋体"/>
                <w:b w:val="0"/>
                <w:sz w:val="18"/>
              </w:rPr>
              <w:t>1.50～1.95</w:t>
            </w:r>
          </w:p>
        </w:tc>
        <w:tc>
          <w:tcPr>
            <w:tcW w:w="1385" w:type="dxa"/>
            <w:tcMar>
              <w:left w:w="70" w:type="dxa"/>
              <w:right w:w="70" w:type="dxa"/>
            </w:tcMar>
            <w:vAlign w:val="center"/>
          </w:tcPr>
          <w:p w14:paraId="5133E4CD">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469FAD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FAEE76A">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5F88F5B4">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72F27A26">
            <w:pPr>
              <w:keepNext w:val="0"/>
              <w:spacing w:before="20" w:after="20" w:line="260" w:lineRule="exact"/>
              <w:ind w:left="0" w:leftChars="0" w:right="0" w:rightChars="0" w:firstLine="0" w:firstLineChars="0"/>
              <w:jc w:val="center"/>
            </w:pPr>
            <w:r>
              <w:rPr>
                <w:rFonts w:ascii="Times New Roman" w:hAnsi="Times New Roman" w:eastAsia="宋体"/>
                <w:b w:val="0"/>
                <w:sz w:val="18"/>
              </w:rPr>
              <w:t>2.23～2.49</w:t>
            </w:r>
          </w:p>
        </w:tc>
        <w:tc>
          <w:tcPr>
            <w:tcW w:w="1385" w:type="dxa"/>
            <w:tcMar>
              <w:left w:w="70" w:type="dxa"/>
              <w:right w:w="70" w:type="dxa"/>
            </w:tcMar>
            <w:vAlign w:val="center"/>
          </w:tcPr>
          <w:p w14:paraId="0B95400A">
            <w:pPr>
              <w:keepNext w:val="0"/>
              <w:spacing w:before="20" w:after="20" w:line="260" w:lineRule="exact"/>
              <w:ind w:left="0" w:leftChars="0" w:right="0" w:rightChars="0" w:firstLine="0" w:firstLineChars="0"/>
              <w:jc w:val="center"/>
            </w:pPr>
            <w:r>
              <w:rPr>
                <w:rFonts w:ascii="Times New Roman" w:hAnsi="Times New Roman" w:eastAsia="宋体"/>
                <w:b w:val="0"/>
                <w:sz w:val="18"/>
              </w:rPr>
              <w:t>2.08～2.42</w:t>
            </w:r>
          </w:p>
        </w:tc>
        <w:tc>
          <w:tcPr>
            <w:tcW w:w="1385" w:type="dxa"/>
            <w:tcMar>
              <w:left w:w="70" w:type="dxa"/>
              <w:right w:w="70" w:type="dxa"/>
            </w:tcMar>
            <w:vAlign w:val="center"/>
          </w:tcPr>
          <w:p w14:paraId="60B7489A">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34F2D540">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14:paraId="7C00197D">
      <w:pPr>
        <w:pStyle w:val="2"/>
        <w:keepNext/>
        <w:spacing w:before="120" w:after="80" w:line="280" w:lineRule="exact"/>
        <w:ind w:firstLine="0"/>
        <w:jc w:val="center"/>
      </w:pPr>
      <w:r>
        <w:rPr>
          <w:rFonts w:ascii="Times New Roman" w:hAnsi="Times New Roman" w:eastAsia="宋体"/>
          <w:b w:val="0"/>
          <w:sz w:val="21"/>
        </w:rPr>
        <w:t>表5-73 电缆长度占比&gt;30%、负荷分散系数1.10的容载比区间矩阵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1AAC75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686B4106">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4F280F0F">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496A80BB">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1E66B48E">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382AE83F">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2C91CAC5">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57DBE4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9C64B59">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1117C74C">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F68DA6F">
            <w:pPr>
              <w:keepNext/>
              <w:spacing w:before="20" w:after="20" w:line="260" w:lineRule="exact"/>
              <w:ind w:left="0" w:leftChars="0" w:right="0" w:rightChars="0" w:firstLine="0" w:firstLineChars="0"/>
              <w:jc w:val="center"/>
            </w:pPr>
            <w:r>
              <w:rPr>
                <w:rFonts w:ascii="Times New Roman" w:hAnsi="Times New Roman" w:eastAsia="宋体"/>
                <w:b w:val="0"/>
                <w:sz w:val="18"/>
              </w:rPr>
              <w:t>2.00～2.22</w:t>
            </w:r>
          </w:p>
        </w:tc>
        <w:tc>
          <w:tcPr>
            <w:tcW w:w="1385" w:type="dxa"/>
            <w:tcMar>
              <w:left w:w="70" w:type="dxa"/>
              <w:right w:w="70" w:type="dxa"/>
            </w:tcMar>
            <w:vAlign w:val="center"/>
          </w:tcPr>
          <w:p w14:paraId="0DCAC8D4">
            <w:pPr>
              <w:keepNext/>
              <w:spacing w:before="20" w:after="20" w:line="260" w:lineRule="exact"/>
              <w:ind w:left="0" w:leftChars="0" w:right="0" w:rightChars="0" w:firstLine="0" w:firstLineChars="0"/>
              <w:jc w:val="center"/>
            </w:pPr>
            <w:r>
              <w:rPr>
                <w:rFonts w:ascii="Times New Roman" w:hAnsi="Times New Roman" w:eastAsia="宋体"/>
                <w:b w:val="0"/>
                <w:sz w:val="18"/>
              </w:rPr>
              <w:t>1.84～2.04</w:t>
            </w:r>
          </w:p>
        </w:tc>
        <w:tc>
          <w:tcPr>
            <w:tcW w:w="1385" w:type="dxa"/>
            <w:tcMar>
              <w:left w:w="70" w:type="dxa"/>
              <w:right w:w="70" w:type="dxa"/>
            </w:tcMar>
            <w:vAlign w:val="center"/>
          </w:tcPr>
          <w:p w14:paraId="745B39DA">
            <w:pPr>
              <w:keepNext/>
              <w:spacing w:before="20" w:after="20" w:line="260" w:lineRule="exact"/>
              <w:ind w:left="0" w:leftChars="0" w:right="0" w:rightChars="0" w:firstLine="0" w:firstLineChars="0"/>
              <w:jc w:val="center"/>
            </w:pPr>
            <w:r>
              <w:rPr>
                <w:rFonts w:ascii="Times New Roman" w:hAnsi="Times New Roman" w:eastAsia="宋体"/>
                <w:b w:val="0"/>
                <w:sz w:val="18"/>
              </w:rPr>
              <w:t>1.84～2.04</w:t>
            </w:r>
          </w:p>
        </w:tc>
        <w:tc>
          <w:tcPr>
            <w:tcW w:w="1385" w:type="dxa"/>
            <w:tcMar>
              <w:left w:w="70" w:type="dxa"/>
              <w:right w:w="70" w:type="dxa"/>
            </w:tcMar>
            <w:vAlign w:val="center"/>
          </w:tcPr>
          <w:p w14:paraId="327D0DA2">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799364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F813CD8">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630A5924">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3C79FBCA">
            <w:pPr>
              <w:keepNext/>
              <w:spacing w:before="20" w:after="20" w:line="260" w:lineRule="exact"/>
              <w:ind w:left="0" w:leftChars="0" w:right="0" w:rightChars="0" w:firstLine="0" w:firstLineChars="0"/>
              <w:jc w:val="center"/>
            </w:pPr>
            <w:r>
              <w:rPr>
                <w:rFonts w:ascii="Times New Roman" w:hAnsi="Times New Roman" w:eastAsia="宋体"/>
                <w:b w:val="0"/>
                <w:sz w:val="18"/>
              </w:rPr>
              <w:t>2.00～2.40</w:t>
            </w:r>
          </w:p>
        </w:tc>
        <w:tc>
          <w:tcPr>
            <w:tcW w:w="1385" w:type="dxa"/>
            <w:tcMar>
              <w:left w:w="70" w:type="dxa"/>
              <w:right w:w="70" w:type="dxa"/>
            </w:tcMar>
            <w:vAlign w:val="center"/>
          </w:tcPr>
          <w:p w14:paraId="2BF1ED2F">
            <w:pPr>
              <w:keepNext/>
              <w:spacing w:before="20" w:after="20" w:line="260" w:lineRule="exact"/>
              <w:ind w:left="0" w:leftChars="0" w:right="0" w:rightChars="0" w:firstLine="0" w:firstLineChars="0"/>
              <w:jc w:val="center"/>
            </w:pPr>
            <w:r>
              <w:rPr>
                <w:rFonts w:ascii="Times New Roman" w:hAnsi="Times New Roman" w:eastAsia="宋体"/>
                <w:b w:val="0"/>
                <w:sz w:val="18"/>
              </w:rPr>
              <w:t>1.84～2.22</w:t>
            </w:r>
          </w:p>
        </w:tc>
        <w:tc>
          <w:tcPr>
            <w:tcW w:w="1385" w:type="dxa"/>
            <w:tcMar>
              <w:left w:w="70" w:type="dxa"/>
              <w:right w:w="70" w:type="dxa"/>
            </w:tcMar>
            <w:vAlign w:val="center"/>
          </w:tcPr>
          <w:p w14:paraId="3C3B3EA6">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1E341602">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0D19DA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CA4F612">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58987504">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79A0E8C2">
            <w:pPr>
              <w:keepNext/>
              <w:spacing w:before="20" w:after="20" w:line="260" w:lineRule="exact"/>
              <w:ind w:left="0" w:leftChars="0" w:right="0" w:rightChars="0" w:firstLine="0" w:firstLineChars="0"/>
              <w:jc w:val="center"/>
            </w:pPr>
            <w:r>
              <w:rPr>
                <w:rFonts w:ascii="Times New Roman" w:hAnsi="Times New Roman" w:eastAsia="宋体"/>
                <w:b w:val="0"/>
                <w:sz w:val="18"/>
              </w:rPr>
              <w:t>2.40～3.15</w:t>
            </w:r>
          </w:p>
        </w:tc>
        <w:tc>
          <w:tcPr>
            <w:tcW w:w="1385" w:type="dxa"/>
            <w:tcMar>
              <w:left w:w="70" w:type="dxa"/>
              <w:right w:w="70" w:type="dxa"/>
            </w:tcMar>
            <w:vAlign w:val="center"/>
          </w:tcPr>
          <w:p w14:paraId="35E90DB0">
            <w:pPr>
              <w:keepNext/>
              <w:spacing w:before="20" w:after="20" w:line="260" w:lineRule="exact"/>
              <w:ind w:left="0" w:leftChars="0" w:right="0" w:rightChars="0" w:firstLine="0" w:firstLineChars="0"/>
              <w:jc w:val="center"/>
            </w:pPr>
            <w:r>
              <w:rPr>
                <w:rFonts w:ascii="Times New Roman" w:hAnsi="Times New Roman" w:eastAsia="宋体"/>
                <w:b w:val="0"/>
                <w:sz w:val="18"/>
              </w:rPr>
              <w:t>2.20～2.91</w:t>
            </w:r>
          </w:p>
        </w:tc>
        <w:tc>
          <w:tcPr>
            <w:tcW w:w="1385" w:type="dxa"/>
            <w:tcMar>
              <w:left w:w="70" w:type="dxa"/>
              <w:right w:w="70" w:type="dxa"/>
            </w:tcMar>
            <w:vAlign w:val="center"/>
          </w:tcPr>
          <w:p w14:paraId="68387A3E">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0815AD57">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60E0E9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BF2D83A">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4FDD3C56">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1D12DFE2">
            <w:pPr>
              <w:keepNext/>
              <w:spacing w:before="20" w:after="20" w:line="260" w:lineRule="exact"/>
              <w:ind w:left="0" w:leftChars="0" w:right="0" w:rightChars="0" w:firstLine="0" w:firstLineChars="0"/>
              <w:jc w:val="center"/>
            </w:pPr>
            <w:r>
              <w:rPr>
                <w:rFonts w:ascii="Times New Roman" w:hAnsi="Times New Roman" w:eastAsia="宋体"/>
                <w:b w:val="0"/>
                <w:sz w:val="18"/>
              </w:rPr>
              <w:t>1.88～2.23</w:t>
            </w:r>
          </w:p>
        </w:tc>
        <w:tc>
          <w:tcPr>
            <w:tcW w:w="1385" w:type="dxa"/>
            <w:tcMar>
              <w:left w:w="70" w:type="dxa"/>
              <w:right w:w="70" w:type="dxa"/>
            </w:tcMar>
            <w:vAlign w:val="center"/>
          </w:tcPr>
          <w:p w14:paraId="6539F9F9">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4BA483CF">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639F5467">
            <w:pPr>
              <w:keepNext/>
              <w:spacing w:before="20" w:after="20" w:line="260" w:lineRule="exact"/>
              <w:ind w:left="0" w:leftChars="0" w:right="0" w:rightChars="0" w:firstLine="0" w:firstLineChars="0"/>
              <w:jc w:val="center"/>
            </w:pPr>
            <w:r>
              <w:rPr>
                <w:rFonts w:ascii="Times New Roman" w:hAnsi="Times New Roman" w:eastAsia="宋体"/>
                <w:b w:val="0"/>
                <w:sz w:val="18"/>
              </w:rPr>
              <w:t>1.70～1.78</w:t>
            </w:r>
          </w:p>
        </w:tc>
      </w:tr>
      <w:tr w14:paraId="36E2CF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F8A3642">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783C198B">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73D4F48C">
            <w:pPr>
              <w:keepNext/>
              <w:spacing w:before="20" w:after="20" w:line="260" w:lineRule="exact"/>
              <w:ind w:left="0" w:leftChars="0" w:right="0" w:rightChars="0" w:firstLine="0" w:firstLineChars="0"/>
              <w:jc w:val="center"/>
            </w:pPr>
            <w:r>
              <w:rPr>
                <w:rFonts w:ascii="Times New Roman" w:hAnsi="Times New Roman" w:eastAsia="宋体"/>
                <w:b w:val="0"/>
                <w:sz w:val="18"/>
              </w:rPr>
              <w:t>1.88～2.43</w:t>
            </w:r>
          </w:p>
        </w:tc>
        <w:tc>
          <w:tcPr>
            <w:tcW w:w="1385" w:type="dxa"/>
            <w:tcMar>
              <w:left w:w="70" w:type="dxa"/>
              <w:right w:w="70" w:type="dxa"/>
            </w:tcMar>
            <w:vAlign w:val="center"/>
          </w:tcPr>
          <w:p w14:paraId="41229D24">
            <w:pPr>
              <w:keepNext/>
              <w:spacing w:before="20" w:after="20" w:line="260" w:lineRule="exact"/>
              <w:ind w:left="0" w:leftChars="0" w:right="0" w:rightChars="0" w:firstLine="0" w:firstLineChars="0"/>
              <w:jc w:val="center"/>
            </w:pPr>
            <w:r>
              <w:rPr>
                <w:rFonts w:ascii="Times New Roman" w:hAnsi="Times New Roman" w:eastAsia="宋体"/>
                <w:b w:val="0"/>
                <w:sz w:val="18"/>
              </w:rPr>
              <w:t>1.70～2.15</w:t>
            </w:r>
          </w:p>
        </w:tc>
        <w:tc>
          <w:tcPr>
            <w:tcW w:w="1385" w:type="dxa"/>
            <w:tcMar>
              <w:left w:w="70" w:type="dxa"/>
              <w:right w:w="70" w:type="dxa"/>
            </w:tcMar>
            <w:vAlign w:val="center"/>
          </w:tcPr>
          <w:p w14:paraId="292B0460">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4D9D1DEC">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048A4C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9BCBA4B">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4B148CA6">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0287652">
            <w:pPr>
              <w:keepNext/>
              <w:spacing w:before="20" w:after="20" w:line="260" w:lineRule="exact"/>
              <w:ind w:left="0" w:leftChars="0" w:right="0" w:rightChars="0" w:firstLine="0" w:firstLineChars="0"/>
              <w:jc w:val="center"/>
            </w:pPr>
            <w:r>
              <w:rPr>
                <w:rFonts w:ascii="Times New Roman" w:hAnsi="Times New Roman" w:eastAsia="宋体"/>
                <w:b w:val="0"/>
                <w:sz w:val="18"/>
              </w:rPr>
              <w:t>2.34～2.92</w:t>
            </w:r>
          </w:p>
        </w:tc>
        <w:tc>
          <w:tcPr>
            <w:tcW w:w="1385" w:type="dxa"/>
            <w:tcMar>
              <w:left w:w="70" w:type="dxa"/>
              <w:right w:w="70" w:type="dxa"/>
            </w:tcMar>
            <w:vAlign w:val="center"/>
          </w:tcPr>
          <w:p w14:paraId="0E6FDEC8">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67FC573A">
            <w:pPr>
              <w:keepNext/>
              <w:spacing w:before="20" w:after="20" w:line="260" w:lineRule="exact"/>
              <w:ind w:left="0" w:leftChars="0" w:right="0" w:rightChars="0" w:firstLine="0" w:firstLineChars="0"/>
              <w:jc w:val="center"/>
            </w:pPr>
            <w:r>
              <w:rPr>
                <w:rFonts w:ascii="Times New Roman" w:hAnsi="Times New Roman" w:eastAsia="宋体"/>
                <w:b w:val="0"/>
                <w:sz w:val="18"/>
              </w:rPr>
              <w:t>2.25～2.81</w:t>
            </w:r>
          </w:p>
        </w:tc>
        <w:tc>
          <w:tcPr>
            <w:tcW w:w="1385" w:type="dxa"/>
            <w:tcMar>
              <w:left w:w="70" w:type="dxa"/>
              <w:right w:w="70" w:type="dxa"/>
            </w:tcMar>
            <w:vAlign w:val="center"/>
          </w:tcPr>
          <w:p w14:paraId="0C5BD7CD">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571731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B73E2A4">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22F6D6A">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B91FE92">
            <w:pPr>
              <w:keepNext/>
              <w:spacing w:before="20" w:after="20" w:line="260" w:lineRule="exact"/>
              <w:ind w:left="0" w:leftChars="0" w:right="0" w:rightChars="0" w:firstLine="0" w:firstLineChars="0"/>
              <w:jc w:val="center"/>
            </w:pPr>
            <w:r>
              <w:rPr>
                <w:rFonts w:ascii="Times New Roman" w:hAnsi="Times New Roman" w:eastAsia="宋体"/>
                <w:b w:val="0"/>
                <w:sz w:val="18"/>
              </w:rPr>
              <w:t>1.98～2.10</w:t>
            </w:r>
          </w:p>
        </w:tc>
        <w:tc>
          <w:tcPr>
            <w:tcW w:w="1385" w:type="dxa"/>
            <w:tcMar>
              <w:left w:w="70" w:type="dxa"/>
              <w:right w:w="70" w:type="dxa"/>
            </w:tcMar>
            <w:vAlign w:val="center"/>
          </w:tcPr>
          <w:p w14:paraId="74EE8640">
            <w:pPr>
              <w:keepNext/>
              <w:spacing w:before="20" w:after="20" w:line="260" w:lineRule="exact"/>
              <w:ind w:left="0" w:leftChars="0" w:right="0" w:rightChars="0" w:firstLine="0" w:firstLineChars="0"/>
              <w:jc w:val="center"/>
            </w:pPr>
            <w:r>
              <w:rPr>
                <w:rFonts w:ascii="Times New Roman" w:hAnsi="Times New Roman" w:eastAsia="宋体"/>
                <w:b w:val="0"/>
                <w:sz w:val="18"/>
              </w:rPr>
              <w:t>1.77～1.94</w:t>
            </w:r>
          </w:p>
        </w:tc>
        <w:tc>
          <w:tcPr>
            <w:tcW w:w="1385" w:type="dxa"/>
            <w:tcMar>
              <w:left w:w="70" w:type="dxa"/>
              <w:right w:w="70" w:type="dxa"/>
            </w:tcMar>
            <w:vAlign w:val="center"/>
          </w:tcPr>
          <w:p w14:paraId="699BCACE">
            <w:pPr>
              <w:keepNext/>
              <w:spacing w:before="20" w:after="20" w:line="260" w:lineRule="exact"/>
              <w:ind w:left="0" w:leftChars="0" w:right="0" w:rightChars="0" w:firstLine="0" w:firstLineChars="0"/>
              <w:jc w:val="center"/>
            </w:pPr>
            <w:r>
              <w:rPr>
                <w:rFonts w:ascii="Times New Roman" w:hAnsi="Times New Roman" w:eastAsia="宋体"/>
                <w:b w:val="0"/>
                <w:sz w:val="18"/>
              </w:rPr>
              <w:t>1.61～1.78</w:t>
            </w:r>
          </w:p>
        </w:tc>
        <w:tc>
          <w:tcPr>
            <w:tcW w:w="1385" w:type="dxa"/>
            <w:tcMar>
              <w:left w:w="70" w:type="dxa"/>
              <w:right w:w="70" w:type="dxa"/>
            </w:tcMar>
            <w:vAlign w:val="center"/>
          </w:tcPr>
          <w:p w14:paraId="17411A78">
            <w:pPr>
              <w:keepNext/>
              <w:spacing w:before="20" w:after="20" w:line="260" w:lineRule="exact"/>
              <w:ind w:left="0" w:leftChars="0" w:right="0" w:rightChars="0" w:firstLine="0" w:firstLineChars="0"/>
              <w:jc w:val="center"/>
            </w:pPr>
            <w:r>
              <w:rPr>
                <w:rFonts w:ascii="Times New Roman" w:hAnsi="Times New Roman" w:eastAsia="宋体"/>
                <w:b w:val="0"/>
                <w:sz w:val="18"/>
              </w:rPr>
              <w:t>1.52～1.78</w:t>
            </w:r>
          </w:p>
        </w:tc>
      </w:tr>
      <w:tr w14:paraId="447836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022E566">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846AA83">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49CDF8E1">
            <w:pPr>
              <w:keepNext/>
              <w:spacing w:before="20" w:after="20" w:line="260" w:lineRule="exact"/>
              <w:ind w:left="0" w:leftChars="0" w:right="0" w:rightChars="0" w:firstLine="0" w:firstLineChars="0"/>
              <w:jc w:val="center"/>
            </w:pPr>
            <w:r>
              <w:rPr>
                <w:rFonts w:ascii="Times New Roman" w:hAnsi="Times New Roman" w:eastAsia="宋体"/>
                <w:b w:val="0"/>
                <w:sz w:val="18"/>
              </w:rPr>
              <w:t>1.98～2.30</w:t>
            </w:r>
          </w:p>
        </w:tc>
        <w:tc>
          <w:tcPr>
            <w:tcW w:w="1385" w:type="dxa"/>
            <w:tcMar>
              <w:left w:w="70" w:type="dxa"/>
              <w:right w:w="70" w:type="dxa"/>
            </w:tcMar>
            <w:vAlign w:val="center"/>
          </w:tcPr>
          <w:p w14:paraId="0C31A60A">
            <w:pPr>
              <w:keepNext/>
              <w:spacing w:before="20" w:after="20" w:line="260" w:lineRule="exact"/>
              <w:ind w:left="0" w:leftChars="0" w:right="0" w:rightChars="0" w:firstLine="0" w:firstLineChars="0"/>
              <w:jc w:val="center"/>
            </w:pPr>
            <w:r>
              <w:rPr>
                <w:rFonts w:ascii="Times New Roman" w:hAnsi="Times New Roman" w:eastAsia="宋体"/>
                <w:b w:val="0"/>
                <w:sz w:val="18"/>
              </w:rPr>
              <w:t>1.77～2.30</w:t>
            </w:r>
          </w:p>
        </w:tc>
        <w:tc>
          <w:tcPr>
            <w:tcW w:w="1385" w:type="dxa"/>
            <w:tcMar>
              <w:left w:w="70" w:type="dxa"/>
              <w:right w:w="70" w:type="dxa"/>
            </w:tcMar>
            <w:vAlign w:val="center"/>
          </w:tcPr>
          <w:p w14:paraId="32AAE37C">
            <w:pPr>
              <w:keepNext/>
              <w:spacing w:before="20" w:after="20" w:line="260" w:lineRule="exact"/>
              <w:ind w:left="0" w:leftChars="0" w:right="0" w:rightChars="0" w:firstLine="0" w:firstLineChars="0"/>
              <w:jc w:val="center"/>
            </w:pPr>
            <w:r>
              <w:rPr>
                <w:rFonts w:ascii="Times New Roman" w:hAnsi="Times New Roman" w:eastAsia="宋体"/>
                <w:b w:val="0"/>
                <w:sz w:val="18"/>
              </w:rPr>
              <w:t>1.61～2.17</w:t>
            </w:r>
          </w:p>
        </w:tc>
        <w:tc>
          <w:tcPr>
            <w:tcW w:w="1385" w:type="dxa"/>
            <w:tcMar>
              <w:left w:w="70" w:type="dxa"/>
              <w:right w:w="70" w:type="dxa"/>
            </w:tcMar>
            <w:vAlign w:val="center"/>
          </w:tcPr>
          <w:p w14:paraId="03DE07D9">
            <w:pPr>
              <w:keepNext/>
              <w:spacing w:before="20" w:after="20" w:line="260" w:lineRule="exact"/>
              <w:ind w:left="0" w:leftChars="0" w:right="0" w:rightChars="0" w:firstLine="0" w:firstLineChars="0"/>
              <w:jc w:val="center"/>
            </w:pPr>
            <w:r>
              <w:rPr>
                <w:rFonts w:ascii="Times New Roman" w:hAnsi="Times New Roman" w:eastAsia="宋体"/>
                <w:b w:val="0"/>
                <w:sz w:val="18"/>
              </w:rPr>
              <w:t>1.52～2.14</w:t>
            </w:r>
          </w:p>
        </w:tc>
      </w:tr>
      <w:tr w14:paraId="462C2B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5B8D848">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269653E3">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92BE86F">
            <w:pPr>
              <w:keepNext/>
              <w:spacing w:before="20" w:after="20" w:line="260" w:lineRule="exact"/>
              <w:ind w:left="0" w:leftChars="0" w:right="0" w:rightChars="0" w:firstLine="0" w:firstLineChars="0"/>
              <w:jc w:val="center"/>
            </w:pPr>
            <w:r>
              <w:rPr>
                <w:rFonts w:ascii="Times New Roman" w:hAnsi="Times New Roman" w:eastAsia="宋体"/>
                <w:b w:val="0"/>
                <w:sz w:val="18"/>
              </w:rPr>
              <w:t>2.29～2.65</w:t>
            </w:r>
          </w:p>
        </w:tc>
        <w:tc>
          <w:tcPr>
            <w:tcW w:w="1385" w:type="dxa"/>
            <w:tcMar>
              <w:left w:w="70" w:type="dxa"/>
              <w:right w:w="70" w:type="dxa"/>
            </w:tcMar>
            <w:vAlign w:val="center"/>
          </w:tcPr>
          <w:p w14:paraId="5C1931C5">
            <w:pPr>
              <w:keepNext/>
              <w:spacing w:before="20" w:after="20" w:line="260" w:lineRule="exact"/>
              <w:ind w:left="0" w:leftChars="0" w:right="0" w:rightChars="0" w:firstLine="0" w:firstLineChars="0"/>
              <w:jc w:val="center"/>
            </w:pPr>
            <w:r>
              <w:rPr>
                <w:rFonts w:ascii="Times New Roman" w:hAnsi="Times New Roman" w:eastAsia="宋体"/>
                <w:b w:val="0"/>
                <w:sz w:val="18"/>
              </w:rPr>
              <w:t>2.13～2.65</w:t>
            </w:r>
          </w:p>
        </w:tc>
        <w:tc>
          <w:tcPr>
            <w:tcW w:w="1385" w:type="dxa"/>
            <w:tcMar>
              <w:left w:w="70" w:type="dxa"/>
              <w:right w:w="70" w:type="dxa"/>
            </w:tcMar>
            <w:vAlign w:val="center"/>
          </w:tcPr>
          <w:p w14:paraId="1C87E94D">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c>
          <w:tcPr>
            <w:tcW w:w="1385" w:type="dxa"/>
            <w:tcMar>
              <w:left w:w="70" w:type="dxa"/>
              <w:right w:w="70" w:type="dxa"/>
            </w:tcMar>
            <w:vAlign w:val="center"/>
          </w:tcPr>
          <w:p w14:paraId="7C3E8785">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r>
      <w:tr w14:paraId="2C097E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C4D98B2">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2B2C390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62A7C92">
            <w:pPr>
              <w:keepNext/>
              <w:spacing w:before="20" w:after="20" w:line="260" w:lineRule="exact"/>
              <w:ind w:left="0" w:leftChars="0" w:right="0" w:rightChars="0" w:firstLine="0" w:firstLineChars="0"/>
              <w:jc w:val="center"/>
            </w:pPr>
            <w:r>
              <w:rPr>
                <w:rFonts w:ascii="Times New Roman" w:hAnsi="Times New Roman" w:eastAsia="宋体"/>
                <w:b w:val="0"/>
                <w:sz w:val="18"/>
              </w:rPr>
              <w:t>1.91～1.92</w:t>
            </w:r>
          </w:p>
        </w:tc>
        <w:tc>
          <w:tcPr>
            <w:tcW w:w="1385" w:type="dxa"/>
            <w:tcMar>
              <w:left w:w="70" w:type="dxa"/>
              <w:right w:w="70" w:type="dxa"/>
            </w:tcMar>
            <w:vAlign w:val="center"/>
          </w:tcPr>
          <w:p w14:paraId="698666C1">
            <w:pPr>
              <w:keepNext/>
              <w:spacing w:before="20" w:after="20" w:line="260" w:lineRule="exact"/>
              <w:ind w:left="0" w:leftChars="0" w:right="0" w:rightChars="0" w:firstLine="0" w:firstLineChars="0"/>
              <w:jc w:val="center"/>
            </w:pPr>
            <w:r>
              <w:rPr>
                <w:rFonts w:ascii="Times New Roman" w:hAnsi="Times New Roman" w:eastAsia="宋体"/>
                <w:b w:val="0"/>
                <w:sz w:val="18"/>
              </w:rPr>
              <w:t>1.76～1.92</w:t>
            </w:r>
          </w:p>
        </w:tc>
        <w:tc>
          <w:tcPr>
            <w:tcW w:w="1385" w:type="dxa"/>
            <w:tcMar>
              <w:left w:w="70" w:type="dxa"/>
              <w:right w:w="70" w:type="dxa"/>
            </w:tcMar>
            <w:vAlign w:val="center"/>
          </w:tcPr>
          <w:p w14:paraId="35599589">
            <w:pPr>
              <w:keepNext/>
              <w:spacing w:before="20" w:after="20" w:line="260" w:lineRule="exact"/>
              <w:ind w:left="0" w:leftChars="0" w:right="0" w:rightChars="0" w:firstLine="0" w:firstLineChars="0"/>
              <w:jc w:val="center"/>
            </w:pPr>
            <w:r>
              <w:rPr>
                <w:rFonts w:ascii="Times New Roman" w:hAnsi="Times New Roman" w:eastAsia="宋体"/>
                <w:b w:val="0"/>
                <w:sz w:val="18"/>
              </w:rPr>
              <w:t>1.50～1.78</w:t>
            </w:r>
          </w:p>
        </w:tc>
        <w:tc>
          <w:tcPr>
            <w:tcW w:w="1385" w:type="dxa"/>
            <w:tcMar>
              <w:left w:w="70" w:type="dxa"/>
              <w:right w:w="70" w:type="dxa"/>
            </w:tcMar>
            <w:vAlign w:val="center"/>
          </w:tcPr>
          <w:p w14:paraId="47BF9E6F">
            <w:pPr>
              <w:keepNext/>
              <w:spacing w:before="20" w:after="20" w:line="260" w:lineRule="exact"/>
              <w:ind w:left="0" w:leftChars="0" w:right="0" w:rightChars="0" w:firstLine="0" w:firstLineChars="0"/>
              <w:jc w:val="center"/>
            </w:pPr>
            <w:r>
              <w:rPr>
                <w:rFonts w:ascii="Times New Roman" w:hAnsi="Times New Roman" w:eastAsia="宋体"/>
                <w:b w:val="0"/>
                <w:sz w:val="18"/>
              </w:rPr>
              <w:t>1.36～1.62</w:t>
            </w:r>
          </w:p>
        </w:tc>
      </w:tr>
      <w:tr w14:paraId="23CF60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2F25A21">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179B09D9">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34483F21">
            <w:pPr>
              <w:keepNext/>
              <w:spacing w:before="20" w:after="20" w:line="260" w:lineRule="exact"/>
              <w:ind w:left="0" w:leftChars="0" w:right="0" w:rightChars="0" w:firstLine="0" w:firstLineChars="0"/>
              <w:jc w:val="center"/>
            </w:pPr>
            <w:r>
              <w:rPr>
                <w:rFonts w:ascii="Times New Roman" w:hAnsi="Times New Roman" w:eastAsia="宋体"/>
                <w:b w:val="0"/>
                <w:sz w:val="18"/>
              </w:rPr>
              <w:t>1.91～2.09</w:t>
            </w:r>
          </w:p>
        </w:tc>
        <w:tc>
          <w:tcPr>
            <w:tcW w:w="1385" w:type="dxa"/>
            <w:tcMar>
              <w:left w:w="70" w:type="dxa"/>
              <w:right w:w="70" w:type="dxa"/>
            </w:tcMar>
            <w:vAlign w:val="center"/>
          </w:tcPr>
          <w:p w14:paraId="5D2CED54">
            <w:pPr>
              <w:keepNext/>
              <w:spacing w:before="20" w:after="20" w:line="260" w:lineRule="exact"/>
              <w:ind w:left="0" w:leftChars="0" w:right="0" w:rightChars="0" w:firstLine="0" w:firstLineChars="0"/>
              <w:jc w:val="center"/>
            </w:pPr>
            <w:r>
              <w:rPr>
                <w:rFonts w:ascii="Times New Roman" w:hAnsi="Times New Roman" w:eastAsia="宋体"/>
                <w:b w:val="0"/>
                <w:sz w:val="18"/>
              </w:rPr>
              <w:t>1.76～2.09</w:t>
            </w:r>
          </w:p>
        </w:tc>
        <w:tc>
          <w:tcPr>
            <w:tcW w:w="1385" w:type="dxa"/>
            <w:tcMar>
              <w:left w:w="70" w:type="dxa"/>
              <w:right w:w="70" w:type="dxa"/>
            </w:tcMar>
            <w:vAlign w:val="center"/>
          </w:tcPr>
          <w:p w14:paraId="60096E7E">
            <w:pPr>
              <w:keepNext/>
              <w:spacing w:before="20" w:after="20" w:line="260" w:lineRule="exact"/>
              <w:ind w:left="0" w:leftChars="0" w:right="0" w:rightChars="0" w:firstLine="0" w:firstLineChars="0"/>
              <w:jc w:val="center"/>
            </w:pPr>
            <w:r>
              <w:rPr>
                <w:rFonts w:ascii="Times New Roman" w:hAnsi="Times New Roman" w:eastAsia="宋体"/>
                <w:b w:val="0"/>
                <w:sz w:val="18"/>
              </w:rPr>
              <w:t>1.50～2.09</w:t>
            </w:r>
          </w:p>
        </w:tc>
        <w:tc>
          <w:tcPr>
            <w:tcW w:w="1385" w:type="dxa"/>
            <w:tcMar>
              <w:left w:w="70" w:type="dxa"/>
              <w:right w:w="70" w:type="dxa"/>
            </w:tcMar>
            <w:vAlign w:val="center"/>
          </w:tcPr>
          <w:p w14:paraId="21F1776E">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3D2F42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42EE23C">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4799AD61">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DC8943D">
            <w:pPr>
              <w:keepNext w:val="0"/>
              <w:spacing w:before="20" w:after="20" w:line="260" w:lineRule="exact"/>
              <w:ind w:left="0" w:leftChars="0" w:right="0" w:rightChars="0" w:firstLine="0" w:firstLineChars="0"/>
              <w:jc w:val="center"/>
            </w:pPr>
            <w:r>
              <w:rPr>
                <w:rFonts w:ascii="Times New Roman" w:hAnsi="Times New Roman" w:eastAsia="宋体"/>
                <w:b w:val="0"/>
                <w:sz w:val="18"/>
              </w:rPr>
              <w:t>2.23～2.49</w:t>
            </w:r>
          </w:p>
        </w:tc>
        <w:tc>
          <w:tcPr>
            <w:tcW w:w="1385" w:type="dxa"/>
            <w:tcMar>
              <w:left w:w="70" w:type="dxa"/>
              <w:right w:w="70" w:type="dxa"/>
            </w:tcMar>
            <w:vAlign w:val="center"/>
          </w:tcPr>
          <w:p w14:paraId="0AD17F9E">
            <w:pPr>
              <w:keepNext w:val="0"/>
              <w:spacing w:before="20" w:after="20" w:line="260" w:lineRule="exact"/>
              <w:ind w:left="0" w:leftChars="0" w:right="0" w:rightChars="0" w:firstLine="0" w:firstLineChars="0"/>
              <w:jc w:val="center"/>
            </w:pPr>
            <w:r>
              <w:rPr>
                <w:rFonts w:ascii="Times New Roman" w:hAnsi="Times New Roman" w:eastAsia="宋体"/>
                <w:b w:val="0"/>
                <w:sz w:val="18"/>
              </w:rPr>
              <w:t>2.08～2.49</w:t>
            </w:r>
          </w:p>
        </w:tc>
        <w:tc>
          <w:tcPr>
            <w:tcW w:w="1385" w:type="dxa"/>
            <w:tcMar>
              <w:left w:w="70" w:type="dxa"/>
              <w:right w:w="70" w:type="dxa"/>
            </w:tcMar>
            <w:vAlign w:val="center"/>
          </w:tcPr>
          <w:p w14:paraId="365AE37A">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051196C3">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14:paraId="7FAC4EC1">
      <w:pPr>
        <w:pStyle w:val="2"/>
        <w:keepNext/>
        <w:spacing w:before="120" w:after="80" w:line="280" w:lineRule="exact"/>
        <w:ind w:firstLine="0"/>
        <w:jc w:val="center"/>
      </w:pPr>
      <w:r>
        <w:rPr>
          <w:rFonts w:ascii="Times New Roman" w:hAnsi="Times New Roman" w:eastAsia="宋体"/>
          <w:b w:val="0"/>
          <w:sz w:val="21"/>
        </w:rPr>
        <w:t>表5-74 电缆长度占比&gt;30%、负荷分散系数1.15的容载比区间矩阵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58216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1DAB0B5">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0C8F8946">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5A7E28CB">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6A915B9A">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0026FB2C">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66245206">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365A03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B8A5D0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7585F57">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F99EB77">
            <w:pPr>
              <w:keepNext/>
              <w:spacing w:before="20" w:after="20" w:line="260" w:lineRule="exact"/>
              <w:ind w:left="0" w:leftChars="0" w:right="0" w:rightChars="0" w:firstLine="0" w:firstLineChars="0"/>
              <w:jc w:val="center"/>
            </w:pPr>
            <w:r>
              <w:rPr>
                <w:rFonts w:ascii="Times New Roman" w:hAnsi="Times New Roman" w:eastAsia="宋体"/>
                <w:b w:val="0"/>
                <w:sz w:val="18"/>
              </w:rPr>
              <w:t>2.00～2.40</w:t>
            </w:r>
          </w:p>
        </w:tc>
        <w:tc>
          <w:tcPr>
            <w:tcW w:w="1385" w:type="dxa"/>
            <w:tcMar>
              <w:left w:w="70" w:type="dxa"/>
              <w:right w:w="70" w:type="dxa"/>
            </w:tcMar>
            <w:vAlign w:val="center"/>
          </w:tcPr>
          <w:p w14:paraId="01F8019F">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4635398E">
            <w:pPr>
              <w:keepNext/>
              <w:spacing w:before="20" w:after="20" w:line="260" w:lineRule="exact"/>
              <w:ind w:left="0" w:leftChars="0" w:right="0" w:rightChars="0" w:firstLine="0" w:firstLineChars="0"/>
              <w:jc w:val="center"/>
            </w:pPr>
            <w:r>
              <w:rPr>
                <w:rFonts w:ascii="Times New Roman" w:hAnsi="Times New Roman" w:eastAsia="宋体"/>
                <w:b w:val="0"/>
                <w:sz w:val="18"/>
              </w:rPr>
              <w:t>1.84～2.04</w:t>
            </w:r>
          </w:p>
        </w:tc>
        <w:tc>
          <w:tcPr>
            <w:tcW w:w="1385" w:type="dxa"/>
            <w:tcMar>
              <w:left w:w="70" w:type="dxa"/>
              <w:right w:w="70" w:type="dxa"/>
            </w:tcMar>
            <w:vAlign w:val="center"/>
          </w:tcPr>
          <w:p w14:paraId="5515A0E4">
            <w:pPr>
              <w:keepNext/>
              <w:spacing w:before="20" w:after="20" w:line="260" w:lineRule="exact"/>
              <w:ind w:left="0" w:leftChars="0" w:right="0" w:rightChars="0" w:firstLine="0" w:firstLineChars="0"/>
              <w:jc w:val="center"/>
            </w:pPr>
            <w:r>
              <w:rPr>
                <w:rFonts w:ascii="Times New Roman" w:hAnsi="Times New Roman" w:eastAsia="宋体"/>
                <w:b w:val="0"/>
                <w:sz w:val="18"/>
              </w:rPr>
              <w:t>1.84～2.00</w:t>
            </w:r>
          </w:p>
        </w:tc>
      </w:tr>
      <w:tr w14:paraId="5A00C7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E2FF462">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3B0AF9F4">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896EF16">
            <w:pPr>
              <w:keepNext/>
              <w:spacing w:before="20" w:after="20" w:line="260" w:lineRule="exact"/>
              <w:ind w:left="0" w:leftChars="0" w:right="0" w:rightChars="0" w:firstLine="0" w:firstLineChars="0"/>
              <w:jc w:val="center"/>
            </w:pPr>
            <w:r>
              <w:rPr>
                <w:rFonts w:ascii="Times New Roman" w:hAnsi="Times New Roman" w:eastAsia="宋体"/>
                <w:b w:val="0"/>
                <w:sz w:val="18"/>
              </w:rPr>
              <w:t>2.00～2.40</w:t>
            </w:r>
          </w:p>
        </w:tc>
        <w:tc>
          <w:tcPr>
            <w:tcW w:w="1385" w:type="dxa"/>
            <w:tcMar>
              <w:left w:w="70" w:type="dxa"/>
              <w:right w:w="70" w:type="dxa"/>
            </w:tcMar>
            <w:vAlign w:val="center"/>
          </w:tcPr>
          <w:p w14:paraId="09D3345F">
            <w:pPr>
              <w:keepNext/>
              <w:spacing w:before="20" w:after="20" w:line="260" w:lineRule="exact"/>
              <w:ind w:left="0" w:leftChars="0" w:right="0" w:rightChars="0" w:firstLine="0" w:firstLineChars="0"/>
              <w:jc w:val="center"/>
            </w:pPr>
            <w:r>
              <w:rPr>
                <w:rFonts w:ascii="Times New Roman" w:hAnsi="Times New Roman" w:eastAsia="宋体"/>
                <w:b w:val="0"/>
                <w:sz w:val="18"/>
              </w:rPr>
              <w:t>1.84～2.22</w:t>
            </w:r>
          </w:p>
        </w:tc>
        <w:tc>
          <w:tcPr>
            <w:tcW w:w="1385" w:type="dxa"/>
            <w:tcMar>
              <w:left w:w="70" w:type="dxa"/>
              <w:right w:w="70" w:type="dxa"/>
            </w:tcMar>
            <w:vAlign w:val="center"/>
          </w:tcPr>
          <w:p w14:paraId="4ADE5797">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c>
          <w:tcPr>
            <w:tcW w:w="1385" w:type="dxa"/>
            <w:tcMar>
              <w:left w:w="70" w:type="dxa"/>
              <w:right w:w="70" w:type="dxa"/>
            </w:tcMar>
            <w:vAlign w:val="center"/>
          </w:tcPr>
          <w:p w14:paraId="5BE878FD">
            <w:pPr>
              <w:keepNext/>
              <w:spacing w:before="20" w:after="20" w:line="260" w:lineRule="exact"/>
              <w:ind w:left="0" w:leftChars="0" w:right="0" w:rightChars="0" w:firstLine="0" w:firstLineChars="0"/>
              <w:jc w:val="center"/>
            </w:pPr>
            <w:r>
              <w:rPr>
                <w:rFonts w:ascii="Times New Roman" w:hAnsi="Times New Roman" w:eastAsia="宋体"/>
                <w:b w:val="0"/>
                <w:sz w:val="18"/>
              </w:rPr>
              <w:t>1.84～2.20</w:t>
            </w:r>
          </w:p>
        </w:tc>
      </w:tr>
      <w:tr w14:paraId="132714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F3DA936">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68D08ECD">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345FBD8">
            <w:pPr>
              <w:keepNext/>
              <w:spacing w:before="20" w:after="20" w:line="260" w:lineRule="exact"/>
              <w:ind w:left="0" w:leftChars="0" w:right="0" w:rightChars="0" w:firstLine="0" w:firstLineChars="0"/>
              <w:jc w:val="center"/>
            </w:pPr>
            <w:r>
              <w:rPr>
                <w:rFonts w:ascii="Times New Roman" w:hAnsi="Times New Roman" w:eastAsia="宋体"/>
                <w:b w:val="0"/>
                <w:sz w:val="18"/>
              </w:rPr>
              <w:t>2.40～3.15</w:t>
            </w:r>
          </w:p>
        </w:tc>
        <w:tc>
          <w:tcPr>
            <w:tcW w:w="1385" w:type="dxa"/>
            <w:tcMar>
              <w:left w:w="70" w:type="dxa"/>
              <w:right w:w="70" w:type="dxa"/>
            </w:tcMar>
            <w:vAlign w:val="center"/>
          </w:tcPr>
          <w:p w14:paraId="069296E8">
            <w:pPr>
              <w:keepNext/>
              <w:spacing w:before="20" w:after="20" w:line="260" w:lineRule="exact"/>
              <w:ind w:left="0" w:leftChars="0" w:right="0" w:rightChars="0" w:firstLine="0" w:firstLineChars="0"/>
              <w:jc w:val="center"/>
            </w:pPr>
            <w:r>
              <w:rPr>
                <w:rFonts w:ascii="Times New Roman" w:hAnsi="Times New Roman" w:eastAsia="宋体"/>
                <w:b w:val="0"/>
                <w:sz w:val="18"/>
              </w:rPr>
              <w:t>2.20～2.91</w:t>
            </w:r>
          </w:p>
        </w:tc>
        <w:tc>
          <w:tcPr>
            <w:tcW w:w="1385" w:type="dxa"/>
            <w:tcMar>
              <w:left w:w="70" w:type="dxa"/>
              <w:right w:w="70" w:type="dxa"/>
            </w:tcMar>
            <w:vAlign w:val="center"/>
          </w:tcPr>
          <w:p w14:paraId="0566B53E">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c>
          <w:tcPr>
            <w:tcW w:w="1385" w:type="dxa"/>
            <w:tcMar>
              <w:left w:w="70" w:type="dxa"/>
              <w:right w:w="70" w:type="dxa"/>
            </w:tcMar>
            <w:vAlign w:val="center"/>
          </w:tcPr>
          <w:p w14:paraId="40E6CE94">
            <w:pPr>
              <w:keepNext/>
              <w:spacing w:before="20" w:after="20" w:line="260" w:lineRule="exact"/>
              <w:ind w:left="0" w:leftChars="0" w:right="0" w:rightChars="0" w:firstLine="0" w:firstLineChars="0"/>
              <w:jc w:val="center"/>
            </w:pPr>
            <w:r>
              <w:rPr>
                <w:rFonts w:ascii="Times New Roman" w:hAnsi="Times New Roman" w:eastAsia="宋体"/>
                <w:b w:val="0"/>
                <w:sz w:val="18"/>
              </w:rPr>
              <w:t>2.20～2.84</w:t>
            </w:r>
          </w:p>
        </w:tc>
      </w:tr>
      <w:tr w14:paraId="34E92E0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80F1425">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7DA3C86D">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71368D2">
            <w:pPr>
              <w:keepNext/>
              <w:spacing w:before="20" w:after="20" w:line="260" w:lineRule="exact"/>
              <w:ind w:left="0" w:leftChars="0" w:right="0" w:rightChars="0" w:firstLine="0" w:firstLineChars="0"/>
              <w:jc w:val="center"/>
            </w:pPr>
            <w:r>
              <w:rPr>
                <w:rFonts w:ascii="Times New Roman" w:hAnsi="Times New Roman" w:eastAsia="宋体"/>
                <w:b w:val="0"/>
                <w:sz w:val="18"/>
              </w:rPr>
              <w:t>1.95～2.32</w:t>
            </w:r>
          </w:p>
        </w:tc>
        <w:tc>
          <w:tcPr>
            <w:tcW w:w="1385" w:type="dxa"/>
            <w:tcMar>
              <w:left w:w="70" w:type="dxa"/>
              <w:right w:w="70" w:type="dxa"/>
            </w:tcMar>
            <w:vAlign w:val="center"/>
          </w:tcPr>
          <w:p w14:paraId="765E2A3B">
            <w:pPr>
              <w:keepNext/>
              <w:spacing w:before="20" w:after="20" w:line="260" w:lineRule="exact"/>
              <w:ind w:left="0" w:leftChars="0" w:right="0" w:rightChars="0" w:firstLine="0" w:firstLineChars="0"/>
              <w:jc w:val="center"/>
            </w:pPr>
            <w:r>
              <w:rPr>
                <w:rFonts w:ascii="Times New Roman" w:hAnsi="Times New Roman" w:eastAsia="宋体"/>
                <w:b w:val="0"/>
                <w:sz w:val="18"/>
              </w:rPr>
              <w:t>1.77～2.06</w:t>
            </w:r>
          </w:p>
        </w:tc>
        <w:tc>
          <w:tcPr>
            <w:tcW w:w="1385" w:type="dxa"/>
            <w:tcMar>
              <w:left w:w="70" w:type="dxa"/>
              <w:right w:w="70" w:type="dxa"/>
            </w:tcMar>
            <w:vAlign w:val="center"/>
          </w:tcPr>
          <w:p w14:paraId="018743D2">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c>
          <w:tcPr>
            <w:tcW w:w="1385" w:type="dxa"/>
            <w:tcMar>
              <w:left w:w="70" w:type="dxa"/>
              <w:right w:w="70" w:type="dxa"/>
            </w:tcMar>
            <w:vAlign w:val="center"/>
          </w:tcPr>
          <w:p w14:paraId="0B1E6ABB">
            <w:pPr>
              <w:keepNext/>
              <w:spacing w:before="20" w:after="20" w:line="260" w:lineRule="exact"/>
              <w:ind w:left="0" w:leftChars="0" w:right="0" w:rightChars="0" w:firstLine="0" w:firstLineChars="0"/>
              <w:jc w:val="center"/>
            </w:pPr>
            <w:r>
              <w:rPr>
                <w:rFonts w:ascii="Times New Roman" w:hAnsi="Times New Roman" w:eastAsia="宋体"/>
                <w:b w:val="0"/>
                <w:sz w:val="18"/>
              </w:rPr>
              <w:t>1.70～1.89</w:t>
            </w:r>
          </w:p>
        </w:tc>
      </w:tr>
      <w:tr w14:paraId="4DC5BC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419D27C">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73E51F72">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F68BFBC">
            <w:pPr>
              <w:keepNext/>
              <w:spacing w:before="20" w:after="20" w:line="260" w:lineRule="exact"/>
              <w:ind w:left="0" w:leftChars="0" w:right="0" w:rightChars="0" w:firstLine="0" w:firstLineChars="0"/>
              <w:jc w:val="center"/>
            </w:pPr>
            <w:r>
              <w:rPr>
                <w:rFonts w:ascii="Times New Roman" w:hAnsi="Times New Roman" w:eastAsia="宋体"/>
                <w:b w:val="0"/>
                <w:sz w:val="18"/>
              </w:rPr>
              <w:t>1.95～2.43</w:t>
            </w:r>
          </w:p>
        </w:tc>
        <w:tc>
          <w:tcPr>
            <w:tcW w:w="1385" w:type="dxa"/>
            <w:tcMar>
              <w:left w:w="70" w:type="dxa"/>
              <w:right w:w="70" w:type="dxa"/>
            </w:tcMar>
            <w:vAlign w:val="center"/>
          </w:tcPr>
          <w:p w14:paraId="4A012A4A">
            <w:pPr>
              <w:keepNext/>
              <w:spacing w:before="20" w:after="20" w:line="260" w:lineRule="exact"/>
              <w:ind w:left="0" w:leftChars="0" w:right="0" w:rightChars="0" w:firstLine="0" w:firstLineChars="0"/>
              <w:jc w:val="center"/>
            </w:pPr>
            <w:r>
              <w:rPr>
                <w:rFonts w:ascii="Times New Roman" w:hAnsi="Times New Roman" w:eastAsia="宋体"/>
                <w:b w:val="0"/>
                <w:sz w:val="18"/>
              </w:rPr>
              <w:t>1.77～2.32</w:t>
            </w:r>
          </w:p>
        </w:tc>
        <w:tc>
          <w:tcPr>
            <w:tcW w:w="1385" w:type="dxa"/>
            <w:tcMar>
              <w:left w:w="70" w:type="dxa"/>
              <w:right w:w="70" w:type="dxa"/>
            </w:tcMar>
            <w:vAlign w:val="center"/>
          </w:tcPr>
          <w:p w14:paraId="002EC934">
            <w:pPr>
              <w:keepNext/>
              <w:spacing w:before="20" w:after="20" w:line="260" w:lineRule="exact"/>
              <w:ind w:left="0" w:leftChars="0" w:right="0" w:rightChars="0" w:firstLine="0" w:firstLineChars="0"/>
              <w:jc w:val="center"/>
            </w:pPr>
            <w:r>
              <w:rPr>
                <w:rFonts w:ascii="Times New Roman" w:hAnsi="Times New Roman" w:eastAsia="宋体"/>
                <w:b w:val="0"/>
                <w:sz w:val="18"/>
              </w:rPr>
              <w:t>1.70～2.06</w:t>
            </w:r>
          </w:p>
        </w:tc>
        <w:tc>
          <w:tcPr>
            <w:tcW w:w="1385" w:type="dxa"/>
            <w:tcMar>
              <w:left w:w="70" w:type="dxa"/>
              <w:right w:w="70" w:type="dxa"/>
            </w:tcMar>
            <w:vAlign w:val="center"/>
          </w:tcPr>
          <w:p w14:paraId="0E6421FF">
            <w:pPr>
              <w:keepNext/>
              <w:spacing w:before="20" w:after="20" w:line="260" w:lineRule="exact"/>
              <w:ind w:left="0" w:leftChars="0" w:right="0" w:rightChars="0" w:firstLine="0" w:firstLineChars="0"/>
              <w:jc w:val="center"/>
            </w:pPr>
            <w:r>
              <w:rPr>
                <w:rFonts w:ascii="Times New Roman" w:hAnsi="Times New Roman" w:eastAsia="宋体"/>
                <w:b w:val="0"/>
                <w:sz w:val="18"/>
              </w:rPr>
              <w:t>1.70～1.96</w:t>
            </w:r>
          </w:p>
        </w:tc>
      </w:tr>
      <w:tr w14:paraId="30F042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B48A658">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1806E5C5">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23D3AD58">
            <w:pPr>
              <w:keepNext/>
              <w:spacing w:before="20" w:after="20" w:line="260" w:lineRule="exact"/>
              <w:ind w:left="0" w:leftChars="0" w:right="0" w:rightChars="0" w:firstLine="0" w:firstLineChars="0"/>
              <w:jc w:val="center"/>
            </w:pPr>
            <w:r>
              <w:rPr>
                <w:rFonts w:ascii="Times New Roman" w:hAnsi="Times New Roman" w:eastAsia="宋体"/>
                <w:b w:val="0"/>
                <w:sz w:val="18"/>
              </w:rPr>
              <w:t>2.42～2.92</w:t>
            </w:r>
          </w:p>
        </w:tc>
        <w:tc>
          <w:tcPr>
            <w:tcW w:w="1385" w:type="dxa"/>
            <w:tcMar>
              <w:left w:w="70" w:type="dxa"/>
              <w:right w:w="70" w:type="dxa"/>
            </w:tcMar>
            <w:vAlign w:val="center"/>
          </w:tcPr>
          <w:p w14:paraId="00AE90F6">
            <w:pPr>
              <w:keepNext/>
              <w:spacing w:before="20" w:after="20" w:line="260" w:lineRule="exact"/>
              <w:ind w:left="0" w:leftChars="0" w:right="0" w:rightChars="0" w:firstLine="0" w:firstLineChars="0"/>
              <w:jc w:val="center"/>
            </w:pPr>
            <w:r>
              <w:rPr>
                <w:rFonts w:ascii="Times New Roman" w:hAnsi="Times New Roman" w:eastAsia="宋体"/>
                <w:b w:val="0"/>
                <w:sz w:val="18"/>
              </w:rPr>
              <w:t>2.25～2.92</w:t>
            </w:r>
          </w:p>
        </w:tc>
        <w:tc>
          <w:tcPr>
            <w:tcW w:w="1385" w:type="dxa"/>
            <w:tcMar>
              <w:left w:w="70" w:type="dxa"/>
              <w:right w:w="70" w:type="dxa"/>
            </w:tcMar>
            <w:vAlign w:val="center"/>
          </w:tcPr>
          <w:p w14:paraId="778264AB">
            <w:pPr>
              <w:keepNext/>
              <w:spacing w:before="20" w:after="20" w:line="260" w:lineRule="exact"/>
              <w:ind w:left="0" w:leftChars="0" w:right="0" w:rightChars="0" w:firstLine="0" w:firstLineChars="0"/>
              <w:jc w:val="center"/>
            </w:pPr>
            <w:r>
              <w:rPr>
                <w:rFonts w:ascii="Times New Roman" w:hAnsi="Times New Roman" w:eastAsia="宋体"/>
                <w:b w:val="0"/>
                <w:sz w:val="18"/>
              </w:rPr>
              <w:t>2.25～2.81</w:t>
            </w:r>
          </w:p>
        </w:tc>
        <w:tc>
          <w:tcPr>
            <w:tcW w:w="1385" w:type="dxa"/>
            <w:tcMar>
              <w:left w:w="70" w:type="dxa"/>
              <w:right w:w="70" w:type="dxa"/>
            </w:tcMar>
            <w:vAlign w:val="center"/>
          </w:tcPr>
          <w:p w14:paraId="254122AF">
            <w:pPr>
              <w:keepNext/>
              <w:spacing w:before="20" w:after="20" w:line="260" w:lineRule="exact"/>
              <w:ind w:left="0" w:leftChars="0" w:right="0" w:rightChars="0" w:firstLine="0" w:firstLineChars="0"/>
              <w:jc w:val="center"/>
            </w:pPr>
            <w:r>
              <w:rPr>
                <w:rFonts w:ascii="Times New Roman" w:hAnsi="Times New Roman" w:eastAsia="宋体"/>
                <w:b w:val="0"/>
                <w:sz w:val="18"/>
              </w:rPr>
              <w:t>2.25～2.71</w:t>
            </w:r>
          </w:p>
        </w:tc>
      </w:tr>
      <w:tr w14:paraId="3E9A68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6610D40">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1B10E2EF">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730E4D43">
            <w:pPr>
              <w:keepNext/>
              <w:spacing w:before="20" w:after="20" w:line="260" w:lineRule="exact"/>
              <w:ind w:left="0" w:leftChars="0" w:right="0" w:rightChars="0" w:firstLine="0" w:firstLineChars="0"/>
              <w:jc w:val="center"/>
            </w:pPr>
            <w:r>
              <w:rPr>
                <w:rFonts w:ascii="Times New Roman" w:hAnsi="Times New Roman" w:eastAsia="宋体"/>
                <w:b w:val="0"/>
                <w:sz w:val="18"/>
              </w:rPr>
              <w:t>1.98～2.10</w:t>
            </w:r>
          </w:p>
        </w:tc>
        <w:tc>
          <w:tcPr>
            <w:tcW w:w="1385" w:type="dxa"/>
            <w:tcMar>
              <w:left w:w="70" w:type="dxa"/>
              <w:right w:w="70" w:type="dxa"/>
            </w:tcMar>
            <w:vAlign w:val="center"/>
          </w:tcPr>
          <w:p w14:paraId="6845BB71">
            <w:pPr>
              <w:keepNext/>
              <w:spacing w:before="20" w:after="20" w:line="260" w:lineRule="exact"/>
              <w:ind w:left="0" w:leftChars="0" w:right="0" w:rightChars="0" w:firstLine="0" w:firstLineChars="0"/>
              <w:jc w:val="center"/>
            </w:pPr>
            <w:r>
              <w:rPr>
                <w:rFonts w:ascii="Times New Roman" w:hAnsi="Times New Roman" w:eastAsia="宋体"/>
                <w:b w:val="0"/>
                <w:sz w:val="18"/>
              </w:rPr>
              <w:t>1.77～2.07</w:t>
            </w:r>
          </w:p>
        </w:tc>
        <w:tc>
          <w:tcPr>
            <w:tcW w:w="1385" w:type="dxa"/>
            <w:tcMar>
              <w:left w:w="70" w:type="dxa"/>
              <w:right w:w="70" w:type="dxa"/>
            </w:tcMar>
            <w:vAlign w:val="center"/>
          </w:tcPr>
          <w:p w14:paraId="7BF7589B">
            <w:pPr>
              <w:keepNext/>
              <w:spacing w:before="20" w:after="20" w:line="260" w:lineRule="exact"/>
              <w:ind w:left="0" w:leftChars="0" w:right="0" w:rightChars="0" w:firstLine="0" w:firstLineChars="0"/>
              <w:jc w:val="center"/>
            </w:pPr>
            <w:r>
              <w:rPr>
                <w:rFonts w:ascii="Times New Roman" w:hAnsi="Times New Roman" w:eastAsia="宋体"/>
                <w:b w:val="0"/>
                <w:sz w:val="18"/>
              </w:rPr>
              <w:t>1.67～1.94</w:t>
            </w:r>
          </w:p>
        </w:tc>
        <w:tc>
          <w:tcPr>
            <w:tcW w:w="1385" w:type="dxa"/>
            <w:tcMar>
              <w:left w:w="70" w:type="dxa"/>
              <w:right w:w="70" w:type="dxa"/>
            </w:tcMar>
            <w:vAlign w:val="center"/>
          </w:tcPr>
          <w:p w14:paraId="5D510CFA">
            <w:pPr>
              <w:keepNext/>
              <w:spacing w:before="20" w:after="20" w:line="260" w:lineRule="exact"/>
              <w:ind w:left="0" w:leftChars="0" w:right="0" w:rightChars="0" w:firstLine="0" w:firstLineChars="0"/>
              <w:jc w:val="center"/>
            </w:pPr>
            <w:r>
              <w:rPr>
                <w:rFonts w:ascii="Times New Roman" w:hAnsi="Times New Roman" w:eastAsia="宋体"/>
                <w:b w:val="0"/>
                <w:sz w:val="18"/>
              </w:rPr>
              <w:t>1.52～1.78</w:t>
            </w:r>
          </w:p>
        </w:tc>
      </w:tr>
      <w:tr w14:paraId="1EBA53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DB6380E">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5947CA29">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5BF29DB">
            <w:pPr>
              <w:keepNext/>
              <w:spacing w:before="20" w:after="20" w:line="260" w:lineRule="exact"/>
              <w:ind w:left="0" w:leftChars="0" w:right="0" w:rightChars="0" w:firstLine="0" w:firstLineChars="0"/>
              <w:jc w:val="center"/>
            </w:pPr>
            <w:r>
              <w:rPr>
                <w:rFonts w:ascii="Times New Roman" w:hAnsi="Times New Roman" w:eastAsia="宋体"/>
                <w:b w:val="0"/>
                <w:sz w:val="18"/>
              </w:rPr>
              <w:t>1.98～2.30</w:t>
            </w:r>
          </w:p>
        </w:tc>
        <w:tc>
          <w:tcPr>
            <w:tcW w:w="1385" w:type="dxa"/>
            <w:tcMar>
              <w:left w:w="70" w:type="dxa"/>
              <w:right w:w="70" w:type="dxa"/>
            </w:tcMar>
            <w:vAlign w:val="center"/>
          </w:tcPr>
          <w:p w14:paraId="18DD0B74">
            <w:pPr>
              <w:keepNext/>
              <w:spacing w:before="20" w:after="20" w:line="260" w:lineRule="exact"/>
              <w:ind w:left="0" w:leftChars="0" w:right="0" w:rightChars="0" w:firstLine="0" w:firstLineChars="0"/>
              <w:jc w:val="center"/>
            </w:pPr>
            <w:r>
              <w:rPr>
                <w:rFonts w:ascii="Times New Roman" w:hAnsi="Times New Roman" w:eastAsia="宋体"/>
                <w:b w:val="0"/>
                <w:sz w:val="18"/>
              </w:rPr>
              <w:t>1.77～2.30</w:t>
            </w:r>
          </w:p>
        </w:tc>
        <w:tc>
          <w:tcPr>
            <w:tcW w:w="1385" w:type="dxa"/>
            <w:tcMar>
              <w:left w:w="70" w:type="dxa"/>
              <w:right w:w="70" w:type="dxa"/>
            </w:tcMar>
            <w:vAlign w:val="center"/>
          </w:tcPr>
          <w:p w14:paraId="413970EE">
            <w:pPr>
              <w:keepNext/>
              <w:spacing w:before="20" w:after="20" w:line="260" w:lineRule="exact"/>
              <w:ind w:left="0" w:leftChars="0" w:right="0" w:rightChars="0" w:firstLine="0" w:firstLineChars="0"/>
              <w:jc w:val="center"/>
            </w:pPr>
            <w:r>
              <w:rPr>
                <w:rFonts w:ascii="Times New Roman" w:hAnsi="Times New Roman" w:eastAsia="宋体"/>
                <w:b w:val="0"/>
                <w:sz w:val="18"/>
              </w:rPr>
              <w:t>1.67～2.30</w:t>
            </w:r>
          </w:p>
        </w:tc>
        <w:tc>
          <w:tcPr>
            <w:tcW w:w="1385" w:type="dxa"/>
            <w:tcMar>
              <w:left w:w="70" w:type="dxa"/>
              <w:right w:w="70" w:type="dxa"/>
            </w:tcMar>
            <w:vAlign w:val="center"/>
          </w:tcPr>
          <w:p w14:paraId="675F33FD">
            <w:pPr>
              <w:keepNext/>
              <w:spacing w:before="20" w:after="20" w:line="260" w:lineRule="exact"/>
              <w:ind w:left="0" w:leftChars="0" w:right="0" w:rightChars="0" w:firstLine="0" w:firstLineChars="0"/>
              <w:jc w:val="center"/>
            </w:pPr>
            <w:r>
              <w:rPr>
                <w:rFonts w:ascii="Times New Roman" w:hAnsi="Times New Roman" w:eastAsia="宋体"/>
                <w:b w:val="0"/>
                <w:sz w:val="18"/>
              </w:rPr>
              <w:t>1.52～2.14</w:t>
            </w:r>
          </w:p>
        </w:tc>
      </w:tr>
      <w:tr w14:paraId="24DBA0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D26BA25">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33B07D47">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1012B916">
            <w:pPr>
              <w:keepNext/>
              <w:spacing w:before="20" w:after="20" w:line="260" w:lineRule="exact"/>
              <w:ind w:left="0" w:leftChars="0" w:right="0" w:rightChars="0" w:firstLine="0" w:firstLineChars="0"/>
              <w:jc w:val="center"/>
            </w:pPr>
            <w:r>
              <w:rPr>
                <w:rFonts w:ascii="Times New Roman" w:hAnsi="Times New Roman" w:eastAsia="宋体"/>
                <w:b w:val="0"/>
                <w:sz w:val="18"/>
              </w:rPr>
              <w:t>2.29～2.65</w:t>
            </w:r>
          </w:p>
        </w:tc>
        <w:tc>
          <w:tcPr>
            <w:tcW w:w="1385" w:type="dxa"/>
            <w:tcMar>
              <w:left w:w="70" w:type="dxa"/>
              <w:right w:w="70" w:type="dxa"/>
            </w:tcMar>
            <w:vAlign w:val="center"/>
          </w:tcPr>
          <w:p w14:paraId="069246F2">
            <w:pPr>
              <w:keepNext/>
              <w:spacing w:before="20" w:after="20" w:line="260" w:lineRule="exact"/>
              <w:ind w:left="0" w:leftChars="0" w:right="0" w:rightChars="0" w:firstLine="0" w:firstLineChars="0"/>
              <w:jc w:val="center"/>
            </w:pPr>
            <w:r>
              <w:rPr>
                <w:rFonts w:ascii="Times New Roman" w:hAnsi="Times New Roman" w:eastAsia="宋体"/>
                <w:b w:val="0"/>
                <w:sz w:val="18"/>
              </w:rPr>
              <w:t>2.16～2.65</w:t>
            </w:r>
          </w:p>
        </w:tc>
        <w:tc>
          <w:tcPr>
            <w:tcW w:w="1385" w:type="dxa"/>
            <w:tcMar>
              <w:left w:w="70" w:type="dxa"/>
              <w:right w:w="70" w:type="dxa"/>
            </w:tcMar>
            <w:vAlign w:val="center"/>
          </w:tcPr>
          <w:p w14:paraId="0BD94171">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c>
          <w:tcPr>
            <w:tcW w:w="1385" w:type="dxa"/>
            <w:tcMar>
              <w:left w:w="70" w:type="dxa"/>
              <w:right w:w="70" w:type="dxa"/>
            </w:tcMar>
            <w:vAlign w:val="center"/>
          </w:tcPr>
          <w:p w14:paraId="7DF9F325">
            <w:pPr>
              <w:keepNext/>
              <w:spacing w:before="20" w:after="20" w:line="260" w:lineRule="exact"/>
              <w:ind w:left="0" w:leftChars="0" w:right="0" w:rightChars="0" w:firstLine="0" w:firstLineChars="0"/>
              <w:jc w:val="center"/>
            </w:pPr>
            <w:r>
              <w:rPr>
                <w:rFonts w:ascii="Times New Roman" w:hAnsi="Times New Roman" w:eastAsia="宋体"/>
                <w:b w:val="0"/>
                <w:sz w:val="18"/>
              </w:rPr>
              <w:t>2.01～2.65</w:t>
            </w:r>
          </w:p>
        </w:tc>
      </w:tr>
      <w:tr w14:paraId="49283A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5D0BCE7">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05EABC35">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6DAE89C1">
            <w:pPr>
              <w:keepNext/>
              <w:spacing w:before="20" w:after="20" w:line="260" w:lineRule="exact"/>
              <w:ind w:left="0" w:leftChars="0" w:right="0" w:rightChars="0" w:firstLine="0" w:firstLineChars="0"/>
              <w:jc w:val="center"/>
            </w:pPr>
            <w:r>
              <w:rPr>
                <w:rFonts w:ascii="Times New Roman" w:hAnsi="Times New Roman" w:eastAsia="宋体"/>
                <w:b w:val="0"/>
                <w:sz w:val="18"/>
              </w:rPr>
              <w:t>1.94～2.06</w:t>
            </w:r>
          </w:p>
        </w:tc>
        <w:tc>
          <w:tcPr>
            <w:tcW w:w="1385" w:type="dxa"/>
            <w:tcMar>
              <w:left w:w="70" w:type="dxa"/>
              <w:right w:w="70" w:type="dxa"/>
            </w:tcMar>
            <w:vAlign w:val="center"/>
          </w:tcPr>
          <w:p w14:paraId="760C8C86">
            <w:pPr>
              <w:keepNext/>
              <w:spacing w:before="20" w:after="20" w:line="260" w:lineRule="exact"/>
              <w:ind w:left="0" w:leftChars="0" w:right="0" w:rightChars="0" w:firstLine="0" w:firstLineChars="0"/>
              <w:jc w:val="center"/>
            </w:pPr>
            <w:r>
              <w:rPr>
                <w:rFonts w:ascii="Times New Roman" w:hAnsi="Times New Roman" w:eastAsia="宋体"/>
                <w:b w:val="0"/>
                <w:sz w:val="18"/>
              </w:rPr>
              <w:t>1.91～1.99</w:t>
            </w:r>
          </w:p>
        </w:tc>
        <w:tc>
          <w:tcPr>
            <w:tcW w:w="1385" w:type="dxa"/>
            <w:tcMar>
              <w:left w:w="70" w:type="dxa"/>
              <w:right w:w="70" w:type="dxa"/>
            </w:tcMar>
            <w:vAlign w:val="center"/>
          </w:tcPr>
          <w:p w14:paraId="4297FEE0">
            <w:pPr>
              <w:keepNext/>
              <w:spacing w:before="20" w:after="20" w:line="260" w:lineRule="exact"/>
              <w:ind w:left="0" w:leftChars="0" w:right="0" w:rightChars="0" w:firstLine="0" w:firstLineChars="0"/>
              <w:jc w:val="center"/>
            </w:pPr>
            <w:r>
              <w:rPr>
                <w:rFonts w:ascii="Times New Roman" w:hAnsi="Times New Roman" w:eastAsia="宋体"/>
                <w:b w:val="0"/>
                <w:sz w:val="18"/>
              </w:rPr>
              <w:t>1.61～1.92</w:t>
            </w:r>
          </w:p>
        </w:tc>
        <w:tc>
          <w:tcPr>
            <w:tcW w:w="1385" w:type="dxa"/>
            <w:tcMar>
              <w:left w:w="70" w:type="dxa"/>
              <w:right w:w="70" w:type="dxa"/>
            </w:tcMar>
            <w:vAlign w:val="center"/>
          </w:tcPr>
          <w:p w14:paraId="1A1396C2">
            <w:pPr>
              <w:keepNext/>
              <w:spacing w:before="20" w:after="20" w:line="260" w:lineRule="exact"/>
              <w:ind w:left="0" w:leftChars="0" w:right="0" w:rightChars="0" w:firstLine="0" w:firstLineChars="0"/>
              <w:jc w:val="center"/>
            </w:pPr>
            <w:r>
              <w:rPr>
                <w:rFonts w:ascii="Times New Roman" w:hAnsi="Times New Roman" w:eastAsia="宋体"/>
                <w:b w:val="0"/>
                <w:sz w:val="18"/>
              </w:rPr>
              <w:t>1.36～1.62</w:t>
            </w:r>
          </w:p>
        </w:tc>
      </w:tr>
      <w:tr w14:paraId="33A620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C417EAB">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6B6933CD">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70E05044">
            <w:pPr>
              <w:keepNext/>
              <w:spacing w:before="20" w:after="20" w:line="260" w:lineRule="exact"/>
              <w:ind w:left="0" w:leftChars="0" w:right="0" w:rightChars="0" w:firstLine="0" w:firstLineChars="0"/>
              <w:jc w:val="center"/>
            </w:pPr>
            <w:r>
              <w:rPr>
                <w:rFonts w:ascii="Times New Roman" w:hAnsi="Times New Roman" w:eastAsia="宋体"/>
                <w:b w:val="0"/>
                <w:sz w:val="18"/>
              </w:rPr>
              <w:t>1.94～2.06</w:t>
            </w:r>
          </w:p>
        </w:tc>
        <w:tc>
          <w:tcPr>
            <w:tcW w:w="1385" w:type="dxa"/>
            <w:tcMar>
              <w:left w:w="70" w:type="dxa"/>
              <w:right w:w="70" w:type="dxa"/>
            </w:tcMar>
            <w:vAlign w:val="center"/>
          </w:tcPr>
          <w:p w14:paraId="0E2CA149">
            <w:pPr>
              <w:keepNext/>
              <w:spacing w:before="20" w:after="20" w:line="260" w:lineRule="exact"/>
              <w:ind w:left="0" w:leftChars="0" w:right="0" w:rightChars="0" w:firstLine="0" w:firstLineChars="0"/>
              <w:jc w:val="center"/>
            </w:pPr>
            <w:r>
              <w:rPr>
                <w:rFonts w:ascii="Times New Roman" w:hAnsi="Times New Roman" w:eastAsia="宋体"/>
                <w:b w:val="0"/>
                <w:sz w:val="18"/>
              </w:rPr>
              <w:t>1.91～2.24</w:t>
            </w:r>
          </w:p>
        </w:tc>
        <w:tc>
          <w:tcPr>
            <w:tcW w:w="1385" w:type="dxa"/>
            <w:tcMar>
              <w:left w:w="70" w:type="dxa"/>
              <w:right w:w="70" w:type="dxa"/>
            </w:tcMar>
            <w:vAlign w:val="center"/>
          </w:tcPr>
          <w:p w14:paraId="4092296F">
            <w:pPr>
              <w:keepNext/>
              <w:spacing w:before="20" w:after="20" w:line="260" w:lineRule="exact"/>
              <w:ind w:left="0" w:leftChars="0" w:right="0" w:rightChars="0" w:firstLine="0" w:firstLineChars="0"/>
              <w:jc w:val="center"/>
            </w:pPr>
            <w:r>
              <w:rPr>
                <w:rFonts w:ascii="Times New Roman" w:hAnsi="Times New Roman" w:eastAsia="宋体"/>
                <w:b w:val="0"/>
                <w:sz w:val="18"/>
              </w:rPr>
              <w:t>1.61～2.09</w:t>
            </w:r>
          </w:p>
        </w:tc>
        <w:tc>
          <w:tcPr>
            <w:tcW w:w="1385" w:type="dxa"/>
            <w:tcMar>
              <w:left w:w="70" w:type="dxa"/>
              <w:right w:w="70" w:type="dxa"/>
            </w:tcMar>
            <w:vAlign w:val="center"/>
          </w:tcPr>
          <w:p w14:paraId="10A74233">
            <w:pPr>
              <w:keepNext/>
              <w:spacing w:before="20" w:after="20" w:line="260" w:lineRule="exact"/>
              <w:ind w:left="0" w:leftChars="0" w:right="0" w:rightChars="0" w:firstLine="0" w:firstLineChars="0"/>
              <w:jc w:val="center"/>
            </w:pPr>
            <w:r>
              <w:rPr>
                <w:rFonts w:ascii="Times New Roman" w:hAnsi="Times New Roman" w:eastAsia="宋体"/>
                <w:b w:val="0"/>
                <w:sz w:val="18"/>
              </w:rPr>
              <w:t>1.36～1.95</w:t>
            </w:r>
          </w:p>
        </w:tc>
      </w:tr>
      <w:tr w14:paraId="45A51E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DA4E1B9">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52D2B683">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2472A6FB">
            <w:pPr>
              <w:keepNext w:val="0"/>
              <w:spacing w:before="20" w:after="20" w:line="260" w:lineRule="exact"/>
              <w:ind w:left="0" w:leftChars="0" w:right="0" w:rightChars="0" w:firstLine="0" w:firstLineChars="0"/>
              <w:jc w:val="center"/>
            </w:pPr>
            <w:r>
              <w:rPr>
                <w:rFonts w:ascii="Times New Roman" w:hAnsi="Times New Roman" w:eastAsia="宋体"/>
                <w:b w:val="0"/>
                <w:sz w:val="18"/>
              </w:rPr>
              <w:t>2.45～2.50</w:t>
            </w:r>
          </w:p>
        </w:tc>
        <w:tc>
          <w:tcPr>
            <w:tcW w:w="1385" w:type="dxa"/>
            <w:tcMar>
              <w:left w:w="70" w:type="dxa"/>
              <w:right w:w="70" w:type="dxa"/>
            </w:tcMar>
            <w:vAlign w:val="center"/>
          </w:tcPr>
          <w:p w14:paraId="6659ED8A">
            <w:pPr>
              <w:keepNext w:val="0"/>
              <w:spacing w:before="20" w:after="20" w:line="260" w:lineRule="exact"/>
              <w:ind w:left="0" w:leftChars="0" w:right="0" w:rightChars="0" w:firstLine="0" w:firstLineChars="0"/>
              <w:jc w:val="center"/>
            </w:pPr>
            <w:r>
              <w:rPr>
                <w:rFonts w:ascii="Times New Roman" w:hAnsi="Times New Roman" w:eastAsia="宋体"/>
                <w:b w:val="0"/>
                <w:sz w:val="18"/>
              </w:rPr>
              <w:t>2.23～2.59</w:t>
            </w:r>
          </w:p>
        </w:tc>
        <w:tc>
          <w:tcPr>
            <w:tcW w:w="1385" w:type="dxa"/>
            <w:tcMar>
              <w:left w:w="70" w:type="dxa"/>
              <w:right w:w="70" w:type="dxa"/>
            </w:tcMar>
            <w:vAlign w:val="center"/>
          </w:tcPr>
          <w:p w14:paraId="6E939595">
            <w:pPr>
              <w:keepNext w:val="0"/>
              <w:spacing w:before="20" w:after="20" w:line="260" w:lineRule="exact"/>
              <w:ind w:left="0" w:leftChars="0" w:right="0" w:rightChars="0" w:firstLine="0" w:firstLineChars="0"/>
              <w:jc w:val="center"/>
            </w:pPr>
            <w:r>
              <w:rPr>
                <w:rFonts w:ascii="Times New Roman" w:hAnsi="Times New Roman" w:eastAsia="宋体"/>
                <w:b w:val="0"/>
                <w:sz w:val="18"/>
              </w:rPr>
              <w:t>1.93～2.42</w:t>
            </w:r>
          </w:p>
        </w:tc>
        <w:tc>
          <w:tcPr>
            <w:tcW w:w="1385" w:type="dxa"/>
            <w:tcMar>
              <w:left w:w="70" w:type="dxa"/>
              <w:right w:w="70" w:type="dxa"/>
            </w:tcMar>
            <w:vAlign w:val="center"/>
          </w:tcPr>
          <w:p w14:paraId="1F9B8B45">
            <w:pPr>
              <w:keepNext w:val="0"/>
              <w:spacing w:before="20" w:after="20" w:line="260" w:lineRule="exact"/>
              <w:ind w:left="0" w:leftChars="0" w:right="0" w:rightChars="0" w:firstLine="0" w:firstLineChars="0"/>
              <w:jc w:val="center"/>
            </w:pPr>
            <w:r>
              <w:rPr>
                <w:rFonts w:ascii="Times New Roman" w:hAnsi="Times New Roman" w:eastAsia="宋体"/>
                <w:b w:val="0"/>
                <w:sz w:val="18"/>
              </w:rPr>
              <w:t>1.80～2.42</w:t>
            </w:r>
          </w:p>
        </w:tc>
      </w:tr>
    </w:tbl>
    <w:p>
      <w:pPr>
        <w:pStyle w:val="2"/>
        <w:widowControl/>
        <w:spacing w:line="348" w:lineRule="exact" w:before="0" w:after="0"/>
        <w:ind w:firstLine="480"/>
        <w:jc w:val="both"/>
        <w:rPr/>
      </w:pPr>
      <w:r>
        <w:rPr>
          <w:rFonts w:ascii="Times New Roman" w:hAnsi="Times New Roman" w:eastAsia="方正仿宋_GBK"/>
          <w:b w:val="0"/>
          <w:sz w:val="24"/>
        </w:rPr>
        <w:t xml:space="preserve">相邻转供档的数值区间分别由各档中全部有效节点的最小值和最大值形成。比如电缆长度占比≤10%、负荷分散系数1.10、年最大净负荷平均增长率&gt;7%、装机渗透率(1,2]这一行，前三档为1.91～2.09、1.76～2.09、1.50～1.95。它们包含各档内不同源荷取点及设备组合，区间可以重叠。判别同一背景参数下转供能力的作用，应固定其余条件沿完整转供率序列比较，第5.6.4节进一步给出九个节点及四档区间。主变按整台额定容量投运，容量随转供条件变化可呈阶梯及平台。</w:t>
      </w:r>
    </w:p>
    <w:p w14:paraId="7CEF96DA">
      <w:pPr>
        <w:pStyle w:val="2"/>
        <w:widowControl/>
        <w:spacing w:before="0" w:after="0" w:line="348" w:lineRule="exact"/>
        <w:ind w:firstLine="480"/>
        <w:jc w:val="both"/>
      </w:pPr>
      <w:r>
        <w:rPr>
          <w:rFonts w:ascii="Times New Roman" w:hAnsi="Times New Roman" w:eastAsia="方正仿宋_GBK"/>
          <w:b w:val="0"/>
          <w:sz w:val="24"/>
        </w:rPr>
        <w:t>区间端点图以电缆长度占比&gt;30%、负荷分散系数1.10为例，按与矩阵相同的行列次序展示下界和上界，两图采用相同色阶。装机渗透率较高的行具有较大的反向容量任务，年最大净负荷平均增长率改变负荷规模及既有容量储备，转供条件则影响局部支援。端点由各单元同一电缆分区内不同造价及有限源荷节点的可行配置共同形成，读取区间后，按实际参数和设备条件确定对应方案。</w:t>
      </w:r>
    </w:p>
    <w:p w14:paraId="55AB8E69">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271135"/>
            <wp:effectExtent l="0" t="0" r="0" b="0"/>
            <wp:docPr id="6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pic:cNvPicPr>
                      <a:picLocks noChangeAspect="1" noChangeArrowheads="1"/>
                    </pic:cNvPicPr>
                  </pic:nvPicPr>
                  <pic:blipFill>
                    <a:blip r:embed="rId47"/>
                    <a:stretch>
                      <a:fillRect/>
                    </a:stretch>
                  </pic:blipFill>
                  <pic:spPr>
                    <a:xfrm>
                      <a:off x="0" y="0"/>
                      <a:ext cx="5120640" cy="5271247"/>
                    </a:xfrm>
                    <a:prstGeom prst="rect">
                      <a:avLst/>
                    </a:prstGeom>
                    <a:noFill/>
                    <a:ln w="9525">
                      <a:noFill/>
                    </a:ln>
                  </pic:spPr>
                </pic:pic>
              </a:graphicData>
            </a:graphic>
          </wp:inline>
        </w:drawing>
      </w:r>
    </w:p>
    <w:p w14:paraId="7430D27B">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图5-12 电缆长度占比&gt;30%、负荷分散系数1.10下的矩阵端点</w:t>
      </w:r>
    </w:p>
    <w:p w14:paraId="04562D14">
      <w:pPr>
        <w:pStyle w:val="5"/>
        <w:keepNext/>
        <w:numPr>
          <w:ilvl w:val="0"/>
          <w:numId w:val="0"/>
        </w:numPr>
        <w:spacing w:before="160" w:after="120" w:line="390" w:lineRule="exact"/>
        <w:ind w:firstLine="0"/>
      </w:pPr>
      <w:bookmarkStart w:id="259" w:name="参数关联对应的设备变化"/>
      <w:r>
        <w:rPr>
          <w:rFonts w:ascii="Times New Roman" w:hAnsi="Times New Roman" w:eastAsia="方正仿宋_GBK"/>
          <w:b/>
          <w:sz w:val="26"/>
        </w:rPr>
        <w:t>5.6.3 参数关联对应的设备变化</w:t>
      </w:r>
      <w:bookmarkEnd w:id="259"/>
    </w:p>
    <w:p w14:paraId="7122D487">
      <w:pPr>
        <w:pStyle w:val="115"/>
        <w:widowControl/>
        <w:spacing w:before="0" w:after="0" w:line="348" w:lineRule="exact"/>
        <w:ind w:firstLine="480"/>
        <w:jc w:val="both"/>
      </w:pPr>
      <w:r>
        <w:rPr>
          <w:rFonts w:ascii="Times New Roman" w:hAnsi="Times New Roman" w:eastAsia="方正仿宋_GBK"/>
          <w:b w:val="0"/>
          <w:sz w:val="24"/>
        </w:rPr>
        <w:t>第3.5节组内相关显示，装机渗透率增加主要提高反向容量需求，初始转供率提高通常减少本地容量或新增工程需求。年最大净负荷平均增长率同时改变规划时点负荷和设备配置，容载比随整台主变分步投运呈阶段变化。电缆长度占比和负荷分散系数在部分组合中触发设备替代，以下完整受控序列将这些关联落实到主变、联络和储能配置。</w:t>
      </w:r>
    </w:p>
    <w:p w14:paraId="68E3C955">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321685"/>
            <wp:effectExtent l="0" t="0" r="0" b="0"/>
            <wp:docPr id="7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pic:cNvPicPr>
                      <a:picLocks noChangeAspect="1" noChangeArrowheads="1"/>
                    </pic:cNvPicPr>
                  </pic:nvPicPr>
                  <pic:blipFill>
                    <a:blip r:embed="rId48"/>
                    <a:stretch>
                      <a:fillRect/>
                    </a:stretch>
                  </pic:blipFill>
                  <pic:spPr>
                    <a:xfrm>
                      <a:off x="0" y="0"/>
                      <a:ext cx="5120640" cy="3321880"/>
                    </a:xfrm>
                    <a:prstGeom prst="rect">
                      <a:avLst/>
                    </a:prstGeom>
                    <a:noFill/>
                    <a:ln w="9525">
                      <a:noFill/>
                    </a:ln>
                  </pic:spPr>
                </pic:pic>
              </a:graphicData>
            </a:graphic>
          </wp:inline>
        </w:drawing>
      </w:r>
    </w:p>
    <w:p w14:paraId="74661DFC">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图5-13 装机渗透率与年最大净负荷平均增长率对应的容载比</w:t>
      </w:r>
    </w:p>
    <w:p w14:paraId="542C9327">
      <w:pPr>
        <w:pStyle w:val="2"/>
        <w:widowControl/>
        <w:spacing w:before="0" w:after="0" w:line="348" w:lineRule="exact"/>
        <w:ind w:firstLine="480"/>
        <w:jc w:val="both"/>
      </w:pPr>
      <w:r>
        <w:rPr>
          <w:rFonts w:ascii="Times New Roman" w:hAnsi="Times New Roman" w:eastAsia="方正仿宋_GBK"/>
          <w:b w:val="0"/>
          <w:sz w:val="24"/>
        </w:rPr>
        <w:t>图中固定电缆长度占比10%、初始转供率40%和负荷分散系数1.10，显示同一组背景下源荷条件的作用。</w:t>
      </w:r>
    </w:p>
    <w:p w14:paraId="54AB3C05">
      <w:pPr>
        <w:pStyle w:val="5"/>
        <w:keepNext/>
        <w:numPr>
          <w:ilvl w:val="0"/>
          <w:numId w:val="0"/>
        </w:numPr>
        <w:spacing w:before="160" w:after="120" w:line="390" w:lineRule="exact"/>
        <w:ind w:firstLine="0"/>
      </w:pPr>
      <w:bookmarkStart w:id="260" w:name="固定源荷条件下的转供序列"/>
      <w:r>
        <w:rPr>
          <w:rFonts w:ascii="Times New Roman" w:hAnsi="Times New Roman" w:eastAsia="方正仿宋_GBK"/>
          <w:b/>
          <w:sz w:val="26"/>
        </w:rPr>
        <w:t>5.6.4 固定源荷条件下的转供序列</w:t>
      </w:r>
      <w:bookmarkEnd w:id="260"/>
    </w:p>
    <w:p w14:paraId="591B8BAC">
      <w:pPr>
        <w:pStyle w:val="115"/>
        <w:widowControl/>
        <w:spacing w:before="0" w:after="0" w:line="348" w:lineRule="exact"/>
        <w:ind w:firstLine="480"/>
        <w:jc w:val="both"/>
      </w:pPr>
      <w:r>
        <w:rPr>
          <w:rFonts w:ascii="Times New Roman" w:hAnsi="Times New Roman" w:eastAsia="方正仿宋_GBK"/>
          <w:b w:val="0"/>
          <w:sz w:val="24"/>
        </w:rPr>
        <w:t>为考察五站设备重新选配时的转供响应，本节每站两台主变从31.50、50、63、80 MVA中选择，基础最小总容量315.00 MVA。两组典型场景均取装机渗透率50%、电缆长度占比50%。场景1的年最大净负荷平均增长率为4%、负荷分散系数1.10，场景2的年最大净负荷平均增长率为5.5%、负荷分散系数1.00。以下同时列示10%～90%的完整初始转供率节点，以设备组合解释四档区间的响应。</w:t>
      </w:r>
    </w:p>
    <w:p w14:paraId="05E7FE8A">
      <w:pPr>
        <w:pStyle w:val="2"/>
        <w:widowControl/>
        <w:spacing w:before="0" w:after="0" w:line="348" w:lineRule="exact"/>
        <w:ind w:firstLine="480"/>
        <w:jc w:val="both"/>
      </w:pPr>
      <w:r>
        <w:rPr>
          <w:rFonts w:ascii="Times New Roman" w:hAnsi="Times New Roman" w:eastAsia="方正仿宋_GBK"/>
          <w:b w:val="0"/>
          <w:sz w:val="24"/>
        </w:rPr>
        <w:t>在电缆长度占比50%的共同条件下，选取装机渗透率50%的两组典型源荷场景。每组包含10%～90%的九个初始转供率节点，按四档归纳容载比推荐范围，共形成8个区间单元。两组区间上下界均随转供档位提高而逐档下降。</w:t>
      </w:r>
    </w:p>
    <w:p w14:paraId="228CA74C">
      <w:pPr>
        <w:pStyle w:val="2"/>
        <w:keepNext/>
        <w:spacing w:before="120" w:after="80" w:line="280" w:lineRule="exact"/>
        <w:ind w:firstLine="0"/>
        <w:jc w:val="center"/>
      </w:pPr>
      <w:r>
        <w:rPr>
          <w:rFonts w:ascii="Times New Roman" w:hAnsi="Times New Roman" w:eastAsia="宋体"/>
          <w:b w:val="0"/>
          <w:sz w:val="21"/>
        </w:rPr>
        <w:t>表5-75 典型源荷条件下随初始转供率变化的容载比推荐范围</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401159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4FFCE8E8">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187" w:type="dxa"/>
            <w:tcMar>
              <w:left w:w="70" w:type="dxa"/>
              <w:right w:w="70" w:type="dxa"/>
            </w:tcMar>
            <w:vAlign w:val="center"/>
          </w:tcPr>
          <w:p w14:paraId="1B847403">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187" w:type="dxa"/>
            <w:tcMar>
              <w:left w:w="70" w:type="dxa"/>
              <w:right w:w="70" w:type="dxa"/>
            </w:tcMar>
            <w:vAlign w:val="center"/>
          </w:tcPr>
          <w:p w14:paraId="189F6227">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c>
          <w:tcPr>
            <w:tcW w:w="1187" w:type="dxa"/>
            <w:tcMar>
              <w:left w:w="70" w:type="dxa"/>
              <w:right w:w="70" w:type="dxa"/>
            </w:tcMar>
            <w:vAlign w:val="center"/>
          </w:tcPr>
          <w:p w14:paraId="6C46824B">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187" w:type="dxa"/>
            <w:tcMar>
              <w:left w:w="70" w:type="dxa"/>
              <w:right w:w="70" w:type="dxa"/>
            </w:tcMar>
            <w:vAlign w:val="center"/>
          </w:tcPr>
          <w:p w14:paraId="7107BFAE">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187" w:type="dxa"/>
            <w:tcMar>
              <w:left w:w="70" w:type="dxa"/>
              <w:right w:w="70" w:type="dxa"/>
            </w:tcMar>
            <w:vAlign w:val="center"/>
          </w:tcPr>
          <w:p w14:paraId="2B2F6F32">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187" w:type="dxa"/>
            <w:tcMar>
              <w:left w:w="70" w:type="dxa"/>
              <w:right w:w="70" w:type="dxa"/>
            </w:tcMar>
            <w:vAlign w:val="center"/>
          </w:tcPr>
          <w:p w14:paraId="7EFEB037">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028EC6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14E1E66">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187" w:type="dxa"/>
            <w:tcMar>
              <w:left w:w="70" w:type="dxa"/>
              <w:right w:w="70" w:type="dxa"/>
            </w:tcMar>
            <w:vAlign w:val="center"/>
          </w:tcPr>
          <w:p w14:paraId="14AD053D">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7471BC7D">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1187" w:type="dxa"/>
            <w:tcMar>
              <w:left w:w="70" w:type="dxa"/>
              <w:right w:w="70" w:type="dxa"/>
            </w:tcMar>
            <w:vAlign w:val="center"/>
          </w:tcPr>
          <w:p w14:paraId="26453DE1">
            <w:pPr>
              <w:keepNext/>
              <w:spacing w:before="20" w:after="20" w:line="260" w:lineRule="exact"/>
              <w:ind w:left="0" w:leftChars="0" w:right="0" w:rightChars="0" w:firstLine="0" w:firstLineChars="0"/>
              <w:jc w:val="center"/>
            </w:pPr>
            <w:r>
              <w:rPr>
                <w:rFonts w:ascii="Times New Roman" w:hAnsi="Times New Roman" w:eastAsia="宋体"/>
                <w:b w:val="0"/>
                <w:sz w:val="18"/>
              </w:rPr>
              <w:t>1.86～1.96</w:t>
            </w:r>
          </w:p>
        </w:tc>
        <w:tc>
          <w:tcPr>
            <w:tcW w:w="1187" w:type="dxa"/>
            <w:tcMar>
              <w:left w:w="70" w:type="dxa"/>
              <w:right w:w="70" w:type="dxa"/>
            </w:tcMar>
            <w:vAlign w:val="center"/>
          </w:tcPr>
          <w:p w14:paraId="37C78684">
            <w:pPr>
              <w:keepNext/>
              <w:spacing w:before="20" w:after="20" w:line="260" w:lineRule="exact"/>
              <w:ind w:left="0" w:leftChars="0" w:right="0" w:rightChars="0" w:firstLine="0" w:firstLineChars="0"/>
              <w:jc w:val="center"/>
            </w:pPr>
            <w:r>
              <w:rPr>
                <w:rFonts w:ascii="Times New Roman" w:hAnsi="Times New Roman" w:eastAsia="宋体"/>
                <w:b w:val="0"/>
                <w:sz w:val="18"/>
              </w:rPr>
              <w:t>1.43～1.66</w:t>
            </w:r>
          </w:p>
        </w:tc>
        <w:tc>
          <w:tcPr>
            <w:tcW w:w="1187" w:type="dxa"/>
            <w:tcMar>
              <w:left w:w="70" w:type="dxa"/>
              <w:right w:w="70" w:type="dxa"/>
            </w:tcMar>
            <w:vAlign w:val="center"/>
          </w:tcPr>
          <w:p w14:paraId="28383BA6">
            <w:pPr>
              <w:keepNext/>
              <w:spacing w:before="20" w:after="20" w:line="260" w:lineRule="exact"/>
              <w:ind w:left="0" w:leftChars="0" w:right="0" w:rightChars="0" w:firstLine="0" w:firstLineChars="0"/>
              <w:jc w:val="center"/>
            </w:pPr>
            <w:r>
              <w:rPr>
                <w:rFonts w:ascii="Times New Roman" w:hAnsi="Times New Roman" w:eastAsia="宋体"/>
                <w:b w:val="0"/>
                <w:sz w:val="18"/>
              </w:rPr>
              <w:t>1.31～1.44</w:t>
            </w:r>
          </w:p>
        </w:tc>
        <w:tc>
          <w:tcPr>
            <w:tcW w:w="1187" w:type="dxa"/>
            <w:tcMar>
              <w:left w:w="70" w:type="dxa"/>
              <w:right w:w="70" w:type="dxa"/>
            </w:tcMar>
            <w:vAlign w:val="center"/>
          </w:tcPr>
          <w:p w14:paraId="075364C2">
            <w:pPr>
              <w:keepNext/>
              <w:spacing w:before="20" w:after="20" w:line="260" w:lineRule="exact"/>
              <w:ind w:left="0" w:leftChars="0" w:right="0" w:rightChars="0" w:firstLine="0" w:firstLineChars="0"/>
              <w:jc w:val="center"/>
            </w:pPr>
            <w:r>
              <w:rPr>
                <w:rFonts w:ascii="Times New Roman" w:hAnsi="Times New Roman" w:eastAsia="宋体"/>
                <w:b w:val="0"/>
                <w:sz w:val="18"/>
              </w:rPr>
              <w:t>1.26～1.36</w:t>
            </w:r>
          </w:p>
        </w:tc>
      </w:tr>
      <w:tr w14:paraId="1B64E3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4C426FDB">
            <w:pPr>
              <w:keepNext w:val="0"/>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187" w:type="dxa"/>
            <w:tcMar>
              <w:left w:w="70" w:type="dxa"/>
              <w:right w:w="70" w:type="dxa"/>
            </w:tcMar>
            <w:vAlign w:val="center"/>
          </w:tcPr>
          <w:p w14:paraId="1EC2586E">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187" w:type="dxa"/>
            <w:tcMar>
              <w:left w:w="70" w:type="dxa"/>
              <w:right w:w="70" w:type="dxa"/>
            </w:tcMar>
            <w:vAlign w:val="center"/>
          </w:tcPr>
          <w:p w14:paraId="7E601714">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187" w:type="dxa"/>
            <w:tcMar>
              <w:left w:w="70" w:type="dxa"/>
              <w:right w:w="70" w:type="dxa"/>
            </w:tcMar>
            <w:vAlign w:val="center"/>
          </w:tcPr>
          <w:p w14:paraId="592B2D2F">
            <w:pPr>
              <w:keepNext w:val="0"/>
              <w:spacing w:before="20" w:after="20" w:line="260" w:lineRule="exact"/>
              <w:ind w:left="0" w:leftChars="0" w:right="0" w:rightChars="0" w:firstLine="0" w:firstLineChars="0"/>
              <w:jc w:val="center"/>
            </w:pPr>
            <w:r>
              <w:rPr>
                <w:rFonts w:ascii="Times New Roman" w:hAnsi="Times New Roman" w:eastAsia="宋体"/>
                <w:b w:val="0"/>
                <w:sz w:val="18"/>
              </w:rPr>
              <w:t>1.53～1.85</w:t>
            </w:r>
          </w:p>
        </w:tc>
        <w:tc>
          <w:tcPr>
            <w:tcW w:w="1187" w:type="dxa"/>
            <w:tcMar>
              <w:left w:w="70" w:type="dxa"/>
              <w:right w:w="70" w:type="dxa"/>
            </w:tcMar>
            <w:vAlign w:val="center"/>
          </w:tcPr>
          <w:p w14:paraId="16C1E6C1">
            <w:pPr>
              <w:keepNext w:val="0"/>
              <w:spacing w:before="20" w:after="20" w:line="260" w:lineRule="exact"/>
              <w:ind w:left="0" w:leftChars="0" w:right="0" w:rightChars="0" w:firstLine="0" w:firstLineChars="0"/>
              <w:jc w:val="center"/>
            </w:pPr>
            <w:r>
              <w:rPr>
                <w:rFonts w:ascii="Times New Roman" w:hAnsi="Times New Roman" w:eastAsia="宋体"/>
                <w:b w:val="0"/>
                <w:sz w:val="18"/>
              </w:rPr>
              <w:t>1.35～1.57</w:t>
            </w:r>
          </w:p>
        </w:tc>
        <w:tc>
          <w:tcPr>
            <w:tcW w:w="1187" w:type="dxa"/>
            <w:tcMar>
              <w:left w:w="70" w:type="dxa"/>
              <w:right w:w="70" w:type="dxa"/>
            </w:tcMar>
            <w:vAlign w:val="center"/>
          </w:tcPr>
          <w:p w14:paraId="287DEB0C">
            <w:pPr>
              <w:keepNext w:val="0"/>
              <w:spacing w:before="20" w:after="20" w:line="260" w:lineRule="exact"/>
              <w:ind w:left="0" w:leftChars="0" w:right="0" w:rightChars="0" w:firstLine="0" w:firstLineChars="0"/>
              <w:jc w:val="center"/>
            </w:pPr>
            <w:r>
              <w:rPr>
                <w:rFonts w:ascii="Times New Roman" w:hAnsi="Times New Roman" w:eastAsia="宋体"/>
                <w:b w:val="0"/>
                <w:sz w:val="18"/>
              </w:rPr>
              <w:t>1.33～1.36</w:t>
            </w:r>
          </w:p>
        </w:tc>
        <w:tc>
          <w:tcPr>
            <w:tcW w:w="1187" w:type="dxa"/>
            <w:tcMar>
              <w:left w:w="70" w:type="dxa"/>
              <w:right w:w="70" w:type="dxa"/>
            </w:tcMar>
            <w:vAlign w:val="center"/>
          </w:tcPr>
          <w:p w14:paraId="7A74EF74">
            <w:pPr>
              <w:keepNext w:val="0"/>
              <w:spacing w:before="20" w:after="20" w:line="260" w:lineRule="exact"/>
              <w:ind w:left="0" w:leftChars="0" w:right="0" w:rightChars="0" w:firstLine="0" w:firstLineChars="0"/>
              <w:jc w:val="center"/>
            </w:pPr>
            <w:r>
              <w:rPr>
                <w:rFonts w:ascii="Times New Roman" w:hAnsi="Times New Roman" w:eastAsia="宋体"/>
                <w:b w:val="0"/>
                <w:sz w:val="18"/>
              </w:rPr>
              <w:t>1.25～1.26</w:t>
            </w:r>
          </w:p>
        </w:tc>
      </w:tr>
    </w:tbl>
    <w:p w14:paraId="13567C5B">
      <w:pPr>
        <w:pStyle w:val="2"/>
        <w:widowControl/>
        <w:spacing w:before="0" w:after="0" w:line="348" w:lineRule="exact"/>
        <w:ind w:firstLine="480"/>
        <w:jc w:val="both"/>
      </w:pPr>
      <w:r>
        <w:rPr>
          <w:rFonts w:ascii="Times New Roman" w:hAnsi="Times New Roman" w:eastAsia="方正仿宋_GBK"/>
          <w:b w:val="0"/>
          <w:sz w:val="24"/>
        </w:rPr>
        <w:t>注：两组均采用电缆长度占比50%和五站设备重新选配条件。</w:t>
      </w:r>
    </w:p>
    <w:p w14:paraId="3D7C21E8">
      <w:pPr>
        <w:pStyle w:val="2"/>
        <w:keepNext/>
        <w:spacing w:before="120" w:after="80" w:line="280" w:lineRule="exact"/>
        <w:ind w:firstLine="0"/>
        <w:jc w:val="center"/>
      </w:pPr>
      <w:r>
        <w:rPr>
          <w:rFonts w:ascii="Times New Roman" w:hAnsi="Times New Roman" w:eastAsia="宋体"/>
          <w:b w:val="0"/>
          <w:sz w:val="21"/>
        </w:rPr>
        <w:t>表5-76 场景1的完整转供率节点及设备方案</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F1FB3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308A48B4">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3101CA7C">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1F318AB8">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4B519231">
            <w:pPr>
              <w:keepNext/>
              <w:spacing w:before="20" w:after="20" w:line="260" w:lineRule="exact"/>
              <w:ind w:left="0" w:leftChars="0" w:right="0" w:rightChars="0" w:firstLine="0" w:firstLineChars="0"/>
              <w:jc w:val="center"/>
            </w:pPr>
            <w:r>
              <w:rPr>
                <w:rFonts w:ascii="Times New Roman" w:hAnsi="Times New Roman" w:eastAsia="宋体"/>
                <w:b/>
                <w:sz w:val="18"/>
              </w:rPr>
              <w:t>储能/MWh</w:t>
            </w:r>
          </w:p>
        </w:tc>
        <w:tc>
          <w:tcPr>
            <w:tcW w:w="1385" w:type="dxa"/>
            <w:tcMar>
              <w:left w:w="70" w:type="dxa"/>
              <w:right w:w="70" w:type="dxa"/>
            </w:tcMar>
            <w:vAlign w:val="center"/>
          </w:tcPr>
          <w:p w14:paraId="004D61CB">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45A8ECE5">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0C564A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75FF07A">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C0C617A">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55F23B30">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70A42B9F">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616C483">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2A783AE9">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20F32A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89D8E38">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385" w:type="dxa"/>
            <w:tcMar>
              <w:left w:w="70" w:type="dxa"/>
              <w:right w:w="70" w:type="dxa"/>
            </w:tcMar>
            <w:vAlign w:val="center"/>
          </w:tcPr>
          <w:p w14:paraId="24724EAE">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521DCCF0">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6B1C19CA">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A08EF58">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71E67B0F">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663660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542F1CF">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385" w:type="dxa"/>
            <w:tcMar>
              <w:left w:w="70" w:type="dxa"/>
              <w:right w:w="70" w:type="dxa"/>
            </w:tcMar>
            <w:vAlign w:val="center"/>
          </w:tcPr>
          <w:p w14:paraId="625BC1A3">
            <w:pPr>
              <w:keepNext/>
              <w:spacing w:before="20" w:after="20" w:line="260" w:lineRule="exact"/>
              <w:ind w:left="0" w:leftChars="0" w:right="0" w:rightChars="0" w:firstLine="0" w:firstLineChars="0"/>
              <w:jc w:val="center"/>
            </w:pPr>
            <w:r>
              <w:rPr>
                <w:rFonts w:ascii="Times New Roman" w:hAnsi="Times New Roman" w:eastAsia="宋体"/>
                <w:b w:val="0"/>
                <w:sz w:val="18"/>
              </w:rPr>
              <w:t>544.50</w:t>
            </w:r>
          </w:p>
        </w:tc>
        <w:tc>
          <w:tcPr>
            <w:tcW w:w="1385" w:type="dxa"/>
            <w:tcMar>
              <w:left w:w="70" w:type="dxa"/>
              <w:right w:w="70" w:type="dxa"/>
            </w:tcMar>
            <w:vAlign w:val="center"/>
          </w:tcPr>
          <w:p w14:paraId="61D03DB1">
            <w:pPr>
              <w:keepNext/>
              <w:spacing w:before="20" w:after="20" w:line="260" w:lineRule="exact"/>
              <w:ind w:left="0" w:leftChars="0" w:right="0" w:rightChars="0" w:firstLine="0" w:firstLineChars="0"/>
              <w:jc w:val="center"/>
            </w:pPr>
            <w:r>
              <w:rPr>
                <w:rFonts w:ascii="Times New Roman" w:hAnsi="Times New Roman" w:eastAsia="宋体"/>
                <w:b w:val="0"/>
                <w:sz w:val="18"/>
              </w:rPr>
              <w:t>1.86</w:t>
            </w:r>
          </w:p>
        </w:tc>
        <w:tc>
          <w:tcPr>
            <w:tcW w:w="1385" w:type="dxa"/>
            <w:tcMar>
              <w:left w:w="70" w:type="dxa"/>
              <w:right w:w="70" w:type="dxa"/>
            </w:tcMar>
            <w:vAlign w:val="center"/>
          </w:tcPr>
          <w:p w14:paraId="058949B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E7B7740">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4518CBFE">
            <w:pPr>
              <w:keepNext/>
              <w:spacing w:before="20" w:after="20" w:line="260" w:lineRule="exact"/>
              <w:ind w:left="0" w:leftChars="0" w:right="0" w:rightChars="0" w:firstLine="0" w:firstLineChars="0"/>
              <w:jc w:val="center"/>
            </w:pPr>
            <w:r>
              <w:rPr>
                <w:rFonts w:ascii="Times New Roman" w:hAnsi="Times New Roman" w:eastAsia="宋体"/>
                <w:b w:val="0"/>
                <w:sz w:val="18"/>
              </w:rPr>
              <w:t>11675.95</w:t>
            </w:r>
          </w:p>
        </w:tc>
      </w:tr>
      <w:tr w14:paraId="7765AF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A74249C">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79C33887">
            <w:pPr>
              <w:keepNext/>
              <w:spacing w:before="20" w:after="20" w:line="260" w:lineRule="exact"/>
              <w:ind w:left="0" w:leftChars="0" w:right="0" w:rightChars="0" w:firstLine="0" w:firstLineChars="0"/>
              <w:jc w:val="center"/>
            </w:pPr>
            <w:r>
              <w:rPr>
                <w:rFonts w:ascii="Times New Roman" w:hAnsi="Times New Roman" w:eastAsia="宋体"/>
                <w:b w:val="0"/>
                <w:sz w:val="18"/>
              </w:rPr>
              <w:t>483.50</w:t>
            </w:r>
          </w:p>
        </w:tc>
        <w:tc>
          <w:tcPr>
            <w:tcW w:w="1385" w:type="dxa"/>
            <w:tcMar>
              <w:left w:w="70" w:type="dxa"/>
              <w:right w:w="70" w:type="dxa"/>
            </w:tcMar>
            <w:vAlign w:val="center"/>
          </w:tcPr>
          <w:p w14:paraId="1F6A9F37">
            <w:pPr>
              <w:keepNext/>
              <w:spacing w:before="20" w:after="20" w:line="260" w:lineRule="exact"/>
              <w:ind w:left="0" w:leftChars="0" w:right="0" w:rightChars="0" w:firstLine="0" w:firstLineChars="0"/>
              <w:jc w:val="center"/>
            </w:pPr>
            <w:r>
              <w:rPr>
                <w:rFonts w:ascii="Times New Roman" w:hAnsi="Times New Roman" w:eastAsia="宋体"/>
                <w:b w:val="0"/>
                <w:sz w:val="18"/>
              </w:rPr>
              <w:t>1.65</w:t>
            </w:r>
          </w:p>
        </w:tc>
        <w:tc>
          <w:tcPr>
            <w:tcW w:w="1385" w:type="dxa"/>
            <w:tcMar>
              <w:left w:w="70" w:type="dxa"/>
              <w:right w:w="70" w:type="dxa"/>
            </w:tcMar>
            <w:vAlign w:val="center"/>
          </w:tcPr>
          <w:p w14:paraId="46994467">
            <w:pPr>
              <w:keepNext/>
              <w:spacing w:before="20" w:after="20" w:line="260" w:lineRule="exact"/>
              <w:ind w:left="0" w:leftChars="0" w:right="0" w:rightChars="0" w:firstLine="0" w:firstLineChars="0"/>
              <w:jc w:val="center"/>
            </w:pPr>
            <w:r>
              <w:rPr>
                <w:rFonts w:ascii="Times New Roman" w:hAnsi="Times New Roman" w:eastAsia="宋体"/>
                <w:b w:val="0"/>
                <w:sz w:val="18"/>
              </w:rPr>
              <w:t>1.08</w:t>
            </w:r>
          </w:p>
        </w:tc>
        <w:tc>
          <w:tcPr>
            <w:tcW w:w="1385" w:type="dxa"/>
            <w:tcMar>
              <w:left w:w="70" w:type="dxa"/>
              <w:right w:w="70" w:type="dxa"/>
            </w:tcMar>
            <w:vAlign w:val="center"/>
          </w:tcPr>
          <w:p w14:paraId="5A79A7AA">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17589DAD">
            <w:pPr>
              <w:keepNext/>
              <w:spacing w:before="20" w:after="20" w:line="260" w:lineRule="exact"/>
              <w:ind w:left="0" w:leftChars="0" w:right="0" w:rightChars="0" w:firstLine="0" w:firstLineChars="0"/>
              <w:jc w:val="center"/>
            </w:pPr>
            <w:r>
              <w:rPr>
                <w:rFonts w:ascii="Times New Roman" w:hAnsi="Times New Roman" w:eastAsia="宋体"/>
                <w:b w:val="0"/>
                <w:sz w:val="18"/>
              </w:rPr>
              <w:t>11105.20</w:t>
            </w:r>
          </w:p>
        </w:tc>
      </w:tr>
      <w:tr w14:paraId="03F1A8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575043B">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385" w:type="dxa"/>
            <w:tcMar>
              <w:left w:w="70" w:type="dxa"/>
              <w:right w:w="70" w:type="dxa"/>
            </w:tcMar>
            <w:vAlign w:val="center"/>
          </w:tcPr>
          <w:p w14:paraId="33BB0CC6">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3BEE1746">
            <w:pPr>
              <w:keepNext/>
              <w:spacing w:before="20" w:after="20" w:line="260" w:lineRule="exact"/>
              <w:ind w:left="0" w:leftChars="0" w:right="0" w:rightChars="0" w:firstLine="0" w:firstLineChars="0"/>
              <w:jc w:val="center"/>
            </w:pPr>
            <w:r>
              <w:rPr>
                <w:rFonts w:ascii="Times New Roman" w:hAnsi="Times New Roman" w:eastAsia="宋体"/>
                <w:b w:val="0"/>
                <w:sz w:val="18"/>
              </w:rPr>
              <w:t>1.44</w:t>
            </w:r>
          </w:p>
        </w:tc>
        <w:tc>
          <w:tcPr>
            <w:tcW w:w="1385" w:type="dxa"/>
            <w:tcMar>
              <w:left w:w="70" w:type="dxa"/>
              <w:right w:w="70" w:type="dxa"/>
            </w:tcMar>
            <w:vAlign w:val="center"/>
          </w:tcPr>
          <w:p w14:paraId="3857FF3D">
            <w:pPr>
              <w:keepNext/>
              <w:spacing w:before="20" w:after="20" w:line="260" w:lineRule="exact"/>
              <w:ind w:left="0" w:leftChars="0" w:right="0" w:rightChars="0" w:firstLine="0" w:firstLineChars="0"/>
              <w:jc w:val="center"/>
            </w:pPr>
            <w:r>
              <w:rPr>
                <w:rFonts w:ascii="Times New Roman" w:hAnsi="Times New Roman" w:eastAsia="宋体"/>
                <w:b w:val="0"/>
                <w:sz w:val="18"/>
              </w:rPr>
              <w:t>0.43</w:t>
            </w:r>
          </w:p>
        </w:tc>
        <w:tc>
          <w:tcPr>
            <w:tcW w:w="1385" w:type="dxa"/>
            <w:tcMar>
              <w:left w:w="70" w:type="dxa"/>
              <w:right w:w="70" w:type="dxa"/>
            </w:tcMar>
            <w:vAlign w:val="center"/>
          </w:tcPr>
          <w:p w14:paraId="1E9686FA">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5EBACB63">
            <w:pPr>
              <w:keepNext/>
              <w:spacing w:before="20" w:after="20" w:line="260" w:lineRule="exact"/>
              <w:ind w:left="0" w:leftChars="0" w:right="0" w:rightChars="0" w:firstLine="0" w:firstLineChars="0"/>
              <w:jc w:val="center"/>
            </w:pPr>
            <w:r>
              <w:rPr>
                <w:rFonts w:ascii="Times New Roman" w:hAnsi="Times New Roman" w:eastAsia="宋体"/>
                <w:b w:val="0"/>
                <w:sz w:val="18"/>
              </w:rPr>
              <w:t>9559.88</w:t>
            </w:r>
          </w:p>
        </w:tc>
      </w:tr>
      <w:tr w14:paraId="4B9FAE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FD9B5C3">
            <w:pPr>
              <w:keepNext/>
              <w:spacing w:before="20" w:after="20" w:line="260" w:lineRule="exact"/>
              <w:ind w:left="0" w:leftChars="0" w:right="0" w:rightChars="0" w:firstLine="0" w:firstLineChars="0"/>
              <w:jc w:val="center"/>
            </w:pPr>
            <w:r>
              <w:rPr>
                <w:rFonts w:ascii="Times New Roman" w:hAnsi="Times New Roman" w:eastAsia="宋体"/>
                <w:b w:val="0"/>
                <w:sz w:val="18"/>
              </w:rPr>
              <w:t>60%</w:t>
            </w:r>
          </w:p>
        </w:tc>
        <w:tc>
          <w:tcPr>
            <w:tcW w:w="1385" w:type="dxa"/>
            <w:tcMar>
              <w:left w:w="70" w:type="dxa"/>
              <w:right w:w="70" w:type="dxa"/>
            </w:tcMar>
            <w:vAlign w:val="center"/>
          </w:tcPr>
          <w:p w14:paraId="78DA6DFC">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3D623DC3">
            <w:pPr>
              <w:keepNext/>
              <w:spacing w:before="20" w:after="20" w:line="260" w:lineRule="exact"/>
              <w:ind w:left="0" w:leftChars="0" w:right="0" w:rightChars="0" w:firstLine="0" w:firstLineChars="0"/>
              <w:jc w:val="center"/>
            </w:pPr>
            <w:r>
              <w:rPr>
                <w:rFonts w:ascii="Times New Roman" w:hAnsi="Times New Roman" w:eastAsia="宋体"/>
                <w:b w:val="0"/>
                <w:sz w:val="18"/>
              </w:rPr>
              <w:t>1.44</w:t>
            </w:r>
          </w:p>
        </w:tc>
        <w:tc>
          <w:tcPr>
            <w:tcW w:w="1385" w:type="dxa"/>
            <w:tcMar>
              <w:left w:w="70" w:type="dxa"/>
              <w:right w:w="70" w:type="dxa"/>
            </w:tcMar>
            <w:vAlign w:val="center"/>
          </w:tcPr>
          <w:p w14:paraId="0BB41DA7">
            <w:pPr>
              <w:keepNext/>
              <w:spacing w:before="20" w:after="20" w:line="260" w:lineRule="exact"/>
              <w:ind w:left="0" w:leftChars="0" w:right="0" w:rightChars="0" w:firstLine="0" w:firstLineChars="0"/>
              <w:jc w:val="center"/>
            </w:pPr>
            <w:r>
              <w:rPr>
                <w:rFonts w:ascii="Times New Roman" w:hAnsi="Times New Roman" w:eastAsia="宋体"/>
                <w:b w:val="0"/>
                <w:sz w:val="18"/>
              </w:rPr>
              <w:t>1.51</w:t>
            </w:r>
          </w:p>
        </w:tc>
        <w:tc>
          <w:tcPr>
            <w:tcW w:w="1385" w:type="dxa"/>
            <w:tcMar>
              <w:left w:w="70" w:type="dxa"/>
              <w:right w:w="70" w:type="dxa"/>
            </w:tcMar>
            <w:vAlign w:val="center"/>
          </w:tcPr>
          <w:p w14:paraId="0B5BB6A7">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4B67017">
            <w:pPr>
              <w:keepNext/>
              <w:spacing w:before="20" w:after="20" w:line="260" w:lineRule="exact"/>
              <w:ind w:left="0" w:leftChars="0" w:right="0" w:rightChars="0" w:firstLine="0" w:firstLineChars="0"/>
              <w:jc w:val="center"/>
            </w:pPr>
            <w:r>
              <w:rPr>
                <w:rFonts w:ascii="Times New Roman" w:hAnsi="Times New Roman" w:eastAsia="宋体"/>
                <w:b w:val="0"/>
                <w:sz w:val="18"/>
              </w:rPr>
              <w:t>9064.34</w:t>
            </w:r>
          </w:p>
        </w:tc>
      </w:tr>
      <w:tr w14:paraId="2BAD9A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14921CF">
            <w:pPr>
              <w:keepNext/>
              <w:spacing w:before="20" w:after="20" w:line="260" w:lineRule="exact"/>
              <w:ind w:left="0" w:leftChars="0" w:right="0" w:rightChars="0" w:firstLine="0" w:firstLineChars="0"/>
              <w:jc w:val="center"/>
            </w:pPr>
            <w:r>
              <w:rPr>
                <w:rFonts w:ascii="Times New Roman" w:hAnsi="Times New Roman" w:eastAsia="宋体"/>
                <w:b w:val="0"/>
                <w:sz w:val="18"/>
              </w:rPr>
              <w:t>70%</w:t>
            </w:r>
          </w:p>
        </w:tc>
        <w:tc>
          <w:tcPr>
            <w:tcW w:w="1385" w:type="dxa"/>
            <w:tcMar>
              <w:left w:w="70" w:type="dxa"/>
              <w:right w:w="70" w:type="dxa"/>
            </w:tcMar>
            <w:vAlign w:val="center"/>
          </w:tcPr>
          <w:p w14:paraId="267D9F08">
            <w:pPr>
              <w:keepNext/>
              <w:spacing w:before="20" w:after="20" w:line="260" w:lineRule="exact"/>
              <w:ind w:left="0" w:leftChars="0" w:right="0" w:rightChars="0" w:firstLine="0" w:firstLineChars="0"/>
              <w:jc w:val="center"/>
            </w:pPr>
            <w:r>
              <w:rPr>
                <w:rFonts w:ascii="Times New Roman" w:hAnsi="Times New Roman" w:eastAsia="宋体"/>
                <w:b w:val="0"/>
                <w:sz w:val="18"/>
              </w:rPr>
              <w:t>383.50</w:t>
            </w:r>
          </w:p>
        </w:tc>
        <w:tc>
          <w:tcPr>
            <w:tcW w:w="1385" w:type="dxa"/>
            <w:tcMar>
              <w:left w:w="70" w:type="dxa"/>
              <w:right w:w="70" w:type="dxa"/>
            </w:tcMar>
            <w:vAlign w:val="center"/>
          </w:tcPr>
          <w:p w14:paraId="00E5AB36">
            <w:pPr>
              <w:keepNext/>
              <w:spacing w:before="20" w:after="20" w:line="260" w:lineRule="exact"/>
              <w:ind w:left="0" w:leftChars="0" w:right="0" w:rightChars="0" w:firstLine="0" w:firstLineChars="0"/>
              <w:jc w:val="center"/>
            </w:pPr>
            <w:r>
              <w:rPr>
                <w:rFonts w:ascii="Times New Roman" w:hAnsi="Times New Roman" w:eastAsia="宋体"/>
                <w:b w:val="0"/>
                <w:sz w:val="18"/>
              </w:rPr>
              <w:t>1.31</w:t>
            </w:r>
          </w:p>
        </w:tc>
        <w:tc>
          <w:tcPr>
            <w:tcW w:w="1385" w:type="dxa"/>
            <w:tcMar>
              <w:left w:w="70" w:type="dxa"/>
              <w:right w:w="70" w:type="dxa"/>
            </w:tcMar>
            <w:vAlign w:val="center"/>
          </w:tcPr>
          <w:p w14:paraId="0EDD75D7">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D5F8FE1">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53FC0C8C">
            <w:pPr>
              <w:keepNext/>
              <w:spacing w:before="20" w:after="20" w:line="260" w:lineRule="exact"/>
              <w:ind w:left="0" w:leftChars="0" w:right="0" w:rightChars="0" w:firstLine="0" w:firstLineChars="0"/>
              <w:jc w:val="center"/>
            </w:pPr>
            <w:r>
              <w:rPr>
                <w:rFonts w:ascii="Times New Roman" w:hAnsi="Times New Roman" w:eastAsia="宋体"/>
                <w:b w:val="0"/>
                <w:sz w:val="18"/>
              </w:rPr>
              <w:t>8522.47</w:t>
            </w:r>
          </w:p>
        </w:tc>
      </w:tr>
      <w:tr w14:paraId="40E77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9CD9DE6">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385" w:type="dxa"/>
            <w:tcMar>
              <w:left w:w="70" w:type="dxa"/>
              <w:right w:w="70" w:type="dxa"/>
            </w:tcMar>
            <w:vAlign w:val="center"/>
          </w:tcPr>
          <w:p w14:paraId="52D31CE6">
            <w:pPr>
              <w:keepNext/>
              <w:spacing w:before="20" w:after="20" w:line="260" w:lineRule="exact"/>
              <w:ind w:left="0" w:leftChars="0" w:right="0" w:rightChars="0" w:firstLine="0" w:firstLineChars="0"/>
              <w:jc w:val="center"/>
            </w:pPr>
            <w:r>
              <w:rPr>
                <w:rFonts w:ascii="Times New Roman" w:hAnsi="Times New Roman" w:eastAsia="宋体"/>
                <w:b w:val="0"/>
                <w:sz w:val="18"/>
              </w:rPr>
              <w:t>396.50</w:t>
            </w:r>
          </w:p>
        </w:tc>
        <w:tc>
          <w:tcPr>
            <w:tcW w:w="1385" w:type="dxa"/>
            <w:tcMar>
              <w:left w:w="70" w:type="dxa"/>
              <w:right w:w="70" w:type="dxa"/>
            </w:tcMar>
            <w:vAlign w:val="center"/>
          </w:tcPr>
          <w:p w14:paraId="77F9B041">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35CD2C76">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880AB74">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7EE19233">
            <w:pPr>
              <w:keepNext/>
              <w:spacing w:before="20" w:after="20" w:line="260" w:lineRule="exact"/>
              <w:ind w:left="0" w:leftChars="0" w:right="0" w:rightChars="0" w:firstLine="0" w:firstLineChars="0"/>
              <w:jc w:val="center"/>
            </w:pPr>
            <w:r>
              <w:rPr>
                <w:rFonts w:ascii="Times New Roman" w:hAnsi="Times New Roman" w:eastAsia="宋体"/>
                <w:b w:val="0"/>
                <w:sz w:val="18"/>
              </w:rPr>
              <w:t>7414.40</w:t>
            </w:r>
          </w:p>
        </w:tc>
      </w:tr>
      <w:tr w14:paraId="06288D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2581927">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385" w:type="dxa"/>
            <w:tcMar>
              <w:left w:w="70" w:type="dxa"/>
              <w:right w:w="70" w:type="dxa"/>
            </w:tcMar>
            <w:vAlign w:val="center"/>
          </w:tcPr>
          <w:p w14:paraId="785F94E0">
            <w:pPr>
              <w:keepNext w:val="0"/>
              <w:spacing w:before="20" w:after="20" w:line="260" w:lineRule="exact"/>
              <w:ind w:left="0" w:leftChars="0" w:right="0" w:rightChars="0" w:firstLine="0" w:firstLineChars="0"/>
              <w:jc w:val="center"/>
            </w:pPr>
            <w:r>
              <w:rPr>
                <w:rFonts w:ascii="Times New Roman" w:hAnsi="Times New Roman" w:eastAsia="宋体"/>
                <w:b w:val="0"/>
                <w:sz w:val="18"/>
              </w:rPr>
              <w:t>370.50</w:t>
            </w:r>
          </w:p>
        </w:tc>
        <w:tc>
          <w:tcPr>
            <w:tcW w:w="1385" w:type="dxa"/>
            <w:tcMar>
              <w:left w:w="70" w:type="dxa"/>
              <w:right w:w="70" w:type="dxa"/>
            </w:tcMar>
            <w:vAlign w:val="center"/>
          </w:tcPr>
          <w:p w14:paraId="6543A12F">
            <w:pPr>
              <w:keepNext w:val="0"/>
              <w:spacing w:before="20" w:after="20" w:line="260" w:lineRule="exact"/>
              <w:ind w:left="0" w:leftChars="0" w:right="0" w:rightChars="0" w:firstLine="0" w:firstLineChars="0"/>
              <w:jc w:val="center"/>
            </w:pPr>
            <w:r>
              <w:rPr>
                <w:rFonts w:ascii="Times New Roman" w:hAnsi="Times New Roman" w:eastAsia="宋体"/>
                <w:b w:val="0"/>
                <w:sz w:val="18"/>
              </w:rPr>
              <w:t>1.27</w:t>
            </w:r>
          </w:p>
        </w:tc>
        <w:tc>
          <w:tcPr>
            <w:tcW w:w="1385" w:type="dxa"/>
            <w:tcMar>
              <w:left w:w="70" w:type="dxa"/>
              <w:right w:w="70" w:type="dxa"/>
            </w:tcMar>
            <w:vAlign w:val="center"/>
          </w:tcPr>
          <w:p w14:paraId="2F2BEBC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11B6FA9">
            <w:pPr>
              <w:keepNext w:val="0"/>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2D5EC9E7">
            <w:pPr>
              <w:keepNext w:val="0"/>
              <w:spacing w:before="20" w:after="20" w:line="260" w:lineRule="exact"/>
              <w:ind w:left="0" w:leftChars="0" w:right="0" w:rightChars="0" w:firstLine="0" w:firstLineChars="0"/>
              <w:jc w:val="center"/>
            </w:pPr>
            <w:r>
              <w:rPr>
                <w:rFonts w:ascii="Times New Roman" w:hAnsi="Times New Roman" w:eastAsia="宋体"/>
                <w:b w:val="0"/>
                <w:sz w:val="18"/>
              </w:rPr>
              <w:t>6928.21</w:t>
            </w:r>
          </w:p>
        </w:tc>
      </w:tr>
    </w:tbl>
    <w:p w14:paraId="78D0E098">
      <w:pPr>
        <w:pStyle w:val="2"/>
        <w:widowControl/>
        <w:spacing w:before="0" w:after="0" w:line="348" w:lineRule="exact"/>
        <w:ind w:firstLine="480"/>
        <w:jc w:val="both"/>
      </w:pPr>
      <w:r>
        <w:rPr>
          <w:rFonts w:ascii="Times New Roman" w:hAnsi="Times New Roman" w:eastAsia="方正仿宋_GBK"/>
          <w:b w:val="0"/>
          <w:sz w:val="24"/>
        </w:rPr>
        <w:t>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14:paraId="225A88B6">
      <w:pPr>
        <w:pStyle w:val="2"/>
        <w:keepNext/>
        <w:spacing w:before="120" w:after="80" w:line="280" w:lineRule="exact"/>
        <w:ind w:firstLine="0"/>
        <w:jc w:val="center"/>
      </w:pPr>
      <w:r>
        <w:rPr>
          <w:rFonts w:ascii="Times New Roman" w:hAnsi="Times New Roman" w:eastAsia="宋体"/>
          <w:b w:val="0"/>
          <w:sz w:val="21"/>
        </w:rPr>
        <w:t>表5-77 场景2的完整转供率节点及设备方案</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FB5752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5DEE823">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6B602618">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0FE385C6">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15559A2A">
            <w:pPr>
              <w:keepNext/>
              <w:spacing w:before="20" w:after="20" w:line="260" w:lineRule="exact"/>
              <w:ind w:left="0" w:leftChars="0" w:right="0" w:rightChars="0" w:firstLine="0" w:firstLineChars="0"/>
              <w:jc w:val="center"/>
            </w:pPr>
            <w:r>
              <w:rPr>
                <w:rFonts w:ascii="Times New Roman" w:hAnsi="Times New Roman" w:eastAsia="宋体"/>
                <w:b/>
                <w:sz w:val="18"/>
              </w:rPr>
              <w:t>储能/MWh</w:t>
            </w:r>
          </w:p>
        </w:tc>
        <w:tc>
          <w:tcPr>
            <w:tcW w:w="1385" w:type="dxa"/>
            <w:tcMar>
              <w:left w:w="70" w:type="dxa"/>
              <w:right w:w="70" w:type="dxa"/>
            </w:tcMar>
            <w:vAlign w:val="center"/>
          </w:tcPr>
          <w:p w14:paraId="299FC052">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1237A3C3">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5017F5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B872B9C">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39D7FD54">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0D9E143B">
            <w:pPr>
              <w:keepNext/>
              <w:spacing w:before="20" w:after="20" w:line="260" w:lineRule="exact"/>
              <w:ind w:left="0" w:leftChars="0" w:right="0" w:rightChars="0" w:firstLine="0" w:firstLineChars="0"/>
              <w:jc w:val="center"/>
            </w:pPr>
            <w:r>
              <w:rPr>
                <w:rFonts w:ascii="Times New Roman" w:hAnsi="Times New Roman" w:eastAsia="宋体"/>
                <w:b w:val="0"/>
                <w:sz w:val="18"/>
              </w:rPr>
              <w:t>1.84</w:t>
            </w:r>
          </w:p>
        </w:tc>
        <w:tc>
          <w:tcPr>
            <w:tcW w:w="1385" w:type="dxa"/>
            <w:tcMar>
              <w:left w:w="70" w:type="dxa"/>
              <w:right w:w="70" w:type="dxa"/>
            </w:tcMar>
            <w:vAlign w:val="center"/>
          </w:tcPr>
          <w:p w14:paraId="041AC60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C361F83">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492163CF">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4DA449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3174E11">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385" w:type="dxa"/>
            <w:tcMar>
              <w:left w:w="70" w:type="dxa"/>
              <w:right w:w="70" w:type="dxa"/>
            </w:tcMar>
            <w:vAlign w:val="center"/>
          </w:tcPr>
          <w:p w14:paraId="005019F6">
            <w:pPr>
              <w:keepNext/>
              <w:spacing w:before="20" w:after="20" w:line="260" w:lineRule="exact"/>
              <w:ind w:left="0" w:leftChars="0" w:right="0" w:rightChars="0" w:firstLine="0" w:firstLineChars="0"/>
              <w:jc w:val="center"/>
            </w:pPr>
            <w:r>
              <w:rPr>
                <w:rFonts w:ascii="Times New Roman" w:hAnsi="Times New Roman" w:eastAsia="宋体"/>
                <w:b w:val="0"/>
                <w:sz w:val="18"/>
              </w:rPr>
              <w:t>544.50</w:t>
            </w:r>
          </w:p>
        </w:tc>
        <w:tc>
          <w:tcPr>
            <w:tcW w:w="1385" w:type="dxa"/>
            <w:tcMar>
              <w:left w:w="70" w:type="dxa"/>
              <w:right w:w="70" w:type="dxa"/>
            </w:tcMar>
            <w:vAlign w:val="center"/>
          </w:tcPr>
          <w:p w14:paraId="3FD996FF">
            <w:pPr>
              <w:keepNext/>
              <w:spacing w:before="20" w:after="20" w:line="260" w:lineRule="exact"/>
              <w:ind w:left="0" w:leftChars="0" w:right="0" w:rightChars="0" w:firstLine="0" w:firstLineChars="0"/>
              <w:jc w:val="center"/>
            </w:pPr>
            <w:r>
              <w:rPr>
                <w:rFonts w:ascii="Times New Roman" w:hAnsi="Times New Roman" w:eastAsia="宋体"/>
                <w:b w:val="0"/>
                <w:sz w:val="18"/>
              </w:rPr>
              <w:t>1.76</w:t>
            </w:r>
          </w:p>
        </w:tc>
        <w:tc>
          <w:tcPr>
            <w:tcW w:w="1385" w:type="dxa"/>
            <w:tcMar>
              <w:left w:w="70" w:type="dxa"/>
              <w:right w:w="70" w:type="dxa"/>
            </w:tcMar>
            <w:vAlign w:val="center"/>
          </w:tcPr>
          <w:p w14:paraId="1A6B7B36">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2C5A4CA">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3F8C0267">
            <w:pPr>
              <w:keepNext/>
              <w:spacing w:before="20" w:after="20" w:line="260" w:lineRule="exact"/>
              <w:ind w:left="0" w:leftChars="0" w:right="0" w:rightChars="0" w:firstLine="0" w:firstLineChars="0"/>
              <w:jc w:val="center"/>
            </w:pPr>
            <w:r>
              <w:rPr>
                <w:rFonts w:ascii="Times New Roman" w:hAnsi="Times New Roman" w:eastAsia="宋体"/>
                <w:b w:val="0"/>
                <w:sz w:val="18"/>
              </w:rPr>
              <w:t>14092.58</w:t>
            </w:r>
          </w:p>
        </w:tc>
      </w:tr>
      <w:tr w14:paraId="25E361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F465605">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385" w:type="dxa"/>
            <w:tcMar>
              <w:left w:w="70" w:type="dxa"/>
              <w:right w:w="70" w:type="dxa"/>
            </w:tcMar>
            <w:vAlign w:val="center"/>
          </w:tcPr>
          <w:p w14:paraId="131BAC6C">
            <w:pPr>
              <w:keepNext/>
              <w:spacing w:before="20" w:after="20" w:line="260" w:lineRule="exact"/>
              <w:ind w:left="0" w:leftChars="0" w:right="0" w:rightChars="0" w:firstLine="0" w:firstLineChars="0"/>
              <w:jc w:val="center"/>
            </w:pPr>
            <w:r>
              <w:rPr>
                <w:rFonts w:ascii="Times New Roman" w:hAnsi="Times New Roman" w:eastAsia="宋体"/>
                <w:b w:val="0"/>
                <w:sz w:val="18"/>
              </w:rPr>
              <w:t>476.00</w:t>
            </w:r>
          </w:p>
        </w:tc>
        <w:tc>
          <w:tcPr>
            <w:tcW w:w="1385" w:type="dxa"/>
            <w:tcMar>
              <w:left w:w="70" w:type="dxa"/>
              <w:right w:w="70" w:type="dxa"/>
            </w:tcMar>
            <w:vAlign w:val="center"/>
          </w:tcPr>
          <w:p w14:paraId="3AAD6570">
            <w:pPr>
              <w:keepNext/>
              <w:spacing w:before="20" w:after="20" w:line="260" w:lineRule="exact"/>
              <w:ind w:left="0" w:leftChars="0" w:right="0" w:rightChars="0" w:firstLine="0" w:firstLineChars="0"/>
              <w:jc w:val="center"/>
            </w:pPr>
            <w:r>
              <w:rPr>
                <w:rFonts w:ascii="Times New Roman" w:hAnsi="Times New Roman" w:eastAsia="宋体"/>
                <w:b w:val="0"/>
                <w:sz w:val="18"/>
              </w:rPr>
              <w:t>1.54</w:t>
            </w:r>
          </w:p>
        </w:tc>
        <w:tc>
          <w:tcPr>
            <w:tcW w:w="1385" w:type="dxa"/>
            <w:tcMar>
              <w:left w:w="70" w:type="dxa"/>
              <w:right w:w="70" w:type="dxa"/>
            </w:tcMar>
            <w:vAlign w:val="center"/>
          </w:tcPr>
          <w:p w14:paraId="461436BC">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33AF7F0D">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185E6B1F">
            <w:pPr>
              <w:keepNext/>
              <w:spacing w:before="20" w:after="20" w:line="260" w:lineRule="exact"/>
              <w:ind w:left="0" w:leftChars="0" w:right="0" w:rightChars="0" w:firstLine="0" w:firstLineChars="0"/>
              <w:jc w:val="center"/>
            </w:pPr>
            <w:r>
              <w:rPr>
                <w:rFonts w:ascii="Times New Roman" w:hAnsi="Times New Roman" w:eastAsia="宋体"/>
                <w:b w:val="0"/>
                <w:sz w:val="18"/>
              </w:rPr>
              <w:t>11460.49</w:t>
            </w:r>
          </w:p>
        </w:tc>
      </w:tr>
      <w:tr w14:paraId="301DDC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08551E0">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16513C48">
            <w:pPr>
              <w:keepNext/>
              <w:spacing w:before="20" w:after="20" w:line="260" w:lineRule="exact"/>
              <w:ind w:left="0" w:leftChars="0" w:right="0" w:rightChars="0" w:firstLine="0" w:firstLineChars="0"/>
              <w:jc w:val="center"/>
            </w:pPr>
            <w:r>
              <w:rPr>
                <w:rFonts w:ascii="Times New Roman" w:hAnsi="Times New Roman" w:eastAsia="宋体"/>
                <w:b w:val="0"/>
                <w:sz w:val="18"/>
              </w:rPr>
              <w:t>483.50</w:t>
            </w:r>
          </w:p>
        </w:tc>
        <w:tc>
          <w:tcPr>
            <w:tcW w:w="1385" w:type="dxa"/>
            <w:tcMar>
              <w:left w:w="70" w:type="dxa"/>
              <w:right w:w="70" w:type="dxa"/>
            </w:tcMar>
            <w:vAlign w:val="center"/>
          </w:tcPr>
          <w:p w14:paraId="436B5F6F">
            <w:pPr>
              <w:keepNext/>
              <w:spacing w:before="20" w:after="20" w:line="260" w:lineRule="exact"/>
              <w:ind w:left="0" w:leftChars="0" w:right="0" w:rightChars="0" w:firstLine="0" w:firstLineChars="0"/>
              <w:jc w:val="center"/>
            </w:pPr>
            <w:r>
              <w:rPr>
                <w:rFonts w:ascii="Times New Roman" w:hAnsi="Times New Roman" w:eastAsia="宋体"/>
                <w:b w:val="0"/>
                <w:sz w:val="18"/>
              </w:rPr>
              <w:t>1.56</w:t>
            </w:r>
          </w:p>
        </w:tc>
        <w:tc>
          <w:tcPr>
            <w:tcW w:w="1385" w:type="dxa"/>
            <w:tcMar>
              <w:left w:w="70" w:type="dxa"/>
              <w:right w:w="70" w:type="dxa"/>
            </w:tcMar>
            <w:vAlign w:val="center"/>
          </w:tcPr>
          <w:p w14:paraId="5C8A5EAE">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78101C4">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EBE6CE7">
            <w:pPr>
              <w:keepNext/>
              <w:spacing w:before="20" w:after="20" w:line="260" w:lineRule="exact"/>
              <w:ind w:left="0" w:leftChars="0" w:right="0" w:rightChars="0" w:firstLine="0" w:firstLineChars="0"/>
              <w:jc w:val="center"/>
            </w:pPr>
            <w:r>
              <w:rPr>
                <w:rFonts w:ascii="Times New Roman" w:hAnsi="Times New Roman" w:eastAsia="宋体"/>
                <w:b w:val="0"/>
                <w:sz w:val="18"/>
              </w:rPr>
              <w:t>10392.43</w:t>
            </w:r>
          </w:p>
        </w:tc>
      </w:tr>
      <w:tr w14:paraId="43376D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70FFDC5">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385" w:type="dxa"/>
            <w:tcMar>
              <w:left w:w="70" w:type="dxa"/>
              <w:right w:w="70" w:type="dxa"/>
            </w:tcMar>
            <w:vAlign w:val="center"/>
          </w:tcPr>
          <w:p w14:paraId="45B9F509">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14E13D88">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7155579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4D35299">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09135E1B">
            <w:pPr>
              <w:keepNext/>
              <w:spacing w:before="20" w:after="20" w:line="260" w:lineRule="exact"/>
              <w:ind w:left="0" w:leftChars="0" w:right="0" w:rightChars="0" w:firstLine="0" w:firstLineChars="0"/>
              <w:jc w:val="center"/>
            </w:pPr>
            <w:r>
              <w:rPr>
                <w:rFonts w:ascii="Times New Roman" w:hAnsi="Times New Roman" w:eastAsia="宋体"/>
                <w:b w:val="0"/>
                <w:sz w:val="18"/>
              </w:rPr>
              <w:t>9516.43</w:t>
            </w:r>
          </w:p>
        </w:tc>
      </w:tr>
      <w:tr w14:paraId="28F905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9BCB8B">
            <w:pPr>
              <w:keepNext/>
              <w:spacing w:before="20" w:after="20" w:line="260" w:lineRule="exact"/>
              <w:ind w:left="0" w:leftChars="0" w:right="0" w:rightChars="0" w:firstLine="0" w:firstLineChars="0"/>
              <w:jc w:val="center"/>
            </w:pPr>
            <w:r>
              <w:rPr>
                <w:rFonts w:ascii="Times New Roman" w:hAnsi="Times New Roman" w:eastAsia="宋体"/>
                <w:b w:val="0"/>
                <w:sz w:val="18"/>
              </w:rPr>
              <w:t>60%</w:t>
            </w:r>
          </w:p>
        </w:tc>
        <w:tc>
          <w:tcPr>
            <w:tcW w:w="1385" w:type="dxa"/>
            <w:tcMar>
              <w:left w:w="70" w:type="dxa"/>
              <w:right w:w="70" w:type="dxa"/>
            </w:tcMar>
            <w:vAlign w:val="center"/>
          </w:tcPr>
          <w:p w14:paraId="776C3388">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779DB661">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04A6B06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4E9287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6C82F2E1">
            <w:pPr>
              <w:keepNext/>
              <w:spacing w:before="20" w:after="20" w:line="260" w:lineRule="exact"/>
              <w:ind w:left="0" w:leftChars="0" w:right="0" w:rightChars="0" w:firstLine="0" w:firstLineChars="0"/>
              <w:jc w:val="center"/>
            </w:pPr>
            <w:r>
              <w:rPr>
                <w:rFonts w:ascii="Times New Roman" w:hAnsi="Times New Roman" w:eastAsia="宋体"/>
                <w:b w:val="0"/>
                <w:sz w:val="18"/>
              </w:rPr>
              <w:t>8912.27</w:t>
            </w:r>
          </w:p>
        </w:tc>
      </w:tr>
      <w:tr w14:paraId="71BA52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A3D16D7">
            <w:pPr>
              <w:keepNext/>
              <w:spacing w:before="20" w:after="20" w:line="260" w:lineRule="exact"/>
              <w:ind w:left="0" w:leftChars="0" w:right="0" w:rightChars="0" w:firstLine="0" w:firstLineChars="0"/>
              <w:jc w:val="center"/>
            </w:pPr>
            <w:r>
              <w:rPr>
                <w:rFonts w:ascii="Times New Roman" w:hAnsi="Times New Roman" w:eastAsia="宋体"/>
                <w:b w:val="0"/>
                <w:sz w:val="18"/>
              </w:rPr>
              <w:t>70%</w:t>
            </w:r>
          </w:p>
        </w:tc>
        <w:tc>
          <w:tcPr>
            <w:tcW w:w="1385" w:type="dxa"/>
            <w:tcMar>
              <w:left w:w="70" w:type="dxa"/>
              <w:right w:w="70" w:type="dxa"/>
            </w:tcMar>
            <w:vAlign w:val="center"/>
          </w:tcPr>
          <w:p w14:paraId="7E480546">
            <w:pPr>
              <w:keepNext/>
              <w:spacing w:before="20" w:after="20" w:line="260" w:lineRule="exact"/>
              <w:ind w:left="0" w:leftChars="0" w:right="0" w:rightChars="0" w:firstLine="0" w:firstLineChars="0"/>
              <w:jc w:val="center"/>
            </w:pPr>
            <w:r>
              <w:rPr>
                <w:rFonts w:ascii="Times New Roman" w:hAnsi="Times New Roman" w:eastAsia="宋体"/>
                <w:b w:val="0"/>
                <w:sz w:val="18"/>
              </w:rPr>
              <w:t>415.00</w:t>
            </w:r>
          </w:p>
        </w:tc>
        <w:tc>
          <w:tcPr>
            <w:tcW w:w="1385" w:type="dxa"/>
            <w:tcMar>
              <w:left w:w="70" w:type="dxa"/>
              <w:right w:w="70" w:type="dxa"/>
            </w:tcMar>
            <w:vAlign w:val="center"/>
          </w:tcPr>
          <w:p w14:paraId="328FE2E7">
            <w:pPr>
              <w:keepNext/>
              <w:spacing w:before="20" w:after="20" w:line="260" w:lineRule="exact"/>
              <w:ind w:left="0" w:leftChars="0" w:right="0" w:rightChars="0" w:firstLine="0" w:firstLineChars="0"/>
              <w:jc w:val="center"/>
            </w:pPr>
            <w:r>
              <w:rPr>
                <w:rFonts w:ascii="Times New Roman" w:hAnsi="Times New Roman" w:eastAsia="宋体"/>
                <w:b w:val="0"/>
                <w:sz w:val="18"/>
              </w:rPr>
              <w:t>1.34</w:t>
            </w:r>
          </w:p>
        </w:tc>
        <w:tc>
          <w:tcPr>
            <w:tcW w:w="1385" w:type="dxa"/>
            <w:tcMar>
              <w:left w:w="70" w:type="dxa"/>
              <w:right w:w="70" w:type="dxa"/>
            </w:tcMar>
            <w:vAlign w:val="center"/>
          </w:tcPr>
          <w:p w14:paraId="03647F3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CAA9EC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A91ED6B">
            <w:pPr>
              <w:keepNext/>
              <w:spacing w:before="20" w:after="20" w:line="260" w:lineRule="exact"/>
              <w:ind w:left="0" w:leftChars="0" w:right="0" w:rightChars="0" w:firstLine="0" w:firstLineChars="0"/>
              <w:jc w:val="center"/>
            </w:pPr>
            <w:r>
              <w:rPr>
                <w:rFonts w:ascii="Times New Roman" w:hAnsi="Times New Roman" w:eastAsia="宋体"/>
                <w:b w:val="0"/>
                <w:sz w:val="18"/>
              </w:rPr>
              <w:t>8062.42</w:t>
            </w:r>
          </w:p>
        </w:tc>
      </w:tr>
      <w:tr w14:paraId="21364B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7CC129F">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385" w:type="dxa"/>
            <w:tcMar>
              <w:left w:w="70" w:type="dxa"/>
              <w:right w:w="70" w:type="dxa"/>
            </w:tcMar>
            <w:vAlign w:val="center"/>
          </w:tcPr>
          <w:p w14:paraId="67A12963">
            <w:pPr>
              <w:keepNext/>
              <w:spacing w:before="20" w:after="20" w:line="260" w:lineRule="exact"/>
              <w:ind w:left="0" w:leftChars="0" w:right="0" w:rightChars="0" w:firstLine="0" w:firstLineChars="0"/>
              <w:jc w:val="center"/>
            </w:pPr>
            <w:r>
              <w:rPr>
                <w:rFonts w:ascii="Times New Roman" w:hAnsi="Times New Roman" w:eastAsia="宋体"/>
                <w:b w:val="0"/>
                <w:sz w:val="18"/>
              </w:rPr>
              <w:t>389.00</w:t>
            </w:r>
          </w:p>
        </w:tc>
        <w:tc>
          <w:tcPr>
            <w:tcW w:w="1385" w:type="dxa"/>
            <w:tcMar>
              <w:left w:w="70" w:type="dxa"/>
              <w:right w:w="70" w:type="dxa"/>
            </w:tcMar>
            <w:vAlign w:val="center"/>
          </w:tcPr>
          <w:p w14:paraId="368F3B77">
            <w:pPr>
              <w:keepNext/>
              <w:spacing w:before="20" w:after="20" w:line="260" w:lineRule="exact"/>
              <w:ind w:left="0" w:leftChars="0" w:right="0" w:rightChars="0" w:firstLine="0" w:firstLineChars="0"/>
              <w:jc w:val="center"/>
            </w:pPr>
            <w:r>
              <w:rPr>
                <w:rFonts w:ascii="Times New Roman" w:hAnsi="Times New Roman" w:eastAsia="宋体"/>
                <w:b w:val="0"/>
                <w:sz w:val="18"/>
              </w:rPr>
              <w:t>1.26</w:t>
            </w:r>
          </w:p>
        </w:tc>
        <w:tc>
          <w:tcPr>
            <w:tcW w:w="1385" w:type="dxa"/>
            <w:tcMar>
              <w:left w:w="70" w:type="dxa"/>
              <w:right w:w="70" w:type="dxa"/>
            </w:tcMar>
            <w:vAlign w:val="center"/>
          </w:tcPr>
          <w:p w14:paraId="1346079C">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E494FBA">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86CE199">
            <w:pPr>
              <w:keepNext/>
              <w:spacing w:before="20" w:after="20" w:line="260" w:lineRule="exact"/>
              <w:ind w:left="0" w:leftChars="0" w:right="0" w:rightChars="0" w:firstLine="0" w:firstLineChars="0"/>
              <w:jc w:val="center"/>
            </w:pPr>
            <w:r>
              <w:rPr>
                <w:rFonts w:ascii="Times New Roman" w:hAnsi="Times New Roman" w:eastAsia="宋体"/>
                <w:b w:val="0"/>
                <w:sz w:val="18"/>
              </w:rPr>
              <w:t>7576.23</w:t>
            </w:r>
          </w:p>
        </w:tc>
      </w:tr>
      <w:tr w14:paraId="36628E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6032AD2">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385" w:type="dxa"/>
            <w:tcMar>
              <w:left w:w="70" w:type="dxa"/>
              <w:right w:w="70" w:type="dxa"/>
            </w:tcMar>
            <w:vAlign w:val="center"/>
          </w:tcPr>
          <w:p w14:paraId="53B4B14B">
            <w:pPr>
              <w:keepNext w:val="0"/>
              <w:spacing w:before="20" w:after="20" w:line="260" w:lineRule="exact"/>
              <w:ind w:left="0" w:leftChars="0" w:right="0" w:rightChars="0" w:firstLine="0" w:firstLineChars="0"/>
              <w:jc w:val="center"/>
            </w:pPr>
            <w:r>
              <w:rPr>
                <w:rFonts w:ascii="Times New Roman" w:hAnsi="Times New Roman" w:eastAsia="宋体"/>
                <w:b w:val="0"/>
                <w:sz w:val="18"/>
              </w:rPr>
              <w:t>389.00</w:t>
            </w:r>
          </w:p>
        </w:tc>
        <w:tc>
          <w:tcPr>
            <w:tcW w:w="1385" w:type="dxa"/>
            <w:tcMar>
              <w:left w:w="70" w:type="dxa"/>
              <w:right w:w="70" w:type="dxa"/>
            </w:tcMar>
            <w:vAlign w:val="center"/>
          </w:tcPr>
          <w:p w14:paraId="2EF3BFB7">
            <w:pPr>
              <w:keepNext w:val="0"/>
              <w:spacing w:before="20" w:after="20" w:line="260" w:lineRule="exact"/>
              <w:ind w:left="0" w:leftChars="0" w:right="0" w:rightChars="0" w:firstLine="0" w:firstLineChars="0"/>
              <w:jc w:val="center"/>
            </w:pPr>
            <w:r>
              <w:rPr>
                <w:rFonts w:ascii="Times New Roman" w:hAnsi="Times New Roman" w:eastAsia="宋体"/>
                <w:b w:val="0"/>
                <w:sz w:val="18"/>
              </w:rPr>
              <w:t>1.26</w:t>
            </w:r>
          </w:p>
        </w:tc>
        <w:tc>
          <w:tcPr>
            <w:tcW w:w="1385" w:type="dxa"/>
            <w:tcMar>
              <w:left w:w="70" w:type="dxa"/>
              <w:right w:w="70" w:type="dxa"/>
            </w:tcMar>
            <w:vAlign w:val="center"/>
          </w:tcPr>
          <w:p w14:paraId="77F3B70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470BB2D">
            <w:pPr>
              <w:keepNext w:val="0"/>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6B8FA6FE">
            <w:pPr>
              <w:keepNext w:val="0"/>
              <w:spacing w:before="20" w:after="20" w:line="260" w:lineRule="exact"/>
              <w:ind w:left="0" w:leftChars="0" w:right="0" w:rightChars="0" w:firstLine="0" w:firstLineChars="0"/>
              <w:jc w:val="center"/>
            </w:pPr>
            <w:r>
              <w:rPr>
                <w:rFonts w:ascii="Times New Roman" w:hAnsi="Times New Roman" w:eastAsia="宋体"/>
                <w:b w:val="0"/>
                <w:sz w:val="18"/>
              </w:rPr>
              <w:t>7274.15</w:t>
            </w:r>
          </w:p>
        </w:tc>
      </w:tr>
    </w:tbl>
    <w:p w14:paraId="76F977A1">
      <w:pPr>
        <w:pStyle w:val="2"/>
        <w:widowControl/>
        <w:spacing w:before="0" w:after="0" w:line="348" w:lineRule="exact"/>
        <w:ind w:firstLine="480"/>
        <w:jc w:val="both"/>
      </w:pPr>
      <w:r>
        <w:rPr>
          <w:rFonts w:ascii="Times New Roman" w:hAnsi="Times New Roman" w:eastAsia="方正仿宋_GBK"/>
          <w:b w:val="0"/>
          <w:sz w:val="24"/>
        </w:rPr>
        <w:t>场景2在10%～30%内主变连续减至476.00 MVA，40%节点改用483.50 MVA并减少4项新增联络，50%节点降至420.50 MVA。60%与50%保持同一容量，通过减少2项联络降低费用，70%节点再降至415.00 MVA，80%和90%为389.00 MVA，末个节点取消新增联络。两组均在四档转供率间形成不同的推荐区间，说明既有网络改善能够在各档体现为区域容量需求下降，同时改变新增工程组合。</w:t>
      </w:r>
    </w:p>
    <w:p w14:paraId="16DD9345">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006600"/>
            <wp:effectExtent l="0" t="0" r="0" b="0"/>
            <wp:docPr id="7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pic:cNvPicPr>
                      <a:picLocks noChangeAspect="1" noChangeArrowheads="1"/>
                    </pic:cNvPicPr>
                  </pic:nvPicPr>
                  <pic:blipFill>
                    <a:blip r:embed="rId49"/>
                    <a:stretch>
                      <a:fillRect/>
                    </a:stretch>
                  </pic:blipFill>
                  <pic:spPr>
                    <a:xfrm>
                      <a:off x="0" y="0"/>
                      <a:ext cx="5120640" cy="2006737"/>
                    </a:xfrm>
                    <a:prstGeom prst="rect">
                      <a:avLst/>
                    </a:prstGeom>
                    <a:noFill/>
                    <a:ln w="9525">
                      <a:noFill/>
                    </a:ln>
                  </pic:spPr>
                </pic:pic>
              </a:graphicData>
            </a:graphic>
          </wp:inline>
        </w:drawing>
      </w:r>
    </w:p>
    <w:p w14:paraId="7F7DD5FD">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图5-14 典型场景中初始转供率与容载比、费用的关系</w:t>
      </w:r>
    </w:p>
    <w:p w14:paraId="6C72CCBE">
      <w:pPr>
        <w:pStyle w:val="2"/>
        <w:widowControl/>
        <w:spacing w:before="0" w:after="0" w:line="348" w:lineRule="exact"/>
        <w:ind w:firstLine="480"/>
        <w:jc w:val="both"/>
      </w:pPr>
      <w:r>
        <w:rPr>
          <w:rFonts w:ascii="Times New Roman" w:hAnsi="Times New Roman" w:eastAsia="方正仿宋_GBK"/>
          <w:b w:val="0"/>
          <w:sz w:val="24"/>
        </w:rPr>
        <w:t>细节点的容量平台与主变按额定容量整台配置、各站N-1剩余能力及费用替代共同有关。两组全部容量均高于315.00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14:paraId="0C463B03">
      <w:pPr>
        <w:pStyle w:val="5"/>
        <w:keepNext/>
        <w:numPr>
          <w:ilvl w:val="0"/>
          <w:numId w:val="0"/>
        </w:numPr>
        <w:spacing w:before="160" w:after="120" w:line="390" w:lineRule="exact"/>
        <w:ind w:firstLine="0"/>
      </w:pPr>
      <w:bookmarkStart w:id="261" w:name="装机渗透率与双向容量需求"/>
      <w:r>
        <w:rPr>
          <w:rFonts w:ascii="Times New Roman" w:hAnsi="Times New Roman" w:eastAsia="方正仿宋_GBK"/>
          <w:b/>
          <w:sz w:val="26"/>
        </w:rPr>
        <w:t>5.6.5 装机渗透率与双向容量需求</w:t>
      </w:r>
      <w:bookmarkEnd w:id="261"/>
    </w:p>
    <w:p w14:paraId="4472F65F">
      <w:pPr>
        <w:pStyle w:val="115"/>
        <w:widowControl/>
        <w:spacing w:before="0" w:after="0" w:line="348" w:lineRule="exact"/>
        <w:ind w:firstLine="480"/>
        <w:jc w:val="both"/>
      </w:pPr>
      <w:r>
        <w:rPr>
          <w:rFonts w:ascii="Times New Roman" w:hAnsi="Times New Roman" w:eastAsia="方正仿宋_GBK"/>
          <w:b w:val="0"/>
          <w:sz w:val="24"/>
        </w:rPr>
        <w:t>固定年最大净负荷平均增长率4%、电缆长度占比10%、初始转供率40%和负荷分散系数1.10，读取装机渗透率0～3.00、步长0.25的完整序列。</w:t>
      </w:r>
    </w:p>
    <w:p w14:paraId="22FE0721">
      <w:pPr>
        <w:pStyle w:val="2"/>
        <w:keepNext/>
        <w:spacing w:before="120" w:after="80" w:line="280" w:lineRule="exact"/>
        <w:ind w:firstLine="0"/>
        <w:jc w:val="center"/>
      </w:pPr>
      <w:r>
        <w:rPr>
          <w:rFonts w:ascii="Times New Roman" w:hAnsi="Times New Roman" w:eastAsia="宋体"/>
          <w:b w:val="0"/>
          <w:sz w:val="21"/>
        </w:rPr>
        <w:t>表5-78 装机渗透率对应的设备配置变化</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D0327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B9E003F">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1B7F44CE">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7B1FCB8F">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5D83F949">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518769D5">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27437A70">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7FE0B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1AB053D">
            <w:pPr>
              <w:keepNext/>
              <w:spacing w:before="20" w:after="20" w:line="260" w:lineRule="exact"/>
              <w:ind w:left="0" w:leftChars="0" w:right="0" w:rightChars="0" w:firstLine="0" w:firstLineChars="0"/>
              <w:jc w:val="center"/>
            </w:pPr>
            <w:r>
              <w:rPr>
                <w:rFonts w:ascii="Times New Roman" w:hAnsi="Times New Roman" w:eastAsia="宋体"/>
                <w:b w:val="0"/>
                <w:sz w:val="18"/>
              </w:rPr>
              <w:t>0～1.50</w:t>
            </w:r>
          </w:p>
        </w:tc>
        <w:tc>
          <w:tcPr>
            <w:tcW w:w="1385" w:type="dxa"/>
            <w:tcMar>
              <w:left w:w="70" w:type="dxa"/>
              <w:right w:w="70" w:type="dxa"/>
            </w:tcMar>
            <w:vAlign w:val="center"/>
          </w:tcPr>
          <w:p w14:paraId="21B49545">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43041EE8">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07C039B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72342B6">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20F1F1B8">
            <w:pPr>
              <w:keepNext/>
              <w:spacing w:before="20" w:after="20" w:line="260" w:lineRule="exact"/>
              <w:ind w:left="0" w:leftChars="0" w:right="0" w:rightChars="0" w:firstLine="0" w:firstLineChars="0"/>
              <w:jc w:val="center"/>
            </w:pPr>
            <w:r>
              <w:rPr>
                <w:rFonts w:ascii="Times New Roman" w:hAnsi="Times New Roman" w:eastAsia="宋体"/>
                <w:b w:val="0"/>
                <w:sz w:val="18"/>
              </w:rPr>
              <w:t>1984.06</w:t>
            </w:r>
          </w:p>
        </w:tc>
      </w:tr>
      <w:tr w14:paraId="33393F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CD682E9">
            <w:pPr>
              <w:keepNext/>
              <w:spacing w:before="20" w:after="20" w:line="260" w:lineRule="exact"/>
              <w:ind w:left="0" w:leftChars="0" w:right="0" w:rightChars="0" w:firstLine="0" w:firstLineChars="0"/>
              <w:jc w:val="center"/>
            </w:pPr>
            <w:r>
              <w:rPr>
                <w:rFonts w:ascii="Times New Roman" w:hAnsi="Times New Roman" w:eastAsia="宋体"/>
                <w:b w:val="0"/>
                <w:sz w:val="18"/>
              </w:rPr>
              <w:t>1.75</w:t>
            </w:r>
          </w:p>
        </w:tc>
        <w:tc>
          <w:tcPr>
            <w:tcW w:w="1385" w:type="dxa"/>
            <w:tcMar>
              <w:left w:w="70" w:type="dxa"/>
              <w:right w:w="70" w:type="dxa"/>
            </w:tcMar>
            <w:vAlign w:val="center"/>
          </w:tcPr>
          <w:p w14:paraId="414DC704">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61AC3338">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5B5FC131">
            <w:pPr>
              <w:keepNext/>
              <w:spacing w:before="20" w:after="20" w:line="260" w:lineRule="exact"/>
              <w:ind w:left="0" w:leftChars="0" w:right="0" w:rightChars="0" w:firstLine="0" w:firstLineChars="0"/>
              <w:jc w:val="center"/>
            </w:pPr>
            <w:r>
              <w:rPr>
                <w:rFonts w:ascii="Times New Roman" w:hAnsi="Times New Roman" w:eastAsia="宋体"/>
                <w:b w:val="0"/>
                <w:sz w:val="18"/>
              </w:rPr>
              <w:t>2.30</w:t>
            </w:r>
          </w:p>
        </w:tc>
        <w:tc>
          <w:tcPr>
            <w:tcW w:w="1385" w:type="dxa"/>
            <w:tcMar>
              <w:left w:w="70" w:type="dxa"/>
              <w:right w:w="70" w:type="dxa"/>
            </w:tcMar>
            <w:vAlign w:val="center"/>
          </w:tcPr>
          <w:p w14:paraId="60AA30E2">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69FC0C21">
            <w:pPr>
              <w:keepNext/>
              <w:spacing w:before="20" w:after="20" w:line="260" w:lineRule="exact"/>
              <w:ind w:left="0" w:leftChars="0" w:right="0" w:rightChars="0" w:firstLine="0" w:firstLineChars="0"/>
              <w:jc w:val="center"/>
            </w:pPr>
            <w:r>
              <w:rPr>
                <w:rFonts w:ascii="Times New Roman" w:hAnsi="Times New Roman" w:eastAsia="宋体"/>
                <w:b w:val="0"/>
                <w:sz w:val="18"/>
              </w:rPr>
              <w:t>2483.72</w:t>
            </w:r>
          </w:p>
        </w:tc>
      </w:tr>
      <w:tr w14:paraId="62D972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9A98677">
            <w:pPr>
              <w:keepNext/>
              <w:spacing w:before="20" w:after="20" w:line="260" w:lineRule="exact"/>
              <w:ind w:left="0" w:leftChars="0" w:right="0" w:rightChars="0" w:firstLine="0" w:firstLineChars="0"/>
              <w:jc w:val="center"/>
            </w:pPr>
            <w:r>
              <w:rPr>
                <w:rFonts w:ascii="Times New Roman" w:hAnsi="Times New Roman" w:eastAsia="宋体"/>
                <w:b w:val="0"/>
                <w:sz w:val="18"/>
              </w:rPr>
              <w:t>2.00</w:t>
            </w:r>
          </w:p>
        </w:tc>
        <w:tc>
          <w:tcPr>
            <w:tcW w:w="1385" w:type="dxa"/>
            <w:tcMar>
              <w:left w:w="70" w:type="dxa"/>
              <w:right w:w="70" w:type="dxa"/>
            </w:tcMar>
            <w:vAlign w:val="center"/>
          </w:tcPr>
          <w:p w14:paraId="4B9BD9F4">
            <w:pPr>
              <w:keepNext/>
              <w:spacing w:before="20" w:after="20" w:line="260" w:lineRule="exact"/>
              <w:ind w:left="0" w:leftChars="0" w:right="0" w:rightChars="0" w:firstLine="0" w:firstLineChars="0"/>
              <w:jc w:val="center"/>
            </w:pPr>
            <w:r>
              <w:rPr>
                <w:rFonts w:ascii="Times New Roman" w:hAnsi="Times New Roman" w:eastAsia="宋体"/>
                <w:b w:val="0"/>
                <w:sz w:val="18"/>
              </w:rPr>
              <w:t>626.00</w:t>
            </w:r>
          </w:p>
        </w:tc>
        <w:tc>
          <w:tcPr>
            <w:tcW w:w="1385" w:type="dxa"/>
            <w:tcMar>
              <w:left w:w="70" w:type="dxa"/>
              <w:right w:w="70" w:type="dxa"/>
            </w:tcMar>
            <w:vAlign w:val="center"/>
          </w:tcPr>
          <w:p w14:paraId="64F9855A">
            <w:pPr>
              <w:keepNext/>
              <w:spacing w:before="20" w:after="20" w:line="260" w:lineRule="exact"/>
              <w:ind w:left="0" w:leftChars="0" w:right="0" w:rightChars="0" w:firstLine="0" w:firstLineChars="0"/>
              <w:jc w:val="center"/>
            </w:pPr>
            <w:r>
              <w:rPr>
                <w:rFonts w:ascii="Times New Roman" w:hAnsi="Times New Roman" w:eastAsia="宋体"/>
                <w:b w:val="0"/>
                <w:sz w:val="18"/>
              </w:rPr>
              <w:t>2.14</w:t>
            </w:r>
          </w:p>
        </w:tc>
        <w:tc>
          <w:tcPr>
            <w:tcW w:w="1385" w:type="dxa"/>
            <w:tcMar>
              <w:left w:w="70" w:type="dxa"/>
              <w:right w:w="70" w:type="dxa"/>
            </w:tcMar>
            <w:vAlign w:val="center"/>
          </w:tcPr>
          <w:p w14:paraId="6AC37912">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031DC75">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343C2D09">
            <w:pPr>
              <w:keepNext/>
              <w:spacing w:before="20" w:after="20" w:line="260" w:lineRule="exact"/>
              <w:ind w:left="0" w:leftChars="0" w:right="0" w:rightChars="0" w:firstLine="0" w:firstLineChars="0"/>
              <w:jc w:val="center"/>
            </w:pPr>
            <w:r>
              <w:rPr>
                <w:rFonts w:ascii="Times New Roman" w:hAnsi="Times New Roman" w:eastAsia="宋体"/>
                <w:b w:val="0"/>
                <w:sz w:val="18"/>
              </w:rPr>
              <w:t>5720.12</w:t>
            </w:r>
          </w:p>
        </w:tc>
      </w:tr>
      <w:tr w14:paraId="18951F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08E779A">
            <w:pPr>
              <w:keepNext/>
              <w:spacing w:before="20" w:after="20" w:line="260" w:lineRule="exact"/>
              <w:ind w:left="0" w:leftChars="0" w:right="0" w:rightChars="0" w:firstLine="0" w:firstLineChars="0"/>
              <w:jc w:val="center"/>
            </w:pPr>
            <w:r>
              <w:rPr>
                <w:rFonts w:ascii="Times New Roman" w:hAnsi="Times New Roman" w:eastAsia="宋体"/>
                <w:b w:val="0"/>
                <w:sz w:val="18"/>
              </w:rPr>
              <w:t>2.25</w:t>
            </w:r>
          </w:p>
        </w:tc>
        <w:tc>
          <w:tcPr>
            <w:tcW w:w="1385" w:type="dxa"/>
            <w:tcMar>
              <w:left w:w="70" w:type="dxa"/>
              <w:right w:w="70" w:type="dxa"/>
            </w:tcMar>
            <w:vAlign w:val="center"/>
          </w:tcPr>
          <w:p w14:paraId="5A374F6E">
            <w:pPr>
              <w:keepNext/>
              <w:spacing w:before="20" w:after="20" w:line="260" w:lineRule="exact"/>
              <w:ind w:left="0" w:leftChars="0" w:right="0" w:rightChars="0" w:firstLine="0" w:firstLineChars="0"/>
              <w:jc w:val="center"/>
            </w:pPr>
            <w:r>
              <w:rPr>
                <w:rFonts w:ascii="Times New Roman" w:hAnsi="Times New Roman" w:eastAsia="宋体"/>
                <w:b w:val="0"/>
                <w:sz w:val="18"/>
              </w:rPr>
              <w:t>660.00</w:t>
            </w:r>
          </w:p>
        </w:tc>
        <w:tc>
          <w:tcPr>
            <w:tcW w:w="1385" w:type="dxa"/>
            <w:tcMar>
              <w:left w:w="70" w:type="dxa"/>
              <w:right w:w="70" w:type="dxa"/>
            </w:tcMar>
            <w:vAlign w:val="center"/>
          </w:tcPr>
          <w:p w14:paraId="14E19A2A">
            <w:pPr>
              <w:keepNext/>
              <w:spacing w:before="20" w:after="20" w:line="260" w:lineRule="exact"/>
              <w:ind w:left="0" w:leftChars="0" w:right="0" w:rightChars="0" w:firstLine="0" w:firstLineChars="0"/>
              <w:jc w:val="center"/>
            </w:pPr>
            <w:r>
              <w:rPr>
                <w:rFonts w:ascii="Times New Roman" w:hAnsi="Times New Roman" w:eastAsia="宋体"/>
                <w:b w:val="0"/>
                <w:sz w:val="18"/>
              </w:rPr>
              <w:t>2.26</w:t>
            </w:r>
          </w:p>
        </w:tc>
        <w:tc>
          <w:tcPr>
            <w:tcW w:w="1385" w:type="dxa"/>
            <w:tcMar>
              <w:left w:w="70" w:type="dxa"/>
              <w:right w:w="70" w:type="dxa"/>
            </w:tcMar>
            <w:vAlign w:val="center"/>
          </w:tcPr>
          <w:p w14:paraId="40EB6559">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69F5DB76">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5371252C">
            <w:pPr>
              <w:keepNext/>
              <w:spacing w:before="20" w:after="20" w:line="260" w:lineRule="exact"/>
              <w:ind w:left="0" w:leftChars="0" w:right="0" w:rightChars="0" w:firstLine="0" w:firstLineChars="0"/>
              <w:jc w:val="center"/>
            </w:pPr>
            <w:r>
              <w:rPr>
                <w:rFonts w:ascii="Times New Roman" w:hAnsi="Times New Roman" w:eastAsia="宋体"/>
                <w:b w:val="0"/>
                <w:sz w:val="18"/>
              </w:rPr>
              <w:t>6693.98</w:t>
            </w:r>
          </w:p>
        </w:tc>
      </w:tr>
      <w:tr w14:paraId="49E04C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9D84FD8">
            <w:pPr>
              <w:keepNext/>
              <w:spacing w:before="20" w:after="20" w:line="260" w:lineRule="exact"/>
              <w:ind w:left="0" w:leftChars="0" w:right="0" w:rightChars="0" w:firstLine="0" w:firstLineChars="0"/>
              <w:jc w:val="center"/>
            </w:pPr>
            <w:r>
              <w:rPr>
                <w:rFonts w:ascii="Times New Roman" w:hAnsi="Times New Roman" w:eastAsia="宋体"/>
                <w:b w:val="0"/>
                <w:sz w:val="18"/>
              </w:rPr>
              <w:t>2.50</w:t>
            </w:r>
          </w:p>
        </w:tc>
        <w:tc>
          <w:tcPr>
            <w:tcW w:w="1385" w:type="dxa"/>
            <w:tcMar>
              <w:left w:w="70" w:type="dxa"/>
              <w:right w:w="70" w:type="dxa"/>
            </w:tcMar>
            <w:vAlign w:val="center"/>
          </w:tcPr>
          <w:p w14:paraId="1FAEB6E9">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571AA265">
            <w:pPr>
              <w:keepNext/>
              <w:spacing w:before="20" w:after="20" w:line="260" w:lineRule="exact"/>
              <w:ind w:left="0" w:leftChars="0" w:right="0" w:rightChars="0" w:firstLine="0" w:firstLineChars="0"/>
              <w:jc w:val="center"/>
            </w:pPr>
            <w:r>
              <w:rPr>
                <w:rFonts w:ascii="Times New Roman" w:hAnsi="Times New Roman" w:eastAsia="宋体"/>
                <w:b w:val="0"/>
                <w:sz w:val="18"/>
              </w:rPr>
              <w:t>2.43</w:t>
            </w:r>
          </w:p>
        </w:tc>
        <w:tc>
          <w:tcPr>
            <w:tcW w:w="1385" w:type="dxa"/>
            <w:tcMar>
              <w:left w:w="70" w:type="dxa"/>
              <w:right w:w="70" w:type="dxa"/>
            </w:tcMar>
            <w:vAlign w:val="center"/>
          </w:tcPr>
          <w:p w14:paraId="09ACF710">
            <w:pPr>
              <w:keepNext/>
              <w:spacing w:before="20" w:after="20" w:line="260" w:lineRule="exact"/>
              <w:ind w:left="0" w:leftChars="0" w:right="0" w:rightChars="0" w:firstLine="0" w:firstLineChars="0"/>
              <w:jc w:val="center"/>
            </w:pPr>
            <w:r>
              <w:rPr>
                <w:rFonts w:ascii="Times New Roman" w:hAnsi="Times New Roman" w:eastAsia="宋体"/>
                <w:b w:val="0"/>
                <w:sz w:val="18"/>
              </w:rPr>
              <w:t>35.20</w:t>
            </w:r>
          </w:p>
        </w:tc>
        <w:tc>
          <w:tcPr>
            <w:tcW w:w="1385" w:type="dxa"/>
            <w:tcMar>
              <w:left w:w="70" w:type="dxa"/>
              <w:right w:w="70" w:type="dxa"/>
            </w:tcMar>
            <w:vAlign w:val="center"/>
          </w:tcPr>
          <w:p w14:paraId="3EAABEE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2C7A433A">
            <w:pPr>
              <w:keepNext/>
              <w:spacing w:before="20" w:after="20" w:line="260" w:lineRule="exact"/>
              <w:ind w:left="0" w:leftChars="0" w:right="0" w:rightChars="0" w:firstLine="0" w:firstLineChars="0"/>
              <w:jc w:val="center"/>
            </w:pPr>
            <w:r>
              <w:rPr>
                <w:rFonts w:ascii="Times New Roman" w:hAnsi="Times New Roman" w:eastAsia="宋体"/>
                <w:b w:val="0"/>
                <w:sz w:val="18"/>
              </w:rPr>
              <w:t>15745.19</w:t>
            </w:r>
          </w:p>
        </w:tc>
      </w:tr>
      <w:tr w14:paraId="4730BF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A05DB63">
            <w:pPr>
              <w:keepNext/>
              <w:spacing w:before="20" w:after="20" w:line="260" w:lineRule="exact"/>
              <w:ind w:left="0" w:leftChars="0" w:right="0" w:rightChars="0" w:firstLine="0" w:firstLineChars="0"/>
              <w:jc w:val="center"/>
            </w:pPr>
            <w:r>
              <w:rPr>
                <w:rFonts w:ascii="Times New Roman" w:hAnsi="Times New Roman" w:eastAsia="宋体"/>
                <w:b w:val="0"/>
                <w:sz w:val="18"/>
              </w:rPr>
              <w:t>2.75</w:t>
            </w:r>
          </w:p>
        </w:tc>
        <w:tc>
          <w:tcPr>
            <w:tcW w:w="1385" w:type="dxa"/>
            <w:tcMar>
              <w:left w:w="70" w:type="dxa"/>
              <w:right w:w="70" w:type="dxa"/>
            </w:tcMar>
            <w:vAlign w:val="center"/>
          </w:tcPr>
          <w:p w14:paraId="1E97512F">
            <w:pPr>
              <w:keepNext/>
              <w:spacing w:before="20" w:after="20" w:line="260" w:lineRule="exact"/>
              <w:ind w:left="0" w:leftChars="0" w:right="0" w:rightChars="0" w:firstLine="0" w:firstLineChars="0"/>
              <w:jc w:val="center"/>
            </w:pPr>
            <w:r>
              <w:rPr>
                <w:rFonts w:ascii="Times New Roman" w:hAnsi="Times New Roman" w:eastAsia="宋体"/>
                <w:b w:val="0"/>
                <w:sz w:val="18"/>
              </w:rPr>
              <w:t>786.00</w:t>
            </w:r>
          </w:p>
        </w:tc>
        <w:tc>
          <w:tcPr>
            <w:tcW w:w="1385" w:type="dxa"/>
            <w:tcMar>
              <w:left w:w="70" w:type="dxa"/>
              <w:right w:w="70" w:type="dxa"/>
            </w:tcMar>
            <w:vAlign w:val="center"/>
          </w:tcPr>
          <w:p w14:paraId="7FB9008E">
            <w:pPr>
              <w:keepNext/>
              <w:spacing w:before="20" w:after="20" w:line="260" w:lineRule="exact"/>
              <w:ind w:left="0" w:leftChars="0" w:right="0" w:rightChars="0" w:firstLine="0" w:firstLineChars="0"/>
              <w:jc w:val="center"/>
            </w:pPr>
            <w:r>
              <w:rPr>
                <w:rFonts w:ascii="Times New Roman" w:hAnsi="Times New Roman" w:eastAsia="宋体"/>
                <w:b w:val="0"/>
                <w:sz w:val="18"/>
              </w:rPr>
              <w:t>2.69</w:t>
            </w:r>
          </w:p>
        </w:tc>
        <w:tc>
          <w:tcPr>
            <w:tcW w:w="1385" w:type="dxa"/>
            <w:tcMar>
              <w:left w:w="70" w:type="dxa"/>
              <w:right w:w="70" w:type="dxa"/>
            </w:tcMar>
            <w:vAlign w:val="center"/>
          </w:tcPr>
          <w:p w14:paraId="7F526ADA">
            <w:pPr>
              <w:keepNext/>
              <w:spacing w:before="20" w:after="20" w:line="260" w:lineRule="exact"/>
              <w:ind w:left="0" w:leftChars="0" w:right="0" w:rightChars="0" w:firstLine="0" w:firstLineChars="0"/>
              <w:jc w:val="center"/>
            </w:pPr>
            <w:r>
              <w:rPr>
                <w:rFonts w:ascii="Times New Roman" w:hAnsi="Times New Roman" w:eastAsia="宋体"/>
                <w:b w:val="0"/>
                <w:sz w:val="18"/>
              </w:rPr>
              <w:t>82.20</w:t>
            </w:r>
          </w:p>
        </w:tc>
        <w:tc>
          <w:tcPr>
            <w:tcW w:w="1385" w:type="dxa"/>
            <w:tcMar>
              <w:left w:w="70" w:type="dxa"/>
              <w:right w:w="70" w:type="dxa"/>
            </w:tcMar>
            <w:vAlign w:val="center"/>
          </w:tcPr>
          <w:p w14:paraId="1FD2B346">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0169A113">
            <w:pPr>
              <w:keepNext/>
              <w:spacing w:before="20" w:after="20" w:line="260" w:lineRule="exact"/>
              <w:ind w:left="0" w:leftChars="0" w:right="0" w:rightChars="0" w:firstLine="0" w:firstLineChars="0"/>
              <w:jc w:val="center"/>
            </w:pPr>
            <w:r>
              <w:rPr>
                <w:rFonts w:ascii="Times New Roman" w:hAnsi="Times New Roman" w:eastAsia="宋体"/>
                <w:b w:val="0"/>
                <w:sz w:val="18"/>
              </w:rPr>
              <w:t>29449.91</w:t>
            </w:r>
          </w:p>
        </w:tc>
      </w:tr>
      <w:tr w14:paraId="6F4424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0BCE9BD">
            <w:pPr>
              <w:keepNext w:val="0"/>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385" w:type="dxa"/>
            <w:tcMar>
              <w:left w:w="70" w:type="dxa"/>
              <w:right w:w="70" w:type="dxa"/>
            </w:tcMar>
            <w:vAlign w:val="center"/>
          </w:tcPr>
          <w:p w14:paraId="047B5E28">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5206A315">
            <w:pPr>
              <w:keepNext w:val="0"/>
              <w:spacing w:before="20" w:after="20" w:line="260" w:lineRule="exact"/>
              <w:ind w:left="0" w:leftChars="0" w:right="0" w:rightChars="0" w:firstLine="0" w:firstLineChars="0"/>
              <w:jc w:val="center"/>
            </w:pPr>
            <w:r>
              <w:rPr>
                <w:rFonts w:ascii="Times New Roman" w:hAnsi="Times New Roman" w:eastAsia="宋体"/>
                <w:b w:val="0"/>
                <w:sz w:val="18"/>
              </w:rPr>
              <w:t>2.80</w:t>
            </w:r>
          </w:p>
        </w:tc>
        <w:tc>
          <w:tcPr>
            <w:tcW w:w="1385" w:type="dxa"/>
            <w:tcMar>
              <w:left w:w="70" w:type="dxa"/>
              <w:right w:w="70" w:type="dxa"/>
            </w:tcMar>
            <w:vAlign w:val="center"/>
          </w:tcPr>
          <w:p w14:paraId="5D5558EE">
            <w:pPr>
              <w:keepNext w:val="0"/>
              <w:spacing w:before="20" w:after="20" w:line="260" w:lineRule="exact"/>
              <w:ind w:left="0" w:leftChars="0" w:right="0" w:rightChars="0" w:firstLine="0" w:firstLineChars="0"/>
              <w:jc w:val="center"/>
            </w:pPr>
            <w:r>
              <w:rPr>
                <w:rFonts w:ascii="Times New Roman" w:hAnsi="Times New Roman" w:eastAsia="宋体"/>
                <w:b w:val="0"/>
                <w:sz w:val="18"/>
              </w:rPr>
              <w:t>129.20</w:t>
            </w:r>
          </w:p>
        </w:tc>
        <w:tc>
          <w:tcPr>
            <w:tcW w:w="1385" w:type="dxa"/>
            <w:tcMar>
              <w:left w:w="70" w:type="dxa"/>
              <w:right w:w="70" w:type="dxa"/>
            </w:tcMar>
            <w:vAlign w:val="center"/>
          </w:tcPr>
          <w:p w14:paraId="4E4EC08C">
            <w:pPr>
              <w:keepNext w:val="0"/>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48DAF733">
            <w:pPr>
              <w:keepNext w:val="0"/>
              <w:spacing w:before="20" w:after="20" w:line="260" w:lineRule="exact"/>
              <w:ind w:left="0" w:leftChars="0" w:right="0" w:rightChars="0" w:firstLine="0" w:firstLineChars="0"/>
              <w:jc w:val="center"/>
            </w:pPr>
            <w:r>
              <w:rPr>
                <w:rFonts w:ascii="Times New Roman" w:hAnsi="Times New Roman" w:eastAsia="宋体"/>
                <w:b w:val="0"/>
                <w:sz w:val="18"/>
              </w:rPr>
              <w:t>40296.03</w:t>
            </w:r>
          </w:p>
        </w:tc>
      </w:tr>
    </w:tbl>
    <w:p w14:paraId="5540EF79">
      <w:pPr>
        <w:pStyle w:val="2"/>
        <w:widowControl/>
        <w:spacing w:before="0" w:after="0" w:line="348" w:lineRule="exact"/>
        <w:ind w:firstLine="480"/>
        <w:jc w:val="both"/>
      </w:pPr>
      <w:r>
        <w:rPr>
          <w:rFonts w:ascii="Times New Roman" w:hAnsi="Times New Roman" w:eastAsia="方正仿宋_GBK"/>
          <w:b w:val="0"/>
          <w:sz w:val="24"/>
        </w:rPr>
        <w:t>注：0～1.50合并表示该范围内步长0.25的采样节点采用相同方案。</w:t>
      </w:r>
    </w:p>
    <w:p w14:paraId="1F1CD682">
      <w:pPr>
        <w:pStyle w:val="2"/>
        <w:widowControl/>
        <w:spacing w:before="0" w:after="0" w:line="348" w:lineRule="exact"/>
        <w:ind w:firstLine="480"/>
        <w:jc w:val="both"/>
      </w:pPr>
      <w:r>
        <w:rPr>
          <w:rFonts w:ascii="Times New Roman" w:hAnsi="Times New Roman" w:eastAsia="方正仿宋_GBK"/>
          <w:b w:val="0"/>
          <w:sz w:val="24"/>
        </w:rPr>
        <w:t>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14:paraId="329E2EEF">
      <w:pPr>
        <w:pStyle w:val="2"/>
        <w:widowControl/>
        <w:spacing w:before="0" w:after="0" w:line="348" w:lineRule="exact"/>
        <w:ind w:firstLine="480"/>
        <w:jc w:val="both"/>
      </w:pPr>
      <w:r>
        <w:rPr>
          <w:rFonts w:ascii="Times New Roman" w:hAnsi="Times New Roman" w:eastAsia="方正仿宋_GBK"/>
          <w:b w:val="0"/>
          <w:sz w:val="24"/>
        </w:rPr>
        <w:t>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[8]。</w:t>
      </w:r>
    </w:p>
    <w:p w14:paraId="5622D84C">
      <w:pPr>
        <w:pStyle w:val="2"/>
        <w:widowControl/>
        <w:spacing w:before="0" w:after="0" w:line="348" w:lineRule="exact"/>
        <w:ind w:firstLine="480"/>
        <w:jc w:val="both"/>
      </w:pPr>
      <w:r>
        <w:rPr>
          <w:rFonts w:ascii="Times New Roman" w:hAnsi="Times New Roman" w:eastAsia="方正仿宋_GBK"/>
          <w:b w:val="0"/>
          <w:sz w:val="24"/>
        </w:rPr>
        <w:t>设备响应图保留完整装机节点，能够区分原配置不变的区段与后续措施切换。主变容量随整台设备投运呈阶梯变化，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14:paraId="393FB03E">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744085"/>
            <wp:effectExtent l="0" t="0" r="0" b="0"/>
            <wp:docPr id="7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pic:cNvPicPr>
                      <a:picLocks noChangeAspect="1" noChangeArrowheads="1"/>
                    </pic:cNvPicPr>
                  </pic:nvPicPr>
                  <pic:blipFill>
                    <a:blip r:embed="rId50"/>
                    <a:stretch>
                      <a:fillRect/>
                    </a:stretch>
                  </pic:blipFill>
                  <pic:spPr>
                    <a:xfrm>
                      <a:off x="0" y="0"/>
                      <a:ext cx="5120640" cy="4744122"/>
                    </a:xfrm>
                    <a:prstGeom prst="rect">
                      <a:avLst/>
                    </a:prstGeom>
                    <a:noFill/>
                    <a:ln w="9525">
                      <a:noFill/>
                    </a:ln>
                  </pic:spPr>
                </pic:pic>
              </a:graphicData>
            </a:graphic>
          </wp:inline>
        </w:drawing>
      </w:r>
    </w:p>
    <w:p w14:paraId="363DF8A9">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图5-15 完整装机渗透率序列对应的主变与储能配置</w:t>
      </w:r>
    </w:p>
    <w:p w14:paraId="104F662D">
      <w:pPr>
        <w:pStyle w:val="5"/>
        <w:keepNext/>
        <w:numPr>
          <w:ilvl w:val="0"/>
          <w:numId w:val="0"/>
        </w:numPr>
        <w:spacing w:before="160" w:after="120" w:line="390" w:lineRule="exact"/>
        <w:ind w:firstLine="0"/>
      </w:pPr>
      <w:bookmarkStart w:id="262" w:name="年最大净负荷平均增长率与容量储备消耗"/>
      <w:r>
        <w:rPr>
          <w:rFonts w:ascii="Times New Roman" w:hAnsi="Times New Roman" w:eastAsia="方正仿宋_GBK"/>
          <w:b/>
          <w:sz w:val="26"/>
        </w:rPr>
        <w:t>5.6.6 年最大净负荷平均增长率与容量储备消耗</w:t>
      </w:r>
      <w:bookmarkEnd w:id="262"/>
    </w:p>
    <w:p w14:paraId="3FABA686">
      <w:pPr>
        <w:pStyle w:val="115"/>
        <w:widowControl/>
        <w:spacing w:before="0" w:after="0" w:line="348" w:lineRule="exact"/>
        <w:ind w:firstLine="480"/>
        <w:jc w:val="both"/>
      </w:pPr>
      <w:r>
        <w:rPr>
          <w:rFonts w:ascii="Times New Roman" w:hAnsi="Times New Roman" w:eastAsia="方正仿宋_GBK"/>
          <w:b w:val="0"/>
          <w:sz w:val="24"/>
        </w:rPr>
        <w:t>固定装机渗透率1.50、电缆长度占比10%、初始转供率40%及负荷分散系数1.10，比较锁定库中相应的八个增长节点。</w:t>
      </w:r>
    </w:p>
    <w:p w14:paraId="1C05A930">
      <w:pPr>
        <w:pStyle w:val="2"/>
        <w:keepNext/>
        <w:spacing w:before="120" w:after="80" w:line="280" w:lineRule="exact"/>
        <w:ind w:firstLine="0"/>
        <w:jc w:val="center"/>
      </w:pPr>
      <w:r>
        <w:rPr>
          <w:rFonts w:ascii="Times New Roman" w:hAnsi="Times New Roman" w:eastAsia="宋体"/>
          <w:b w:val="0"/>
          <w:sz w:val="21"/>
        </w:rPr>
        <w:t>表5-79 年最大净负荷平均增长率对应的容量及工程变化</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E9B44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4AC477EC">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040A15C2">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49A90232">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24C400C4">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72023C1">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045E4A3D">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DA9B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A0845E6">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0FB1F9FD">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16A9492D">
            <w:pPr>
              <w:keepNext/>
              <w:spacing w:before="20" w:after="20" w:line="260" w:lineRule="exact"/>
              <w:ind w:left="0" w:leftChars="0" w:right="0" w:rightChars="0" w:firstLine="0" w:firstLineChars="0"/>
              <w:jc w:val="center"/>
            </w:pPr>
            <w:r>
              <w:rPr>
                <w:rFonts w:ascii="Times New Roman" w:hAnsi="Times New Roman" w:eastAsia="宋体"/>
                <w:b w:val="0"/>
                <w:sz w:val="18"/>
              </w:rPr>
              <w:t>2.20</w:t>
            </w:r>
          </w:p>
        </w:tc>
        <w:tc>
          <w:tcPr>
            <w:tcW w:w="1385" w:type="dxa"/>
            <w:tcMar>
              <w:left w:w="70" w:type="dxa"/>
              <w:right w:w="70" w:type="dxa"/>
            </w:tcMar>
            <w:vAlign w:val="center"/>
          </w:tcPr>
          <w:p w14:paraId="576534F1">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83FD7C0">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4DA7516B">
            <w:pPr>
              <w:keepNext/>
              <w:spacing w:before="20" w:after="20" w:line="260" w:lineRule="exact"/>
              <w:ind w:left="0" w:leftChars="0" w:right="0" w:rightChars="0" w:firstLine="0" w:firstLineChars="0"/>
              <w:jc w:val="center"/>
            </w:pPr>
            <w:r>
              <w:rPr>
                <w:rFonts w:ascii="Times New Roman" w:hAnsi="Times New Roman" w:eastAsia="宋体"/>
                <w:b w:val="0"/>
                <w:sz w:val="18"/>
              </w:rPr>
              <w:t>1379.91</w:t>
            </w:r>
          </w:p>
        </w:tc>
      </w:tr>
      <w:tr w14:paraId="1B509A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FEEFB0F">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F7D8276">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05FE43E9">
            <w:pPr>
              <w:keepNext/>
              <w:spacing w:before="20" w:after="20" w:line="260" w:lineRule="exact"/>
              <w:ind w:left="0" w:leftChars="0" w:right="0" w:rightChars="0" w:firstLine="0" w:firstLineChars="0"/>
              <w:jc w:val="center"/>
            </w:pPr>
            <w:r>
              <w:rPr>
                <w:rFonts w:ascii="Times New Roman" w:hAnsi="Times New Roman" w:eastAsia="宋体"/>
                <w:b w:val="0"/>
                <w:sz w:val="18"/>
              </w:rPr>
              <w:t>2.03</w:t>
            </w:r>
          </w:p>
        </w:tc>
        <w:tc>
          <w:tcPr>
            <w:tcW w:w="1385" w:type="dxa"/>
            <w:tcMar>
              <w:left w:w="70" w:type="dxa"/>
              <w:right w:w="70" w:type="dxa"/>
            </w:tcMar>
            <w:vAlign w:val="center"/>
          </w:tcPr>
          <w:p w14:paraId="251BD9A2">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4D9E96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38BB4D1F">
            <w:pPr>
              <w:keepNext/>
              <w:spacing w:before="20" w:after="20" w:line="260" w:lineRule="exact"/>
              <w:ind w:left="0" w:leftChars="0" w:right="0" w:rightChars="0" w:firstLine="0" w:firstLineChars="0"/>
              <w:jc w:val="center"/>
            </w:pPr>
            <w:r>
              <w:rPr>
                <w:rFonts w:ascii="Times New Roman" w:hAnsi="Times New Roman" w:eastAsia="宋体"/>
                <w:b w:val="0"/>
                <w:sz w:val="18"/>
              </w:rPr>
              <w:t>1621.57</w:t>
            </w:r>
          </w:p>
        </w:tc>
      </w:tr>
      <w:tr w14:paraId="0AF079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23D59BD">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A0F5CC9">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0612ECBC">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625B0DC0">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AB8D6BD">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3659020B">
            <w:pPr>
              <w:keepNext/>
              <w:spacing w:before="20" w:after="20" w:line="260" w:lineRule="exact"/>
              <w:ind w:left="0" w:leftChars="0" w:right="0" w:rightChars="0" w:firstLine="0" w:firstLineChars="0"/>
              <w:jc w:val="center"/>
            </w:pPr>
            <w:r>
              <w:rPr>
                <w:rFonts w:ascii="Times New Roman" w:hAnsi="Times New Roman" w:eastAsia="宋体"/>
                <w:b w:val="0"/>
                <w:sz w:val="18"/>
              </w:rPr>
              <w:t>1742.40</w:t>
            </w:r>
          </w:p>
        </w:tc>
      </w:tr>
      <w:tr w14:paraId="2B1359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ED88441">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7165CA2D">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48673EAD">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1B0FE94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205DDB9">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4DC49B31">
            <w:pPr>
              <w:keepNext/>
              <w:spacing w:before="20" w:after="20" w:line="260" w:lineRule="exact"/>
              <w:ind w:left="0" w:leftChars="0" w:right="0" w:rightChars="0" w:firstLine="0" w:firstLineChars="0"/>
              <w:jc w:val="center"/>
            </w:pPr>
            <w:r>
              <w:rPr>
                <w:rFonts w:ascii="Times New Roman" w:hAnsi="Times New Roman" w:eastAsia="宋体"/>
                <w:b w:val="0"/>
                <w:sz w:val="18"/>
              </w:rPr>
              <w:t>1984.06</w:t>
            </w:r>
          </w:p>
        </w:tc>
      </w:tr>
      <w:tr w14:paraId="7F8450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EF1F8CA">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039BF576">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59C90084">
            <w:pPr>
              <w:keepNext/>
              <w:spacing w:before="20" w:after="20" w:line="260" w:lineRule="exact"/>
              <w:ind w:left="0" w:leftChars="0" w:right="0" w:rightChars="0" w:firstLine="0" w:firstLineChars="0"/>
              <w:jc w:val="center"/>
            </w:pPr>
            <w:r>
              <w:rPr>
                <w:rFonts w:ascii="Times New Roman" w:hAnsi="Times New Roman" w:eastAsia="宋体"/>
                <w:b w:val="0"/>
                <w:sz w:val="18"/>
              </w:rPr>
              <w:t>1.78</w:t>
            </w:r>
          </w:p>
        </w:tc>
        <w:tc>
          <w:tcPr>
            <w:tcW w:w="1385" w:type="dxa"/>
            <w:tcMar>
              <w:left w:w="70" w:type="dxa"/>
              <w:right w:w="70" w:type="dxa"/>
            </w:tcMar>
            <w:vAlign w:val="center"/>
          </w:tcPr>
          <w:p w14:paraId="0FD0B586">
            <w:pPr>
              <w:keepNext/>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385" w:type="dxa"/>
            <w:tcMar>
              <w:left w:w="70" w:type="dxa"/>
              <w:right w:w="70" w:type="dxa"/>
            </w:tcMar>
            <w:vAlign w:val="center"/>
          </w:tcPr>
          <w:p w14:paraId="3F2E272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66591277">
            <w:pPr>
              <w:keepNext/>
              <w:spacing w:before="20" w:after="20" w:line="260" w:lineRule="exact"/>
              <w:ind w:left="0" w:leftChars="0" w:right="0" w:rightChars="0" w:firstLine="0" w:firstLineChars="0"/>
              <w:jc w:val="center"/>
            </w:pPr>
            <w:r>
              <w:rPr>
                <w:rFonts w:ascii="Times New Roman" w:hAnsi="Times New Roman" w:eastAsia="宋体"/>
                <w:b w:val="0"/>
                <w:sz w:val="18"/>
              </w:rPr>
              <w:t>2390.00</w:t>
            </w:r>
          </w:p>
        </w:tc>
      </w:tr>
      <w:tr w14:paraId="281C4E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DC9A872">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031A8570">
            <w:pPr>
              <w:keepNext/>
              <w:spacing w:before="20" w:after="20" w:line="260" w:lineRule="exact"/>
              <w:ind w:left="0" w:leftChars="0" w:right="0" w:rightChars="0" w:firstLine="0" w:firstLineChars="0"/>
              <w:jc w:val="center"/>
            </w:pPr>
            <w:r>
              <w:rPr>
                <w:rFonts w:ascii="Times New Roman" w:hAnsi="Times New Roman" w:eastAsia="宋体"/>
                <w:b w:val="0"/>
                <w:sz w:val="18"/>
              </w:rPr>
              <w:t>600.00</w:t>
            </w:r>
          </w:p>
        </w:tc>
        <w:tc>
          <w:tcPr>
            <w:tcW w:w="1385" w:type="dxa"/>
            <w:tcMar>
              <w:left w:w="70" w:type="dxa"/>
              <w:right w:w="70" w:type="dxa"/>
            </w:tcMar>
            <w:vAlign w:val="center"/>
          </w:tcPr>
          <w:p w14:paraId="78EFFF22">
            <w:pPr>
              <w:keepNext/>
              <w:spacing w:before="20" w:after="20" w:line="260" w:lineRule="exact"/>
              <w:ind w:left="0" w:leftChars="0" w:right="0" w:rightChars="0" w:firstLine="0" w:firstLineChars="0"/>
              <w:jc w:val="center"/>
            </w:pPr>
            <w:r>
              <w:rPr>
                <w:rFonts w:ascii="Times New Roman" w:hAnsi="Times New Roman" w:eastAsia="宋体"/>
                <w:b w:val="0"/>
                <w:sz w:val="18"/>
              </w:rPr>
              <w:t>1.83</w:t>
            </w:r>
          </w:p>
        </w:tc>
        <w:tc>
          <w:tcPr>
            <w:tcW w:w="1385" w:type="dxa"/>
            <w:tcMar>
              <w:left w:w="70" w:type="dxa"/>
              <w:right w:w="70" w:type="dxa"/>
            </w:tcMar>
            <w:vAlign w:val="center"/>
          </w:tcPr>
          <w:p w14:paraId="0DC3E970">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BDFB3D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6BCD7E1E">
            <w:pPr>
              <w:keepNext/>
              <w:spacing w:before="20" w:after="20" w:line="260" w:lineRule="exact"/>
              <w:ind w:left="0" w:leftChars="0" w:right="0" w:rightChars="0" w:firstLine="0" w:firstLineChars="0"/>
              <w:jc w:val="center"/>
            </w:pPr>
            <w:r>
              <w:rPr>
                <w:rFonts w:ascii="Times New Roman" w:hAnsi="Times New Roman" w:eastAsia="宋体"/>
                <w:b w:val="0"/>
                <w:sz w:val="18"/>
              </w:rPr>
              <w:t>3726.46</w:t>
            </w:r>
          </w:p>
        </w:tc>
      </w:tr>
      <w:tr w14:paraId="1DBE244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1D30105">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3932B461">
            <w:pPr>
              <w:keepNext/>
              <w:spacing w:before="20" w:after="20" w:line="260" w:lineRule="exact"/>
              <w:ind w:left="0" w:leftChars="0" w:right="0" w:rightChars="0" w:firstLine="0" w:firstLineChars="0"/>
              <w:jc w:val="center"/>
            </w:pPr>
            <w:r>
              <w:rPr>
                <w:rFonts w:ascii="Times New Roman" w:hAnsi="Times New Roman" w:eastAsia="宋体"/>
                <w:b w:val="0"/>
                <w:sz w:val="18"/>
              </w:rPr>
              <w:t>650.00</w:t>
            </w:r>
          </w:p>
        </w:tc>
        <w:tc>
          <w:tcPr>
            <w:tcW w:w="1385" w:type="dxa"/>
            <w:tcMar>
              <w:left w:w="70" w:type="dxa"/>
              <w:right w:w="70" w:type="dxa"/>
            </w:tcMar>
            <w:vAlign w:val="center"/>
          </w:tcPr>
          <w:p w14:paraId="69F45E1A">
            <w:pPr>
              <w:keepNext/>
              <w:spacing w:before="20" w:after="20" w:line="260" w:lineRule="exact"/>
              <w:ind w:left="0" w:leftChars="0" w:right="0" w:rightChars="0" w:firstLine="0" w:firstLineChars="0"/>
              <w:jc w:val="center"/>
            </w:pPr>
            <w:r>
              <w:rPr>
                <w:rFonts w:ascii="Times New Roman" w:hAnsi="Times New Roman" w:eastAsia="宋体"/>
                <w:b w:val="0"/>
                <w:sz w:val="18"/>
              </w:rPr>
              <w:t>1.91</w:t>
            </w:r>
          </w:p>
        </w:tc>
        <w:tc>
          <w:tcPr>
            <w:tcW w:w="1385" w:type="dxa"/>
            <w:tcMar>
              <w:left w:w="70" w:type="dxa"/>
              <w:right w:w="70" w:type="dxa"/>
            </w:tcMar>
            <w:vAlign w:val="center"/>
          </w:tcPr>
          <w:p w14:paraId="43D0910D">
            <w:pPr>
              <w:keepNext/>
              <w:spacing w:before="20" w:after="20" w:line="260" w:lineRule="exact"/>
              <w:ind w:left="0" w:leftChars="0" w:right="0" w:rightChars="0" w:firstLine="0" w:firstLineChars="0"/>
              <w:jc w:val="center"/>
            </w:pPr>
            <w:r>
              <w:rPr>
                <w:rFonts w:ascii="Times New Roman" w:hAnsi="Times New Roman" w:eastAsia="宋体"/>
                <w:b w:val="0"/>
                <w:sz w:val="18"/>
              </w:rPr>
              <w:t>5.60</w:t>
            </w:r>
          </w:p>
        </w:tc>
        <w:tc>
          <w:tcPr>
            <w:tcW w:w="1385" w:type="dxa"/>
            <w:tcMar>
              <w:left w:w="70" w:type="dxa"/>
              <w:right w:w="70" w:type="dxa"/>
            </w:tcMar>
            <w:vAlign w:val="center"/>
          </w:tcPr>
          <w:p w14:paraId="0256C0FD">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42EADD5">
            <w:pPr>
              <w:keepNext/>
              <w:spacing w:before="20" w:after="20" w:line="260" w:lineRule="exact"/>
              <w:ind w:left="0" w:leftChars="0" w:right="0" w:rightChars="0" w:firstLine="0" w:firstLineChars="0"/>
              <w:jc w:val="center"/>
            </w:pPr>
            <w:r>
              <w:rPr>
                <w:rFonts w:ascii="Times New Roman" w:hAnsi="Times New Roman" w:eastAsia="宋体"/>
                <w:b w:val="0"/>
                <w:sz w:val="18"/>
              </w:rPr>
              <w:t>6564.58</w:t>
            </w:r>
          </w:p>
        </w:tc>
      </w:tr>
      <w:tr w14:paraId="147A2E0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6D8BA5A">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59A096C9">
            <w:pPr>
              <w:keepNext w:val="0"/>
              <w:spacing w:before="20" w:after="20" w:line="260" w:lineRule="exact"/>
              <w:ind w:left="0" w:leftChars="0" w:right="0" w:rightChars="0" w:firstLine="0" w:firstLineChars="0"/>
              <w:jc w:val="center"/>
            </w:pPr>
            <w:r>
              <w:rPr>
                <w:rFonts w:ascii="Times New Roman" w:hAnsi="Times New Roman" w:eastAsia="宋体"/>
                <w:b w:val="0"/>
                <w:sz w:val="18"/>
              </w:rPr>
              <w:t>676.00</w:t>
            </w:r>
          </w:p>
        </w:tc>
        <w:tc>
          <w:tcPr>
            <w:tcW w:w="1385" w:type="dxa"/>
            <w:tcMar>
              <w:left w:w="70" w:type="dxa"/>
              <w:right w:w="70" w:type="dxa"/>
            </w:tcMar>
            <w:vAlign w:val="center"/>
          </w:tcPr>
          <w:p w14:paraId="0F15FF6F">
            <w:pPr>
              <w:keepNext w:val="0"/>
              <w:spacing w:before="20" w:after="20" w:line="260" w:lineRule="exact"/>
              <w:ind w:left="0" w:leftChars="0" w:right="0" w:rightChars="0" w:firstLine="0" w:firstLineChars="0"/>
              <w:jc w:val="center"/>
            </w:pPr>
            <w:r>
              <w:rPr>
                <w:rFonts w:ascii="Times New Roman" w:hAnsi="Times New Roman" w:eastAsia="宋体"/>
                <w:b w:val="0"/>
                <w:sz w:val="18"/>
              </w:rPr>
              <w:t>1.85</w:t>
            </w:r>
          </w:p>
        </w:tc>
        <w:tc>
          <w:tcPr>
            <w:tcW w:w="1385" w:type="dxa"/>
            <w:tcMar>
              <w:left w:w="70" w:type="dxa"/>
              <w:right w:w="70" w:type="dxa"/>
            </w:tcMar>
            <w:vAlign w:val="center"/>
          </w:tcPr>
          <w:p w14:paraId="3CE33EC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8428C57">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00ABB12C">
            <w:pPr>
              <w:keepNext w:val="0"/>
              <w:spacing w:before="20" w:after="20" w:line="260" w:lineRule="exact"/>
              <w:ind w:left="0" w:leftChars="0" w:right="0" w:rightChars="0" w:firstLine="0" w:firstLineChars="0"/>
              <w:jc w:val="center"/>
            </w:pPr>
            <w:r>
              <w:rPr>
                <w:rFonts w:ascii="Times New Roman" w:hAnsi="Times New Roman" w:eastAsia="宋体"/>
                <w:b w:val="0"/>
                <w:sz w:val="18"/>
              </w:rPr>
              <w:t>7704.18</w:t>
            </w:r>
          </w:p>
        </w:tc>
      </w:tr>
    </w:tbl>
    <w:p w14:paraId="645DFEE7">
      <w:pPr>
        <w:pStyle w:val="2"/>
        <w:widowControl/>
        <w:spacing w:before="0" w:after="0" w:line="348" w:lineRule="exact"/>
        <w:ind w:firstLine="480"/>
        <w:jc w:val="both"/>
      </w:pPr>
      <w:r>
        <w:rPr>
          <w:rFonts w:ascii="Times New Roman" w:hAnsi="Times New Roman" w:eastAsia="方正仿宋_GBK"/>
          <w:b w:val="0"/>
          <w:sz w:val="24"/>
        </w:rPr>
        <w:t>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MVA，容载比出现回升。8%、10%节点继续采用不同主变组合，表明容量随整台设备投运分步增加，容载比在连续增长条件下可以呈阶段波动。</w:t>
      </w:r>
    </w:p>
    <w:p w14:paraId="53E99C36">
      <w:pPr>
        <w:pStyle w:val="2"/>
        <w:widowControl/>
        <w:spacing w:before="0" w:after="0" w:line="348" w:lineRule="exact"/>
        <w:ind w:firstLine="480"/>
        <w:jc w:val="both"/>
      </w:pPr>
      <w:r>
        <w:rPr>
          <w:rFonts w:ascii="Times New Roman" w:hAnsi="Times New Roman" w:eastAsia="方正仿宋_GBK"/>
          <w:b w:val="0"/>
          <w:sz w:val="24"/>
        </w:rPr>
        <w:t>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14:paraId="03F2457D">
      <w:pPr>
        <w:pStyle w:val="2"/>
        <w:widowControl/>
        <w:spacing w:before="0" w:after="0" w:line="348" w:lineRule="exact"/>
        <w:ind w:firstLine="480"/>
        <w:jc w:val="both"/>
      </w:pPr>
      <w:r>
        <w:rPr>
          <w:rFonts w:ascii="Times New Roman" w:hAnsi="Times New Roman" w:eastAsia="方正仿宋_GBK"/>
          <w:b w:val="0"/>
          <w:sz w:val="24"/>
        </w:rPr>
        <w:t>将规划负荷、主变容量和容载比分开观察，可以解释增长参数与比值之间的阶段关系。前几个节点主变保持550.00 MVA，负荷随四年复合增长增加，原容量储备逐步被使用；达到后续补强节点后，新增主变投运使地区主变总容量增加，容载比可能暂时回升。增长较高的情景同时具有更大的负荷任务和可能更多的工程投入，容量比值的高低需与具体设备规模共同评价。该图按完整节点排列，各点间的连线用于显示序列关系。</w:t>
      </w:r>
    </w:p>
    <w:p w14:paraId="726D4000">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744085"/>
            <wp:effectExtent l="0" t="0" r="0" b="0"/>
            <wp:docPr id="7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pic:cNvPicPr>
                      <a:picLocks noChangeAspect="1" noChangeArrowheads="1"/>
                    </pic:cNvPicPr>
                  </pic:nvPicPr>
                  <pic:blipFill>
                    <a:blip r:embed="rId51"/>
                    <a:stretch>
                      <a:fillRect/>
                    </a:stretch>
                  </pic:blipFill>
                  <pic:spPr>
                    <a:xfrm>
                      <a:off x="0" y="0"/>
                      <a:ext cx="5120640" cy="4744122"/>
                    </a:xfrm>
                    <a:prstGeom prst="rect">
                      <a:avLst/>
                    </a:prstGeom>
                    <a:noFill/>
                    <a:ln w="9525">
                      <a:noFill/>
                    </a:ln>
                  </pic:spPr>
                </pic:pic>
              </a:graphicData>
            </a:graphic>
          </wp:inline>
        </w:drawing>
      </w:r>
    </w:p>
    <w:p w14:paraId="569E7129">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图5-16 年最大净负荷平均增长率与规划负荷、容量及容载比</w:t>
      </w:r>
    </w:p>
    <w:p w14:paraId="533E646B">
      <w:pPr>
        <w:pStyle w:val="5"/>
        <w:keepNext/>
        <w:numPr>
          <w:ilvl w:val="0"/>
          <w:numId w:val="0"/>
        </w:numPr>
        <w:spacing w:before="160" w:after="120" w:line="390" w:lineRule="exact"/>
        <w:ind w:firstLine="0"/>
      </w:pPr>
      <w:bookmarkStart w:id="263" w:name="电缆长度占比与联络主变替代"/>
      <w:r>
        <w:rPr>
          <w:rFonts w:ascii="Times New Roman" w:hAnsi="Times New Roman" w:eastAsia="方正仿宋_GBK"/>
          <w:b/>
          <w:sz w:val="26"/>
        </w:rPr>
        <w:t>5.6.7 电缆长度占比与联络、主变替代</w:t>
      </w:r>
      <w:bookmarkEnd w:id="263"/>
    </w:p>
    <w:p w14:paraId="028062F8">
      <w:pPr>
        <w:pStyle w:val="115"/>
        <w:widowControl/>
        <w:spacing w:before="0" w:after="0" w:line="348" w:lineRule="exact"/>
        <w:ind w:firstLine="480"/>
        <w:jc w:val="both"/>
      </w:pPr>
      <w:r>
        <w:rPr>
          <w:rFonts w:ascii="Times New Roman" w:hAnsi="Times New Roman" w:eastAsia="方正仿宋_GBK"/>
          <w:b w:val="0"/>
          <w:sz w:val="24"/>
        </w:rPr>
        <w:t>固定装机渗透率2.75、年最大净负荷平均增长率5.5%、初始转供率60%和负荷分散系数1.15，比较10%、30%、50%、80%、90%的完整电缆长度占比序列。该组容载比均高于2.00，且在30%和80%节点发生设备切换，可用于分析较高容量需求下线路造价对推荐值的影响。全部节点采用相同的单位线路能力和候选网络，费用按第四章长度加权关系计算。</w:t>
      </w:r>
    </w:p>
    <w:p w14:paraId="293BC4ED">
      <w:pPr>
        <w:pStyle w:val="2"/>
        <w:keepNext/>
        <w:spacing w:before="120" w:after="80" w:line="280" w:lineRule="exact"/>
        <w:ind w:firstLine="0"/>
        <w:jc w:val="center"/>
      </w:pPr>
      <w:r>
        <w:rPr>
          <w:rFonts w:ascii="Times New Roman" w:hAnsi="Times New Roman" w:eastAsia="宋体"/>
          <w:b w:val="0"/>
          <w:sz w:val="21"/>
        </w:rPr>
        <w:t>表5-80 电缆长度占比对应的造价与设备切换</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79A59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1BEBEF47">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3AA32192">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0B3A1E38">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4AB8EDC7">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AE9191D">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370DFF00">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8D758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98A1020">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A038408">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2CBA280A">
            <w:pPr>
              <w:keepNext/>
              <w:spacing w:before="20" w:after="20" w:line="260" w:lineRule="exact"/>
              <w:ind w:left="0" w:leftChars="0" w:right="0" w:rightChars="0" w:firstLine="0" w:firstLineChars="0"/>
              <w:jc w:val="center"/>
            </w:pPr>
            <w:r>
              <w:rPr>
                <w:rFonts w:ascii="Times New Roman" w:hAnsi="Times New Roman" w:eastAsia="宋体"/>
                <w:b w:val="0"/>
                <w:sz w:val="18"/>
              </w:rPr>
              <w:t>2.29</w:t>
            </w:r>
          </w:p>
        </w:tc>
        <w:tc>
          <w:tcPr>
            <w:tcW w:w="1385" w:type="dxa"/>
            <w:tcMar>
              <w:left w:w="70" w:type="dxa"/>
              <w:right w:w="70" w:type="dxa"/>
            </w:tcMar>
            <w:vAlign w:val="center"/>
          </w:tcPr>
          <w:p w14:paraId="08E4FD9F">
            <w:pPr>
              <w:keepNext/>
              <w:spacing w:before="20" w:after="20" w:line="260" w:lineRule="exact"/>
              <w:ind w:left="0" w:leftChars="0" w:right="0" w:rightChars="0" w:firstLine="0" w:firstLineChars="0"/>
              <w:jc w:val="center"/>
            </w:pPr>
            <w:r>
              <w:rPr>
                <w:rFonts w:ascii="Times New Roman" w:hAnsi="Times New Roman" w:eastAsia="宋体"/>
                <w:b w:val="0"/>
                <w:sz w:val="18"/>
              </w:rPr>
              <w:t>61.20</w:t>
            </w:r>
          </w:p>
        </w:tc>
        <w:tc>
          <w:tcPr>
            <w:tcW w:w="1385" w:type="dxa"/>
            <w:tcMar>
              <w:left w:w="70" w:type="dxa"/>
              <w:right w:w="70" w:type="dxa"/>
            </w:tcMar>
            <w:vAlign w:val="center"/>
          </w:tcPr>
          <w:p w14:paraId="55DD566D">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75BD6803">
            <w:pPr>
              <w:keepNext/>
              <w:spacing w:before="20" w:after="20" w:line="260" w:lineRule="exact"/>
              <w:ind w:left="0" w:leftChars="0" w:right="0" w:rightChars="0" w:firstLine="0" w:firstLineChars="0"/>
              <w:jc w:val="center"/>
            </w:pPr>
            <w:r>
              <w:rPr>
                <w:rFonts w:ascii="Times New Roman" w:hAnsi="Times New Roman" w:eastAsia="宋体"/>
                <w:b w:val="0"/>
                <w:sz w:val="18"/>
              </w:rPr>
              <w:t>21635.12</w:t>
            </w:r>
          </w:p>
        </w:tc>
      </w:tr>
      <w:tr w14:paraId="490BC5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A10AD89">
            <w:pPr>
              <w:keepNext/>
              <w:spacing w:before="20" w:after="20" w:line="260" w:lineRule="exact"/>
              <w:ind w:left="0" w:leftChars="0" w:right="0" w:rightChars="0" w:firstLine="0" w:firstLineChars="0"/>
              <w:jc w:val="center"/>
            </w:pPr>
            <w:r>
              <w:rPr>
                <w:rFonts w:ascii="Times New Roman" w:hAnsi="Times New Roman" w:eastAsia="宋体"/>
                <w:b w:val="0"/>
                <w:sz w:val="18"/>
              </w:rPr>
              <w:t>30%、50%</w:t>
            </w:r>
          </w:p>
        </w:tc>
        <w:tc>
          <w:tcPr>
            <w:tcW w:w="1385" w:type="dxa"/>
            <w:tcMar>
              <w:left w:w="70" w:type="dxa"/>
              <w:right w:w="70" w:type="dxa"/>
            </w:tcMar>
            <w:vAlign w:val="center"/>
          </w:tcPr>
          <w:p w14:paraId="3A27A846">
            <w:pPr>
              <w:keepNext/>
              <w:spacing w:before="20" w:after="20" w:line="260" w:lineRule="exact"/>
              <w:ind w:left="0" w:leftChars="0" w:right="0" w:rightChars="0" w:firstLine="0" w:firstLineChars="0"/>
              <w:jc w:val="center"/>
            </w:pPr>
            <w:r>
              <w:rPr>
                <w:rFonts w:ascii="Times New Roman" w:hAnsi="Times New Roman" w:eastAsia="宋体"/>
                <w:b w:val="0"/>
                <w:sz w:val="18"/>
              </w:rPr>
              <w:t>760.00</w:t>
            </w:r>
          </w:p>
        </w:tc>
        <w:tc>
          <w:tcPr>
            <w:tcW w:w="1385" w:type="dxa"/>
            <w:tcMar>
              <w:left w:w="70" w:type="dxa"/>
              <w:right w:w="70" w:type="dxa"/>
            </w:tcMar>
            <w:vAlign w:val="center"/>
          </w:tcPr>
          <w:p w14:paraId="1FBAD0DE">
            <w:pPr>
              <w:keepNext/>
              <w:spacing w:before="20" w:after="20" w:line="260" w:lineRule="exact"/>
              <w:ind w:left="0" w:leftChars="0" w:right="0" w:rightChars="0" w:firstLine="0" w:firstLineChars="0"/>
              <w:jc w:val="center"/>
            </w:pPr>
            <w:r>
              <w:rPr>
                <w:rFonts w:ascii="Times New Roman" w:hAnsi="Times New Roman" w:eastAsia="宋体"/>
                <w:b w:val="0"/>
                <w:sz w:val="18"/>
              </w:rPr>
              <w:t>2.45</w:t>
            </w:r>
          </w:p>
        </w:tc>
        <w:tc>
          <w:tcPr>
            <w:tcW w:w="1385" w:type="dxa"/>
            <w:tcMar>
              <w:left w:w="70" w:type="dxa"/>
              <w:right w:w="70" w:type="dxa"/>
            </w:tcMar>
            <w:vAlign w:val="center"/>
          </w:tcPr>
          <w:p w14:paraId="270AF44F">
            <w:pPr>
              <w:keepNext/>
              <w:spacing w:before="20" w:after="20" w:line="260" w:lineRule="exact"/>
              <w:ind w:left="0" w:leftChars="0" w:right="0" w:rightChars="0" w:firstLine="0" w:firstLineChars="0"/>
              <w:jc w:val="center"/>
            </w:pPr>
            <w:r>
              <w:rPr>
                <w:rFonts w:ascii="Times New Roman" w:hAnsi="Times New Roman" w:eastAsia="宋体"/>
                <w:b w:val="0"/>
                <w:sz w:val="18"/>
              </w:rPr>
              <w:t>59.50</w:t>
            </w:r>
          </w:p>
        </w:tc>
        <w:tc>
          <w:tcPr>
            <w:tcW w:w="1385" w:type="dxa"/>
            <w:tcMar>
              <w:left w:w="70" w:type="dxa"/>
              <w:right w:w="70" w:type="dxa"/>
            </w:tcMar>
            <w:vAlign w:val="center"/>
          </w:tcPr>
          <w:p w14:paraId="49FFE698">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47F44D67">
            <w:pPr>
              <w:keepNext/>
              <w:spacing w:before="20" w:after="20" w:line="260" w:lineRule="exact"/>
              <w:ind w:left="0" w:leftChars="0" w:right="0" w:rightChars="0" w:firstLine="0" w:firstLineChars="0"/>
              <w:jc w:val="center"/>
            </w:pPr>
            <w:r>
              <w:rPr>
                <w:rFonts w:ascii="Times New Roman" w:hAnsi="Times New Roman" w:eastAsia="宋体"/>
                <w:b w:val="0"/>
                <w:sz w:val="18"/>
              </w:rPr>
              <w:t>22494.68～22947.79</w:t>
            </w:r>
          </w:p>
        </w:tc>
      </w:tr>
      <w:tr w14:paraId="7332F5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775E297">
            <w:pPr>
              <w:keepNext w:val="0"/>
              <w:spacing w:before="20" w:after="20" w:line="260" w:lineRule="exact"/>
              <w:ind w:left="0" w:leftChars="0" w:right="0" w:rightChars="0" w:firstLine="0" w:firstLineChars="0"/>
              <w:jc w:val="center"/>
            </w:pPr>
            <w:r>
              <w:rPr>
                <w:rFonts w:ascii="Times New Roman" w:hAnsi="Times New Roman" w:eastAsia="宋体"/>
                <w:b w:val="0"/>
                <w:sz w:val="18"/>
              </w:rPr>
              <w:t>80%、90%</w:t>
            </w:r>
          </w:p>
        </w:tc>
        <w:tc>
          <w:tcPr>
            <w:tcW w:w="1385" w:type="dxa"/>
            <w:tcMar>
              <w:left w:w="70" w:type="dxa"/>
              <w:right w:w="70" w:type="dxa"/>
            </w:tcMar>
            <w:vAlign w:val="center"/>
          </w:tcPr>
          <w:p w14:paraId="14E73CD4">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4150BC17">
            <w:pPr>
              <w:keepNext w:val="0"/>
              <w:spacing w:before="20" w:after="20" w:line="260" w:lineRule="exact"/>
              <w:ind w:left="0" w:leftChars="0" w:right="0" w:rightChars="0" w:firstLine="0" w:firstLineChars="0"/>
              <w:jc w:val="center"/>
            </w:pPr>
            <w:r>
              <w:rPr>
                <w:rFonts w:ascii="Times New Roman" w:hAnsi="Times New Roman" w:eastAsia="宋体"/>
                <w:b w:val="0"/>
                <w:sz w:val="18"/>
              </w:rPr>
              <w:t>2.65</w:t>
            </w:r>
          </w:p>
        </w:tc>
        <w:tc>
          <w:tcPr>
            <w:tcW w:w="1385" w:type="dxa"/>
            <w:tcMar>
              <w:left w:w="70" w:type="dxa"/>
              <w:right w:w="70" w:type="dxa"/>
            </w:tcMar>
            <w:vAlign w:val="center"/>
          </w:tcPr>
          <w:p w14:paraId="0F0CF21F">
            <w:pPr>
              <w:keepNext w:val="0"/>
              <w:spacing w:before="20" w:after="20" w:line="260" w:lineRule="exact"/>
              <w:ind w:left="0" w:leftChars="0" w:right="0" w:rightChars="0" w:firstLine="0" w:firstLineChars="0"/>
              <w:jc w:val="center"/>
            </w:pPr>
            <w:r>
              <w:rPr>
                <w:rFonts w:ascii="Times New Roman" w:hAnsi="Times New Roman" w:eastAsia="宋体"/>
                <w:b w:val="0"/>
                <w:sz w:val="18"/>
              </w:rPr>
              <w:t>49.40</w:t>
            </w:r>
          </w:p>
        </w:tc>
        <w:tc>
          <w:tcPr>
            <w:tcW w:w="1385" w:type="dxa"/>
            <w:tcMar>
              <w:left w:w="70" w:type="dxa"/>
              <w:right w:w="70" w:type="dxa"/>
            </w:tcMar>
            <w:vAlign w:val="center"/>
          </w:tcPr>
          <w:p w14:paraId="0B12A9F3">
            <w:pPr>
              <w:keepNext w:val="0"/>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A6FAF43">
            <w:pPr>
              <w:keepNext w:val="0"/>
              <w:spacing w:before="20" w:after="20" w:line="260" w:lineRule="exact"/>
              <w:ind w:left="0" w:leftChars="0" w:right="0" w:rightChars="0" w:firstLine="0" w:firstLineChars="0"/>
              <w:jc w:val="center"/>
            </w:pPr>
            <w:r>
              <w:rPr>
                <w:rFonts w:ascii="Times New Roman" w:hAnsi="Times New Roman" w:eastAsia="宋体"/>
                <w:b w:val="0"/>
                <w:sz w:val="18"/>
              </w:rPr>
              <w:t>23549.25～23685.18</w:t>
            </w:r>
          </w:p>
        </w:tc>
      </w:tr>
    </w:tbl>
    <w:p w14:paraId="09EC873C">
      <w:pPr>
        <w:pStyle w:val="2"/>
        <w:widowControl/>
        <w:spacing w:before="0" w:after="0" w:line="348" w:lineRule="exact"/>
        <w:ind w:firstLine="480"/>
        <w:jc w:val="both"/>
      </w:pPr>
      <w:r>
        <w:rPr>
          <w:rFonts w:ascii="Times New Roman" w:hAnsi="Times New Roman" w:eastAsia="方正仿宋_GBK"/>
          <w:b w:val="0"/>
          <w:sz w:val="24"/>
        </w:rPr>
        <w:t>注：同列多个电缆占比表示配置相同，费用范围对应所列采样节点。</w:t>
      </w:r>
    </w:p>
    <w:p w14:paraId="57A12E30">
      <w:pPr>
        <w:pStyle w:val="2"/>
        <w:widowControl/>
        <w:spacing w:before="0" w:after="0" w:line="348" w:lineRule="exact"/>
        <w:ind w:firstLine="480"/>
        <w:jc w:val="both"/>
      </w:pPr>
      <w:r>
        <w:rPr>
          <w:rFonts w:ascii="Times New Roman" w:hAnsi="Times New Roman" w:eastAsia="方正仿宋_GBK"/>
          <w:b w:val="0"/>
          <w:sz w:val="24"/>
        </w:rPr>
        <w:t>10%节点采用较多联络支援，主变容量为710.00 MVA。电缆长度占比达到30%后，线路单项造价提高，方案增加50.00 MVA主变并减少5项联络，容载比升至2.45，储能额定功率同时减少1.70 MW。50%节点保持该组设备，仅因线路造价提高而增加费用。80%节点进一步以60.00 MVA主变替代2项联络和10.10 MW储能额定功率，容载比达到2.65，90%节点保持相同配置。</w:t>
      </w:r>
    </w:p>
    <w:p w14:paraId="3E59219B">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346065"/>
            <wp:effectExtent l="0" t="0" r="0" b="0"/>
            <wp:docPr id="7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pic:cNvPicPr>
                      <a:picLocks noChangeAspect="1" noChangeArrowheads="1"/>
                    </pic:cNvPicPr>
                  </pic:nvPicPr>
                  <pic:blipFill>
                    <a:blip r:embed="rId52"/>
                    <a:stretch>
                      <a:fillRect/>
                    </a:stretch>
                  </pic:blipFill>
                  <pic:spPr>
                    <a:xfrm>
                      <a:off x="0" y="0"/>
                      <a:ext cx="5120640" cy="5346550"/>
                    </a:xfrm>
                    <a:prstGeom prst="rect">
                      <a:avLst/>
                    </a:prstGeom>
                    <a:noFill/>
                    <a:ln w="9525">
                      <a:noFill/>
                    </a:ln>
                  </pic:spPr>
                </pic:pic>
              </a:graphicData>
            </a:graphic>
          </wp:inline>
        </w:drawing>
      </w:r>
    </w:p>
    <w:p w14:paraId="3E39A8E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图5-17 电缆长度占比对应的容载比与设备替代</w:t>
      </w:r>
    </w:p>
    <w:p w14:paraId="52F3A040">
      <w:pPr>
        <w:pStyle w:val="2"/>
        <w:widowControl/>
        <w:spacing w:before="0" w:after="0" w:line="348" w:lineRule="exact"/>
        <w:ind w:firstLine="480"/>
        <w:jc w:val="both"/>
      </w:pPr>
      <w:r>
        <w:rPr>
          <w:rFonts w:ascii="Times New Roman" w:hAnsi="Times New Roman" w:eastAsia="方正仿宋_GBK"/>
          <w:b w:val="0"/>
          <w:sz w:val="24"/>
        </w:rPr>
        <w:t>两次设备切换分别将主变容量提高至760.00 MVA和820.00 MVA，但其经济含义还需结合费用分项判断。10%与30%节点间，主变费用现值增加1379.91万元，储能与线路费用分别减少369.31万元和151.04万元。50%与80%节点间，主变费用增加2991.94万元，储能与线路费用分别减少2194.13万元和196.35万元。各节点承担相同源荷任务，较高电缆造价使更多站内容量成为相应条件下的可行经济配置，总费用仍随造价条件提高。</w:t>
      </w:r>
    </w:p>
    <w:p w14:paraId="689F6BB0">
      <w:pPr>
        <w:pStyle w:val="2"/>
        <w:widowControl/>
        <w:spacing w:before="0" w:after="0" w:line="348" w:lineRule="exact"/>
        <w:ind w:firstLine="480"/>
        <w:jc w:val="both"/>
      </w:pPr>
      <w:r>
        <w:rPr>
          <w:rFonts w:ascii="Times New Roman" w:hAnsi="Times New Roman" w:eastAsia="方正仿宋_GBK"/>
          <w:b w:val="0"/>
          <w:sz w:val="24"/>
        </w:rPr>
        <w:t>电缆长度占比与初始转供率在第3.5节分析中的相关系数为0.29，二者分别作用于造价和既有网络能力。本组固定转供率识别造价引起的设备切换，第5.6.4节固定线路条件观察网络支援改善，两组结果共同说明查表时保留两项参数的作用。</w:t>
      </w:r>
    </w:p>
    <w:p w14:paraId="3A32AB4F">
      <w:pPr>
        <w:pStyle w:val="5"/>
        <w:keepNext/>
        <w:numPr>
          <w:ilvl w:val="0"/>
          <w:numId w:val="0"/>
        </w:numPr>
        <w:spacing w:before="160" w:after="120" w:line="390" w:lineRule="exact"/>
        <w:ind w:firstLine="0"/>
      </w:pPr>
      <w:bookmarkStart w:id="264" w:name="负荷分散系数与局部高峰承载"/>
      <w:r>
        <w:rPr>
          <w:rFonts w:ascii="Times New Roman" w:hAnsi="Times New Roman" w:eastAsia="方正仿宋_GBK"/>
          <w:b/>
          <w:sz w:val="26"/>
        </w:rPr>
        <w:t>5.6.8 负荷分散系数与局部高峰承载</w:t>
      </w:r>
      <w:bookmarkEnd w:id="264"/>
    </w:p>
    <w:p w14:paraId="1C9C0AC7">
      <w:pPr>
        <w:pStyle w:val="115"/>
        <w:widowControl/>
        <w:spacing w:before="0" w:after="0" w:line="348" w:lineRule="exact"/>
        <w:ind w:firstLine="480"/>
        <w:jc w:val="both"/>
      </w:pPr>
      <w:r>
        <w:rPr>
          <w:rFonts w:ascii="Times New Roman" w:hAnsi="Times New Roman" w:eastAsia="方正仿宋_GBK"/>
          <w:b w:val="0"/>
          <w:sz w:val="24"/>
        </w:rPr>
        <w:t>固定装机渗透率2.50、年最大净负荷平均增长率7%、电缆长度占比10%和初始转供率50%，比较负荷分散系数1.00、1.10、1.15的完整序列。三组容载比均高于2.00，且在两个相邻节点间均有响应。各工况区域负荷合计相同，分散系数改变局部高峰在各站之间的分布，反映相同区域供电任务下站级容量配置的差异。</w:t>
      </w:r>
    </w:p>
    <w:p w14:paraId="73092764">
      <w:pPr>
        <w:pStyle w:val="2"/>
        <w:keepNext/>
        <w:spacing w:before="120" w:after="80" w:line="280" w:lineRule="exact"/>
        <w:ind w:firstLine="0"/>
        <w:jc w:val="center"/>
      </w:pPr>
      <w:r>
        <w:rPr>
          <w:rFonts w:ascii="Times New Roman" w:hAnsi="Times New Roman" w:eastAsia="宋体"/>
          <w:b w:val="0"/>
          <w:sz w:val="21"/>
        </w:rPr>
        <w:t>表5-81 局部峰值分散程度对应的设备配置</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27671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359CCAA1">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7F990F68">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6A60F700">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149CD1CD">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4F52D47">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6CF86A79">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3AEF32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E8B9DA4">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3F6C4F5D">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10D9F75A">
            <w:pPr>
              <w:keepNext/>
              <w:spacing w:before="20" w:after="20" w:line="260" w:lineRule="exact"/>
              <w:ind w:left="0" w:leftChars="0" w:right="0" w:rightChars="0" w:firstLine="0" w:firstLineChars="0"/>
              <w:jc w:val="center"/>
            </w:pPr>
            <w:r>
              <w:rPr>
                <w:rFonts w:ascii="Times New Roman" w:hAnsi="Times New Roman" w:eastAsia="宋体"/>
                <w:b w:val="0"/>
                <w:sz w:val="18"/>
              </w:rPr>
              <w:t>2.17</w:t>
            </w:r>
          </w:p>
        </w:tc>
        <w:tc>
          <w:tcPr>
            <w:tcW w:w="1385" w:type="dxa"/>
            <w:tcMar>
              <w:left w:w="70" w:type="dxa"/>
              <w:right w:w="70" w:type="dxa"/>
            </w:tcMar>
            <w:vAlign w:val="center"/>
          </w:tcPr>
          <w:p w14:paraId="2A1A5CF1">
            <w:pPr>
              <w:keepNext/>
              <w:spacing w:before="20" w:after="20" w:line="260" w:lineRule="exact"/>
              <w:ind w:left="0" w:leftChars="0" w:right="0" w:rightChars="0" w:firstLine="0" w:firstLineChars="0"/>
              <w:jc w:val="center"/>
            </w:pPr>
            <w:r>
              <w:rPr>
                <w:rFonts w:ascii="Times New Roman" w:hAnsi="Times New Roman" w:eastAsia="宋体"/>
                <w:b w:val="0"/>
                <w:sz w:val="18"/>
              </w:rPr>
              <w:t>73.30</w:t>
            </w:r>
          </w:p>
        </w:tc>
        <w:tc>
          <w:tcPr>
            <w:tcW w:w="1385" w:type="dxa"/>
            <w:tcMar>
              <w:left w:w="70" w:type="dxa"/>
              <w:right w:w="70" w:type="dxa"/>
            </w:tcMar>
            <w:vAlign w:val="center"/>
          </w:tcPr>
          <w:p w14:paraId="28629322">
            <w:pPr>
              <w:keepNext/>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1385" w:type="dxa"/>
            <w:tcMar>
              <w:left w:w="70" w:type="dxa"/>
              <w:right w:w="70" w:type="dxa"/>
            </w:tcMar>
            <w:vAlign w:val="center"/>
          </w:tcPr>
          <w:p w14:paraId="2B49DDB9">
            <w:pPr>
              <w:keepNext/>
              <w:spacing w:before="20" w:after="20" w:line="260" w:lineRule="exact"/>
              <w:ind w:left="0" w:leftChars="0" w:right="0" w:rightChars="0" w:firstLine="0" w:firstLineChars="0"/>
              <w:jc w:val="center"/>
            </w:pPr>
            <w:r>
              <w:rPr>
                <w:rFonts w:ascii="Times New Roman" w:hAnsi="Times New Roman" w:eastAsia="宋体"/>
                <w:b w:val="0"/>
                <w:sz w:val="18"/>
              </w:rPr>
              <w:t>24142.90</w:t>
            </w:r>
          </w:p>
        </w:tc>
      </w:tr>
      <w:tr w14:paraId="38DCBC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C7AC00B">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1385" w:type="dxa"/>
            <w:tcMar>
              <w:left w:w="70" w:type="dxa"/>
              <w:right w:w="70" w:type="dxa"/>
            </w:tcMar>
            <w:vAlign w:val="center"/>
          </w:tcPr>
          <w:p w14:paraId="3F316048">
            <w:pPr>
              <w:keepNext/>
              <w:spacing w:before="20" w:after="20" w:line="260" w:lineRule="exact"/>
              <w:ind w:left="0" w:leftChars="0" w:right="0" w:rightChars="0" w:firstLine="0" w:firstLineChars="0"/>
              <w:jc w:val="center"/>
            </w:pPr>
            <w:r>
              <w:rPr>
                <w:rFonts w:ascii="Times New Roman" w:hAnsi="Times New Roman" w:eastAsia="宋体"/>
                <w:b w:val="0"/>
                <w:sz w:val="18"/>
              </w:rPr>
              <w:t>786.00</w:t>
            </w:r>
          </w:p>
        </w:tc>
        <w:tc>
          <w:tcPr>
            <w:tcW w:w="1385" w:type="dxa"/>
            <w:tcMar>
              <w:left w:w="70" w:type="dxa"/>
              <w:right w:w="70" w:type="dxa"/>
            </w:tcMar>
            <w:vAlign w:val="center"/>
          </w:tcPr>
          <w:p w14:paraId="5E70A857">
            <w:pPr>
              <w:keepNext/>
              <w:spacing w:before="20" w:after="20" w:line="260" w:lineRule="exact"/>
              <w:ind w:left="0" w:leftChars="0" w:right="0" w:rightChars="0" w:firstLine="0" w:firstLineChars="0"/>
              <w:jc w:val="center"/>
            </w:pPr>
            <w:r>
              <w:rPr>
                <w:rFonts w:ascii="Times New Roman" w:hAnsi="Times New Roman" w:eastAsia="宋体"/>
                <w:b w:val="0"/>
                <w:sz w:val="18"/>
              </w:rPr>
              <w:t>2.40</w:t>
            </w:r>
          </w:p>
        </w:tc>
        <w:tc>
          <w:tcPr>
            <w:tcW w:w="1385" w:type="dxa"/>
            <w:tcMar>
              <w:left w:w="70" w:type="dxa"/>
              <w:right w:w="70" w:type="dxa"/>
            </w:tcMar>
            <w:vAlign w:val="center"/>
          </w:tcPr>
          <w:p w14:paraId="77FDC5B4">
            <w:pPr>
              <w:keepNext/>
              <w:spacing w:before="20" w:after="20" w:line="260" w:lineRule="exact"/>
              <w:ind w:left="0" w:leftChars="0" w:right="0" w:rightChars="0" w:firstLine="0" w:firstLineChars="0"/>
              <w:jc w:val="center"/>
            </w:pPr>
            <w:r>
              <w:rPr>
                <w:rFonts w:ascii="Times New Roman" w:hAnsi="Times New Roman" w:eastAsia="宋体"/>
                <w:b w:val="0"/>
                <w:sz w:val="18"/>
              </w:rPr>
              <w:t>90.60</w:t>
            </w:r>
          </w:p>
        </w:tc>
        <w:tc>
          <w:tcPr>
            <w:tcW w:w="1385" w:type="dxa"/>
            <w:tcMar>
              <w:left w:w="70" w:type="dxa"/>
              <w:right w:w="70" w:type="dxa"/>
            </w:tcMar>
            <w:vAlign w:val="center"/>
          </w:tcPr>
          <w:p w14:paraId="056D947F">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732FA32D">
            <w:pPr>
              <w:keepNext/>
              <w:spacing w:before="20" w:after="20" w:line="260" w:lineRule="exact"/>
              <w:ind w:left="0" w:leftChars="0" w:right="0" w:rightChars="0" w:firstLine="0" w:firstLineChars="0"/>
              <w:jc w:val="center"/>
            </w:pPr>
            <w:r>
              <w:rPr>
                <w:rFonts w:ascii="Times New Roman" w:hAnsi="Times New Roman" w:eastAsia="宋体"/>
                <w:b w:val="0"/>
                <w:sz w:val="18"/>
              </w:rPr>
              <w:t>31153.91</w:t>
            </w:r>
          </w:p>
        </w:tc>
      </w:tr>
      <w:tr w14:paraId="55A6A4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ADAF73E">
            <w:pPr>
              <w:keepNext w:val="0"/>
              <w:spacing w:before="20" w:after="20" w:line="260" w:lineRule="exact"/>
              <w:ind w:left="0" w:leftChars="0" w:right="0" w:rightChars="0" w:firstLine="0" w:firstLineChars="0"/>
              <w:jc w:val="center"/>
            </w:pPr>
            <w:r>
              <w:rPr>
                <w:rFonts w:ascii="Times New Roman" w:hAnsi="Times New Roman" w:eastAsia="宋体"/>
                <w:b w:val="0"/>
                <w:sz w:val="18"/>
              </w:rPr>
              <w:t>1.15</w:t>
            </w:r>
          </w:p>
        </w:tc>
        <w:tc>
          <w:tcPr>
            <w:tcW w:w="1385" w:type="dxa"/>
            <w:tcMar>
              <w:left w:w="70" w:type="dxa"/>
              <w:right w:w="70" w:type="dxa"/>
            </w:tcMar>
            <w:vAlign w:val="center"/>
          </w:tcPr>
          <w:p w14:paraId="3760B065">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7623F0F4">
            <w:pPr>
              <w:keepNext w:val="0"/>
              <w:spacing w:before="20" w:after="20" w:line="260" w:lineRule="exact"/>
              <w:ind w:left="0" w:leftChars="0" w:right="0" w:rightChars="0" w:firstLine="0" w:firstLineChars="0"/>
              <w:jc w:val="center"/>
            </w:pPr>
            <w:r>
              <w:rPr>
                <w:rFonts w:ascii="Times New Roman" w:hAnsi="Times New Roman" w:eastAsia="宋体"/>
                <w:b w:val="0"/>
                <w:sz w:val="18"/>
              </w:rPr>
              <w:t>2.50</w:t>
            </w:r>
          </w:p>
        </w:tc>
        <w:tc>
          <w:tcPr>
            <w:tcW w:w="1385" w:type="dxa"/>
            <w:tcMar>
              <w:left w:w="70" w:type="dxa"/>
              <w:right w:w="70" w:type="dxa"/>
            </w:tcMar>
            <w:vAlign w:val="center"/>
          </w:tcPr>
          <w:p w14:paraId="78329C35">
            <w:pPr>
              <w:keepNext w:val="0"/>
              <w:spacing w:before="20" w:after="20" w:line="260" w:lineRule="exact"/>
              <w:ind w:left="0" w:leftChars="0" w:right="0" w:rightChars="0" w:firstLine="0" w:firstLineChars="0"/>
              <w:jc w:val="center"/>
            </w:pPr>
            <w:r>
              <w:rPr>
                <w:rFonts w:ascii="Times New Roman" w:hAnsi="Times New Roman" w:eastAsia="宋体"/>
                <w:b w:val="0"/>
                <w:sz w:val="18"/>
              </w:rPr>
              <w:t>102.10</w:t>
            </w:r>
          </w:p>
        </w:tc>
        <w:tc>
          <w:tcPr>
            <w:tcW w:w="1385" w:type="dxa"/>
            <w:tcMar>
              <w:left w:w="70" w:type="dxa"/>
              <w:right w:w="70" w:type="dxa"/>
            </w:tcMar>
            <w:vAlign w:val="center"/>
          </w:tcPr>
          <w:p w14:paraId="0BA88B46">
            <w:pPr>
              <w:keepNext w:val="0"/>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5DB3EAF7">
            <w:pPr>
              <w:keepNext w:val="0"/>
              <w:spacing w:before="20" w:after="20" w:line="260" w:lineRule="exact"/>
              <w:ind w:left="0" w:leftChars="0" w:right="0" w:rightChars="0" w:firstLine="0" w:firstLineChars="0"/>
              <w:jc w:val="center"/>
            </w:pPr>
            <w:r>
              <w:rPr>
                <w:rFonts w:ascii="Times New Roman" w:hAnsi="Times New Roman" w:eastAsia="宋体"/>
                <w:b w:val="0"/>
                <w:sz w:val="18"/>
              </w:rPr>
              <w:t>34046.30</w:t>
            </w:r>
          </w:p>
        </w:tc>
      </w:tr>
    </w:tbl>
    <w:p w14:paraId="6CE594CA">
      <w:pPr>
        <w:pStyle w:val="2"/>
        <w:widowControl/>
        <w:spacing w:before="0" w:after="0" w:line="348" w:lineRule="exact"/>
        <w:ind w:firstLine="480"/>
        <w:jc w:val="both"/>
      </w:pPr>
      <w:r>
        <w:rPr>
          <w:rFonts w:ascii="Times New Roman" w:hAnsi="Times New Roman" w:eastAsia="方正仿宋_GBK"/>
          <w:b w:val="0"/>
          <w:sz w:val="24"/>
        </w:rPr>
        <w:t>分散系数1.00时，710.00 MVA主变与9项新增联络共同支撑局部高峰，容载比为2.17。分散系数提高至1.10，主变增加76.00 MVA，并减少4项联络，容载比升至2.40。继续提高至1.15，主变再增加34.00 MVA，联络减少至3项，容载比达到2.50。两个变化节点均增加站内容量，说明局部高峰分布改变后，原有主变和网络组合需要调整。</w:t>
      </w:r>
    </w:p>
    <w:p w14:paraId="5A65C85E">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346065"/>
            <wp:effectExtent l="0" t="0" r="0" b="0"/>
            <wp:docPr id="8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53"/>
                    <a:stretch>
                      <a:fillRect/>
                    </a:stretch>
                  </pic:blipFill>
                  <pic:spPr>
                    <a:xfrm>
                      <a:off x="0" y="0"/>
                      <a:ext cx="5120640" cy="5346550"/>
                    </a:xfrm>
                    <a:prstGeom prst="rect">
                      <a:avLst/>
                    </a:prstGeom>
                    <a:noFill/>
                    <a:ln w="9525">
                      <a:noFill/>
                    </a:ln>
                  </pic:spPr>
                </pic:pic>
              </a:graphicData>
            </a:graphic>
          </wp:inline>
        </w:drawing>
      </w:r>
    </w:p>
    <w:p w14:paraId="10720D59">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图5-18 负荷分散系数对应的容载比与局部支撑配置</w:t>
      </w:r>
    </w:p>
    <w:p w14:paraId="3348B30E">
      <w:pPr>
        <w:pStyle w:val="2"/>
        <w:widowControl/>
        <w:spacing w:before="0" w:after="0" w:line="348" w:lineRule="exact"/>
        <w:ind w:firstLine="480"/>
        <w:jc w:val="both"/>
      </w:pPr>
      <w:r>
        <w:rPr>
          <w:rFonts w:ascii="Times New Roman" w:hAnsi="Times New Roman" w:eastAsia="方正仿宋_GBK"/>
          <w:b w:val="0"/>
          <w:sz w:val="24"/>
        </w:rPr>
        <w:t>本组储能额定功率由73.30 MW增至90.60 MW、102.10 MW，与主变补强共同承担局部功率任务。联络数量减少反映部分支援转由站内设备承担，但新增主变和储能的费用仍使方案费用提高。由分散系数1.00至1.15，主变、储能费用现值分别增加4371.85万元、6256.54万元，线路费用减少724.99万元，合计费用增加9903.40万元。较大的主变总容量与较少的新增联络在同一方案中出现，其原因可以由设备组合和费用变化共同解释。</w:t>
      </w:r>
    </w:p>
    <w:p w14:paraId="049BCDF3">
      <w:pPr>
        <w:pStyle w:val="2"/>
        <w:widowControl/>
        <w:spacing w:before="0" w:after="0" w:line="348" w:lineRule="exact"/>
        <w:ind w:firstLine="480"/>
        <w:jc w:val="both"/>
      </w:pPr>
      <w:r>
        <w:rPr>
          <w:rFonts w:ascii="Times New Roman" w:hAnsi="Times New Roman" w:eastAsia="方正仿宋_GBK"/>
          <w:b w:val="0"/>
          <w:sz w:val="24"/>
        </w:rPr>
        <w:t>矩阵分别列示三个分散系数定值，将局部高峰条件保留到查表结果。片区应用以同范围站级峰值及区域同时峰值核定该参数，再结合站间支援条件选择容量和配套措施。</w:t>
      </w:r>
    </w:p>
    <w:p w14:paraId="04D6FBEF">
      <w:pPr>
        <w:pStyle w:val="4"/>
        <w:keepNext/>
        <w:numPr>
          <w:ilvl w:val="0"/>
          <w:numId w:val="0"/>
        </w:numPr>
        <w:spacing w:before="160" w:after="120" w:line="480" w:lineRule="exact"/>
        <w:ind w:firstLine="0"/>
      </w:pPr>
      <w:bookmarkStart w:id="331" w:name="Report1017_h1119"/>
      <w:bookmarkEnd w:id="331"/>
      <w:bookmarkStart w:id="265" w:name="h1162"/>
      <w:bookmarkStart w:id="266" w:name="规划建议"/>
      <w:r>
        <w:rPr>
          <w:rFonts w:ascii="Times New Roman" w:hAnsi="Times New Roman" w:eastAsia="方正仿宋_GBK"/>
          <w:b/>
          <w:sz w:val="32"/>
        </w:rPr>
        <w:t>5.7 规划建议</w:t>
      </w:r>
      <w:bookmarkEnd w:id="265"/>
      <w:bookmarkEnd w:id="266"/>
    </w:p>
    <w:p w14:paraId="0587A677">
      <w:pPr>
        <w:pStyle w:val="5"/>
        <w:keepNext/>
        <w:numPr>
          <w:ilvl w:val="0"/>
          <w:numId w:val="0"/>
        </w:numPr>
        <w:spacing w:before="160" w:after="120" w:line="390" w:lineRule="exact"/>
        <w:ind w:firstLine="0"/>
      </w:pPr>
      <w:bookmarkStart w:id="267" w:name="按源荷条件和网络能力选取容量"/>
      <w:r>
        <w:rPr>
          <w:rFonts w:ascii="Times New Roman" w:hAnsi="Times New Roman" w:eastAsia="方正仿宋_GBK"/>
          <w:b/>
          <w:sz w:val="26"/>
        </w:rPr>
        <w:t>5.7.1 按源荷条件和网络能力选取容量</w:t>
      </w:r>
      <w:bookmarkEnd w:id="267"/>
    </w:p>
    <w:p w14:paraId="70B624CB">
      <w:pPr>
        <w:pStyle w:val="115"/>
        <w:widowControl/>
        <w:spacing w:before="0" w:after="0" w:line="348" w:lineRule="exact"/>
        <w:ind w:firstLine="480"/>
        <w:jc w:val="both"/>
      </w:pPr>
      <w:r>
        <w:rPr>
          <w:rFonts w:ascii="Times New Roman" w:hAnsi="Times New Roman" w:eastAsia="方正仿宋_GBK"/>
          <w:b w:val="0"/>
          <w:sz w:val="24"/>
        </w:rPr>
        <w:t>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14:paraId="0E72E02F">
      <w:pPr>
        <w:pStyle w:val="5"/>
        <w:keepNext/>
        <w:numPr>
          <w:ilvl w:val="0"/>
          <w:numId w:val="0"/>
        </w:numPr>
        <w:spacing w:before="160" w:after="120" w:line="390" w:lineRule="exact"/>
        <w:ind w:firstLine="0"/>
      </w:pPr>
      <w:bookmarkStart w:id="268" w:name="统筹主变储能及联络建设"/>
      <w:r>
        <w:rPr>
          <w:rFonts w:ascii="Times New Roman" w:hAnsi="Times New Roman" w:eastAsia="方正仿宋_GBK"/>
          <w:b/>
          <w:sz w:val="26"/>
        </w:rPr>
        <w:t>5.7.2 统筹主变、储能及联络建设</w:t>
      </w:r>
      <w:bookmarkEnd w:id="268"/>
    </w:p>
    <w:p w14:paraId="5F73D650">
      <w:pPr>
        <w:pStyle w:val="115"/>
        <w:widowControl/>
        <w:spacing w:before="0" w:after="0" w:line="348" w:lineRule="exact"/>
        <w:ind w:firstLine="480"/>
        <w:jc w:val="both"/>
      </w:pPr>
      <w:r>
        <w:rPr>
          <w:rFonts w:ascii="Times New Roman" w:hAnsi="Times New Roman" w:eastAsia="方正仿宋_GBK"/>
          <w:b w:val="0"/>
          <w:sz w:val="24"/>
        </w:rPr>
        <w:t>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14:paraId="63B3D766">
      <w:pPr>
        <w:pStyle w:val="5"/>
        <w:keepNext/>
        <w:numPr>
          <w:ilvl w:val="0"/>
          <w:numId w:val="0"/>
        </w:numPr>
        <w:spacing w:before="160" w:after="120" w:line="390" w:lineRule="exact"/>
        <w:ind w:firstLine="0"/>
      </w:pPr>
      <w:bookmarkStart w:id="269" w:name="保留参数区间滚动更新计算依据"/>
      <w:r>
        <w:rPr>
          <w:rFonts w:ascii="Times New Roman" w:hAnsi="Times New Roman" w:eastAsia="方正仿宋_GBK"/>
          <w:b/>
          <w:sz w:val="26"/>
        </w:rPr>
        <w:t>5.7.3 保留参数区间，滚动更新计算依据</w:t>
      </w:r>
      <w:bookmarkEnd w:id="269"/>
    </w:p>
    <w:p w14:paraId="172DF587">
      <w:pPr>
        <w:pStyle w:val="115"/>
        <w:widowControl/>
        <w:spacing w:before="0" w:after="0" w:line="348" w:lineRule="exact"/>
        <w:ind w:firstLine="480"/>
        <w:jc w:val="both"/>
      </w:pPr>
      <w:r>
        <w:rPr>
          <w:rFonts w:ascii="Times New Roman" w:hAnsi="Times New Roman" w:eastAsia="方正仿宋_GBK"/>
          <w:b w:val="0"/>
          <w:sz w:val="24"/>
        </w:rPr>
        <w:t>参数查表沿用首尾开口区间，年度新增数据用于更新各区间内的计算结果和适用条件。线路造价、储能采购价、可用间隔或候选网络改变后，重新比较费用和配置，保持容载比、设备方案及工程投入之间的一致关系。</w:t>
      </w:r>
    </w:p>
    <w:p w14:paraId="403B7011">
      <w:pPr>
        <w:pStyle w:val="5"/>
        <w:keepNext/>
        <w:numPr>
          <w:ilvl w:val="0"/>
          <w:numId w:val="0"/>
        </w:numPr>
        <w:spacing w:before="160" w:after="120" w:line="390" w:lineRule="exact"/>
        <w:ind w:firstLine="0"/>
      </w:pPr>
      <w:bookmarkStart w:id="270" w:name="推荐区间与具体设备的衔接"/>
      <w:r>
        <w:rPr>
          <w:rFonts w:ascii="Times New Roman" w:hAnsi="Times New Roman" w:eastAsia="方正仿宋_GBK"/>
          <w:b/>
          <w:sz w:val="26"/>
        </w:rPr>
        <w:t>5.7.4 推荐区间与具体设备的衔接</w:t>
      </w:r>
      <w:bookmarkEnd w:id="270"/>
    </w:p>
    <w:p w14:paraId="50834A39">
      <w:pPr>
        <w:pStyle w:val="115"/>
        <w:widowControl/>
        <w:spacing w:before="0" w:after="0" w:line="348" w:lineRule="exact"/>
        <w:ind w:firstLine="480"/>
        <w:jc w:val="both"/>
      </w:pPr>
      <w:r>
        <w:rPr>
          <w:rFonts w:ascii="Times New Roman" w:hAnsi="Times New Roman" w:eastAsia="方正仿宋_GBK"/>
          <w:b w:val="0"/>
          <w:sz w:val="24"/>
        </w:rPr>
        <w:t>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14:paraId="79FCDF04">
      <w:pPr>
        <w:pStyle w:val="2"/>
        <w:widowControl/>
        <w:spacing w:before="0" w:after="0" w:line="348" w:lineRule="exact"/>
        <w:ind w:firstLine="480"/>
        <w:jc w:val="both"/>
      </w:pPr>
      <w:r>
        <w:rPr>
          <w:rFonts w:ascii="Times New Roman" w:hAnsi="Times New Roman" w:eastAsia="方正仿宋_GBK"/>
          <w:b w:val="0"/>
          <w:sz w:val="24"/>
        </w:rPr>
        <w:t>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14:paraId="20B17705">
      <w:pPr>
        <w:pStyle w:val="5"/>
        <w:keepNext/>
        <w:numPr>
          <w:ilvl w:val="0"/>
          <w:numId w:val="0"/>
        </w:numPr>
        <w:spacing w:before="160" w:after="120" w:line="390" w:lineRule="exact"/>
        <w:ind w:firstLine="0"/>
      </w:pPr>
      <w:bookmarkStart w:id="271" w:name="邳州与市区建设措施的综合比较"/>
      <w:r>
        <w:rPr>
          <w:rFonts w:ascii="Times New Roman" w:hAnsi="Times New Roman" w:eastAsia="方正仿宋_GBK"/>
          <w:b/>
          <w:sz w:val="26"/>
        </w:rPr>
        <w:t>5.7.5 邳州与市区建设措施的综合比较</w:t>
      </w:r>
      <w:bookmarkEnd w:id="271"/>
    </w:p>
    <w:p w14:paraId="4394A4C4">
      <w:pPr>
        <w:pStyle w:val="115"/>
        <w:widowControl/>
        <w:spacing w:before="0" w:after="0" w:line="348" w:lineRule="exact"/>
        <w:ind w:firstLine="480"/>
        <w:jc w:val="both"/>
      </w:pPr>
      <w:r>
        <w:rPr>
          <w:rFonts w:ascii="Times New Roman" w:hAnsi="Times New Roman" w:eastAsia="方正仿宋_GBK"/>
          <w:b w:val="0"/>
          <w:sz w:val="24"/>
        </w:rPr>
        <w:t xml:space="preserve">两地区</w:t>
      </w:r>
      <w:r>
        <w:rPr>
          <w:rFonts w:ascii="Times New Roman" w:hAnsi="Times New Roman" w:eastAsia="方正仿宋_GBK"/>
          <w:b w:val="0"/>
          <w:sz w:val="24"/>
        </w:rPr>
        <w:t xml:space="preserve">以2021年实际容量为共同起点，2022—2035年按上年在役设备和当年源荷逐年比选。既有转供按逐站MW固定封顶，年度正常供区与事故追加预</w:t>
      </w:r>
      <w:r>
        <w:rPr>
          <w:rFonts w:ascii="Times New Roman" w:hAnsi="Times New Roman" w:eastAsia="方正仿宋_GBK"/>
          <w:b w:val="0"/>
          <w:sz w:val="24"/>
        </w:rPr>
        <w:t xml:space="preserve">案</w:t>
      </w:r>
      <w:r>
        <w:rPr>
          <w:rFonts w:ascii="Times New Roman" w:hAnsi="Times New Roman" w:eastAsia="方正仿宋_GBK"/>
          <w:b w:val="0"/>
          <w:sz w:val="24"/>
        </w:rPr>
        <w:t xml:space="preserve">分别固定，新</w:t>
      </w:r>
      <w:r>
        <w:rPr>
          <w:rFonts w:ascii="Times New Roman" w:hAnsi="Times New Roman" w:eastAsia="方正仿宋_GBK"/>
          <w:b w:val="0"/>
          <w:sz w:val="24"/>
        </w:rPr>
        <w:t xml:space="preserve">增</w:t>
      </w:r>
      <w:r>
        <w:rPr>
          <w:rFonts w:ascii="Times New Roman" w:hAnsi="Times New Roman" w:eastAsia="方正仿宋_GBK"/>
          <w:b w:val="0"/>
          <w:sz w:val="24"/>
        </w:rPr>
        <w:t xml:space="preserve">联络、共享馈线余量及接收站</w:t>
      </w:r>
      <w:r>
        <w:rPr>
          <w:rFonts w:ascii="Times New Roman" w:hAnsi="Times New Roman" w:eastAsia="方正仿宋_GBK"/>
          <w:b w:val="0"/>
          <w:sz w:val="24"/>
        </w:rPr>
        <w:t xml:space="preserve">主变</w:t>
      </w:r>
      <w:r>
        <w:rPr>
          <w:rFonts w:ascii="Times New Roman" w:hAnsi="Times New Roman" w:eastAsia="方正仿宋_GBK"/>
          <w:b w:val="0"/>
          <w:sz w:val="24"/>
        </w:rPr>
        <w:t xml:space="preserve">共同约束</w:t>
      </w:r>
      <w:r>
        <w:rPr>
          <w:rFonts w:ascii="Times New Roman" w:hAnsi="Times New Roman" w:eastAsia="方正仿宋_GBK"/>
          <w:b w:val="0"/>
          <w:sz w:val="24"/>
        </w:rPr>
        <w:t xml:space="preserve">站</w:t>
      </w:r>
      <w:r>
        <w:rPr>
          <w:rFonts w:ascii="Times New Roman" w:hAnsi="Times New Roman" w:eastAsia="方正仿宋_GBK"/>
          <w:b w:val="0"/>
          <w:sz w:val="24"/>
        </w:rPr>
        <w:t xml:space="preserve">间</w:t>
      </w:r>
      <w:r>
        <w:rPr>
          <w:rFonts w:ascii="Times New Roman" w:hAnsi="Times New Roman" w:eastAsia="方正仿宋_GBK"/>
          <w:b w:val="0"/>
          <w:sz w:val="24"/>
        </w:rPr>
        <w:t xml:space="preserve">支援。</w:t>
      </w:r>
    </w:p>
    <w:p w14:paraId="60F7D922">
      <w:pPr>
        <w:pStyle w:val="2"/>
        <w:widowControl/>
        <w:spacing w:before="0" w:after="0" w:line="348" w:lineRule="exact"/>
        <w:ind w:firstLine="480"/>
        <w:jc w:val="both"/>
      </w:pPr>
      <w:r>
        <w:rPr>
          <w:rFonts w:ascii="Times New Roman" w:hAnsi="Times New Roman" w:eastAsia="方正仿宋_GBK"/>
          <w:b w:val="0"/>
          <w:sz w:val="24"/>
        </w:rPr>
        <w:t xml:space="preserve">2035年</w:t>
      </w:r>
      <w:r>
        <w:rPr>
          <w:rFonts w:ascii="Times New Roman" w:hAnsi="Times New Roman" w:eastAsia="方正仿宋_GBK"/>
          <w:b w:val="0"/>
          <w:sz w:val="24"/>
        </w:rPr>
        <w:t xml:space="preserve">邳州</w:t>
      </w:r>
      <w:r>
        <w:rPr>
          <w:rFonts w:ascii="Times New Roman" w:hAnsi="Times New Roman" w:eastAsia="方正仿宋_GBK"/>
          <w:b w:val="0"/>
          <w:sz w:val="24"/>
        </w:rPr>
        <w:t xml:space="preserve">弹性</w:t>
      </w:r>
      <w:r>
        <w:rPr>
          <w:rFonts w:ascii="Times New Roman" w:hAnsi="Times New Roman" w:eastAsia="方正仿宋_GBK"/>
          <w:b w:val="0"/>
          <w:sz w:val="24"/>
        </w:rPr>
        <w:t xml:space="preserve">方案</w:t>
      </w:r>
      <w:r>
        <w:rPr>
          <w:rFonts w:ascii="Times New Roman" w:hAnsi="Times New Roman" w:eastAsia="方正仿宋_GBK"/>
          <w:b w:val="0"/>
          <w:sz w:val="24"/>
        </w:rPr>
        <w:t xml:space="preserve">主变容量</w:t>
      </w:r>
      <w:r>
        <w:rPr>
          <w:rFonts w:ascii="Times New Roman" w:hAnsi="Times New Roman" w:eastAsia="方正仿宋_GBK"/>
          <w:b w:val="0"/>
          <w:sz w:val="24"/>
        </w:rPr>
        <w:t xml:space="preserve">290</w:t>
      </w:r>
      <w:r>
        <w:rPr>
          <w:rFonts w:ascii="Times New Roman" w:hAnsi="Times New Roman" w:eastAsia="方正仿宋_GBK"/>
          <w:b w:val="0"/>
          <w:sz w:val="24"/>
        </w:rPr>
        <w:t xml:space="preserve">1</w:t>
      </w:r>
      <w:r>
        <w:rPr>
          <w:rFonts w:ascii="Times New Roman" w:hAnsi="Times New Roman" w:eastAsia="方正仿宋_GBK"/>
          <w:b w:val="0"/>
          <w:sz w:val="24"/>
        </w:rPr>
        <w:t xml:space="preserve">.00 MVA</w:t>
      </w:r>
      <w:r>
        <w:rPr>
          <w:rFonts w:ascii="Times New Roman" w:hAnsi="Times New Roman" w:eastAsia="方正仿宋_GBK"/>
          <w:b w:val="0"/>
          <w:sz w:val="24"/>
        </w:rPr>
        <w:t xml:space="preserve">、容载比2.06，刚性分别为26</w:t>
      </w:r>
      <w:r>
        <w:rPr>
          <w:rFonts w:ascii="Times New Roman" w:hAnsi="Times New Roman" w:eastAsia="方正仿宋_GBK"/>
          <w:b w:val="0"/>
          <w:sz w:val="24"/>
        </w:rPr>
        <w:t xml:space="preserve">7</w:t>
      </w:r>
      <w:r>
        <w:rPr>
          <w:rFonts w:ascii="Times New Roman" w:hAnsi="Times New Roman" w:eastAsia="方正仿宋_GBK"/>
          <w:b w:val="0"/>
          <w:sz w:val="24"/>
        </w:rPr>
        <w:t xml:space="preserve">8</w:t>
      </w:r>
      <w:r>
        <w:rPr>
          <w:rFonts w:ascii="Times New Roman" w:hAnsi="Times New Roman" w:eastAsia="方正仿宋_GBK"/>
          <w:b w:val="0"/>
          <w:sz w:val="24"/>
        </w:rPr>
        <w:t xml:space="preserve">.</w:t>
      </w:r>
      <w:r>
        <w:rPr>
          <w:rFonts w:ascii="Times New Roman" w:hAnsi="Times New Roman" w:eastAsia="方正仿宋_GBK"/>
          <w:b w:val="0"/>
          <w:sz w:val="24"/>
        </w:rPr>
        <w:t xml:space="preserve">0</w:t>
      </w:r>
      <w:r>
        <w:rPr>
          <w:rFonts w:ascii="Times New Roman" w:hAnsi="Times New Roman" w:eastAsia="方正仿宋_GBK"/>
          <w:b w:val="0"/>
          <w:sz w:val="24"/>
        </w:rPr>
        <w:t xml:space="preserve">0 MVA</w:t>
      </w:r>
      <w:r>
        <w:rPr>
          <w:rFonts w:ascii="Times New Roman" w:hAnsi="Times New Roman" w:eastAsia="方正仿宋_GBK"/>
          <w:b w:val="0"/>
          <w:sz w:val="24"/>
        </w:rPr>
        <w:t xml:space="preserve">、</w:t>
      </w:r>
      <w:r>
        <w:rPr>
          <w:rFonts w:ascii="Times New Roman" w:hAnsi="Times New Roman" w:eastAsia="方正仿宋_GBK"/>
          <w:b w:val="0"/>
          <w:sz w:val="24"/>
        </w:rPr>
        <w:t xml:space="preserve">1.</w:t>
      </w:r>
      <w:r>
        <w:rPr>
          <w:rFonts w:ascii="Times New Roman" w:hAnsi="Times New Roman" w:eastAsia="方正仿宋_GBK"/>
          <w:b w:val="0"/>
          <w:sz w:val="24"/>
        </w:rPr>
        <w:t xml:space="preserve">9</w:t>
      </w:r>
      <w:r>
        <w:rPr>
          <w:rFonts w:ascii="Times New Roman" w:hAnsi="Times New Roman" w:eastAsia="方正仿宋_GBK"/>
          <w:b w:val="0"/>
          <w:sz w:val="24"/>
        </w:rPr>
        <w:t xml:space="preserve">0；</w:t>
      </w:r>
      <w:r>
        <w:rPr>
          <w:rFonts w:ascii="Times New Roman" w:hAnsi="Times New Roman" w:eastAsia="方正仿宋_GBK"/>
          <w:b w:val="0"/>
          <w:sz w:val="24"/>
        </w:rPr>
        <w:t xml:space="preserve">弹性</w:t>
      </w:r>
      <w:r>
        <w:rPr>
          <w:rFonts w:ascii="Times New Roman" w:hAnsi="Times New Roman" w:eastAsia="方正仿宋_GBK"/>
          <w:b w:val="0"/>
          <w:sz w:val="24"/>
        </w:rPr>
        <w:t xml:space="preserve">储能</w:t>
      </w:r>
      <w:r>
        <w:rPr>
          <w:rFonts w:ascii="Times New Roman" w:hAnsi="Times New Roman" w:eastAsia="方正仿宋_GBK"/>
          <w:b w:val="0"/>
          <w:sz w:val="24"/>
        </w:rPr>
        <w:t xml:space="preserve">545.6</w:t>
      </w:r>
      <w:r>
        <w:rPr>
          <w:rFonts w:ascii="Times New Roman" w:hAnsi="Times New Roman" w:eastAsia="方正仿宋_GBK"/>
          <w:b w:val="0"/>
          <w:sz w:val="24"/>
        </w:rPr>
        <w:t xml:space="preserve">7</w:t>
      </w:r>
      <w:r>
        <w:rPr>
          <w:rFonts w:ascii="Times New Roman" w:hAnsi="Times New Roman" w:eastAsia="方正仿宋_GBK"/>
          <w:b w:val="0"/>
          <w:sz w:val="24"/>
        </w:rPr>
        <w:t xml:space="preserve"> MWh、累计新增联络</w:t>
      </w:r>
      <w:r>
        <w:rPr>
          <w:rFonts w:ascii="Times New Roman" w:hAnsi="Times New Roman" w:eastAsia="方正仿宋_GBK"/>
          <w:b w:val="0"/>
          <w:sz w:val="24"/>
        </w:rPr>
        <w:t xml:space="preserve">2</w:t>
      </w:r>
      <w:r>
        <w:rPr>
          <w:rFonts w:ascii="Times New Roman" w:hAnsi="Times New Roman" w:eastAsia="方正仿宋_GBK"/>
          <w:b w:val="0"/>
          <w:sz w:val="24"/>
        </w:rPr>
        <w:t xml:space="preserve">1</w:t>
      </w:r>
      <w:r>
        <w:rPr>
          <w:rFonts w:ascii="Times New Roman" w:hAnsi="Times New Roman" w:eastAsia="方正仿宋_GBK"/>
          <w:b w:val="0"/>
          <w:sz w:val="24"/>
        </w:rPr>
        <w:t xml:space="preserve">条</w:t>
      </w:r>
      <w:r>
        <w:rPr>
          <w:rFonts w:ascii="Times New Roman" w:hAnsi="Times New Roman" w:eastAsia="方正仿宋_GBK"/>
          <w:b w:val="0"/>
          <w:sz w:val="24"/>
        </w:rPr>
        <w:t xml:space="preserve">，</w:t>
      </w:r>
      <w:r>
        <w:rPr>
          <w:rFonts w:ascii="Times New Roman" w:hAnsi="Times New Roman" w:eastAsia="方正仿宋_GBK"/>
          <w:b w:val="0"/>
          <w:sz w:val="24"/>
        </w:rPr>
        <w:t xml:space="preserve">刚性</w:t>
      </w:r>
      <w:r>
        <w:rPr>
          <w:rFonts w:ascii="Times New Roman" w:hAnsi="Times New Roman" w:eastAsia="方正仿宋_GBK"/>
          <w:b w:val="0"/>
          <w:sz w:val="24"/>
        </w:rPr>
        <w:t xml:space="preserve">为</w:t>
      </w:r>
      <w:r>
        <w:rPr>
          <w:rFonts w:ascii="Times New Roman" w:hAnsi="Times New Roman" w:eastAsia="方正仿宋_GBK"/>
          <w:b w:val="0"/>
          <w:sz w:val="24"/>
        </w:rPr>
        <w:t xml:space="preserve">568</w:t>
      </w:r>
      <w:r>
        <w:rPr>
          <w:rFonts w:ascii="Times New Roman" w:hAnsi="Times New Roman" w:eastAsia="方正仿宋_GBK"/>
          <w:b w:val="0"/>
          <w:sz w:val="24"/>
        </w:rPr>
        <w:t xml:space="preserve">.</w:t>
      </w:r>
      <w:r>
        <w:rPr>
          <w:rFonts w:ascii="Times New Roman" w:hAnsi="Times New Roman" w:eastAsia="方正仿宋_GBK"/>
          <w:b w:val="0"/>
          <w:sz w:val="24"/>
        </w:rPr>
        <w:t xml:space="preserve">2</w:t>
      </w:r>
      <w:r>
        <w:rPr>
          <w:rFonts w:ascii="Times New Roman" w:hAnsi="Times New Roman" w:eastAsia="方正仿宋_GBK"/>
          <w:b w:val="0"/>
          <w:sz w:val="24"/>
        </w:rPr>
        <w:t xml:space="preserve">5 MWh、</w:t>
      </w:r>
      <w:r>
        <w:rPr>
          <w:rFonts w:ascii="Times New Roman" w:hAnsi="Times New Roman" w:eastAsia="方正仿宋_GBK"/>
          <w:b w:val="0"/>
          <w:sz w:val="24"/>
        </w:rPr>
        <w:t xml:space="preserve">58条。市区弹性主变3608.50 MVA、容载比1.62，刚性为3587.00 MVA、1.61，弹性储能109.65 MWh高于刚性92.88 MWh，</w:t>
      </w:r>
      <w:r>
        <w:rPr>
          <w:rFonts w:ascii="Times New Roman" w:hAnsi="Times New Roman" w:eastAsia="方正仿宋_GBK"/>
          <w:b w:val="0"/>
          <w:sz w:val="24"/>
        </w:rPr>
        <w:t xml:space="preserve">累计新增联络</w:t>
      </w:r>
      <w:r>
        <w:rPr>
          <w:rFonts w:ascii="Times New Roman" w:hAnsi="Times New Roman" w:eastAsia="方正仿宋_GBK"/>
          <w:b w:val="0"/>
          <w:sz w:val="24"/>
        </w:rPr>
        <w:t xml:space="preserve">35条低于刚性6</w:t>
      </w:r>
      <w:r>
        <w:rPr>
          <w:rFonts w:ascii="Times New Roman" w:hAnsi="Times New Roman" w:eastAsia="方正仿宋_GBK"/>
          <w:b w:val="0"/>
          <w:sz w:val="24"/>
        </w:rPr>
        <w:t xml:space="preserve">6条。</w:t>
      </w:r>
    </w:p>
    <w:p w14:paraId="636E00AE">
      <w:pPr>
        <w:pStyle w:val="2"/>
        <w:widowControl/>
        <w:spacing w:before="0" w:after="0" w:line="348" w:lineRule="exact"/>
        <w:ind w:firstLine="480"/>
        <w:jc w:val="both"/>
      </w:pPr>
      <w:r>
        <w:rPr>
          <w:rFonts w:ascii="Times New Roman" w:hAnsi="Times New Roman" w:eastAsia="方正仿宋_GBK"/>
          <w:b w:val="0"/>
          <w:sz w:val="24"/>
        </w:rPr>
        <w:t xml:space="preserve">两地区刚性可行方案费用</w:t>
      </w:r>
      <w:r>
        <w:rPr>
          <w:rFonts w:ascii="Times New Roman" w:hAnsi="Times New Roman" w:eastAsia="方正仿宋_GBK"/>
          <w:b w:val="0"/>
          <w:sz w:val="24"/>
        </w:rPr>
        <w:t xml:space="preserve">现值</w:t>
      </w:r>
      <w:r>
        <w:rPr>
          <w:rFonts w:ascii="Times New Roman" w:hAnsi="Times New Roman" w:eastAsia="方正仿宋_GBK"/>
          <w:b w:val="0"/>
          <w:sz w:val="24"/>
        </w:rPr>
        <w:t xml:space="preserve">合计</w:t>
      </w:r>
      <w:r>
        <w:rPr>
          <w:rFonts w:ascii="Times New Roman" w:hAnsi="Times New Roman" w:eastAsia="方正仿宋_GBK"/>
          <w:b w:val="0"/>
          <w:sz w:val="24"/>
        </w:rPr>
        <w:t xml:space="preserve">98006.53万元、弹性95</w:t>
      </w:r>
      <w:r>
        <w:rPr>
          <w:rFonts w:ascii="Times New Roman" w:hAnsi="Times New Roman" w:eastAsia="方正仿宋_GBK"/>
          <w:b w:val="0"/>
          <w:sz w:val="24"/>
        </w:rPr>
        <w:t xml:space="preserve">1</w:t>
      </w:r>
      <w:r>
        <w:rPr>
          <w:rFonts w:ascii="Times New Roman" w:hAnsi="Times New Roman" w:eastAsia="方正仿宋_GBK"/>
          <w:b w:val="0"/>
          <w:sz w:val="24"/>
        </w:rPr>
        <w:t xml:space="preserve">0</w:t>
      </w:r>
      <w:r>
        <w:rPr>
          <w:rFonts w:ascii="Times New Roman" w:hAnsi="Times New Roman" w:eastAsia="方正仿宋_GBK"/>
          <w:b w:val="0"/>
          <w:sz w:val="24"/>
        </w:rPr>
        <w:t xml:space="preserve">7.8</w:t>
      </w:r>
      <w:r>
        <w:rPr>
          <w:rFonts w:ascii="Times New Roman" w:hAnsi="Times New Roman" w:eastAsia="方正仿宋_GBK"/>
          <w:b w:val="0"/>
          <w:sz w:val="24"/>
        </w:rPr>
        <w:t xml:space="preserve">6</w:t>
      </w:r>
      <w:r>
        <w:rPr>
          <w:rFonts w:ascii="Times New Roman" w:hAnsi="Times New Roman" w:eastAsia="方正仿宋_GBK"/>
          <w:b w:val="0"/>
          <w:sz w:val="24"/>
        </w:rPr>
        <w:t xml:space="preserve">万元，减少</w:t>
      </w:r>
      <w:r>
        <w:rPr>
          <w:rFonts w:ascii="Times New Roman" w:hAnsi="Times New Roman" w:eastAsia="方正仿宋_GBK"/>
          <w:b w:val="0"/>
          <w:sz w:val="24"/>
        </w:rPr>
        <w:t xml:space="preserve">28</w:t>
      </w:r>
      <w:r>
        <w:rPr>
          <w:rFonts w:ascii="Times New Roman" w:hAnsi="Times New Roman" w:eastAsia="方正仿宋_GBK"/>
          <w:b w:val="0"/>
          <w:sz w:val="24"/>
        </w:rPr>
        <w:t xml:space="preserve">9</w:t>
      </w:r>
      <w:r>
        <w:rPr>
          <w:rFonts w:ascii="Times New Roman" w:hAnsi="Times New Roman" w:eastAsia="方正仿宋_GBK"/>
          <w:b w:val="0"/>
          <w:sz w:val="24"/>
        </w:rPr>
        <w:t xml:space="preserve">8</w:t>
      </w:r>
      <w:r>
        <w:rPr>
          <w:rFonts w:ascii="Times New Roman" w:hAnsi="Times New Roman" w:eastAsia="方正仿宋_GBK"/>
          <w:b w:val="0"/>
          <w:sz w:val="24"/>
        </w:rPr>
        <w:t xml:space="preserve">.</w:t>
      </w:r>
      <w:r>
        <w:rPr>
          <w:rFonts w:ascii="Times New Roman" w:hAnsi="Times New Roman" w:eastAsia="方正仿宋_GBK"/>
          <w:b w:val="0"/>
          <w:sz w:val="24"/>
        </w:rPr>
        <w:t xml:space="preserve">67</w:t>
      </w:r>
      <w:r>
        <w:rPr>
          <w:rFonts w:ascii="Times New Roman" w:hAnsi="Times New Roman" w:eastAsia="方正仿宋_GBK"/>
          <w:b w:val="0"/>
          <w:sz w:val="24"/>
        </w:rPr>
        <w:t xml:space="preserve">万元，</w:t>
      </w:r>
      <w:r>
        <w:rPr>
          <w:rFonts w:ascii="Times New Roman" w:hAnsi="Times New Roman" w:eastAsia="方正仿宋_GBK"/>
          <w:b w:val="0"/>
          <w:sz w:val="24"/>
        </w:rPr>
        <w:t xml:space="preserve">降幅</w:t>
      </w:r>
      <w:r>
        <w:rPr>
          <w:rFonts w:ascii="Times New Roman" w:hAnsi="Times New Roman" w:eastAsia="方正仿宋_GBK"/>
          <w:b w:val="0"/>
          <w:sz w:val="24"/>
        </w:rPr>
        <w:t xml:space="preserve">2</w:t>
      </w:r>
      <w:r>
        <w:rPr>
          <w:rFonts w:ascii="Times New Roman" w:hAnsi="Times New Roman" w:eastAsia="方正仿宋_GBK"/>
          <w:b w:val="0"/>
          <w:sz w:val="24"/>
        </w:rPr>
        <w:t xml:space="preserve">.96</w:t>
      </w:r>
      <w:r>
        <w:rPr>
          <w:rFonts w:ascii="Times New Roman" w:hAnsi="Times New Roman" w:eastAsia="方正仿宋_GBK"/>
          <w:b w:val="0"/>
          <w:sz w:val="24"/>
        </w:rPr>
        <w:t xml:space="preserve">%。</w:t>
      </w:r>
      <w:r>
        <w:rPr>
          <w:rFonts w:ascii="Times New Roman" w:hAnsi="Times New Roman" w:eastAsia="方正仿宋_GBK"/>
          <w:b w:val="0"/>
          <w:sz w:val="24"/>
        </w:rPr>
        <w:t xml:space="preserve">费用优势由主变、储能和联络各年度现金流共同形成，具体年份的费用及储能排序保留其实际差异。推广矩阵各单元为有效节点形成的有限范围，固定背景的完整序列用于分析转供变化及设备切换。</w:t>
      </w:r>
    </w:p>
    <w:p w14:paraId="6E0BBAD8">
      <w:pPr>
        <w:pStyle w:val="3"/>
        <w:keepNext/>
        <w:pageBreakBefore/>
        <w:numPr>
          <w:ilvl w:val="0"/>
          <w:numId w:val="0"/>
        </w:numPr>
        <w:spacing w:before="0" w:after="120" w:line="540" w:lineRule="exact"/>
        <w:ind w:firstLine="0"/>
      </w:pPr>
      <w:bookmarkStart w:id="332" w:name="Report1017_h1133"/>
      <w:bookmarkEnd w:id="332"/>
      <w:bookmarkStart w:id="272" w:name="第六章-结论与建议"/>
      <w:bookmarkStart w:id="273" w:name="h1177"/>
      <w:r>
        <w:rPr>
          <w:rFonts w:ascii="Times New Roman" w:hAnsi="Times New Roman" w:eastAsia="方正仿宋_GBK"/>
          <w:b/>
          <w:sz w:val="36"/>
        </w:rPr>
        <w:t>第六章 结论与建议</w:t>
      </w:r>
      <w:bookmarkEnd w:id="272"/>
      <w:bookmarkEnd w:id="273"/>
    </w:p>
    <w:p w14:paraId="5EF6CEDE">
      <w:pPr>
        <w:pStyle w:val="115"/>
        <w:widowControl/>
        <w:spacing w:before="0" w:after="0" w:line="348" w:lineRule="exact"/>
        <w:ind w:firstLine="480"/>
        <w:jc w:val="both"/>
      </w:pPr>
      <w:r>
        <w:rPr>
          <w:rFonts w:ascii="Times New Roman" w:hAnsi="Times New Roman" w:eastAsia="方正仿宋_GBK"/>
          <w:b w:val="0"/>
          <w:sz w:val="24"/>
        </w:rPr>
        <w:t>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14:paraId="4F492954">
      <w:pPr>
        <w:pStyle w:val="4"/>
        <w:keepNext/>
        <w:numPr>
          <w:ilvl w:val="0"/>
          <w:numId w:val="0"/>
        </w:numPr>
        <w:spacing w:before="160" w:after="120" w:line="480" w:lineRule="exact"/>
        <w:ind w:firstLine="0"/>
      </w:pPr>
      <w:bookmarkStart w:id="333" w:name="Report1017_h1135"/>
      <w:bookmarkEnd w:id="333"/>
      <w:bookmarkStart w:id="274" w:name="主要研究结论"/>
      <w:bookmarkStart w:id="275" w:name="h1179"/>
      <w:r>
        <w:rPr>
          <w:rFonts w:ascii="Times New Roman" w:hAnsi="Times New Roman" w:eastAsia="方正仿宋_GBK"/>
          <w:b/>
          <w:sz w:val="32"/>
        </w:rPr>
        <w:t>6.1 主要研究结论</w:t>
      </w:r>
      <w:bookmarkEnd w:id="274"/>
      <w:bookmarkEnd w:id="275"/>
    </w:p>
    <w:p w14:paraId="647F2472">
      <w:pPr>
        <w:pStyle w:val="5"/>
        <w:keepNext/>
        <w:numPr>
          <w:ilvl w:val="0"/>
          <w:numId w:val="0"/>
        </w:numPr>
        <w:spacing w:before="160" w:after="120" w:line="390" w:lineRule="exact"/>
        <w:ind w:firstLine="0"/>
      </w:pPr>
      <w:bookmarkStart w:id="276" w:name="容载比与局部容量压力应结合分析"/>
      <w:r>
        <w:rPr>
          <w:rFonts w:ascii="Times New Roman" w:hAnsi="Times New Roman" w:eastAsia="方正仿宋_GBK"/>
          <w:b/>
          <w:sz w:val="26"/>
        </w:rPr>
        <w:t>6.1.1 容载比与局部容量压力应结合分析</w:t>
      </w:r>
      <w:bookmarkEnd w:id="276"/>
    </w:p>
    <w:p w14:paraId="768A1A94">
      <w:pPr>
        <w:pStyle w:val="115"/>
        <w:widowControl/>
        <w:spacing w:before="0" w:after="0" w:line="348" w:lineRule="exact"/>
        <w:ind w:firstLine="480"/>
        <w:jc w:val="both"/>
      </w:pPr>
      <w:r>
        <w:rPr>
          <w:rFonts w:ascii="Times New Roman" w:hAnsi="Times New Roman" w:eastAsia="方正仿宋_GBK"/>
          <w:b w:val="0"/>
          <w:sz w:val="24"/>
        </w:rPr>
        <w:t>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14:paraId="3808BBEE">
      <w:pPr>
        <w:pStyle w:val="2"/>
        <w:widowControl/>
        <w:spacing w:before="0" w:after="0" w:line="348" w:lineRule="exact"/>
        <w:ind w:firstLine="480"/>
        <w:jc w:val="both"/>
      </w:pPr>
      <w:r>
        <w:rPr>
          <w:rFonts w:ascii="Times New Roman" w:hAnsi="Times New Roman" w:eastAsia="方正仿宋_GBK"/>
          <w:b w:val="0"/>
          <w:sz w:val="24"/>
        </w:rPr>
        <w:t>2021—2025年年最大净负荷平均增长率按复合开根方式计算，邳州为7%、市区为1%。地区案例采用实际年度负荷，保留负荷回落及其引起的容载比变化。</w:t>
      </w:r>
    </w:p>
    <w:p w14:paraId="76C9441A">
      <w:pPr>
        <w:pStyle w:val="2"/>
        <w:widowControl/>
        <w:spacing w:before="0" w:after="0" w:line="348" w:lineRule="exact"/>
        <w:ind w:firstLine="480"/>
        <w:jc w:val="both"/>
      </w:pPr>
      <w:r>
        <w:rPr>
          <w:rFonts w:ascii="Times New Roman" w:hAnsi="Times New Roman" w:eastAsia="方正仿宋_GBK"/>
          <w:b w:val="0"/>
          <w:sz w:val="24"/>
        </w:rPr>
        <w:t>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14:paraId="2FFBB94A">
      <w:pPr>
        <w:pStyle w:val="5"/>
        <w:keepNext/>
        <w:numPr>
          <w:ilvl w:val="0"/>
          <w:numId w:val="0"/>
        </w:numPr>
        <w:spacing w:before="160" w:after="120" w:line="390" w:lineRule="exact"/>
        <w:ind w:firstLine="0"/>
      </w:pPr>
      <w:bookmarkStart w:id="277" w:name="弹性容量配置降低了所设条件下的方案费用"/>
      <w:r>
        <w:rPr>
          <w:rFonts w:ascii="Times New Roman" w:hAnsi="Times New Roman" w:eastAsia="方正仿宋_GBK"/>
          <w:b/>
          <w:sz w:val="26"/>
        </w:rPr>
        <w:t>6.1.2 弹性容量配置降低了所设条件下的方案费用</w:t>
      </w:r>
      <w:bookmarkEnd w:id="277"/>
    </w:p>
    <w:p w14:paraId="32BB37E3">
      <w:pPr>
        <w:pStyle w:val="115"/>
        <w:widowControl/>
        <w:spacing w:before="0" w:after="0" w:line="348" w:lineRule="exact"/>
        <w:ind w:firstLine="480"/>
        <w:jc w:val="both"/>
      </w:pPr>
      <w:r>
        <w:rPr>
          <w:rFonts w:ascii="Times New Roman" w:hAnsi="Times New Roman" w:eastAsia="方正仿宋_GBK"/>
          <w:b w:val="0"/>
          <w:sz w:val="24"/>
        </w:rPr>
        <w:t xml:space="preserve">两地区均保留2021年实际地区容量，2022—2035年逐年承接已投运</w:t>
      </w:r>
      <w:r>
        <w:rPr>
          <w:rFonts w:ascii="Times New Roman" w:hAnsi="Times New Roman" w:eastAsia="方正仿宋_GBK"/>
          <w:b w:val="0"/>
          <w:sz w:val="24"/>
        </w:rPr>
        <w:t xml:space="preserve">设备</w:t>
      </w:r>
      <w:r>
        <w:rPr>
          <w:rFonts w:ascii="Times New Roman" w:hAnsi="Times New Roman" w:eastAsia="方正仿宋_GBK"/>
          <w:b w:val="0"/>
          <w:sz w:val="24"/>
        </w:rPr>
        <w:t xml:space="preserve">。2035</w:t>
      </w:r>
      <w:r>
        <w:rPr>
          <w:rFonts w:ascii="Times New Roman" w:hAnsi="Times New Roman" w:eastAsia="方正仿宋_GBK"/>
          <w:b w:val="0"/>
          <w:sz w:val="24"/>
        </w:rPr>
        <w:t xml:space="preserve">年</w:t>
      </w:r>
      <w:r>
        <w:rPr>
          <w:rFonts w:ascii="Times New Roman" w:hAnsi="Times New Roman" w:eastAsia="方正仿宋_GBK"/>
          <w:b w:val="0"/>
          <w:sz w:val="24"/>
        </w:rPr>
        <w:t xml:space="preserve">邳州刚性、弹性</w:t>
      </w:r>
      <w:r>
        <w:rPr>
          <w:rFonts w:ascii="Times New Roman" w:hAnsi="Times New Roman" w:eastAsia="方正仿宋_GBK"/>
          <w:b w:val="0"/>
          <w:sz w:val="24"/>
        </w:rPr>
        <w:t xml:space="preserve">主变容量分别为</w:t>
      </w:r>
      <w:r>
        <w:rPr>
          <w:rFonts w:ascii="Times New Roman" w:hAnsi="Times New Roman" w:eastAsia="方正仿宋_GBK"/>
          <w:b w:val="0"/>
          <w:sz w:val="24"/>
        </w:rPr>
        <w:t xml:space="preserve">26</w:t>
      </w:r>
      <w:r>
        <w:rPr>
          <w:rFonts w:ascii="Times New Roman" w:hAnsi="Times New Roman" w:eastAsia="方正仿宋_GBK"/>
          <w:b w:val="0"/>
          <w:sz w:val="24"/>
        </w:rPr>
        <w:t xml:space="preserve">7</w:t>
      </w:r>
      <w:r>
        <w:rPr>
          <w:rFonts w:ascii="Times New Roman" w:hAnsi="Times New Roman" w:eastAsia="方正仿宋_GBK"/>
          <w:b w:val="0"/>
          <w:sz w:val="24"/>
        </w:rPr>
        <w:t xml:space="preserve">8</w:t>
      </w:r>
      <w:r>
        <w:rPr>
          <w:rFonts w:ascii="Times New Roman" w:hAnsi="Times New Roman" w:eastAsia="方正仿宋_GBK"/>
          <w:b w:val="0"/>
          <w:sz w:val="24"/>
        </w:rPr>
        <w:t xml:space="preserve">.00 MVA</w:t>
      </w:r>
      <w:r>
        <w:rPr>
          <w:rFonts w:ascii="Times New Roman" w:hAnsi="Times New Roman" w:eastAsia="方正仿宋_GBK"/>
          <w:b w:val="0"/>
          <w:sz w:val="24"/>
        </w:rPr>
        <w:t xml:space="preserve">、290</w:t>
      </w:r>
      <w:r>
        <w:rPr>
          <w:rFonts w:ascii="Times New Roman" w:hAnsi="Times New Roman" w:eastAsia="方正仿宋_GBK"/>
          <w:b w:val="0"/>
          <w:sz w:val="24"/>
        </w:rPr>
        <w:t xml:space="preserve">1</w:t>
      </w:r>
      <w:r>
        <w:rPr>
          <w:rFonts w:ascii="Times New Roman" w:hAnsi="Times New Roman" w:eastAsia="方正仿宋_GBK"/>
          <w:b w:val="0"/>
          <w:sz w:val="24"/>
        </w:rPr>
        <w:t xml:space="preserve">.00 MVA，容载比1.90、2.06；市区分别为358</w:t>
      </w:r>
      <w:r>
        <w:rPr>
          <w:rFonts w:ascii="Times New Roman" w:hAnsi="Times New Roman" w:eastAsia="方正仿宋_GBK"/>
          <w:b w:val="0"/>
          <w:sz w:val="24"/>
        </w:rPr>
        <w:t xml:space="preserve">7</w:t>
      </w:r>
      <w:r>
        <w:rPr>
          <w:rFonts w:ascii="Times New Roman" w:hAnsi="Times New Roman" w:eastAsia="方正仿宋_GBK"/>
          <w:b w:val="0"/>
          <w:sz w:val="24"/>
        </w:rPr>
        <w:t xml:space="preserve">.00 MVA、3608</w:t>
      </w:r>
      <w:r>
        <w:rPr>
          <w:rFonts w:ascii="Times New Roman" w:hAnsi="Times New Roman" w:eastAsia="方正仿宋_GBK"/>
          <w:b w:val="0"/>
          <w:sz w:val="24"/>
        </w:rPr>
        <w:t xml:space="preserve">.50 MVA，容载比1.</w:t>
      </w:r>
      <w:r>
        <w:rPr>
          <w:rFonts w:ascii="Times New Roman" w:hAnsi="Times New Roman" w:eastAsia="方正仿宋_GBK"/>
          <w:b w:val="0"/>
          <w:sz w:val="24"/>
        </w:rPr>
        <w:t xml:space="preserve">6</w:t>
      </w:r>
      <w:r>
        <w:rPr>
          <w:rFonts w:ascii="Times New Roman" w:hAnsi="Times New Roman" w:eastAsia="方正仿宋_GBK"/>
          <w:b w:val="0"/>
          <w:sz w:val="24"/>
        </w:rPr>
        <w:t xml:space="preserve">1</w:t>
      </w:r>
      <w:r>
        <w:rPr>
          <w:rFonts w:ascii="Times New Roman" w:hAnsi="Times New Roman" w:eastAsia="方正仿宋_GBK"/>
          <w:b w:val="0"/>
          <w:sz w:val="24"/>
        </w:rPr>
        <w:t xml:space="preserve">、1.</w:t>
      </w:r>
      <w:r>
        <w:rPr>
          <w:rFonts w:ascii="Times New Roman" w:hAnsi="Times New Roman" w:eastAsia="方正仿宋_GBK"/>
          <w:b w:val="0"/>
          <w:sz w:val="24"/>
        </w:rPr>
        <w:t xml:space="preserve">6</w:t>
      </w:r>
      <w:r>
        <w:rPr>
          <w:rFonts w:ascii="Times New Roman" w:hAnsi="Times New Roman" w:eastAsia="方正仿宋_GBK"/>
          <w:b w:val="0"/>
          <w:sz w:val="24"/>
        </w:rPr>
        <w:t xml:space="preserve">2</w:t>
      </w:r>
      <w:r>
        <w:rPr>
          <w:rFonts w:ascii="Times New Roman" w:hAnsi="Times New Roman" w:eastAsia="方正仿宋_GBK"/>
          <w:b w:val="0"/>
          <w:sz w:val="24"/>
        </w:rPr>
        <w:t xml:space="preserve">。站内补强</w:t>
      </w:r>
      <w:r>
        <w:rPr>
          <w:rFonts w:ascii="Times New Roman" w:hAnsi="Times New Roman" w:eastAsia="方正仿宋_GBK"/>
          <w:b w:val="0"/>
          <w:sz w:val="24"/>
        </w:rPr>
        <w:t xml:space="preserve">、</w:t>
      </w:r>
      <w:r>
        <w:rPr>
          <w:rFonts w:ascii="Times New Roman" w:hAnsi="Times New Roman" w:eastAsia="方正仿宋_GBK"/>
          <w:b w:val="0"/>
          <w:sz w:val="24"/>
        </w:rPr>
        <w:t xml:space="preserve">配</w:t>
      </w:r>
      <w:r>
        <w:rPr>
          <w:rFonts w:ascii="Times New Roman" w:hAnsi="Times New Roman" w:eastAsia="方正仿宋_GBK"/>
          <w:b w:val="0"/>
          <w:sz w:val="24"/>
        </w:rPr>
        <w:t xml:space="preserve">储与新增联络共同满足所采</w:t>
      </w:r>
      <w:r>
        <w:rPr>
          <w:rFonts w:ascii="Times New Roman" w:hAnsi="Times New Roman" w:eastAsia="方正仿宋_GBK"/>
          <w:b w:val="0"/>
          <w:sz w:val="24"/>
        </w:rPr>
        <w:t xml:space="preserve">用</w:t>
      </w:r>
      <w:r>
        <w:rPr>
          <w:rFonts w:ascii="Times New Roman" w:hAnsi="Times New Roman" w:eastAsia="方正仿宋_GBK"/>
          <w:b w:val="0"/>
          <w:sz w:val="24"/>
        </w:rPr>
        <w:t xml:space="preserve">的</w:t>
      </w:r>
      <w:r>
        <w:rPr>
          <w:rFonts w:ascii="Times New Roman" w:hAnsi="Times New Roman" w:eastAsia="方正仿宋_GBK"/>
          <w:b w:val="0"/>
          <w:sz w:val="24"/>
        </w:rPr>
        <w:t xml:space="preserve">年度</w:t>
      </w:r>
      <w:r>
        <w:rPr>
          <w:rFonts w:ascii="Times New Roman" w:hAnsi="Times New Roman" w:eastAsia="方正仿宋_GBK"/>
          <w:b w:val="0"/>
          <w:sz w:val="24"/>
        </w:rPr>
        <w:t xml:space="preserve">静态计算条件</w:t>
      </w:r>
      <w:r>
        <w:rPr>
          <w:rFonts w:ascii="Times New Roman" w:hAnsi="Times New Roman" w:eastAsia="方正仿宋_GBK"/>
          <w:b w:val="0"/>
          <w:sz w:val="24"/>
        </w:rPr>
        <w:t xml:space="preserve">。</w:t>
      </w:r>
    </w:p>
    <w:p w14:paraId="06C4294E">
      <w:pPr>
        <w:pStyle w:val="2"/>
        <w:widowControl/>
        <w:spacing w:before="0" w:after="0" w:line="348" w:lineRule="exact"/>
        <w:ind w:firstLine="480"/>
        <w:jc w:val="both"/>
      </w:pPr>
      <w:r>
        <w:rPr>
          <w:rFonts w:ascii="Times New Roman" w:hAnsi="Times New Roman" w:eastAsia="方正仿宋_GBK"/>
          <w:b w:val="0"/>
          <w:sz w:val="24"/>
        </w:rPr>
        <w:t xml:space="preserve">邳州</w:t>
      </w:r>
      <w:r>
        <w:rPr>
          <w:rFonts w:ascii="Times New Roman" w:hAnsi="Times New Roman" w:eastAsia="方正仿宋_GBK"/>
          <w:b w:val="0"/>
          <w:sz w:val="24"/>
        </w:rPr>
        <w:t xml:space="preserve">2035年</w:t>
      </w:r>
      <w:r>
        <w:rPr>
          <w:rFonts w:ascii="Times New Roman" w:hAnsi="Times New Roman" w:eastAsia="方正仿宋_GBK"/>
          <w:b w:val="0"/>
          <w:sz w:val="24"/>
        </w:rPr>
        <w:t xml:space="preserve">弹性</w:t>
      </w:r>
      <w:r>
        <w:rPr>
          <w:rFonts w:ascii="Times New Roman" w:hAnsi="Times New Roman" w:eastAsia="方正仿宋_GBK"/>
          <w:b w:val="0"/>
          <w:sz w:val="24"/>
        </w:rPr>
        <w:t xml:space="preserve">储能545.67 MWh、累计新增联络21条</w:t>
      </w:r>
      <w:r>
        <w:rPr>
          <w:rFonts w:ascii="Times New Roman" w:hAnsi="Times New Roman" w:eastAsia="方正仿宋_GBK"/>
          <w:b w:val="0"/>
          <w:sz w:val="24"/>
        </w:rPr>
        <w:t xml:space="preserve">，</w:t>
      </w:r>
      <w:r>
        <w:rPr>
          <w:rFonts w:ascii="Times New Roman" w:hAnsi="Times New Roman" w:eastAsia="方正仿宋_GBK"/>
          <w:b w:val="0"/>
          <w:sz w:val="24"/>
        </w:rPr>
        <w:t xml:space="preserve">刚性为568.</w:t>
      </w:r>
      <w:r>
        <w:rPr>
          <w:rFonts w:ascii="Times New Roman" w:hAnsi="Times New Roman" w:eastAsia="方正仿宋_GBK"/>
          <w:b w:val="0"/>
          <w:sz w:val="24"/>
        </w:rPr>
        <w:t xml:space="preserve">25</w:t>
      </w:r>
      <w:r>
        <w:rPr>
          <w:rFonts w:ascii="Times New Roman" w:hAnsi="Times New Roman" w:eastAsia="方正仿宋_GBK"/>
          <w:b w:val="0"/>
          <w:sz w:val="24"/>
        </w:rPr>
        <w:t xml:space="preserve"> MWh、58条；市区弹性</w:t>
      </w:r>
      <w:r>
        <w:rPr>
          <w:rFonts w:ascii="Times New Roman" w:hAnsi="Times New Roman" w:eastAsia="方正仿宋_GBK"/>
          <w:b w:val="0"/>
          <w:sz w:val="24"/>
        </w:rPr>
        <w:t xml:space="preserve">储能</w:t>
      </w:r>
      <w:r>
        <w:rPr>
          <w:rFonts w:ascii="Times New Roman" w:hAnsi="Times New Roman" w:eastAsia="方正仿宋_GBK"/>
          <w:b w:val="0"/>
          <w:sz w:val="24"/>
        </w:rPr>
        <w:t xml:space="preserve">109</w:t>
      </w:r>
      <w:r>
        <w:rPr>
          <w:rFonts w:ascii="Times New Roman" w:hAnsi="Times New Roman" w:eastAsia="方正仿宋_GBK"/>
          <w:b w:val="0"/>
          <w:sz w:val="24"/>
        </w:rPr>
        <w:t xml:space="preserve">.</w:t>
      </w:r>
      <w:r>
        <w:rPr>
          <w:rFonts w:ascii="Times New Roman" w:hAnsi="Times New Roman" w:eastAsia="方正仿宋_GBK"/>
          <w:b w:val="0"/>
          <w:sz w:val="24"/>
        </w:rPr>
        <w:t xml:space="preserve">65 MWh高于刚性92.88</w:t>
      </w:r>
      <w:r>
        <w:rPr>
          <w:rFonts w:ascii="Times New Roman" w:hAnsi="Times New Roman" w:eastAsia="方正仿宋_GBK"/>
          <w:b w:val="0"/>
          <w:sz w:val="24"/>
        </w:rPr>
        <w:t xml:space="preserve"> MWh，</w:t>
      </w:r>
      <w:r>
        <w:rPr>
          <w:rFonts w:ascii="Times New Roman" w:hAnsi="Times New Roman" w:eastAsia="方正仿宋_GBK"/>
          <w:b w:val="0"/>
          <w:sz w:val="24"/>
        </w:rPr>
        <w:t xml:space="preserve">累计</w:t>
      </w:r>
      <w:r>
        <w:rPr>
          <w:rFonts w:ascii="Times New Roman" w:hAnsi="Times New Roman" w:eastAsia="方正仿宋_GBK"/>
          <w:b w:val="0"/>
          <w:sz w:val="24"/>
        </w:rPr>
        <w:t xml:space="preserve">新增联络</w:t>
      </w:r>
      <w:r>
        <w:rPr>
          <w:rFonts w:ascii="Times New Roman" w:hAnsi="Times New Roman" w:eastAsia="方正仿宋_GBK"/>
          <w:b w:val="0"/>
          <w:sz w:val="24"/>
        </w:rPr>
        <w:t xml:space="preserve">35条低于刚性66条</w:t>
      </w:r>
      <w:r>
        <w:rPr>
          <w:rFonts w:ascii="Times New Roman" w:hAnsi="Times New Roman" w:eastAsia="方正仿宋_GBK"/>
          <w:b w:val="0"/>
          <w:sz w:val="24"/>
        </w:rPr>
        <w:t xml:space="preserve">。</w:t>
      </w:r>
      <w:r>
        <w:rPr>
          <w:rFonts w:ascii="Times New Roman" w:hAnsi="Times New Roman" w:eastAsia="方正仿宋_GBK"/>
          <w:b w:val="0"/>
          <w:sz w:val="24"/>
        </w:rPr>
        <w:t xml:space="preserve">市区</w:t>
      </w:r>
      <w:r>
        <w:rPr>
          <w:rFonts w:ascii="Times New Roman" w:hAnsi="Times New Roman" w:eastAsia="方正仿宋_GBK"/>
          <w:b w:val="0"/>
          <w:sz w:val="24"/>
        </w:rPr>
        <w:t xml:space="preserve">202</w:t>
      </w:r>
      <w:r>
        <w:rPr>
          <w:rFonts w:ascii="Times New Roman" w:hAnsi="Times New Roman" w:eastAsia="方正仿宋_GBK"/>
          <w:b w:val="0"/>
          <w:sz w:val="24"/>
        </w:rPr>
        <w:t xml:space="preserve">2年两方案相同</w:t>
      </w:r>
      <w:r>
        <w:rPr>
          <w:rFonts w:ascii="Times New Roman" w:hAnsi="Times New Roman" w:eastAsia="方正仿宋_GBK"/>
          <w:b w:val="0"/>
          <w:sz w:val="24"/>
        </w:rPr>
        <w:t xml:space="preserve">，</w:t>
      </w:r>
      <w:r>
        <w:rPr>
          <w:rFonts w:ascii="Times New Roman" w:hAnsi="Times New Roman" w:eastAsia="方正仿宋_GBK"/>
          <w:b w:val="0"/>
          <w:sz w:val="24"/>
        </w:rPr>
        <w:t xml:space="preserve">2030年</w:t>
      </w:r>
      <w:r>
        <w:rPr>
          <w:rFonts w:ascii="Times New Roman" w:hAnsi="Times New Roman" w:eastAsia="方正仿宋_GBK"/>
          <w:b w:val="0"/>
          <w:sz w:val="24"/>
        </w:rPr>
        <w:t xml:space="preserve">弹性</w:t>
      </w:r>
      <w:r>
        <w:rPr>
          <w:rFonts w:ascii="Times New Roman" w:hAnsi="Times New Roman" w:eastAsia="方正仿宋_GBK"/>
          <w:b w:val="0"/>
          <w:sz w:val="24"/>
        </w:rPr>
        <w:t xml:space="preserve">累计费用仍高于</w:t>
      </w:r>
      <w:r>
        <w:rPr>
          <w:rFonts w:ascii="Times New Roman" w:hAnsi="Times New Roman" w:eastAsia="方正仿宋_GBK"/>
          <w:b w:val="0"/>
          <w:sz w:val="24"/>
        </w:rPr>
        <w:t xml:space="preserve">刚性</w:t>
      </w:r>
      <w:r>
        <w:rPr>
          <w:rFonts w:ascii="Times New Roman" w:hAnsi="Times New Roman" w:eastAsia="方正仿宋_GBK"/>
          <w:b w:val="0"/>
          <w:sz w:val="24"/>
        </w:rPr>
        <w:t xml:space="preserve">，</w:t>
      </w:r>
      <w:r>
        <w:rPr>
          <w:rFonts w:ascii="Times New Roman" w:hAnsi="Times New Roman" w:eastAsia="方正仿宋_GBK"/>
          <w:b w:val="0"/>
          <w:sz w:val="24"/>
        </w:rPr>
        <w:t xml:space="preserve">后续年份各措施现金流共同形成全期</w:t>
      </w:r>
      <w:r>
        <w:rPr>
          <w:rFonts w:ascii="Times New Roman" w:hAnsi="Times New Roman" w:eastAsia="方正仿宋_GBK"/>
          <w:b w:val="0"/>
          <w:sz w:val="24"/>
        </w:rPr>
        <w:t xml:space="preserve">费用</w:t>
      </w:r>
      <w:r>
        <w:rPr>
          <w:rFonts w:ascii="Times New Roman" w:hAnsi="Times New Roman" w:eastAsia="方正仿宋_GBK"/>
          <w:b w:val="0"/>
          <w:sz w:val="24"/>
        </w:rPr>
        <w:t xml:space="preserve">差</w:t>
      </w:r>
      <w:r>
        <w:rPr>
          <w:rFonts w:ascii="Times New Roman" w:hAnsi="Times New Roman" w:eastAsia="方正仿宋_GBK"/>
          <w:b w:val="0"/>
          <w:sz w:val="24"/>
        </w:rPr>
        <w:t xml:space="preserve">。两地区刚性</w:t>
      </w:r>
      <w:r>
        <w:rPr>
          <w:rFonts w:ascii="Times New Roman" w:hAnsi="Times New Roman" w:eastAsia="方正仿宋_GBK"/>
          <w:b w:val="0"/>
          <w:sz w:val="24"/>
        </w:rPr>
        <w:t xml:space="preserve">费用</w:t>
      </w:r>
      <w:r>
        <w:rPr>
          <w:rFonts w:ascii="Times New Roman" w:hAnsi="Times New Roman" w:eastAsia="方正仿宋_GBK"/>
          <w:b w:val="0"/>
          <w:sz w:val="24"/>
        </w:rPr>
        <w:t xml:space="preserve">现值</w:t>
      </w:r>
      <w:r>
        <w:rPr>
          <w:rFonts w:ascii="Times New Roman" w:hAnsi="Times New Roman" w:eastAsia="方正仿宋_GBK"/>
          <w:b w:val="0"/>
          <w:sz w:val="24"/>
        </w:rPr>
        <w:t xml:space="preserve">合计</w:t>
      </w:r>
      <w:r>
        <w:rPr>
          <w:rFonts w:ascii="Times New Roman" w:hAnsi="Times New Roman" w:eastAsia="方正仿宋_GBK"/>
          <w:b w:val="0"/>
          <w:sz w:val="24"/>
        </w:rPr>
        <w:t xml:space="preserve">9</w:t>
      </w:r>
      <w:r>
        <w:rPr>
          <w:rFonts w:ascii="Times New Roman" w:hAnsi="Times New Roman" w:eastAsia="方正仿宋_GBK"/>
          <w:b w:val="0"/>
          <w:sz w:val="24"/>
        </w:rPr>
        <w:t xml:space="preserve">8</w:t>
      </w:r>
      <w:r>
        <w:rPr>
          <w:rFonts w:ascii="Times New Roman" w:hAnsi="Times New Roman" w:eastAsia="方正仿宋_GBK"/>
          <w:b w:val="0"/>
          <w:sz w:val="24"/>
        </w:rPr>
        <w:t xml:space="preserve">006</w:t>
      </w:r>
      <w:r>
        <w:rPr>
          <w:rFonts w:ascii="Times New Roman" w:hAnsi="Times New Roman" w:eastAsia="方正仿宋_GBK"/>
          <w:b w:val="0"/>
          <w:sz w:val="24"/>
        </w:rPr>
        <w:t xml:space="preserve">.</w:t>
      </w:r>
      <w:r>
        <w:rPr>
          <w:rFonts w:ascii="Times New Roman" w:hAnsi="Times New Roman" w:eastAsia="方正仿宋_GBK"/>
          <w:b w:val="0"/>
          <w:sz w:val="24"/>
        </w:rPr>
        <w:t xml:space="preserve">5</w:t>
      </w:r>
      <w:r>
        <w:rPr>
          <w:rFonts w:ascii="Times New Roman" w:hAnsi="Times New Roman" w:eastAsia="方正仿宋_GBK"/>
          <w:b w:val="0"/>
          <w:sz w:val="24"/>
        </w:rPr>
        <w:t xml:space="preserve">3万元，弹性</w:t>
      </w:r>
      <w:r>
        <w:rPr>
          <w:rFonts w:ascii="Times New Roman" w:hAnsi="Times New Roman" w:eastAsia="方正仿宋_GBK"/>
          <w:b w:val="0"/>
          <w:sz w:val="24"/>
        </w:rPr>
        <w:t xml:space="preserve">95</w:t>
      </w:r>
      <w:r>
        <w:rPr>
          <w:rFonts w:ascii="Times New Roman" w:hAnsi="Times New Roman" w:eastAsia="方正仿宋_GBK"/>
          <w:b w:val="0"/>
          <w:sz w:val="24"/>
        </w:rPr>
        <w:t xml:space="preserve">1</w:t>
      </w:r>
      <w:r>
        <w:rPr>
          <w:rFonts w:ascii="Times New Roman" w:hAnsi="Times New Roman" w:eastAsia="方正仿宋_GBK"/>
          <w:b w:val="0"/>
          <w:sz w:val="24"/>
        </w:rPr>
        <w:t xml:space="preserve">07.8</w:t>
      </w:r>
      <w:r>
        <w:rPr>
          <w:rFonts w:ascii="Times New Roman" w:hAnsi="Times New Roman" w:eastAsia="方正仿宋_GBK"/>
          <w:b w:val="0"/>
          <w:sz w:val="24"/>
        </w:rPr>
        <w:t xml:space="preserve">6</w:t>
      </w:r>
      <w:r>
        <w:rPr>
          <w:rFonts w:ascii="Times New Roman" w:hAnsi="Times New Roman" w:eastAsia="方正仿宋_GBK"/>
          <w:b w:val="0"/>
          <w:sz w:val="24"/>
        </w:rPr>
        <w:t xml:space="preserve">万元，减少</w:t>
      </w:r>
      <w:r>
        <w:rPr>
          <w:rFonts w:ascii="Times New Roman" w:hAnsi="Times New Roman" w:eastAsia="方正仿宋_GBK"/>
          <w:b w:val="0"/>
          <w:sz w:val="24"/>
        </w:rPr>
        <w:t xml:space="preserve">28</w:t>
      </w:r>
      <w:r>
        <w:rPr>
          <w:rFonts w:ascii="Times New Roman" w:hAnsi="Times New Roman" w:eastAsia="方正仿宋_GBK"/>
          <w:b w:val="0"/>
          <w:sz w:val="24"/>
        </w:rPr>
        <w:t xml:space="preserve">9</w:t>
      </w:r>
      <w:r>
        <w:rPr>
          <w:rFonts w:ascii="Times New Roman" w:hAnsi="Times New Roman" w:eastAsia="方正仿宋_GBK"/>
          <w:b w:val="0"/>
          <w:sz w:val="24"/>
        </w:rPr>
        <w:t xml:space="preserve">8</w:t>
      </w:r>
      <w:r>
        <w:rPr>
          <w:rFonts w:ascii="Times New Roman" w:hAnsi="Times New Roman" w:eastAsia="方正仿宋_GBK"/>
          <w:b w:val="0"/>
          <w:sz w:val="24"/>
        </w:rPr>
        <w:t xml:space="preserve">.</w:t>
      </w:r>
      <w:r>
        <w:rPr>
          <w:rFonts w:ascii="Times New Roman" w:hAnsi="Times New Roman" w:eastAsia="方正仿宋_GBK"/>
          <w:b w:val="0"/>
          <w:sz w:val="24"/>
        </w:rPr>
        <w:t xml:space="preserve">67</w:t>
      </w:r>
      <w:r>
        <w:rPr>
          <w:rFonts w:ascii="Times New Roman" w:hAnsi="Times New Roman" w:eastAsia="方正仿宋_GBK"/>
          <w:b w:val="0"/>
          <w:sz w:val="24"/>
        </w:rPr>
        <w:t xml:space="preserve">万元，</w:t>
      </w:r>
      <w:r>
        <w:rPr>
          <w:rFonts w:ascii="Times New Roman" w:hAnsi="Times New Roman" w:eastAsia="方正仿宋_GBK"/>
          <w:b w:val="0"/>
          <w:sz w:val="24"/>
        </w:rPr>
        <w:t xml:space="preserve">降幅</w:t>
      </w:r>
      <w:r>
        <w:rPr>
          <w:rFonts w:ascii="Times New Roman" w:hAnsi="Times New Roman" w:eastAsia="方正仿宋_GBK"/>
          <w:b w:val="0"/>
          <w:sz w:val="24"/>
        </w:rPr>
        <w:t xml:space="preserve">2</w:t>
      </w:r>
      <w:r>
        <w:rPr>
          <w:rFonts w:ascii="Times New Roman" w:hAnsi="Times New Roman" w:eastAsia="方正仿宋_GBK"/>
          <w:b w:val="0"/>
          <w:sz w:val="24"/>
        </w:rPr>
        <w:t xml:space="preserve">.96</w:t>
      </w:r>
      <w:r>
        <w:rPr>
          <w:rFonts w:ascii="Times New Roman" w:hAnsi="Times New Roman" w:eastAsia="方正仿宋_GBK"/>
          <w:b w:val="0"/>
          <w:sz w:val="24"/>
        </w:rPr>
        <w:t xml:space="preserve">%。</w:t>
      </w:r>
    </w:p>
    <w:p w14:paraId="14163ADD">
      <w:pPr>
        <w:pStyle w:val="5"/>
        <w:keepNext/>
        <w:numPr>
          <w:ilvl w:val="0"/>
          <w:numId w:val="0"/>
        </w:numPr>
        <w:spacing w:before="160" w:after="120" w:line="390" w:lineRule="exact"/>
        <w:ind w:firstLine="0"/>
      </w:pPr>
      <w:bookmarkStart w:id="278" w:name="kv联络改善站间负荷配置其作用取决于两端容量与可转能力"/>
      <w:r>
        <w:rPr>
          <w:rFonts w:ascii="Times New Roman" w:hAnsi="Times New Roman" w:eastAsia="方正仿宋_GBK"/>
          <w:b/>
          <w:sz w:val="26"/>
        </w:rPr>
        <w:t>6.1.3 10 kV联络改善站间负荷配置，其作用取决于两端容量与可转能力</w:t>
      </w:r>
      <w:bookmarkEnd w:id="278"/>
    </w:p>
    <w:p w14:paraId="2F0389AE">
      <w:pPr>
        <w:pStyle w:val="115"/>
        <w:widowControl/>
        <w:spacing w:before="0" w:after="0" w:line="348" w:lineRule="exact"/>
        <w:ind w:firstLine="480"/>
        <w:jc w:val="both"/>
      </w:pPr>
      <w:r>
        <w:rPr>
          <w:rFonts w:ascii="Times New Roman" w:hAnsi="Times New Roman" w:eastAsia="方正仿宋_GBK"/>
          <w:b w:val="0"/>
          <w:sz w:val="24"/>
        </w:rPr>
        <w:t xml:space="preserve">10 kV联络通过区县内部</w:t>
      </w:r>
      <w:r>
        <w:rPr>
          <w:rFonts w:ascii="Times New Roman" w:hAnsi="Times New Roman" w:eastAsia="方正仿宋_GBK"/>
          <w:b w:val="0"/>
          <w:sz w:val="24"/>
        </w:rPr>
        <w:t xml:space="preserve">源</w:t>
      </w:r>
      <w:r>
        <w:rPr>
          <w:rFonts w:ascii="Times New Roman" w:hAnsi="Times New Roman" w:eastAsia="方正仿宋_GBK"/>
          <w:b w:val="0"/>
          <w:sz w:val="24"/>
        </w:rPr>
        <w:t xml:space="preserve">荷</w:t>
      </w:r>
      <w:r>
        <w:rPr>
          <w:rFonts w:ascii="Times New Roman" w:hAnsi="Times New Roman" w:eastAsia="方正仿宋_GBK"/>
          <w:b w:val="0"/>
          <w:sz w:val="24"/>
        </w:rPr>
        <w:t xml:space="preserve">区段切换</w:t>
      </w:r>
      <w:r>
        <w:rPr>
          <w:rFonts w:ascii="Times New Roman" w:hAnsi="Times New Roman" w:eastAsia="方正仿宋_GBK"/>
          <w:b w:val="0"/>
          <w:sz w:val="24"/>
        </w:rPr>
        <w:t xml:space="preserve">改善容量与</w:t>
      </w:r>
      <w:r>
        <w:rPr>
          <w:rFonts w:ascii="Times New Roman" w:hAnsi="Times New Roman" w:eastAsia="方正仿宋_GBK"/>
          <w:b w:val="0"/>
          <w:sz w:val="24"/>
        </w:rPr>
        <w:t xml:space="preserve">需求</w:t>
      </w:r>
      <w:r>
        <w:rPr>
          <w:rFonts w:ascii="Times New Roman" w:hAnsi="Times New Roman" w:eastAsia="方正仿宋_GBK"/>
          <w:b w:val="0"/>
          <w:sz w:val="24"/>
        </w:rPr>
        <w:t xml:space="preserve">的空间匹配。</w:t>
      </w:r>
      <w:r>
        <w:rPr>
          <w:rFonts w:ascii="Times New Roman" w:hAnsi="Times New Roman" w:eastAsia="方正仿宋_GBK"/>
          <w:b w:val="0"/>
          <w:sz w:val="24"/>
        </w:rPr>
        <w:t xml:space="preserve">源荷区段内</w:t>
      </w:r>
      <w:r>
        <w:rPr>
          <w:rFonts w:ascii="Times New Roman" w:hAnsi="Times New Roman" w:eastAsia="方正仿宋_GBK"/>
          <w:b w:val="0"/>
          <w:sz w:val="24"/>
        </w:rPr>
        <w:t xml:space="preserve">负荷</w:t>
      </w:r>
      <w:r>
        <w:rPr>
          <w:rFonts w:ascii="Times New Roman" w:hAnsi="Times New Roman" w:eastAsia="方正仿宋_GBK"/>
          <w:b w:val="0"/>
          <w:sz w:val="24"/>
        </w:rPr>
        <w:t xml:space="preserve">与光伏共同切换</w:t>
      </w:r>
      <w:r>
        <w:rPr>
          <w:rFonts w:ascii="Times New Roman" w:hAnsi="Times New Roman" w:eastAsia="方正仿宋_GBK"/>
          <w:b w:val="0"/>
          <w:sz w:val="24"/>
        </w:rPr>
        <w:t xml:space="preserve">，两端</w:t>
      </w:r>
      <w:r>
        <w:rPr>
          <w:rFonts w:ascii="Times New Roman" w:hAnsi="Times New Roman" w:eastAsia="方正仿宋_GBK"/>
          <w:b w:val="0"/>
          <w:sz w:val="24"/>
        </w:rPr>
        <w:t xml:space="preserve">按调整后的</w:t>
      </w:r>
      <w:r>
        <w:rPr>
          <w:rFonts w:ascii="Times New Roman" w:hAnsi="Times New Roman" w:eastAsia="方正仿宋_GBK"/>
          <w:b w:val="0"/>
          <w:sz w:val="24"/>
        </w:rPr>
        <w:t xml:space="preserve">带符号净</w:t>
      </w:r>
      <w:r>
        <w:rPr>
          <w:rFonts w:ascii="Times New Roman" w:hAnsi="Times New Roman" w:eastAsia="方正仿宋_GBK"/>
          <w:b w:val="0"/>
          <w:sz w:val="24"/>
        </w:rPr>
        <w:t xml:space="preserve">负荷校核</w:t>
      </w:r>
      <w:r>
        <w:rPr>
          <w:rFonts w:ascii="Times New Roman" w:hAnsi="Times New Roman" w:eastAsia="方正仿宋_GBK"/>
          <w:b w:val="0"/>
          <w:sz w:val="24"/>
        </w:rPr>
        <w:t xml:space="preserve">，区域内部转出与承接</w:t>
      </w:r>
      <w:r>
        <w:rPr>
          <w:rFonts w:ascii="Times New Roman" w:hAnsi="Times New Roman" w:eastAsia="方正仿宋_GBK"/>
          <w:b w:val="0"/>
          <w:sz w:val="24"/>
        </w:rPr>
        <w:t xml:space="preserve">保持</w:t>
      </w:r>
      <w:r>
        <w:rPr>
          <w:rFonts w:ascii="Times New Roman" w:hAnsi="Times New Roman" w:eastAsia="方正仿宋_GBK"/>
          <w:b w:val="0"/>
          <w:sz w:val="24"/>
        </w:rPr>
        <w:t xml:space="preserve">同小时平衡。既有逐站转供MW上限固定</w:t>
      </w:r>
      <w:r>
        <w:rPr>
          <w:rFonts w:ascii="Times New Roman" w:hAnsi="Times New Roman" w:eastAsia="方正仿宋_GBK"/>
          <w:b w:val="0"/>
          <w:sz w:val="24"/>
        </w:rPr>
        <w:t xml:space="preserve">，</w:t>
      </w:r>
      <w:r>
        <w:rPr>
          <w:rFonts w:ascii="Times New Roman" w:hAnsi="Times New Roman" w:eastAsia="方正仿宋_GBK"/>
          <w:b w:val="0"/>
          <w:sz w:val="24"/>
        </w:rPr>
        <w:t xml:space="preserve">正常与事故追加共</w:t>
      </w:r>
      <w:r>
        <w:rPr>
          <w:rFonts w:ascii="Times New Roman" w:hAnsi="Times New Roman" w:eastAsia="方正仿宋_GBK"/>
          <w:b w:val="0"/>
          <w:sz w:val="24"/>
        </w:rPr>
        <w:t xml:space="preserve">同</w:t>
      </w:r>
      <w:r>
        <w:rPr>
          <w:rFonts w:ascii="Times New Roman" w:hAnsi="Times New Roman" w:eastAsia="方正仿宋_GBK"/>
          <w:b w:val="0"/>
          <w:sz w:val="24"/>
        </w:rPr>
        <w:t xml:space="preserve">占用路径和共享馈线预算</w:t>
      </w:r>
      <w:r>
        <w:rPr>
          <w:rFonts w:ascii="Times New Roman" w:hAnsi="Times New Roman" w:eastAsia="方正仿宋_GBK"/>
          <w:b w:val="0"/>
          <w:sz w:val="24"/>
        </w:rPr>
        <w:t xml:space="preserve">。</w:t>
      </w:r>
    </w:p>
    <w:p w14:paraId="54D23C36">
      <w:pPr>
        <w:pStyle w:val="2"/>
        <w:widowControl/>
        <w:spacing w:before="0" w:after="0" w:line="348" w:lineRule="exact"/>
        <w:ind w:firstLine="480"/>
        <w:jc w:val="both"/>
      </w:pPr>
      <w:r>
        <w:rPr>
          <w:rFonts w:ascii="Times New Roman" w:hAnsi="Times New Roman" w:eastAsia="方正仿宋_GBK"/>
          <w:b w:val="0"/>
          <w:sz w:val="24"/>
        </w:rPr>
        <w:t>当前模型将转接功率绑定具体馈线和站间候选，既有边不重复计建设费用，新增边按投运年计费。共用馈线的联络共用可转负荷和接收余量，邻站主变同时通过容量校核。</w:t>
      </w:r>
    </w:p>
    <w:p w14:paraId="72220165">
      <w:pPr>
        <w:pStyle w:val="5"/>
        <w:keepNext/>
        <w:numPr>
          <w:ilvl w:val="0"/>
          <w:numId w:val="0"/>
        </w:numPr>
        <w:spacing w:before="160" w:after="120" w:line="390" w:lineRule="exact"/>
        <w:ind w:firstLine="0"/>
      </w:pPr>
      <w:bookmarkStart w:id="279" w:name="两层相关分析确定五项推广参数"/>
      <w:r>
        <w:rPr>
          <w:rFonts w:ascii="Times New Roman" w:hAnsi="Times New Roman" w:eastAsia="方正仿宋_GBK"/>
          <w:b/>
          <w:sz w:val="26"/>
        </w:rPr>
        <w:t>6.1.4 两层相关分析确定五项推广参数</w:t>
      </w:r>
      <w:bookmarkEnd w:id="279"/>
    </w:p>
    <w:p w14:paraId="2E5CB125">
      <w:pPr>
        <w:pStyle w:val="115"/>
        <w:widowControl/>
        <w:spacing w:before="0" w:after="0" w:line="348" w:lineRule="exact"/>
        <w:ind w:firstLine="480"/>
        <w:jc w:val="both"/>
      </w:pPr>
      <w:r>
        <w:rPr>
          <w:rFonts w:ascii="Times New Roman" w:hAnsi="Times New Roman" w:eastAsia="方正仿宋_GBK"/>
          <w:b w:val="0"/>
          <w:sz w:val="24"/>
        </w:rPr>
        <w:t>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14:paraId="32F67F34">
      <w:pPr>
        <w:pStyle w:val="2"/>
        <w:widowControl/>
        <w:spacing w:before="0" w:after="0" w:line="348" w:lineRule="exact"/>
        <w:ind w:firstLine="480"/>
        <w:jc w:val="both"/>
      </w:pPr>
      <w:r>
        <w:rPr>
          <w:rFonts w:ascii="Times New Roman" w:hAnsi="Times New Roman" w:eastAsia="方正仿宋_GBK"/>
          <w:b w:val="0"/>
          <w:sz w:val="24"/>
        </w:rPr>
        <w:t>五项与容载比的组内相关依次为0.88、－0.80、0.45、－0.74、0.52，分别对应反向承载、负荷发展、联络造价、网络支援和局部峰值任务。区间矩阵按电缆长度占比≤10%、(10%,30%]、&gt;30%分区，每档分别列示负荷分散系数1.00、1.10、1.15，年最大净负荷平均增长率四档、装机渗透率三档与初始转供率四档组成九张表432个单元，反映相应条件下的有限容量范围。另以两组设备重新选配的典型源荷条件分析18个细节点及8个转供区间，两组四档区间上下界均随初始转供率提高而下降，细节点保留平台和局部回升。查表后按实际站级缺口及可实施措施确定设备方案。</w:t>
      </w:r>
    </w:p>
    <w:p w14:paraId="7EB06195">
      <w:pPr>
        <w:pStyle w:val="4"/>
        <w:keepNext/>
        <w:numPr>
          <w:ilvl w:val="0"/>
          <w:numId w:val="0"/>
        </w:numPr>
        <w:spacing w:before="160" w:after="120" w:line="480" w:lineRule="exact"/>
        <w:ind w:firstLine="0"/>
      </w:pPr>
      <w:bookmarkStart w:id="334" w:name="Report1017_h1149"/>
      <w:bookmarkEnd w:id="334"/>
      <w:bookmarkStart w:id="280" w:name="规划应用建议"/>
      <w:bookmarkStart w:id="281" w:name="h1193"/>
      <w:r>
        <w:rPr>
          <w:rFonts w:ascii="Times New Roman" w:hAnsi="Times New Roman" w:eastAsia="方正仿宋_GBK"/>
          <w:b/>
          <w:sz w:val="32"/>
        </w:rPr>
        <w:t>6.2 规划应用建议</w:t>
      </w:r>
      <w:bookmarkEnd w:id="280"/>
      <w:bookmarkEnd w:id="281"/>
    </w:p>
    <w:p w14:paraId="76F28B35">
      <w:pPr>
        <w:pStyle w:val="5"/>
        <w:keepNext/>
        <w:numPr>
          <w:ilvl w:val="0"/>
          <w:numId w:val="0"/>
        </w:numPr>
        <w:spacing w:before="160" w:after="120" w:line="390" w:lineRule="exact"/>
        <w:ind w:firstLine="0"/>
      </w:pPr>
      <w:bookmarkStart w:id="282" w:name="按输入区间查表再落实设备方案"/>
      <w:r>
        <w:rPr>
          <w:rFonts w:ascii="Times New Roman" w:hAnsi="Times New Roman" w:eastAsia="方正仿宋_GBK"/>
          <w:b/>
          <w:sz w:val="26"/>
        </w:rPr>
        <w:t>6.2.1 按输入区间查表，再落实设备方案</w:t>
      </w:r>
      <w:bookmarkEnd w:id="282"/>
    </w:p>
    <w:p w14:paraId="554E5D0E">
      <w:pPr>
        <w:pStyle w:val="115"/>
        <w:widowControl/>
        <w:spacing w:before="0" w:after="0" w:line="348" w:lineRule="exact"/>
        <w:ind w:firstLine="480"/>
        <w:jc w:val="both"/>
      </w:pPr>
      <w:r>
        <w:rPr>
          <w:rFonts w:ascii="Times New Roman" w:hAnsi="Times New Roman" w:eastAsia="方正仿宋_GBK"/>
          <w:b w:val="0"/>
          <w:sz w:val="24"/>
        </w:rPr>
        <w:t>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14:paraId="1C84329D">
      <w:pPr>
        <w:pStyle w:val="2"/>
        <w:widowControl/>
        <w:spacing w:before="0" w:after="0" w:line="348" w:lineRule="exact"/>
        <w:ind w:firstLine="480"/>
        <w:jc w:val="both"/>
      </w:pPr>
      <w:r>
        <w:rPr>
          <w:rFonts w:ascii="Times New Roman" w:hAnsi="Times New Roman" w:eastAsia="方正仿宋_GBK"/>
          <w:b w:val="0"/>
          <w:sz w:val="24"/>
        </w:rPr>
        <w:t>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14:paraId="179D53F1">
      <w:pPr>
        <w:pStyle w:val="5"/>
        <w:keepNext/>
        <w:numPr>
          <w:ilvl w:val="0"/>
          <w:numId w:val="0"/>
        </w:numPr>
        <w:spacing w:before="160" w:after="120" w:line="390" w:lineRule="exact"/>
        <w:ind w:firstLine="0"/>
      </w:pPr>
      <w:bookmarkStart w:id="283" w:name="核实分区转供能力与储能支撑条件"/>
      <w:r>
        <w:rPr>
          <w:rFonts w:ascii="Times New Roman" w:hAnsi="Times New Roman" w:eastAsia="方正仿宋_GBK"/>
          <w:b/>
          <w:sz w:val="26"/>
        </w:rPr>
        <w:t>6.2.2 核实分区转供能力与储能支撑条件</w:t>
      </w:r>
      <w:bookmarkEnd w:id="283"/>
    </w:p>
    <w:p w14:paraId="3B1CE796">
      <w:pPr>
        <w:pStyle w:val="115"/>
        <w:widowControl/>
        <w:spacing w:before="0" w:after="0" w:line="348" w:lineRule="exact"/>
        <w:ind w:firstLine="480"/>
        <w:jc w:val="both"/>
      </w:pPr>
      <w:r>
        <w:rPr>
          <w:rFonts w:ascii="Times New Roman" w:hAnsi="Times New Roman" w:eastAsia="方正仿宋_GBK"/>
          <w:b w:val="0"/>
          <w:sz w:val="24"/>
        </w:rPr>
        <w:t>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14:paraId="75D8355B">
      <w:pPr>
        <w:pStyle w:val="2"/>
        <w:widowControl/>
        <w:spacing w:before="0" w:after="0" w:line="348" w:lineRule="exact"/>
        <w:ind w:firstLine="480"/>
        <w:jc w:val="both"/>
      </w:pPr>
      <w:r>
        <w:rPr>
          <w:rFonts w:ascii="Times New Roman" w:hAnsi="Times New Roman" w:eastAsia="方正仿宋_GBK"/>
          <w:b w:val="0"/>
          <w:sz w:val="24"/>
        </w:rPr>
        <w:t>地区案例储能正向支撑持续时间采用邳州2 h、市区6 h。工程应用结合容量缺口的连续过程与故障恢复时间确定支撑要求，并核定可放电电量和可充电空间。</w:t>
      </w:r>
    </w:p>
    <w:p w14:paraId="0DE62908">
      <w:pPr>
        <w:pStyle w:val="2"/>
        <w:widowControl/>
        <w:spacing w:before="0" w:after="0" w:line="348" w:lineRule="exact"/>
        <w:ind w:firstLine="480"/>
        <w:jc w:val="both"/>
      </w:pPr>
      <w:r>
        <w:rPr>
          <w:rFonts w:ascii="Times New Roman" w:hAnsi="Times New Roman" w:eastAsia="方正仿宋_GBK"/>
          <w:b w:val="0"/>
          <w:sz w:val="24"/>
        </w:rPr>
        <w:t>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14:paraId="518BF141">
      <w:pPr>
        <w:pStyle w:val="5"/>
        <w:keepNext/>
        <w:numPr>
          <w:ilvl w:val="0"/>
          <w:numId w:val="0"/>
        </w:numPr>
        <w:spacing w:before="160" w:after="120" w:line="390" w:lineRule="exact"/>
        <w:ind w:firstLine="0"/>
      </w:pPr>
      <w:bookmarkStart w:id="284" w:name="随数据和工程条件更新结果"/>
      <w:r>
        <w:rPr>
          <w:rFonts w:ascii="Times New Roman" w:hAnsi="Times New Roman" w:eastAsia="方正仿宋_GBK"/>
          <w:b/>
          <w:sz w:val="26"/>
        </w:rPr>
        <w:t>6.2.3 随数据和工程条件更新结果</w:t>
      </w:r>
      <w:bookmarkEnd w:id="284"/>
    </w:p>
    <w:p w14:paraId="7C799C71">
      <w:pPr>
        <w:pStyle w:val="115"/>
        <w:widowControl/>
        <w:spacing w:before="0" w:after="0" w:line="348" w:lineRule="exact"/>
        <w:ind w:firstLine="480"/>
        <w:jc w:val="both"/>
      </w:pPr>
      <w:r>
        <w:rPr>
          <w:rFonts w:ascii="Times New Roman" w:hAnsi="Times New Roman" w:eastAsia="方正仿宋_GBK"/>
          <w:b w:val="0"/>
          <w:sz w:val="24"/>
        </w:rPr>
        <w:t>保留输入参数的区间形式，新增年度资料用于更新区间内的计算节点和设备配置。线路造价、储能价格、负荷分布或可用间隔改变后，按统一费用范围重新比较，同步更新设备方案与推荐区间。</w:t>
      </w:r>
    </w:p>
    <w:p w14:paraId="52DD1B18">
      <w:pPr>
        <w:pStyle w:val="2"/>
        <w:widowControl/>
        <w:spacing w:before="0" w:after="0" w:line="348" w:lineRule="exact"/>
        <w:ind w:firstLine="480"/>
        <w:jc w:val="both"/>
      </w:pPr>
      <w:r>
        <w:rPr>
          <w:rFonts w:ascii="Times New Roman" w:hAnsi="Times New Roman" w:eastAsia="方正仿宋_GBK"/>
          <w:b w:val="0"/>
          <w:sz w:val="24"/>
        </w:rPr>
        <w:t>负荷增长、光伏投产及设备变化会改变片区容量需求。年度规划结合新增用户、实际峰值和建设进度更新源荷参数，重新核对站间转供能力，并按统一工程范围更新主变、储能和线路费用。</w:t>
      </w:r>
    </w:p>
    <w:p w14:paraId="486AAAE1">
      <w:pPr>
        <w:pStyle w:val="2"/>
        <w:widowControl/>
        <w:spacing w:before="0" w:after="0" w:line="348" w:lineRule="exact"/>
        <w:ind w:firstLine="480"/>
        <w:jc w:val="both"/>
      </w:pPr>
      <w:r>
        <w:rPr>
          <w:rFonts w:ascii="Times New Roman" w:hAnsi="Times New Roman" w:eastAsia="方正仿宋_GBK"/>
          <w:b w:val="0"/>
          <w:sz w:val="24"/>
        </w:rPr>
        <w:t>滚动修订时同步调整推荐区间和逐站建设安排，使容量规模、采购投资与投运时点保持对应。实际馈线或设备条件发生较大变化的片区，按新的站级约束重新比选，逐步形成适用于本地区的“一片一策”容量规划方案。</w:t>
      </w:r>
    </w:p>
    <w:p w14:paraId="004EAA88">
      <w:pPr>
        <w:pStyle w:val="4"/>
        <w:keepNext/>
        <w:numPr>
          <w:ilvl w:val="0"/>
          <w:numId w:val="0"/>
        </w:numPr>
        <w:spacing w:before="160" w:after="120" w:line="480" w:lineRule="exact"/>
        <w:ind w:firstLine="0"/>
      </w:pPr>
      <w:bookmarkStart w:id="335" w:name="Report1017_h1161"/>
      <w:bookmarkEnd w:id="335"/>
      <w:bookmarkStart w:id="285" w:name="h1205"/>
      <w:bookmarkStart w:id="286" w:name="后续研究方向"/>
      <w:r>
        <w:rPr>
          <w:rFonts w:ascii="Times New Roman" w:hAnsi="Times New Roman" w:eastAsia="方正仿宋_GBK"/>
          <w:b/>
          <w:sz w:val="32"/>
        </w:rPr>
        <w:t>6.3 后续研究方向</w:t>
      </w:r>
      <w:bookmarkEnd w:id="285"/>
      <w:bookmarkEnd w:id="286"/>
    </w:p>
    <w:p w14:paraId="56B566B7">
      <w:pPr>
        <w:pStyle w:val="115"/>
        <w:widowControl/>
        <w:spacing w:before="0" w:after="0" w:line="348" w:lineRule="exact"/>
        <w:ind w:firstLine="480"/>
        <w:jc w:val="both"/>
      </w:pPr>
      <w:r>
        <w:rPr>
          <w:rFonts w:ascii="Times New Roman" w:hAnsi="Times New Roman" w:eastAsia="方正仿宋_GBK"/>
          <w:b w:val="0"/>
          <w:sz w:val="24"/>
        </w:rPr>
        <w:t xml:space="preserve">当前地区案例</w:t>
      </w:r>
      <w:r>
        <w:rPr>
          <w:rFonts w:ascii="Times New Roman" w:hAnsi="Times New Roman" w:eastAsia="方正仿宋_GBK"/>
          <w:b w:val="0"/>
          <w:sz w:val="24"/>
        </w:rPr>
        <w:t xml:space="preserve">以年度8760小时序列检验固定正常供</w:t>
      </w:r>
      <w:r>
        <w:rPr>
          <w:rFonts w:ascii="Times New Roman" w:hAnsi="Times New Roman" w:eastAsia="方正仿宋_GBK"/>
          <w:b w:val="0"/>
          <w:sz w:val="24"/>
        </w:rPr>
        <w:t xml:space="preserve">区</w:t>
      </w:r>
      <w:r>
        <w:rPr>
          <w:rFonts w:ascii="Times New Roman" w:hAnsi="Times New Roman" w:eastAsia="方正仿宋_GBK"/>
          <w:b w:val="0"/>
          <w:sz w:val="24"/>
        </w:rPr>
        <w:t xml:space="preserve">及</w:t>
      </w:r>
      <w:r>
        <w:rPr>
          <w:rFonts w:ascii="Times New Roman" w:hAnsi="Times New Roman" w:eastAsia="方正仿宋_GBK"/>
          <w:b w:val="0"/>
          <w:sz w:val="24"/>
        </w:rPr>
        <w:t xml:space="preserve">各站</w:t>
      </w:r>
      <w:r>
        <w:rPr>
          <w:rFonts w:ascii="Times New Roman" w:hAnsi="Times New Roman" w:eastAsia="方正仿宋_GBK"/>
          <w:b w:val="0"/>
          <w:sz w:val="24"/>
        </w:rPr>
        <w:t xml:space="preserve">最大单台N-1事故追加预案</w:t>
      </w:r>
      <w:r>
        <w:rPr>
          <w:rFonts w:ascii="Times New Roman" w:hAnsi="Times New Roman" w:eastAsia="方正仿宋_GBK"/>
          <w:b w:val="0"/>
          <w:sz w:val="24"/>
        </w:rPr>
        <w:t xml:space="preserve">，既有等效通道</w:t>
      </w:r>
      <w:r>
        <w:rPr>
          <w:rFonts w:ascii="Times New Roman" w:hAnsi="Times New Roman" w:eastAsia="方正仿宋_GBK"/>
          <w:b w:val="0"/>
          <w:sz w:val="24"/>
        </w:rPr>
        <w:t xml:space="preserve">、源荷区段</w:t>
      </w:r>
      <w:r>
        <w:rPr>
          <w:rFonts w:ascii="Times New Roman" w:hAnsi="Times New Roman" w:eastAsia="方正仿宋_GBK"/>
          <w:b w:val="0"/>
          <w:sz w:val="24"/>
        </w:rPr>
        <w:t xml:space="preserve">及部分设备条件采用研究假设</w:t>
      </w:r>
      <w:r>
        <w:rPr>
          <w:rFonts w:ascii="Times New Roman" w:hAnsi="Times New Roman" w:eastAsia="方正仿宋_GBK"/>
          <w:b w:val="0"/>
          <w:sz w:val="24"/>
        </w:rPr>
        <w:t xml:space="preserve">。历史年度为模板回算</w:t>
      </w:r>
      <w:r>
        <w:rPr>
          <w:rFonts w:ascii="Times New Roman" w:hAnsi="Times New Roman" w:eastAsia="方正仿宋_GBK"/>
          <w:b w:val="0"/>
          <w:sz w:val="24"/>
        </w:rPr>
        <w:t xml:space="preserve">，</w:t>
      </w:r>
      <w:r>
        <w:rPr>
          <w:rFonts w:ascii="Times New Roman" w:hAnsi="Times New Roman" w:eastAsia="方正仿宋_GBK"/>
          <w:b w:val="0"/>
          <w:sz w:val="24"/>
        </w:rPr>
        <w:t xml:space="preserve">未来采用区域预测同比缩放，站级空间分配继承基准模板。储能按可用电量和持</w:t>
      </w:r>
      <w:r>
        <w:rPr>
          <w:rFonts w:ascii="Times New Roman" w:hAnsi="Times New Roman" w:eastAsia="方正仿宋_GBK"/>
          <w:b w:val="0"/>
          <w:sz w:val="24"/>
        </w:rPr>
        <w:t xml:space="preserve">续</w:t>
      </w:r>
      <w:r>
        <w:rPr>
          <w:rFonts w:ascii="Times New Roman" w:hAnsi="Times New Roman" w:eastAsia="方正仿宋_GBK"/>
          <w:b w:val="0"/>
          <w:sz w:val="24"/>
        </w:rPr>
        <w:t xml:space="preserve">时</w:t>
      </w:r>
      <w:r>
        <w:rPr>
          <w:rFonts w:ascii="Times New Roman" w:hAnsi="Times New Roman" w:eastAsia="方正仿宋_GBK"/>
          <w:b w:val="0"/>
          <w:sz w:val="24"/>
        </w:rPr>
        <w:t xml:space="preserve">长折算有效功率，连续</w:t>
      </w:r>
      <w:r>
        <w:rPr>
          <w:rFonts w:ascii="Times New Roman" w:hAnsi="Times New Roman" w:eastAsia="方正仿宋_GBK"/>
          <w:b w:val="0"/>
          <w:sz w:val="24"/>
        </w:rPr>
        <w:t xml:space="preserve">荷电状态、电压</w:t>
      </w:r>
      <w:r>
        <w:rPr>
          <w:rFonts w:ascii="Times New Roman" w:hAnsi="Times New Roman" w:eastAsia="方正仿宋_GBK"/>
          <w:b w:val="0"/>
          <w:sz w:val="24"/>
        </w:rPr>
        <w:t xml:space="preserve">及</w:t>
      </w:r>
      <w:r>
        <w:rPr>
          <w:rFonts w:ascii="Times New Roman" w:hAnsi="Times New Roman" w:eastAsia="方正仿宋_GBK"/>
          <w:b w:val="0"/>
          <w:sz w:val="24"/>
        </w:rPr>
        <w:t xml:space="preserve">保护</w:t>
      </w:r>
      <w:r>
        <w:rPr>
          <w:rFonts w:ascii="Times New Roman" w:hAnsi="Times New Roman" w:eastAsia="方正仿宋_GBK"/>
          <w:b w:val="0"/>
          <w:sz w:val="24"/>
        </w:rPr>
        <w:t xml:space="preserve">需进一步检验</w:t>
      </w:r>
      <w:r>
        <w:rPr>
          <w:rFonts w:ascii="Times New Roman" w:hAnsi="Times New Roman" w:eastAsia="方正仿宋_GBK"/>
          <w:b w:val="0"/>
          <w:sz w:val="24"/>
        </w:rPr>
        <w:t xml:space="preserve">。费用包括共同评价期内</w:t>
      </w:r>
      <w:r>
        <w:rPr>
          <w:rFonts w:ascii="Times New Roman" w:hAnsi="Times New Roman" w:eastAsia="方正仿宋_GBK"/>
          <w:b w:val="0"/>
          <w:sz w:val="24"/>
        </w:rPr>
        <w:t xml:space="preserve">建设</w:t>
      </w:r>
      <w:r>
        <w:rPr>
          <w:rFonts w:ascii="Times New Roman" w:hAnsi="Times New Roman" w:eastAsia="方正仿宋_GBK"/>
          <w:b w:val="0"/>
          <w:sz w:val="24"/>
        </w:rPr>
        <w:t xml:space="preserve">和</w:t>
      </w:r>
      <w:r>
        <w:rPr>
          <w:rFonts w:ascii="Times New Roman" w:hAnsi="Times New Roman" w:eastAsia="方正仿宋_GBK"/>
          <w:b w:val="0"/>
          <w:sz w:val="24"/>
        </w:rPr>
        <w:t xml:space="preserve">固定运维</w:t>
      </w:r>
      <w:r>
        <w:rPr>
          <w:rFonts w:ascii="Times New Roman" w:hAnsi="Times New Roman" w:eastAsia="方正仿宋_GBK"/>
          <w:b w:val="0"/>
          <w:sz w:val="24"/>
        </w:rPr>
        <w:t xml:space="preserve">，</w:t>
      </w:r>
      <w:r>
        <w:rPr>
          <w:rFonts w:ascii="Times New Roman" w:hAnsi="Times New Roman" w:eastAsia="方正仿宋_GBK"/>
          <w:b w:val="0"/>
          <w:sz w:val="24"/>
        </w:rPr>
        <w:t xml:space="preserve">期末残值、储能充电</w:t>
      </w:r>
      <w:r>
        <w:rPr>
          <w:rFonts w:ascii="Times New Roman" w:hAnsi="Times New Roman" w:eastAsia="方正仿宋_GBK"/>
          <w:b w:val="0"/>
          <w:sz w:val="24"/>
        </w:rPr>
        <w:t xml:space="preserve">及</w:t>
      </w:r>
      <w:r>
        <w:rPr>
          <w:rFonts w:ascii="Times New Roman" w:hAnsi="Times New Roman" w:eastAsia="方正仿宋_GBK"/>
          <w:b w:val="0"/>
          <w:sz w:val="24"/>
        </w:rPr>
        <w:t xml:space="preserve">损耗等</w:t>
      </w:r>
      <w:r>
        <w:rPr>
          <w:rFonts w:ascii="Times New Roman" w:hAnsi="Times New Roman" w:eastAsia="方正仿宋_GBK"/>
          <w:b w:val="0"/>
          <w:sz w:val="24"/>
        </w:rPr>
        <w:t xml:space="preserve">需</w:t>
      </w:r>
      <w:r>
        <w:rPr>
          <w:rFonts w:ascii="Times New Roman" w:hAnsi="Times New Roman" w:eastAsia="方正仿宋_GBK"/>
          <w:b w:val="0"/>
          <w:sz w:val="24"/>
        </w:rPr>
        <w:t xml:space="preserve">结</w:t>
      </w:r>
      <w:r>
        <w:rPr>
          <w:rFonts w:ascii="Times New Roman" w:hAnsi="Times New Roman" w:eastAsia="方正仿宋_GBK"/>
          <w:b w:val="0"/>
          <w:sz w:val="24"/>
        </w:rPr>
        <w:t xml:space="preserve">合运行</w:t>
      </w:r>
      <w:r>
        <w:rPr>
          <w:rFonts w:ascii="Times New Roman" w:hAnsi="Times New Roman" w:eastAsia="方正仿宋_GBK"/>
          <w:b w:val="0"/>
          <w:sz w:val="24"/>
        </w:rPr>
        <w:t xml:space="preserve">资料</w:t>
      </w:r>
      <w:r>
        <w:rPr>
          <w:rFonts w:ascii="Times New Roman" w:hAnsi="Times New Roman" w:eastAsia="方正仿宋_GBK"/>
          <w:b w:val="0"/>
          <w:sz w:val="24"/>
        </w:rPr>
        <w:t xml:space="preserve">补充</w:t>
      </w:r>
      <w:r>
        <w:rPr>
          <w:rFonts w:ascii="Times New Roman" w:hAnsi="Times New Roman" w:eastAsia="方正仿宋_GBK"/>
          <w:b w:val="0"/>
          <w:sz w:val="24"/>
        </w:rPr>
        <w:t xml:space="preserve">。</w:t>
      </w:r>
    </w:p>
    <w:p w14:paraId="5E428263">
      <w:pPr>
        <w:pStyle w:val="5"/>
        <w:keepNext/>
        <w:numPr>
          <w:ilvl w:val="0"/>
          <w:numId w:val="0"/>
        </w:numPr>
        <w:spacing w:before="160" w:after="120" w:line="390" w:lineRule="exact"/>
        <w:ind w:firstLine="0"/>
      </w:pPr>
      <w:bookmarkStart w:id="287" w:name="深化储能运行与实际网络校核"/>
      <w:r>
        <w:rPr>
          <w:rFonts w:ascii="Times New Roman" w:hAnsi="Times New Roman" w:eastAsia="方正仿宋_GBK"/>
          <w:b/>
          <w:sz w:val="26"/>
        </w:rPr>
        <w:t>6.3.1 深化储能运行与实际网络校核</w:t>
      </w:r>
      <w:bookmarkEnd w:id="287"/>
    </w:p>
    <w:p w14:paraId="5A134991">
      <w:pPr>
        <w:pStyle w:val="115"/>
        <w:widowControl/>
        <w:spacing w:before="0" w:after="0" w:line="348" w:lineRule="exact"/>
        <w:ind w:firstLine="480"/>
        <w:jc w:val="both"/>
      </w:pPr>
      <w:r>
        <w:rPr>
          <w:rFonts w:ascii="Times New Roman" w:hAnsi="Times New Roman" w:eastAsia="方正仿宋_GBK"/>
          <w:b w:val="0"/>
          <w:sz w:val="24"/>
        </w:rPr>
        <w:t>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14:paraId="35FAF5C2">
      <w:pPr>
        <w:pStyle w:val="5"/>
        <w:keepNext/>
        <w:numPr>
          <w:ilvl w:val="0"/>
          <w:numId w:val="0"/>
        </w:numPr>
        <w:spacing w:before="160" w:after="120" w:line="390" w:lineRule="exact"/>
        <w:ind w:firstLine="0"/>
      </w:pPr>
      <w:bookmarkStart w:id="288" w:name="拓展片区结构和经济参数"/>
      <w:r>
        <w:rPr>
          <w:rFonts w:ascii="Times New Roman" w:hAnsi="Times New Roman" w:eastAsia="方正仿宋_GBK"/>
          <w:b/>
          <w:sz w:val="26"/>
        </w:rPr>
        <w:t>6.3.2 拓展片区结构和经济参数</w:t>
      </w:r>
      <w:bookmarkEnd w:id="288"/>
    </w:p>
    <w:p w14:paraId="08E55E30">
      <w:pPr>
        <w:pStyle w:val="115"/>
        <w:widowControl/>
        <w:spacing w:before="0" w:after="0" w:line="348" w:lineRule="exact"/>
        <w:ind w:firstLine="480"/>
        <w:jc w:val="both"/>
      </w:pPr>
      <w:r>
        <w:rPr>
          <w:rFonts w:ascii="Times New Roman" w:hAnsi="Times New Roman" w:eastAsia="方正仿宋_GBK"/>
          <w:b w:val="0"/>
          <w:sz w:val="24"/>
        </w:rPr>
        <w:t>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14:paraId="56E31D9B">
      <w:pPr>
        <w:pStyle w:val="3"/>
        <w:keepNext/>
        <w:pageBreakBefore/>
        <w:numPr>
          <w:ilvl w:val="0"/>
          <w:numId w:val="0"/>
        </w:numPr>
        <w:spacing w:before="0" w:after="120" w:line="540" w:lineRule="exact"/>
        <w:ind w:firstLine="0"/>
      </w:pPr>
      <w:bookmarkStart w:id="336" w:name="Report1017_h1167"/>
      <w:bookmarkEnd w:id="336"/>
      <w:bookmarkStart w:id="289" w:name="h1211"/>
      <w:bookmarkStart w:id="290" w:name="参考文献"/>
      <w:r>
        <w:rPr>
          <w:rFonts w:ascii="Times New Roman" w:hAnsi="Times New Roman" w:eastAsia="方正仿宋_GBK"/>
          <w:b/>
          <w:sz w:val="36"/>
        </w:rPr>
        <w:t>参考文献</w:t>
      </w:r>
      <w:bookmarkEnd w:id="289"/>
      <w:bookmarkEnd w:id="290"/>
    </w:p>
    <w:p w14:paraId="68368D37">
      <w:pPr>
        <w:pStyle w:val="115"/>
        <w:widowControl/>
        <w:spacing w:before="0" w:after="80" w:line="320" w:lineRule="exact"/>
        <w:ind w:firstLine="0"/>
        <w:jc w:val="left"/>
      </w:pPr>
      <w:r>
        <w:rPr>
          <w:rFonts w:ascii="Times New Roman" w:hAnsi="Times New Roman" w:eastAsia="方正仿宋_GBK"/>
          <w:b w:val="0"/>
          <w:sz w:val="21"/>
        </w:rPr>
        <w:t>[1] 国家能源局. 国家能源局举行新闻发布会 介绍2026年一季度可再生能源并网运行情况[EB/OL]. (2026-04-27)[2026-10-02]. https://www.nea.gov.cn/20260427/4b751e59b0d7463a95f74096fed83e14/c.html.</w:t>
      </w:r>
    </w:p>
    <w:p w14:paraId="45F16B80">
      <w:pPr>
        <w:pStyle w:val="2"/>
        <w:widowControl/>
        <w:spacing w:before="0" w:after="80" w:line="320" w:lineRule="exact"/>
        <w:ind w:firstLine="0"/>
        <w:jc w:val="left"/>
      </w:pPr>
      <w:r>
        <w:rPr>
          <w:rFonts w:ascii="Times New Roman" w:hAnsi="Times New Roman" w:eastAsia="方正仿宋_GBK"/>
          <w:b w:val="0"/>
          <w:sz w:val="21"/>
        </w:rPr>
        <w:t>[2] 国家能源局. 2026年一季度光伏发电建设情况[EB/OL]. (2026-05-19)[2026-10-02]. https://www.nea.gov.cn/20260519/6008bb88dc0649e5b5530fd6ad0b117a/c.html.</w:t>
      </w:r>
    </w:p>
    <w:p w14:paraId="6FD1AC1A">
      <w:pPr>
        <w:pStyle w:val="2"/>
        <w:widowControl/>
        <w:spacing w:before="0" w:after="80" w:line="320" w:lineRule="exact"/>
        <w:ind w:firstLine="0"/>
        <w:jc w:val="left"/>
      </w:pPr>
      <w:r>
        <w:rPr>
          <w:rFonts w:ascii="Times New Roman" w:hAnsi="Times New Roman" w:eastAsia="方正仿宋_GBK"/>
          <w:b w:val="0"/>
          <w:sz w:val="21"/>
        </w:rPr>
        <w:t>[3] HOU Q, ZHANG N, DU E, et al. Probabilistic duck curve in high PV penetration power system: concept, modeling, and empirical analysis in China[J]. Applied Energy, 2019, 242: 205-215.</w:t>
      </w:r>
    </w:p>
    <w:p w14:paraId="5C0828A9">
      <w:pPr>
        <w:pStyle w:val="2"/>
        <w:widowControl/>
        <w:spacing w:before="0" w:after="80" w:line="320" w:lineRule="exact"/>
        <w:ind w:firstLine="0"/>
        <w:jc w:val="left"/>
      </w:pPr>
      <w:r>
        <w:rPr>
          <w:rFonts w:ascii="Times New Roman" w:hAnsi="Times New Roman" w:eastAsia="方正仿宋_GBK"/>
          <w:b w:val="0"/>
          <w:sz w:val="21"/>
        </w:rPr>
        <w:t>[4] MAJEED I B, NWULU N I. Impact of reverse power flow on distributed transformers in a solar-photovoltaic-integrated low-voltage network[J]. Energies, 2022, 15(23): 9238.</w:t>
      </w:r>
    </w:p>
    <w:p w14:paraId="58B26B54">
      <w:pPr>
        <w:pStyle w:val="2"/>
        <w:widowControl/>
        <w:spacing w:before="0" w:after="80" w:line="320" w:lineRule="exact"/>
        <w:ind w:firstLine="0"/>
        <w:jc w:val="left"/>
      </w:pPr>
      <w:r>
        <w:rPr>
          <w:rFonts w:ascii="Times New Roman" w:hAnsi="Times New Roman" w:eastAsia="方正仿宋_GBK"/>
          <w:b w:val="0"/>
          <w:sz w:val="21"/>
        </w:rPr>
        <w:t>[5] DL/T 5729—2023 配电网规划设计技术导则[S]. 2023.</w:t>
      </w:r>
    </w:p>
    <w:p w14:paraId="586E2D68">
      <w:pPr>
        <w:pStyle w:val="2"/>
        <w:widowControl/>
        <w:spacing w:before="0" w:after="80" w:line="320" w:lineRule="exact"/>
        <w:ind w:firstLine="0"/>
        <w:jc w:val="left"/>
      </w:pPr>
      <w:r>
        <w:rPr>
          <w:rFonts w:ascii="Times New Roman" w:hAnsi="Times New Roman" w:eastAsia="方正仿宋_GBK"/>
          <w:b w:val="0"/>
          <w:sz w:val="21"/>
        </w:rPr>
        <w:t>[6] 国家发展改革委, 国家能源局. 关于新形势下配电网高质量发展的指导意见: 发改能源〔2024〕187号[Z]. 2024.</w:t>
      </w:r>
    </w:p>
    <w:p w14:paraId="77AD5AE1">
      <w:pPr>
        <w:pStyle w:val="2"/>
        <w:widowControl/>
        <w:spacing w:before="0" w:after="80" w:line="320" w:lineRule="exact"/>
        <w:ind w:firstLine="0"/>
        <w:jc w:val="left"/>
      </w:pPr>
      <w:r>
        <w:rPr>
          <w:rFonts w:ascii="Times New Roman" w:hAnsi="Times New Roman" w:eastAsia="方正仿宋_GBK"/>
          <w:b w:val="0"/>
          <w:sz w:val="21"/>
        </w:rPr>
        <w:t>[7] 肖峻, 刘柔嘉, 龙梦皓. 变电容载比与下一级中压配电网络关系的量化分析[J]. 电力建设, 2015, 36(11): 45-50.</w:t>
      </w:r>
    </w:p>
    <w:p w14:paraId="423B2D55">
      <w:pPr>
        <w:pStyle w:val="2"/>
        <w:widowControl/>
        <w:spacing w:before="0" w:after="80" w:line="320" w:lineRule="exact"/>
        <w:ind w:firstLine="0"/>
        <w:jc w:val="left"/>
      </w:pPr>
      <w:r>
        <w:rPr>
          <w:rFonts w:ascii="Times New Roman" w:hAnsi="Times New Roman" w:eastAsia="方正仿宋_GBK"/>
          <w:b w:val="0"/>
          <w:sz w:val="21"/>
        </w:rPr>
        <w:t>[8] 配电网规划设计技术导则（修订稿，2025年4月）[R]. 2025.</w:t>
      </w:r>
    </w:p>
    <w:p w14:paraId="22E0714B">
      <w:pPr>
        <w:pStyle w:val="2"/>
        <w:widowControl/>
        <w:spacing w:before="0" w:after="80" w:line="320" w:lineRule="exact"/>
        <w:ind w:firstLine="0"/>
        <w:jc w:val="left"/>
      </w:pPr>
      <w:r>
        <w:rPr>
          <w:rFonts w:ascii="Times New Roman" w:hAnsi="Times New Roman" w:eastAsia="方正仿宋_GBK"/>
          <w:b w:val="0"/>
          <w:sz w:val="21"/>
        </w:rPr>
        <w:t>[9] 王凯亮, 何卓怡, 叶健鹏, 等. 多电压等级电网协同规划的容载比优化配置方法[J]. 南方电网技术, 2025, 19(7): 131-139.</w:t>
      </w:r>
    </w:p>
    <w:p w14:paraId="5145B14B">
      <w:pPr>
        <w:pStyle w:val="2"/>
        <w:widowControl/>
        <w:spacing w:before="0" w:after="80" w:line="320" w:lineRule="exact"/>
        <w:ind w:firstLine="0"/>
        <w:jc w:val="left"/>
      </w:pPr>
      <w:r>
        <w:rPr>
          <w:rFonts w:ascii="Times New Roman" w:hAnsi="Times New Roman" w:eastAsia="方正仿宋_GBK"/>
          <w:b w:val="0"/>
          <w:sz w:val="21"/>
        </w:rPr>
        <w:t>[10] XU T, MENG H, ZHU J, et al. Considering the life-cycle cost of distributed energy-storage planning in distribution grids[J]. Applied Sciences, 2018, 8(12): 2615.</w:t>
      </w:r>
    </w:p>
    <w:p w14:paraId="13F6E3B0">
      <w:pPr>
        <w:pStyle w:val="2"/>
        <w:widowControl/>
        <w:spacing w:before="0" w:after="80" w:line="320" w:lineRule="exact"/>
        <w:ind w:firstLine="0"/>
        <w:jc w:val="left"/>
      </w:pPr>
      <w:r>
        <w:rPr>
          <w:rFonts w:ascii="Times New Roman" w:hAnsi="Times New Roman" w:eastAsia="方正仿宋_GBK"/>
          <w:b w:val="0"/>
          <w:sz w:val="21"/>
        </w:rPr>
        <w:t>[11] 陈浩, 张焰, 俞国勤, 等. 多电压等级配电网最优容载比的计算方法[J]. 电气应用, 2011, 30(1): 25-29.</w:t>
      </w:r>
    </w:p>
    <w:p w14:paraId="26EC5576">
      <w:pPr>
        <w:pStyle w:val="2"/>
        <w:widowControl/>
        <w:spacing w:before="0" w:after="80" w:line="320" w:lineRule="exact"/>
        <w:ind w:firstLine="0"/>
        <w:jc w:val="left"/>
      </w:pPr>
      <w:r>
        <w:rPr>
          <w:rFonts w:ascii="Times New Roman" w:hAnsi="Times New Roman" w:eastAsia="方正仿宋_GBK"/>
          <w:b w:val="0"/>
          <w:sz w:val="21"/>
        </w:rPr>
        <w:t>[12] DL/T 2041—2025 分布式电源接入电力系统承载力评估导则[S]. 2025.</w:t>
      </w:r>
    </w:p>
    <w:p w14:paraId="27DC3977">
      <w:pPr>
        <w:pStyle w:val="2"/>
        <w:widowControl/>
        <w:spacing w:before="0" w:after="80" w:line="320" w:lineRule="exact"/>
        <w:ind w:firstLine="0"/>
        <w:jc w:val="left"/>
      </w:pPr>
      <w:r>
        <w:rPr>
          <w:rFonts w:ascii="Times New Roman" w:hAnsi="Times New Roman" w:eastAsia="方正仿宋_GBK"/>
          <w:b w:val="0"/>
          <w:sz w:val="21"/>
        </w:rPr>
        <w:t>[13] ZENG W, FAN J, ZHANG W, et al. Whole life cycle cost analysis of transmission lines using the economic life interval method[J]. Energies, 2023, 16(23): 7804.</w:t>
      </w:r>
    </w:p>
    <w:p w14:paraId="63ABBFD4">
      <w:pPr>
        <w:pStyle w:val="2"/>
        <w:widowControl/>
        <w:spacing w:before="0" w:after="80" w:line="320" w:lineRule="exact"/>
        <w:ind w:firstLine="0"/>
        <w:jc w:val="left"/>
      </w:pPr>
      <w:r>
        <w:rPr>
          <w:rFonts w:ascii="Times New Roman" w:hAnsi="Times New Roman" w:eastAsia="方正仿宋_GBK"/>
          <w:b w:val="0"/>
          <w:sz w:val="21"/>
        </w:rPr>
        <w:t>[14] ZHU Z, LU S, GAO B, et al. Life cycle cost analysis of three types of power lines in 10 kV distribution network[J]. Inventions, 2016, 1(4): 20.</w:t>
      </w:r>
    </w:p>
    <w:p w14:paraId="50CBEC29">
      <w:pPr>
        <w:pStyle w:val="2"/>
        <w:widowControl/>
        <w:spacing w:before="0" w:after="80" w:line="320" w:lineRule="exact"/>
        <w:ind w:firstLine="0"/>
        <w:jc w:val="left"/>
      </w:pPr>
      <w:r>
        <w:rPr>
          <w:rFonts w:ascii="Times New Roman" w:hAnsi="Times New Roman" w:eastAsia="方正仿宋_GBK"/>
          <w:b w:val="0"/>
          <w:sz w:val="21"/>
        </w:rPr>
        <w:t>[15] SAATY T L. The analytic hierarchy process[M]. New York: McGraw-Hill, 1980.</w:t>
      </w:r>
    </w:p>
    <w:p w14:paraId="1D83889C">
      <w:pPr>
        <w:pStyle w:val="2"/>
        <w:widowControl/>
        <w:spacing w:before="0" w:after="80" w:line="320" w:lineRule="exact"/>
        <w:ind w:firstLine="0"/>
        <w:jc w:val="left"/>
      </w:pPr>
      <w:r>
        <w:rPr>
          <w:rFonts w:ascii="Times New Roman" w:hAnsi="Times New Roman" w:eastAsia="方正仿宋_GBK"/>
          <w:b w:val="0"/>
          <w:sz w:val="21"/>
        </w:rPr>
        <w:t>[16] WU Q, PENG C. Comprehensive benefit evaluation of the power distribution network planning project based on improved IAHP and multi-level extension assessment method[J]. Sustainability, 2016, 8(8): 796.</w:t>
      </w:r>
    </w:p>
    <w:p w14:paraId="3069E830">
      <w:pPr>
        <w:pStyle w:val="2"/>
        <w:widowControl/>
        <w:spacing w:before="0" w:after="80" w:line="320" w:lineRule="exact"/>
        <w:ind w:firstLine="0"/>
        <w:jc w:val="left"/>
      </w:pPr>
      <w:r>
        <w:rPr>
          <w:rFonts w:ascii="Times New Roman" w:hAnsi="Times New Roman" w:eastAsia="方正仿宋_GBK"/>
          <w:b w:val="0"/>
          <w:sz w:val="21"/>
        </w:rPr>
        <w:t>[17] 罗宁, 贺墨琳, 高华, 等. 基于改进的AHP-CRITIC组合赋权与可拓评估模型的配电网综合评价方法[J]. 电力系统保护与控制, 2021, 49(16): 86-96.</w:t>
      </w:r>
    </w:p>
    <w:p w14:paraId="52BD15FF">
      <w:pPr>
        <w:pStyle w:val="2"/>
        <w:widowControl/>
        <w:spacing w:before="0" w:after="80" w:line="320" w:lineRule="exact"/>
        <w:ind w:firstLine="0"/>
        <w:jc w:val="left"/>
      </w:pPr>
      <w:r>
        <w:rPr>
          <w:rFonts w:ascii="Times New Roman" w:hAnsi="Times New Roman" w:eastAsia="方正仿宋_GBK"/>
          <w:b w:val="0"/>
          <w:sz w:val="21"/>
        </w:rPr>
        <w:t>[18] 程智余, 朱晓虎, 李建青. 基于改进ELECTRE法的电网规划投资多准则融合决策方法[J]. 中国电力, 2022, 55(11): 59-65.</w:t>
      </w:r>
    </w:p>
    <w:p w14:paraId="6EDA16B6">
      <w:pPr>
        <w:pStyle w:val="2"/>
        <w:widowControl/>
        <w:spacing w:before="0" w:after="80" w:line="320" w:lineRule="exact"/>
        <w:ind w:firstLine="0"/>
        <w:jc w:val="left"/>
      </w:pPr>
      <w:r>
        <w:rPr>
          <w:rFonts w:ascii="Times New Roman" w:hAnsi="Times New Roman" w:eastAsia="方正仿宋_GBK"/>
          <w:b w:val="0"/>
          <w:sz w:val="21"/>
        </w:rPr>
        <w:t>[19] GB/T 45418—2025 配电网通用技术导则[S]. 2025.</w:t>
      </w:r>
    </w:p>
    <w:p w14:paraId="6742E630">
      <w:pPr>
        <w:pStyle w:val="2"/>
        <w:widowControl/>
        <w:spacing w:before="0" w:after="80" w:line="320" w:lineRule="exact"/>
        <w:ind w:firstLine="0"/>
        <w:jc w:val="left"/>
      </w:pPr>
      <w:r>
        <w:rPr>
          <w:rFonts w:ascii="Times New Roman" w:hAnsi="Times New Roman" w:eastAsia="方正仿宋_GBK"/>
          <w:b w:val="0"/>
          <w:sz w:val="21"/>
        </w:rPr>
        <w:t>[20] 刘炜彬, 梁咏秋, 李锡刚, 等. 面向精细化规划的容载比参数优化方法研究[J]. 电气工程学报, 2025, 20(1): 208-216.</w:t>
      </w:r>
    </w:p>
    <w:p w14:paraId="5A585675">
      <w:pPr>
        <w:pStyle w:val="2"/>
        <w:widowControl/>
        <w:spacing w:before="0" w:after="80" w:line="320" w:lineRule="exact"/>
        <w:ind w:firstLine="0"/>
        <w:jc w:val="left"/>
      </w:pPr>
      <w:r>
        <w:rPr>
          <w:rFonts w:ascii="Times New Roman" w:hAnsi="Times New Roman" w:eastAsia="方正仿宋_GBK"/>
          <w:b w:val="0"/>
          <w:sz w:val="21"/>
        </w:rPr>
        <w:t>[21] 王守相, 尹孜阳, 赵倩宇. 考虑多供电层级耦合的中低压配电网分布式光伏承载力一体化精细评估方法[J]. 电工技术学报, 2025, 40(6): 1930-1944.</w:t>
      </w:r>
    </w:p>
    <w:p w14:paraId="1BDE046A">
      <w:pPr>
        <w:pStyle w:val="2"/>
        <w:widowControl/>
        <w:spacing w:before="0" w:after="80" w:line="320" w:lineRule="exact"/>
        <w:ind w:firstLine="0"/>
        <w:jc w:val="left"/>
      </w:pPr>
      <w:r>
        <w:rPr>
          <w:rFonts w:ascii="Times New Roman" w:hAnsi="Times New Roman" w:eastAsia="方正仿宋_GBK"/>
          <w:b w:val="0"/>
          <w:sz w:val="21"/>
        </w:rPr>
        <w:t>[22] 徐峰亮, 王克谦, 等. 计及运行灵活性的中压配电系统源-网-储协同扩展规划[J]. 中国电力, 2024, 57(7): 98-108.</w:t>
      </w:r>
    </w:p>
    <w:p w14:paraId="3B344EEB">
      <w:pPr>
        <w:pStyle w:val="2"/>
        <w:widowControl/>
        <w:spacing w:before="0" w:after="80" w:line="320" w:lineRule="exact"/>
        <w:ind w:firstLine="0"/>
        <w:jc w:val="left"/>
      </w:pPr>
      <w:r>
        <w:rPr>
          <w:rFonts w:ascii="Times New Roman" w:hAnsi="Times New Roman" w:eastAsia="方正仿宋_GBK"/>
          <w:b w:val="0"/>
          <w:sz w:val="21"/>
        </w:rPr>
        <w:t>[23] LIN T, WU G, LAI S, et al. Calculation of distribution network PV hosting capacity considering source–load uncertainty and active management[J]. Electronics, 2024, 13(20): 4048.</w:t>
      </w:r>
    </w:p>
    <w:p w14:paraId="7E0DF445">
      <w:pPr>
        <w:pStyle w:val="2"/>
        <w:widowControl/>
        <w:spacing w:before="0" w:after="80" w:line="320" w:lineRule="exact"/>
        <w:ind w:firstLine="0"/>
        <w:jc w:val="left"/>
      </w:pPr>
      <w:r>
        <w:rPr>
          <w:rFonts w:ascii="Times New Roman" w:hAnsi="Times New Roman" w:eastAsia="方正仿宋_GBK"/>
          <w:b w:val="0"/>
          <w:sz w:val="21"/>
        </w:rPr>
        <w:t>[24] CHEN C, PENG W, XIE C, et al. Photovoltaic hosting capacity assessment of distribution networks considering source–load uncertainty[J]. Energies, 2025, 18(8): 2134.</w:t>
      </w:r>
    </w:p>
    <w:p w14:paraId="2A1E5BFC">
      <w:pPr>
        <w:pStyle w:val="2"/>
        <w:widowControl/>
        <w:spacing w:before="0" w:after="80" w:line="320" w:lineRule="exact"/>
        <w:ind w:firstLine="0"/>
        <w:jc w:val="left"/>
      </w:pPr>
      <w:r>
        <w:rPr>
          <w:rFonts w:ascii="Times New Roman" w:hAnsi="Times New Roman" w:eastAsia="方正仿宋_GBK"/>
          <w:b w:val="0"/>
          <w:sz w:val="21"/>
        </w:rPr>
        <w:t>[25] LIU H, HE J, DENG L, et al. Assessment of distribution network hosting capacity incorporating multiple uncertainty factors[J]. Electronics, 2025, 14(22): 4495.</w:t>
      </w:r>
    </w:p>
    <w:p w14:paraId="5060DD17">
      <w:pPr>
        <w:pStyle w:val="2"/>
        <w:widowControl/>
        <w:spacing w:before="0" w:after="80" w:line="320" w:lineRule="exact"/>
        <w:ind w:firstLine="0"/>
        <w:jc w:val="left"/>
      </w:pPr>
      <w:r>
        <w:rPr>
          <w:rFonts w:ascii="Times New Roman" w:hAnsi="Times New Roman" w:eastAsia="方正仿宋_GBK"/>
          <w:b w:val="0"/>
          <w:sz w:val="21"/>
        </w:rPr>
        <w:t>[26] SHU J, ZHAO C, CHU B, et al. A closed-loop framework for PV dynamic hosting capacity: integrating physics-informed forecasting and stability constraints[J]. Frontiers in Energy Research, 2026. DOI: 10.3389/fenrg.2026.1823435.</w:t>
      </w:r>
    </w:p>
    <w:p w14:paraId="0C8CC99C">
      <w:pPr>
        <w:pStyle w:val="2"/>
        <w:widowControl/>
        <w:spacing w:before="0" w:after="80" w:line="320" w:lineRule="exact"/>
        <w:ind w:firstLine="0"/>
        <w:jc w:val="left"/>
      </w:pPr>
      <w:r>
        <w:rPr>
          <w:rFonts w:ascii="Times New Roman" w:hAnsi="Times New Roman" w:eastAsia="方正仿宋_GBK"/>
          <w:b w:val="0"/>
          <w:sz w:val="21"/>
        </w:rPr>
        <w:t>[27] HAIDER R, FERRO G, ROBBA M, et al. Flattening the duck curve: a case for distributed decision making[C]//2022 IEEE Power &amp; Energy Society General Meeting. 2022. DOI: 10.1109/PESGM48719.2022.9917019.</w:t>
      </w:r>
    </w:p>
    <w:p w14:paraId="22CF0EA1">
      <w:pPr>
        <w:pStyle w:val="2"/>
        <w:widowControl/>
        <w:spacing w:before="0" w:after="80" w:line="320" w:lineRule="exact"/>
        <w:ind w:firstLine="0"/>
        <w:jc w:val="left"/>
      </w:pPr>
      <w:r>
        <w:rPr>
          <w:rFonts w:ascii="Times New Roman" w:hAnsi="Times New Roman" w:eastAsia="方正仿宋_GBK"/>
          <w:b w:val="0"/>
          <w:sz w:val="21"/>
        </w:rPr>
        <w:t>[28] XIE Y, LI Q, YANG L, et al. The phenomenon and suppression strategy of overvoltage caused by PV power reverse flow[J]. Frontiers in Energy Research, 2024, 12: 1495742.</w:t>
      </w:r>
    </w:p>
    <w:p w14:paraId="27E44891">
      <w:pPr>
        <w:pStyle w:val="2"/>
        <w:widowControl/>
        <w:spacing w:before="0" w:after="80" w:line="320" w:lineRule="exact"/>
        <w:ind w:firstLine="0"/>
        <w:jc w:val="left"/>
      </w:pPr>
      <w:r>
        <w:rPr>
          <w:rFonts w:ascii="Times New Roman" w:hAnsi="Times New Roman" w:eastAsia="方正仿宋_GBK"/>
          <w:b w:val="0"/>
          <w:sz w:val="21"/>
        </w:rPr>
        <w:t>[29] GHORBANSARVI A, HAMILTON D, ALMASSALKHI M R, et al. Transformer temperature management and voltage control in electric distribution systems with high solar PV penetration[EB/OL]. arXiv: 2410.09011, 2024.</w:t>
      </w:r>
    </w:p>
    <w:p w14:paraId="6D4FFFAB">
      <w:pPr>
        <w:pStyle w:val="2"/>
        <w:widowControl/>
        <w:spacing w:before="0" w:after="80" w:line="320" w:lineRule="exact"/>
        <w:ind w:firstLine="0"/>
        <w:jc w:val="left"/>
      </w:pPr>
      <w:r>
        <w:rPr>
          <w:rFonts w:ascii="Times New Roman" w:hAnsi="Times New Roman" w:eastAsia="方正仿宋_GBK"/>
          <w:b w:val="0"/>
          <w:sz w:val="21"/>
        </w:rPr>
        <w:t>[30] GAO X, ZHANG J, SUN H, et al. A review of voltage control studies on low voltage distribution networks containing high penetration distributed photovoltaics[J]. Energies, 2024, 17(13): 3058.</w:t>
      </w:r>
    </w:p>
    <w:p w14:paraId="41FD1033">
      <w:pPr>
        <w:pStyle w:val="2"/>
        <w:widowControl/>
        <w:spacing w:before="0" w:after="80" w:line="320" w:lineRule="exact"/>
        <w:ind w:firstLine="0"/>
        <w:jc w:val="left"/>
      </w:pPr>
      <w:r>
        <w:rPr>
          <w:rFonts w:ascii="Times New Roman" w:hAnsi="Times New Roman" w:eastAsia="方正仿宋_GBK"/>
          <w:b w:val="0"/>
          <w:sz w:val="21"/>
        </w:rPr>
        <w:t>[31] NAIR V J, VAHID-GHAVIDEL M, ANNASWAMY A M. Dynamic resource coordination can increase grid hosting capacity to support more renewables, storage, and electrified load growth[EB/OL]. arXiv:2604.02170, 2026.</w:t>
      </w:r>
    </w:p>
    <w:p w14:paraId="41E7179B">
      <w:pPr>
        <w:pStyle w:val="2"/>
        <w:widowControl/>
        <w:spacing w:before="0" w:after="80" w:line="320" w:lineRule="exact"/>
        <w:ind w:firstLine="0"/>
        <w:jc w:val="left"/>
      </w:pPr>
      <w:r>
        <w:rPr>
          <w:rFonts w:ascii="Times New Roman" w:hAnsi="Times New Roman" w:eastAsia="方正仿宋_GBK"/>
          <w:b w:val="0"/>
          <w:sz w:val="21"/>
        </w:rPr>
        <w:t>[32] WANG R, JI H, LI P, et al. Multi-resource dynamic coordinated planning of flexible distribution network[J]. Nature Communications, 2024, 15: 4576.</w:t>
      </w:r>
    </w:p>
    <w:p w14:paraId="00710670">
      <w:pPr>
        <w:pStyle w:val="2"/>
        <w:widowControl/>
        <w:spacing w:before="0" w:after="80" w:line="320" w:lineRule="exact"/>
        <w:ind w:firstLine="0"/>
        <w:jc w:val="left"/>
      </w:pPr>
      <w:r>
        <w:rPr>
          <w:rFonts w:ascii="Times New Roman" w:hAnsi="Times New Roman" w:eastAsia="方正仿宋_GBK"/>
          <w:b w:val="0"/>
          <w:sz w:val="21"/>
        </w:rPr>
        <w:t>[33] MARTÍNEZ M, MATEO C, GÓMEZ T, et al. Distributed battery energy storage systems for deferring distribution network reinforcements under sustained load growth scenarios[J]. Journal of Energy Storage, 2024, 100: 113404.</w:t>
      </w:r>
    </w:p>
    <w:p w14:paraId="0CF13916">
      <w:pPr>
        <w:pStyle w:val="2"/>
        <w:widowControl/>
        <w:spacing w:before="0" w:after="80" w:line="320" w:lineRule="exact"/>
        <w:ind w:firstLine="0"/>
        <w:jc w:val="left"/>
      </w:pPr>
      <w:r>
        <w:rPr>
          <w:rFonts w:ascii="Times New Roman" w:hAnsi="Times New Roman" w:eastAsia="方正仿宋_GBK"/>
          <w:b w:val="0"/>
          <w:sz w:val="21"/>
        </w:rPr>
        <w:t>[34] HOLWEGER J, BALLIF C, WYRSCH N. Distributed flexibility as a cost-effective alternative to grid reinforcement[EB/OL]. arXiv:2109.07305, 2021.</w:t>
      </w:r>
    </w:p>
    <w:p w14:paraId="343E296D">
      <w:pPr>
        <w:pStyle w:val="2"/>
        <w:widowControl/>
        <w:spacing w:before="0" w:after="80" w:line="320" w:lineRule="exact"/>
        <w:ind w:firstLine="0"/>
        <w:jc w:val="left"/>
      </w:pPr>
      <w:r>
        <w:rPr>
          <w:rFonts w:ascii="Times New Roman" w:hAnsi="Times New Roman" w:eastAsia="方正仿宋_GBK"/>
          <w:b w:val="0"/>
          <w:sz w:val="21"/>
        </w:rPr>
        <w:t>[35] MATTHISS B, MOMENIFARAHANI A, BINDER J. Storage placement and sizing in a distribution grid with high PV-generation[EB/OL]. arXiv: 2001.05814, 2020.</w:t>
      </w:r>
    </w:p>
    <w:p w14:paraId="40DEC7FA">
      <w:pPr>
        <w:pStyle w:val="2"/>
        <w:widowControl/>
        <w:spacing w:before="0" w:after="80" w:line="320" w:lineRule="exact"/>
        <w:ind w:firstLine="0"/>
        <w:jc w:val="left"/>
      </w:pPr>
      <w:r>
        <w:rPr>
          <w:rFonts w:ascii="Times New Roman" w:hAnsi="Times New Roman" w:eastAsia="方正仿宋_GBK"/>
          <w:b w:val="0"/>
          <w:sz w:val="21"/>
        </w:rPr>
        <w:t>[36] WU Y, CHEN Y, LI Z, et al. Robust co-planning of distributed photovoltaics and energy storage for enhancing the hosting capacity of active distribution networks[J]. Renewable Energy, 2025, 253: 123645.</w:t>
      </w:r>
    </w:p>
    <w:p w14:paraId="45DCF421">
      <w:pPr>
        <w:pStyle w:val="2"/>
        <w:widowControl/>
        <w:spacing w:before="0" w:after="80" w:line="320" w:lineRule="exact"/>
        <w:ind w:firstLine="0"/>
        <w:jc w:val="left"/>
      </w:pPr>
      <w:r>
        <w:rPr>
          <w:rFonts w:ascii="Times New Roman" w:hAnsi="Times New Roman" w:eastAsia="方正仿宋_GBK"/>
          <w:b w:val="0"/>
          <w:sz w:val="21"/>
        </w:rPr>
        <w:t>[37] ZHANG Q, WANG Z, MA S, et al. Stochastic pre-event preparation for enhancing resilience of distribution systems with high DER penetration[EB/OL]. (2020)[2026-10-02]. https://arxiv.org/abs/2012.13043.</w:t>
      </w:r>
    </w:p>
    <w:p w14:paraId="56147ECF">
      <w:pPr>
        <w:pStyle w:val="2"/>
        <w:widowControl/>
        <w:spacing w:before="0" w:after="80" w:line="320" w:lineRule="exact"/>
        <w:ind w:firstLine="0"/>
        <w:jc w:val="left"/>
      </w:pPr>
      <w:r>
        <w:rPr>
          <w:rFonts w:ascii="Times New Roman" w:hAnsi="Times New Roman" w:eastAsia="方正仿宋_GBK"/>
          <w:b w:val="0"/>
          <w:sz w:val="21"/>
        </w:rPr>
        <w:t>[38] HUANG J, SUN Z, XIE H, et al. Optimal substation capacity planning method in high-density load areas considering renewable energy[J]. Energy Reports, 2023, 9: 1520-1530.</w:t>
      </w:r>
    </w:p>
    <w:p w14:paraId="58C166F0">
      <w:pPr>
        <w:pStyle w:val="2"/>
        <w:widowControl/>
        <w:spacing w:before="0" w:after="80" w:line="320" w:lineRule="exact"/>
        <w:ind w:firstLine="0"/>
        <w:jc w:val="left"/>
      </w:pPr>
      <w:r>
        <w:rPr>
          <w:rFonts w:ascii="Times New Roman" w:hAnsi="Times New Roman" w:eastAsia="方正仿宋_GBK"/>
          <w:b w:val="0"/>
          <w:sz w:val="21"/>
        </w:rPr>
        <w:t>[39] XU D, FU Q, YE L, et al. The optimal sizing of substation capacity in a distribution network, considering a dynamic time-of-use pricing mechanism[J]. Sensors, 2022, 22(19): 7173.</w:t>
      </w:r>
    </w:p>
    <w:p w14:paraId="0E720750">
      <w:pPr>
        <w:pStyle w:val="2"/>
        <w:widowControl/>
        <w:spacing w:before="0" w:after="80" w:line="320" w:lineRule="exact"/>
        <w:ind w:firstLine="0"/>
        <w:jc w:val="left"/>
      </w:pPr>
      <w:r>
        <w:rPr>
          <w:rFonts w:ascii="Times New Roman" w:hAnsi="Times New Roman" w:eastAsia="方正仿宋_GBK"/>
          <w:b w:val="0"/>
          <w:sz w:val="21"/>
        </w:rPr>
        <w:t>[40] NESPOLI L, MEDICI V. Global forecasting models for residential load flexibility and grid optimization[J]. Frontiers in Energy Research, 2025, 13: 1547617.</w:t>
      </w:r>
    </w:p>
    <w:p w14:paraId="7B07CA5A">
      <w:pPr>
        <w:pStyle w:val="2"/>
        <w:widowControl/>
        <w:spacing w:before="0" w:after="80" w:line="320" w:lineRule="exact"/>
        <w:ind w:firstLine="0"/>
        <w:jc w:val="left"/>
      </w:pPr>
      <w:r>
        <w:rPr>
          <w:rFonts w:ascii="Times New Roman" w:hAnsi="Times New Roman" w:eastAsia="方正仿宋_GBK"/>
          <w:b w:val="0"/>
          <w:sz w:val="21"/>
        </w:rPr>
        <w:t>[41] ZHU J, LIU Z, DAI F, et al. Coordinated planning of unbalanced flexible interconnected distribution networks based on distributed optimization[J]. Energies, 2026, 19(7): 1769.</w:t>
      </w:r>
    </w:p>
    <w:p w14:paraId="571B5004">
      <w:pPr>
        <w:pStyle w:val="2"/>
        <w:widowControl/>
        <w:spacing w:before="0" w:after="80" w:line="320" w:lineRule="exact"/>
        <w:ind w:firstLine="0"/>
        <w:jc w:val="left"/>
      </w:pPr>
      <w:r>
        <w:rPr>
          <w:rFonts w:ascii="Times New Roman" w:hAnsi="Times New Roman" w:eastAsia="方正仿宋_GBK"/>
          <w:b w:val="0"/>
          <w:sz w:val="21"/>
        </w:rPr>
        <w:t>[42] LUO W, ZHANG C, HAN X, et al. Joint planning method for soft open points and energy storage in hybrid distribution networks based on improved DC power flow[J]. Processes, 2026, 14(6): 1013.</w:t>
      </w:r>
    </w:p>
    <w:p w14:paraId="21F1E1A2">
      <w:pPr>
        <w:pStyle w:val="2"/>
        <w:widowControl/>
        <w:spacing w:before="0" w:after="80" w:line="320" w:lineRule="exact"/>
        <w:ind w:firstLine="0"/>
        <w:jc w:val="left"/>
      </w:pPr>
      <w:r>
        <w:rPr>
          <w:rFonts w:ascii="Times New Roman" w:hAnsi="Times New Roman" w:eastAsia="方正仿宋_GBK"/>
          <w:b w:val="0"/>
          <w:sz w:val="21"/>
        </w:rPr>
        <w:t>[43] WANG J, CHANG C, LE J, et al. Sustainable distribution network planning for enhancing PV accommodation: a source–network–storage coordinated stochastic approach[J]. Sustainability, 2025, 17(12): 5324.</w:t>
      </w:r>
    </w:p>
    <w:p w14:paraId="12036D23">
      <w:pPr>
        <w:pStyle w:val="2"/>
        <w:widowControl/>
        <w:spacing w:before="0" w:after="80" w:line="320" w:lineRule="exact"/>
        <w:ind w:firstLine="0"/>
        <w:jc w:val="left"/>
      </w:pPr>
      <w:r>
        <w:rPr>
          <w:rFonts w:ascii="Times New Roman" w:hAnsi="Times New Roman" w:eastAsia="方正仿宋_GBK"/>
          <w:b w:val="0"/>
          <w:sz w:val="21"/>
        </w:rPr>
        <w:t>[44] SHI Y, YAO Y, LI Y, et al. Research on source–grid–load–storage coordinated optimization and evolutionarily stable strategies for high renewable energy[J]. Energies, 2026, 19(2): 415.</w:t>
      </w:r>
    </w:p>
    <w:p w14:paraId="3A294980">
      <w:pPr>
        <w:pStyle w:val="2"/>
        <w:widowControl/>
        <w:spacing w:before="0" w:after="80" w:line="320" w:lineRule="exact"/>
        <w:ind w:firstLine="0"/>
        <w:jc w:val="left"/>
      </w:pPr>
      <w:r>
        <w:rPr>
          <w:rFonts w:ascii="Times New Roman" w:hAnsi="Times New Roman" w:eastAsia="方正仿宋_GBK"/>
          <w:b w:val="0"/>
          <w:sz w:val="21"/>
        </w:rPr>
        <w:t>[45] WANG Y, YAN C, WANG Z, et al. Adaptability evaluation of power grid planning scheme for novel power system considering multiple decision psychology[J]. Energies, 2024, 17(15): 3672.</w:t>
      </w:r>
    </w:p>
    <w:p w14:paraId="0196E4F1">
      <w:pPr>
        <w:pStyle w:val="2"/>
        <w:widowControl/>
        <w:spacing w:before="0" w:after="80" w:line="320" w:lineRule="exact"/>
        <w:ind w:firstLine="0"/>
        <w:jc w:val="left"/>
      </w:pPr>
      <w:r>
        <w:rPr>
          <w:rFonts w:ascii="Times New Roman" w:hAnsi="Times New Roman" w:eastAsia="方正仿宋_GBK"/>
          <w:b w:val="0"/>
          <w:sz w:val="21"/>
        </w:rPr>
        <w:t>[46] YE L, LI J, YANG S, et al. An improved TOPSIS method using Fermatean fuzzy sets for techno-economic evaluation of multi-type power sources[J]. Electronics, 2025, 14(23): 4770.</w:t>
      </w:r>
    </w:p>
    <w:p w14:paraId="1D9A7A4E">
      <w:pPr>
        <w:pStyle w:val="2"/>
        <w:widowControl/>
        <w:spacing w:before="0" w:after="80" w:line="320" w:lineRule="exact"/>
        <w:ind w:firstLine="0"/>
        <w:jc w:val="left"/>
      </w:pPr>
      <w:r>
        <w:rPr>
          <w:rFonts w:ascii="Times New Roman" w:hAnsi="Times New Roman" w:eastAsia="方正仿宋_GBK"/>
          <w:b w:val="0"/>
          <w:sz w:val="21"/>
        </w:rPr>
        <w:t>[47] ZENG W, FAN J, REN Z, et al. Economic evaluation method of modern power transmission system based on improved technique for order of preference by similarity to ideal solution (TOPSIS) and best-worst method-anti-entropy weight[J]. Energies, 2023, 16(21): 7242.</w:t>
      </w:r>
    </w:p>
    <w:p w14:paraId="0BDEA8E3">
      <w:pPr>
        <w:pStyle w:val="2"/>
        <w:widowControl/>
        <w:spacing w:before="0" w:after="80" w:line="320" w:lineRule="exact"/>
        <w:ind w:firstLine="0"/>
        <w:jc w:val="left"/>
      </w:pPr>
      <w:r>
        <w:rPr>
          <w:rFonts w:ascii="Times New Roman" w:hAnsi="Times New Roman" w:eastAsia="方正仿宋_GBK"/>
          <w:b w:val="0"/>
          <w:sz w:val="21"/>
        </w:rPr>
        <w:t>[48] 刘文霞, 刘其达, 邓诗语, 等. 基于容载比色带的区域配电网充裕性分析[J]. 华北电力大学学报(自然科学版), 2022, 49(2): 1-12, 22.</w:t>
      </w:r>
    </w:p>
    <w:p w14:paraId="1DF9A11E">
      <w:pPr>
        <w:pStyle w:val="2"/>
        <w:widowControl/>
        <w:spacing w:before="0" w:after="80" w:line="320" w:lineRule="exact"/>
        <w:ind w:firstLine="0"/>
        <w:jc w:val="left"/>
      </w:pPr>
      <w:r>
        <w:rPr>
          <w:rFonts w:ascii="Times New Roman" w:hAnsi="Times New Roman" w:eastAsia="方正仿宋_GBK"/>
          <w:b w:val="0"/>
          <w:sz w:val="21"/>
        </w:rPr>
        <w:t>[49] 张锐, 刘恒超, 张国驹, 等. 基于改进供电能力指标的低压台区柔性互联装置规划[J]. 电力建设, 2025, 46(8): 1-11.</w:t>
      </w:r>
    </w:p>
    <w:p w14:paraId="39580EA2">
      <w:pPr>
        <w:pStyle w:val="2"/>
        <w:widowControl/>
        <w:spacing w:before="0" w:after="80" w:line="320" w:lineRule="exact"/>
        <w:ind w:firstLine="0"/>
        <w:jc w:val="left"/>
      </w:pPr>
      <w:r>
        <w:rPr>
          <w:rFonts w:ascii="Times New Roman" w:hAnsi="Times New Roman" w:eastAsia="方正仿宋_GBK"/>
          <w:b w:val="0"/>
          <w:sz w:val="21"/>
        </w:rPr>
        <w:t>[50] 马雨欣, 林凌雪. 面向配电网精准规划的最大供电能力评估方法[J]. 现代电力, 2025, 42(6): 1120-1130.</w:t>
      </w:r>
    </w:p>
    <w:p w14:paraId="7EA9BF81">
      <w:pPr>
        <w:pStyle w:val="2"/>
        <w:widowControl/>
        <w:spacing w:before="0" w:after="80" w:line="320" w:lineRule="exact"/>
        <w:ind w:firstLine="0"/>
        <w:jc w:val="left"/>
      </w:pPr>
      <w:r>
        <w:rPr>
          <w:rFonts w:ascii="Times New Roman" w:hAnsi="Times New Roman" w:eastAsia="方正仿宋_GBK"/>
          <w:b w:val="0"/>
          <w:sz w:val="21"/>
        </w:rPr>
        <w:t>[51] 王方敏, 顼佳宇, 苏宁, 等. 新型电力系统风险抑制下分布式光伏承载力概率评估方法[J]. 中国电力, 2025, 58(6): 33-44.</w:t>
      </w:r>
    </w:p>
    <w:p w14:paraId="542273F7">
      <w:pPr>
        <w:pStyle w:val="2"/>
        <w:widowControl/>
        <w:spacing w:before="0" w:after="80" w:line="320" w:lineRule="exact"/>
        <w:ind w:firstLine="0"/>
        <w:jc w:val="left"/>
      </w:pPr>
      <w:r>
        <w:rPr>
          <w:rFonts w:ascii="Times New Roman" w:hAnsi="Times New Roman" w:eastAsia="方正仿宋_GBK"/>
          <w:b w:val="0"/>
          <w:sz w:val="21"/>
        </w:rPr>
        <w:t>[52] 徐非非, 冯华, 覃洪培, 等. 计及不确定性的配电网分布式光伏承载能力区间分析方法[J]. 浙江电力, 2023, 42(11): 86-95.</w:t>
      </w:r>
    </w:p>
    <w:p w14:paraId="41CEC87F">
      <w:pPr>
        <w:pStyle w:val="2"/>
        <w:widowControl/>
        <w:spacing w:before="0" w:after="80" w:line="320" w:lineRule="exact"/>
        <w:ind w:firstLine="0"/>
        <w:jc w:val="left"/>
      </w:pPr>
      <w:r>
        <w:rPr>
          <w:rFonts w:ascii="Times New Roman" w:hAnsi="Times New Roman" w:eastAsia="方正仿宋_GBK"/>
          <w:b w:val="0"/>
          <w:sz w:val="21"/>
        </w:rPr>
        <w:t>[53] 张伟, 孔巧玉, 滕婕, 等. 面向柔性互联配电网的分布式光伏消纳能力区间评估方法[J/OL]. 现代电力, 2026-03-02. DOI: 10.19725/j.cnki.1007-2322.2024.0254.</w:t>
      </w:r>
    </w:p>
    <w:p w14:paraId="649AED5F">
      <w:pPr>
        <w:pStyle w:val="2"/>
        <w:widowControl/>
        <w:spacing w:before="0" w:after="80" w:line="320" w:lineRule="exact"/>
        <w:ind w:firstLine="0"/>
        <w:jc w:val="left"/>
      </w:pPr>
      <w:r>
        <w:rPr>
          <w:rFonts w:ascii="Times New Roman" w:hAnsi="Times New Roman" w:eastAsia="方正仿宋_GBK"/>
          <w:b w:val="0"/>
          <w:sz w:val="21"/>
        </w:rPr>
        <w:t>[54] 宋钰, 郭玥, 王旭阳, 等. 分布式光伏接入配电网安全经济承载力评估[J]. 浙江电力, 2025, 44(11): 93-102.</w:t>
      </w:r>
    </w:p>
    <w:p w14:paraId="5E91853B">
      <w:pPr>
        <w:pStyle w:val="2"/>
        <w:widowControl/>
        <w:spacing w:before="0" w:after="80" w:line="320" w:lineRule="exact"/>
        <w:ind w:firstLine="0"/>
        <w:jc w:val="left"/>
      </w:pPr>
      <w:r>
        <w:rPr>
          <w:rFonts w:ascii="Times New Roman" w:hAnsi="Times New Roman" w:eastAsia="方正仿宋_GBK"/>
          <w:b w:val="0"/>
          <w:sz w:val="21"/>
        </w:rPr>
        <w:t>[55] 李敬如, 白宇, 王旭阳, 等. 考虑主配协同的分布式光伏接入电网安全经济承载力计算方法[J]. 电力建设, 2025, 46(10): 113-121.</w:t>
      </w:r>
    </w:p>
    <w:p w14:paraId="65AD391D">
      <w:pPr>
        <w:pStyle w:val="2"/>
        <w:widowControl/>
        <w:spacing w:before="0" w:after="80" w:line="320" w:lineRule="exact"/>
        <w:ind w:firstLine="0"/>
        <w:jc w:val="left"/>
      </w:pPr>
      <w:r>
        <w:rPr>
          <w:rFonts w:ascii="Times New Roman" w:hAnsi="Times New Roman" w:eastAsia="方正仿宋_GBK"/>
          <w:b w:val="0"/>
          <w:sz w:val="21"/>
        </w:rPr>
        <w:t>[56] 龚锐, 李华强, 许立雄. 面向配电网综合承载力提升的储能优化配置方法[J]. 电网技术, 2025, 49(9): 3860-3869.</w:t>
      </w:r>
    </w:p>
    <w:p w14:paraId="5CEF0310">
      <w:pPr>
        <w:pStyle w:val="2"/>
        <w:widowControl/>
        <w:spacing w:before="0" w:after="80" w:line="320" w:lineRule="exact"/>
        <w:ind w:firstLine="0"/>
        <w:jc w:val="left"/>
      </w:pPr>
      <w:r>
        <w:rPr>
          <w:rFonts w:ascii="Times New Roman" w:hAnsi="Times New Roman" w:eastAsia="方正仿宋_GBK"/>
          <w:b w:val="0"/>
          <w:sz w:val="21"/>
        </w:rPr>
        <w:t>[57] 曹炜, 董浩洋, 李芸, 等. 分布式光伏高比例接入的国外经验及实践启示[J]. 电气传动, 2022, 52(4): 3-11.</w:t>
      </w:r>
    </w:p>
    <w:p w14:paraId="4AA00ED3">
      <w:pPr>
        <w:pStyle w:val="2"/>
        <w:widowControl/>
        <w:spacing w:before="0" w:after="80" w:line="320" w:lineRule="exact"/>
        <w:ind w:firstLine="0"/>
        <w:jc w:val="left"/>
      </w:pPr>
      <w:r>
        <w:rPr>
          <w:rFonts w:ascii="Times New Roman" w:hAnsi="Times New Roman" w:eastAsia="方正仿宋_GBK"/>
          <w:b w:val="0"/>
          <w:sz w:val="21"/>
        </w:rPr>
        <w:t>[58] 龚玺, 徐金阁, 路玮. 江苏电网电力负荷变化特征研究[J]. 电气工程, 2023, 11(3): 137-143.</w:t>
      </w:r>
    </w:p>
    <w:p w14:paraId="27C164C1">
      <w:pPr>
        <w:pStyle w:val="2"/>
        <w:widowControl/>
        <w:spacing w:before="0" w:after="80" w:line="320" w:lineRule="exact"/>
        <w:ind w:firstLine="0"/>
        <w:jc w:val="left"/>
      </w:pPr>
      <w:r>
        <w:rPr>
          <w:rFonts w:ascii="Times New Roman" w:hAnsi="Times New Roman" w:eastAsia="方正仿宋_GBK"/>
          <w:b w:val="0"/>
          <w:sz w:val="21"/>
        </w:rPr>
        <w:t>[59] 梁志峰, 康重庆, 隋凌峰, 等. 含高比例分布式光伏的主配网运行风险评估与防控策略研究[J]. 清华大学学报(自然科学版), 2024, 64(11): 1964-1978.</w:t>
      </w:r>
    </w:p>
    <w:p w14:paraId="47E18AA1">
      <w:pPr>
        <w:pStyle w:val="2"/>
        <w:widowControl/>
        <w:spacing w:before="0" w:after="80" w:line="320" w:lineRule="exact"/>
        <w:ind w:firstLine="0"/>
        <w:jc w:val="left"/>
      </w:pPr>
      <w:r>
        <w:rPr>
          <w:rFonts w:ascii="Times New Roman" w:hAnsi="Times New Roman" w:eastAsia="方正仿宋_GBK"/>
          <w:b w:val="0"/>
          <w:sz w:val="21"/>
        </w:rPr>
        <w:t>[60] 吕达夫. 考虑源荷不确定性的分布式光伏承载能力评估[J]. 上海电力大学学报, 2024, 40(6): 579-586.</w:t>
      </w:r>
    </w:p>
    <w:p w14:paraId="74DE79AA">
      <w:pPr>
        <w:pStyle w:val="2"/>
        <w:widowControl/>
        <w:spacing w:before="0" w:after="80" w:line="320" w:lineRule="exact"/>
        <w:ind w:firstLine="0"/>
        <w:jc w:val="left"/>
      </w:pPr>
      <w:r>
        <w:rPr>
          <w:rFonts w:ascii="Times New Roman" w:hAnsi="Times New Roman" w:eastAsia="方正仿宋_GBK"/>
          <w:b w:val="0"/>
          <w:sz w:val="21"/>
        </w:rPr>
        <w:t>[61] 刘克权, 汤文, 陈钊, 等. 新能源高占比下主配协同调度的挑战与提升策略[J]. 智能电网, 2026, 16(1): 7-15.</w:t>
      </w:r>
    </w:p>
    <w:p w14:paraId="1EF579F4">
      <w:pPr>
        <w:pStyle w:val="2"/>
        <w:widowControl/>
        <w:spacing w:before="0" w:after="80" w:line="320" w:lineRule="exact"/>
        <w:ind w:firstLine="0"/>
        <w:jc w:val="left"/>
      </w:pPr>
      <w:r>
        <w:rPr>
          <w:rFonts w:ascii="Times New Roman" w:hAnsi="Times New Roman" w:eastAsia="方正仿宋_GBK"/>
          <w:b w:val="0"/>
          <w:sz w:val="21"/>
        </w:rPr>
        <w:t>[62] 栗峰, 等. 新型电力系统下分布式光伏规模化并网运行关键技术探讨[J]. 电网技术, 2024, 48(1): 184-196.</w:t>
      </w:r>
    </w:p>
    <w:p w14:paraId="68B28DC8">
      <w:pPr>
        <w:pStyle w:val="2"/>
        <w:widowControl/>
        <w:spacing w:before="0" w:after="80" w:line="320" w:lineRule="exact"/>
        <w:ind w:firstLine="0"/>
        <w:jc w:val="left"/>
      </w:pPr>
      <w:r>
        <w:rPr>
          <w:rFonts w:ascii="Times New Roman" w:hAnsi="Times New Roman" w:eastAsia="方正仿宋_GBK"/>
          <w:b w:val="0"/>
          <w:sz w:val="21"/>
        </w:rPr>
        <w:t>[63] 刘洪波, 刘珅诚, 盖雪扬, 等. 高比例新能源接入的主动配电网规划综述[J]. 发电技术, 2024, 45(1): 151-161.</w:t>
      </w:r>
    </w:p>
    <w:p w14:paraId="5AB1734F">
      <w:pPr>
        <w:pStyle w:val="2"/>
        <w:widowControl/>
        <w:spacing w:before="0" w:after="80" w:line="320" w:lineRule="exact"/>
        <w:ind w:firstLine="0"/>
        <w:jc w:val="left"/>
      </w:pPr>
      <w:r>
        <w:rPr>
          <w:rFonts w:ascii="Times New Roman" w:hAnsi="Times New Roman" w:eastAsia="方正仿宋_GBK"/>
          <w:b w:val="0"/>
          <w:sz w:val="21"/>
        </w:rPr>
        <w:t>[64] 黄海泉, 等. 新型配电网分布式储能系统方案及配置研究综述[J]. 南方能源建设, 2024, 11(4): 42-53.</w:t>
      </w:r>
    </w:p>
    <w:p w14:paraId="224E6FB2">
      <w:pPr>
        <w:pStyle w:val="2"/>
        <w:widowControl/>
        <w:spacing w:before="0" w:after="80" w:line="320" w:lineRule="exact"/>
        <w:ind w:firstLine="0"/>
        <w:jc w:val="left"/>
      </w:pPr>
      <w:r>
        <w:rPr>
          <w:rFonts w:ascii="Times New Roman" w:hAnsi="Times New Roman" w:eastAsia="方正仿宋_GBK"/>
          <w:b w:val="0"/>
          <w:sz w:val="21"/>
        </w:rPr>
        <w:t>[65] 贺春光, 王林峰, 曹媛, 等. 考虑综合收益的多电压等级配电网柔性互联装置协同规划方法[J]. 中国电力, 2025, 58(1): 78-84.</w:t>
      </w:r>
    </w:p>
    <w:p w14:paraId="6990F718">
      <w:pPr>
        <w:pStyle w:val="2"/>
        <w:widowControl/>
        <w:spacing w:before="0" w:after="80" w:line="320" w:lineRule="exact"/>
        <w:ind w:firstLine="0"/>
        <w:jc w:val="left"/>
      </w:pPr>
      <w:r>
        <w:rPr>
          <w:rFonts w:ascii="Times New Roman" w:hAnsi="Times New Roman" w:eastAsia="方正仿宋_GBK"/>
          <w:b w:val="0"/>
          <w:sz w:val="21"/>
        </w:rPr>
        <w:t>[66] 乐健, 王靖, 廖小兵, 等. 基于随机场景的配电网源网储协同规划方法[J]. 电力系统保护与控制, 2025, 53(4): 132-147.</w:t>
      </w:r>
    </w:p>
    <w:p w14:paraId="1CBFEAD4">
      <w:pPr>
        <w:pStyle w:val="2"/>
        <w:widowControl/>
        <w:spacing w:before="0" w:after="80" w:line="320" w:lineRule="exact"/>
        <w:ind w:firstLine="0"/>
        <w:jc w:val="left"/>
      </w:pPr>
      <w:r>
        <w:rPr>
          <w:rFonts w:ascii="Times New Roman" w:hAnsi="Times New Roman" w:eastAsia="方正仿宋_GBK"/>
          <w:b w:val="0"/>
          <w:sz w:val="21"/>
        </w:rPr>
        <w:t>[67] 张全, 代贤忠, 韩新阳, 等. 基于全生命周期投入产出效益的电网规划精准投资方法[J]. 中国电力, 2018, 51(10): 171-177.</w:t>
      </w:r>
    </w:p>
    <w:p w14:paraId="248708D9">
      <w:pPr>
        <w:pStyle w:val="2"/>
        <w:widowControl/>
        <w:spacing w:before="0" w:after="80" w:line="320" w:lineRule="exact"/>
        <w:ind w:firstLine="0"/>
        <w:jc w:val="left"/>
      </w:pPr>
      <w:r>
        <w:rPr>
          <w:rFonts w:ascii="Times New Roman" w:hAnsi="Times New Roman" w:eastAsia="方正仿宋_GBK"/>
          <w:b w:val="0"/>
          <w:sz w:val="21"/>
        </w:rPr>
        <w:t>[68] 何凯, 王剑晓, 王佳伟, 等. 基于全成本电价的电网规划方案评估与优选[J]. 中国电力, 2020, 53(3): 66-75.</w:t>
      </w:r>
    </w:p>
    <w:p w14:paraId="1F3E9A58">
      <w:pPr>
        <w:pStyle w:val="2"/>
        <w:widowControl/>
        <w:spacing w:before="0" w:after="80" w:line="320" w:lineRule="exact"/>
        <w:ind w:firstLine="0"/>
        <w:jc w:val="left"/>
      </w:pPr>
      <w:r>
        <w:rPr>
          <w:rFonts w:ascii="Times New Roman" w:hAnsi="Times New Roman" w:eastAsia="方正仿宋_GBK"/>
          <w:b w:val="0"/>
          <w:sz w:val="21"/>
        </w:rPr>
        <w:t>[69] 武小琳, 栾凌, 潘连武, 等. 基于LM-CNN的输变电工程造价自动计算模型[J]. 中国电力, 2023, 56(2): 157-163.</w:t>
      </w:r>
    </w:p>
    <w:p w14:paraId="37A08A4D">
      <w:pPr>
        <w:pStyle w:val="2"/>
        <w:widowControl/>
        <w:spacing w:before="0" w:after="80" w:line="320" w:lineRule="exact"/>
        <w:ind w:firstLine="0"/>
        <w:jc w:val="left"/>
      </w:pPr>
      <w:r>
        <w:rPr>
          <w:rFonts w:ascii="Times New Roman" w:hAnsi="Times New Roman" w:eastAsia="方正仿宋_GBK"/>
          <w:b w:val="0"/>
          <w:sz w:val="21"/>
        </w:rPr>
        <w:t>[70] 黄碧斌, 李琼慧, 高菲. 计及电网改造的高渗透率分布式光伏优化规划[J]. 电力建设, 2015, 36(10): 82-87.</w:t>
      </w:r>
    </w:p>
    <w:p w14:paraId="0933830F">
      <w:pPr>
        <w:pStyle w:val="2"/>
        <w:widowControl/>
        <w:spacing w:before="0" w:after="80" w:line="320" w:lineRule="exact"/>
        <w:ind w:firstLine="0"/>
        <w:jc w:val="left"/>
      </w:pPr>
      <w:r>
        <w:rPr>
          <w:rFonts w:ascii="Times New Roman" w:hAnsi="Times New Roman" w:eastAsia="方正仿宋_GBK"/>
          <w:b w:val="0"/>
          <w:sz w:val="21"/>
        </w:rPr>
        <w:t>[71] 汪志才, 蔡晔, 谭玉东, 等. 考虑功能差异的输变电项目效益评价及投资优化方法[J]. 中国电力, 2019, 52(11): 175-184.</w:t>
      </w:r>
    </w:p>
    <w:p w14:paraId="5AC10B14">
      <w:pPr>
        <w:pStyle w:val="2"/>
        <w:widowControl/>
        <w:spacing w:before="0" w:after="80" w:line="320" w:lineRule="exact"/>
        <w:ind w:firstLine="0"/>
        <w:jc w:val="left"/>
      </w:pPr>
      <w:r>
        <w:rPr>
          <w:rFonts w:ascii="Times New Roman" w:hAnsi="Times New Roman" w:eastAsia="方正仿宋_GBK"/>
          <w:b w:val="0"/>
          <w:sz w:val="21"/>
        </w:rPr>
        <w:t>[72] 严小玉. 考虑光伏电源接入影响的兴国县配电网规划[D]. 南昌: 南昌大学, 2016.</w:t>
      </w:r>
    </w:p>
    <w:p w14:paraId="42A74BA6">
      <w:pPr>
        <w:pStyle w:val="2"/>
        <w:widowControl/>
        <w:spacing w:before="0" w:after="80" w:line="320" w:lineRule="exact"/>
        <w:ind w:firstLine="0"/>
        <w:jc w:val="left"/>
      </w:pPr>
      <w:r>
        <w:rPr>
          <w:rFonts w:ascii="Times New Roman" w:hAnsi="Times New Roman" w:eastAsia="方正仿宋_GBK"/>
          <w:b w:val="0"/>
          <w:sz w:val="21"/>
        </w:rPr>
        <w:t>[73] 谢天祥, 赏炜, 高捷. 基于数据驱动的配电网“三级弹性”精准规划方法研究[J]. 电气工程, 2022, 10(3): 139-153. DOI: 10.12677/jee.2022.103016.</w:t>
      </w:r>
    </w:p>
    <w:p w14:paraId="16CD49B0">
      <w:pPr>
        <w:pStyle w:val="2"/>
        <w:widowControl/>
        <w:spacing w:before="0" w:after="80" w:line="320" w:lineRule="exact"/>
        <w:ind w:firstLine="0"/>
        <w:jc w:val="left"/>
      </w:pPr>
      <w:r>
        <w:rPr>
          <w:rFonts w:ascii="Times New Roman" w:hAnsi="Times New Roman" w:eastAsia="方正仿宋_GBK"/>
          <w:b w:val="0"/>
          <w:sz w:val="21"/>
        </w:rPr>
        <w:t>[74] 陈璨, 白明辉, 张婉明, 等. 分布式光伏边界渗透率快速定位及消纳方案择优[J]. 中国电力, 2022, 55(8): 40-50.</w:t>
      </w:r>
    </w:p>
    <w:p w14:paraId="43EA9CAD">
      <w:pPr>
        <w:pStyle w:val="2"/>
        <w:widowControl/>
        <w:spacing w:before="0" w:after="80" w:line="320" w:lineRule="exact"/>
        <w:ind w:firstLine="0"/>
        <w:jc w:val="left"/>
      </w:pPr>
      <w:r>
        <w:rPr>
          <w:rFonts w:ascii="Times New Roman" w:hAnsi="Times New Roman" w:eastAsia="方正仿宋_GBK"/>
          <w:b w:val="0"/>
          <w:sz w:val="21"/>
        </w:rPr>
        <w:t>[75] 孙东磊, 孙毅, 刘蕊, 等. 计及多层级配电网的分布式新能源最大消纳空间分解测算[J]. 中国电力, 2024, 57(8): 108-116.</w:t>
      </w:r>
    </w:p>
    <w:p w14:paraId="620EE8A4">
      <w:pPr>
        <w:pStyle w:val="2"/>
        <w:widowControl/>
        <w:spacing w:before="0" w:after="80" w:line="320" w:lineRule="exact"/>
        <w:ind w:firstLine="0"/>
        <w:jc w:val="left"/>
      </w:pPr>
      <w:r>
        <w:rPr>
          <w:rFonts w:ascii="Times New Roman" w:hAnsi="Times New Roman" w:eastAsia="方正仿宋_GBK"/>
          <w:b w:val="0"/>
          <w:sz w:val="21"/>
        </w:rPr>
        <w:t>[76] 金勇, 刘俊勇, 张曦, 等. 基于功能单元的高压配电网负荷转供分层优化模型[J]. 工程科学与技术, 2017, 49(3): 179-190.</w:t>
      </w:r>
    </w:p>
    <w:p w14:paraId="1D833645">
      <w:pPr>
        <w:pStyle w:val="2"/>
        <w:widowControl/>
        <w:spacing w:before="0" w:after="80" w:line="320" w:lineRule="exact"/>
        <w:ind w:firstLine="0"/>
        <w:jc w:val="left"/>
      </w:pPr>
      <w:r>
        <w:rPr>
          <w:rFonts w:ascii="Times New Roman" w:hAnsi="Times New Roman" w:eastAsia="方正仿宋_GBK"/>
          <w:b w:val="0"/>
          <w:sz w:val="21"/>
        </w:rPr>
        <w:t>[77] ZHAO F, XUE L, ZHU J, et al. A novel investment strategy for renewable-dominated power distribution networks[J]. Frontiers in Energy Research, 2023, 10: 968944.</w:t>
      </w:r>
    </w:p>
    <w:p w14:paraId="4718E324">
      <w:pPr>
        <w:pStyle w:val="2"/>
        <w:widowControl/>
        <w:spacing w:before="0" w:after="80" w:line="320" w:lineRule="exact"/>
        <w:ind w:firstLine="0"/>
        <w:jc w:val="left"/>
      </w:pPr>
      <w:r>
        <w:rPr>
          <w:rFonts w:ascii="Times New Roman" w:hAnsi="Times New Roman" w:eastAsia="方正仿宋_GBK"/>
          <w:b w:val="0"/>
          <w:sz w:val="21"/>
        </w:rPr>
        <w:t>[78] 娄奇鹤, 李彦斌, 赵宇尘, 等. 适应极端事件的配电网弹性规划和投资策略研究综述[J]. 电力建设, 2024, 45(5): 37-47.</w:t>
      </w:r>
    </w:p>
    <w:p w14:paraId="4B4E2CF4">
      <w:pPr>
        <w:pStyle w:val="2"/>
        <w:widowControl/>
        <w:spacing w:before="0" w:after="80" w:line="320" w:lineRule="exact"/>
        <w:ind w:firstLine="0"/>
        <w:jc w:val="left"/>
      </w:pPr>
      <w:r>
        <w:rPr>
          <w:rFonts w:ascii="Times New Roman" w:hAnsi="Times New Roman" w:eastAsia="方正仿宋_GBK"/>
          <w:b w:val="0"/>
          <w:sz w:val="21"/>
        </w:rPr>
        <w:t>[79] 国家发展改革委, 国家能源局. 关于促进新能源消纳和调控的指导意见: 发改能源〔2025〕1360号[Z]. 2025.</w:t>
      </w:r>
    </w:p>
    <w:p w14:paraId="3088F139">
      <w:pPr>
        <w:pStyle w:val="2"/>
        <w:widowControl/>
        <w:spacing w:before="0" w:after="80" w:line="320" w:lineRule="exact"/>
        <w:ind w:firstLine="0"/>
        <w:jc w:val="left"/>
      </w:pPr>
      <w:r>
        <w:rPr>
          <w:rFonts w:ascii="Times New Roman" w:hAnsi="Times New Roman" w:eastAsia="方正仿宋_GBK"/>
          <w:b w:val="0"/>
          <w:sz w:val="21"/>
        </w:rPr>
        <w:t>[80] 国家发展改革委, 国家能源局. 关于深化提升“获得电力”服务水平 全面打造现代化用电营商环境的意见: 发改能源规〔2025〕624号[Z]. 2025.</w:t>
      </w:r>
    </w:p>
    <w:p w14:paraId="3B9709CE">
      <w:pPr>
        <w:pStyle w:val="2"/>
        <w:widowControl/>
        <w:spacing w:before="0" w:after="80" w:line="320" w:lineRule="exact"/>
        <w:ind w:firstLine="0"/>
        <w:jc w:val="left"/>
      </w:pPr>
      <w:r>
        <w:rPr>
          <w:rFonts w:ascii="Times New Roman" w:hAnsi="Times New Roman" w:eastAsia="方正仿宋_GBK"/>
          <w:b w:val="0"/>
          <w:sz w:val="21"/>
        </w:rPr>
        <w:t>[81] 国家发展改革委, 国家能源局, 国家数据局. 加快构建新型电力系统行动方案（2024—2027年）[Z]. 2024.</w:t>
      </w:r>
    </w:p>
    <w:p w14:paraId="5DE578CA">
      <w:pPr>
        <w:pStyle w:val="2"/>
        <w:widowControl/>
        <w:spacing w:before="0" w:after="80" w:line="320" w:lineRule="exact"/>
        <w:ind w:firstLine="0"/>
        <w:jc w:val="left"/>
      </w:pPr>
      <w:r>
        <w:rPr>
          <w:rFonts w:ascii="Times New Roman" w:hAnsi="Times New Roman" w:eastAsia="方正仿宋_GBK"/>
          <w:b w:val="0"/>
          <w:sz w:val="21"/>
        </w:rPr>
        <w:t>[82] 国家能源局. 配电网高质量发展行动实施方案（2024—2027年）[Z]. 2024.</w:t>
      </w:r>
    </w:p>
    <w:p w14:paraId="5845773A">
      <w:pPr>
        <w:pStyle w:val="2"/>
        <w:widowControl/>
        <w:spacing w:before="0" w:after="80" w:line="320" w:lineRule="exact"/>
        <w:ind w:firstLine="0"/>
        <w:jc w:val="left"/>
      </w:pPr>
      <w:r>
        <w:rPr>
          <w:rFonts w:ascii="Times New Roman" w:hAnsi="Times New Roman" w:eastAsia="方正仿宋_GBK"/>
          <w:b w:val="0"/>
          <w:sz w:val="21"/>
        </w:rPr>
        <w:t>[83] 国家能源局. 分布式光伏接入电网承载力及提升措施评估试点实施方案[Z]. 2023.</w:t>
      </w:r>
    </w:p>
    <w:p w14:paraId="5C33A90A">
      <w:pPr>
        <w:pStyle w:val="2"/>
        <w:widowControl/>
        <w:spacing w:before="0" w:after="80" w:line="320" w:lineRule="exact"/>
        <w:ind w:firstLine="0"/>
        <w:jc w:val="left"/>
      </w:pPr>
      <w:r>
        <w:rPr>
          <w:rFonts w:ascii="Times New Roman" w:hAnsi="Times New Roman" w:eastAsia="方正仿宋_GBK"/>
          <w:b w:val="0"/>
          <w:sz w:val="21"/>
        </w:rPr>
        <w:t>[84] 国家能源局. 省级分布式光伏接入电网承载力及提升措施研究分析报告大纲[Z]. 2023.</w:t>
      </w:r>
    </w:p>
    <w:p w14:paraId="70C405D6">
      <w:pPr>
        <w:pStyle w:val="2"/>
        <w:widowControl/>
        <w:spacing w:before="0" w:after="80" w:line="320" w:lineRule="exact"/>
        <w:ind w:firstLine="0"/>
        <w:jc w:val="left"/>
      </w:pPr>
      <w:r>
        <w:rPr>
          <w:rFonts w:ascii="Times New Roman" w:hAnsi="Times New Roman" w:eastAsia="方正仿宋_GBK"/>
          <w:b w:val="0"/>
          <w:sz w:val="21"/>
        </w:rPr>
        <w:t>[85] 国网江苏省电力有限公司徐州供电分公司. 徐州110 kV输变电建设改造工程建设规模及投资估算资料[Z]. 项目工程资料, 年份未注明.</w:t>
      </w:r>
    </w:p>
    <w:p w14:paraId="76F11A3B">
      <w:pPr>
        <w:pStyle w:val="2"/>
        <w:widowControl/>
        <w:spacing w:before="0" w:after="80" w:line="320" w:lineRule="exact"/>
        <w:ind w:firstLine="0"/>
        <w:jc w:val="left"/>
      </w:pPr>
      <w:r>
        <w:rPr>
          <w:rFonts w:ascii="Times New Roman" w:hAnsi="Times New Roman" w:eastAsia="方正仿宋_GBK"/>
          <w:b w:val="0"/>
          <w:sz w:val="21"/>
        </w:rPr>
        <w:t>[86] 郭自文, 王子鉴, 黄纯, 等. 考虑源荷储功率协调和不确定性的配电网集群划分方法[J]. 电网技术, 2026, 50(3): 1082-1090.</w:t>
      </w:r>
    </w:p>
    <w:p w14:paraId="494B6E0C">
      <w:pPr>
        <w:pStyle w:val="2"/>
        <w:widowControl/>
        <w:spacing w:before="0" w:after="80" w:line="320" w:lineRule="exact"/>
        <w:ind w:firstLine="0"/>
        <w:jc w:val="left"/>
      </w:pPr>
      <w:r>
        <w:rPr>
          <w:rFonts w:ascii="Times New Roman" w:hAnsi="Times New Roman" w:eastAsia="方正仿宋_GBK"/>
          <w:b w:val="0"/>
          <w:sz w:val="21"/>
        </w:rPr>
        <w:t>[87] 浏阳经济技术开发区管理委员会. 浏阳经开区南园污水处理厂1MW/2.2MWh用户侧储能项目中标结果公告[EB/OL]. (2024-08-15)[2026-10-02].</w:t>
      </w:r>
    </w:p>
    <w:p w14:paraId="3E7F67F3">
      <w:pPr>
        <w:pStyle w:val="2"/>
        <w:widowControl/>
        <w:spacing w:before="0" w:after="80" w:line="320" w:lineRule="exact"/>
        <w:ind w:firstLine="0"/>
        <w:jc w:val="left"/>
      </w:pPr>
      <w:r>
        <w:rPr>
          <w:rFonts w:ascii="Times New Roman" w:hAnsi="Times New Roman" w:eastAsia="方正仿宋_GBK"/>
          <w:b w:val="0"/>
          <w:sz w:val="21"/>
        </w:rPr>
        <w:t>[88] 华容县人民政府. 华容县配电网规划报告[EB/OL]. 2020. 表7-1. https://www.huarong.gov.cn/33157/64140/64170/content_1874487.html.</w:t>
      </w:r>
    </w:p>
    <w:p w14:paraId="1661D952">
      <w:pPr>
        <w:pStyle w:val="2"/>
        <w:widowControl/>
        <w:spacing w:before="0" w:after="80" w:line="320" w:lineRule="exact"/>
        <w:ind w:firstLine="0"/>
        <w:jc w:val="left"/>
      </w:pPr>
      <w:r>
        <w:rPr>
          <w:rFonts w:ascii="Times New Roman" w:hAnsi="Times New Roman" w:eastAsia="方正仿宋_GBK"/>
          <w:b w:val="0"/>
          <w:sz w:val="21"/>
        </w:rPr>
        <w:t>[89] 苏州禾瑞新能源发展有限公司. 苏州欣科导轨（二期）399.555KW屋顶分布式光伏及储能电站项目招标公告[EB/OL]. (2025-03-25)[2026-10-02]. 苏州市公共资源交易平台.</w:t>
      </w:r>
    </w:p>
    <w:p w14:paraId="4E346D01">
      <w:pPr>
        <w:pStyle w:val="2"/>
        <w:widowControl/>
        <w:spacing w:before="0" w:after="80" w:line="320" w:lineRule="exact"/>
        <w:ind w:firstLine="0"/>
        <w:jc w:val="left"/>
      </w:pPr>
      <w:r>
        <w:rPr>
          <w:rFonts w:ascii="Times New Roman" w:hAnsi="Times New Roman" w:eastAsia="方正仿宋_GBK"/>
          <w:b w:val="0"/>
          <w:sz w:val="21"/>
        </w:rPr>
        <w:t>[90] National Institute of Standards and Technology. Dataplot Reference Manual: Correlation[EB/OL]. (1997-03-18)[2026-10-07]. https://www.itl.nist.gov/div898/software/dataplot/refman2/ch2/correlat.pdf.</w:t>
      </w:r>
    </w:p>
    <w:p w14:paraId="1DF0FA77">
      <w:pPr>
        <w:pStyle w:val="2"/>
        <w:widowControl/>
        <w:spacing w:before="0" w:after="80" w:line="320" w:lineRule="exact"/>
        <w:ind w:firstLine="0"/>
        <w:jc w:val="left"/>
      </w:pPr>
      <w:r>
        <w:rPr>
          <w:rFonts w:ascii="Times New Roman" w:hAnsi="Times New Roman" w:eastAsia="方正仿宋_GBK"/>
          <w:b w:val="0"/>
          <w:sz w:val="21"/>
        </w:rPr>
        <w:t>[91] 徐州10 kV线路迁改项目招标公告[EB/OL]. 2025. https://ggzy.zwb.xz.gov.cn/jyxx/003009/003009001/20250903/8c7d2dd2-dcab-4abf-827f-d0f5774799d3.html.</w:t>
      </w:r>
    </w:p>
    <w:p w14:paraId="2DFDC707">
      <w:pPr>
        <w:pStyle w:val="2"/>
        <w:widowControl/>
        <w:spacing w:before="0" w:after="80" w:line="320" w:lineRule="exact"/>
        <w:ind w:firstLine="0"/>
        <w:jc w:val="left"/>
      </w:pPr>
      <w:r>
        <w:rPr>
          <w:rFonts w:ascii="Times New Roman" w:hAnsi="Times New Roman" w:eastAsia="方正仿宋_GBK"/>
          <w:b w:val="0"/>
          <w:sz w:val="21"/>
        </w:rPr>
        <w:t>[92] 江苏省人民政府办公厅. 关于转发省发展改革委江苏省光伏发电推进意见的通知：苏政办发〔2009〕85号[EB/OL]. (2009-06-19)[2026-10-06]. https://www.jiangsu.gov.cn/art/2009/9/15/art_46882_2681290.html.</w:t>
      </w:r>
    </w:p>
    <w:p w14:paraId="68C50766">
      <w:pPr>
        <w:pStyle w:val="2"/>
        <w:widowControl/>
        <w:spacing w:before="0" w:after="80" w:line="320" w:lineRule="exact"/>
        <w:ind w:firstLine="0"/>
        <w:jc w:val="left"/>
      </w:pPr>
      <w:r>
        <w:rPr>
          <w:rFonts w:ascii="Times New Roman" w:hAnsi="Times New Roman" w:eastAsia="方正仿宋_GBK"/>
          <w:b w:val="0"/>
          <w:sz w:val="21"/>
        </w:rPr>
        <w:t>[93] 徐州地铁集团有限公司. 徐州地铁分布式光伏发电首期项目可研及设计全过程服务项目招标公告：0675-220JOC010007[EB/OL]. (2022-02-17)[2026-10-06]. https://ggzy.zwb.xz.gov.cn/jyxx/003009/003009001/20220217/f98ec421-7088-4256-b7c3-4f242176f576.html.</w:t>
      </w:r>
    </w:p>
    <w:p w14:paraId="35B5D15A">
      <w:pPr>
        <w:pStyle w:val="2"/>
        <w:widowControl/>
        <w:spacing w:before="0" w:after="80" w:line="320" w:lineRule="exact"/>
        <w:ind w:firstLine="0"/>
        <w:jc w:val="left"/>
      </w:pPr>
      <w:r>
        <w:rPr>
          <w:rFonts w:ascii="Times New Roman" w:hAnsi="Times New Roman" w:eastAsia="方正仿宋_GBK"/>
          <w:b w:val="0"/>
          <w:sz w:val="21"/>
        </w:rPr>
        <w:t>[94] 江苏省发展和改革委员会. 关于印发《江苏省分布式光伏发展实施方案（2026—2030年）》的通知：苏发改能源发〔2026〕695号[EB/OL]. (2026-07-21)[2026-10-06]. https://fzggw.jiangsu.gov.cn/art/2026/7/29/art_84097_11809969.html.</w:t>
      </w:r>
    </w:p>
    <w:p w14:paraId="3028310C">
      <w:pPr>
        <w:pStyle w:val="2"/>
        <w:widowControl/>
        <w:spacing w:before="0" w:after="80" w:line="320" w:lineRule="exact"/>
        <w:ind w:firstLine="0"/>
        <w:jc w:val="left"/>
      </w:pPr>
      <w:r>
        <w:rPr>
          <w:rFonts w:ascii="Times New Roman" w:hAnsi="Times New Roman" w:eastAsia="方正仿宋_GBK"/>
          <w:b w:val="0"/>
          <w:sz w:val="21"/>
        </w:rPr>
        <w:t>[95] 李阳彤, 王主丁, 陈琳, 等. 基于变电站容量概率规划的分布式电源可信度和有源配电网容载比计算分析[J]. 电网技术, 2026, 50(2): 619-628. DOI: 10.13335/j.1000-3673.pst.2024.1440.</w:t>
      </w:r>
    </w:p>
    <w:sectPr>
      <w:headerReference r:id="rId8" w:type="first"/>
      <w:footerReference r:id="rId10" w:type="first"/>
      <w:headerReference r:id="rId7" w:type="default"/>
      <w:footerReference r:id="rId9" w:type="default"/>
      <w:pgSz w:w="11906" w:h="16838"/>
      <w:pgMar w:top="1440" w:right="1797" w:bottom="1440" w:left="1797" w:header="720" w:footer="720" w:gutter="0"/>
      <w:cols w:space="425" w:num="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7T18:02:18Z" w:initials="">
    <w:p w14:paraId="1E10FD32">
      <w:pPr>
        <w:pStyle w:val="15"/>
        <w:rPr>
          <w:rFonts w:hint="default" w:eastAsia="方正仿宋_GBK"/>
          <w:lang w:eastAsia="zh"/>
        </w:rPr>
      </w:pPr>
      <w:bookmarkStart w:id="291" w:name="_T472772365_233911019"/>
      <w:r>
        <w:rPr>
          <w:rFonts w:hint="default"/>
          <w:lang w:eastAsia="zh"/>
        </w:rPr>
        <w:t>正常运行，主变不超过80%；N-1，剩余主变不超过130%</w:t>
      </w:r>
      <w:bookmarkStart w:id="302" w:name="_GoBack"/>
      <w:bookmarkEnd w:id="302"/>
    </w:p>
    <w:bookmarkEnd w:id="291"/>
  </w:comment>
  <w:comment w:id="1" w:author="白日梦想家" w:date="2026-10-17T18:16:00Z" w:initials="">
    <w:p w14:paraId="045BA0AE">
      <w:pPr>
        <w:pStyle w:val="15"/>
        <w:rPr>
          <w:rFonts w:hint="eastAsia" w:eastAsia="方正仿宋_GBK"/>
          <w:lang w:eastAsia="zh"/>
        </w:rPr>
      </w:pPr>
      <w:bookmarkStart w:id="292" w:name="_T987764788_233911019"/>
      <w:r>
        <w:rPr>
          <w:rFonts w:hint="eastAsia"/>
          <w:lang w:eastAsia="zh"/>
        </w:rPr>
        <w:t>这是谁</w:t>
      </w:r>
    </w:p>
    <w:bookmarkEnd w:id="292"/>
  </w:comment>
  <w:comment w:id="2" w:author="白日梦想家" w:date="2026-10-17T18:19:15Z" w:initials="">
    <w:p w14:paraId="343737BF">
      <w:pPr>
        <w:pStyle w:val="15"/>
        <w:rPr>
          <w:rFonts w:hint="eastAsia" w:eastAsia="方正仿宋_GBK"/>
          <w:lang w:eastAsia="zh"/>
        </w:rPr>
      </w:pPr>
      <w:bookmarkStart w:id="293" w:name="_T814036390_233911019"/>
      <w:r>
        <w:rPr>
          <w:rFonts w:hint="eastAsia"/>
          <w:lang w:eastAsia="zh"/>
        </w:rPr>
        <w:t>是否都是110kV变电站，如果研究的只有110变电站，第一行，就写110kV变电站，表中不要再出现110kV的字样。</w:t>
      </w:r>
    </w:p>
    <w:bookmarkEnd w:id="293"/>
  </w:comment>
  <w:comment w:id="3" w:author="白日梦想家" w:date="2026-10-17T18:19:31Z" w:initials="">
    <w:p w14:paraId="2C0803F5">
      <w:pPr>
        <w:pStyle w:val="15"/>
        <w:rPr>
          <w:rFonts w:hint="eastAsia" w:eastAsia="方正仿宋_GBK"/>
          <w:lang w:eastAsia="zh"/>
        </w:rPr>
      </w:pPr>
      <w:bookmarkStart w:id="294" w:name="_T1655517830_233911019"/>
      <w:r>
        <w:rPr>
          <w:rFonts w:hint="eastAsia"/>
          <w:lang w:eastAsia="zh"/>
        </w:rPr>
        <w:t>有没有35kV的</w:t>
      </w:r>
    </w:p>
    <w:bookmarkEnd w:id="294"/>
  </w:comment>
  <w:comment w:id="4" w:author="白日梦想家" w:date="2026-10-17T18:21:55Z" w:initials="">
    <w:p w14:paraId="29616F1F">
      <w:pPr>
        <w:pStyle w:val="15"/>
        <w:rPr>
          <w:rFonts w:hint="eastAsia" w:eastAsia="方正仿宋_GBK"/>
          <w:lang w:eastAsia="zh"/>
        </w:rPr>
      </w:pPr>
      <w:bookmarkStart w:id="295" w:name="_T449487791_233911019"/>
      <w:r>
        <w:rPr>
          <w:rFonts w:hint="eastAsia"/>
          <w:lang w:eastAsia="zh"/>
        </w:rPr>
        <w:t>这十三项候选是否囊括了参考文献中提到的影响容载比的指标</w:t>
      </w:r>
    </w:p>
    <w:bookmarkEnd w:id="295"/>
  </w:comment>
  <w:comment w:id="5" w:author="白日梦想家" w:date="2026-10-17T18:29:49Z" w:initials="">
    <w:p w14:paraId="3805279A">
      <w:pPr>
        <w:pStyle w:val="15"/>
        <w:rPr>
          <w:rFonts w:hint="eastAsia" w:eastAsia="方正仿宋_GBK"/>
          <w:lang w:eastAsia="zh"/>
        </w:rPr>
      </w:pPr>
      <w:bookmarkStart w:id="296" w:name="_T1948223348_233911019"/>
      <w:r>
        <w:rPr>
          <w:rFonts w:hint="eastAsia"/>
          <w:lang w:eastAsia="zh"/>
        </w:rPr>
        <w:t>负荷分散系数取1是否合理，显示是否存在可能取到1.15以上？</w:t>
      </w:r>
    </w:p>
    <w:bookmarkEnd w:id="296"/>
  </w:comment>
  <w:comment w:id="6" w:author="白日梦想家" w:date="2026-10-17T18:35:47Z" w:initials="">
    <w:p w14:paraId="4E658D44">
      <w:pPr>
        <w:pStyle w:val="15"/>
        <w:rPr>
          <w:rFonts w:hint="eastAsia" w:eastAsia="方正仿宋_GBK"/>
          <w:lang w:eastAsia="zh"/>
        </w:rPr>
      </w:pPr>
      <w:bookmarkStart w:id="297" w:name="_T51724931_233911019"/>
      <w:r>
        <w:rPr>
          <w:rFonts w:hint="eastAsia"/>
          <w:lang w:eastAsia="zh"/>
        </w:rPr>
        <w:t>新增1回10kV线路的供电能力是怎么得来的？</w:t>
      </w:r>
    </w:p>
    <w:bookmarkEnd w:id="297"/>
  </w:comment>
  <w:comment w:id="7" w:author="白日梦想家" w:date="2026-10-17T18:54:16Z" w:initials="">
    <w:p w14:paraId="589CAF3E">
      <w:pPr>
        <w:pStyle w:val="15"/>
        <w:rPr>
          <w:rFonts w:hint="eastAsia" w:eastAsia="方正仿宋_GBK"/>
          <w:lang w:eastAsia="zh"/>
        </w:rPr>
      </w:pPr>
      <w:bookmarkStart w:id="298" w:name="_T1821941005_233911019"/>
      <w:r>
        <w:rPr>
          <w:rFonts w:hint="eastAsia"/>
          <w:lang w:eastAsia="zh"/>
        </w:rPr>
        <w:t>标题改为：供电安全及供电能力约束</w:t>
      </w:r>
    </w:p>
    <w:bookmarkEnd w:id="298"/>
  </w:comment>
  <w:comment w:id="8" w:author="白日梦想家" w:date="2026-10-17T18:46:40Z" w:initials="">
    <w:p w14:paraId="641D9167">
      <w:pPr>
        <w:pStyle w:val="15"/>
        <w:rPr>
          <w:rFonts w:hint="eastAsia" w:eastAsia="方正仿宋_GBK"/>
          <w:lang w:eastAsia="zh"/>
        </w:rPr>
      </w:pPr>
      <w:bookmarkStart w:id="299" w:name="_T2098182985_233911019"/>
      <w:r>
        <w:rPr>
          <w:rFonts w:hint="eastAsia"/>
          <w:lang w:eastAsia="zh"/>
        </w:rPr>
        <w:t>为什么不把2021年的数据放出来，2021年不是基期年吗</w:t>
      </w:r>
    </w:p>
    <w:bookmarkEnd w:id="299"/>
  </w:comment>
  <w:comment w:id="9" w:author="白日梦想家" w:date="2026-10-17T18:50:28Z" w:initials="">
    <w:p w14:paraId="219532EC">
      <w:pPr>
        <w:pStyle w:val="15"/>
        <w:rPr>
          <w:rFonts w:hint="eastAsia" w:eastAsia="方正仿宋_GBK"/>
          <w:lang w:eastAsia="zh"/>
        </w:rPr>
      </w:pPr>
      <w:bookmarkStart w:id="300" w:name="_T1249601267_233911019"/>
      <w:r>
        <w:rPr>
          <w:rFonts w:hint="eastAsia"/>
          <w:lang w:eastAsia="zh"/>
        </w:rPr>
        <w:t>要把2021年基期年的数据放进去，否则感觉两个方案不在一个起点。可以继续规划到2030年，注明下，2030年用的预测数据，是区域数据，非逐站数据，负荷及新能源预测数据具体是多少</w:t>
      </w:r>
    </w:p>
    <w:bookmarkEnd w:id="300"/>
  </w:comment>
  <w:comment w:id="10" w:author="白日梦想家" w:date="2026-10-17T19:08:06Z" w:initials="">
    <w:p w14:paraId="388AC0F3">
      <w:pPr>
        <w:pStyle w:val="15"/>
        <w:rPr>
          <w:rFonts w:hint="eastAsia" w:eastAsia="方正仿宋_GBK"/>
          <w:lang w:eastAsia="zh"/>
        </w:rPr>
      </w:pPr>
      <w:bookmarkStart w:id="301" w:name="_T581011112_233911019"/>
      <w:r>
        <w:rPr>
          <w:rFonts w:hint="eastAsia"/>
          <w:lang w:eastAsia="zh"/>
        </w:rPr>
        <w:t>为什么其他条件不变的情况下，随着转供率的变化，容载比的变化不是连续的，比如＜30%，如果是1.91~2.09，30~50%我认为应是1.76~1.9，50~70%我认为应该是1.5~1.76啊</w:t>
      </w:r>
    </w:p>
    <w:bookmarkEnd w:id="301"/>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E10FD32" w15:done="0"/>
  <w15:commentEx w15:paraId="045BA0AE" w15:done="0"/>
  <w15:commentEx w15:paraId="343737BF" w15:done="0"/>
  <w15:commentEx w15:paraId="2C0803F5" w15:done="0" w15:paraIdParent="343737BF"/>
  <w15:commentEx w15:paraId="29616F1F" w15:done="0"/>
  <w15:commentEx w15:paraId="3805279A" w15:done="0"/>
  <w15:commentEx w15:paraId="4E658D44" w15:done="0"/>
  <w15:commentEx w15:paraId="589CAF3E" w15:done="0"/>
  <w15:commentEx w15:paraId="641D9167" w15:done="0"/>
  <w15:commentEx w15:paraId="219532EC" w15:done="0"/>
  <w15:commentEx w15:paraId="388AC0F3"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方正仿宋_GBK">
    <w:altName w:val="华文中宋"/>
    <w:panose1 w:val="03000509000000000000"/>
    <w:charset w:val="86"/>
    <w:family w:val="script"/>
    <w:pitch w:val="default"/>
    <w:sig w:usb0="00000000" w:usb1="00000000" w:usb2="00000000" w:usb3="00000000" w:csb0="00040000" w:csb1="00000000"/>
  </w:font>
  <w:font w:name="华文中宋">
    <w:panose1 w:val="02010600040101010101"/>
    <w:charset w:val="86"/>
    <w:family w:val="auto"/>
    <w:pitch w:val="default"/>
    <w:sig w:usb0="00000287" w:usb1="080F0000" w:usb2="00000000" w:usb3="00000000" w:csb0="0004009F" w:csb1="DFD70000"/>
  </w:font>
  <w:font w:name="等线 Light">
    <w:altName w:val="汉仪中等线KW"/>
    <w:panose1 w:val="02010600030101010101"/>
    <w:charset w:val="86"/>
    <w:family w:val="auto"/>
    <w:pitch w:val="default"/>
    <w:sig w:usb0="00000000" w:usb1="00000000" w:usb2="00000016" w:usb3="00000000" w:csb0="0004000F"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汉仪中等线KW"/>
    <w:panose1 w:val="02010609030101010101"/>
    <w:charset w:val="86"/>
    <w:family w:val="modern"/>
    <w:pitch w:val="default"/>
    <w:sig w:usb0="00000000" w:usb1="00000000" w:usb2="00000000" w:usb3="00000000" w:csb0="00040000" w:csb1="00000000"/>
  </w:font>
  <w:font w:name="方正仿宋_GBK">
    <w:altName w:val="汉仪中等线KW"/>
    <w:panose1 w:val="00000000000000000000"/>
    <w:charset w:val="00"/>
    <w:family w:val="auto"/>
    <w:pitch w:val="default"/>
    <w:sig w:usb0="00000000" w:usb1="00000000" w:usb2="00000000" w:usb3="00000000" w:csb0="00000000" w:csb1="0000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仿宋">
    <w:altName w:val="汉仪中等线KW"/>
    <w:panose1 w:val="02010609060101010101"/>
    <w:charset w:val="86"/>
    <w:family w:val="modern"/>
    <w:pitch w:val="default"/>
    <w:sig w:usb0="00000000" w:usb1="00000000" w:usb2="00000016" w:usb3="00000000" w:csb0="00040001"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26A0AE">
    <w:pPr>
      <w:jc w:val="center"/>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BC3C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1176EC">
    <w:pPr>
      <w:jc w:val="center"/>
    </w:pPr>
    <w:r>
      <w:rPr>
        <w:rFonts w:ascii="Times New Roman" w:hAnsi="Times New Roman" w:eastAsia="宋体"/>
        <w:b w:val="0"/>
        <w:sz w:val="18"/>
      </w:rPr>
      <w:t>徐州地区110 kV电网容载比弹性指标优化研究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AC3ED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1F7FA93C"/>
    <w:rsid w:val="273D374F"/>
    <w:rsid w:val="2DFFFD9B"/>
    <w:rsid w:val="2FAAC42B"/>
    <w:rsid w:val="2FCB6735"/>
    <w:rsid w:val="3A6B344E"/>
    <w:rsid w:val="5FFB57CD"/>
    <w:rsid w:val="70BEC4A2"/>
    <w:rsid w:val="77BBB5AC"/>
    <w:rsid w:val="77E71814"/>
    <w:rsid w:val="79C74C48"/>
    <w:rsid w:val="7FDDC153"/>
    <w:rsid w:val="A2B86926"/>
    <w:rsid w:val="AF153922"/>
    <w:rsid w:val="BDFC2641"/>
    <w:rsid w:val="DBCE159D"/>
    <w:rsid w:val="DD6E62C3"/>
    <w:rsid w:val="EEB75E02"/>
    <w:rsid w:val="FB674E2E"/>
    <w:rsid w:val="FBBD5D70"/>
    <w:rsid w:val="FBF53901"/>
  </w:rsids>
  <m:mathPr>
    <m:mathFont m:val="Times New Roman"/>
    <m:brkBin m:val="before"/>
    <m:brkBinSub m:val="--"/>
    <m:smallFrac m:val="0"/>
    <m:dispDef m:val="0"/>
    <m:lMargin m:val="0"/>
    <m:rMargin m:val="0"/>
    <m:defJc m:val="centerGroup"/>
    <m:wrapRight m:val="1"/>
    <m:intLim m:val="subSup"/>
    <m:naryLim m:val="subSup"/>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before="0" w:after="0" w:line="348" w:lineRule="exact"/>
      <w:ind w:firstLine="480" w:firstLineChars="200"/>
      <w:jc w:val="both"/>
    </w:pPr>
    <w:rPr>
      <w:rFonts w:ascii="Times New Roman" w:hAnsi="Times New Roman" w:eastAsia="方正仿宋_GBK" w:cstheme="minorBidi"/>
      <w:kern w:val="2"/>
      <w:sz w:val="24"/>
      <w:szCs w:val="22"/>
      <w:lang w:val="en-US" w:eastAsia="zh-CN" w:bidi="ar-SA"/>
    </w:rPr>
  </w:style>
  <w:style w:type="paragraph" w:styleId="3">
    <w:name w:val="heading 1"/>
    <w:next w:val="1"/>
    <w:link w:val="36"/>
    <w:qFormat/>
    <w:uiPriority w:val="9"/>
    <w:pPr>
      <w:keepNext/>
      <w:keepLines/>
      <w:snapToGrid w:val="0"/>
      <w:spacing w:before="0" w:beforeLines="50" w:after="120" w:afterLines="50" w:line="360" w:lineRule="auto"/>
      <w:ind w:firstLine="0"/>
      <w:outlineLvl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napToGrid w:val="0"/>
      <w:spacing w:before="160" w:after="120" w:line="360" w:lineRule="auto"/>
      <w:ind w:firstLine="0"/>
      <w:outlineLvl w:val="1"/>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napToGrid w:val="0"/>
      <w:spacing w:before="160" w:beforeLines="50" w:after="120" w:afterLines="50" w:line="360" w:lineRule="auto"/>
      <w:ind w:firstLine="0"/>
      <w:jc w:val="left"/>
      <w:outlineLvl w:val="2"/>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napToGrid w:val="0"/>
      <w:spacing w:before="160" w:after="120" w:line="360" w:lineRule="auto"/>
      <w:ind w:firstLine="0" w:firstLineChars="0"/>
      <w:outlineLvl w:val="3"/>
    </w:pPr>
    <w:rPr>
      <w:rFonts w:ascii="Times New Roman" w:hAnsi="Times New Roman" w:eastAsia="方正仿宋_GBK" w:cstheme="majorBidi"/>
      <w:b/>
      <w:bCs/>
      <w:sz w:val="24"/>
      <w:szCs w:val="28"/>
    </w:rPr>
  </w:style>
  <w:style w:type="paragraph" w:styleId="8">
    <w:name w:val="heading 5"/>
    <w:basedOn w:val="1"/>
    <w:next w:val="1"/>
    <w:link w:val="40"/>
    <w:semiHidden/>
    <w:unhideWhenUsed/>
    <w:qFormat/>
    <w:uiPriority w:val="9"/>
    <w:pPr>
      <w:keepNext/>
      <w:keepLines/>
      <w:snapToGrid w:val="0"/>
      <w:spacing w:before="280" w:after="290" w:line="374" w:lineRule="auto"/>
      <w:outlineLvl w:val="4"/>
    </w:pPr>
    <w:rPr>
      <w:b/>
      <w:bCs/>
      <w:szCs w:val="28"/>
    </w:rPr>
  </w:style>
  <w:style w:type="paragraph" w:styleId="9">
    <w:name w:val="heading 6"/>
    <w:basedOn w:val="1"/>
    <w:next w:val="1"/>
    <w:link w:val="41"/>
    <w:semiHidden/>
    <w:unhideWhenUsed/>
    <w:qFormat/>
    <w:uiPriority w:val="9"/>
    <w:pPr>
      <w:keepNext/>
      <w:keepLines/>
      <w:adjustRightInd/>
      <w:snapToGrid w:val="0"/>
      <w:spacing w:before="240" w:after="64" w:line="319" w:lineRule="auto"/>
      <w:outlineLvl w:val="5"/>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napToGrid w:val="0"/>
      <w:spacing w:before="240" w:after="64" w:line="319" w:lineRule="auto"/>
      <w:outlineLvl w:val="6"/>
    </w:pPr>
    <w:rPr>
      <w:b/>
      <w:bCs/>
      <w:szCs w:val="24"/>
    </w:rPr>
  </w:style>
  <w:style w:type="paragraph" w:styleId="11">
    <w:name w:val="heading 8"/>
    <w:basedOn w:val="1"/>
    <w:next w:val="1"/>
    <w:link w:val="43"/>
    <w:semiHidden/>
    <w:unhideWhenUsed/>
    <w:qFormat/>
    <w:uiPriority w:val="9"/>
    <w:pPr>
      <w:keepNext/>
      <w:keepLines/>
      <w:snapToGrid w:val="0"/>
      <w:spacing w:before="240" w:after="64" w:line="319" w:lineRule="auto"/>
      <w:outlineLvl w:val="7"/>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napToGrid w:val="0"/>
      <w:spacing w:before="240" w:after="64" w:line="319" w:lineRule="auto"/>
      <w:outlineLvl w:val="8"/>
    </w:pPr>
    <w:rPr>
      <w:rFonts w:asciiTheme="majorHAnsi" w:hAnsiTheme="majorHAnsi" w:eastAsiaTheme="majorEastAsia" w:cstheme="majorBidi"/>
      <w:sz w:val="21"/>
      <w:szCs w:val="21"/>
    </w:rPr>
  </w:style>
  <w:style w:type="character" w:default="1" w:styleId="28">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napToGrid w:val="0"/>
      <w:spacing w:before="0" w:after="0" w:line="348" w:lineRule="exact"/>
      <w:ind w:firstLine="480"/>
    </w:pPr>
    <w:rPr>
      <w:rFonts w:ascii="Times New Roman" w:hAnsi="Times New Roman" w:eastAsia="方正仿宋_GBK"/>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snapToGrid w:val="0"/>
      <w:jc w:val="center"/>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qFormat/>
    <w:uiPriority w:val="99"/>
    <w:pPr>
      <w:snapToGrid w:val="0"/>
      <w:jc w:val="left"/>
    </w:pPr>
  </w:style>
  <w:style w:type="paragraph" w:styleId="16">
    <w:name w:val="toc 3"/>
    <w:basedOn w:val="1"/>
    <w:next w:val="1"/>
    <w:autoRedefine/>
    <w:semiHidden/>
    <w:unhideWhenUsed/>
    <w:qFormat/>
    <w:uiPriority w:val="39"/>
    <w:pPr>
      <w:snapToGrid w:val="0"/>
      <w:ind w:left="840" w:leftChars="400"/>
    </w:pPr>
  </w:style>
  <w:style w:type="paragraph" w:styleId="17">
    <w:name w:val="Date"/>
    <w:basedOn w:val="1"/>
    <w:next w:val="1"/>
    <w:link w:val="48"/>
    <w:semiHidden/>
    <w:unhideWhenUsed/>
    <w:qFormat/>
    <w:uiPriority w:val="99"/>
    <w:pPr>
      <w:snapToGrid w:val="0"/>
      <w:ind w:left="100" w:leftChars="250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napToGrid w:val="0"/>
      <w:spacing w:line="240" w:lineRule="atLeast"/>
      <w:jc w:val="left"/>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napToGrid w:val="0"/>
      <w:spacing w:line="240" w:lineRule="atLeast"/>
      <w:jc w:val="center"/>
    </w:pPr>
    <w:rPr>
      <w:sz w:val="18"/>
      <w:szCs w:val="18"/>
    </w:rPr>
  </w:style>
  <w:style w:type="paragraph" w:styleId="21">
    <w:name w:val="toc 1"/>
    <w:basedOn w:val="1"/>
    <w:next w:val="1"/>
    <w:autoRedefine/>
    <w:unhideWhenUsed/>
    <w:qFormat/>
    <w:uiPriority w:val="39"/>
    <w:pPr>
      <w:tabs>
        <w:tab w:val="left" w:pos="0"/>
        <w:tab w:val="right" w:leader="dot" w:pos="8302"/>
      </w:tabs>
      <w:snapToGrid w:val="0"/>
      <w:spacing w:line="360" w:lineRule="auto"/>
      <w:ind w:firstLine="0" w:firstLineChars="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napToGrid w:val="0"/>
      <w:spacing w:line="360" w:lineRule="auto"/>
      <w:ind w:left="640" w:leftChars="200" w:firstLine="0" w:firstLineChars="0"/>
    </w:pPr>
  </w:style>
  <w:style w:type="paragraph" w:styleId="23">
    <w:name w:val="Normal (Web)"/>
    <w:basedOn w:val="1"/>
    <w:semiHidden/>
    <w:unhideWhenUsed/>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styleId="24">
    <w:name w:val="annotation subject"/>
    <w:basedOn w:val="15"/>
    <w:next w:val="15"/>
    <w:link w:val="114"/>
    <w:semiHidden/>
    <w:unhideWhenUsed/>
    <w:qFormat/>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qFormat/>
    <w:uiPriority w:val="99"/>
    <w:rPr>
      <w:sz w:val="21"/>
      <w:szCs w:val="21"/>
    </w:rPr>
  </w:style>
  <w:style w:type="paragraph" w:customStyle="1" w:styleId="33">
    <w:name w:val="参考文献"/>
    <w:basedOn w:val="2"/>
    <w:link w:val="34"/>
    <w:autoRedefine/>
    <w:qFormat/>
    <w:uiPriority w:val="0"/>
    <w:pPr>
      <w:widowControl/>
      <w:numPr>
        <w:ilvl w:val="0"/>
        <w:numId w:val="1"/>
      </w:numPr>
      <w:wordWrap w:val="0"/>
      <w:topLinePunct/>
      <w:autoSpaceDE w:val="0"/>
      <w:snapToGrid w:val="0"/>
      <w:spacing w:before="180" w:after="180"/>
      <w:ind w:left="420" w:hanging="420"/>
    </w:pPr>
    <w:rPr>
      <w:rFonts w:eastAsia="宋体"/>
    </w:rPr>
  </w:style>
  <w:style w:type="character" w:customStyle="1" w:styleId="34">
    <w:name w:val="参考文献 字符"/>
    <w:basedOn w:val="35"/>
    <w:link w:val="33"/>
    <w:qFormat/>
    <w:uiPriority w:val="0"/>
    <w:rPr>
      <w:rFonts w:ascii="Times New Roman" w:hAnsi="Times New Roman" w:eastAsia="宋体"/>
    </w:rPr>
  </w:style>
  <w:style w:type="character" w:customStyle="1" w:styleId="35">
    <w:name w:val="正文文本 字符"/>
    <w:basedOn w:val="28"/>
    <w:link w:val="2"/>
    <w:semiHidden/>
    <w:qFormat/>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snapToGrid w:val="0"/>
      <w:jc w:val="both"/>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napToGrid w:val="0"/>
      <w:spacing w:line="580" w:lineRule="exact"/>
      <w:ind w:firstLine="643" w:firstLineChars="20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snapToGrid w:val="0"/>
      <w:jc w:val="center"/>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napToGrid w:val="0"/>
      <w:spacing w:before="240" w:beforeLines="0" w:afterLines="0" w:line="256" w:lineRule="auto"/>
      <w:outlineLvl w:val="9"/>
    </w:pPr>
    <w:rPr>
      <w:rFonts w:asciiTheme="majorHAnsi" w:hAnsiTheme="majorHAnsi" w:eastAsiaTheme="majorEastAsia" w:cstheme="majorBidi"/>
      <w:b w:val="0"/>
      <w:bCs w:val="0"/>
      <w:color w:val="2F5496" w:themeColor="accent1" w:themeShade="BF"/>
      <w:kern w:val="0"/>
      <w:sz w:val="32"/>
      <w:szCs w:val="32"/>
    </w:rPr>
  </w:style>
  <w:style w:type="paragraph" w:customStyle="1" w:styleId="57">
    <w:name w:val="_Style 40"/>
    <w:basedOn w:val="1"/>
    <w:next w:val="53"/>
    <w:qFormat/>
    <w:uiPriority w:val="99"/>
    <w:pPr>
      <w:adjustRightInd/>
      <w:snapToGrid w:val="0"/>
      <w:ind w:firstLine="42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62">
    <w:name w:val="xl103"/>
    <w:basedOn w:val="1"/>
    <w:qFormat/>
    <w:uiPriority w:val="99"/>
    <w:pPr>
      <w:widowControl/>
      <w:adjustRightInd/>
      <w:snapToGrid w:val="0"/>
      <w:spacing w:before="100" w:beforeAutospacing="1" w:after="100" w:afterAutospacing="1"/>
      <w:jc w:val="center"/>
    </w:pPr>
    <w:rPr>
      <w:rFonts w:ascii="黑体" w:hAnsi="黑体" w:eastAsia="黑体" w:cs="宋体"/>
      <w:color w:val="000000"/>
      <w:kern w:val="0"/>
      <w:szCs w:val="24"/>
    </w:rPr>
  </w:style>
  <w:style w:type="paragraph" w:customStyle="1" w:styleId="63">
    <w:name w:val="xl104"/>
    <w:basedOn w:val="1"/>
    <w:qFormat/>
    <w:uiPriority w:val="99"/>
    <w:pPr>
      <w:widowControl/>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center"/>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napToGrid w:val="0"/>
      <w:spacing w:before="100" w:beforeAutospacing="1" w:after="100" w:afterAutospacing="1"/>
      <w:jc w:val="center"/>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center"/>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napToGrid w:val="0"/>
      <w:spacing w:before="100" w:beforeAutospacing="1" w:after="100" w:afterAutospacing="1"/>
      <w:jc w:val="center"/>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napToGrid w:val="0"/>
      <w:spacing w:before="100" w:beforeAutospacing="1" w:after="100" w:afterAutospacing="1"/>
      <w:jc w:val="center"/>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4">
    <w:name w:val="xl72"/>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napToGrid w:val="0"/>
      <w:spacing w:before="100" w:beforeAutospacing="1" w:after="100" w:afterAutospacing="1"/>
      <w:jc w:val="center"/>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napToGrid w:val="0"/>
      <w:spacing w:before="100" w:beforeAutospacing="1" w:after="100" w:afterAutospacing="1"/>
      <w:jc w:val="center"/>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snapToGrid w:val="0"/>
      <w:ind w:firstLine="42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496"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115">
    <w:name w:val="First Paragraph"/>
    <w:basedOn w:val="1"/>
    <w:uiPriority w:val="0"/>
    <w:pPr>
      <w:snapToGrid w:val="0"/>
      <w:spacing w:before="0" w:after="0" w:line="348" w:lineRule="exact"/>
      <w:ind w:firstLine="480"/>
    </w:pPr>
    <w:rPr>
      <w:rFonts w:ascii="Times New Roman" w:hAnsi="Times New Roman" w:eastAsia="方正仿宋_GBK"/>
      <w:sz w:val="24"/>
    </w:rPr>
  </w:style>
  <w:style w:type="paragraph" w:customStyle="1" w:styleId="116">
    <w:name w:val="Compact"/>
    <w:basedOn w:val="1"/>
    <w:uiPriority w:val="0"/>
    <w:pPr>
      <w:snapToGrid w:val="0"/>
      <w:spacing w:before="0" w:after="0" w:line="348" w:lineRule="exact"/>
      <w:ind w:firstLine="480"/>
    </w:pPr>
    <w:rPr>
      <w:rFonts w:ascii="Times New Roman" w:hAnsi="Times New Roman" w:eastAsia="方正仿宋_GBK"/>
      <w:sz w:val="24"/>
    </w:rPr>
  </w:style>
  <w:style w:type="paragraph" w:customStyle="1" w:styleId="117">
    <w:name w:val="Source Code"/>
    <w:uiPriority w:val="0"/>
    <w:pPr>
      <w:wordWrap w:val="0"/>
      <w:snapToGrid w:val="0"/>
    </w:pPr>
    <w:rPr>
      <w:rFonts w:asciiTheme="minorHAnsi" w:hAnsiTheme="minorHAnsi" w:eastAsiaTheme="minorEastAsia" w:cstheme="minorBidi"/>
    </w:rPr>
  </w:style>
  <w:style w:type="character" w:customStyle="1" w:styleId="118">
    <w:name w:val="KeywordTok"/>
    <w:uiPriority w:val="0"/>
    <w:rPr>
      <w:b/>
      <w:color w:val="007020"/>
    </w:rPr>
  </w:style>
  <w:style w:type="character" w:customStyle="1" w:styleId="119">
    <w:name w:val="DataTypeTok"/>
    <w:uiPriority w:val="0"/>
    <w:rPr>
      <w:color w:val="902000"/>
    </w:rPr>
  </w:style>
  <w:style w:type="character" w:customStyle="1" w:styleId="120">
    <w:name w:val="DecValTok"/>
    <w:uiPriority w:val="0"/>
    <w:rPr>
      <w:color w:val="40A070"/>
    </w:rPr>
  </w:style>
  <w:style w:type="character" w:customStyle="1" w:styleId="121">
    <w:name w:val="BaseNTok"/>
    <w:uiPriority w:val="0"/>
    <w:rPr>
      <w:color w:val="40A070"/>
    </w:rPr>
  </w:style>
  <w:style w:type="character" w:customStyle="1" w:styleId="122">
    <w:name w:val="FloatTok"/>
    <w:uiPriority w:val="0"/>
    <w:rPr>
      <w:color w:val="40A070"/>
    </w:rPr>
  </w:style>
  <w:style w:type="character" w:customStyle="1" w:styleId="123">
    <w:name w:val="ConstantTok"/>
    <w:uiPriority w:val="0"/>
    <w:rPr>
      <w:color w:val="880000"/>
    </w:rPr>
  </w:style>
  <w:style w:type="character" w:customStyle="1" w:styleId="124">
    <w:name w:val="CharTok"/>
    <w:uiPriority w:val="0"/>
    <w:rPr>
      <w:color w:val="4070A0"/>
    </w:rPr>
  </w:style>
  <w:style w:type="character" w:customStyle="1" w:styleId="125">
    <w:name w:val="SpecialCharTok"/>
    <w:uiPriority w:val="0"/>
    <w:rPr>
      <w:color w:val="4070A0"/>
    </w:rPr>
  </w:style>
  <w:style w:type="character" w:customStyle="1" w:styleId="126">
    <w:name w:val="StringTok"/>
    <w:uiPriority w:val="0"/>
    <w:rPr>
      <w:color w:val="4070A0"/>
    </w:rPr>
  </w:style>
  <w:style w:type="character" w:customStyle="1" w:styleId="127">
    <w:name w:val="VerbatimStringTok"/>
    <w:uiPriority w:val="0"/>
    <w:rPr>
      <w:color w:val="4070A0"/>
    </w:rPr>
  </w:style>
  <w:style w:type="character" w:customStyle="1" w:styleId="128">
    <w:name w:val="SpecialStringTok"/>
    <w:uiPriority w:val="0"/>
    <w:rPr>
      <w:color w:val="BB6688"/>
    </w:rPr>
  </w:style>
  <w:style w:type="character" w:customStyle="1" w:styleId="129">
    <w:name w:val="ImportTok"/>
    <w:uiPriority w:val="0"/>
  </w:style>
  <w:style w:type="character" w:customStyle="1" w:styleId="130">
    <w:name w:val="CommentTok"/>
    <w:uiPriority w:val="0"/>
    <w:rPr>
      <w:i/>
      <w:color w:val="60A0B0"/>
    </w:rPr>
  </w:style>
  <w:style w:type="character" w:customStyle="1" w:styleId="131">
    <w:name w:val="DocumentationTok"/>
    <w:uiPriority w:val="0"/>
    <w:rPr>
      <w:i/>
      <w:color w:val="BA2121"/>
    </w:rPr>
  </w:style>
  <w:style w:type="character" w:customStyle="1" w:styleId="132">
    <w:name w:val="AnnotationTok"/>
    <w:uiPriority w:val="0"/>
    <w:rPr>
      <w:b/>
      <w:i/>
      <w:color w:val="60A0B0"/>
    </w:rPr>
  </w:style>
  <w:style w:type="character" w:customStyle="1" w:styleId="133">
    <w:name w:val="CommentVarTok"/>
    <w:uiPriority w:val="0"/>
    <w:rPr>
      <w:b/>
      <w:i/>
      <w:color w:val="60A0B0"/>
    </w:rPr>
  </w:style>
  <w:style w:type="character" w:customStyle="1" w:styleId="134">
    <w:name w:val="OtherTok"/>
    <w:uiPriority w:val="0"/>
    <w:rPr>
      <w:color w:val="007020"/>
    </w:rPr>
  </w:style>
  <w:style w:type="character" w:customStyle="1" w:styleId="135">
    <w:name w:val="FunctionTok"/>
    <w:uiPriority w:val="0"/>
    <w:rPr>
      <w:color w:val="06287E"/>
    </w:rPr>
  </w:style>
  <w:style w:type="character" w:customStyle="1" w:styleId="136">
    <w:name w:val="VariableTok"/>
    <w:uiPriority w:val="0"/>
    <w:rPr>
      <w:color w:val="19177C"/>
    </w:rPr>
  </w:style>
  <w:style w:type="character" w:customStyle="1" w:styleId="137">
    <w:name w:val="ControlFlowTok"/>
    <w:uiPriority w:val="0"/>
    <w:rPr>
      <w:b/>
      <w:color w:val="007020"/>
    </w:rPr>
  </w:style>
  <w:style w:type="character" w:customStyle="1" w:styleId="138">
    <w:name w:val="OperatorTok"/>
    <w:uiPriority w:val="0"/>
    <w:rPr>
      <w:color w:val="666666"/>
    </w:rPr>
  </w:style>
  <w:style w:type="character" w:customStyle="1" w:styleId="139">
    <w:name w:val="BuiltInTok"/>
    <w:uiPriority w:val="0"/>
  </w:style>
  <w:style w:type="character" w:customStyle="1" w:styleId="140">
    <w:name w:val="ExtensionTok"/>
    <w:uiPriority w:val="0"/>
  </w:style>
  <w:style w:type="character" w:customStyle="1" w:styleId="141">
    <w:name w:val="PreprocessorTok"/>
    <w:uiPriority w:val="0"/>
    <w:rPr>
      <w:color w:val="BC7A00"/>
    </w:rPr>
  </w:style>
  <w:style w:type="character" w:customStyle="1" w:styleId="142">
    <w:name w:val="AttributeTok"/>
    <w:uiPriority w:val="0"/>
    <w:rPr>
      <w:color w:val="7D9029"/>
    </w:rPr>
  </w:style>
  <w:style w:type="character" w:customStyle="1" w:styleId="143">
    <w:name w:val="RegionMarkerTok"/>
    <w:uiPriority w:val="0"/>
  </w:style>
  <w:style w:type="character" w:customStyle="1" w:styleId="144">
    <w:name w:val="InformationTok"/>
    <w:uiPriority w:val="0"/>
    <w:rPr>
      <w:b/>
      <w:i/>
      <w:color w:val="60A0B0"/>
    </w:rPr>
  </w:style>
  <w:style w:type="character" w:customStyle="1" w:styleId="145">
    <w:name w:val="WarningTok"/>
    <w:uiPriority w:val="0"/>
    <w:rPr>
      <w:b/>
      <w:i/>
      <w:color w:val="60A0B0"/>
    </w:rPr>
  </w:style>
  <w:style w:type="character" w:customStyle="1" w:styleId="146">
    <w:name w:val="AlertTok"/>
    <w:uiPriority w:val="0"/>
    <w:rPr>
      <w:b/>
      <w:color w:val="FF0000"/>
    </w:rPr>
  </w:style>
  <w:style w:type="character" w:customStyle="1" w:styleId="147">
    <w:name w:val="ErrorTok"/>
    <w:uiPriority w:val="0"/>
    <w:rPr>
      <w:b/>
      <w:color w:val="FF0000"/>
    </w:rPr>
  </w:style>
  <w:style w:type="character" w:customStyle="1" w:styleId="148">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6" Type="http://schemas.microsoft.com/office/2011/relationships/people" Target="people.xml"/><Relationship Id="rId55" Type="http://schemas.openxmlformats.org/officeDocument/2006/relationships/fontTable" Target="fontTable.xml"/><Relationship Id="rId54" Type="http://schemas.openxmlformats.org/officeDocument/2006/relationships/numbering" Target="numbering.xml"/><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footnotes" Target="footnotes.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microsoft.com/office/2011/relationships/commentsExtended" Target="commentsExtended.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comments" Target="comment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 Id="rIdReportRevision1" Type="http://schemas.openxmlformats.org/officeDocument/2006/relationships/image" Target="media/report_revision_576d57a39ee3276c.png"/><Relationship Id="rIdReportRevision2" Type="http://schemas.openxmlformats.org/officeDocument/2006/relationships/image" Target="media/report_revision_7e818ba839b22d8d.png"/><Relationship Id="rIdReportRevision3" Type="http://schemas.openxmlformats.org/officeDocument/2006/relationships/image" Target="media/report_revision_b061f3ee58706274.png"/><Relationship Id="rIdReportRevision4" Type="http://schemas.openxmlformats.org/officeDocument/2006/relationships/image" Target="media/report_revision_6dd84f26eb9d1f5d.png"/><Relationship Id="rIdReportRevision5" Type="http://schemas.openxmlformats.org/officeDocument/2006/relationships/image" Target="media/report_revision_68b43b579a7bbec8.png"/><Relationship Id="rIdReportRevision6" Type="http://schemas.openxmlformats.org/officeDocument/2006/relationships/image" Target="media/report_revision_29c265d7c1c67e24.png"/><Relationship Id="rIdReportRevision7" Type="http://schemas.openxmlformats.org/officeDocument/2006/relationships/image" Target="media/report_revision_3fbfcea99db9108b.png"/><Relationship Id="rIdReportRevision8" Type="http://schemas.openxmlformats.org/officeDocument/2006/relationships/image" Target="media/report_revision_036078c6d5765616.png"/><Relationship Id="rIdReportRevision9" Type="http://schemas.openxmlformats.org/officeDocument/2006/relationships/image" Target="media/report_revision_170203abb7a7f4e4.png"/><Relationship Id="rIdReportRevision10" Type="http://schemas.openxmlformats.org/officeDocument/2006/relationships/image" Target="media/report_revision_ad24e5c4405349f8.png"/><Relationship Id="rIdReportRevision11" Type="http://schemas.openxmlformats.org/officeDocument/2006/relationships/image" Target="media/report_revision_a0f0eddeabc1774d.png"/><Relationship Id="rIdReportRevision12" Type="http://schemas.openxmlformats.org/officeDocument/2006/relationships/image" Target="media/report_revision_fa039d4cae20d0fd.png"/><Relationship Id="rIdReportRevision13" Type="http://schemas.openxmlformats.org/officeDocument/2006/relationships/image" Target="media/report_revision_c95e9c017dcfad71.png"/><Relationship Id="rIdReportRevision14" Type="http://schemas.openxmlformats.org/officeDocument/2006/relationships/image" Target="media/report_revision_76708a356f2857c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167</Pages>
  <Words>4471</Words>
  <Characters>4904</Characters>
  <Lines>340</Lines>
  <Paragraphs>95</Paragraphs>
  <TotalTime>35</TotalTime>
  <ScaleCrop>false</ScaleCrop>
  <LinksUpToDate>false</LinksUpToDate>
  <CharactersWithSpaces>5239</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2026-10-18T09:49:00Z</dcterms:created>
  <dc:creator>研究项目组</dc:creator>
  <cp:lastModifiedBy>研究项目组</cp:lastModifiedBy>
  <dcterms:modified xsi:type="dcterms:W3CDTF">2026-10-17T20:20:05Z</dcterms:modified>
  <dc:subject>110 kV容量规划与措施经济比选</dc:subject>
  <dc:title>徐州地区分布式新能源高渗透率地区110 kV电网容载比弹性指标优化研究</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80CBD3886DB7A0C5F567D36A083A5DCA_43</vt:lpwstr>
  </property>
</Properties>
</file>