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line="660" w:lineRule="exact" w:before="2800" w:after="1000"/>
        <w:ind w:firstLine="0"/>
        <w:jc w:val="center"/>
      </w:pPr>
      <w:r>
        <w:rPr>
          <w:rFonts w:ascii="Times New Roman" w:hAnsi="Times New Roman" w:eastAsia="方正仿宋_GBK"/>
          <w:b/>
          <w:sz w:val="44"/>
        </w:rPr>
        <w:t>徐州地区分布式新能源高渗透率地区110 kV电网容载比弹性指标优化研究</w:t>
      </w:r>
    </w:p>
    <w:p>
      <w:pPr>
        <w:spacing w:line="600" w:lineRule="exact"/>
        <w:ind w:firstLine="0"/>
        <w:jc w:val="center"/>
      </w:pPr>
      <w:r>
        <w:rPr>
          <w:rFonts w:ascii="Times New Roman" w:hAnsi="Times New Roman" w:eastAsia="方正仿宋_GBK"/>
          <w:b/>
          <w:sz w:val="40"/>
        </w:rPr>
        <w:t>研究报告</w:t>
      </w:r>
    </w:p>
    <w:p>
      <w:pPr>
        <w:spacing w:line="420" w:lineRule="exact" w:before="2400"/>
        <w:ind w:firstLine="0"/>
        <w:jc w:val="center"/>
      </w:pPr>
      <w:r>
        <w:rPr>
          <w:rFonts w:ascii="Times New Roman" w:hAnsi="Times New Roman" w:eastAsia="方正仿宋_GBK"/>
          <w:b w:val="0"/>
          <w:sz w:val="28"/>
        </w:rPr>
        <w:t>2026年10月</w:t>
      </w:r>
    </w:p>
    <w:p>
      <w:pPr>
        <w:pageBreakBefore/>
        <w:spacing w:line="540" w:lineRule="exact" w:after="300"/>
        <w:ind w:firstLine="0"/>
        <w:jc w:val="center"/>
      </w:pPr>
      <w:r>
        <w:rPr>
          <w:rFonts w:ascii="Times New Roman" w:hAnsi="Times New Roman" w:eastAsia="方正仿宋_GBK"/>
          <w:b/>
          <w:sz w:val="36"/>
        </w:rPr>
        <w:t>目  录</w:t>
      </w:r>
    </w:p>
    <w:p>
      <w:pPr>
        <w:tabs>
          <w:tab w:pos="8220" w:val="right" w:leader="dot"/>
        </w:tabs>
        <w:spacing w:line="360" w:lineRule="exact" w:after="40"/>
        <w:ind w:firstLine="0" w:left="0"/>
        <w:jc w:val="left"/>
      </w:pPr>
      <w:r>
        <w:rPr>
          <w:rFonts w:ascii="Times New Roman" w:hAnsi="Times New Roman" w:eastAsia="方正仿宋_GBK"/>
          <w:b/>
          <w:sz w:val="24"/>
        </w:rPr>
      </w:r>
      <w:hyperlink w:anchor="h0" w:history="1">
        <w:r>
          <w:rPr>
            <w:rFonts w:ascii="Times New Roman" w:hAnsi="Times New Roman" w:eastAsia="方正仿宋_GBK"/>
            <w:b/>
            <w:sz w:val="24"/>
          </w:rPr>
          <w:t>第一章 绪论</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h0 \h </w:instrText>
      </w:r>
      <w:r>
        <w:rPr>
          <w:rFonts w:ascii="Times New Roman" w:hAnsi="Times New Roman" w:eastAsia="方正仿宋_GBK"/>
          <w:b/>
          <w:sz w:val="24"/>
        </w:rPr>
        <w:fldChar w:fldCharType="separate"/>
      </w:r>
      <w:r>
        <w:rPr>
          <w:rFonts w:ascii="Times New Roman" w:hAnsi="Times New Roman" w:eastAsia="方正仿宋_GBK"/>
          <w:b/>
          <w:sz w:val="24"/>
        </w:rPr>
        <w:t>4</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 w:history="1">
        <w:r>
          <w:rPr>
            <w:rFonts w:ascii="Times New Roman" w:hAnsi="Times New Roman" w:eastAsia="方正仿宋_GBK"/>
            <w:b w:val="0"/>
            <w:sz w:val="24"/>
          </w:rPr>
          <w:t>1.1 研究背景与意义</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 \h </w:instrText>
      </w:r>
      <w:r>
        <w:rPr>
          <w:rFonts w:ascii="Times New Roman" w:hAnsi="Times New Roman" w:eastAsia="方正仿宋_GBK"/>
          <w:b w:val="0"/>
          <w:sz w:val="24"/>
        </w:rPr>
        <w:fldChar w:fldCharType="separate"/>
      </w:r>
      <w:r>
        <w:rPr>
          <w:rFonts w:ascii="Times New Roman" w:hAnsi="Times New Roman" w:eastAsia="方正仿宋_GBK"/>
          <w:b w:val="0"/>
          <w:sz w:val="24"/>
        </w:rPr>
        <w:t>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8" w:history="1">
        <w:r>
          <w:rPr>
            <w:rFonts w:ascii="Times New Roman" w:hAnsi="Times New Roman" w:eastAsia="方正仿宋_GBK"/>
            <w:b w:val="0"/>
            <w:sz w:val="24"/>
          </w:rPr>
          <w:t>1.2 主要概念与规范依据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h18 \h </w:instrText>
      </w:r>
      <w:r>
        <w:rPr>
          <w:rFonts w:ascii="Times New Roman" w:hAnsi="Times New Roman" w:eastAsia="方正仿宋_GBK"/>
          <w:b w:val="0"/>
          <w:sz w:val="24"/>
        </w:rPr>
        <w:fldChar w:fldCharType="separate"/>
      </w:r>
      <w:r>
        <w:rPr>
          <w:rFonts w:ascii="Times New Roman" w:hAnsi="Times New Roman" w:eastAsia="方正仿宋_GBK"/>
          <w:b w:val="0"/>
          <w:sz w:val="24"/>
        </w:rPr>
        <w:t>6</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2" w:history="1">
        <w:r>
          <w:rPr>
            <w:rFonts w:ascii="Times New Roman" w:hAnsi="Times New Roman" w:eastAsia="方正仿宋_GBK"/>
            <w:b w:val="0"/>
            <w:sz w:val="24"/>
          </w:rPr>
          <w:t>1.3 研究范围与对象</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h32 \h </w:instrText>
      </w:r>
      <w:r>
        <w:rPr>
          <w:rFonts w:ascii="Times New Roman" w:hAnsi="Times New Roman" w:eastAsia="方正仿宋_GBK"/>
          <w:b w:val="0"/>
          <w:sz w:val="24"/>
        </w:rPr>
        <w:fldChar w:fldCharType="separate"/>
      </w:r>
      <w:r>
        <w:rPr>
          <w:rFonts w:ascii="Times New Roman" w:hAnsi="Times New Roman" w:eastAsia="方正仿宋_GBK"/>
          <w:b w:val="0"/>
          <w:sz w:val="24"/>
        </w:rPr>
        <w:t>7</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5" w:history="1">
        <w:r>
          <w:rPr>
            <w:rFonts w:ascii="Times New Roman" w:hAnsi="Times New Roman" w:eastAsia="方正仿宋_GBK"/>
            <w:b w:val="0"/>
            <w:sz w:val="24"/>
          </w:rPr>
          <w:t>1.4 研究目标与内容</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h45 \h </w:instrText>
      </w:r>
      <w:r>
        <w:rPr>
          <w:rFonts w:ascii="Times New Roman" w:hAnsi="Times New Roman" w:eastAsia="方正仿宋_GBK"/>
          <w:b w:val="0"/>
          <w:sz w:val="24"/>
        </w:rPr>
        <w:fldChar w:fldCharType="separate"/>
      </w:r>
      <w:r>
        <w:rPr>
          <w:rFonts w:ascii="Times New Roman" w:hAnsi="Times New Roman" w:eastAsia="方正仿宋_GBK"/>
          <w:b w:val="0"/>
          <w:sz w:val="24"/>
        </w:rPr>
        <w:t>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7" w:history="1">
        <w:r>
          <w:rPr>
            <w:rFonts w:ascii="Times New Roman" w:hAnsi="Times New Roman" w:eastAsia="方正仿宋_GBK"/>
            <w:b w:val="0"/>
            <w:sz w:val="24"/>
          </w:rPr>
          <w:t>1.5 研究方法与技术路线</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h57 \h </w:instrText>
      </w:r>
      <w:r>
        <w:rPr>
          <w:rFonts w:ascii="Times New Roman" w:hAnsi="Times New Roman" w:eastAsia="方正仿宋_GBK"/>
          <w:b w:val="0"/>
          <w:sz w:val="24"/>
        </w:rPr>
        <w:fldChar w:fldCharType="separate"/>
      </w:r>
      <w:r>
        <w:rPr>
          <w:rFonts w:ascii="Times New Roman" w:hAnsi="Times New Roman" w:eastAsia="方正仿宋_GBK"/>
          <w:b w:val="0"/>
          <w:sz w:val="24"/>
        </w:rPr>
        <w:t>9</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73" w:history="1">
        <w:r>
          <w:rPr>
            <w:rFonts w:ascii="Times New Roman" w:hAnsi="Times New Roman" w:eastAsia="方正仿宋_GBK"/>
            <w:b w:val="0"/>
            <w:sz w:val="24"/>
          </w:rPr>
          <w:t>1.6 研究成果及应用</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h73 \h </w:instrText>
      </w:r>
      <w:r>
        <w:rPr>
          <w:rFonts w:ascii="Times New Roman" w:hAnsi="Times New Roman" w:eastAsia="方正仿宋_GBK"/>
          <w:b w:val="0"/>
          <w:sz w:val="24"/>
        </w:rPr>
        <w:fldChar w:fldCharType="separate"/>
      </w:r>
      <w:r>
        <w:rPr>
          <w:rFonts w:ascii="Times New Roman" w:hAnsi="Times New Roman" w:eastAsia="方正仿宋_GBK"/>
          <w:b w:val="0"/>
          <w:sz w:val="24"/>
        </w:rPr>
        <w:t>10</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76" w:history="1">
        <w:r>
          <w:rPr>
            <w:rFonts w:ascii="Times New Roman" w:hAnsi="Times New Roman" w:eastAsia="方正仿宋_GBK"/>
            <w:b/>
            <w:sz w:val="24"/>
          </w:rPr>
          <w:t>第二章 国内外研究现状</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h76 \h </w:instrText>
      </w:r>
      <w:r>
        <w:rPr>
          <w:rFonts w:ascii="Times New Roman" w:hAnsi="Times New Roman" w:eastAsia="方正仿宋_GBK"/>
          <w:b/>
          <w:sz w:val="24"/>
        </w:rPr>
        <w:fldChar w:fldCharType="separate"/>
      </w:r>
      <w:r>
        <w:rPr>
          <w:rFonts w:ascii="Times New Roman" w:hAnsi="Times New Roman" w:eastAsia="方正仿宋_GBK"/>
          <w:b/>
          <w:sz w:val="24"/>
        </w:rPr>
        <w:t>12</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79" w:history="1">
        <w:r>
          <w:rPr>
            <w:rFonts w:ascii="Times New Roman" w:hAnsi="Times New Roman" w:eastAsia="方正仿宋_GBK"/>
            <w:b w:val="0"/>
            <w:sz w:val="24"/>
          </w:rPr>
          <w:t>2.1 国外研究现状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h79 \h </w:instrText>
      </w:r>
      <w:r>
        <w:rPr>
          <w:rFonts w:ascii="Times New Roman" w:hAnsi="Times New Roman" w:eastAsia="方正仿宋_GBK"/>
          <w:b w:val="0"/>
          <w:sz w:val="24"/>
        </w:rPr>
        <w:fldChar w:fldCharType="separate"/>
      </w:r>
      <w:r>
        <w:rPr>
          <w:rFonts w:ascii="Times New Roman" w:hAnsi="Times New Roman" w:eastAsia="方正仿宋_GBK"/>
          <w:b w:val="0"/>
          <w:sz w:val="24"/>
        </w:rPr>
        <w:t>12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01" w:history="1">
        <w:r>
          <w:rPr>
            <w:rFonts w:ascii="Times New Roman" w:hAnsi="Times New Roman" w:eastAsia="方正仿宋_GBK"/>
            <w:b w:val="0"/>
            <w:sz w:val="24"/>
          </w:rPr>
          <w:t>2.2 国内研究现状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h101 \h </w:instrText>
      </w:r>
      <w:r>
        <w:rPr>
          <w:rFonts w:ascii="Times New Roman" w:hAnsi="Times New Roman" w:eastAsia="方正仿宋_GBK"/>
          <w:b w:val="0"/>
          <w:sz w:val="24"/>
        </w:rPr>
        <w:fldChar w:fldCharType="separate"/>
      </w:r>
      <w:r>
        <w:rPr>
          <w:rFonts w:ascii="Times New Roman" w:hAnsi="Times New Roman" w:eastAsia="方正仿宋_GBK"/>
          <w:b w:val="0"/>
          <w:sz w:val="24"/>
        </w:rPr>
        <w:t>14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39" w:history="1">
        <w:r>
          <w:rPr>
            <w:rFonts w:ascii="Times New Roman" w:hAnsi="Times New Roman" w:eastAsia="方正仿宋_GBK"/>
            <w:b w:val="0"/>
            <w:sz w:val="24"/>
          </w:rPr>
          <w:t>2.3 国内外研究对比与述评</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h139 \h </w:instrText>
      </w:r>
      <w:r>
        <w:rPr>
          <w:rFonts w:ascii="Times New Roman" w:hAnsi="Times New Roman" w:eastAsia="方正仿宋_GBK"/>
          <w:b w:val="0"/>
          <w:sz w:val="24"/>
        </w:rPr>
        <w:fldChar w:fldCharType="separate"/>
      </w:r>
      <w:r>
        <w:rPr>
          <w:rFonts w:ascii="Times New Roman" w:hAnsi="Times New Roman" w:eastAsia="方正仿宋_GBK"/>
          <w:b w:val="0"/>
          <w:sz w:val="24"/>
        </w:rPr>
        <w:t>18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53" w:history="1">
        <w:r>
          <w:rPr>
            <w:rFonts w:ascii="Times New Roman" w:hAnsi="Times New Roman" w:eastAsia="方正仿宋_GBK"/>
            <w:b w:val="0"/>
            <w:sz w:val="24"/>
          </w:rPr>
          <w:t>2.4 容载比与供电能力的理论联系</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h153 \h </w:instrText>
      </w:r>
      <w:r>
        <w:rPr>
          <w:rFonts w:ascii="Times New Roman" w:hAnsi="Times New Roman" w:eastAsia="方正仿宋_GBK"/>
          <w:b w:val="0"/>
          <w:sz w:val="24"/>
        </w:rPr>
        <w:fldChar w:fldCharType="separate"/>
      </w:r>
      <w:r>
        <w:rPr>
          <w:rFonts w:ascii="Times New Roman" w:hAnsi="Times New Roman" w:eastAsia="方正仿宋_GBK"/>
          <w:b w:val="0"/>
          <w:sz w:val="24"/>
        </w:rPr>
        <w:t>20</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67" w:history="1">
        <w:r>
          <w:rPr>
            <w:rFonts w:ascii="Times New Roman" w:hAnsi="Times New Roman" w:eastAsia="方正仿宋_GBK"/>
            <w:b w:val="0"/>
            <w:sz w:val="24"/>
          </w:rPr>
          <w:t>2.5 高渗透率下的源荷特征与容量压力</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h167 \h </w:instrText>
      </w:r>
      <w:r>
        <w:rPr>
          <w:rFonts w:ascii="Times New Roman" w:hAnsi="Times New Roman" w:eastAsia="方正仿宋_GBK"/>
          <w:b w:val="0"/>
          <w:sz w:val="24"/>
        </w:rPr>
        <w:fldChar w:fldCharType="separate"/>
      </w:r>
      <w:r>
        <w:rPr>
          <w:rFonts w:ascii="Times New Roman" w:hAnsi="Times New Roman" w:eastAsia="方正仿宋_GBK"/>
          <w:b w:val="0"/>
          <w:sz w:val="24"/>
        </w:rPr>
        <w:t>21</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84" w:history="1">
        <w:r>
          <w:rPr>
            <w:rFonts w:ascii="Times New Roman" w:hAnsi="Times New Roman" w:eastAsia="方正仿宋_GBK"/>
            <w:b w:val="0"/>
            <w:sz w:val="24"/>
          </w:rPr>
          <w:t>2.6 主变、联络与储能的经济替代条件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h184 \h </w:instrText>
      </w:r>
      <w:r>
        <w:rPr>
          <w:rFonts w:ascii="Times New Roman" w:hAnsi="Times New Roman" w:eastAsia="方正仿宋_GBK"/>
          <w:b w:val="0"/>
          <w:sz w:val="24"/>
        </w:rPr>
        <w:fldChar w:fldCharType="separate"/>
      </w:r>
      <w:r>
        <w:rPr>
          <w:rFonts w:ascii="Times New Roman" w:hAnsi="Times New Roman" w:eastAsia="方正仿宋_GBK"/>
          <w:b w:val="0"/>
          <w:sz w:val="24"/>
        </w:rPr>
        <w:t>22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98" w:history="1">
        <w:r>
          <w:rPr>
            <w:rFonts w:ascii="Times New Roman" w:hAnsi="Times New Roman" w:eastAsia="方正仿宋_GBK"/>
            <w:b w:val="0"/>
            <w:sz w:val="24"/>
          </w:rPr>
          <w:t>2.7 规划寻优方法与本项目选型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h198 \h </w:instrText>
      </w:r>
      <w:r>
        <w:rPr>
          <w:rFonts w:ascii="Times New Roman" w:hAnsi="Times New Roman" w:eastAsia="方正仿宋_GBK"/>
          <w:b w:val="0"/>
          <w:sz w:val="24"/>
        </w:rPr>
        <w:fldChar w:fldCharType="separate"/>
      </w:r>
      <w:r>
        <w:rPr>
          <w:rFonts w:ascii="Times New Roman" w:hAnsi="Times New Roman" w:eastAsia="方正仿宋_GBK"/>
          <w:b w:val="0"/>
          <w:sz w:val="24"/>
        </w:rPr>
        <w:t>23</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11" w:history="1">
        <w:r>
          <w:rPr>
            <w:rFonts w:ascii="Times New Roman" w:hAnsi="Times New Roman" w:eastAsia="方正仿宋_GBK"/>
            <w:b w:val="0"/>
            <w:sz w:val="24"/>
          </w:rPr>
          <w:t>2.8 本项目方法选择与工程衔接</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h211 \h </w:instrText>
      </w:r>
      <w:r>
        <w:rPr>
          <w:rFonts w:ascii="Times New Roman" w:hAnsi="Times New Roman" w:eastAsia="方正仿宋_GBK"/>
          <w:b w:val="0"/>
          <w:sz w:val="24"/>
        </w:rPr>
        <w:fldChar w:fldCharType="separate"/>
      </w:r>
      <w:r>
        <w:rPr>
          <w:rFonts w:ascii="Times New Roman" w:hAnsi="Times New Roman" w:eastAsia="方正仿宋_GBK"/>
          <w:b w:val="0"/>
          <w:sz w:val="24"/>
        </w:rPr>
        <w:t>24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33" w:history="1">
        <w:r>
          <w:rPr>
            <w:rFonts w:ascii="Times New Roman" w:hAnsi="Times New Roman" w:eastAsia="方正仿宋_GBK"/>
            <w:b w:val="0"/>
            <w:sz w:val="24"/>
          </w:rPr>
          <w:t>2.9 本章小结</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h233 \h </w:instrText>
      </w:r>
      <w:r>
        <w:rPr>
          <w:rFonts w:ascii="Times New Roman" w:hAnsi="Times New Roman" w:eastAsia="方正仿宋_GBK"/>
          <w:b w:val="0"/>
          <w:sz w:val="24"/>
        </w:rPr>
        <w:fldChar w:fldCharType="separate"/>
      </w:r>
      <w:r>
        <w:rPr>
          <w:rFonts w:ascii="Times New Roman" w:hAnsi="Times New Roman" w:eastAsia="方正仿宋_GBK"/>
          <w:b w:val="0"/>
          <w:sz w:val="24"/>
        </w:rPr>
        <w:t>26</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235" w:history="1">
        <w:r>
          <w:rPr>
            <w:rFonts w:ascii="Times New Roman" w:hAnsi="Times New Roman" w:eastAsia="方正仿宋_GBK"/>
            <w:b/>
            <w:sz w:val="24"/>
          </w:rPr>
          <w:t>第三章 徐州典型地区运行特征分析</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h235 \h </w:instrText>
      </w:r>
      <w:r>
        <w:rPr>
          <w:rFonts w:ascii="Times New Roman" w:hAnsi="Times New Roman" w:eastAsia="方正仿宋_GBK"/>
          <w:b/>
          <w:sz w:val="24"/>
        </w:rPr>
        <w:fldChar w:fldCharType="separate"/>
      </w:r>
      <w:r>
        <w:rPr>
          <w:rFonts w:ascii="Times New Roman" w:hAnsi="Times New Roman" w:eastAsia="方正仿宋_GBK"/>
          <w:b/>
          <w:sz w:val="24"/>
        </w:rPr>
        <w:t>27</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36" w:history="1">
        <w:r>
          <w:rPr>
            <w:rFonts w:ascii="Times New Roman" w:hAnsi="Times New Roman" w:eastAsia="方正仿宋_GBK"/>
            <w:b w:val="0"/>
            <w:sz w:val="24"/>
          </w:rPr>
          <w:t>3.1 研究地区与原始资料</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h236 \h </w:instrText>
      </w:r>
      <w:r>
        <w:rPr>
          <w:rFonts w:ascii="Times New Roman" w:hAnsi="Times New Roman" w:eastAsia="方正仿宋_GBK"/>
          <w:b w:val="0"/>
          <w:sz w:val="24"/>
        </w:rPr>
        <w:fldChar w:fldCharType="separate"/>
      </w:r>
      <w:r>
        <w:rPr>
          <w:rFonts w:ascii="Times New Roman" w:hAnsi="Times New Roman" w:eastAsia="方正仿宋_GBK"/>
          <w:b w:val="0"/>
          <w:sz w:val="24"/>
        </w:rPr>
        <w:t>27</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46" w:history="1">
        <w:r>
          <w:rPr>
            <w:rFonts w:ascii="Times New Roman" w:hAnsi="Times New Roman" w:eastAsia="方正仿宋_GBK"/>
            <w:b w:val="0"/>
            <w:sz w:val="24"/>
          </w:rPr>
          <w:t>3.2 年度容量、负荷与增长特征</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h246 \h </w:instrText>
      </w:r>
      <w:r>
        <w:rPr>
          <w:rFonts w:ascii="Times New Roman" w:hAnsi="Times New Roman" w:eastAsia="方正仿宋_GBK"/>
          <w:b w:val="0"/>
          <w:sz w:val="24"/>
        </w:rPr>
        <w:fldChar w:fldCharType="separate"/>
      </w:r>
      <w:r>
        <w:rPr>
          <w:rFonts w:ascii="Times New Roman" w:hAnsi="Times New Roman" w:eastAsia="方正仿宋_GBK"/>
          <w:b w:val="0"/>
          <w:sz w:val="24"/>
        </w:rPr>
        <w:t>27</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64" w:history="1">
        <w:r>
          <w:rPr>
            <w:rFonts w:ascii="Times New Roman" w:hAnsi="Times New Roman" w:eastAsia="方正仿宋_GBK"/>
            <w:b w:val="0"/>
            <w:sz w:val="24"/>
          </w:rPr>
          <w:t>3.3 分布式光伏装机与电量</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h264 \h </w:instrText>
      </w:r>
      <w:r>
        <w:rPr>
          <w:rFonts w:ascii="Times New Roman" w:hAnsi="Times New Roman" w:eastAsia="方正仿宋_GBK"/>
          <w:b w:val="0"/>
          <w:sz w:val="24"/>
        </w:rPr>
        <w:fldChar w:fldCharType="separate"/>
      </w:r>
      <w:r>
        <w:rPr>
          <w:rFonts w:ascii="Times New Roman" w:hAnsi="Times New Roman" w:eastAsia="方正仿宋_GBK"/>
          <w:b w:val="0"/>
          <w:sz w:val="24"/>
        </w:rPr>
        <w:t>29</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86" w:history="1">
        <w:r>
          <w:rPr>
            <w:rFonts w:ascii="Times New Roman" w:hAnsi="Times New Roman" w:eastAsia="方正仿宋_GBK"/>
            <w:b w:val="0"/>
            <w:sz w:val="24"/>
          </w:rPr>
          <w:t>3.4 主变负载率与双向净负荷</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h286 \h </w:instrText>
      </w:r>
      <w:r>
        <w:rPr>
          <w:rFonts w:ascii="Times New Roman" w:hAnsi="Times New Roman" w:eastAsia="方正仿宋_GBK"/>
          <w:b w:val="0"/>
          <w:sz w:val="24"/>
        </w:rPr>
        <w:fldChar w:fldCharType="separate"/>
      </w:r>
      <w:r>
        <w:rPr>
          <w:rFonts w:ascii="Times New Roman" w:hAnsi="Times New Roman" w:eastAsia="方正仿宋_GBK"/>
          <w:b w:val="0"/>
          <w:sz w:val="24"/>
        </w:rPr>
        <w:t>31</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14" w:history="1">
        <w:r>
          <w:rPr>
            <w:rFonts w:ascii="Times New Roman" w:hAnsi="Times New Roman" w:eastAsia="方正仿宋_GBK"/>
            <w:b w:val="0"/>
            <w:sz w:val="24"/>
          </w:rPr>
          <w:t>3.5 核心参数依据与相关性分析</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h314 \h </w:instrText>
      </w:r>
      <w:r>
        <w:rPr>
          <w:rFonts w:ascii="Times New Roman" w:hAnsi="Times New Roman" w:eastAsia="方正仿宋_GBK"/>
          <w:b w:val="0"/>
          <w:sz w:val="24"/>
        </w:rPr>
        <w:fldChar w:fldCharType="separate"/>
      </w:r>
      <w:r>
        <w:rPr>
          <w:rFonts w:ascii="Times New Roman" w:hAnsi="Times New Roman" w:eastAsia="方正仿宋_GBK"/>
          <w:b w:val="0"/>
          <w:sz w:val="24"/>
        </w:rPr>
        <w:t>36</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39" w:history="1">
        <w:r>
          <w:rPr>
            <w:rFonts w:ascii="Times New Roman" w:hAnsi="Times New Roman" w:eastAsia="方正仿宋_GBK"/>
            <w:b w:val="0"/>
            <w:sz w:val="24"/>
          </w:rPr>
          <w:t>3.6 10 kV负荷转接资料与仿真条件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h339 \h </w:instrText>
      </w:r>
      <w:r>
        <w:rPr>
          <w:rFonts w:ascii="Times New Roman" w:hAnsi="Times New Roman" w:eastAsia="方正仿宋_GBK"/>
          <w:b w:val="0"/>
          <w:sz w:val="24"/>
        </w:rPr>
        <w:fldChar w:fldCharType="separate"/>
      </w:r>
      <w:r>
        <w:rPr>
          <w:rFonts w:ascii="Times New Roman" w:hAnsi="Times New Roman" w:eastAsia="方正仿宋_GBK"/>
          <w:b w:val="0"/>
          <w:sz w:val="24"/>
        </w:rPr>
        <w:t>40</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49" w:history="1">
        <w:r>
          <w:rPr>
            <w:rFonts w:ascii="Times New Roman" w:hAnsi="Times New Roman" w:eastAsia="方正仿宋_GBK"/>
            <w:b w:val="0"/>
            <w:sz w:val="24"/>
          </w:rPr>
          <w:t>3.7 站级负载率与配置需求</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h349 \h </w:instrText>
      </w:r>
      <w:r>
        <w:rPr>
          <w:rFonts w:ascii="Times New Roman" w:hAnsi="Times New Roman" w:eastAsia="方正仿宋_GBK"/>
          <w:b w:val="0"/>
          <w:sz w:val="24"/>
        </w:rPr>
        <w:fldChar w:fldCharType="separate"/>
      </w:r>
      <w:r>
        <w:rPr>
          <w:rFonts w:ascii="Times New Roman" w:hAnsi="Times New Roman" w:eastAsia="方正仿宋_GBK"/>
          <w:b w:val="0"/>
          <w:sz w:val="24"/>
        </w:rPr>
        <w:t>41</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66" w:history="1">
        <w:r>
          <w:rPr>
            <w:rFonts w:ascii="Times New Roman" w:hAnsi="Times New Roman" w:eastAsia="方正仿宋_GBK"/>
            <w:b w:val="0"/>
            <w:sz w:val="24"/>
          </w:rPr>
          <w:t>3.8 运行特征的综合分析</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h366 \h </w:instrText>
      </w:r>
      <w:r>
        <w:rPr>
          <w:rFonts w:ascii="Times New Roman" w:hAnsi="Times New Roman" w:eastAsia="方正仿宋_GBK"/>
          <w:b w:val="0"/>
          <w:sz w:val="24"/>
        </w:rPr>
        <w:fldChar w:fldCharType="separate"/>
      </w:r>
      <w:r>
        <w:rPr>
          <w:rFonts w:ascii="Times New Roman" w:hAnsi="Times New Roman" w:eastAsia="方正仿宋_GBK"/>
          <w:b w:val="0"/>
          <w:sz w:val="24"/>
        </w:rPr>
        <w:t>43</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388" w:history="1">
        <w:r>
          <w:rPr>
            <w:rFonts w:ascii="Times New Roman" w:hAnsi="Times New Roman" w:eastAsia="方正仿宋_GBK"/>
            <w:b/>
            <w:sz w:val="24"/>
          </w:rPr>
          <w:t>第四章 基于实际工程的建设成本模型</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h388 \h </w:instrText>
      </w:r>
      <w:r>
        <w:rPr>
          <w:rFonts w:ascii="Times New Roman" w:hAnsi="Times New Roman" w:eastAsia="方正仿宋_GBK"/>
          <w:b/>
          <w:sz w:val="24"/>
        </w:rPr>
        <w:fldChar w:fldCharType="separate"/>
      </w:r>
      <w:r>
        <w:rPr>
          <w:rFonts w:ascii="Times New Roman" w:hAnsi="Times New Roman" w:eastAsia="方正仿宋_GBK"/>
          <w:b/>
          <w:sz w:val="24"/>
        </w:rPr>
        <w:t>46</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89" w:history="1">
        <w:r>
          <w:rPr>
            <w:rFonts w:ascii="Times New Roman" w:hAnsi="Times New Roman" w:eastAsia="方正仿宋_GBK"/>
            <w:b w:val="0"/>
            <w:sz w:val="24"/>
          </w:rPr>
          <w:t>4.1 成本模型的范围与建立原则</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h389 \h </w:instrText>
      </w:r>
      <w:r>
        <w:rPr>
          <w:rFonts w:ascii="Times New Roman" w:hAnsi="Times New Roman" w:eastAsia="方正仿宋_GBK"/>
          <w:b w:val="0"/>
          <w:sz w:val="24"/>
        </w:rPr>
        <w:fldChar w:fldCharType="separate"/>
      </w:r>
      <w:r>
        <w:rPr>
          <w:rFonts w:ascii="Times New Roman" w:hAnsi="Times New Roman" w:eastAsia="方正仿宋_GBK"/>
          <w:b w:val="0"/>
          <w:sz w:val="24"/>
        </w:rPr>
        <w:t>46</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01" w:history="1">
        <w:r>
          <w:rPr>
            <w:rFonts w:ascii="Times New Roman" w:hAnsi="Times New Roman" w:eastAsia="方正仿宋_GBK"/>
            <w:b w:val="0"/>
            <w:sz w:val="24"/>
          </w:rPr>
          <w:t>4.2 主变工程成本系数</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h401 \h </w:instrText>
      </w:r>
      <w:r>
        <w:rPr>
          <w:rFonts w:ascii="Times New Roman" w:hAnsi="Times New Roman" w:eastAsia="方正仿宋_GBK"/>
          <w:b w:val="0"/>
          <w:sz w:val="24"/>
        </w:rPr>
        <w:fldChar w:fldCharType="separate"/>
      </w:r>
      <w:r>
        <w:rPr>
          <w:rFonts w:ascii="Times New Roman" w:hAnsi="Times New Roman" w:eastAsia="方正仿宋_GBK"/>
          <w:b w:val="0"/>
          <w:sz w:val="24"/>
        </w:rPr>
        <w:t>47</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20" w:history="1">
        <w:r>
          <w:rPr>
            <w:rFonts w:ascii="Times New Roman" w:hAnsi="Times New Roman" w:eastAsia="方正仿宋_GBK"/>
            <w:b w:val="0"/>
            <w:sz w:val="24"/>
          </w:rPr>
          <w:t>4.3 10 kV联络工程费用</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h420 \h </w:instrText>
      </w:r>
      <w:r>
        <w:rPr>
          <w:rFonts w:ascii="Times New Roman" w:hAnsi="Times New Roman" w:eastAsia="方正仿宋_GBK"/>
          <w:b w:val="0"/>
          <w:sz w:val="24"/>
        </w:rPr>
        <w:fldChar w:fldCharType="separate"/>
      </w:r>
      <w:r>
        <w:rPr>
          <w:rFonts w:ascii="Times New Roman" w:hAnsi="Times New Roman" w:eastAsia="方正仿宋_GBK"/>
          <w:b w:val="0"/>
          <w:sz w:val="24"/>
        </w:rPr>
        <w:t>48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31" w:history="1">
        <w:r>
          <w:rPr>
            <w:rFonts w:ascii="Times New Roman" w:hAnsi="Times New Roman" w:eastAsia="方正仿宋_GBK"/>
            <w:b w:val="0"/>
            <w:sz w:val="24"/>
          </w:rPr>
          <w:t>4.4 储能投资模型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h431 \h </w:instrText>
      </w:r>
      <w:r>
        <w:rPr>
          <w:rFonts w:ascii="Times New Roman" w:hAnsi="Times New Roman" w:eastAsia="方正仿宋_GBK"/>
          <w:b w:val="0"/>
          <w:sz w:val="24"/>
        </w:rPr>
        <w:fldChar w:fldCharType="separate"/>
      </w:r>
      <w:r>
        <w:rPr>
          <w:rFonts w:ascii="Times New Roman" w:hAnsi="Times New Roman" w:eastAsia="方正仿宋_GBK"/>
          <w:b w:val="0"/>
          <w:sz w:val="24"/>
        </w:rPr>
        <w:t>49</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47" w:history="1">
        <w:r>
          <w:rPr>
            <w:rFonts w:ascii="Times New Roman" w:hAnsi="Times New Roman" w:eastAsia="方正仿宋_GBK"/>
            <w:b w:val="0"/>
            <w:sz w:val="24"/>
          </w:rPr>
          <w:t>4.5 参数变化与措施费用的联系</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h447 \h </w:instrText>
      </w:r>
      <w:r>
        <w:rPr>
          <w:rFonts w:ascii="Times New Roman" w:hAnsi="Times New Roman" w:eastAsia="方正仿宋_GBK"/>
          <w:b w:val="0"/>
          <w:sz w:val="24"/>
        </w:rPr>
        <w:fldChar w:fldCharType="separate"/>
      </w:r>
      <w:r>
        <w:rPr>
          <w:rFonts w:ascii="Times New Roman" w:hAnsi="Times New Roman" w:eastAsia="方正仿宋_GBK"/>
          <w:b w:val="0"/>
          <w:sz w:val="24"/>
        </w:rPr>
        <w:t>51</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60" w:history="1">
        <w:r>
          <w:rPr>
            <w:rFonts w:ascii="Times New Roman" w:hAnsi="Times New Roman" w:eastAsia="方正仿宋_GBK"/>
            <w:b w:val="0"/>
            <w:sz w:val="24"/>
          </w:rPr>
          <w:t>4.6 现金流现值计算</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h460 \h </w:instrText>
      </w:r>
      <w:r>
        <w:rPr>
          <w:rFonts w:ascii="Times New Roman" w:hAnsi="Times New Roman" w:eastAsia="方正仿宋_GBK"/>
          <w:b w:val="0"/>
          <w:sz w:val="24"/>
        </w:rPr>
        <w:fldChar w:fldCharType="separate"/>
      </w:r>
      <w:r>
        <w:rPr>
          <w:rFonts w:ascii="Times New Roman" w:hAnsi="Times New Roman" w:eastAsia="方正仿宋_GBK"/>
          <w:b w:val="0"/>
          <w:sz w:val="24"/>
        </w:rPr>
        <w:t>52</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486" w:history="1">
        <w:r>
          <w:rPr>
            <w:rFonts w:ascii="Times New Roman" w:hAnsi="Times New Roman" w:eastAsia="方正仿宋_GBK"/>
            <w:b/>
            <w:sz w:val="24"/>
          </w:rPr>
          <w:t>第五章 “一片一策”弹性容载比规划建议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h486 \h </w:instrText>
      </w:r>
      <w:r>
        <w:rPr>
          <w:rFonts w:ascii="Times New Roman" w:hAnsi="Times New Roman" w:eastAsia="方正仿宋_GBK"/>
          <w:b/>
          <w:sz w:val="24"/>
        </w:rPr>
        <w:fldChar w:fldCharType="separate"/>
      </w:r>
      <w:r>
        <w:rPr>
          <w:rFonts w:ascii="Times New Roman" w:hAnsi="Times New Roman" w:eastAsia="方正仿宋_GBK"/>
          <w:b/>
          <w:sz w:val="24"/>
        </w:rPr>
        <w:t>56</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88" w:history="1">
        <w:r>
          <w:rPr>
            <w:rFonts w:ascii="Times New Roman" w:hAnsi="Times New Roman" w:eastAsia="方正仿宋_GBK"/>
            <w:b w:val="0"/>
            <w:sz w:val="24"/>
          </w:rPr>
          <w:t>5.1 寻优问题与共同起点</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h488 \h </w:instrText>
      </w:r>
      <w:r>
        <w:rPr>
          <w:rFonts w:ascii="Times New Roman" w:hAnsi="Times New Roman" w:eastAsia="方正仿宋_GBK"/>
          <w:b w:val="0"/>
          <w:sz w:val="24"/>
        </w:rPr>
        <w:fldChar w:fldCharType="separate"/>
      </w:r>
      <w:r>
        <w:rPr>
          <w:rFonts w:ascii="Times New Roman" w:hAnsi="Times New Roman" w:eastAsia="方正仿宋_GBK"/>
          <w:b w:val="0"/>
          <w:sz w:val="24"/>
        </w:rPr>
        <w:t>56</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11" w:history="1">
        <w:r>
          <w:rPr>
            <w:rFonts w:ascii="Times New Roman" w:hAnsi="Times New Roman" w:eastAsia="方正仿宋_GBK"/>
            <w:b w:val="0"/>
            <w:sz w:val="24"/>
          </w:rPr>
          <w:t>5.2 三类措施的选取与寻优方法</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h511 \h </w:instrText>
      </w:r>
      <w:r>
        <w:rPr>
          <w:rFonts w:ascii="Times New Roman" w:hAnsi="Times New Roman" w:eastAsia="方正仿宋_GBK"/>
          <w:b w:val="0"/>
          <w:sz w:val="24"/>
        </w:rPr>
        <w:fldChar w:fldCharType="separate"/>
      </w:r>
      <w:r>
        <w:rPr>
          <w:rFonts w:ascii="Times New Roman" w:hAnsi="Times New Roman" w:eastAsia="方正仿宋_GBK"/>
          <w:b w:val="0"/>
          <w:sz w:val="24"/>
        </w:rPr>
        <w:t>59</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31" w:history="1">
        <w:r>
          <w:rPr>
            <w:rFonts w:ascii="Times New Roman" w:hAnsi="Times New Roman" w:eastAsia="方正仿宋_GBK"/>
            <w:b w:val="0"/>
            <w:sz w:val="24"/>
          </w:rPr>
          <w:t>5.3 约束条件与求解流程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h531 \h </w:instrText>
      </w:r>
      <w:r>
        <w:rPr>
          <w:rFonts w:ascii="Times New Roman" w:hAnsi="Times New Roman" w:eastAsia="方正仿宋_GBK"/>
          <w:b w:val="0"/>
          <w:sz w:val="24"/>
        </w:rPr>
        <w:fldChar w:fldCharType="separate"/>
      </w:r>
      <w:r>
        <w:rPr>
          <w:rFonts w:ascii="Times New Roman" w:hAnsi="Times New Roman" w:eastAsia="方正仿宋_GBK"/>
          <w:b w:val="0"/>
          <w:sz w:val="24"/>
        </w:rPr>
        <w:t>61</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43" w:history="1">
        <w:r>
          <w:rPr>
            <w:rFonts w:ascii="Times New Roman" w:hAnsi="Times New Roman" w:eastAsia="方正仿宋_GBK"/>
            <w:b w:val="0"/>
            <w:sz w:val="24"/>
          </w:rPr>
          <w:t>5.4 寻优结果</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h543 \h </w:instrText>
      </w:r>
      <w:r>
        <w:rPr>
          <w:rFonts w:ascii="Times New Roman" w:hAnsi="Times New Roman" w:eastAsia="方正仿宋_GBK"/>
          <w:b w:val="0"/>
          <w:sz w:val="24"/>
        </w:rPr>
        <w:fldChar w:fldCharType="separate"/>
      </w:r>
      <w:r>
        <w:rPr>
          <w:rFonts w:ascii="Times New Roman" w:hAnsi="Times New Roman" w:eastAsia="方正仿宋_GBK"/>
          <w:b w:val="0"/>
          <w:sz w:val="24"/>
        </w:rPr>
        <w:t>62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915" w:history="1">
        <w:r>
          <w:rPr>
            <w:rFonts w:ascii="Times New Roman" w:hAnsi="Times New Roman" w:eastAsia="方正仿宋_GBK"/>
            <w:b w:val="0"/>
            <w:sz w:val="24"/>
          </w:rPr>
          <w:t>5.5 措施作用与工程衔接</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h915 \h </w:instrText>
      </w:r>
      <w:r>
        <w:rPr>
          <w:rFonts w:ascii="Times New Roman" w:hAnsi="Times New Roman" w:eastAsia="方正仿宋_GBK"/>
          <w:b w:val="0"/>
          <w:sz w:val="24"/>
        </w:rPr>
        <w:fldChar w:fldCharType="separate"/>
      </w:r>
      <w:r>
        <w:rPr>
          <w:rFonts w:ascii="Times New Roman" w:hAnsi="Times New Roman" w:eastAsia="方正仿宋_GBK"/>
          <w:b w:val="0"/>
          <w:sz w:val="24"/>
        </w:rPr>
        <w:t>102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931" w:history="1">
        <w:r>
          <w:rPr>
            <w:rFonts w:ascii="Times New Roman" w:hAnsi="Times New Roman" w:eastAsia="方正仿宋_GBK"/>
            <w:b w:val="0"/>
            <w:sz w:val="24"/>
          </w:rPr>
          <w:t>5.6 六参数推广矩阵</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h931 \h </w:instrText>
      </w:r>
      <w:r>
        <w:rPr>
          <w:rFonts w:ascii="Times New Roman" w:hAnsi="Times New Roman" w:eastAsia="方正仿宋_GBK"/>
          <w:b w:val="0"/>
          <w:sz w:val="24"/>
        </w:rPr>
        <w:fldChar w:fldCharType="separate"/>
      </w:r>
      <w:r>
        <w:rPr>
          <w:rFonts w:ascii="Times New Roman" w:hAnsi="Times New Roman" w:eastAsia="方正仿宋_GBK"/>
          <w:b w:val="0"/>
          <w:sz w:val="24"/>
        </w:rPr>
        <w:t>106</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004" w:history="1">
        <w:r>
          <w:rPr>
            <w:rFonts w:ascii="Times New Roman" w:hAnsi="Times New Roman" w:eastAsia="方正仿宋_GBK"/>
            <w:b w:val="0"/>
            <w:sz w:val="24"/>
          </w:rPr>
          <w:t>5.7 规划建议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h1004 \h </w:instrText>
      </w:r>
      <w:r>
        <w:rPr>
          <w:rFonts w:ascii="Times New Roman" w:hAnsi="Times New Roman" w:eastAsia="方正仿宋_GBK"/>
          <w:b w:val="0"/>
          <w:sz w:val="24"/>
        </w:rPr>
        <w:fldChar w:fldCharType="separate"/>
      </w:r>
      <w:r>
        <w:rPr>
          <w:rFonts w:ascii="Times New Roman" w:hAnsi="Times New Roman" w:eastAsia="方正仿宋_GBK"/>
          <w:b w:val="0"/>
          <w:sz w:val="24"/>
        </w:rPr>
        <w:t>120</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1019" w:history="1">
        <w:r>
          <w:rPr>
            <w:rFonts w:ascii="Times New Roman" w:hAnsi="Times New Roman" w:eastAsia="方正仿宋_GBK"/>
            <w:b/>
            <w:sz w:val="24"/>
          </w:rPr>
          <w:t>第六章 结论与建议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h1019 \h </w:instrText>
      </w:r>
      <w:r>
        <w:rPr>
          <w:rFonts w:ascii="Times New Roman" w:hAnsi="Times New Roman" w:eastAsia="方正仿宋_GBK"/>
          <w:b/>
          <w:sz w:val="24"/>
        </w:rPr>
        <w:fldChar w:fldCharType="separate"/>
      </w:r>
      <w:r>
        <w:rPr>
          <w:rFonts w:ascii="Times New Roman" w:hAnsi="Times New Roman" w:eastAsia="方正仿宋_GBK"/>
          <w:b/>
          <w:sz w:val="24"/>
        </w:rPr>
        <w:t>123</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021" w:history="1">
        <w:r>
          <w:rPr>
            <w:rFonts w:ascii="Times New Roman" w:hAnsi="Times New Roman" w:eastAsia="方正仿宋_GBK"/>
            <w:b w:val="0"/>
            <w:sz w:val="24"/>
          </w:rPr>
          <w:t>6.1 主要研究结论</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h1021 \h </w:instrText>
      </w:r>
      <w:r>
        <w:rPr>
          <w:rFonts w:ascii="Times New Roman" w:hAnsi="Times New Roman" w:eastAsia="方正仿宋_GBK"/>
          <w:b w:val="0"/>
          <w:sz w:val="24"/>
        </w:rPr>
        <w:fldChar w:fldCharType="separate"/>
      </w:r>
      <w:r>
        <w:rPr>
          <w:rFonts w:ascii="Times New Roman" w:hAnsi="Times New Roman" w:eastAsia="方正仿宋_GBK"/>
          <w:b w:val="0"/>
          <w:sz w:val="24"/>
        </w:rPr>
        <w:t>123</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035" w:history="1">
        <w:r>
          <w:rPr>
            <w:rFonts w:ascii="Times New Roman" w:hAnsi="Times New Roman" w:eastAsia="方正仿宋_GBK"/>
            <w:b w:val="0"/>
            <w:sz w:val="24"/>
          </w:rPr>
          <w:t>6.2 规划应用建议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h1035 \h </w:instrText>
      </w:r>
      <w:r>
        <w:rPr>
          <w:rFonts w:ascii="Times New Roman" w:hAnsi="Times New Roman" w:eastAsia="方正仿宋_GBK"/>
          <w:b w:val="0"/>
          <w:sz w:val="24"/>
        </w:rPr>
        <w:fldChar w:fldCharType="separate"/>
      </w:r>
      <w:r>
        <w:rPr>
          <w:rFonts w:ascii="Times New Roman" w:hAnsi="Times New Roman" w:eastAsia="方正仿宋_GBK"/>
          <w:b w:val="0"/>
          <w:sz w:val="24"/>
        </w:rPr>
        <w:t>124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047" w:history="1">
        <w:r>
          <w:rPr>
            <w:rFonts w:ascii="Times New Roman" w:hAnsi="Times New Roman" w:eastAsia="方正仿宋_GBK"/>
            <w:b w:val="0"/>
            <w:sz w:val="24"/>
          </w:rPr>
          <w:t>6.3 后续研究方向</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h1047 \h </w:instrText>
      </w:r>
      <w:r>
        <w:rPr>
          <w:rFonts w:ascii="Times New Roman" w:hAnsi="Times New Roman" w:eastAsia="方正仿宋_GBK"/>
          <w:b w:val="0"/>
          <w:sz w:val="24"/>
        </w:rPr>
        <w:fldChar w:fldCharType="separate"/>
      </w:r>
      <w:r>
        <w:rPr>
          <w:rFonts w:ascii="Times New Roman" w:hAnsi="Times New Roman" w:eastAsia="方正仿宋_GBK"/>
          <w:b w:val="0"/>
          <w:sz w:val="24"/>
        </w:rPr>
        <w:t>125</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1053" w:history="1">
        <w:r>
          <w:rPr>
            <w:rFonts w:ascii="Times New Roman" w:hAnsi="Times New Roman" w:eastAsia="方正仿宋_GBK"/>
            <w:b/>
            <w:sz w:val="24"/>
          </w:rPr>
          <w:t>参考文献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h1053 \h </w:instrText>
      </w:r>
      <w:r>
        <w:rPr>
          <w:rFonts w:ascii="Times New Roman" w:hAnsi="Times New Roman" w:eastAsia="方正仿宋_GBK"/>
          <w:b/>
          <w:sz w:val="24"/>
        </w:rPr>
        <w:fldChar w:fldCharType="separate"/>
      </w:r>
      <w:r>
        <w:rPr>
          <w:rFonts w:ascii="Times New Roman" w:hAnsi="Times New Roman" w:eastAsia="方正仿宋_GBK"/>
          <w:b/>
          <w:sz w:val="24"/>
        </w:rPr>
        <w:t>126</w:t>
      </w:r>
      <w:r>
        <w:rPr>
          <w:rFonts w:ascii="Times New Roman" w:hAnsi="Times New Roman" w:eastAsia="方正仿宋_GBK"/>
          <w:b/>
          <w:sz w:val="24"/>
        </w:rPr>
        <w:fldChar w:fldCharType="end"/>
      </w:r>
    </w:p>
    <w:p>
      <w:pPr>
        <w:pStyle w:val="3"/>
        <w:keepNext/>
        <w:pageBreakBefore/>
        <w:numPr>
          <w:numId w:val="0"/>
        </w:numPr>
        <w:spacing w:line="540" w:lineRule="exact" w:before="0" w:after="120"/>
        <w:ind w:firstLine="0"/>
      </w:pPr>
      <w:bookmarkStart w:id="1000" w:name="h0"/>
      <w:bookmarkStart w:id="20" w:name="第一章-绪论"/>
      <w:r>
        <w:rPr>
          <w:rFonts w:ascii="Times New Roman" w:hAnsi="Times New Roman" w:eastAsia="方正仿宋_GBK"/>
          <w:b/>
          <w:sz w:val="36"/>
        </w:rPr>
        <w:t xml:space="preserve">第一章 绪论</w:t>
      </w:r>
      <w:bookmarkEnd w:id="20"/>
      <w:bookmarkEnd w:id="1000"/>
    </w:p>
    <w:p>
      <w:pPr>
        <w:pStyle w:val="4"/>
        <w:keepNext/>
        <w:numPr>
          <w:numId w:val="0"/>
        </w:numPr>
        <w:spacing w:line="480" w:lineRule="exact" w:before="160" w:after="120"/>
        <w:ind w:firstLine="0"/>
      </w:pPr>
      <w:bookmarkStart w:id="1001" w:name="h1"/>
      <w:bookmarkStart w:id="21" w:name="研究背景与意义"/>
      <w:r>
        <w:rPr>
          <w:rFonts w:ascii="Times New Roman" w:hAnsi="Times New Roman" w:eastAsia="方正仿宋_GBK"/>
          <w:b/>
          <w:sz w:val="32"/>
        </w:rPr>
        <w:t xml:space="preserve">1.1 研究背景与意义</w:t>
      </w:r>
      <w:bookmarkEnd w:id="21"/>
      <w:bookmarkEnd w:id="1001"/>
    </w:p>
    <w:p>
      <w:pPr>
        <w:pStyle w:val="5"/>
        <w:keepNext/>
        <w:numPr>
          <w:numId w:val="0"/>
        </w:numPr>
        <w:spacing w:line="390" w:lineRule="exact" w:before="160" w:after="120"/>
        <w:ind w:firstLine="0"/>
      </w:pPr>
      <w:bookmarkStart w:id="22" w:name="分布式新能源发展对配电网规划的影响"/>
      <w:r>
        <w:rPr>
          <w:rFonts w:ascii="Times New Roman" w:hAnsi="Times New Roman" w:eastAsia="方正仿宋_GBK"/>
          <w:b/>
          <w:sz w:val="26"/>
        </w:rPr>
        <w:t xml:space="preserve">1.1.1 分布式新能源发展对配电网规划的影响</w:t>
      </w:r>
      <w:bookmarkEnd w:id="22"/>
    </w:p>
    <w:p>
      <w:pPr>
        <w:pStyle w:val="FirstParagraph"/>
        <w:widowControl/>
        <w:spacing w:line="348" w:lineRule="exact" w:before="0" w:after="0"/>
        <w:ind w:firstLine="480"/>
        <w:jc w:val="both"/>
      </w:pPr>
      <w:r>
        <w:rPr>
          <w:rFonts w:ascii="Times New Roman" w:hAnsi="Times New Roman" w:eastAsia="方正仿宋_GBK"/>
          <w:b w:val="0"/>
          <w:sz w:val="24"/>
        </w:rPr>
        <w:t xml:space="preserve">在新型电力系统建设和能源绿色转型背景下，分布式光伏进入规模化发展阶段。国家能源局公布，截至2026年3月底，全国分布式光伏装机容量达到5.54亿千瓦[1]，同期江苏分布式光伏累计并网容量为6629.40万千瓦[2]。随着电源在用户侧广泛接入，110 kV变电站承担的供电任务随本地发电与用电的时段关系发生变化。</w:t>
      </w:r>
    </w:p>
    <w:p>
      <w:pPr>
        <w:pStyle w:val="2"/>
        <w:widowControl/>
        <w:spacing w:line="348" w:lineRule="exact" w:before="0" w:after="0"/>
        <w:ind w:firstLine="480"/>
        <w:jc w:val="both"/>
      </w:pPr>
      <w:r>
        <w:rPr>
          <w:rFonts w:ascii="Times New Roman" w:hAnsi="Times New Roman" w:eastAsia="方正仿宋_GBK"/>
          <w:b w:val="0"/>
          <w:sz w:val="24"/>
        </w:rPr>
        <w:t xml:space="preserve">光伏出力较高时，部分用户用电由本地电源供给，主变受入功率减小，而当本地发电超过本地用电时，剩余电力经主变反送。光伏出力下降后，上级电网仍需承担剩余用电需求。因此，主变容量需要同时满足正向供电和反向输送要求，并在主变N-1时通过剩余设备及下级网络维持供电[3][4][5]。</w:t>
      </w:r>
    </w:p>
    <w:p>
      <w:pPr>
        <w:pStyle w:val="2"/>
        <w:widowControl/>
        <w:spacing w:line="348" w:lineRule="exact" w:before="0" w:after="0"/>
        <w:ind w:firstLine="480"/>
        <w:jc w:val="both"/>
      </w:pPr>
      <w:r>
        <w:rPr>
          <w:rFonts w:ascii="Times New Roman" w:hAnsi="Times New Roman" w:eastAsia="方正仿宋_GBK"/>
          <w:b w:val="0"/>
          <w:sz w:val="24"/>
        </w:rPr>
        <w:t xml:space="preserve">容载比按同电压等级公用变电设备总容量与区域年网供最大负荷之比计算，用于规划区域容量储备，具体取值结合负荷发展、供电安全及技术经济条件确定[5]。光伏对其分母的影响取决于峰值时刻：峰值在日间时，光伏供电可能降低受入峰值或使峰值转移，而峰值在晚间时，主变仍需承担该时段的供电任务。同时，日间反向输送可能提出新增容量需求。区域容量选取因而需要联系逐站双向功率、主变结构和联络支援条件。</w:t>
      </w:r>
    </w:p>
    <w:p>
      <w:pPr>
        <w:pStyle w:val="2"/>
        <w:widowControl/>
        <w:spacing w:line="348" w:lineRule="exact" w:before="0" w:after="0"/>
        <w:ind w:firstLine="480"/>
        <w:jc w:val="both"/>
      </w:pPr>
      <w:r>
        <w:rPr>
          <w:rFonts w:ascii="Times New Roman" w:hAnsi="Times New Roman" w:eastAsia="方正仿宋_GBK"/>
          <w:b w:val="0"/>
          <w:sz w:val="24"/>
        </w:rPr>
        <w:t xml:space="preserve">《关于新形势下配电网高质量发展的指导意见》将分布式新能源承载、多元负荷接入及源网荷储协同列为发展方向[6]。落实到容量规划，主变增容、下级网络联络和储能可以通过不同方式满足局部需求，各自所需规模及费用受负荷分布和持续时间影响。规划比选需要先确定满足供电任务的措施组合，再评价相应的容量水平和工程费用。</w:t>
      </w:r>
    </w:p>
    <w:p>
      <w:pPr>
        <w:pStyle w:val="2"/>
        <w:widowControl/>
        <w:spacing w:line="348" w:lineRule="exact" w:before="0" w:after="0"/>
        <w:ind w:firstLine="480"/>
        <w:jc w:val="both"/>
      </w:pPr>
      <w:r>
        <w:rPr>
          <w:rFonts w:ascii="Times New Roman" w:hAnsi="Times New Roman" w:eastAsia="方正仿宋_GBK"/>
          <w:b w:val="0"/>
          <w:sz w:val="24"/>
        </w:rPr>
        <w:t xml:space="preserve">为识别上述任务，本报告以分布式电源装机渗透率和电量渗透率描述地区电源规模及供能水平，以主变年最大负载率和正反向净负荷识别设备压力，以95%峰值持续时间描述近峰过程。运行特征分析为后续容量约束和措施比选提供源荷条件。</w:t>
      </w:r>
    </w:p>
    <w:p>
      <w:pPr>
        <w:pStyle w:val="5"/>
        <w:keepNext/>
        <w:numPr>
          <w:numId w:val="0"/>
        </w:numPr>
        <w:spacing w:line="390" w:lineRule="exact" w:before="160" w:after="120"/>
        <w:ind w:firstLine="0"/>
      </w:pPr>
      <w:bookmarkStart w:id="23" w:name="徐州地区的研究需求"/>
      <w:r>
        <w:rPr>
          <w:rFonts w:ascii="Times New Roman" w:hAnsi="Times New Roman" w:eastAsia="方正仿宋_GBK"/>
          <w:b/>
          <w:sz w:val="26"/>
        </w:rPr>
        <w:t xml:space="preserve">1.1.2 徐州地区的研究需求</w:t>
      </w:r>
      <w:bookmarkEnd w:id="23"/>
    </w:p>
    <w:p>
      <w:pPr>
        <w:pStyle w:val="FirstParagraph"/>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2025年4月《配电网规划设计技术导则（修订稿）》引入分布式电源装机渗透率（源荷比）和分布式电源电量渗透率，提出源荷比超过2.00，或分布式电源电量渗透率超过40%～50%时，以110～35 kV反向净负荷极值校核公用主变反向重过载；出现反向重过载时，通过技术经济比选采用增加变电容量、独立储能或新能源配储等措施[7]。与此同时，容量规划仍需参照按负荷增长分档的容载比范围，上限一般为2.00[5][7]。增加主变容量可能使容载比超过该上限，规划人员需要判断：反向容量或供电安全要求形成的增容需求，应如何与区域容载比控制值协调。</w:t>
      </w:r>
    </w:p>
    <w:p>
      <w:pPr>
        <w:pStyle w:val="2"/>
        <w:widowControl/>
        <w:spacing w:line="348" w:lineRule="exact" w:before="0" w:after="0"/>
        <w:ind w:firstLine="480"/>
        <w:jc w:val="both"/>
      </w:pPr>
      <w:r>
        <w:rPr>
          <w:rFonts w:ascii="Times New Roman" w:hAnsi="Times New Roman" w:eastAsia="方正仿宋_GBK"/>
          <w:b w:val="0"/>
          <w:sz w:val="24"/>
        </w:rPr>
        <w:t xml:space="preserve">徐州不同片区的源荷条件存在差异。装机统计显示，邳州2025年末分布式光伏装机为1559.64 MW，110 kV降压负荷为956.45 MW，市区分别为491.18 MW和1528.82 MW。按典型场景估计的分布式电源装机渗透率，邳州为1.63、市区为0.32，分布式电源电量渗透率分别为40%和9%。按上述电量估计，邳州已达到开展反向容量校核的参考水平。市区样本容量配置更多受正向供电及主变N-1条件影响。本研究据此选择邳州和市区，分别分析光伏规模较大县域与负荷较集中城区的容量配置。两地区均按同一电压等级、同一统计范围组织源荷和设备资料，使区域指标与站级规划相对应。</w:t>
      </w:r>
    </w:p>
    <w:p>
      <w:pPr>
        <w:pStyle w:val="2"/>
        <w:widowControl/>
        <w:spacing w:line="348" w:lineRule="exact" w:before="0" w:after="0"/>
        <w:ind w:firstLine="480"/>
        <w:jc w:val="both"/>
      </w:pPr>
      <w:r>
        <w:rPr>
          <w:rFonts w:ascii="Times New Roman" w:hAnsi="Times New Roman" w:eastAsia="方正仿宋_GBK"/>
          <w:b w:val="0"/>
          <w:sz w:val="24"/>
        </w:rPr>
        <w:t xml:space="preserve">针对上述容量协调问题，本课题在相同年度负荷、设备初态和技术约束下，比较容载比按2.00上限控制与突破2.00时的主变、储能及联络组合，判断增加主变费用能否由其他措施的费用节省抵消。再分析源荷水平、负荷增长和峰段特征改变时的配置响应，形成分片区的弹性指标及适用条件。</w:t>
      </w:r>
    </w:p>
    <w:p>
      <w:pPr>
        <w:pStyle w:val="5"/>
        <w:keepNext/>
        <w:numPr>
          <w:numId w:val="0"/>
        </w:numPr>
        <w:spacing w:line="390" w:lineRule="exact" w:before="160" w:after="120"/>
        <w:ind w:firstLine="0"/>
      </w:pPr>
      <w:bookmarkStart w:id="24" w:name="容载比弹性研究的工程意义"/>
      <w:r>
        <w:rPr>
          <w:rFonts w:ascii="Times New Roman" w:hAnsi="Times New Roman" w:eastAsia="方正仿宋_GBK"/>
          <w:b/>
          <w:sz w:val="26"/>
        </w:rPr>
        <w:t xml:space="preserve">1.1.3 容载比弹性研究的工程意义</w:t>
      </w:r>
      <w:bookmarkEnd w:id="24"/>
    </w:p>
    <w:p>
      <w:pPr>
        <w:pStyle w:val="FirstParagraph"/>
        <w:widowControl/>
        <w:spacing w:line="348" w:lineRule="exact" w:before="0" w:after="0"/>
        <w:ind w:firstLine="480"/>
        <w:jc w:val="both"/>
      </w:pPr>
      <w:r>
        <w:rPr>
          <w:rFonts w:ascii="Times New Roman" w:hAnsi="Times New Roman" w:eastAsia="方正仿宋_GBK"/>
          <w:b w:val="0"/>
          <w:sz w:val="24"/>
        </w:rPr>
        <w:t xml:space="preserve">容载比用于规划阶段估计一个地区需要配置的公用主变总容量。主变容量既要承担当前最大负荷，还需满足负荷增长、检修及主变N-1条件，设备台数和负荷同时性也会影响所需储备。因此，规划通常以年网供最大负荷乘以相应容载比估算区域容量，再通过逐站校核落实建设规模[5][8]。这一指标便于在站址和网络方案尚未完全确定时控制容量总量，具体取值需要与负荷发展和供电条件对应。</w:t>
      </w:r>
    </w:p>
    <w:p>
      <w:pPr>
        <w:pStyle w:val="2"/>
        <w:widowControl/>
        <w:spacing w:line="348" w:lineRule="exact" w:before="0" w:after="0"/>
        <w:ind w:firstLine="480"/>
        <w:jc w:val="both"/>
      </w:pPr>
      <w:r>
        <w:rPr>
          <w:rFonts w:ascii="Times New Roman" w:hAnsi="Times New Roman" w:eastAsia="方正仿宋_GBK"/>
          <w:b w:val="0"/>
          <w:sz w:val="24"/>
        </w:rPr>
        <w:t xml:space="preserve">本项目研究容载比控制与建设方案之间的关系。对给定区域负荷、设备初态和候选措施，先求满足技术条件的主变、储能及联络配置，再计算年度容载比和评价期费用。这样形成的推荐值具有对应的建设措施及约束条件，便于说明采用某个比值需要付出多少投资、获得何种容量配置，以及哪些条件发生变化后需要重新比选。</w:t>
      </w:r>
    </w:p>
    <w:p>
      <w:pPr>
        <w:pStyle w:val="2"/>
        <w:widowControl/>
        <w:spacing w:line="348" w:lineRule="exact" w:before="0" w:after="0"/>
        <w:ind w:firstLine="480"/>
        <w:jc w:val="both"/>
      </w:pPr>
      <w:r>
        <w:rPr>
          <w:rFonts w:ascii="Times New Roman" w:hAnsi="Times New Roman" w:eastAsia="方正仿宋_GBK"/>
          <w:b w:val="0"/>
          <w:sz w:val="24"/>
        </w:rPr>
        <w:t xml:space="preserve">弹性方案允许在既定研究边界内放宽一般容载比控制值，使增加主变与配置储能能够在同一费用目标下比较。容量提高可能减少局部供电安全约束所需的储能，同时增加主变购置、配套工程及后续运维费用，两者能否相抵取决于主变规格、储能价格、储能支撑持续时间和负荷空间分布。因此，两类方案采用相同措施集合、价格和初态，通过完整配置的费用结果评价经济性。</w:t>
      </w:r>
    </w:p>
    <w:p>
      <w:pPr>
        <w:pStyle w:val="2"/>
        <w:widowControl/>
        <w:spacing w:line="348" w:lineRule="exact" w:before="0" w:after="0"/>
        <w:ind w:firstLine="480"/>
        <w:jc w:val="both"/>
      </w:pPr>
      <w:r>
        <w:rPr>
          <w:rFonts w:ascii="Times New Roman" w:hAnsi="Times New Roman" w:eastAsia="方正仿宋_GBK"/>
          <w:b w:val="0"/>
          <w:sz w:val="24"/>
        </w:rPr>
        <w:t xml:space="preserve">实际规划还应区分容量与负荷变化对年度容载比的影响：既有主变保持不变而年最大负荷下降时，容载比会升高；负荷增长快于容量增长时，即使新增主变，容载比仍可能降低。逐年方案因而需同时列出主变在役容量、采购容量和年度负荷，将指标变化与建设行为对应起来。</w:t>
      </w:r>
    </w:p>
    <w:p>
      <w:pPr>
        <w:pStyle w:val="2"/>
        <w:widowControl/>
        <w:spacing w:line="348" w:lineRule="exact" w:before="0" w:after="0"/>
        <w:ind w:firstLine="480"/>
        <w:jc w:val="both"/>
      </w:pPr>
      <w:r>
        <w:rPr>
          <w:rFonts w:ascii="Times New Roman" w:hAnsi="Times New Roman" w:eastAsia="方正仿宋_GBK"/>
          <w:b w:val="0"/>
          <w:sz w:val="24"/>
        </w:rPr>
        <w:t xml:space="preserve">研究成果拟用于区域规划前期的技术经济比选，通过配置路径、价格参数与条件推荐矩阵，说明推荐值随相关条件变化的范围。相似片区采用模板时，应先核对实际容量和负荷分布，再在接入系统或专项规划阶段校核具体接线、故障恢复时间、电压与保护配合。</w:t>
      </w:r>
    </w:p>
    <w:p>
      <w:pPr>
        <w:pStyle w:val="4"/>
        <w:keepNext/>
        <w:numPr>
          <w:numId w:val="0"/>
        </w:numPr>
        <w:spacing w:line="480" w:lineRule="exact" w:before="160" w:after="120"/>
        <w:ind w:firstLine="0"/>
      </w:pPr>
      <w:bookmarkStart w:id="1018" w:name="h18"/>
      <w:bookmarkStart w:id="25" w:name="主要概念与规范依据"/>
      <w:r>
        <w:rPr>
          <w:rFonts w:ascii="Times New Roman" w:hAnsi="Times New Roman" w:eastAsia="方正仿宋_GBK"/>
          <w:b/>
          <w:sz w:val="32"/>
        </w:rPr>
        <w:t xml:space="preserve">1.2 主要概念与规范依据</w:t>
      </w:r>
      <w:bookmarkEnd w:id="25"/>
      <w:bookmarkEnd w:id="1018"/>
    </w:p>
    <w:p>
      <w:pPr>
        <w:pStyle w:val="5"/>
        <w:keepNext/>
        <w:numPr>
          <w:numId w:val="0"/>
        </w:numPr>
        <w:spacing w:line="390" w:lineRule="exact" w:before="160" w:after="120"/>
        <w:ind w:firstLine="0"/>
      </w:pPr>
      <w:bookmarkStart w:id="26" w:name="容载比供电能力与承载力"/>
      <w:r>
        <w:rPr>
          <w:rFonts w:ascii="Times New Roman" w:hAnsi="Times New Roman" w:eastAsia="方正仿宋_GBK"/>
          <w:b/>
          <w:sz w:val="26"/>
        </w:rPr>
        <w:t xml:space="preserve">1.2.1 容载比、供电能力与承载力</w:t>
      </w:r>
      <w:bookmarkEnd w:id="26"/>
    </w:p>
    <w:p>
      <w:pPr>
        <w:pStyle w:val="FirstParagraph"/>
        <w:widowControl/>
        <w:spacing w:line="348" w:lineRule="exact" w:before="0" w:after="0"/>
        <w:ind w:firstLine="480"/>
        <w:jc w:val="both"/>
      </w:pPr>
      <w:r>
        <w:rPr>
          <w:rFonts w:ascii="Times New Roman" w:hAnsi="Times New Roman" w:eastAsia="方正仿宋_GBK"/>
          <w:b w:val="0"/>
          <w:sz w:val="24"/>
        </w:rPr>
        <w:t xml:space="preserve">DL/T 5729—2023《配电网规划设计技术导则》将容载比用于110～35 kV电网容量储备分析[5]。容载比按规划区域同电压等级公用变电设备总容量与年网供最大负荷之比计算。负荷发展较快的片区需要相应容量储备，增长较慢或趋于饱和的片区则应结合供电安全及转供条件确定容量规模。</w:t>
      </w:r>
    </w:p>
    <w:p>
      <w:pPr>
        <w:pStyle w:val="2"/>
        <w:widowControl/>
        <w:spacing w:line="348" w:lineRule="exact" w:before="0" w:after="0"/>
        <w:ind w:firstLine="480"/>
        <w:jc w:val="both"/>
      </w:pPr>
      <w:r>
        <w:rPr>
          <w:rFonts w:ascii="Times New Roman" w:hAnsi="Times New Roman" w:eastAsia="方正仿宋_GBK"/>
          <w:b w:val="0"/>
          <w:sz w:val="24"/>
        </w:rPr>
        <w:t xml:space="preserve">最大供电能力描述满足供电安全要求时可以持续供应的最大负荷。肖峻等将站内主变转带与下级中压网络转带纳入供电能力分析，说明容量总量、主变台数及网络互联共同影响可供负荷[8]。该概念用于解释相同区域容载比下不同站群可能具有不同的局部供电能力。</w:t>
      </w:r>
    </w:p>
    <w:p>
      <w:pPr>
        <w:pStyle w:val="2"/>
        <w:widowControl/>
        <w:spacing w:line="348" w:lineRule="exact" w:before="0" w:after="0"/>
        <w:ind w:firstLine="480"/>
        <w:jc w:val="both"/>
      </w:pPr>
      <w:r>
        <w:rPr>
          <w:rFonts w:ascii="Times New Roman" w:hAnsi="Times New Roman" w:eastAsia="方正仿宋_GBK"/>
          <w:b w:val="0"/>
          <w:sz w:val="24"/>
        </w:rPr>
        <w:t xml:space="preserve">DL/T 2041—2025《分布式电源接入电力系统承载力评估导则》规定系统级和设备级承载力评估及结果校核方法[9]。承载力重点评价分布式电源接入规模与电网约束之间的关系，容载比重点评价公用变电容量与区域供电负荷之间的关系。本项目以容载比选取为目标，同时在站级模型中校核正向供电与反向容量需求。</w:t>
      </w:r>
    </w:p>
    <w:p>
      <w:pPr>
        <w:pStyle w:val="5"/>
        <w:keepNext/>
        <w:numPr>
          <w:numId w:val="0"/>
        </w:numPr>
        <w:spacing w:line="390" w:lineRule="exact" w:before="160" w:after="120"/>
        <w:ind w:firstLine="0"/>
      </w:pPr>
      <w:bookmarkStart w:id="27" w:name="刚性基准与弹性方案"/>
      <w:r>
        <w:rPr>
          <w:rFonts w:ascii="Times New Roman" w:hAnsi="Times New Roman" w:eastAsia="方正仿宋_GBK"/>
          <w:b/>
          <w:sz w:val="26"/>
        </w:rPr>
        <w:t xml:space="preserve">1.2.2 刚性基准与弹性方案</w:t>
      </w:r>
      <w:bookmarkEnd w:id="27"/>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本研究将弹性容载比定义为：在满足相同技术约束条件下，经评价期费用比较确定、允许适度偏离一般容载比上限的取值。该名称用于本课题的规划研究。</w:t>
      </w:r>
    </w:p>
    <w:p>
      <w:pPr>
        <w:pStyle w:val="2"/>
        <w:widowControl/>
        <w:spacing w:line="348" w:lineRule="exact" w:before="0" w:after="0"/>
        <w:ind w:firstLine="480"/>
        <w:jc w:val="both"/>
      </w:pPr>
      <w:r>
        <w:rPr>
          <w:rFonts w:ascii="Times New Roman" w:hAnsi="Times New Roman" w:eastAsia="方正仿宋_GBK"/>
          <w:b w:val="0"/>
          <w:sz w:val="24"/>
        </w:rPr>
        <w:t xml:space="preserve">DL/T 5729—2023《配电网规划设计技术导则》第6.3.4条按负荷发展阶段给出容载比建议范围，第6.3.5条允许负荷快速发展、发展潜力较大或负荷较分散的地区适当提高取值[5]。《配电网规划设计技术导则》第6.2.2.1条进一步提出，建议范围内不能满足供电安全准则时，可结合实际情况适当提高[7]。本课题保留相同初始设备结构：刚性方案新增扩容按当年负荷两倍控制，当年负荷低于上一年度时，保留已投运主变容量，容载比可随负荷回落而超过2.0。弹性方案依据承载需求和费用比选，最大容量由设备规格和可扩建位置确定。</w:t>
      </w:r>
    </w:p>
    <w:p>
      <w:pPr>
        <w:pStyle w:val="2"/>
        <w:widowControl/>
        <w:spacing w:line="348" w:lineRule="exact" w:before="0" w:after="0"/>
        <w:ind w:firstLine="480"/>
        <w:jc w:val="both"/>
      </w:pPr>
      <w:r>
        <w:rPr>
          <w:rFonts w:ascii="Times New Roman" w:hAnsi="Times New Roman" w:eastAsia="方正仿宋_GBK"/>
          <w:b w:val="0"/>
          <w:sz w:val="24"/>
        </w:rPr>
        <w:t xml:space="preserve">两类方案采用相同的年度负荷、候选设备与工程价格，逐年比较主变容量、储能规模、站间负荷转接及评价期费用。推荐值与相应设备配置共同列示，供片区规划采用。</w:t>
      </w:r>
    </w:p>
    <w:p>
      <w:pPr>
        <w:pStyle w:val="5"/>
        <w:keepNext/>
        <w:numPr>
          <w:numId w:val="0"/>
        </w:numPr>
        <w:spacing w:line="390" w:lineRule="exact" w:before="160" w:after="120"/>
        <w:ind w:firstLine="0"/>
      </w:pPr>
      <w:bookmarkStart w:id="28" w:name="费用现值与方案评价"/>
      <w:r>
        <w:rPr>
          <w:rFonts w:ascii="Times New Roman" w:hAnsi="Times New Roman" w:eastAsia="方正仿宋_GBK"/>
          <w:b/>
          <w:sz w:val="26"/>
        </w:rPr>
        <w:t xml:space="preserve">1.2.3 费用现值与方案评价</w:t>
      </w:r>
      <w:bookmarkEnd w:id="28"/>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本研究参照全寿命周期费用方法，将新增措施初始投资、固定运维及评价期内设备更新费用折算到2021年末，统一计算至2041年[10,11,12]。结果称为</w:t>
      </w:r>
      <w:r>
        <w:rPr>
          <w:rFonts w:ascii="Times New Roman" w:hAnsi="Times New Roman" w:eastAsia="方正仿宋_GBK"/>
          <w:b w:val="0"/>
          <w:sz w:val="24"/>
        </w:rPr>
        <w:t xml:space="preserve">“</w:t>
      </w:r>
      <w:r>
        <w:rPr>
          <w:rFonts w:ascii="Times New Roman" w:hAnsi="Times New Roman" w:eastAsia="方正仿宋_GBK"/>
          <w:b w:val="0"/>
          <w:sz w:val="24"/>
        </w:rPr>
        <w:t xml:space="preserve">共同评价期内新增措施费用现值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，下文简称</w:t>
      </w:r>
      <w:r>
        <w:rPr>
          <w:rFonts w:ascii="Times New Roman" w:hAnsi="Times New Roman" w:eastAsia="方正仿宋_GBK"/>
          <w:b w:val="0"/>
          <w:sz w:val="24"/>
        </w:rPr>
        <w:t xml:space="preserve">“</w:t>
      </w:r>
      <w:r>
        <w:rPr>
          <w:rFonts w:ascii="Times New Roman" w:hAnsi="Times New Roman" w:eastAsia="方正仿宋_GBK"/>
          <w:b w:val="0"/>
          <w:sz w:val="24"/>
        </w:rPr>
        <w:t xml:space="preserve">评价期费用现值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或</w:t>
      </w:r>
      <w:r>
        <w:rPr>
          <w:rFonts w:ascii="Times New Roman" w:hAnsi="Times New Roman" w:eastAsia="方正仿宋_GBK"/>
          <w:b w:val="0"/>
          <w:sz w:val="24"/>
        </w:rPr>
        <w:t xml:space="preserve">“</w:t>
      </w:r>
      <w:r>
        <w:rPr>
          <w:rFonts w:ascii="Times New Roman" w:hAnsi="Times New Roman" w:eastAsia="方正仿宋_GBK"/>
          <w:b w:val="0"/>
          <w:sz w:val="24"/>
        </w:rPr>
        <w:t xml:space="preserve">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。该评价期短于设备完整寿命，费用科目及未计事项见第4.6.4节。主变增容和主变扩建形成长期在役容量，储能承担相应峰段支撑，10 kV联络改善站间负荷配置，各措施按实际购置批次计算费用。</w:t>
      </w:r>
    </w:p>
    <w:p>
      <w:pPr>
        <w:pStyle w:val="2"/>
        <w:widowControl/>
        <w:spacing w:line="348" w:lineRule="exact" w:before="0" w:after="0"/>
        <w:ind w:firstLine="480"/>
        <w:jc w:val="both"/>
      </w:pPr>
      <w:r>
        <w:rPr>
          <w:rFonts w:ascii="Times New Roman" w:hAnsi="Times New Roman" w:eastAsia="方正仿宋_GBK"/>
          <w:b w:val="0"/>
          <w:sz w:val="24"/>
        </w:rPr>
        <w:t xml:space="preserve">层次分析法、多准则排序和可拓评价可用于比较技术可行方案的其他规划属性[13][14][15][16]。本项目采用评价期费用最小作为寻优目标，供电安全及设备容量作为约束，并结合片区源荷条件形成推荐范围。工程实施阶段可补充施工条件、土地资源及运行方式的综合评价。</w:t>
      </w:r>
    </w:p>
    <w:p>
      <w:pPr>
        <w:pStyle w:val="5"/>
        <w:keepNext/>
        <w:numPr>
          <w:numId w:val="0"/>
        </w:numPr>
        <w:spacing w:line="390" w:lineRule="exact" w:before="160" w:after="120"/>
        <w:ind w:firstLine="0"/>
      </w:pPr>
      <w:bookmarkStart w:id="29" w:name="规范与研究指标的衔接"/>
      <w:r>
        <w:rPr>
          <w:rFonts w:ascii="Times New Roman" w:hAnsi="Times New Roman" w:eastAsia="方正仿宋_GBK"/>
          <w:b/>
          <w:sz w:val="26"/>
        </w:rPr>
        <w:t xml:space="preserve">1.2.4 规范与研究指标的衔接</w:t>
      </w:r>
      <w:bookmarkEnd w:id="29"/>
    </w:p>
    <w:p>
      <w:pPr>
        <w:pStyle w:val="FirstParagraph"/>
        <w:widowControl/>
        <w:spacing w:line="348" w:lineRule="exact" w:before="0" w:after="0"/>
        <w:ind w:firstLine="480"/>
        <w:jc w:val="both"/>
      </w:pPr>
      <w:r>
        <w:rPr>
          <w:rFonts w:ascii="Times New Roman" w:hAnsi="Times New Roman" w:eastAsia="方正仿宋_GBK"/>
          <w:b w:val="0"/>
          <w:sz w:val="24"/>
        </w:rPr>
        <w:t xml:space="preserve">报告以DL/T 5729—2023《配电网规划设计技术导则》确定容量规划和供电区域分类依据，以DL/T 2041—2025《分布式电源接入电力系统承载力评估导则》组织分布式电源容量校核[5][9]。GB/T 45418—2025《配电网通用技术导则》作为下级配电网技术分析的补充依据[17]。分布式电源装机渗透率和分布式电源电量渗透率采用《配电网规划设计技术导则》的指标定义[7]，用于描述片区源荷条件。</w:t>
      </w:r>
    </w:p>
    <w:p>
      <w:pPr>
        <w:pStyle w:val="4"/>
        <w:keepNext/>
        <w:numPr>
          <w:numId w:val="0"/>
        </w:numPr>
        <w:spacing w:line="480" w:lineRule="exact" w:before="160" w:after="120"/>
        <w:ind w:firstLine="0"/>
      </w:pPr>
      <w:bookmarkStart w:id="1032" w:name="h32"/>
      <w:bookmarkStart w:id="30" w:name="研究范围与对象"/>
      <w:r>
        <w:rPr>
          <w:rFonts w:ascii="Times New Roman" w:hAnsi="Times New Roman" w:eastAsia="方正仿宋_GBK"/>
          <w:b/>
          <w:sz w:val="32"/>
        </w:rPr>
        <w:t xml:space="preserve">1.3 研究范围与对象</w:t>
      </w:r>
      <w:bookmarkEnd w:id="30"/>
      <w:bookmarkEnd w:id="1032"/>
    </w:p>
    <w:p>
      <w:pPr>
        <w:pStyle w:val="5"/>
        <w:keepNext/>
        <w:numPr>
          <w:numId w:val="0"/>
        </w:numPr>
        <w:spacing w:line="390" w:lineRule="exact" w:before="160" w:after="120"/>
        <w:ind w:firstLine="0"/>
      </w:pPr>
      <w:bookmarkStart w:id="31" w:name="电压等级与统计范围"/>
      <w:r>
        <w:rPr>
          <w:rFonts w:ascii="Times New Roman" w:hAnsi="Times New Roman" w:eastAsia="方正仿宋_GBK"/>
          <w:b/>
          <w:sz w:val="26"/>
        </w:rPr>
        <w:t xml:space="preserve">1.3.1 电压等级与统计范围</w:t>
      </w:r>
      <w:bookmarkEnd w:id="31"/>
    </w:p>
    <w:p>
      <w:pPr>
        <w:pStyle w:val="FirstParagraph"/>
        <w:widowControl/>
        <w:spacing w:line="348" w:lineRule="exact" w:before="0" w:after="0"/>
        <w:ind w:firstLine="480"/>
        <w:jc w:val="both"/>
      </w:pPr>
      <w:r>
        <w:rPr>
          <w:rFonts w:ascii="Times New Roman" w:hAnsi="Times New Roman" w:eastAsia="方正仿宋_GBK"/>
          <w:b w:val="0"/>
          <w:sz w:val="24"/>
        </w:rPr>
        <w:t xml:space="preserve">研究对象为徐州典型地区110 kV公用变电设备的区域容量配置，按照DL/T 5729—2023第6.3.3条，以行政区县作为最小统计分析范围[5]。本研究选取邳州和市区，电网运行统计与规划优化均按110 kV范围开展。</w:t>
      </w:r>
    </w:p>
    <w:p>
      <w:pPr>
        <w:pStyle w:val="2"/>
        <w:widowControl/>
        <w:spacing w:line="348" w:lineRule="exact" w:before="0" w:after="0"/>
        <w:ind w:firstLine="480"/>
        <w:jc w:val="both"/>
      </w:pPr>
      <w:r>
        <w:rPr>
          <w:rFonts w:ascii="Times New Roman" w:hAnsi="Times New Roman" w:eastAsia="方正仿宋_GBK"/>
          <w:b w:val="0"/>
          <w:sz w:val="24"/>
        </w:rPr>
        <w:t xml:space="preserve">研究地区为邳州和市区110 kV电网，站级图表分别列示20座和26座具有设备对应资料的变电站。年网供最大负荷采用区县同电压等级年度降压负荷估计，站级空间分布由样本时序标定。区域年度负荷用于容载比计算，各站最大净负荷用于局部容量校核。</w:t>
      </w:r>
    </w:p>
    <w:p>
      <w:pPr>
        <w:pStyle w:val="2"/>
        <w:widowControl/>
        <w:spacing w:line="348" w:lineRule="exact" w:before="0" w:after="0"/>
        <w:ind w:firstLine="480"/>
        <w:jc w:val="both"/>
      </w:pPr>
      <w:r>
        <w:rPr>
          <w:rFonts w:ascii="Times New Roman" w:hAnsi="Times New Roman" w:eastAsia="方正仿宋_GBK"/>
          <w:b w:val="0"/>
          <w:sz w:val="24"/>
        </w:rPr>
        <w:t xml:space="preserve">供电区域分类按DL/T 5729—2023表4.1.2核定，以饱和负荷密度为主要依据，并参考行政级别及发展水平[5]。A类对应15至低于30 MW/km²，B类为6至低于15 MW/km²，C类为1至低于6 MW/km²。本研究按各站资料和研究假设确定设备候选，地区案例的转供能力依据逐站统计约束，具体计算见第3.6节。</w:t>
      </w:r>
    </w:p>
    <w:p>
      <w:pPr>
        <w:pStyle w:val="5"/>
        <w:keepNext/>
        <w:numPr>
          <w:numId w:val="0"/>
        </w:numPr>
        <w:spacing w:line="390" w:lineRule="exact" w:before="160" w:after="120"/>
        <w:ind w:firstLine="0"/>
      </w:pPr>
      <w:bookmarkStart w:id="32" w:name="年份与评价期"/>
      <w:r>
        <w:rPr>
          <w:rFonts w:ascii="Times New Roman" w:hAnsi="Times New Roman" w:eastAsia="方正仿宋_GBK"/>
          <w:b/>
          <w:sz w:val="26"/>
        </w:rPr>
        <w:t xml:space="preserve">1.3.2 年份与评价期</w:t>
      </w:r>
      <w:bookmarkEnd w:id="32"/>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2021—2025年资料用于分析负荷发展、光伏装机和设备运行特征。地区案例保留共同仿真起点，直接使用2022—2025年实际年度负荷，各年容量及建设规模由满足约束的优化结果确定，实际统计容量单独列示。</w:t>
      </w:r>
    </w:p>
    <w:p>
      <w:pPr>
        <w:pStyle w:val="2"/>
        <w:widowControl/>
        <w:spacing w:line="348" w:lineRule="exact" w:before="0" w:after="0"/>
        <w:ind w:firstLine="480"/>
        <w:jc w:val="both"/>
      </w:pPr>
      <w:r>
        <w:rPr>
          <w:rFonts w:ascii="Times New Roman" w:hAnsi="Times New Roman" w:eastAsia="方正仿宋_GBK"/>
          <w:b w:val="0"/>
          <w:sz w:val="24"/>
        </w:rPr>
        <w:t xml:space="preserve">基期主变按离散规格配置，基期年网供最大负荷取2021年实际统计值，两地区起点容载比按两位小数均为2.00。站级负荷沿用实际样本的空间分布，再按年度区域负荷标定。邳州和市区的刚性、弹性方案分别共用本地区的起点、负荷和价格。</w:t>
      </w:r>
    </w:p>
    <w:p>
      <w:pPr>
        <w:pStyle w:val="2"/>
        <w:widowControl/>
        <w:spacing w:line="348" w:lineRule="exact" w:before="0" w:after="0"/>
        <w:ind w:firstLine="480"/>
        <w:jc w:val="both"/>
      </w:pPr>
      <w:r>
        <w:rPr>
          <w:rFonts w:ascii="Times New Roman" w:hAnsi="Times New Roman" w:eastAsia="方正仿宋_GBK"/>
          <w:b w:val="0"/>
          <w:sz w:val="24"/>
        </w:rPr>
        <w:t xml:space="preserve">经济评价以2021年末为折现基准，评价截止于2041年。仿真第1—4年在计算文件中分别标记为2022—2025年，用于统一投运时间和现金流折现。主变、线路和储能的寿命、运维率采用第四章列明的研究参数[10,11,12]。</w:t>
      </w:r>
    </w:p>
    <w:p>
      <w:pPr>
        <w:pStyle w:val="5"/>
        <w:keepNext/>
        <w:numPr>
          <w:numId w:val="0"/>
        </w:numPr>
        <w:spacing w:line="390" w:lineRule="exact" w:before="160" w:after="120"/>
        <w:ind w:firstLine="0"/>
      </w:pPr>
      <w:bookmarkStart w:id="33" w:name="技术分析与费用边界"/>
      <w:r>
        <w:rPr>
          <w:rFonts w:ascii="Times New Roman" w:hAnsi="Times New Roman" w:eastAsia="方正仿宋_GBK"/>
          <w:b/>
          <w:sz w:val="26"/>
        </w:rPr>
        <w:t xml:space="preserve">1.3.3 技术分析与费用边界</w:t>
      </w:r>
      <w:bookmarkEnd w:id="33"/>
    </w:p>
    <w:p>
      <w:pPr>
        <w:pStyle w:val="FirstParagraph"/>
        <w:widowControl/>
        <w:spacing w:line="348" w:lineRule="exact" w:before="0" w:after="0"/>
        <w:ind w:firstLine="480"/>
        <w:jc w:val="both"/>
      </w:pPr>
      <w:r>
        <w:rPr>
          <w:rFonts w:ascii="Times New Roman" w:hAnsi="Times New Roman" w:eastAsia="方正仿宋_GBK"/>
          <w:b w:val="0"/>
          <w:sz w:val="24"/>
        </w:rPr>
        <w:t xml:space="preserve">技术模型在静态工况下联合校核正向供电、反向功率、主变N-1及站间转供，储能按额定功率、可用电量和支撑持续时间折算有效能力。地区案例正向支撑持续时间分别采用邳州2 h、市区6 h，反向按各站支撑要求设置，联络则按具体送受端路径计量并共用馈线余量。</w:t>
      </w:r>
    </w:p>
    <w:p>
      <w:pPr>
        <w:pStyle w:val="2"/>
        <w:widowControl/>
        <w:spacing w:line="348" w:lineRule="exact" w:before="0" w:after="0"/>
        <w:ind w:firstLine="480"/>
        <w:jc w:val="both"/>
      </w:pPr>
      <w:r>
        <w:rPr>
          <w:rFonts w:ascii="Times New Roman" w:hAnsi="Times New Roman" w:eastAsia="方正仿宋_GBK"/>
          <w:b w:val="0"/>
          <w:sz w:val="24"/>
        </w:rPr>
        <w:t xml:space="preserve">费用包括新增主变工程、储能和新建等效联络线的初始投资，以及相应固定运维和寿命更新。既有资产按在役设备状态进入模型，费用目标计算新增措施支出。期末资产价值、存量设备运维变化及储能充电损耗费用尚未计入，费用比较按第四章列明的范围解释。</w:t>
      </w:r>
    </w:p>
    <w:p>
      <w:pPr>
        <w:pStyle w:val="2"/>
        <w:widowControl/>
        <w:spacing w:line="348" w:lineRule="exact" w:before="0" w:after="0"/>
        <w:ind w:firstLine="480"/>
        <w:jc w:val="both"/>
      </w:pPr>
      <w:r>
        <w:rPr>
          <w:rFonts w:ascii="Times New Roman" w:hAnsi="Times New Roman" w:eastAsia="方正仿宋_GBK"/>
          <w:b w:val="0"/>
          <w:sz w:val="24"/>
        </w:rPr>
        <w:t xml:space="preserve">两类方案共用主变更换与扩建、储能和联络候选。已核实既有联络不重复计原建设费，新增联络按项目计费。初始转供率用于推广参数研究，地区案例的实际可转功率由具体网络约束确定。</w:t>
      </w:r>
    </w:p>
    <w:p>
      <w:pPr>
        <w:pStyle w:val="4"/>
        <w:keepNext/>
        <w:numPr>
          <w:numId w:val="0"/>
        </w:numPr>
        <w:spacing w:line="480" w:lineRule="exact" w:before="160" w:after="120"/>
        <w:ind w:firstLine="0"/>
      </w:pPr>
      <w:bookmarkStart w:id="1045" w:name="h45"/>
      <w:bookmarkStart w:id="34" w:name="研究目标与内容"/>
      <w:r>
        <w:rPr>
          <w:rFonts w:ascii="Times New Roman" w:hAnsi="Times New Roman" w:eastAsia="方正仿宋_GBK"/>
          <w:b/>
          <w:sz w:val="32"/>
        </w:rPr>
        <w:t xml:space="preserve">1.4 研究目标与内容</w:t>
      </w:r>
      <w:bookmarkEnd w:id="34"/>
      <w:bookmarkEnd w:id="1045"/>
    </w:p>
    <w:p>
      <w:pPr>
        <w:pStyle w:val="5"/>
        <w:keepNext/>
        <w:numPr>
          <w:numId w:val="0"/>
        </w:numPr>
        <w:spacing w:line="390" w:lineRule="exact" w:before="160" w:after="120"/>
        <w:ind w:firstLine="0"/>
      </w:pPr>
      <w:bookmarkStart w:id="35" w:name="研究目标"/>
      <w:r>
        <w:rPr>
          <w:rFonts w:ascii="Times New Roman" w:hAnsi="Times New Roman" w:eastAsia="方正仿宋_GBK"/>
          <w:b/>
          <w:sz w:val="26"/>
        </w:rPr>
        <w:t xml:space="preserve">1.4.1 研究目标</w:t>
      </w:r>
      <w:bookmarkEnd w:id="35"/>
    </w:p>
    <w:p>
      <w:pPr>
        <w:pStyle w:val="FirstParagraph"/>
        <w:widowControl/>
        <w:spacing w:line="348" w:lineRule="exact" w:before="0" w:after="0"/>
        <w:ind w:firstLine="480"/>
        <w:jc w:val="both"/>
      </w:pPr>
      <w:r>
        <w:rPr>
          <w:rFonts w:ascii="Times New Roman" w:hAnsi="Times New Roman" w:eastAsia="方正仿宋_GBK"/>
          <w:b w:val="0"/>
          <w:sz w:val="24"/>
        </w:rPr>
        <w:t xml:space="preserve">研究首先明确容载比、负载率与新能源渗透指标的统计边界，形成原始表格到计算量的一致对应关系。对缺少同范围用户用电量或完整逐时数据的指标，保留估计性质及计算方法，使现状对照和优化输入的可信范围可以判断。</w:t>
      </w:r>
    </w:p>
    <w:p>
      <w:pPr>
        <w:pStyle w:val="2"/>
        <w:widowControl/>
        <w:spacing w:line="348" w:lineRule="exact" w:before="0" w:after="0"/>
        <w:ind w:firstLine="480"/>
        <w:jc w:val="both"/>
      </w:pPr>
      <w:r>
        <w:rPr>
          <w:rFonts w:ascii="Times New Roman" w:hAnsi="Times New Roman" w:eastAsia="方正仿宋_GBK"/>
          <w:b w:val="0"/>
          <w:sz w:val="24"/>
        </w:rPr>
        <w:t xml:space="preserve">其次，以实际工程投资和采购案例建立统一费用模型。主变按新购铭牌容量计价，主变扩建按独立案例标定，线路按长度、敷设方式及开关数量构造工程费用，储能同时记录功率、能量与价格。将三类措施折算到同一评价期，比较建设、运维与更新支出。</w:t>
      </w:r>
    </w:p>
    <w:p>
      <w:pPr>
        <w:pStyle w:val="2"/>
        <w:widowControl/>
        <w:spacing w:line="348" w:lineRule="exact" w:before="0" w:after="0"/>
        <w:ind w:firstLine="480"/>
        <w:jc w:val="both"/>
      </w:pPr>
      <w:r>
        <w:rPr>
          <w:rFonts w:ascii="Times New Roman" w:hAnsi="Times New Roman" w:eastAsia="方正仿宋_GBK"/>
          <w:b w:val="0"/>
          <w:sz w:val="24"/>
        </w:rPr>
        <w:t xml:space="preserve">在此基础上，形成后续四年同初态、同措施集合的刚性和弹性路径，给出每年主变容量、新购主变容量及建设安排、储能配置、正常负荷转接及费用。推荐容载比由这些实际决策计算得到，并满足正反向供电需求与供电安全要求。</w:t>
      </w:r>
    </w:p>
    <w:p>
      <w:pPr>
        <w:pStyle w:val="2"/>
        <w:widowControl/>
        <w:spacing w:line="348" w:lineRule="exact" w:before="0" w:after="0"/>
        <w:ind w:firstLine="480"/>
        <w:jc w:val="both"/>
      </w:pPr>
      <w:r>
        <w:rPr>
          <w:rFonts w:ascii="Times New Roman" w:hAnsi="Times New Roman" w:eastAsia="方正仿宋_GBK"/>
          <w:b w:val="0"/>
          <w:sz w:val="24"/>
        </w:rPr>
        <w:t xml:space="preserve">最后，围绕六项核心参数构造推广矩阵，第3.5节先说明各参数的工程依据及相关性，第五章再按输入区间归纳容载比计算范围，并列示对应设备措施与费用。</w:t>
      </w:r>
    </w:p>
    <w:p>
      <w:pPr>
        <w:pStyle w:val="5"/>
        <w:keepNext/>
        <w:numPr>
          <w:numId w:val="0"/>
        </w:numPr>
        <w:spacing w:line="390" w:lineRule="exact" w:before="160" w:after="120"/>
        <w:ind w:firstLine="0"/>
      </w:pPr>
      <w:bookmarkStart w:id="36" w:name="主要研究内容"/>
      <w:r>
        <w:rPr>
          <w:rFonts w:ascii="Times New Roman" w:hAnsi="Times New Roman" w:eastAsia="方正仿宋_GBK"/>
          <w:b/>
          <w:sz w:val="26"/>
        </w:rPr>
        <w:t xml:space="preserve">1.4.2 主要研究内容</w:t>
      </w:r>
      <w:bookmarkEnd w:id="36"/>
    </w:p>
    <w:p>
      <w:pPr>
        <w:pStyle w:val="FirstParagraph"/>
        <w:widowControl/>
        <w:spacing w:line="348" w:lineRule="exact" w:before="0" w:after="0"/>
        <w:ind w:firstLine="480"/>
        <w:jc w:val="both"/>
      </w:pPr>
      <w:r>
        <w:rPr>
          <w:rFonts w:ascii="Times New Roman" w:hAnsi="Times New Roman" w:eastAsia="方正仿宋_GBK"/>
          <w:b w:val="0"/>
          <w:sz w:val="24"/>
        </w:rPr>
        <w:t xml:space="preserve">现状分析以区县年度容量和负荷表为基础，核对邳州和市区的110 kV统计范围；结合设备台账及站级时序分析正反向净负荷、绝对峰值、95%峰值持续时间和主变负载率。分布式光伏月度装机与典型出力曲线用于估计发电量，并分别估计用户最大负荷和用户电量，明确相应分母的统计范围。</w:t>
      </w:r>
    </w:p>
    <w:p>
      <w:pPr>
        <w:pStyle w:val="2"/>
        <w:widowControl/>
        <w:spacing w:line="348" w:lineRule="exact" w:before="0" w:after="0"/>
        <w:ind w:firstLine="480"/>
        <w:jc w:val="both"/>
      </w:pPr>
      <w:r>
        <w:rPr>
          <w:rFonts w:ascii="Times New Roman" w:hAnsi="Times New Roman" w:eastAsia="方正仿宋_GBK"/>
          <w:b w:val="0"/>
          <w:sz w:val="24"/>
        </w:rPr>
        <w:t xml:space="preserve">工程费用研究以徐州主变扩建和替换工程为价格依据，以采购案例标定储能费用，以公开规划造价形成线路参考基价。电缆长度占比用于折算单位长度综合造价，储能按支撑持续时间比较有效功率，各项工程范围与计算方法分别列示。</w:t>
      </w:r>
    </w:p>
    <w:p>
      <w:pPr>
        <w:pStyle w:val="2"/>
        <w:widowControl/>
        <w:spacing w:line="348" w:lineRule="exact" w:before="0" w:after="0"/>
        <w:ind w:firstLine="480"/>
        <w:jc w:val="both"/>
      </w:pPr>
      <w:r>
        <w:rPr>
          <w:rFonts w:ascii="Times New Roman" w:hAnsi="Times New Roman" w:eastAsia="方正仿宋_GBK"/>
          <w:b w:val="0"/>
          <w:sz w:val="24"/>
        </w:rPr>
        <w:t xml:space="preserve">规划采用混合整数线性优化。在役20、40 MVA等设备可保留，新购主变采用31.50、50、63、80 MVA等候选规格并按站限制；扩建、联络投运状态及储能柜数为整数决策，站间转供功率为连续决策。以新增措施评价期费用现值最小为目标，在正常及主变N-1等约束下确定逐年设备与线路配置。</w:t>
      </w:r>
    </w:p>
    <w:p>
      <w:pPr>
        <w:pStyle w:val="2"/>
        <w:widowControl/>
        <w:spacing w:line="348" w:lineRule="exact" w:before="0" w:after="0"/>
        <w:ind w:firstLine="480"/>
        <w:jc w:val="both"/>
      </w:pPr>
      <w:r>
        <w:rPr>
          <w:rFonts w:ascii="Times New Roman" w:hAnsi="Times New Roman" w:eastAsia="方正仿宋_GBK"/>
          <w:b w:val="0"/>
          <w:sz w:val="24"/>
        </w:rPr>
        <w:t xml:space="preserve">方案分析结合区域年度容量与逐站建设安排，说明主变、储能和联络对容量配置及评价期费用的影响。</w:t>
      </w:r>
    </w:p>
    <w:p>
      <w:pPr>
        <w:pStyle w:val="2"/>
        <w:widowControl/>
        <w:spacing w:line="348" w:lineRule="exact" w:before="0" w:after="0"/>
        <w:ind w:firstLine="480"/>
        <w:jc w:val="both"/>
      </w:pPr>
      <w:r>
        <w:rPr>
          <w:rFonts w:ascii="Times New Roman" w:hAnsi="Times New Roman" w:eastAsia="方正仿宋_GBK"/>
          <w:b w:val="0"/>
          <w:sz w:val="24"/>
        </w:rPr>
        <w:t xml:space="preserve">参数研究以五站网络为模板，设置分布式电源装机渗透率、年最大净负荷平均增长率、电缆长度占比、初始转供率、储能支撑持续时间及负荷分散系数六项输入，开展34686组目标年静态比选，其中32112组有效。输入区间采用首尾开口形式，增长分界与DL/T 5729—2023表6.3.4一致；计算所得容载比仍按有限范围列示。</w:t>
      </w:r>
    </w:p>
    <w:p>
      <w:pPr>
        <w:pStyle w:val="4"/>
        <w:keepNext/>
        <w:numPr>
          <w:numId w:val="0"/>
        </w:numPr>
        <w:spacing w:line="480" w:lineRule="exact" w:before="160" w:after="120"/>
        <w:ind w:firstLine="0"/>
      </w:pPr>
      <w:bookmarkStart w:id="1057" w:name="h57"/>
      <w:bookmarkStart w:id="37" w:name="研究方法与技术路线"/>
      <w:r>
        <w:rPr>
          <w:rFonts w:ascii="Times New Roman" w:hAnsi="Times New Roman" w:eastAsia="方正仿宋_GBK"/>
          <w:b/>
          <w:sz w:val="32"/>
        </w:rPr>
        <w:t xml:space="preserve">1.5 研究方法与技术路线</w:t>
      </w:r>
      <w:bookmarkEnd w:id="37"/>
      <w:bookmarkEnd w:id="1057"/>
    </w:p>
    <w:p>
      <w:pPr>
        <w:pStyle w:val="5"/>
        <w:keepNext/>
        <w:numPr>
          <w:numId w:val="0"/>
        </w:numPr>
        <w:spacing w:line="390" w:lineRule="exact" w:before="160" w:after="120"/>
        <w:ind w:firstLine="0"/>
      </w:pPr>
      <w:bookmarkStart w:id="38" w:name="运行指标分析与负荷增长估计"/>
      <w:r>
        <w:rPr>
          <w:rFonts w:ascii="Times New Roman" w:hAnsi="Times New Roman" w:eastAsia="方正仿宋_GBK"/>
          <w:b/>
          <w:sz w:val="26"/>
        </w:rPr>
        <w:t xml:space="preserve">1.5.1 运行指标分析与负荷增长估计</w:t>
      </w:r>
      <w:bookmarkEnd w:id="38"/>
    </w:p>
    <w:p>
      <w:pPr>
        <w:pStyle w:val="FirstParagraph"/>
        <w:widowControl/>
        <w:spacing w:line="348" w:lineRule="exact" w:before="0" w:after="0"/>
        <w:ind w:firstLine="480"/>
        <w:jc w:val="both"/>
      </w:pPr>
      <w:r>
        <w:rPr>
          <w:rFonts w:ascii="Times New Roman" w:hAnsi="Times New Roman" w:eastAsia="方正仿宋_GBK"/>
          <w:b w:val="0"/>
          <w:sz w:val="24"/>
        </w:rPr>
        <w:t xml:space="preserve">结合区域年度负荷与设备运行资料，先核对指标的统计范围及计算关系，再分析分布式电源渗透水平、双向净负荷及95%峰值持续时间，明确其对容量需求、网络能力和费用的作用。第3.5节据规范和论文说明六参数选取依据，并以固定其余五项后的组内相关及输入参数相关描述有效情景库的统计关系，第五章通过地区案例和推广参数受控配对解释配置响应。</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年最大净负荷平均增长率按2021—2025年起止负荷之比开四次方计算。地区案例直接使用2022—2025年逐年实际负荷，保留年度回落，复合增长率用于概括发展水平及设置推广情景。</w:t>
      </w:r>
    </w:p>
    <w:p>
      <w:pPr>
        <w:pStyle w:val="5"/>
        <w:keepNext/>
        <w:numPr>
          <w:numId w:val="0"/>
        </w:numPr>
        <w:spacing w:line="390" w:lineRule="exact" w:before="160" w:after="120"/>
        <w:ind w:firstLine="0"/>
      </w:pPr>
      <w:bookmarkStart w:id="39" w:name="工程单位费用计算与联合寻优"/>
      <w:r>
        <w:rPr>
          <w:rFonts w:ascii="Times New Roman" w:hAnsi="Times New Roman" w:eastAsia="方正仿宋_GBK"/>
          <w:b/>
          <w:sz w:val="26"/>
        </w:rPr>
        <w:t xml:space="preserve">1.5.2 工程单位费用计算与联合寻优</w:t>
      </w:r>
      <w:bookmarkEnd w:id="39"/>
    </w:p>
    <w:p>
      <w:pPr>
        <w:pStyle w:val="FirstParagraph"/>
        <w:widowControl/>
        <w:spacing w:line="348" w:lineRule="exact" w:before="0" w:after="0"/>
        <w:ind w:firstLine="480"/>
        <w:jc w:val="both"/>
      </w:pPr>
      <w:r>
        <w:rPr>
          <w:rFonts w:ascii="Times New Roman" w:hAnsi="Times New Roman" w:eastAsia="方正仿宋_GBK"/>
          <w:b w:val="0"/>
          <w:sz w:val="24"/>
        </w:rPr>
        <w:t xml:space="preserve">工程案例先按建设内容分类，再构造目标函数系数。替换主变工程的静态总投资按采购容量加权，主变扩建工程按相同建设规模取案例均值。线路与储能按明确的长度或成套容量折算，案例价格超过原规模使用时标明外推假定。费用以2021年末现值计算，使不同投运年份和寿命更新可以共同比较。</w:t>
      </w:r>
    </w:p>
    <w:p>
      <w:pPr>
        <w:pStyle w:val="2"/>
        <w:widowControl/>
        <w:spacing w:line="348" w:lineRule="exact" w:before="0" w:after="0"/>
        <w:ind w:firstLine="480"/>
        <w:jc w:val="both"/>
      </w:pPr>
      <w:r>
        <w:rPr>
          <w:rFonts w:ascii="Times New Roman" w:hAnsi="Times New Roman" w:eastAsia="方正仿宋_GBK"/>
          <w:b w:val="0"/>
          <w:sz w:val="24"/>
        </w:rPr>
        <w:t xml:space="preserve">在联合寻优中，年度容载比约束与各变电站的技术约束同时进入模型，包括正常正向供电、反向输送、主变N-1剩余容量、储能持续支撑及送受端转供能力。区县内部转接改变站级负荷分配而保持区域总任务守恒。由于电源仍归属原站，反向压力按电源原归属保守处理，负荷转出后的潜在反送压力同步校核。按上述方法计算邳州和市区的刚性、弹性方案，比较两地区的容量配置及费用差异。</w:t>
      </w:r>
    </w:p>
    <w:p>
      <w:pPr>
        <w:pStyle w:val="2"/>
        <w:widowControl/>
        <w:spacing w:line="348" w:lineRule="exact" w:before="0" w:after="0"/>
        <w:ind w:firstLine="480"/>
        <w:jc w:val="both"/>
      </w:pPr>
      <w:r>
        <w:rPr>
          <w:rFonts w:ascii="Times New Roman" w:hAnsi="Times New Roman" w:eastAsia="方正仿宋_GBK"/>
          <w:b w:val="0"/>
          <w:sz w:val="24"/>
        </w:rPr>
        <w:t xml:space="preserve">求解以评价期费用最小为主要目标，在相同规划起点和技术条件下，比较主变增容、储能配置与10 kV联络的建设组合及投运时点。各年设备规模和站间负荷转接量共同满足容量、转供能力与负荷守恒约束，据此形成刚性、弹性方案及推荐容载比。</w:t>
      </w:r>
    </w:p>
    <w:p>
      <w:pPr>
        <w:pStyle w:val="5"/>
        <w:keepNext/>
        <w:numPr>
          <w:numId w:val="0"/>
        </w:numPr>
        <w:spacing w:line="390" w:lineRule="exact" w:before="160" w:after="120"/>
        <w:ind w:firstLine="0"/>
      </w:pPr>
      <w:bookmarkStart w:id="40" w:name="条件矩阵与方案核查"/>
      <w:r>
        <w:rPr>
          <w:rFonts w:ascii="Times New Roman" w:hAnsi="Times New Roman" w:eastAsia="方正仿宋_GBK"/>
          <w:b/>
          <w:sz w:val="26"/>
        </w:rPr>
        <w:t xml:space="preserve">1.5.3 条件矩阵与方案核查</w:t>
      </w:r>
      <w:bookmarkEnd w:id="40"/>
    </w:p>
    <w:p>
      <w:pPr>
        <w:pStyle w:val="FirstParagraph"/>
        <w:widowControl/>
        <w:spacing w:line="348" w:lineRule="exact" w:before="0" w:after="0"/>
        <w:ind w:firstLine="480"/>
        <w:jc w:val="both"/>
      </w:pPr>
      <w:r>
        <w:rPr>
          <w:rFonts w:ascii="Times New Roman" w:hAnsi="Times New Roman" w:eastAsia="方正仿宋_GBK"/>
          <w:b w:val="0"/>
          <w:sz w:val="24"/>
        </w:rPr>
        <w:t xml:space="preserve">推荐矩阵采用五站模板开展目标年参数推广。分布式电源装机渗透率与年最大净负荷平均增长率确定源荷规模，负荷分散系数表达各站峰值与区域同时峰值的关系，初始转供率表达既有网络条件，储能支撑持续时间确定储能有效支撑功率，电缆长度占比决定新增联络综合造价。六项参数先报告相关性，再组织推广矩阵，各单元保留计算节点和配置结果。</w:t>
      </w:r>
    </w:p>
    <w:p>
      <w:pPr>
        <w:pStyle w:val="2"/>
        <w:widowControl/>
        <w:spacing w:line="348" w:lineRule="exact" w:before="0" w:after="0"/>
        <w:ind w:firstLine="480"/>
        <w:jc w:val="both"/>
      </w:pPr>
      <w:r>
        <w:rPr>
          <w:rFonts w:ascii="Times New Roman" w:hAnsi="Times New Roman" w:eastAsia="方正仿宋_GBK"/>
          <w:b w:val="0"/>
          <w:sz w:val="24"/>
        </w:rPr>
        <w:t xml:space="preserve">核查包括数据单位换算和区县容量汇总，也检查年度资产不减、负荷转接守恒及储能整数规模，并复算正反向容量和主变N-1容量。费用另按购置与投运批次重建现金流复算。通用外推核对目标年的相同容量、转供与守恒关系，各参数组合分别进行整数寻优。</w:t>
      </w:r>
    </w:p>
    <w:p>
      <w:pPr>
        <w:pStyle w:val="2"/>
        <w:widowControl/>
        <w:spacing w:line="348" w:lineRule="exact" w:before="0" w:after="0"/>
        <w:ind w:firstLine="480"/>
        <w:jc w:val="both"/>
      </w:pPr>
      <w:r>
        <w:rPr>
          <w:rFonts w:ascii="Times New Roman" w:hAnsi="Times New Roman" w:eastAsia="方正仿宋_GBK"/>
          <w:b w:val="0"/>
          <w:sz w:val="24"/>
        </w:rPr>
        <w:t xml:space="preserve">本报告按六章组织。第二章梳理与本项目有关的研究方法和导则；第三章分析徐州典型地区资料及运行特征；第四章建立工程费用模型；第五章说明目标函数、寻优过程、年度措施和条件矩阵，并将案例验证纳入方案分析；第六章给出研究结论和规划应用建议。</w:t>
      </w:r>
    </w:p>
    <w:p>
      <w:pPr>
        <w:pStyle w:val="5"/>
        <w:keepNext/>
        <w:numPr>
          <w:numId w:val="0"/>
        </w:numPr>
        <w:spacing w:line="390" w:lineRule="exact" w:before="160" w:after="120"/>
        <w:ind w:firstLine="0"/>
      </w:pPr>
      <w:bookmarkStart w:id="41" w:name="计算流程与成果衔接"/>
      <w:r>
        <w:rPr>
          <w:rFonts w:ascii="Times New Roman" w:hAnsi="Times New Roman" w:eastAsia="方正仿宋_GBK"/>
          <w:b/>
          <w:sz w:val="26"/>
        </w:rPr>
        <w:t xml:space="preserve">1.5.4 计算流程与成果衔接</w:t>
      </w:r>
      <w:bookmarkEnd w:id="41"/>
    </w:p>
    <w:p>
      <w:pPr>
        <w:pStyle w:val="FirstParagraph"/>
        <w:widowControl/>
        <w:spacing w:line="348" w:lineRule="exact" w:before="0" w:after="0"/>
        <w:ind w:firstLine="480"/>
        <w:jc w:val="both"/>
      </w:pPr>
      <w:r>
        <w:rPr>
          <w:rFonts w:ascii="Times New Roman" w:hAnsi="Times New Roman" w:eastAsia="方正仿宋_GBK"/>
          <w:b w:val="0"/>
          <w:sz w:val="24"/>
        </w:rPr>
        <w:t xml:space="preserve">计算流程以核定统计范围和共同初态为起点，将运行任务与工程费用分别构造后，进入同一逐年优化模型。求解结果经设备状态、容量余量及现金流复核，再形成对应条件下的推荐矩阵。技术路线见图1-1，各环节的输入、算式和约束分别在第三章至第五章展开。</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93235"/>
            <wp:effectExtent b="0" l="0" r="0" t="0"/>
            <wp:docPr descr="" title="" id="1" name="Picture"/>
            <a:graphic>
              <a:graphicData uri="http://schemas.openxmlformats.org/drawingml/2006/picture">
                <pic:pic>
                  <pic:nvPicPr>
                    <pic:cNvPr descr="研究报告/02图表/当前版/technical_route.png" id="0" name="Picture"/>
                    <pic:cNvPicPr>
                      <a:picLocks noChangeArrowheads="1" noChangeAspect="1"/>
                    </pic:cNvPicPr>
                  </pic:nvPicPr>
                  <pic:blipFill>
                    <a:blip r:embed="rId42"/>
                    <a:stretch>
                      <a:fillRect/>
                    </a:stretch>
                  </pic:blipFill>
                  <pic:spPr bwMode="auto">
                    <a:xfrm>
                      <a:off x="0" y="0"/>
                      <a:ext cx="5120640" cy="2993235"/>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图1-1 逐年规划计算与推荐矩阵形成过程</w:t>
      </w:r>
    </w:p>
    <w:p>
      <w:pPr>
        <w:pStyle w:val="4"/>
        <w:keepNext/>
        <w:numPr>
          <w:numId w:val="0"/>
        </w:numPr>
        <w:spacing w:line="480" w:lineRule="exact" w:before="160" w:after="120"/>
        <w:ind w:firstLine="0"/>
      </w:pPr>
      <w:bookmarkStart w:id="1073" w:name="h73"/>
      <w:bookmarkStart w:id="43" w:name="研究成果及应用"/>
      <w:r>
        <w:rPr>
          <w:rFonts w:ascii="Times New Roman" w:hAnsi="Times New Roman" w:eastAsia="方正仿宋_GBK"/>
          <w:b/>
          <w:sz w:val="32"/>
        </w:rPr>
        <w:t xml:space="preserve">1.6 研究成果及应用</w:t>
      </w:r>
      <w:bookmarkEnd w:id="43"/>
      <w:bookmarkEnd w:id="1073"/>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形成邳州、市区的刚性与弹性四年规划方案，给出年度主变容量、采购规模、储能配置、负荷转接及评价期费用。通用推荐矩阵按电缆长度占比、储能支撑持续时间及负荷分散系数分表，列出源荷和转供条件对应的容载比区间。</w:t>
      </w:r>
    </w:p>
    <w:p>
      <w:pPr>
        <w:pStyle w:val="2"/>
        <w:widowControl/>
        <w:spacing w:line="348" w:lineRule="exact" w:before="0" w:after="0"/>
        <w:ind w:firstLine="480"/>
        <w:jc w:val="both"/>
      </w:pPr>
      <w:r>
        <w:rPr>
          <w:rFonts w:ascii="Times New Roman" w:hAnsi="Times New Roman" w:eastAsia="方正仿宋_GBK"/>
          <w:b w:val="0"/>
          <w:sz w:val="24"/>
        </w:rPr>
        <w:t xml:space="preserve">规划应用先核定实际在役资产、年网供最大负荷和站间转供能力，依据源荷水平、负荷增长、转供条件与储能支撑持续时间选择比选范围，再以本地工程价格开展增容、配储和10 kV联络联合寻优。工程设计阶段继续校核实际线路、电压、保护及储能连续运行条件。</w:t>
      </w:r>
    </w:p>
    <w:p>
      <w:pPr>
        <w:pStyle w:val="3"/>
        <w:keepNext/>
        <w:pageBreakBefore/>
        <w:numPr>
          <w:numId w:val="0"/>
        </w:numPr>
        <w:spacing w:line="540" w:lineRule="exact" w:before="0" w:after="120"/>
        <w:ind w:firstLine="0"/>
      </w:pPr>
      <w:bookmarkStart w:id="1076" w:name="h76"/>
      <w:bookmarkStart w:id="44" w:name="第二章-国内外研究现状"/>
      <w:r>
        <w:rPr>
          <w:rFonts w:ascii="Times New Roman" w:hAnsi="Times New Roman" w:eastAsia="方正仿宋_GBK"/>
          <w:b/>
          <w:sz w:val="36"/>
        </w:rPr>
        <w:t xml:space="preserve">第二章 国内外研究现状</w:t>
      </w:r>
      <w:bookmarkEnd w:id="44"/>
      <w:bookmarkEnd w:id="1076"/>
    </w:p>
    <w:p>
      <w:pPr>
        <w:pStyle w:val="FirstParagraph"/>
        <w:widowControl/>
        <w:spacing w:line="348" w:lineRule="exact" w:before="0" w:after="0"/>
        <w:ind w:firstLine="480"/>
        <w:jc w:val="both"/>
      </w:pPr>
      <w:r>
        <w:rPr>
          <w:rFonts w:ascii="Times New Roman" w:hAnsi="Times New Roman" w:eastAsia="方正仿宋_GBK"/>
          <w:b w:val="0"/>
          <w:sz w:val="24"/>
        </w:rPr>
        <w:t xml:space="preserve">国内外相关研究围绕分布式电源承载力与源荷运行特征，以及灵活资源协同配置、工程费用与规划评价展开。容载比研究关注容量储备及供电结构，承载力研究关注电源接入的运行约束，两者共同为高渗透率地区容量规划提供依据。</w:t>
      </w:r>
    </w:p>
    <w:p>
      <w:pPr>
        <w:pStyle w:val="2"/>
        <w:widowControl/>
        <w:spacing w:line="348" w:lineRule="exact" w:before="0" w:after="0"/>
        <w:ind w:firstLine="480"/>
        <w:jc w:val="both"/>
      </w:pPr>
      <w:r>
        <w:rPr>
          <w:rFonts w:ascii="Times New Roman" w:hAnsi="Times New Roman" w:eastAsia="方正仿宋_GBK"/>
          <w:b w:val="0"/>
          <w:sz w:val="24"/>
        </w:rPr>
        <w:t xml:space="preserve">本章以与110 kV区域容量规划直接相关的问题组织文献分析。对国外研究，关注分布式电源接入能力、净负荷变化与灵活资源替代网架扩建的条件；对国内研究，重点讨论容载比、下级网络供电能力及分层规划的联系。研究方法的适用性随数据条件和规划尺度变化，本项目采用与现有资料相匹配的静态容量模型。</w:t>
      </w:r>
    </w:p>
    <w:p>
      <w:pPr>
        <w:pStyle w:val="4"/>
        <w:keepNext/>
        <w:numPr>
          <w:numId w:val="0"/>
        </w:numPr>
        <w:spacing w:line="480" w:lineRule="exact" w:before="160" w:after="120"/>
        <w:ind w:firstLine="0"/>
      </w:pPr>
      <w:bookmarkStart w:id="1079" w:name="h79"/>
      <w:bookmarkStart w:id="45" w:name="国外研究现状"/>
      <w:r>
        <w:rPr>
          <w:rFonts w:ascii="Times New Roman" w:hAnsi="Times New Roman" w:eastAsia="方正仿宋_GBK"/>
          <w:b/>
          <w:sz w:val="32"/>
        </w:rPr>
        <w:t xml:space="preserve">2.1 国外研究现状</w:t>
      </w:r>
      <w:bookmarkEnd w:id="45"/>
      <w:bookmarkEnd w:id="1079"/>
    </w:p>
    <w:p>
      <w:pPr>
        <w:pStyle w:val="5"/>
        <w:keepNext/>
        <w:numPr>
          <w:numId w:val="0"/>
        </w:numPr>
        <w:spacing w:line="390" w:lineRule="exact" w:before="160" w:after="120"/>
        <w:ind w:firstLine="0"/>
      </w:pPr>
      <w:bookmarkStart w:id="46" w:name="分布式电源承载力评估"/>
      <w:r>
        <w:rPr>
          <w:rFonts w:ascii="Times New Roman" w:hAnsi="Times New Roman" w:eastAsia="方正仿宋_GBK"/>
          <w:b/>
          <w:sz w:val="26"/>
        </w:rPr>
        <w:t xml:space="preserve">2.1.1 分布式电源承载力评估</w:t>
      </w:r>
      <w:bookmarkEnd w:id="46"/>
    </w:p>
    <w:p>
      <w:pPr>
        <w:pStyle w:val="FirstParagraph"/>
        <w:widowControl/>
        <w:spacing w:line="348" w:lineRule="exact" w:before="0" w:after="0"/>
        <w:ind w:firstLine="480"/>
        <w:jc w:val="both"/>
      </w:pPr>
      <w:r>
        <w:rPr>
          <w:rFonts w:ascii="Times New Roman" w:hAnsi="Times New Roman" w:eastAsia="方正仿宋_GBK"/>
          <w:b w:val="0"/>
          <w:sz w:val="24"/>
        </w:rPr>
        <w:t xml:space="preserve">承载力评估从确定性运行断面逐步拓展到源荷不确定性、主动管理及动态分析，不同方法通过电压、设备容量和风险约束确定接入范围。在不确定性建模方面，Lin等先用鲁棒优化识别源荷最不利场景，再构建计及主动管理的混合整数二阶锥规划模型，形成两阶段光伏（photovoltaic，PV）承载力计算方法。算例中负荷降低和光伏出力提高均可能使约束趋紧，但措施效果取决于瓶颈类型：无功与SVC控制对受过电压限制的网络改善明显，对受最大传输功率限制的网络作用有限，而网络重构可使薄弱支路的承载力提高超过50%，达到原值约150%[18]。</w:t>
      </w:r>
    </w:p>
    <w:p>
      <w:pPr>
        <w:pStyle w:val="2"/>
        <w:widowControl/>
        <w:spacing w:line="348" w:lineRule="exact" w:before="0" w:after="0"/>
        <w:ind w:firstLine="480"/>
        <w:jc w:val="both"/>
      </w:pPr>
      <w:r>
        <w:rPr>
          <w:rFonts w:ascii="Times New Roman" w:hAnsi="Times New Roman" w:eastAsia="方正仿宋_GBK"/>
          <w:b w:val="0"/>
          <w:sz w:val="24"/>
        </w:rPr>
        <w:t xml:space="preserve">Chen 等进一步引入物理—数据双驱动的 WGAN-GP 场景生成（夜间太阳辐照度设为零等物理约束）刻画源侧时序不确定性，以麻雀搜索算法寻优最大承载力，为承载力计算提供符合物理条件的出力场景[19]。</w:t>
      </w:r>
    </w:p>
    <w:p>
      <w:pPr>
        <w:pStyle w:val="2"/>
        <w:widowControl/>
        <w:spacing w:line="348" w:lineRule="exact" w:before="0" w:after="0"/>
        <w:ind w:firstLine="480"/>
        <w:jc w:val="both"/>
      </w:pPr>
      <w:r>
        <w:rPr>
          <w:rFonts w:ascii="Times New Roman" w:hAnsi="Times New Roman" w:eastAsia="方正仿宋_GBK"/>
          <w:b w:val="0"/>
          <w:sz w:val="24"/>
        </w:rPr>
        <w:t xml:space="preserve">Liu 等在 IEEE 33 节点上构建涵盖安全、可靠性、经济的多维风险指标体系，分别计算风险收益最优条件和给定风险阈值下的承载力：仅考虑安全风险时最优承载力 3.72 MW（渗透率 100%），综合风险最优条件下的承载力为 3.90 MW，给定综合风险阈值下的最大承载力为 5.20 MW（渗透率 140%），较综合风险最优条件提高 33%，超过 175% 渗透率后边际收益递减、风险非线性上升[20]。</w:t>
      </w:r>
    </w:p>
    <w:p>
      <w:pPr>
        <w:pStyle w:val="2"/>
        <w:widowControl/>
        <w:spacing w:line="348" w:lineRule="exact" w:before="0" w:after="0"/>
        <w:ind w:firstLine="480"/>
        <w:jc w:val="both"/>
      </w:pPr>
      <w:r>
        <w:rPr>
          <w:rFonts w:ascii="Times New Roman" w:hAnsi="Times New Roman" w:eastAsia="方正仿宋_GBK"/>
          <w:b w:val="0"/>
          <w:sz w:val="24"/>
        </w:rPr>
        <w:t xml:space="preserve">Shu 等则提出以静态电压稳定裕度（SVSM）为硬约束的动态承载力（DHC）闭环框架，通过集中—分布协同主动支撑，使动态承载力较被动场景提升约 20%～34%，说明主动支撑及稳定约束对接入能力的影响[21]。</w:t>
      </w:r>
    </w:p>
    <w:p>
      <w:pPr>
        <w:pStyle w:val="2"/>
        <w:widowControl/>
        <w:spacing w:line="348" w:lineRule="exact" w:before="0" w:after="0"/>
        <w:ind w:firstLine="480"/>
        <w:jc w:val="both"/>
      </w:pPr>
      <w:r>
        <w:rPr>
          <w:rFonts w:ascii="Times New Roman" w:hAnsi="Times New Roman" w:eastAsia="方正仿宋_GBK"/>
          <w:b w:val="0"/>
          <w:sz w:val="24"/>
        </w:rPr>
        <w:t xml:space="preserve">在机理层面，Majeed 等分析了光伏出力超过本地负荷时的反向潮流，指出其可能引起低压、中压网络电压升高及配电变压器过载，并通过热效应影响绝缘老化和设备寿命[4]。</w:t>
      </w:r>
    </w:p>
    <w:p>
      <w:pPr>
        <w:pStyle w:val="5"/>
        <w:keepNext/>
        <w:numPr>
          <w:numId w:val="0"/>
        </w:numPr>
        <w:spacing w:line="390" w:lineRule="exact" w:before="160" w:after="120"/>
        <w:ind w:firstLine="0"/>
      </w:pPr>
      <w:bookmarkStart w:id="47" w:name="高渗透率运行特征与反向潮流"/>
      <w:r>
        <w:rPr>
          <w:rFonts w:ascii="Times New Roman" w:hAnsi="Times New Roman" w:eastAsia="方正仿宋_GBK"/>
          <w:b/>
          <w:sz w:val="26"/>
        </w:rPr>
        <w:t xml:space="preserve">2.1.2 高渗透率运行特征与反向潮流</w:t>
      </w:r>
      <w:bookmarkEnd w:id="47"/>
    </w:p>
    <w:p>
      <w:pPr>
        <w:pStyle w:val="FirstParagraph"/>
        <w:widowControl/>
        <w:spacing w:line="348" w:lineRule="exact" w:before="0" w:after="0"/>
        <w:ind w:firstLine="480"/>
        <w:jc w:val="both"/>
      </w:pPr>
      <w:r>
        <w:rPr>
          <w:rFonts w:ascii="Times New Roman" w:hAnsi="Times New Roman" w:eastAsia="方正仿宋_GBK"/>
          <w:b w:val="0"/>
          <w:sz w:val="24"/>
        </w:rPr>
        <w:t xml:space="preserve">高渗透率对运行特征的影响集中体现为净负荷曲线重塑与反向潮流引致的电压、热与寿命问题。在净负荷形态上，Hou 等提出概率鸭子曲线（PDC）与概率爬坡曲线（PRC），以 copula 与相依离散卷积建模光伏与负荷的相依不确定性，并以青海高光伏情景开展算例分析：净负荷需求谷由凌晨移至正午（14:00 期望约 6000 MW、不确定带宽超 8000 MW），最坏场景净负荷谷不足 2000 MW（近 80% 负荷由 PV 供给，但该场景概率小于 1%）[3]。</w:t>
      </w:r>
    </w:p>
    <w:p>
      <w:pPr>
        <w:pStyle w:val="2"/>
        <w:widowControl/>
        <w:spacing w:line="348" w:lineRule="exact" w:before="0" w:after="0"/>
        <w:ind w:firstLine="480"/>
        <w:jc w:val="both"/>
      </w:pPr>
      <w:r>
        <w:rPr>
          <w:rFonts w:ascii="Times New Roman" w:hAnsi="Times New Roman" w:eastAsia="方正仿宋_GBK"/>
          <w:b w:val="0"/>
          <w:sz w:val="24"/>
        </w:rPr>
        <w:t xml:space="preserve">Haider 等表明分布式柔性资源（柔性负荷、电池）的分布式协调可将主网机组爬坡需求最多降低 23%，为以灵活资源平抑净负荷爬坡提供依据[22]。</w:t>
      </w:r>
    </w:p>
    <w:p>
      <w:pPr>
        <w:pStyle w:val="2"/>
        <w:widowControl/>
        <w:spacing w:line="348" w:lineRule="exact" w:before="0" w:after="0"/>
        <w:ind w:firstLine="480"/>
        <w:jc w:val="both"/>
      </w:pPr>
      <w:r>
        <w:rPr>
          <w:rFonts w:ascii="Times New Roman" w:hAnsi="Times New Roman" w:eastAsia="方正仿宋_GBK"/>
          <w:b w:val="0"/>
          <w:sz w:val="24"/>
        </w:rPr>
        <w:t xml:space="preserve">针对反向潮流引起的过电压，Xie等结合主网与配网线路参数差异建立计算方法，算例中的抑制策略将过电压从高于额定值约10%降至约2%[23]。在电压与设备热状态联合控制方面，Ghorbansarvi等用模型预测控制（MPC）管理母线电压与配变温度，并以弃光最小为目标，通过协调控制推迟配变过载[24]。</w:t>
      </w:r>
    </w:p>
    <w:p>
      <w:pPr>
        <w:pStyle w:val="2"/>
        <w:widowControl/>
        <w:spacing w:line="348" w:lineRule="exact" w:before="0" w:after="0"/>
        <w:ind w:firstLine="480"/>
        <w:jc w:val="both"/>
      </w:pPr>
      <w:r>
        <w:rPr>
          <w:rFonts w:ascii="Times New Roman" w:hAnsi="Times New Roman" w:eastAsia="方正仿宋_GBK"/>
          <w:b w:val="0"/>
          <w:sz w:val="24"/>
        </w:rPr>
        <w:t xml:space="preserve">综述性研究则归纳出 光伏有功削减、有载分接开关调节（OLTC）、配网重构及多柔性资源协调四类电压越限治理手段，并讨论了协调控制中调节时序与经济性考虑不足，以及低压网络模型简化对分析结果的影响[25]。</w:t>
      </w:r>
    </w:p>
    <w:p>
      <w:pPr>
        <w:pStyle w:val="5"/>
        <w:keepNext/>
        <w:numPr>
          <w:numId w:val="0"/>
        </w:numPr>
        <w:spacing w:line="390" w:lineRule="exact" w:before="160" w:after="120"/>
        <w:ind w:firstLine="0"/>
      </w:pPr>
      <w:bookmarkStart w:id="48" w:name="灵活资源与网络协同配置"/>
      <w:r>
        <w:rPr>
          <w:rFonts w:ascii="Times New Roman" w:hAnsi="Times New Roman" w:eastAsia="方正仿宋_GBK"/>
          <w:b/>
          <w:sz w:val="26"/>
        </w:rPr>
        <w:t xml:space="preserve">2.1.3 灵活资源与网络协同配置</w:t>
      </w:r>
      <w:bookmarkEnd w:id="48"/>
    </w:p>
    <w:p>
      <w:pPr>
        <w:pStyle w:val="FirstParagraph"/>
        <w:widowControl/>
        <w:spacing w:line="348" w:lineRule="exact" w:before="0" w:after="0"/>
        <w:ind w:firstLine="480"/>
        <w:jc w:val="both"/>
      </w:pPr>
      <w:r>
        <w:rPr>
          <w:rFonts w:ascii="Times New Roman" w:hAnsi="Times New Roman" w:eastAsia="方正仿宋_GBK"/>
          <w:b w:val="0"/>
          <w:sz w:val="24"/>
        </w:rPr>
        <w:t xml:space="preserve">灵活资源研究将储能、可调负荷和柔性互联的作用与电网增容比较。在接入能力分析中，Nair等采用确定性迭代、两阶段随机MISOCP和蒙特卡洛方法，IEEE 123馈线的动态资源协调使PV承载力由静态48%提高至83%，两阶段随机规划条件下达到98%。多资源互补使可行域体积扩大逾22倍，但动态方案的波动性更高，资源临界性排序为电池、热泵和EV[26]。Wang等进一步以智能软开关（SOP）组织柔性配电网多资源动态协同规划，在5%风险阈值内实现100%本地光伏消纳，最优方案总成本较不同对照方案降低约7%～55%[27]。</w:t>
      </w:r>
    </w:p>
    <w:p>
      <w:pPr>
        <w:pStyle w:val="2"/>
        <w:widowControl/>
        <w:spacing w:line="348" w:lineRule="exact" w:before="0" w:after="0"/>
        <w:ind w:firstLine="480"/>
        <w:jc w:val="both"/>
      </w:pPr>
      <w:r>
        <w:rPr>
          <w:rFonts w:ascii="Times New Roman" w:hAnsi="Times New Roman" w:eastAsia="方正仿宋_GBK"/>
          <w:b w:val="0"/>
          <w:sz w:val="24"/>
        </w:rPr>
        <w:t xml:space="preserve">储能替代网架增容的经济条件受负荷增长和设备价格影响。Martínez等基于西班牙真实500节点中压网发现，专用分布式电池储能（BESS）的净现值仅在年负荷增长率不超过千分之一点六时为正，移动式储能的可行上限约为千分之二点五[28]。Holweger等在CIGRE低压网上得到，PV年发电量占用户年用电量约110%～145%时，分布式柔性与网架增强达到盈亏平衡，其中较低变压器价格对应约110%、较高价格对应约145%，变压器是相关算例的承载瓶颈[29]。Matthiss等从评价期限解释措施排序差异：按初始投资比较时储能明显低于网架增强，计入电池10年寿命并折算年费用后，优势有所收窄[30]。</w:t>
      </w:r>
    </w:p>
    <w:p>
      <w:pPr>
        <w:pStyle w:val="2"/>
        <w:widowControl/>
        <w:spacing w:line="348" w:lineRule="exact" w:before="0" w:after="0"/>
        <w:ind w:firstLine="480"/>
        <w:jc w:val="both"/>
      </w:pPr>
      <w:r>
        <w:rPr>
          <w:rFonts w:ascii="Times New Roman" w:hAnsi="Times New Roman" w:eastAsia="方正仿宋_GBK"/>
          <w:b w:val="0"/>
          <w:sz w:val="24"/>
        </w:rPr>
        <w:t xml:space="preserve">储能定容研究进一步把容量衰减和运行约束纳入比选。Xu等用两阶段启发式优化最小化储能全寿命周期成本（LCC），包括投资、更换、运维及处置费用并计及锂电池衰减，算例中储能总平均年费用下降约47%[10]。Wu等采用两阶段分布鲁棒优化，将并网点短路电流约束纳入PV与储能联合规划，相较传统或分开规划方法，算例PV可装容量提高约60%、电压偏差降低约17%，说明联合配置与独立配置会形成不同承载结果[31]。</w:t>
      </w:r>
    </w:p>
    <w:p>
      <w:pPr>
        <w:pStyle w:val="2"/>
        <w:widowControl/>
        <w:spacing w:line="348" w:lineRule="exact" w:before="0" w:after="0"/>
        <w:ind w:firstLine="480"/>
        <w:jc w:val="both"/>
      </w:pPr>
      <w:r>
        <w:rPr>
          <w:rFonts w:ascii="Times New Roman" w:hAnsi="Times New Roman" w:eastAsia="方正仿宋_GBK"/>
          <w:b w:val="0"/>
          <w:sz w:val="24"/>
        </w:rPr>
        <w:t xml:space="preserve">Zhang 等还表明随 PV 渗透由 9% 升至 99%，配电系统供电恢复量较基准提升 27%～45%，但 99% 相对 81% 的边际收益已不显著（拐点约 81% 渗透率），且其孤岛恢复方案采用构网型光伏与储能[32]。</w:t>
      </w:r>
    </w:p>
    <w:p>
      <w:pPr>
        <w:pStyle w:val="2"/>
        <w:widowControl/>
        <w:spacing w:line="348" w:lineRule="exact" w:before="0" w:after="0"/>
        <w:ind w:firstLine="480"/>
        <w:jc w:val="both"/>
      </w:pPr>
      <w:r>
        <w:rPr>
          <w:rFonts w:ascii="Times New Roman" w:hAnsi="Times New Roman" w:eastAsia="方正仿宋_GBK"/>
          <w:b w:val="0"/>
          <w:sz w:val="24"/>
        </w:rPr>
        <w:t xml:space="preserve">面向高负荷密度和含可再生能源的变电容量优化，Huang等用多元宇宙优化器同时选择主变容量与台数，算例显示本地可再生能源通过减少净负荷延缓主变建设[33]。需求侧调节也会改变这一建设需求，Xu等从分时电价与需求响应引起的负荷曲线变化分析削峰节省的变电投资[34]，Nespoli等则提出无需本地历史数据的全局预测方法，用于量化住宅柔性负荷的经济价值[35]。</w:t>
      </w:r>
    </w:p>
    <w:p>
      <w:pPr>
        <w:pStyle w:val="2"/>
        <w:widowControl/>
        <w:spacing w:line="348" w:lineRule="exact" w:before="0" w:after="0"/>
        <w:ind w:firstLine="480"/>
        <w:jc w:val="both"/>
      </w:pPr>
      <w:r>
        <w:rPr>
          <w:rFonts w:ascii="Times New Roman" w:hAnsi="Times New Roman" w:eastAsia="方正仿宋_GBK"/>
          <w:b w:val="0"/>
          <w:sz w:val="24"/>
        </w:rPr>
        <w:t xml:space="preserve">在多区域柔性互联规划中，Zhu等通过共享E-SOP协调资源配置，与原始三相不平衡网络基准相比，算例年总成本降低约15%。进一步与各区域独立规划比较，年总成本由4021.60万元降至3995.27万元，各区域最大电压不平衡度降至2%[36]。SOP与储能联合规划进一步改善供电能力，相关算例提升约31%[37]。源—网—储协同随机规划则将源荷时空相关、储能配置及弃光费用纳入统一比较，说明消纳改善与费用变化需结合具体方案判断[38]。Shi等从多主体演化博弈分析收益分配对储能配置及主体协同的影响[39]。</w:t>
      </w:r>
    </w:p>
    <w:p>
      <w:pPr>
        <w:pStyle w:val="5"/>
        <w:keepNext/>
        <w:numPr>
          <w:numId w:val="0"/>
        </w:numPr>
        <w:spacing w:line="390" w:lineRule="exact" w:before="160" w:after="120"/>
        <w:ind w:firstLine="0"/>
      </w:pPr>
      <w:bookmarkStart w:id="49" w:name="规划费用与决策方法"/>
      <w:r>
        <w:rPr>
          <w:rFonts w:ascii="Times New Roman" w:hAnsi="Times New Roman" w:eastAsia="方正仿宋_GBK"/>
          <w:b/>
          <w:sz w:val="26"/>
        </w:rPr>
        <w:t xml:space="preserve">2.1.4 规划费用与决策方法</w:t>
      </w:r>
      <w:bookmarkEnd w:id="49"/>
    </w:p>
    <w:p>
      <w:pPr>
        <w:pStyle w:val="FirstParagraph"/>
        <w:widowControl/>
        <w:spacing w:line="348" w:lineRule="exact" w:before="0" w:after="0"/>
        <w:ind w:firstLine="480"/>
        <w:jc w:val="both"/>
      </w:pPr>
      <w:r>
        <w:rPr>
          <w:rFonts w:ascii="Times New Roman" w:hAnsi="Times New Roman" w:eastAsia="方正仿宋_GBK"/>
          <w:b w:val="0"/>
          <w:sz w:val="24"/>
        </w:rPr>
        <w:t xml:space="preserve">成本评价需统一初始投资与运行期支出。Zeng等以投资、运行、维护和故障费用建立输电线路经济寿命区间法，用改进GM(1,1)预测小样本成本，并以区间反映不确定性[11]。Zhu等针对10 kV三类线路，将投资、运维、故障和报废费用纳入LCC模型，发现高负载率下运维成为主要影响因素，算例三类线路的费用平衡点位于第7～8年，为比较线路寿命和现金流范围提供依据[12]。</w:t>
      </w:r>
    </w:p>
    <w:p>
      <w:pPr>
        <w:pStyle w:val="2"/>
        <w:widowControl/>
        <w:spacing w:line="348" w:lineRule="exact" w:before="0" w:after="0"/>
        <w:ind w:firstLine="480"/>
        <w:jc w:val="both"/>
      </w:pPr>
      <w:r>
        <w:rPr>
          <w:rFonts w:ascii="Times New Roman" w:hAnsi="Times New Roman" w:eastAsia="方正仿宋_GBK"/>
          <w:b w:val="0"/>
          <w:sz w:val="24"/>
        </w:rPr>
        <w:t xml:space="preserve">在多准则决策方面，相关成果采用组合赋权与排序模型开展方案评价：AHP-CRITIC 组合赋权叠加 GRA-TOPSIS 与累积前景理论用于电网规划方案适应性评价[40]；Fermatean 模糊 TOPSIS 配合 FAHP-熵权与 DEMATEL 因果分析处理专家评分不确定性[41]；最优最劣法（BWM）+ 反熵权 + 纳什博弈 + 马氏距离改进 TOPSIS 用于输电项目优选[42]；改进 AHP 叠加物元可拓评估实现效益分级[14]。多准则评价通过指标与权重表达方案差异，适用于技术可行方案的综合比较。</w:t>
      </w:r>
    </w:p>
    <w:p>
      <w:pPr>
        <w:pStyle w:val="4"/>
        <w:keepNext/>
        <w:numPr>
          <w:numId w:val="0"/>
        </w:numPr>
        <w:spacing w:line="480" w:lineRule="exact" w:before="160" w:after="120"/>
        <w:ind w:firstLine="0"/>
      </w:pPr>
      <w:bookmarkStart w:id="1101" w:name="h101"/>
      <w:bookmarkStart w:id="50" w:name="国内研究现状"/>
      <w:r>
        <w:rPr>
          <w:rFonts w:ascii="Times New Roman" w:hAnsi="Times New Roman" w:eastAsia="方正仿宋_GBK"/>
          <w:b/>
          <w:sz w:val="32"/>
        </w:rPr>
        <w:t xml:space="preserve">2.2 国内研究现状</w:t>
      </w:r>
      <w:bookmarkEnd w:id="50"/>
      <w:bookmarkEnd w:id="1101"/>
    </w:p>
    <w:p>
      <w:pPr>
        <w:pStyle w:val="5"/>
        <w:keepNext/>
        <w:numPr>
          <w:numId w:val="0"/>
        </w:numPr>
        <w:spacing w:line="390" w:lineRule="exact" w:before="160" w:after="120"/>
        <w:ind w:firstLine="0"/>
      </w:pPr>
      <w:bookmarkStart w:id="51" w:name="容载比与下级网络供电能力"/>
      <w:r>
        <w:rPr>
          <w:rFonts w:ascii="Times New Roman" w:hAnsi="Times New Roman" w:eastAsia="方正仿宋_GBK"/>
          <w:b/>
          <w:sz w:val="26"/>
        </w:rPr>
        <w:t xml:space="preserve">2.2.1 容载比与下级网络供电能力</w:t>
      </w:r>
      <w:bookmarkEnd w:id="51"/>
    </w:p>
    <w:p>
      <w:pPr>
        <w:pStyle w:val="FirstParagraph"/>
        <w:widowControl/>
        <w:spacing w:line="348" w:lineRule="exact" w:before="0" w:after="0"/>
        <w:ind w:firstLine="480"/>
        <w:jc w:val="both"/>
      </w:pPr>
      <w:r>
        <w:rPr>
          <w:rFonts w:ascii="Times New Roman" w:hAnsi="Times New Roman" w:eastAsia="方正仿宋_GBK"/>
          <w:b w:val="0"/>
          <w:sz w:val="24"/>
        </w:rPr>
        <w:t xml:space="preserve">国内容量配置研究从单电压等级逐步拓展到多电压等级协同。陈浩等建立高、低压两电压等级变电站的最优容载比模型，以年综合费用最小为目标，通过离散粒子群算法求解[43]。王凯亮等进一步统筹220/110/10 kV规划，以建设成本最小为目标，用贝叶斯优化与遗传算法（BOA-GA）确定容载比配比。研究得到长时间尺度下容量配比与整体投资近似呈二次关系，算例建设成本较实际网架降低约8%，并以10 MW·km⁻²负荷密度分界和负荷增长率给出差异化推荐表[44]。</w:t>
      </w:r>
    </w:p>
    <w:p>
      <w:pPr>
        <w:pStyle w:val="2"/>
        <w:widowControl/>
        <w:spacing w:line="348" w:lineRule="exact" w:before="0" w:after="0"/>
        <w:ind w:firstLine="480"/>
        <w:jc w:val="both"/>
      </w:pPr>
      <w:r>
        <w:rPr>
          <w:rFonts w:ascii="Times New Roman" w:hAnsi="Times New Roman" w:eastAsia="方正仿宋_GBK"/>
          <w:b w:val="0"/>
          <w:sz w:val="24"/>
        </w:rPr>
        <w:t xml:space="preserve">指标精细化研究尝试将容量储备与可靠性及负荷特征衔接。刘文霞等针对导则容载比区间较宽、与可靠性关联不足的问题，提出以理想值为基准的</w:t>
      </w:r>
      <w:r>
        <w:rPr>
          <w:rFonts w:ascii="Times New Roman" w:hAnsi="Times New Roman" w:eastAsia="方正仿宋_GBK"/>
          <w:b w:val="0"/>
          <w:sz w:val="24"/>
        </w:rPr>
        <w:t xml:space="preserve">“</w:t>
      </w:r>
      <w:r>
        <w:rPr>
          <w:rFonts w:ascii="Times New Roman" w:hAnsi="Times New Roman" w:eastAsia="方正仿宋_GBK"/>
          <w:b w:val="0"/>
          <w:sz w:val="24"/>
        </w:rPr>
        <w:t xml:space="preserve">容载比色带</w:t>
      </w:r>
      <w:r>
        <w:rPr>
          <w:rFonts w:ascii="Times New Roman" w:hAnsi="Times New Roman" w:eastAsia="方正仿宋_GBK"/>
          <w:b w:val="0"/>
          <w:sz w:val="24"/>
        </w:rPr>
        <w:t xml:space="preserve">”</w:t>
      </w:r>
      <w:r>
        <w:rPr>
          <w:rFonts w:ascii="Times New Roman" w:hAnsi="Times New Roman" w:eastAsia="方正仿宋_GBK"/>
          <w:b w:val="0"/>
          <w:sz w:val="24"/>
        </w:rPr>
        <w:t xml:space="preserve">，用供电可靠性与发展阶段评价区域充裕性[45]。刘炜彬等则从负荷分散系数、储备系数、变压器安全运行率和平均功率因数入手，采用BP神经网络拟合负荷同时率，并将N-1通过率纳入安全运行率，实现精细化、差异化配置[46]。</w:t>
      </w:r>
    </w:p>
    <w:p>
      <w:pPr>
        <w:pStyle w:val="2"/>
        <w:widowControl/>
        <w:spacing w:line="348" w:lineRule="exact" w:before="0" w:after="0"/>
        <w:ind w:firstLine="480"/>
        <w:jc w:val="both"/>
      </w:pPr>
      <w:r>
        <w:rPr>
          <w:rFonts w:ascii="Times New Roman" w:hAnsi="Times New Roman" w:eastAsia="方正仿宋_GBK"/>
          <w:b w:val="0"/>
          <w:sz w:val="24"/>
        </w:rPr>
        <w:t xml:space="preserve">最大供电能力研究直接联系变电容量与下级网络。肖峻等在计及主变、中压网络转带和N-1条件的TSC模型中得到，网络转带能力增强可降低变电容量储备需求，达到TSC时容载比理论范围约1.10～2.00。其常见城市联络度0.40～0.50对应容载比1.50～1.60，算例较1.80～2.00取值可多承接约20%负荷，因此建议互联程度较高的城市电网控制在1.60左右[8]。张锐等进一步以改进供电能力指标指导低压柔性互联装置规划，分别评价设备容量与实际供电能力[47]。马雨欣、林凌雪则在精准规划的TSC评估中考虑二次转供，并讨论分布式电源接入的影响[48]。</w:t>
      </w:r>
    </w:p>
    <w:p>
      <w:pPr>
        <w:pStyle w:val="5"/>
        <w:keepNext/>
        <w:numPr>
          <w:numId w:val="0"/>
        </w:numPr>
        <w:spacing w:line="390" w:lineRule="exact" w:before="160" w:after="120"/>
        <w:ind w:firstLine="0"/>
      </w:pPr>
      <w:bookmarkStart w:id="52" w:name="分布式光伏承载力与安全经济评价"/>
      <w:r>
        <w:rPr>
          <w:rFonts w:ascii="Times New Roman" w:hAnsi="Times New Roman" w:eastAsia="方正仿宋_GBK"/>
          <w:b/>
          <w:sz w:val="26"/>
        </w:rPr>
        <w:t xml:space="preserve">2.2.2 分布式光伏承载力与安全经济评价</w:t>
      </w:r>
      <w:bookmarkEnd w:id="52"/>
    </w:p>
    <w:p>
      <w:pPr>
        <w:pStyle w:val="FirstParagraph"/>
        <w:widowControl/>
        <w:spacing w:line="348" w:lineRule="exact" w:before="0" w:after="0"/>
        <w:ind w:firstLine="480"/>
        <w:jc w:val="both"/>
      </w:pPr>
      <w:r>
        <w:rPr>
          <w:rFonts w:ascii="Times New Roman" w:hAnsi="Times New Roman" w:eastAsia="方正仿宋_GBK"/>
          <w:b w:val="0"/>
          <w:sz w:val="24"/>
        </w:rPr>
        <w:t xml:space="preserve">国内承载力研究同时开展多供电层级耦合、分层精细化及概率区间评估。多层级分析有助于识别接入限制出现的具体位置，概率与区间方法则反映源荷不确定性。在精细化评估上，王守相等提出</w:t>
      </w:r>
      <w:r>
        <w:rPr>
          <w:rFonts w:ascii="Times New Roman" w:hAnsi="Times New Roman" w:eastAsia="方正仿宋_GBK"/>
          <w:b w:val="0"/>
          <w:sz w:val="24"/>
        </w:rPr>
        <w:t xml:space="preserve">“</w:t>
      </w:r>
      <w:r>
        <w:rPr>
          <w:rFonts w:ascii="Times New Roman" w:hAnsi="Times New Roman" w:eastAsia="方正仿宋_GBK"/>
          <w:b w:val="0"/>
          <w:sz w:val="24"/>
        </w:rPr>
        <w:t xml:space="preserve">变电站—馈线—台区</w:t>
      </w:r>
      <w:r>
        <w:rPr>
          <w:rFonts w:ascii="Times New Roman" w:hAnsi="Times New Roman" w:eastAsia="方正仿宋_GBK"/>
          <w:b w:val="0"/>
          <w:sz w:val="24"/>
        </w:rPr>
        <w:t xml:space="preserve">”</w:t>
      </w:r>
      <w:r>
        <w:rPr>
          <w:rFonts w:ascii="Times New Roman" w:hAnsi="Times New Roman" w:eastAsia="方正仿宋_GBK"/>
          <w:b w:val="0"/>
          <w:sz w:val="24"/>
        </w:rPr>
        <w:t xml:space="preserve">多供电层级耦合的一体化评估，明确区分</w:t>
      </w:r>
      <w:r>
        <w:rPr>
          <w:rFonts w:ascii="Times New Roman" w:hAnsi="Times New Roman" w:eastAsia="方正仿宋_GBK"/>
          <w:b w:val="0"/>
          <w:sz w:val="24"/>
        </w:rPr>
        <w:t xml:space="preserve">“</w:t>
      </w:r>
      <w:r>
        <w:rPr>
          <w:rFonts w:ascii="Times New Roman" w:hAnsi="Times New Roman" w:eastAsia="方正仿宋_GBK"/>
          <w:b w:val="0"/>
          <w:sz w:val="24"/>
        </w:rPr>
        <w:t xml:space="preserve">消纳能力（运行角度，电力电量平衡）</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接纳能力（规划角度，不越过载/电压/谐波约束）</w:t>
      </w:r>
      <w:r>
        <w:rPr>
          <w:rFonts w:ascii="Times New Roman" w:hAnsi="Times New Roman" w:eastAsia="方正仿宋_GBK"/>
          <w:b w:val="0"/>
          <w:sz w:val="24"/>
        </w:rPr>
        <w:t xml:space="preserve">”</w:t>
      </w:r>
      <w:r>
        <w:rPr>
          <w:rFonts w:ascii="Times New Roman" w:hAnsi="Times New Roman" w:eastAsia="方正仿宋_GBK"/>
          <w:b w:val="0"/>
          <w:sz w:val="24"/>
        </w:rPr>
        <w:t xml:space="preserve">，并指出单电压等级独立评估会使低压侧承载力估计过于乐观[49]。</w:t>
      </w:r>
    </w:p>
    <w:p>
      <w:pPr>
        <w:pStyle w:val="2"/>
        <w:widowControl/>
        <w:spacing w:line="348" w:lineRule="exact" w:before="0" w:after="0"/>
        <w:ind w:firstLine="480"/>
        <w:jc w:val="both"/>
      </w:pPr>
      <w:r>
        <w:rPr>
          <w:rFonts w:ascii="Times New Roman" w:hAnsi="Times New Roman" w:eastAsia="方正仿宋_GBK"/>
          <w:b w:val="0"/>
          <w:sz w:val="24"/>
        </w:rPr>
        <w:t xml:space="preserve">概率与区间方法用于表达承载力的不确定性。王方敏等基于历史场景，以反向负载率划分红、黄、蓝、绿四级薄弱环节，并按不同置信水平给出可新增光伏容量[50]，徐非非等提出计及不确定性的承载能力区间分析方法[51]。针对含储能与软开关的柔性配电网，张伟等分别用确定性模型和双层鲁棒优化构造最乐观、最悲观边界，E-SOP端口容量增大时，区间从7.93～10.89 MW提高至9.32～11.34 MW且宽度收窄[52]。</w:t>
      </w:r>
    </w:p>
    <w:p>
      <w:pPr>
        <w:pStyle w:val="2"/>
        <w:widowControl/>
        <w:spacing w:line="348" w:lineRule="exact" w:before="0" w:after="0"/>
        <w:ind w:firstLine="480"/>
        <w:jc w:val="both"/>
      </w:pPr>
      <w:r>
        <w:rPr>
          <w:rFonts w:ascii="Times New Roman" w:hAnsi="Times New Roman" w:eastAsia="方正仿宋_GBK"/>
          <w:b w:val="0"/>
          <w:sz w:val="24"/>
        </w:rPr>
        <w:t xml:space="preserve">安全经济承载力研究将运行约束与经济目标共同纳入评估。宋钰等以年低碳经济收益最大为目标，构建确定性与分布鲁棒机会约束模型，考虑分布式光伏出力不确定性[53]。李敬如等先在输电网层面构建省域承载力区间，再在配电网层面结合潮流、电能质量和储能约束求取经济配置，使承载力与省域消纳条件相互校核[54]。</w:t>
      </w:r>
    </w:p>
    <w:p>
      <w:pPr>
        <w:pStyle w:val="2"/>
        <w:widowControl/>
        <w:spacing w:line="348" w:lineRule="exact" w:before="0" w:after="0"/>
        <w:ind w:firstLine="480"/>
        <w:jc w:val="both"/>
      </w:pPr>
      <w:r>
        <w:rPr>
          <w:rFonts w:ascii="Times New Roman" w:hAnsi="Times New Roman" w:eastAsia="方正仿宋_GBK"/>
          <w:b w:val="0"/>
          <w:sz w:val="24"/>
        </w:rPr>
        <w:t xml:space="preserve">龚锐等则提出</w:t>
      </w:r>
      <w:r>
        <w:rPr>
          <w:rFonts w:ascii="Times New Roman" w:hAnsi="Times New Roman" w:eastAsia="方正仿宋_GBK"/>
          <w:b w:val="0"/>
          <w:sz w:val="24"/>
        </w:rPr>
        <w:t xml:space="preserve">“</w:t>
      </w:r>
      <w:r>
        <w:rPr>
          <w:rFonts w:ascii="Times New Roman" w:hAnsi="Times New Roman" w:eastAsia="方正仿宋_GBK"/>
          <w:b w:val="0"/>
          <w:sz w:val="24"/>
        </w:rPr>
        <w:t xml:space="preserve">综合承载力</w:t>
      </w:r>
      <w:r>
        <w:rPr>
          <w:rFonts w:ascii="Times New Roman" w:hAnsi="Times New Roman" w:eastAsia="方正仿宋_GBK"/>
          <w:b w:val="0"/>
          <w:sz w:val="24"/>
        </w:rPr>
        <w:t xml:space="preserve">”</w:t>
      </w:r>
      <w:r>
        <w:rPr>
          <w:rFonts w:ascii="Times New Roman" w:hAnsi="Times New Roman" w:eastAsia="方正仿宋_GBK"/>
          <w:b w:val="0"/>
          <w:sz w:val="24"/>
        </w:rPr>
        <w:t xml:space="preserve">概念，将运行状态评估结果折算为系数与接入容量相乘得</w:t>
      </w:r>
      <w:r>
        <w:rPr>
          <w:rFonts w:ascii="Times New Roman" w:hAnsi="Times New Roman" w:eastAsia="方正仿宋_GBK"/>
          <w:b w:val="0"/>
          <w:sz w:val="24"/>
        </w:rPr>
        <w:t xml:space="preserve">“</w:t>
      </w:r>
      <w:r>
        <w:rPr>
          <w:rFonts w:ascii="Times New Roman" w:hAnsi="Times New Roman" w:eastAsia="方正仿宋_GBK"/>
          <w:b w:val="0"/>
          <w:sz w:val="24"/>
        </w:rPr>
        <w:t xml:space="preserve">期望接入容量</w:t>
      </w:r>
      <w:r>
        <w:rPr>
          <w:rFonts w:ascii="Times New Roman" w:hAnsi="Times New Roman" w:eastAsia="方正仿宋_GBK"/>
          <w:b w:val="0"/>
          <w:sz w:val="24"/>
        </w:rPr>
        <w:t xml:space="preserve">”</w:t>
      </w:r>
      <w:r>
        <w:rPr>
          <w:rFonts w:ascii="Times New Roman" w:hAnsi="Times New Roman" w:eastAsia="方正仿宋_GBK"/>
          <w:b w:val="0"/>
          <w:sz w:val="24"/>
        </w:rPr>
        <w:t xml:space="preserve">，通过运行评价系数反映接入容量的质量差异[55]。</w:t>
      </w:r>
    </w:p>
    <w:p>
      <w:pPr>
        <w:pStyle w:val="5"/>
        <w:keepNext/>
        <w:numPr>
          <w:numId w:val="0"/>
        </w:numPr>
        <w:spacing w:line="390" w:lineRule="exact" w:before="160" w:after="120"/>
        <w:ind w:firstLine="0"/>
      </w:pPr>
      <w:bookmarkStart w:id="53" w:name="源荷运行特征与净负荷"/>
      <w:r>
        <w:rPr>
          <w:rFonts w:ascii="Times New Roman" w:hAnsi="Times New Roman" w:eastAsia="方正仿宋_GBK"/>
          <w:b/>
          <w:sz w:val="26"/>
        </w:rPr>
        <w:t xml:space="preserve">2.2.3 源荷运行特征与净负荷</w:t>
      </w:r>
      <w:bookmarkEnd w:id="53"/>
    </w:p>
    <w:p>
      <w:pPr>
        <w:pStyle w:val="FirstParagraph"/>
        <w:widowControl/>
        <w:spacing w:line="348" w:lineRule="exact" w:before="0" w:after="0"/>
        <w:ind w:firstLine="480"/>
        <w:jc w:val="both"/>
      </w:pPr>
      <w:r>
        <w:rPr>
          <w:rFonts w:ascii="Times New Roman" w:hAnsi="Times New Roman" w:eastAsia="方正仿宋_GBK"/>
          <w:b w:val="0"/>
          <w:sz w:val="24"/>
        </w:rPr>
        <w:t xml:space="preserve">运行特征研究为本项目的源荷分析提供方法和区域参照。曹炜等综述德国可再生能源法与英国伦敦</w:t>
      </w:r>
      <w:r>
        <w:rPr>
          <w:rFonts w:ascii="Times New Roman" w:hAnsi="Times New Roman" w:eastAsia="方正仿宋_GBK"/>
          <w:b w:val="0"/>
          <w:sz w:val="24"/>
        </w:rPr>
        <w:t xml:space="preserve">“</w:t>
      </w:r>
      <w:r>
        <w:rPr>
          <w:rFonts w:ascii="Times New Roman" w:hAnsi="Times New Roman" w:eastAsia="方正仿宋_GBK"/>
          <w:b w:val="0"/>
          <w:sz w:val="24"/>
        </w:rPr>
        <w:t xml:space="preserve">8·9</w:t>
      </w:r>
      <w:r>
        <w:rPr>
          <w:rFonts w:ascii="Times New Roman" w:hAnsi="Times New Roman" w:eastAsia="方正仿宋_GBK"/>
          <w:b w:val="0"/>
          <w:sz w:val="24"/>
        </w:rPr>
        <w:t xml:space="preserve">”</w:t>
      </w:r>
      <w:r>
        <w:rPr>
          <w:rFonts w:ascii="Times New Roman" w:hAnsi="Times New Roman" w:eastAsia="方正仿宋_GBK"/>
          <w:b w:val="0"/>
          <w:sz w:val="24"/>
        </w:rPr>
        <w:t xml:space="preserve">大停电经验，分析高比例新能源接入后向主网反向输送功率的现象，并提示防孤岛与频率保护设定的重要性[56]。</w:t>
      </w:r>
    </w:p>
    <w:p>
      <w:pPr>
        <w:pStyle w:val="2"/>
        <w:widowControl/>
        <w:spacing w:line="348" w:lineRule="exact" w:before="0" w:after="0"/>
        <w:ind w:firstLine="480"/>
        <w:jc w:val="both"/>
      </w:pPr>
      <w:r>
        <w:rPr>
          <w:rFonts w:ascii="Times New Roman" w:hAnsi="Times New Roman" w:eastAsia="方正仿宋_GBK"/>
          <w:b w:val="0"/>
          <w:sz w:val="24"/>
        </w:rPr>
        <w:t xml:space="preserve">在区域负荷特征上，龚玺等基于 2016—2021 年江苏逐小时负荷与南京气象数据，得出江苏夏季日最大负荷与日最高气温相关性达 0.90、负荷随气温呈</w:t>
      </w:r>
      <w:r>
        <w:rPr>
          <w:rFonts w:ascii="Times New Roman" w:hAnsi="Times New Roman" w:eastAsia="方正仿宋_GBK"/>
          <w:b w:val="0"/>
          <w:sz w:val="24"/>
        </w:rPr>
        <w:t xml:space="preserve">“</w:t>
      </w:r>
      <w:r>
        <w:rPr>
          <w:rFonts w:ascii="Times New Roman" w:hAnsi="Times New Roman" w:eastAsia="方正仿宋_GBK"/>
          <w:b w:val="0"/>
          <w:sz w:val="24"/>
        </w:rPr>
        <w:t xml:space="preserve">V/U 型</w:t>
      </w:r>
      <w:r>
        <w:rPr>
          <w:rFonts w:ascii="Times New Roman" w:hAnsi="Times New Roman" w:eastAsia="方正仿宋_GBK"/>
          <w:b w:val="0"/>
          <w:sz w:val="24"/>
        </w:rPr>
        <w:t xml:space="preserve">”</w:t>
      </w:r>
      <w:r>
        <w:rPr>
          <w:rFonts w:ascii="Times New Roman" w:hAnsi="Times New Roman" w:eastAsia="方正仿宋_GBK"/>
          <w:b w:val="0"/>
          <w:sz w:val="24"/>
        </w:rPr>
        <w:t xml:space="preserve">，为分析江苏地区负荷与气温的关系提供参考[57]。</w:t>
      </w:r>
    </w:p>
    <w:p>
      <w:pPr>
        <w:pStyle w:val="2"/>
        <w:widowControl/>
        <w:spacing w:line="348" w:lineRule="exact" w:before="0" w:after="0"/>
        <w:ind w:firstLine="480"/>
        <w:jc w:val="both"/>
      </w:pPr>
      <w:r>
        <w:rPr>
          <w:rFonts w:ascii="Times New Roman" w:hAnsi="Times New Roman" w:eastAsia="方正仿宋_GBK"/>
          <w:b w:val="0"/>
          <w:sz w:val="24"/>
        </w:rPr>
        <w:t xml:space="preserve">在风险评估与控制上，梁志峰等构建主配网</w:t>
      </w:r>
      <w:r>
        <w:rPr>
          <w:rFonts w:ascii="Times New Roman" w:hAnsi="Times New Roman" w:eastAsia="方正仿宋_GBK"/>
          <w:b w:val="0"/>
          <w:sz w:val="24"/>
        </w:rPr>
        <w:t xml:space="preserve">“</w:t>
      </w:r>
      <w:r>
        <w:rPr>
          <w:rFonts w:ascii="Times New Roman" w:hAnsi="Times New Roman" w:eastAsia="方正仿宋_GBK"/>
          <w:b w:val="0"/>
          <w:sz w:val="24"/>
        </w:rPr>
        <w:t xml:space="preserve">安全（电压越限、断面重载）、平衡、消纳</w:t>
      </w:r>
      <w:r>
        <w:rPr>
          <w:rFonts w:ascii="Times New Roman" w:hAnsi="Times New Roman" w:eastAsia="方正仿宋_GBK"/>
          <w:b w:val="0"/>
          <w:sz w:val="24"/>
        </w:rPr>
        <w:t xml:space="preserve">”</w:t>
      </w:r>
      <w:r>
        <w:rPr>
          <w:rFonts w:ascii="Times New Roman" w:hAnsi="Times New Roman" w:eastAsia="方正仿宋_GBK"/>
          <w:b w:val="0"/>
          <w:sz w:val="24"/>
        </w:rPr>
        <w:t xml:space="preserve">风险评估指标体系并提出分层分区紧急切负荷策略[58]，吕达夫等以多场景源荷不确定性模型评估承载能力、得出</w:t>
      </w:r>
      <w:r>
        <w:rPr>
          <w:rFonts w:ascii="Times New Roman" w:hAnsi="Times New Roman" w:eastAsia="方正仿宋_GBK"/>
          <w:b w:val="0"/>
          <w:sz w:val="24"/>
        </w:rPr>
        <w:t xml:space="preserve">“</w:t>
      </w:r>
      <w:r>
        <w:rPr>
          <w:rFonts w:ascii="Times New Roman" w:hAnsi="Times New Roman" w:eastAsia="方正仿宋_GBK"/>
          <w:b w:val="0"/>
          <w:sz w:val="24"/>
        </w:rPr>
        <w:t xml:space="preserve">储能提升承载能力优于需求响应</w:t>
      </w:r>
      <w:r>
        <w:rPr>
          <w:rFonts w:ascii="Times New Roman" w:hAnsi="Times New Roman" w:eastAsia="方正仿宋_GBK"/>
          <w:b w:val="0"/>
          <w:sz w:val="24"/>
        </w:rPr>
        <w:t xml:space="preserve">”</w:t>
      </w:r>
      <w:r>
        <w:rPr>
          <w:rFonts w:ascii="Times New Roman" w:hAnsi="Times New Roman" w:eastAsia="方正仿宋_GBK"/>
          <w:b w:val="0"/>
          <w:sz w:val="24"/>
        </w:rPr>
        <w:t xml:space="preserve">[59]，刘克权等则以甘肃为例定性论证高比例新能源下</w:t>
      </w:r>
      <w:r>
        <w:rPr>
          <w:rFonts w:ascii="Times New Roman" w:hAnsi="Times New Roman" w:eastAsia="方正仿宋_GBK"/>
          <w:b w:val="0"/>
          <w:sz w:val="24"/>
        </w:rPr>
        <w:t xml:space="preserve">“</w:t>
      </w:r>
      <w:r>
        <w:rPr>
          <w:rFonts w:ascii="Times New Roman" w:hAnsi="Times New Roman" w:eastAsia="方正仿宋_GBK"/>
          <w:b w:val="0"/>
          <w:sz w:val="24"/>
        </w:rPr>
        <w:t xml:space="preserve">承载力不足/潮流反转/N-1 不满足/网架联络率低</w:t>
      </w:r>
      <w:r>
        <w:rPr>
          <w:rFonts w:ascii="Times New Roman" w:hAnsi="Times New Roman" w:eastAsia="方正仿宋_GBK"/>
          <w:b w:val="0"/>
          <w:sz w:val="24"/>
        </w:rPr>
        <w:t xml:space="preserve">”</w:t>
      </w:r>
      <w:r>
        <w:rPr>
          <w:rFonts w:ascii="Times New Roman" w:hAnsi="Times New Roman" w:eastAsia="方正仿宋_GBK"/>
          <w:b w:val="0"/>
          <w:sz w:val="24"/>
        </w:rPr>
        <w:t xml:space="preserve">的真实困境[60]。</w:t>
      </w:r>
    </w:p>
    <w:p>
      <w:pPr>
        <w:pStyle w:val="5"/>
        <w:keepNext/>
        <w:numPr>
          <w:numId w:val="0"/>
        </w:numPr>
        <w:spacing w:line="390" w:lineRule="exact" w:before="160" w:after="120"/>
        <w:ind w:firstLine="0"/>
      </w:pPr>
      <w:bookmarkStart w:id="54" w:name="源网荷储协同规划"/>
      <w:r>
        <w:rPr>
          <w:rFonts w:ascii="Times New Roman" w:hAnsi="Times New Roman" w:eastAsia="方正仿宋_GBK"/>
          <w:b/>
          <w:sz w:val="26"/>
        </w:rPr>
        <w:t xml:space="preserve">2.2.4 源网荷储协同规划</w:t>
      </w:r>
      <w:bookmarkEnd w:id="54"/>
    </w:p>
    <w:p>
      <w:pPr>
        <w:pStyle w:val="FirstParagraph"/>
        <w:widowControl/>
        <w:spacing w:line="348" w:lineRule="exact" w:before="0" w:after="0"/>
        <w:ind w:firstLine="480"/>
        <w:jc w:val="both"/>
      </w:pPr>
      <w:r>
        <w:rPr>
          <w:rFonts w:ascii="Times New Roman" w:hAnsi="Times New Roman" w:eastAsia="方正仿宋_GBK"/>
          <w:b w:val="0"/>
          <w:sz w:val="24"/>
        </w:rPr>
        <w:t xml:space="preserve">国内协同规划研究关注柔性互联与储能配置对潮流、供电能力及投资的共同影响，相关综述分别梳理分布式光伏规模化并网[61]、主动配电网规划[62]和新型配电网分布式储能配置[63]。贺春光等采用混合整数二阶锥规划统筹多电压等级SOP，算例年综合成本由457.30万元降至357.70万元，各节点电压保持在[0.95,1.05]，并缓解220 kV变电站倒送[64]。在源—网—储扩展规划中，徐峰亮等建立三层模型并定义净负荷适应率、净负荷波动率和线路负载裕度均衡性，推荐方案在五种方案中总成本最低，为1300.50万元，DG渗透率最高，约57%[65]。乐健等用Frank-Copula描述源荷时空相关，通过蒙特卡洛生成并削减典型场景，25节点算例方案4的综合费用较方案2降低约45%，说明场景与协同配置会影响经济比较[66]。</w:t>
      </w:r>
    </w:p>
    <w:p>
      <w:pPr>
        <w:pStyle w:val="5"/>
        <w:keepNext/>
        <w:numPr>
          <w:numId w:val="0"/>
        </w:numPr>
        <w:spacing w:line="390" w:lineRule="exact" w:before="160" w:after="120"/>
        <w:ind w:firstLine="0"/>
      </w:pPr>
      <w:bookmarkStart w:id="55" w:name="工程费用与评价方法"/>
      <w:r>
        <w:rPr>
          <w:rFonts w:ascii="Times New Roman" w:hAnsi="Times New Roman" w:eastAsia="方正仿宋_GBK"/>
          <w:b/>
          <w:sz w:val="26"/>
        </w:rPr>
        <w:t xml:space="preserve">2.2.5 工程费用与评价方法</w:t>
      </w:r>
      <w:bookmarkEnd w:id="55"/>
    </w:p>
    <w:p>
      <w:pPr>
        <w:pStyle w:val="FirstParagraph"/>
        <w:widowControl/>
        <w:spacing w:line="348" w:lineRule="exact" w:before="0" w:after="0"/>
        <w:ind w:firstLine="480"/>
        <w:jc w:val="both"/>
      </w:pPr>
      <w:r>
        <w:rPr>
          <w:rFonts w:ascii="Times New Roman" w:hAnsi="Times New Roman" w:eastAsia="方正仿宋_GBK"/>
          <w:b w:val="0"/>
          <w:sz w:val="24"/>
        </w:rPr>
        <w:t xml:space="preserve">建设费用与设备寿命共同决定措施的经济性。在投资优选方面，张全等建立电网规划全生命周期投入产出效益评价体系，选取 6 类典型投资场景按</w:t>
      </w:r>
      <w:r>
        <w:rPr>
          <w:rFonts w:ascii="Times New Roman" w:hAnsi="Times New Roman" w:eastAsia="方正仿宋_GBK"/>
          <w:b w:val="0"/>
          <w:sz w:val="24"/>
        </w:rPr>
        <w:t xml:space="preserve">“</w:t>
      </w:r>
      <w:r>
        <w:rPr>
          <w:rFonts w:ascii="Times New Roman" w:hAnsi="Times New Roman" w:eastAsia="方正仿宋_GBK"/>
          <w:b w:val="0"/>
          <w:sz w:val="24"/>
        </w:rPr>
        <w:t xml:space="preserve">先项目重要性、后投入产出效益</w:t>
      </w:r>
      <w:r>
        <w:rPr>
          <w:rFonts w:ascii="Times New Roman" w:hAnsi="Times New Roman" w:eastAsia="方正仿宋_GBK"/>
          <w:b w:val="0"/>
          <w:sz w:val="24"/>
        </w:rPr>
        <w:t xml:space="preserve">”</w:t>
      </w:r>
      <w:r>
        <w:rPr>
          <w:rFonts w:ascii="Times New Roman" w:hAnsi="Times New Roman" w:eastAsia="方正仿宋_GBK"/>
          <w:b w:val="0"/>
          <w:sz w:val="24"/>
        </w:rPr>
        <w:t xml:space="preserve">排序，区分</w:t>
      </w:r>
      <w:r>
        <w:rPr>
          <w:rFonts w:ascii="Times New Roman" w:hAnsi="Times New Roman" w:eastAsia="方正仿宋_GBK"/>
          <w:b w:val="0"/>
          <w:sz w:val="24"/>
        </w:rPr>
        <w:t xml:space="preserve">“</w:t>
      </w:r>
      <w:r>
        <w:rPr>
          <w:rFonts w:ascii="Times New Roman" w:hAnsi="Times New Roman" w:eastAsia="方正仿宋_GBK"/>
          <w:b w:val="0"/>
          <w:sz w:val="24"/>
        </w:rPr>
        <w:t xml:space="preserve">刚性必选</w:t>
      </w:r>
      <w:r>
        <w:rPr>
          <w:rFonts w:ascii="Times New Roman" w:hAnsi="Times New Roman" w:eastAsia="方正仿宋_GBK"/>
          <w:b w:val="0"/>
          <w:sz w:val="24"/>
        </w:rPr>
        <w:t xml:space="preserve">”</w:t>
      </w:r>
      <w:r>
        <w:rPr>
          <w:rFonts w:ascii="Times New Roman" w:hAnsi="Times New Roman" w:eastAsia="方正仿宋_GBK"/>
          <w:b w:val="0"/>
          <w:sz w:val="24"/>
        </w:rPr>
        <w:t xml:space="preserve">（如区域供电能力提升、配用电升级）与</w:t>
      </w:r>
      <w:r>
        <w:rPr>
          <w:rFonts w:ascii="Times New Roman" w:hAnsi="Times New Roman" w:eastAsia="方正仿宋_GBK"/>
          <w:b w:val="0"/>
          <w:sz w:val="24"/>
        </w:rPr>
        <w:t xml:space="preserve">“</w:t>
      </w:r>
      <w:r>
        <w:rPr>
          <w:rFonts w:ascii="Times New Roman" w:hAnsi="Times New Roman" w:eastAsia="方正仿宋_GBK"/>
          <w:b w:val="0"/>
          <w:sz w:val="24"/>
        </w:rPr>
        <w:t xml:space="preserve">弹性排序</w:t>
      </w:r>
      <w:r>
        <w:rPr>
          <w:rFonts w:ascii="Times New Roman" w:hAnsi="Times New Roman" w:eastAsia="方正仿宋_GBK"/>
          <w:b w:val="0"/>
          <w:sz w:val="24"/>
        </w:rPr>
        <w:t xml:space="preserve">”</w:t>
      </w:r>
      <w:r>
        <w:rPr>
          <w:rFonts w:ascii="Times New Roman" w:hAnsi="Times New Roman" w:eastAsia="方正仿宋_GBK"/>
          <w:b w:val="0"/>
          <w:sz w:val="24"/>
        </w:rPr>
        <w:t xml:space="preserve">（如 220 kV 网架、灵活资源）项目，按工程功能和投入产出组织投资排序[67]；何凯等提出</w:t>
      </w:r>
      <w:r>
        <w:rPr>
          <w:rFonts w:ascii="Times New Roman" w:hAnsi="Times New Roman" w:eastAsia="方正仿宋_GBK"/>
          <w:b w:val="0"/>
          <w:sz w:val="24"/>
        </w:rPr>
        <w:t xml:space="preserve">“</w:t>
      </w:r>
      <w:r>
        <w:rPr>
          <w:rFonts w:ascii="Times New Roman" w:hAnsi="Times New Roman" w:eastAsia="方正仿宋_GBK"/>
          <w:b w:val="0"/>
          <w:sz w:val="24"/>
        </w:rPr>
        <w:t xml:space="preserve">全成本电价</w:t>
      </w:r>
      <w:r>
        <w:rPr>
          <w:rFonts w:ascii="Times New Roman" w:hAnsi="Times New Roman" w:eastAsia="方正仿宋_GBK"/>
          <w:b w:val="0"/>
          <w:sz w:val="24"/>
        </w:rPr>
        <w:t xml:space="preserve">”</w:t>
      </w:r>
      <w:r>
        <w:rPr>
          <w:rFonts w:ascii="Times New Roman" w:hAnsi="Times New Roman" w:eastAsia="方正仿宋_GBK"/>
          <w:b w:val="0"/>
          <w:sz w:val="24"/>
        </w:rPr>
        <w:t xml:space="preserve">（节点边际电价 + 单位负荷建设与运维成本）并以基态/N-1 态负荷率为安全指标、</w:t>
      </w:r>
      <w:r>
        <w:rPr>
          <w:rFonts w:ascii="Times New Roman" w:hAnsi="Times New Roman" w:eastAsia="方正仿宋_GBK"/>
          <w:b w:val="0"/>
          <w:sz w:val="24"/>
        </w:rPr>
        <w:t xml:space="preserve">“</w:t>
      </w:r>
      <w:r>
        <w:rPr>
          <w:rFonts w:ascii="Times New Roman" w:hAnsi="Times New Roman" w:eastAsia="方正仿宋_GBK"/>
          <w:b w:val="0"/>
          <w:sz w:val="24"/>
        </w:rPr>
        <w:t xml:space="preserve">收入成本比</w:t>
      </w:r>
      <w:r>
        <w:rPr>
          <w:rFonts w:ascii="Times New Roman" w:hAnsi="Times New Roman" w:eastAsia="方正仿宋_GBK"/>
          <w:b w:val="0"/>
          <w:sz w:val="24"/>
        </w:rPr>
        <w:t xml:space="preserve">”</w:t>
      </w:r>
      <w:r>
        <w:rPr>
          <w:rFonts w:ascii="Times New Roman" w:hAnsi="Times New Roman" w:eastAsia="方正仿宋_GBK"/>
          <w:b w:val="0"/>
          <w:sz w:val="24"/>
        </w:rPr>
        <w:t xml:space="preserve">为经济指标做方案优选，其算例含 110 kV、155 MW 负荷接入（基态线路负荷率达 84%～92%），包含高压配电网的工程比选[68]。</w:t>
      </w:r>
    </w:p>
    <w:p>
      <w:pPr>
        <w:pStyle w:val="2"/>
        <w:widowControl/>
        <w:spacing w:line="348" w:lineRule="exact" w:before="0" w:after="0"/>
        <w:ind w:firstLine="480"/>
        <w:jc w:val="both"/>
      </w:pPr>
      <w:r>
        <w:rPr>
          <w:rFonts w:ascii="Times New Roman" w:hAnsi="Times New Roman" w:eastAsia="方正仿宋_GBK"/>
          <w:b w:val="0"/>
          <w:sz w:val="24"/>
        </w:rPr>
        <w:t xml:space="preserve">在造价参数化上，武小琳等以技术/组织/环境/造价四层因子构建 LM-CNN 模型预测输变电单位容量造价，平均精度达 98%、RMSE 7.38 元/(kV·A)，为工程造价的参数化分析提供参考[69]。</w:t>
      </w:r>
    </w:p>
    <w:p>
      <w:pPr>
        <w:pStyle w:val="2"/>
        <w:widowControl/>
        <w:spacing w:line="348" w:lineRule="exact" w:before="0" w:after="0"/>
        <w:ind w:firstLine="480"/>
        <w:jc w:val="both"/>
      </w:pPr>
      <w:r>
        <w:rPr>
          <w:rFonts w:ascii="Times New Roman" w:hAnsi="Times New Roman" w:eastAsia="方正仿宋_GBK"/>
          <w:b w:val="0"/>
          <w:sz w:val="24"/>
        </w:rPr>
        <w:t xml:space="preserve">黄碧斌等辨识分布式光伏接入的成本（初投资、电网改造、维护、限电损失）与效益（降损、延缓投资、节能、环境），基于年度 8760 h 潮流分析比较电网改造和限电方案，并发现降损效益随渗透率呈U型变化：渗透率不高时降损、渗透率提高后反向潮流超过原正向潮流时损耗反而回升，不同规划情景年化综合成本最多相差近 40%[70]。评价时应结合研究目标统一费用范围和现金流时点。</w:t>
      </w:r>
    </w:p>
    <w:p>
      <w:pPr>
        <w:pStyle w:val="5"/>
        <w:keepNext/>
        <w:numPr>
          <w:numId w:val="0"/>
        </w:numPr>
        <w:spacing w:line="390" w:lineRule="exact" w:before="160" w:after="120"/>
        <w:ind w:firstLine="0"/>
      </w:pPr>
      <w:bookmarkStart w:id="56" w:name="多准则评价与差异化投资"/>
      <w:r>
        <w:rPr>
          <w:rFonts w:ascii="Times New Roman" w:hAnsi="Times New Roman" w:eastAsia="方正仿宋_GBK"/>
          <w:b/>
          <w:sz w:val="26"/>
        </w:rPr>
        <w:t xml:space="preserve">2.2.6 多准则评价与差异化投资</w:t>
      </w:r>
      <w:bookmarkEnd w:id="56"/>
    </w:p>
    <w:p>
      <w:pPr>
        <w:pStyle w:val="FirstParagraph"/>
        <w:widowControl/>
        <w:spacing w:line="348" w:lineRule="exact" w:before="0" w:after="0"/>
        <w:ind w:firstLine="480"/>
        <w:jc w:val="both"/>
      </w:pPr>
      <w:r>
        <w:rPr>
          <w:rFonts w:ascii="Times New Roman" w:hAnsi="Times New Roman" w:eastAsia="方正仿宋_GBK"/>
          <w:b w:val="0"/>
          <w:sz w:val="24"/>
        </w:rPr>
        <w:t xml:space="preserve">国内多准则评价常采用组合赋权与排序、分级方法，并根据项目功能设置评价准则。对关键安全要求，可通过否决条件约束方案选择。罗宁等以改进 AHP-CRITIC 组合赋权配合物元可拓评估对配电网做综合评价（贵州 9 市、33 项指标），直接将 110 kV 容载比纳入评价指标并给出四级分级阈值，用于区域电网分类和综合评价[15]。</w:t>
      </w:r>
    </w:p>
    <w:p>
      <w:pPr>
        <w:pStyle w:val="2"/>
        <w:widowControl/>
        <w:spacing w:line="348" w:lineRule="exact" w:before="0" w:after="0"/>
        <w:ind w:firstLine="480"/>
        <w:jc w:val="both"/>
      </w:pPr>
      <w:r>
        <w:rPr>
          <w:rFonts w:ascii="Times New Roman" w:hAnsi="Times New Roman" w:eastAsia="方正仿宋_GBK"/>
          <w:b w:val="0"/>
          <w:sz w:val="24"/>
        </w:rPr>
        <w:t xml:space="preserve">程智余等以改进 ELECTRE 法做电网规划投资多准则融合决策，将项目分为</w:t>
      </w:r>
      <w:r>
        <w:rPr>
          <w:rFonts w:ascii="Times New Roman" w:hAnsi="Times New Roman" w:eastAsia="方正仿宋_GBK"/>
          <w:b w:val="0"/>
          <w:sz w:val="24"/>
        </w:rPr>
        <w:t xml:space="preserve">“</w:t>
      </w:r>
      <w:r>
        <w:rPr>
          <w:rFonts w:ascii="Times New Roman" w:hAnsi="Times New Roman" w:eastAsia="方正仿宋_GBK"/>
          <w:b w:val="0"/>
          <w:sz w:val="24"/>
        </w:rPr>
        <w:t xml:space="preserve">安全提升型</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需求驱动型</w:t>
      </w:r>
      <w:r>
        <w:rPr>
          <w:rFonts w:ascii="Times New Roman" w:hAnsi="Times New Roman" w:eastAsia="方正仿宋_GBK"/>
          <w:b w:val="0"/>
          <w:sz w:val="24"/>
        </w:rPr>
        <w:t xml:space="preserve">”</w:t>
      </w:r>
      <w:r>
        <w:rPr>
          <w:rFonts w:ascii="Times New Roman" w:hAnsi="Times New Roman" w:eastAsia="方正仿宋_GBK"/>
          <w:b w:val="0"/>
          <w:sz w:val="24"/>
        </w:rPr>
        <w:t xml:space="preserve">，其</w:t>
      </w:r>
      <w:r>
        <w:rPr>
          <w:rFonts w:ascii="Times New Roman" w:hAnsi="Times New Roman" w:eastAsia="方正仿宋_GBK"/>
          <w:b w:val="0"/>
          <w:sz w:val="24"/>
        </w:rPr>
        <w:t xml:space="preserve">“</w:t>
      </w:r>
      <w:r>
        <w:rPr>
          <w:rFonts w:ascii="Times New Roman" w:hAnsi="Times New Roman" w:eastAsia="方正仿宋_GBK"/>
          <w:b w:val="0"/>
          <w:sz w:val="24"/>
        </w:rPr>
        <w:t xml:space="preserve">不可补偿、否决阈值</w:t>
      </w:r>
      <w:r>
        <w:rPr>
          <w:rFonts w:ascii="Times New Roman" w:hAnsi="Times New Roman" w:eastAsia="方正仿宋_GBK"/>
          <w:b w:val="0"/>
          <w:sz w:val="24"/>
        </w:rPr>
        <w:t xml:space="preserve">”</w:t>
      </w:r>
      <w:r>
        <w:rPr>
          <w:rFonts w:ascii="Times New Roman" w:hAnsi="Times New Roman" w:eastAsia="方正仿宋_GBK"/>
          <w:b w:val="0"/>
          <w:sz w:val="24"/>
        </w:rPr>
        <w:t xml:space="preserve">机制可用于剔除不满足关键要求的规划方案[16]；汪志才等的</w:t>
      </w:r>
      <w:r>
        <w:rPr>
          <w:rFonts w:ascii="Times New Roman" w:hAnsi="Times New Roman" w:eastAsia="方正仿宋_GBK"/>
          <w:b w:val="0"/>
          <w:sz w:val="24"/>
        </w:rPr>
        <w:t xml:space="preserve">“</w:t>
      </w:r>
      <w:r>
        <w:rPr>
          <w:rFonts w:ascii="Times New Roman" w:hAnsi="Times New Roman" w:eastAsia="方正仿宋_GBK"/>
          <w:b w:val="0"/>
          <w:sz w:val="24"/>
        </w:rPr>
        <w:t xml:space="preserve">考虑功能差异的输变电项目效益评价及投资优化</w:t>
      </w:r>
      <w:r>
        <w:rPr>
          <w:rFonts w:ascii="Times New Roman" w:hAnsi="Times New Roman" w:eastAsia="方正仿宋_GBK"/>
          <w:b w:val="0"/>
          <w:sz w:val="24"/>
        </w:rPr>
        <w:t xml:space="preserve">”</w:t>
      </w:r>
      <w:r>
        <w:rPr>
          <w:rFonts w:ascii="Times New Roman" w:hAnsi="Times New Roman" w:eastAsia="方正仿宋_GBK"/>
          <w:b w:val="0"/>
          <w:sz w:val="24"/>
        </w:rPr>
        <w:t xml:space="preserve">将不同项目的工程功能纳入评价[71]。</w:t>
      </w:r>
    </w:p>
    <w:p>
      <w:pPr>
        <w:pStyle w:val="5"/>
        <w:keepNext/>
        <w:numPr>
          <w:numId w:val="0"/>
        </w:numPr>
        <w:spacing w:line="390" w:lineRule="exact" w:before="160" w:after="120"/>
        <w:ind w:firstLine="0"/>
      </w:pPr>
      <w:bookmarkStart w:id="57" w:name="区域案例与分层规划"/>
      <w:r>
        <w:rPr>
          <w:rFonts w:ascii="Times New Roman" w:hAnsi="Times New Roman" w:eastAsia="方正仿宋_GBK"/>
          <w:b/>
          <w:sz w:val="26"/>
        </w:rPr>
        <w:t xml:space="preserve">2.2.7 区域案例与分层规划</w:t>
      </w:r>
      <w:bookmarkEnd w:id="57"/>
    </w:p>
    <w:p>
      <w:pPr>
        <w:pStyle w:val="FirstParagraph"/>
        <w:widowControl/>
        <w:spacing w:line="348" w:lineRule="exact" w:before="0" w:after="0"/>
        <w:ind w:firstLine="480"/>
        <w:jc w:val="both"/>
      </w:pPr>
      <w:r>
        <w:rPr>
          <w:rFonts w:ascii="Times New Roman" w:hAnsi="Times New Roman" w:eastAsia="方正仿宋_GBK"/>
          <w:b w:val="0"/>
          <w:sz w:val="24"/>
        </w:rPr>
        <w:t xml:space="preserve">区域案例将负荷预测、技术校核和工程投资结合起来。严小玉以江西兴国县为对象，构建</w:t>
      </w:r>
      <w:r>
        <w:rPr>
          <w:rFonts w:ascii="Times New Roman" w:hAnsi="Times New Roman" w:eastAsia="方正仿宋_GBK"/>
          <w:b w:val="0"/>
          <w:sz w:val="24"/>
        </w:rPr>
        <w:t xml:space="preserve">“</w:t>
      </w:r>
      <w:r>
        <w:rPr>
          <w:rFonts w:ascii="Times New Roman" w:hAnsi="Times New Roman" w:eastAsia="方正仿宋_GBK"/>
          <w:b w:val="0"/>
          <w:sz w:val="24"/>
        </w:rPr>
        <w:t xml:space="preserve">分电压层级消纳能力测算 + 多法负荷预测 + 分电压等级投资估算</w:t>
      </w:r>
      <w:r>
        <w:rPr>
          <w:rFonts w:ascii="Times New Roman" w:hAnsi="Times New Roman" w:eastAsia="方正仿宋_GBK"/>
          <w:b w:val="0"/>
          <w:sz w:val="24"/>
        </w:rPr>
        <w:t xml:space="preserve">”</w:t>
      </w:r>
      <w:r>
        <w:rPr>
          <w:rFonts w:ascii="Times New Roman" w:hAnsi="Times New Roman" w:eastAsia="方正仿宋_GBK"/>
          <w:b w:val="0"/>
          <w:sz w:val="24"/>
        </w:rPr>
        <w:t xml:space="preserve">的县域110 kV规划方法，给出丰小方式下光伏最大接入 149 MW、10 kV 及以下中压消纳能力约为总负荷的 20%～30%、</w:t>
      </w:r>
      <w:r>
        <w:rPr>
          <w:rFonts w:ascii="Times New Roman" w:hAnsi="Times New Roman" w:eastAsia="方正仿宋_GBK"/>
          <w:b w:val="0"/>
          <w:sz w:val="24"/>
        </w:rPr>
        <w:t xml:space="preserve">“</w:t>
      </w:r>
      <w:r>
        <w:rPr>
          <w:rFonts w:ascii="Times New Roman" w:hAnsi="Times New Roman" w:eastAsia="方正仿宋_GBK"/>
          <w:b w:val="0"/>
          <w:sz w:val="24"/>
        </w:rPr>
        <w:t xml:space="preserve">十三五</w:t>
      </w:r>
      <w:r>
        <w:rPr>
          <w:rFonts w:ascii="Times New Roman" w:hAnsi="Times New Roman" w:eastAsia="方正仿宋_GBK"/>
          <w:b w:val="0"/>
          <w:sz w:val="24"/>
        </w:rPr>
        <w:t xml:space="preserve">”</w:t>
      </w:r>
      <w:r>
        <w:rPr>
          <w:rFonts w:ascii="Times New Roman" w:hAnsi="Times New Roman" w:eastAsia="方正仿宋_GBK"/>
          <w:b w:val="0"/>
          <w:sz w:val="24"/>
        </w:rPr>
        <w:t xml:space="preserve">110 kV 及以下投资估算合计约 6.83 亿元（含基本/C 类/D 类三套方案对比），体现县域规划的资料组织与工程比选方法[72]。谢天祥等以浙江绍兴某含6座变电站的网格为对象，在不降低供电可靠性的条件下，节约主变1台/50 MVA、公用中压线路13条及配变64台/156 MVA，变电站层弹性度为0.93[73]；其分层规划方法及容载比变化在下一节说明。</w:t>
      </w:r>
    </w:p>
    <w:p>
      <w:pPr>
        <w:pStyle w:val="2"/>
        <w:widowControl/>
        <w:spacing w:line="348" w:lineRule="exact" w:before="0" w:after="0"/>
        <w:ind w:firstLine="480"/>
        <w:jc w:val="both"/>
      </w:pPr>
      <w:r>
        <w:rPr>
          <w:rFonts w:ascii="Times New Roman" w:hAnsi="Times New Roman" w:eastAsia="方正仿宋_GBK"/>
          <w:b w:val="0"/>
          <w:sz w:val="24"/>
        </w:rPr>
        <w:t xml:space="preserve">在渗透率/消纳测算上，陈璨等以二分法快速定位边界渗透率并以四指标</w:t>
      </w:r>
      <w:r>
        <w:rPr>
          <w:rFonts w:ascii="Times New Roman" w:hAnsi="Times New Roman" w:eastAsia="方正仿宋_GBK"/>
          <w:b w:val="0"/>
          <w:sz w:val="24"/>
        </w:rPr>
        <w:t xml:space="preserve">“</w:t>
      </w:r>
      <w:r>
        <w:rPr>
          <w:rFonts w:ascii="Times New Roman" w:hAnsi="Times New Roman" w:eastAsia="方正仿宋_GBK"/>
          <w:b w:val="0"/>
          <w:sz w:val="24"/>
        </w:rPr>
        <w:t xml:space="preserve">满意度距离</w:t>
      </w:r>
      <w:r>
        <w:rPr>
          <w:rFonts w:ascii="Times New Roman" w:hAnsi="Times New Roman" w:eastAsia="方正仿宋_GBK"/>
          <w:b w:val="0"/>
          <w:sz w:val="24"/>
        </w:rPr>
        <w:t xml:space="preserve">”</w:t>
      </w:r>
      <w:r>
        <w:rPr>
          <w:rFonts w:ascii="Times New Roman" w:hAnsi="Times New Roman" w:eastAsia="方正仿宋_GBK"/>
          <w:b w:val="0"/>
          <w:sz w:val="24"/>
        </w:rPr>
        <w:t xml:space="preserve">做承德实际系统的消纳方案择优[74]；孙东磊等以 ADMM + 二阶锥松弛做多层级配电网消纳空间分解测算，论证层间协调可提升总消纳空间（但其算例为 IEEE 6/7/9/10/12/15 合成测试系统，用于检验多层级协调方法）[75]。</w:t>
      </w:r>
    </w:p>
    <w:p>
      <w:pPr>
        <w:pStyle w:val="2"/>
        <w:widowControl/>
        <w:spacing w:line="348" w:lineRule="exact" w:before="0" w:after="0"/>
        <w:ind w:firstLine="480"/>
        <w:jc w:val="both"/>
      </w:pPr>
      <w:r>
        <w:rPr>
          <w:rFonts w:ascii="Times New Roman" w:hAnsi="Times New Roman" w:eastAsia="方正仿宋_GBK"/>
          <w:b w:val="0"/>
          <w:sz w:val="24"/>
        </w:rPr>
        <w:t xml:space="preserve">金勇等以</w:t>
      </w:r>
      <w:r>
        <w:rPr>
          <w:rFonts w:ascii="Times New Roman" w:hAnsi="Times New Roman" w:eastAsia="方正仿宋_GBK"/>
          <w:b w:val="0"/>
          <w:sz w:val="24"/>
        </w:rPr>
        <w:t xml:space="preserve">“</w:t>
      </w:r>
      <w:r>
        <w:rPr>
          <w:rFonts w:ascii="Times New Roman" w:hAnsi="Times New Roman" w:eastAsia="方正仿宋_GBK"/>
          <w:b w:val="0"/>
          <w:sz w:val="24"/>
        </w:rPr>
        <w:t xml:space="preserve">功能单元</w:t>
      </w:r>
      <w:r>
        <w:rPr>
          <w:rFonts w:ascii="Times New Roman" w:hAnsi="Times New Roman" w:eastAsia="方正仿宋_GBK"/>
          <w:b w:val="0"/>
          <w:sz w:val="24"/>
        </w:rPr>
        <w:t xml:space="preserve">”</w:t>
      </w:r>
      <w:r>
        <w:rPr>
          <w:rFonts w:ascii="Times New Roman" w:hAnsi="Times New Roman" w:eastAsia="方正仿宋_GBK"/>
          <w:b w:val="0"/>
          <w:sz w:val="24"/>
        </w:rPr>
        <w:t xml:space="preserve">概念建立某城市 110 kV 高压配电网负荷转供分层优化模型，为分析负荷转供与变电容量储备的关系提供参考[76]。</w:t>
      </w:r>
    </w:p>
    <w:p>
      <w:pPr>
        <w:pStyle w:val="2"/>
        <w:widowControl/>
        <w:spacing w:line="348" w:lineRule="exact" w:before="0" w:after="0"/>
        <w:ind w:firstLine="480"/>
        <w:jc w:val="both"/>
      </w:pPr>
      <w:r>
        <w:rPr>
          <w:rFonts w:ascii="Times New Roman" w:hAnsi="Times New Roman" w:eastAsia="方正仿宋_GBK"/>
          <w:b w:val="0"/>
          <w:sz w:val="24"/>
        </w:rPr>
        <w:t xml:space="preserve">Zhao 等还以浙江嘉兴/平湖示范区构建</w:t>
      </w:r>
      <w:r>
        <w:rPr>
          <w:rFonts w:ascii="Times New Roman" w:hAnsi="Times New Roman" w:eastAsia="方正仿宋_GBK"/>
          <w:b w:val="0"/>
          <w:sz w:val="24"/>
        </w:rPr>
        <w:t xml:space="preserve">“</w:t>
      </w:r>
      <w:r>
        <w:rPr>
          <w:rFonts w:ascii="Times New Roman" w:hAnsi="Times New Roman" w:eastAsia="方正仿宋_GBK"/>
          <w:b w:val="0"/>
          <w:sz w:val="24"/>
        </w:rPr>
        <w:t xml:space="preserve">源—网—荷—储四侧</w:t>
      </w:r>
      <w:r>
        <w:rPr>
          <w:rFonts w:ascii="Times New Roman" w:hAnsi="Times New Roman" w:eastAsia="方正仿宋_GBK"/>
          <w:b w:val="0"/>
          <w:sz w:val="24"/>
        </w:rPr>
        <w:t xml:space="preserve">”</w:t>
      </w:r>
      <w:r>
        <w:rPr>
          <w:rFonts w:ascii="Times New Roman" w:hAnsi="Times New Roman" w:eastAsia="方正仿宋_GBK"/>
          <w:b w:val="0"/>
          <w:sz w:val="24"/>
        </w:rPr>
        <w:t xml:space="preserve">投资测算模型，显示电网侧投资在四侧中占比最大（约 2312 万美元），说明电网侧工程是综合投资的重要组成部分[77]。</w:t>
      </w:r>
    </w:p>
    <w:p>
      <w:pPr>
        <w:pStyle w:val="5"/>
        <w:keepNext/>
        <w:numPr>
          <w:numId w:val="0"/>
        </w:numPr>
        <w:spacing w:line="390" w:lineRule="exact" w:before="160" w:after="120"/>
        <w:ind w:firstLine="0"/>
      </w:pPr>
      <w:bookmarkStart w:id="58" w:name="弹性规划与容载比差异化优化"/>
      <w:r>
        <w:rPr>
          <w:rFonts w:ascii="Times New Roman" w:hAnsi="Times New Roman" w:eastAsia="方正仿宋_GBK"/>
          <w:b/>
          <w:sz w:val="26"/>
        </w:rPr>
        <w:t xml:space="preserve">2.2.8 弹性规划与容载比差异化优化</w:t>
      </w:r>
      <w:bookmarkEnd w:id="58"/>
    </w:p>
    <w:p>
      <w:pPr>
        <w:pStyle w:val="FirstParagraph"/>
        <w:widowControl/>
        <w:spacing w:line="348" w:lineRule="exact" w:before="0" w:after="0"/>
        <w:ind w:firstLine="480"/>
        <w:jc w:val="both"/>
      </w:pPr>
      <w:r>
        <w:rPr>
          <w:rFonts w:ascii="Times New Roman" w:hAnsi="Times New Roman" w:eastAsia="方正仿宋_GBK"/>
          <w:b w:val="0"/>
          <w:sz w:val="24"/>
        </w:rPr>
        <w:t xml:space="preserve">谢天祥等从变电站、中压线路和配变三个层级建立</w:t>
      </w:r>
      <w:r>
        <w:rPr>
          <w:rFonts w:ascii="Times New Roman" w:hAnsi="Times New Roman" w:eastAsia="方正仿宋_GBK"/>
          <w:b w:val="0"/>
          <w:sz w:val="24"/>
        </w:rPr>
        <w:t xml:space="preserve">“</w:t>
      </w:r>
      <w:r>
        <w:rPr>
          <w:rFonts w:ascii="Times New Roman" w:hAnsi="Times New Roman" w:eastAsia="方正仿宋_GBK"/>
          <w:b w:val="0"/>
          <w:sz w:val="24"/>
        </w:rPr>
        <w:t xml:space="preserve">三级弹性</w:t>
      </w:r>
      <w:r>
        <w:rPr>
          <w:rFonts w:ascii="Times New Roman" w:hAnsi="Times New Roman" w:eastAsia="方正仿宋_GBK"/>
          <w:b w:val="0"/>
          <w:sz w:val="24"/>
        </w:rPr>
        <w:t xml:space="preserve">”</w:t>
      </w:r>
      <w:r>
        <w:rPr>
          <w:rFonts w:ascii="Times New Roman" w:hAnsi="Times New Roman" w:eastAsia="方正仿宋_GBK"/>
          <w:b w:val="0"/>
          <w:sz w:val="24"/>
        </w:rPr>
        <w:t xml:space="preserve">规划模型[73]。变电站层考虑分布式电源置信容量和储能平滑负荷、削峰填谷；中压线路层结合负荷类型、同时率和接线模式调整装接容量；配变层利用K-means聚类区分负荷特性，按相应同时率确定需求。该文表4列示，绍兴案例的公用主变总容量由660 MVA降至610 MVA，容载比由1.86降至1.72[73]。在该网格的负荷与供电条件下，分层分析减少了所需设备规模，为按网格负荷特征确定容量储备提供了案例依据。</w:t>
      </w:r>
    </w:p>
    <w:p>
      <w:pPr>
        <w:pStyle w:val="2"/>
        <w:widowControl/>
        <w:spacing w:line="348" w:lineRule="exact" w:before="0" w:after="0"/>
        <w:ind w:firstLine="480"/>
        <w:jc w:val="both"/>
      </w:pPr>
      <w:r>
        <w:rPr>
          <w:rFonts w:ascii="Times New Roman" w:hAnsi="Times New Roman" w:eastAsia="方正仿宋_GBK"/>
          <w:b w:val="0"/>
          <w:sz w:val="24"/>
        </w:rPr>
        <w:t xml:space="preserve">刘炜彬等将负荷同时性、安全运行水平和负荷发展储备纳入容载比参数优化，结合负荷增长及密度分析容量储备年限[46]；王凯亮等研究多电压等级协同规划，说明上级容量与下级网络条件需要共同考虑[44]。这些研究为容载比按片区条件调整提供了依据。</w:t>
      </w:r>
    </w:p>
    <w:p>
      <w:pPr>
        <w:pStyle w:val="2"/>
        <w:widowControl/>
        <w:spacing w:line="348" w:lineRule="exact" w:before="0" w:after="0"/>
        <w:ind w:firstLine="480"/>
        <w:jc w:val="both"/>
      </w:pPr>
      <w:r>
        <w:rPr>
          <w:rFonts w:ascii="Times New Roman" w:hAnsi="Times New Roman" w:eastAsia="方正仿宋_GBK"/>
          <w:b w:val="0"/>
          <w:sz w:val="24"/>
        </w:rPr>
        <w:t xml:space="preserve">弹性规划文献还包含极端事件下的防御和供电恢复。娄奇鹤等综述极端事件量化、韧性规划及投资评价，关注配电网面对灾害的抵御和恢复能力[78]。本研究关注一般规划上限与正反向容量需求之间的协调，以相同技术条件下的共同评价期费用确定容载比及设备组合。其与</w:t>
      </w:r>
      <w:r>
        <w:rPr>
          <w:rFonts w:ascii="Times New Roman" w:hAnsi="Times New Roman" w:eastAsia="方正仿宋_GBK"/>
          <w:b w:val="0"/>
          <w:sz w:val="24"/>
        </w:rPr>
        <w:t xml:space="preserve">“</w:t>
      </w:r>
      <w:r>
        <w:rPr>
          <w:rFonts w:ascii="Times New Roman" w:hAnsi="Times New Roman" w:eastAsia="方正仿宋_GBK"/>
          <w:b w:val="0"/>
          <w:sz w:val="24"/>
        </w:rPr>
        <w:t xml:space="preserve">三级弹性</w:t>
      </w:r>
      <w:r>
        <w:rPr>
          <w:rFonts w:ascii="Times New Roman" w:hAnsi="Times New Roman" w:eastAsia="方正仿宋_GBK"/>
          <w:b w:val="0"/>
          <w:sz w:val="24"/>
        </w:rPr>
        <w:t xml:space="preserve">”</w:t>
      </w:r>
      <w:r>
        <w:rPr>
          <w:rFonts w:ascii="Times New Roman" w:hAnsi="Times New Roman" w:eastAsia="方正仿宋_GBK"/>
          <w:b w:val="0"/>
          <w:sz w:val="24"/>
        </w:rPr>
        <w:t xml:space="preserve">研究的联系在于按运行条件调整容量配置，研究重点为110 kV容量与10 kV联络、储能的经济比选；极端灾害恢复需要另行建立故障及恢复过程模型。</w:t>
      </w:r>
    </w:p>
    <w:p>
      <w:pPr>
        <w:pStyle w:val="5"/>
        <w:keepNext/>
        <w:numPr>
          <w:numId w:val="0"/>
        </w:numPr>
        <w:spacing w:line="390" w:lineRule="exact" w:before="160" w:after="120"/>
        <w:ind w:firstLine="0"/>
      </w:pPr>
      <w:bookmarkStart w:id="59" w:name="政策与标准导向"/>
      <w:r>
        <w:rPr>
          <w:rFonts w:ascii="Times New Roman" w:hAnsi="Times New Roman" w:eastAsia="方正仿宋_GBK"/>
          <w:b/>
          <w:sz w:val="26"/>
        </w:rPr>
        <w:t xml:space="preserve">2.2.9 政策与标准导向</w:t>
      </w:r>
      <w:bookmarkEnd w:id="59"/>
    </w:p>
    <w:p>
      <w:pPr>
        <w:pStyle w:val="FirstParagraph"/>
        <w:widowControl/>
        <w:spacing w:line="348" w:lineRule="exact" w:before="0" w:after="0"/>
        <w:ind w:firstLine="480"/>
        <w:jc w:val="both"/>
      </w:pPr>
      <w:r>
        <w:rPr>
          <w:rFonts w:ascii="Times New Roman" w:hAnsi="Times New Roman" w:eastAsia="方正仿宋_GBK"/>
          <w:b w:val="0"/>
          <w:sz w:val="24"/>
        </w:rPr>
        <w:t xml:space="preserve">DL/T 5729—2023《配电网规划设计技术导则》以负荷发展、供电安全和技术经济分析为基础确定容载比，并要求重视下级网络联络与转供能力[5]。DL/T 2041—2025《分布式电源接入电力系统承载力评估导则》规定系统级及设备级承载力计算、结果校核和可开放容量评估方法[9]。GB/T 45418—2025《配电网通用技术导则》为下级配电网技术分析提供补充依据[17]。《配电网规划设计技术导则》提出分布式电源装机渗透率和分布式电源电量渗透率指标，用于判断源荷发展水平及反向容量校核需求[7]。</w:t>
      </w:r>
    </w:p>
    <w:p>
      <w:pPr>
        <w:pStyle w:val="2"/>
        <w:widowControl/>
        <w:spacing w:line="348" w:lineRule="exact" w:before="0" w:after="0"/>
        <w:ind w:firstLine="480"/>
        <w:jc w:val="both"/>
      </w:pPr>
      <w:r>
        <w:rPr>
          <w:rFonts w:ascii="Times New Roman" w:hAnsi="Times New Roman" w:eastAsia="方正仿宋_GBK"/>
          <w:b w:val="0"/>
          <w:sz w:val="24"/>
        </w:rPr>
        <w:t xml:space="preserve">政策层面，发改能源〔2024〕187号提出完善配电网承载力评估，适应分布式新能源和多元负荷接入，推进源网荷储协同[6]。发改能源〔2025〕1360号提出分档设置新能源利用率目标，并完善综合评价体系[79]。发改能源规〔2025〕624号将办电服务和配套电网建设衔接，为建设时序提供政策要求[80]。相关政策强调根据地区条件组织规划和投资。</w:t>
      </w:r>
    </w:p>
    <w:p>
      <w:pPr>
        <w:pStyle w:val="2"/>
        <w:widowControl/>
        <w:spacing w:line="348" w:lineRule="exact" w:before="0" w:after="0"/>
        <w:ind w:firstLine="480"/>
        <w:jc w:val="both"/>
      </w:pPr>
      <w:r>
        <w:rPr>
          <w:rFonts w:ascii="Times New Roman" w:hAnsi="Times New Roman" w:eastAsia="方正仿宋_GBK"/>
          <w:b w:val="0"/>
          <w:sz w:val="24"/>
        </w:rPr>
        <w:t xml:space="preserve">《加快构建新型电力系统行动方案（2024—2027年）》及《配电网高质量发展行动实施方案（2024—2027年）》提出配电网规划统筹、承载力提升及灵活资源应用任务[81][82]。《分布式光伏接入电网承载力及提升措施评估试点实施方案》与省级研究分析报告大纲规范了承载力测算和资料组织[83][84]。这些文件为片区源荷分析、容量校核和提升措施比较提供了工作依据。</w:t>
      </w:r>
    </w:p>
    <w:p>
      <w:pPr>
        <w:pStyle w:val="5"/>
        <w:keepNext/>
        <w:numPr>
          <w:numId w:val="0"/>
        </w:numPr>
        <w:spacing w:line="390" w:lineRule="exact" w:before="160" w:after="120"/>
        <w:ind w:firstLine="0"/>
      </w:pPr>
      <w:bookmarkStart w:id="60" w:name="国内研究小结"/>
      <w:r>
        <w:rPr>
          <w:rFonts w:ascii="Times New Roman" w:hAnsi="Times New Roman" w:eastAsia="方正仿宋_GBK"/>
          <w:b/>
          <w:sz w:val="26"/>
        </w:rPr>
        <w:t xml:space="preserve">2.2.10 国内研究小结</w:t>
      </w:r>
      <w:bookmarkEnd w:id="60"/>
    </w:p>
    <w:p>
      <w:pPr>
        <w:pStyle w:val="FirstParagraph"/>
        <w:widowControl/>
        <w:spacing w:line="348" w:lineRule="exact" w:before="0" w:after="0"/>
        <w:ind w:firstLine="480"/>
        <w:jc w:val="both"/>
      </w:pPr>
      <w:r>
        <w:rPr>
          <w:rFonts w:ascii="Times New Roman" w:hAnsi="Times New Roman" w:eastAsia="方正仿宋_GBK"/>
          <w:b w:val="0"/>
          <w:sz w:val="24"/>
        </w:rPr>
        <w:t xml:space="preserve">国内研究已形成多电压等级容量协同与下级网络供电能力分析，以及分层承载力评估和源网储联合规划等方法。工程应用逐步将容量储备与实际负荷分布、网络互济及投资费用联系起来，为按片区条件确定容载比提供了依据。</w:t>
      </w:r>
    </w:p>
    <w:p>
      <w:pPr>
        <w:pStyle w:val="4"/>
        <w:keepNext/>
        <w:numPr>
          <w:numId w:val="0"/>
        </w:numPr>
        <w:spacing w:line="480" w:lineRule="exact" w:before="160" w:after="120"/>
        <w:ind w:firstLine="0"/>
      </w:pPr>
      <w:bookmarkStart w:id="1139" w:name="h139"/>
      <w:bookmarkStart w:id="61" w:name="国内外研究对比与述评"/>
      <w:r>
        <w:rPr>
          <w:rFonts w:ascii="Times New Roman" w:hAnsi="Times New Roman" w:eastAsia="方正仿宋_GBK"/>
          <w:b/>
          <w:sz w:val="32"/>
        </w:rPr>
        <w:t xml:space="preserve">2.3 国内外研究对比与述评</w:t>
      </w:r>
      <w:bookmarkEnd w:id="61"/>
      <w:bookmarkEnd w:id="1139"/>
    </w:p>
    <w:p>
      <w:pPr>
        <w:pStyle w:val="FirstParagraph"/>
        <w:widowControl/>
        <w:spacing w:line="348" w:lineRule="exact" w:before="0" w:after="0"/>
        <w:ind w:firstLine="480"/>
        <w:jc w:val="both"/>
      </w:pPr>
      <w:r>
        <w:rPr>
          <w:rFonts w:ascii="Times New Roman" w:hAnsi="Times New Roman" w:eastAsia="方正仿宋_GBK"/>
          <w:b w:val="0"/>
          <w:sz w:val="24"/>
        </w:rPr>
        <w:t xml:space="preserve">国外研究侧重源荷不确定性、动态控制及灵活资源与网络扩建的经济比较；国内研究围绕容载比、供电能力、分层承载力和区域投资组织方法展开。两类研究都强调设备、网络和运行场景共同决定规划方案，费用比较需要统一评价期与费用科目。</w:t>
      </w:r>
    </w:p>
    <w:p>
      <w:pPr>
        <w:pStyle w:val="2"/>
        <w:widowControl/>
        <w:spacing w:line="348" w:lineRule="exact" w:before="0" w:after="0"/>
        <w:ind w:firstLine="480"/>
        <w:jc w:val="both"/>
      </w:pPr>
      <w:r>
        <w:rPr>
          <w:rFonts w:ascii="Times New Roman" w:hAnsi="Times New Roman" w:eastAsia="方正仿宋_GBK"/>
          <w:b w:val="0"/>
          <w:sz w:val="24"/>
        </w:rPr>
        <w:t xml:space="preserve">国内外研究主题与本项目的工程关注点见表2-1。</w:t>
      </w:r>
    </w:p>
    <w:p>
      <w:pPr>
        <w:pStyle w:val="2"/>
        <w:keepNext/>
        <w:spacing w:line="280" w:lineRule="exact" w:before="120" w:after="80"/>
        <w:ind w:firstLine="0"/>
        <w:jc w:val="center"/>
      </w:pPr>
      <w:r>
        <w:rPr>
          <w:rFonts w:ascii="Times New Roman" w:hAnsi="Times New Roman" w:eastAsia="宋体"/>
          <w:b w:val="0"/>
          <w:sz w:val="21"/>
        </w:rPr>
        <w:t xml:space="preserve">表2-1 国内外研究主题与工程应用关注点</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研究主题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本章对应小节</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工程关注点</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本课题研究内容</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承载力评价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2.1.1、2.2.2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接入容量、网络条件与评价边界</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结合110 kV容量配置开展规划比选</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运行特征</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2.1.2、2.2.3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净负荷、反向潮流与电压问题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区分区域正向净峰与站级反向峰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灵活资源与网架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储能、网络增强及协同配置</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比较主变、储能及已具备资料的局部互济</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费用与决策</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2.1.4、2.2.5及2.2.6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投资、更新、运维与差异化投资</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以统一评价期费用比较完整规划路径</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区域案例</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2.2.7、2.3</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研究尺度与案例应用</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分析邳州和市区的站级配置差异</w:t>
            </w:r>
          </w:p>
        </w:tc>
      </w:tr>
    </w:tbl>
    <w:p>
      <w:pPr>
        <w:pStyle w:val="2"/>
        <w:widowControl/>
        <w:spacing w:line="348" w:lineRule="exact" w:before="0" w:after="0"/>
        <w:ind w:firstLine="480"/>
        <w:jc w:val="both"/>
      </w:pPr>
      <w:r>
        <w:rPr>
          <w:rFonts w:ascii="Times New Roman" w:hAnsi="Times New Roman" w:eastAsia="方正仿宋_GBK"/>
          <w:b w:val="0"/>
          <w:sz w:val="24"/>
        </w:rPr>
        <w:t xml:space="preserve">在110 kV区域规划中，容载比选取需要同时联系正向供电、局部反向压力和下级网络支撑。已有研究提供了指标定义、场景处理和协同配置方法；结合徐州设备台账、站级时序和工程价格，可进一步形成适合本地条件的年度配置与投资建议。</w:t>
      </w:r>
    </w:p>
    <w:p>
      <w:pPr>
        <w:pStyle w:val="5"/>
        <w:keepNext/>
        <w:numPr>
          <w:numId w:val="0"/>
        </w:numPr>
        <w:spacing w:line="390" w:lineRule="exact" w:before="160" w:after="120"/>
        <w:ind w:firstLine="0"/>
      </w:pPr>
      <w:bookmarkStart w:id="62" w:name="承载力评估与容量规划的侧重点"/>
      <w:r>
        <w:rPr>
          <w:rFonts w:ascii="Times New Roman" w:hAnsi="Times New Roman" w:eastAsia="方正仿宋_GBK"/>
          <w:b/>
          <w:sz w:val="26"/>
        </w:rPr>
        <w:t xml:space="preserve">2.3.1 承载力评估与容量规划的侧重点</w:t>
      </w:r>
      <w:bookmarkEnd w:id="62"/>
    </w:p>
    <w:p>
      <w:pPr>
        <w:pStyle w:val="FirstParagraph"/>
        <w:widowControl/>
        <w:spacing w:line="348" w:lineRule="exact" w:before="0" w:after="0"/>
        <w:ind w:firstLine="480"/>
        <w:jc w:val="both"/>
      </w:pPr>
      <w:r>
        <w:rPr>
          <w:rFonts w:ascii="Times New Roman" w:hAnsi="Times New Roman" w:eastAsia="方正仿宋_GBK"/>
          <w:b w:val="0"/>
          <w:sz w:val="24"/>
        </w:rPr>
        <w:t xml:space="preserve">本章所列国外文献较多从光伏接入上限出发，采用概率、鲁棒优化或主动控制判断电压和设备约束；国内文献同时积累了容载比、最大供电能力、供电区域分类和工程造价研究。两类研究在数据和约束层面可以衔接：用户负荷与分布式电源出力共同决定站级正反向净负荷，变电容量与下级网络决定可供负荷，储能及联络措施在技术可行范围内影响费用。</w:t>
      </w:r>
    </w:p>
    <w:p>
      <w:pPr>
        <w:pStyle w:val="2"/>
        <w:widowControl/>
        <w:spacing w:line="348" w:lineRule="exact" w:before="0" w:after="0"/>
        <w:ind w:firstLine="480"/>
        <w:jc w:val="both"/>
      </w:pPr>
      <w:r>
        <w:rPr>
          <w:rFonts w:ascii="Times New Roman" w:hAnsi="Times New Roman" w:eastAsia="方正仿宋_GBK"/>
          <w:b w:val="0"/>
          <w:sz w:val="24"/>
        </w:rPr>
        <w:t xml:space="preserve">“</w:t>
      </w:r>
      <w:r>
        <w:rPr>
          <w:rFonts w:ascii="Times New Roman" w:hAnsi="Times New Roman" w:eastAsia="方正仿宋_GBK"/>
          <w:b w:val="0"/>
          <w:sz w:val="24"/>
        </w:rPr>
        <w:t xml:space="preserve">承载力提高</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容载比提高</w:t>
      </w:r>
      <w:r>
        <w:rPr>
          <w:rFonts w:ascii="Times New Roman" w:hAnsi="Times New Roman" w:eastAsia="方正仿宋_GBK"/>
          <w:b w:val="0"/>
          <w:sz w:val="24"/>
        </w:rPr>
        <w:t xml:space="preserve">”</w:t>
      </w:r>
      <w:r>
        <w:rPr>
          <w:rFonts w:ascii="Times New Roman" w:hAnsi="Times New Roman" w:eastAsia="方正仿宋_GBK"/>
          <w:b w:val="0"/>
          <w:sz w:val="24"/>
        </w:rPr>
        <w:t xml:space="preserve">描述不同结果。承载力提高表现为在相应网络和运行条件下可接纳更多电源；容载比提高表现为主变容量相对年网供最大负荷增加。配电网优化可能通过增强转供降低所需容量，也可能通过增加主变容量减少持续峰段储能。取值方向由约束和费用共同决定。</w:t>
      </w:r>
    </w:p>
    <w:p>
      <w:pPr>
        <w:pStyle w:val="5"/>
        <w:keepNext/>
        <w:numPr>
          <w:numId w:val="0"/>
        </w:numPr>
        <w:spacing w:line="390" w:lineRule="exact" w:before="160" w:after="120"/>
        <w:ind w:firstLine="0"/>
      </w:pPr>
      <w:bookmarkStart w:id="63" w:name="储能与网架建设的经济比较"/>
      <w:r>
        <w:rPr>
          <w:rFonts w:ascii="Times New Roman" w:hAnsi="Times New Roman" w:eastAsia="方正仿宋_GBK"/>
          <w:b/>
          <w:sz w:val="26"/>
        </w:rPr>
        <w:t xml:space="preserve">2.3.2 储能与网架建设的经济比较</w:t>
      </w:r>
      <w:bookmarkEnd w:id="63"/>
    </w:p>
    <w:p>
      <w:pPr>
        <w:pStyle w:val="FirstParagraph"/>
        <w:widowControl/>
        <w:spacing w:line="348" w:lineRule="exact" w:before="0" w:after="0"/>
        <w:ind w:firstLine="480"/>
        <w:jc w:val="both"/>
      </w:pPr>
      <w:r>
        <w:rPr>
          <w:rFonts w:ascii="Times New Roman" w:hAnsi="Times New Roman" w:eastAsia="方正仿宋_GBK"/>
          <w:b w:val="0"/>
          <w:sz w:val="24"/>
        </w:rPr>
        <w:t xml:space="preserve">储能与扩网研究表明，经济比较需要同时考虑支撑时长、寿命更新和负荷增长。短时且低频的容量缺口可由较少储能能量覆盖；连续时间较长或增长较快的负荷可能需要长期在役容量。实际线路既有余量和相邻站剩余容量也会改变替代关系。</w:t>
      </w:r>
    </w:p>
    <w:p>
      <w:pPr>
        <w:pStyle w:val="2"/>
        <w:widowControl/>
        <w:spacing w:line="348" w:lineRule="exact" w:before="0" w:after="0"/>
        <w:ind w:firstLine="480"/>
        <w:jc w:val="both"/>
      </w:pPr>
      <w:r>
        <w:rPr>
          <w:rFonts w:ascii="Times New Roman" w:hAnsi="Times New Roman" w:eastAsia="方正仿宋_GBK"/>
          <w:b w:val="0"/>
          <w:sz w:val="24"/>
        </w:rPr>
        <w:t xml:space="preserve">本项目将这些关系用于三类措施的共同寻优。主变和储能按购置规模计算投资，联络按可转负荷预算及独立工程计价；既有能力调整负荷归属时新增建设投资为零。不同措施使用同一评价期，并同步校核主变N-1条件下的供电需求，费用结果因而能够对应明确的设备配置。</w:t>
      </w:r>
    </w:p>
    <w:p>
      <w:pPr>
        <w:pStyle w:val="5"/>
        <w:keepNext/>
        <w:numPr>
          <w:numId w:val="0"/>
        </w:numPr>
        <w:spacing w:line="390" w:lineRule="exact" w:before="160" w:after="120"/>
        <w:ind w:firstLine="0"/>
      </w:pPr>
      <w:bookmarkStart w:id="64" w:name="区域案例与参数推荐表的联系"/>
      <w:r>
        <w:rPr>
          <w:rFonts w:ascii="Times New Roman" w:hAnsi="Times New Roman" w:eastAsia="方正仿宋_GBK"/>
          <w:b/>
          <w:sz w:val="26"/>
        </w:rPr>
        <w:t xml:space="preserve">2.3.3 区域案例与参数推荐表的联系</w:t>
      </w:r>
      <w:bookmarkEnd w:id="64"/>
    </w:p>
    <w:p>
      <w:pPr>
        <w:pStyle w:val="FirstParagraph"/>
        <w:widowControl/>
        <w:spacing w:line="348" w:lineRule="exact" w:before="0" w:after="0"/>
        <w:ind w:firstLine="480"/>
        <w:jc w:val="both"/>
      </w:pPr>
      <w:r>
        <w:rPr>
          <w:rFonts w:ascii="Times New Roman" w:hAnsi="Times New Roman" w:eastAsia="方正仿宋_GBK"/>
          <w:b w:val="0"/>
          <w:sz w:val="24"/>
        </w:rPr>
        <w:t xml:space="preserve">王凯亮等的差异化取值表、刘文霞等的容载比色带以及谢天祥等的三级弹性案例，都通过区域条件解释容量配置差异[44][45][73]。本项目先用邳州与市区案例分析实际源荷、设备和网络条件下的配置，再另建五站模板，独立改变源荷规模、负荷增长、转供条件、持续时间及工程费用，考察更广的参数组合。</w:t>
      </w:r>
    </w:p>
    <w:p>
      <w:pPr>
        <w:pStyle w:val="2"/>
        <w:widowControl/>
        <w:spacing w:line="348" w:lineRule="exact" w:before="0" w:after="0"/>
        <w:ind w:firstLine="480"/>
        <w:jc w:val="both"/>
      </w:pPr>
      <w:r>
        <w:rPr>
          <w:rFonts w:ascii="Times New Roman" w:hAnsi="Times New Roman" w:eastAsia="方正仿宋_GBK"/>
          <w:b w:val="0"/>
          <w:sz w:val="24"/>
        </w:rPr>
        <w:t xml:space="preserve">推荐矩阵按负荷分散系数分组，并交叉设置其余核心参数，归纳不同源荷及经济条件下的容载比区间；逐站方案说明容量取值与建设措施的联系。片区源荷条件或费用发生变化时，可以先调整对应参数档，再通过实际设备和网络条件重新确定主变、储能与联络组合。</w:t>
      </w:r>
    </w:p>
    <w:p>
      <w:pPr>
        <w:pStyle w:val="4"/>
        <w:keepNext/>
        <w:numPr>
          <w:numId w:val="0"/>
        </w:numPr>
        <w:spacing w:line="480" w:lineRule="exact" w:before="160" w:after="120"/>
        <w:ind w:firstLine="0"/>
      </w:pPr>
      <w:bookmarkStart w:id="1153" w:name="h153"/>
      <w:bookmarkStart w:id="65" w:name="容载比与供电能力的理论联系"/>
      <w:r>
        <w:rPr>
          <w:rFonts w:ascii="Times New Roman" w:hAnsi="Times New Roman" w:eastAsia="方正仿宋_GBK"/>
          <w:b/>
          <w:sz w:val="32"/>
        </w:rPr>
        <w:t xml:space="preserve">2.4 容载比与供电能力的理论联系</w:t>
      </w:r>
      <w:bookmarkEnd w:id="65"/>
      <w:bookmarkEnd w:id="1153"/>
    </w:p>
    <w:p>
      <w:pPr>
        <w:pStyle w:val="5"/>
        <w:keepNext/>
        <w:numPr>
          <w:numId w:val="0"/>
        </w:numPr>
        <w:spacing w:line="390" w:lineRule="exact" w:before="160" w:after="120"/>
        <w:ind w:firstLine="0"/>
      </w:pPr>
      <w:bookmarkStart w:id="66" w:name="区域容量储备与局部容量分布"/>
      <w:r>
        <w:rPr>
          <w:rFonts w:ascii="Times New Roman" w:hAnsi="Times New Roman" w:eastAsia="方正仿宋_GBK"/>
          <w:b/>
          <w:sz w:val="26"/>
        </w:rPr>
        <w:t xml:space="preserve">2.4.1 区域容量储备与局部容量分布</w:t>
      </w:r>
      <w:bookmarkEnd w:id="66"/>
    </w:p>
    <w:p>
      <w:pPr>
        <w:pStyle w:val="FirstParagraph"/>
        <w:widowControl/>
        <w:spacing w:line="348" w:lineRule="exact" w:before="0" w:after="0"/>
        <w:ind w:firstLine="480"/>
        <w:jc w:val="both"/>
      </w:pPr>
      <w:r>
        <w:rPr>
          <w:rFonts w:ascii="Times New Roman" w:hAnsi="Times New Roman" w:eastAsia="方正仿宋_GBK"/>
          <w:b w:val="0"/>
          <w:sz w:val="24"/>
        </w:rPr>
        <w:t xml:space="preserve">容载比用区域主变容量和年度网供峰值构造，适于观察容量总量与发展储备。主变供电能力则取决于具体站点和接线方式，在主变N-1时还需考虑剩余主变、可转负荷与相邻站剩余容量[5][8]。区域内即使有较多空余容量，若下级网络不能把重载站的负荷转接出去，仍可能需要局部增容。容载比相同的两个地区，其局部供电能力和工程需求仍受站级结构影响。</w:t>
      </w:r>
    </w:p>
    <w:p>
      <w:pPr>
        <w:pStyle w:val="2"/>
        <w:widowControl/>
        <w:spacing w:line="348" w:lineRule="exact" w:before="0" w:after="0"/>
        <w:ind w:firstLine="480"/>
        <w:jc w:val="both"/>
      </w:pPr>
      <w:r>
        <w:rPr>
          <w:rFonts w:ascii="Times New Roman" w:hAnsi="Times New Roman" w:eastAsia="方正仿宋_GBK"/>
          <w:b w:val="0"/>
          <w:sz w:val="24"/>
        </w:rPr>
        <w:t xml:space="preserve">两台等容量主变在N-1条件下剩余容量为原总容量的一半，三台等容量主变在N-1条件下剩余比例为三分之二。扩建主变可以同时改变总容量和N-1后的剩余容量，其作用需要结合主变规格和供电需求分析。本研究将主变扩建作为独立建设变量，根据预留位置确定扩建条件，并计入相应工程费用。</w:t>
      </w:r>
    </w:p>
    <w:p>
      <w:pPr>
        <w:pStyle w:val="2"/>
        <w:widowControl/>
        <w:spacing w:line="348" w:lineRule="exact" w:before="0" w:after="0"/>
        <w:ind w:firstLine="480"/>
        <w:jc w:val="both"/>
      </w:pPr>
      <w:r>
        <w:rPr>
          <w:rFonts w:ascii="Times New Roman" w:hAnsi="Times New Roman" w:eastAsia="方正仿宋_GBK"/>
          <w:b w:val="0"/>
          <w:sz w:val="24"/>
        </w:rPr>
        <w:t xml:space="preserve">主变规格的离散性会使区域容量随整台设备投运而变化。当某站所需有效供电能力小于一个推荐规格的容量增量时，采购后会形成一定储备，随后随负荷增加逐步使用，年度容载比相应下降。本项目因而将可选规格直接纳入整数模型，再由所选规格的容量合计计算年度指标。</w:t>
      </w:r>
    </w:p>
    <w:p>
      <w:pPr>
        <w:pStyle w:val="5"/>
        <w:keepNext/>
        <w:numPr>
          <w:numId w:val="0"/>
        </w:numPr>
        <w:spacing w:line="390" w:lineRule="exact" w:before="160" w:after="120"/>
        <w:ind w:firstLine="0"/>
      </w:pPr>
      <w:bookmarkStart w:id="67" w:name="中压联络对容量配置的作用"/>
      <w:r>
        <w:rPr>
          <w:rFonts w:ascii="Times New Roman" w:hAnsi="Times New Roman" w:eastAsia="方正仿宋_GBK"/>
          <w:b/>
          <w:sz w:val="26"/>
        </w:rPr>
        <w:t xml:space="preserve">2.4.2 中压联络对容量配置的作用</w:t>
      </w:r>
      <w:bookmarkEnd w:id="67"/>
    </w:p>
    <w:p>
      <w:pPr>
        <w:pStyle w:val="FirstParagraph"/>
        <w:widowControl/>
        <w:spacing w:line="348" w:lineRule="exact" w:before="0" w:after="0"/>
        <w:ind w:firstLine="480"/>
        <w:jc w:val="both"/>
      </w:pPr>
      <w:r>
        <w:rPr>
          <w:rFonts w:ascii="Times New Roman" w:hAnsi="Times New Roman" w:eastAsia="方正仿宋_GBK"/>
          <w:b w:val="0"/>
          <w:sz w:val="24"/>
        </w:rPr>
        <w:t xml:space="preserve">肖峻等研究指出，变电容载比与下一级中压网络供电能力之间存在量化联系，联络位置和负荷分布影响转带能力[8]。由于可转负荷由通道条件与两端容量共同确定，工程上需同时核实负荷能否分段、通道是否可用及受端主变是否具有余量。</w:t>
      </w:r>
    </w:p>
    <w:p>
      <w:pPr>
        <w:pStyle w:val="2"/>
        <w:widowControl/>
        <w:spacing w:line="348" w:lineRule="exact" w:before="0" w:after="0"/>
        <w:ind w:firstLine="480"/>
        <w:jc w:val="both"/>
      </w:pPr>
      <w:r>
        <w:rPr>
          <w:rFonts w:ascii="Times New Roman" w:hAnsi="Times New Roman" w:eastAsia="方正仿宋_GBK"/>
          <w:b w:val="0"/>
          <w:sz w:val="24"/>
        </w:rPr>
        <w:t xml:space="preserve">正常负荷转接使部分站原有储备能够承担邻站负荷，从而减少局部新增容量或储能需求。由于区县用户需求保持不变，在忽略线路损耗时，送出和接收成对计量并保持区域负荷总量守恒，本研究据此保留两端约束，通过设备配置变化评价联络作用。</w:t>
      </w:r>
    </w:p>
    <w:p>
      <w:pPr>
        <w:pStyle w:val="2"/>
        <w:widowControl/>
        <w:spacing w:line="348" w:lineRule="exact" w:before="0" w:after="0"/>
        <w:ind w:firstLine="480"/>
        <w:jc w:val="both"/>
      </w:pPr>
      <w:r>
        <w:rPr>
          <w:rFonts w:ascii="Times New Roman" w:hAnsi="Times New Roman" w:eastAsia="方正仿宋_GBK"/>
          <w:b w:val="0"/>
          <w:sz w:val="24"/>
        </w:rPr>
        <w:t xml:space="preserve">故障转供需要对应故障状态、恢复要求和操作条件。DL/T 5729—2023对供电区域类别及恢复供电提出不同要求[5]。本报告将转供能力落实到已知联络与付费候选，正常和各站主变N-1工况分别重新分配负荷，并校核馈线和健康邻站的剩余容量。初始转供率用于设置推广模板的既有能力预算。</w:t>
      </w:r>
    </w:p>
    <w:p>
      <w:pPr>
        <w:pStyle w:val="2"/>
        <w:widowControl/>
        <w:spacing w:line="348" w:lineRule="exact" w:before="0" w:after="0"/>
        <w:ind w:firstLine="480"/>
        <w:jc w:val="both"/>
      </w:pPr>
      <w:r>
        <w:rPr>
          <w:rFonts w:ascii="Times New Roman" w:hAnsi="Times New Roman" w:eastAsia="方正仿宋_GBK"/>
          <w:b w:val="0"/>
          <w:sz w:val="24"/>
        </w:rPr>
        <w:t xml:space="preserve">推广模板分别设置既有与新增转供能力预算。既有能力按初始转供率计取，新建联络按项目提高能力，实际使用量仍由送端可转负荷、受端容量及反向压力共同限定。工程费用决定能力不足时采用新建联络、增容或储能的组合。</w:t>
      </w:r>
    </w:p>
    <w:p>
      <w:pPr>
        <w:pStyle w:val="5"/>
        <w:keepNext/>
        <w:numPr>
          <w:numId w:val="0"/>
        </w:numPr>
        <w:spacing w:line="390" w:lineRule="exact" w:before="160" w:after="120"/>
        <w:ind w:firstLine="0"/>
      </w:pPr>
      <w:bookmarkStart w:id="68" w:name="负荷发展储备的时间特征"/>
      <w:r>
        <w:rPr>
          <w:rFonts w:ascii="Times New Roman" w:hAnsi="Times New Roman" w:eastAsia="方正仿宋_GBK"/>
          <w:b/>
          <w:sz w:val="26"/>
        </w:rPr>
        <w:t xml:space="preserve">2.4.3 负荷发展储备的时间特征</w:t>
      </w:r>
      <w:bookmarkEnd w:id="68"/>
    </w:p>
    <w:p>
      <w:pPr>
        <w:pStyle w:val="FirstParagraph"/>
        <w:widowControl/>
        <w:spacing w:line="348" w:lineRule="exact" w:before="0" w:after="0"/>
        <w:ind w:firstLine="480"/>
        <w:jc w:val="both"/>
      </w:pPr>
      <w:r>
        <w:rPr>
          <w:rFonts w:ascii="Times New Roman" w:hAnsi="Times New Roman" w:eastAsia="方正仿宋_GBK"/>
          <w:b w:val="0"/>
          <w:sz w:val="24"/>
        </w:rPr>
        <w:t xml:space="preserve">主变投运后持续在役，而负荷可能在不同年份上升或下降，因此负荷发展储备需结合规划年份确定。年度规划路径同时处理设备持续在役与负荷波动，按投运年份计取建设费用，并校核各中间年份的容量需求。</w:t>
      </w:r>
    </w:p>
    <w:p>
      <w:pPr>
        <w:pStyle w:val="2"/>
        <w:widowControl/>
        <w:spacing w:line="348" w:lineRule="exact" w:before="0" w:after="0"/>
        <w:ind w:firstLine="480"/>
        <w:jc w:val="both"/>
      </w:pPr>
      <w:r>
        <w:rPr>
          <w:rFonts w:ascii="Times New Roman" w:hAnsi="Times New Roman" w:eastAsia="方正仿宋_GBK"/>
          <w:b w:val="0"/>
          <w:sz w:val="24"/>
        </w:rPr>
        <w:t xml:space="preserve">DL/T 5729—2023按年负荷平均增长水平给出容载比建议范围[5]。本项目采用起止负荷之比开根得到年最大净负荷平均增长率，用于判断发展阶段和构造其他片区情景，而已知历史年度的地区案例直接采用对应年度实际负荷。工程预测还需结合统计范围、气象、新增用户及负荷兑现情况。</w:t>
      </w:r>
    </w:p>
    <w:p>
      <w:pPr>
        <w:pStyle w:val="2"/>
        <w:widowControl/>
        <w:spacing w:line="348" w:lineRule="exact" w:before="0" w:after="0"/>
        <w:ind w:firstLine="480"/>
        <w:jc w:val="both"/>
      </w:pPr>
      <w:r>
        <w:rPr>
          <w:rFonts w:ascii="Times New Roman" w:hAnsi="Times New Roman" w:eastAsia="方正仿宋_GBK"/>
          <w:b w:val="0"/>
          <w:sz w:val="24"/>
        </w:rPr>
        <w:t xml:space="preserve">增长参数同时影响供电需求和容载比分母。在资产非减条件下，较低增长可能使已配置容量对应较高容载比，较高增长则可能触发新的主变或储能建设，因此连续的负荷变化会通过离散措施形成台阶式配置响应，推荐矩阵据此归纳不同发展水平下的容量范围。</w:t>
      </w:r>
    </w:p>
    <w:p>
      <w:pPr>
        <w:pStyle w:val="4"/>
        <w:keepNext/>
        <w:numPr>
          <w:numId w:val="0"/>
        </w:numPr>
        <w:spacing w:line="480" w:lineRule="exact" w:before="160" w:after="120"/>
        <w:ind w:firstLine="0"/>
      </w:pPr>
      <w:bookmarkStart w:id="1167" w:name="h167"/>
      <w:bookmarkStart w:id="69" w:name="高渗透率下的源荷特征与容量压力"/>
      <w:r>
        <w:rPr>
          <w:rFonts w:ascii="Times New Roman" w:hAnsi="Times New Roman" w:eastAsia="方正仿宋_GBK"/>
          <w:b/>
          <w:sz w:val="32"/>
        </w:rPr>
        <w:t xml:space="preserve">2.5 高渗透率下的源荷特征与容量压力</w:t>
      </w:r>
      <w:bookmarkEnd w:id="69"/>
      <w:bookmarkEnd w:id="1167"/>
    </w:p>
    <w:p>
      <w:pPr>
        <w:pStyle w:val="5"/>
        <w:keepNext/>
        <w:numPr>
          <w:numId w:val="0"/>
        </w:numPr>
        <w:spacing w:line="390" w:lineRule="exact" w:before="160" w:after="120"/>
        <w:ind w:firstLine="0"/>
      </w:pPr>
      <w:bookmarkStart w:id="70" w:name="用户负荷网供负荷与净负荷"/>
      <w:r>
        <w:rPr>
          <w:rFonts w:ascii="Times New Roman" w:hAnsi="Times New Roman" w:eastAsia="方正仿宋_GBK"/>
          <w:b/>
          <w:sz w:val="26"/>
        </w:rPr>
        <w:t xml:space="preserve">2.5.1 用户负荷、网供负荷与净负荷</w:t>
      </w:r>
      <w:bookmarkEnd w:id="70"/>
    </w:p>
    <w:p>
      <w:pPr>
        <w:pStyle w:val="FirstParagraph"/>
        <w:widowControl/>
        <w:spacing w:line="348" w:lineRule="exact" w:before="0" w:after="0"/>
        <w:ind w:firstLine="480"/>
        <w:jc w:val="both"/>
      </w:pPr>
      <w:r>
        <w:rPr>
          <w:rFonts w:ascii="Times New Roman" w:hAnsi="Times New Roman" w:eastAsia="方正仿宋_GBK"/>
          <w:b w:val="0"/>
          <w:sz w:val="24"/>
        </w:rPr>
        <w:t xml:space="preserve">用户负荷描述用户实际用电需求，网供负荷描述分布式电源参与本地供电后电网承担的剩余任务，二者需按同一时段和统计范围建立源荷平衡。在忽略损耗的简化关系中，净负荷为用户用电功率减去本地发电功率，正值表示受电、负值表示反送。</w:t>
      </w:r>
    </w:p>
    <w:p>
      <w:pPr>
        <w:pStyle w:val="2"/>
        <w:widowControl/>
        <w:spacing w:line="348" w:lineRule="exact" w:before="0" w:after="0"/>
        <w:ind w:firstLine="480"/>
        <w:jc w:val="both"/>
      </w:pPr>
      <w:r>
        <w:rPr>
          <w:rFonts w:ascii="Times New Roman" w:hAnsi="Times New Roman" w:eastAsia="方正仿宋_GBK"/>
          <w:b w:val="0"/>
          <w:sz w:val="24"/>
        </w:rPr>
        <w:t xml:space="preserve">分布式电源装机渗透率的分母是用户最大负荷，容载比的分母是年网供最大负荷；前者用于表达装机与用电规模，后者用于表达主变容量与区域供电峰值[5][7]。光伏增长时，两种分母可能发生不同变化。用户负荷按同期净交换功率与本地电源出力重建。</w:t>
      </w:r>
    </w:p>
    <w:p>
      <w:pPr>
        <w:pStyle w:val="2"/>
        <w:widowControl/>
        <w:spacing w:line="348" w:lineRule="exact" w:before="0" w:after="0"/>
        <w:ind w:firstLine="480"/>
        <w:jc w:val="both"/>
      </w:pPr>
      <w:r>
        <w:rPr>
          <w:rFonts w:ascii="Times New Roman" w:hAnsi="Times New Roman" w:eastAsia="方正仿宋_GBK"/>
          <w:b w:val="0"/>
          <w:sz w:val="24"/>
        </w:rPr>
        <w:t xml:space="preserve">分布式电源电量渗透率按分布式电源发电量与用户年用电量构造，具有全年积分含义。净交换年电量按受电与反送的代数积分计算。重建用户用电量时，应将本地发电量加回同范围净交换电量，并核对其他电源、跨层级交换和损耗。第三章明确本项目估计式及其限制。</w:t>
      </w:r>
    </w:p>
    <w:p>
      <w:pPr>
        <w:pStyle w:val="5"/>
        <w:keepNext/>
        <w:numPr>
          <w:numId w:val="0"/>
        </w:numPr>
        <w:spacing w:line="390" w:lineRule="exact" w:before="160" w:after="120"/>
        <w:ind w:firstLine="0"/>
      </w:pPr>
      <w:bookmarkStart w:id="71" w:name="正反向极值的设备含义"/>
      <w:r>
        <w:rPr>
          <w:rFonts w:ascii="Times New Roman" w:hAnsi="Times New Roman" w:eastAsia="方正仿宋_GBK"/>
          <w:b/>
          <w:sz w:val="26"/>
        </w:rPr>
        <w:t xml:space="preserve">2.5.2 正反向极值的设备含义</w:t>
      </w:r>
      <w:bookmarkEnd w:id="71"/>
    </w:p>
    <w:p>
      <w:pPr>
        <w:pStyle w:val="FirstParagraph"/>
        <w:widowControl/>
        <w:spacing w:line="348" w:lineRule="exact" w:before="0" w:after="0"/>
        <w:ind w:firstLine="480"/>
        <w:jc w:val="both"/>
      </w:pPr>
      <w:r>
        <w:rPr>
          <w:rFonts w:ascii="Times New Roman" w:hAnsi="Times New Roman" w:eastAsia="方正仿宋_GBK"/>
          <w:b w:val="0"/>
          <w:sz w:val="24"/>
        </w:rPr>
        <w:t xml:space="preserve">从额定容量和电流热效应角度，正反向同幅值功率均会占用主变容量。容量压力比较可以取净负荷峰值绝对值，但电流仍取决于无功功率和电压。本研究使用0.95功率因数进行有功与视在容量折算，该值作为统一筛查假定；实际设备负载率应以同一时刻视在功率或电流资料核定[4][5]。</w:t>
      </w:r>
    </w:p>
    <w:p>
      <w:pPr>
        <w:pStyle w:val="2"/>
        <w:widowControl/>
        <w:spacing w:line="348" w:lineRule="exact" w:before="0" w:after="0"/>
        <w:ind w:firstLine="480"/>
        <w:jc w:val="both"/>
      </w:pPr>
      <w:r>
        <w:rPr>
          <w:rFonts w:ascii="Times New Roman" w:hAnsi="Times New Roman" w:eastAsia="方正仿宋_GBK"/>
          <w:b w:val="0"/>
          <w:sz w:val="24"/>
        </w:rPr>
        <w:t xml:space="preserve">正向供电安全涉及用户恢复供电，反向接入还涉及上级网络、电压和保护配合，两种场景的网络与保护条件可能不同。因此，即使用绝对峰值比较容量压力，仍需保留功率方向及对应场景，分别建立正反向净负荷约束。</w:t>
      </w:r>
    </w:p>
    <w:p>
      <w:pPr>
        <w:pStyle w:val="2"/>
        <w:widowControl/>
        <w:spacing w:line="348" w:lineRule="exact" w:before="0" w:after="0"/>
        <w:ind w:firstLine="480"/>
        <w:jc w:val="both"/>
      </w:pPr>
      <w:r>
        <w:rPr>
          <w:rFonts w:ascii="Times New Roman" w:hAnsi="Times New Roman" w:eastAsia="方正仿宋_GBK"/>
          <w:b w:val="0"/>
          <w:sz w:val="24"/>
        </w:rPr>
        <w:t xml:space="preserve">各站非同时反向峰值之和仅用于反向容量压力的上界分析；形成区域峰值时，应先在同一时间轴上逐时汇总，再取极值。</w:t>
      </w:r>
    </w:p>
    <w:p>
      <w:pPr>
        <w:pStyle w:val="5"/>
        <w:keepNext/>
        <w:numPr>
          <w:numId w:val="0"/>
        </w:numPr>
        <w:spacing w:line="390" w:lineRule="exact" w:before="160" w:after="120"/>
        <w:ind w:firstLine="0"/>
      </w:pPr>
      <w:bookmarkStart w:id="72" w:name="峰值持续时间与尖峰能量"/>
      <w:r>
        <w:rPr>
          <w:rFonts w:ascii="Times New Roman" w:hAnsi="Times New Roman" w:eastAsia="方正仿宋_GBK"/>
          <w:b/>
          <w:sz w:val="26"/>
        </w:rPr>
        <w:t xml:space="preserve">2.5.3 峰值持续时间与尖峰能量</w:t>
      </w:r>
      <w:bookmarkEnd w:id="72"/>
    </w:p>
    <w:p>
      <w:pPr>
        <w:pStyle w:val="FirstParagraph"/>
        <w:widowControl/>
        <w:spacing w:line="348" w:lineRule="exact" w:before="0" w:after="0"/>
        <w:ind w:firstLine="480"/>
        <w:jc w:val="both"/>
      </w:pPr>
      <w:r>
        <w:rPr>
          <w:rFonts w:ascii="Times New Roman" w:hAnsi="Times New Roman" w:eastAsia="方正仿宋_GBK"/>
          <w:b w:val="0"/>
          <w:sz w:val="24"/>
        </w:rPr>
        <w:t xml:space="preserve">本项目以区域净负荷绝对值达到全年最大绝对值的95%为近峰条件，统计最长连续时长和全年累计时数。最长连续时长反映单次近峰过程的持续支撑需求，累计时数反映近峰状态的全年占用时间。</w:t>
      </w:r>
    </w:p>
    <w:p>
      <w:pPr>
        <w:pStyle w:val="2"/>
        <w:widowControl/>
        <w:spacing w:line="348" w:lineRule="exact" w:before="0" w:after="0"/>
        <w:ind w:firstLine="480"/>
        <w:jc w:val="both"/>
      </w:pPr>
      <w:r>
        <w:rPr>
          <w:rFonts w:ascii="Times New Roman" w:hAnsi="Times New Roman" w:eastAsia="方正仿宋_GBK"/>
          <w:b w:val="0"/>
          <w:sz w:val="24"/>
        </w:rPr>
        <w:t xml:space="preserve">储能配置需要同时考虑缺口幅度与持续时间：相同的5 MW缺口持续1</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时，最低理想放电能量为5 MWh，持续5</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时所需能量相应增加，实际工程还需计及效率、可用荷电状态和容量衰减[28][10]。本项目据此在静态模型中，以铭牌功率和峰段可持续能量共同限制储能支撑。</w:t>
      </w:r>
    </w:p>
    <w:p>
      <w:pPr>
        <w:pStyle w:val="2"/>
        <w:widowControl/>
        <w:spacing w:line="348" w:lineRule="exact" w:before="0" w:after="0"/>
        <w:ind w:firstLine="480"/>
        <w:jc w:val="both"/>
      </w:pPr>
      <w:r>
        <w:rPr>
          <w:rFonts w:ascii="Times New Roman" w:hAnsi="Times New Roman" w:eastAsia="方正仿宋_GBK"/>
          <w:b w:val="0"/>
          <w:sz w:val="24"/>
        </w:rPr>
        <w:t xml:space="preserve">持续时间按补齐后的全年小时序列统计，数据处理见第3.1.3节。</w:t>
      </w:r>
    </w:p>
    <w:p>
      <w:pPr>
        <w:pStyle w:val="5"/>
        <w:keepNext/>
        <w:numPr>
          <w:numId w:val="0"/>
        </w:numPr>
        <w:spacing w:line="390" w:lineRule="exact" w:before="160" w:after="120"/>
        <w:ind w:firstLine="0"/>
      </w:pPr>
      <w:bookmarkStart w:id="73" w:name="分布式电源电量渗透率与负载率的相关性"/>
      <w:r>
        <w:rPr>
          <w:rFonts w:ascii="Times New Roman" w:hAnsi="Times New Roman" w:eastAsia="方正仿宋_GBK"/>
          <w:b/>
          <w:sz w:val="26"/>
        </w:rPr>
        <w:t xml:space="preserve">2.5.4 分布式电源电量渗透率与负载率的相关性</w:t>
      </w:r>
      <w:bookmarkEnd w:id="73"/>
    </w:p>
    <w:p>
      <w:pPr>
        <w:pStyle w:val="FirstParagraph"/>
        <w:widowControl/>
        <w:spacing w:line="348" w:lineRule="exact" w:before="0" w:after="0"/>
        <w:ind w:firstLine="480"/>
        <w:jc w:val="both"/>
      </w:pPr>
      <w:r>
        <w:rPr>
          <w:rFonts w:ascii="Times New Roman" w:hAnsi="Times New Roman" w:eastAsia="方正仿宋_GBK"/>
          <w:b w:val="0"/>
          <w:sz w:val="24"/>
        </w:rPr>
        <w:t xml:space="preserve">光伏增加可能降低部分日间净负荷，而年度设备最大负载率还可能由晚间高峰或局部反送决定。两项指标的相关方向受容量配置、负荷时段和统计边界共同影响[3][4][58]。</w:t>
      </w:r>
    </w:p>
    <w:p>
      <w:pPr>
        <w:pStyle w:val="2"/>
        <w:widowControl/>
        <w:spacing w:line="348" w:lineRule="exact" w:before="0" w:after="0"/>
        <w:ind w:firstLine="480"/>
        <w:jc w:val="both"/>
      </w:pPr>
      <w:r>
        <w:rPr>
          <w:rFonts w:ascii="Times New Roman" w:hAnsi="Times New Roman" w:eastAsia="方正仿宋_GBK"/>
          <w:b w:val="0"/>
          <w:sz w:val="24"/>
        </w:rPr>
        <w:t xml:space="preserve">容载比与负载率还共享容量和峰值成分。若容载比固定按区域峰值计算，负载率也按同一峰值与总容量构造，二者具有代数反比关系，该相关性源于指标的计算关系。设备统计中的逐台主变负载率的中位数与区域容载比范围不同，分别反映设备分布和区域容量储备。</w:t>
      </w:r>
    </w:p>
    <w:p>
      <w:pPr>
        <w:pStyle w:val="2"/>
        <w:widowControl/>
        <w:spacing w:line="348" w:lineRule="exact" w:before="0" w:after="0"/>
        <w:ind w:firstLine="480"/>
        <w:jc w:val="both"/>
      </w:pPr>
      <w:r>
        <w:rPr>
          <w:rFonts w:ascii="Times New Roman" w:hAnsi="Times New Roman" w:eastAsia="方正仿宋_GBK"/>
          <w:b w:val="0"/>
          <w:sz w:val="24"/>
        </w:rPr>
        <w:t xml:space="preserve">邳州和市区的年度地区指标用于比较县域与城区的源荷相对水平。对具有月度同范围资料的地区，还可计算月度关联并说明样本内性质，为扩大实际数据样本提供依据。</w:t>
      </w:r>
    </w:p>
    <w:p>
      <w:pPr>
        <w:pStyle w:val="4"/>
        <w:keepNext/>
        <w:numPr>
          <w:numId w:val="0"/>
        </w:numPr>
        <w:spacing w:line="480" w:lineRule="exact" w:before="160" w:after="120"/>
        <w:ind w:firstLine="0"/>
      </w:pPr>
      <w:bookmarkStart w:id="1184" w:name="h184"/>
      <w:bookmarkStart w:id="74" w:name="主变联络与储能的经济替代条件"/>
      <w:r>
        <w:rPr>
          <w:rFonts w:ascii="Times New Roman" w:hAnsi="Times New Roman" w:eastAsia="方正仿宋_GBK"/>
          <w:b/>
          <w:sz w:val="32"/>
        </w:rPr>
        <w:t xml:space="preserve">2.6 主变、联络与储能的经济替代条件</w:t>
      </w:r>
      <w:bookmarkEnd w:id="74"/>
      <w:bookmarkEnd w:id="1184"/>
    </w:p>
    <w:p>
      <w:pPr>
        <w:pStyle w:val="5"/>
        <w:keepNext/>
        <w:numPr>
          <w:numId w:val="0"/>
        </w:numPr>
        <w:spacing w:line="390" w:lineRule="exact" w:before="160" w:after="120"/>
        <w:ind w:firstLine="0"/>
      </w:pPr>
      <w:bookmarkStart w:id="75" w:name="供电能力与单位功率投资"/>
      <w:r>
        <w:rPr>
          <w:rFonts w:ascii="Times New Roman" w:hAnsi="Times New Roman" w:eastAsia="方正仿宋_GBK"/>
          <w:b/>
          <w:sz w:val="26"/>
        </w:rPr>
        <w:t xml:space="preserve">2.6.1 供电能力与单位功率投资</w:t>
      </w:r>
      <w:bookmarkEnd w:id="75"/>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主变增容、10 kV联络和储能配置分别通过增加变电容量、转移负荷及充放电调节改善供电条件。依据供电能力和转供能力的工程含义[5][8]，主变投资按额定容量经功率因数折算的有功功率计算，联络投资按可转负荷计算，储能投资按相应持续时间内的充放电功率计算，统一采用万元/MW。容量和转供约束确定措施可承担的负荷，单位功率投资反映各措施的相对价格。</w:t>
      </w:r>
    </w:p>
    <w:p>
      <w:pPr>
        <w:pStyle w:val="2"/>
        <w:widowControl/>
        <w:spacing w:line="348" w:lineRule="exact" w:before="0" w:after="0"/>
        <w:ind w:firstLine="480"/>
        <w:jc w:val="both"/>
      </w:pPr>
      <w:r>
        <w:rPr>
          <w:rFonts w:ascii="Times New Roman" w:hAnsi="Times New Roman" w:eastAsia="方正仿宋_GBK"/>
          <w:b w:val="0"/>
          <w:sz w:val="24"/>
        </w:rPr>
        <w:t xml:space="preserve">主变替换工程采购50 MVA、拆除原20 MVA设备时，新增容量为30 MVA。如果目标函数按新购容量计价，价格倍数应与新购主变折算有功功率对应；若说明工程每净增MW的投资，则需另按30 MVA计算。工程费用按新购容量计算，净增MW费用另用于说明替换项目的增量效果。本报告对这两种用途分别给出算式[85]。</w:t>
      </w:r>
    </w:p>
    <w:p>
      <w:pPr>
        <w:pStyle w:val="2"/>
        <w:widowControl/>
        <w:spacing w:line="348" w:lineRule="exact" w:before="0" w:after="0"/>
        <w:ind w:firstLine="480"/>
        <w:jc w:val="both"/>
      </w:pPr>
      <w:r>
        <w:rPr>
          <w:rFonts w:ascii="Times New Roman" w:hAnsi="Times New Roman" w:eastAsia="方正仿宋_GBK"/>
          <w:b w:val="0"/>
          <w:sz w:val="24"/>
        </w:rPr>
        <w:t xml:space="preserve">新增联络线的可转负荷由线路热限、负荷可分段条件和受端可用容量共同限制，因此公开线路单位造价只能提供价格参考，实际可转任务仍需由网络资料确定[8]。</w:t>
      </w:r>
    </w:p>
    <w:p>
      <w:pPr>
        <w:pStyle w:val="2"/>
        <w:widowControl/>
        <w:spacing w:line="348" w:lineRule="exact" w:before="0" w:after="0"/>
        <w:ind w:firstLine="480"/>
        <w:jc w:val="both"/>
      </w:pPr>
      <w:r>
        <w:rPr>
          <w:rFonts w:ascii="Times New Roman" w:hAnsi="Times New Roman" w:eastAsia="方正仿宋_GBK"/>
          <w:b w:val="0"/>
          <w:sz w:val="24"/>
        </w:rPr>
        <w:t xml:space="preserve">储能单位有效支撑功率投资随支撑持续时间变化。10柜组合额定功率1 MW、额定能量2.15 MWh，在可用电量系数0.76及4 h条件下，有效支撑功率为0.4085 MW。经济比较应按可持续功率折算，并保留额定功率限制[10][86]。</w:t>
      </w:r>
    </w:p>
    <w:p>
      <w:pPr>
        <w:pStyle w:val="5"/>
        <w:keepNext/>
        <w:numPr>
          <w:numId w:val="0"/>
        </w:numPr>
        <w:spacing w:line="390" w:lineRule="exact" w:before="160" w:after="120"/>
        <w:ind w:firstLine="0"/>
      </w:pPr>
      <w:bookmarkStart w:id="76" w:name="统一评价期与更新费用"/>
      <w:r>
        <w:rPr>
          <w:rFonts w:ascii="Times New Roman" w:hAnsi="Times New Roman" w:eastAsia="方正仿宋_GBK"/>
          <w:b/>
          <w:sz w:val="26"/>
        </w:rPr>
        <w:t xml:space="preserve">2.6.2 统一评价期与更新费用</w:t>
      </w:r>
      <w:bookmarkEnd w:id="76"/>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方法将初始投资、固定运维及寿命更新纳入同一评价基准[10][11][12]。当储能寿命短于网架设备且更新发生在评价期内时，更新投资会影响其替代长期容量建设的经济性，而延后投运则通过减少早期资金占用改变费用现值。</w:t>
      </w:r>
    </w:p>
    <w:p>
      <w:pPr>
        <w:pStyle w:val="2"/>
        <w:widowControl/>
        <w:spacing w:line="348" w:lineRule="exact" w:before="0" w:after="0"/>
        <w:ind w:firstLine="480"/>
        <w:jc w:val="both"/>
      </w:pPr>
      <w:r>
        <w:rPr>
          <w:rFonts w:ascii="Times New Roman" w:hAnsi="Times New Roman" w:eastAsia="方正仿宋_GBK"/>
          <w:b w:val="0"/>
          <w:sz w:val="24"/>
        </w:rPr>
        <w:t xml:space="preserve">在跨措施比较中，价格水平和工程范围应统一。徐州主变案例包含配套出线等内容，外地用户侧储能成交项目与电网侧成套工程范围不完全相同，线路价格又来自历史规划资料。模型按案例范围形成参考费用，电缆长度占比和储能支撑时间参与措施比选，实际项目采用核定概算。</w:t>
      </w:r>
    </w:p>
    <w:p>
      <w:pPr>
        <w:pStyle w:val="2"/>
        <w:widowControl/>
        <w:spacing w:line="348" w:lineRule="exact" w:before="0" w:after="0"/>
        <w:ind w:firstLine="480"/>
        <w:jc w:val="both"/>
      </w:pPr>
      <w:r>
        <w:rPr>
          <w:rFonts w:ascii="Times New Roman" w:hAnsi="Times New Roman" w:eastAsia="方正仿宋_GBK"/>
          <w:b w:val="0"/>
          <w:sz w:val="24"/>
        </w:rPr>
        <w:t xml:space="preserve">本项目采用固定实价和固定运维比例。线路费用按电缆与架空线路的长度占比加权，储能按统一采购价计费，在相同技术条件下比较措施费用。</w:t>
      </w:r>
    </w:p>
    <w:p>
      <w:pPr>
        <w:pStyle w:val="5"/>
        <w:keepNext/>
        <w:numPr>
          <w:numId w:val="0"/>
        </w:numPr>
        <w:spacing w:line="390" w:lineRule="exact" w:before="160" w:after="120"/>
        <w:ind w:firstLine="0"/>
      </w:pPr>
      <w:bookmarkStart w:id="77" w:name="技术约束先于经济优选"/>
      <w:r>
        <w:rPr>
          <w:rFonts w:ascii="Times New Roman" w:hAnsi="Times New Roman" w:eastAsia="方正仿宋_GBK"/>
          <w:b/>
          <w:sz w:val="26"/>
        </w:rPr>
        <w:t xml:space="preserve">2.6.3 技术约束先于经济优选</w:t>
      </w:r>
      <w:bookmarkEnd w:id="77"/>
    </w:p>
    <w:p>
      <w:pPr>
        <w:pStyle w:val="FirstParagraph"/>
        <w:widowControl/>
        <w:spacing w:line="348" w:lineRule="exact" w:before="0" w:after="0"/>
        <w:ind w:firstLine="480"/>
        <w:jc w:val="both"/>
      </w:pPr>
      <w:r>
        <w:rPr>
          <w:rFonts w:ascii="Times New Roman" w:hAnsi="Times New Roman" w:eastAsia="方正仿宋_GBK"/>
          <w:b w:val="0"/>
          <w:sz w:val="24"/>
        </w:rPr>
        <w:t xml:space="preserve">经济模型只在技术可行集合内选择措施。首先要明确正反向供电能力及主变N-1后剩余供电能力的计算方法，再比较设备采购和投运年份。</w:t>
      </w:r>
    </w:p>
    <w:p>
      <w:pPr>
        <w:pStyle w:val="2"/>
        <w:widowControl/>
        <w:spacing w:line="348" w:lineRule="exact" w:before="0" w:after="0"/>
        <w:ind w:firstLine="480"/>
        <w:jc w:val="both"/>
      </w:pPr>
      <w:r>
        <w:rPr>
          <w:rFonts w:ascii="Times New Roman" w:hAnsi="Times New Roman" w:eastAsia="方正仿宋_GBK"/>
          <w:b w:val="0"/>
          <w:sz w:val="24"/>
        </w:rPr>
        <w:t xml:space="preserve">多准则评价适于对已通过技术筛查的方案比较实施条件和规划适应性[14][15][16]。本报告以费用最小形成计算推荐，供电安全和设备规格作为硬约束，工程实施条件作为应用前核对项。</w:t>
      </w:r>
    </w:p>
    <w:p>
      <w:pPr>
        <w:pStyle w:val="2"/>
        <w:widowControl/>
        <w:spacing w:line="348" w:lineRule="exact" w:before="0" w:after="0"/>
        <w:ind w:firstLine="480"/>
        <w:jc w:val="both"/>
      </w:pPr>
      <w:r>
        <w:rPr>
          <w:rFonts w:ascii="Times New Roman" w:hAnsi="Times New Roman" w:eastAsia="方正仿宋_GBK"/>
          <w:b w:val="0"/>
          <w:sz w:val="24"/>
        </w:rPr>
        <w:t xml:space="preserve">在矩阵中，推荐值应与电缆长度占比、转供条件、支撑持续时间和源荷条件一起给出。同一推荐容载比可对应不同设备布局，费用相同也可能出现多组可行配置。推荐区间结合主变与储能配置、建设时序和站间负荷转接结果确定，相应方案在第五章逐站列示。</w:t>
      </w:r>
    </w:p>
    <w:p>
      <w:pPr>
        <w:pStyle w:val="4"/>
        <w:keepNext/>
        <w:numPr>
          <w:numId w:val="0"/>
        </w:numPr>
        <w:spacing w:line="480" w:lineRule="exact" w:before="160" w:after="120"/>
        <w:ind w:firstLine="0"/>
      </w:pPr>
      <w:bookmarkStart w:id="1198" w:name="h198"/>
      <w:bookmarkStart w:id="78" w:name="规划寻优方法与本项目选型"/>
      <w:r>
        <w:rPr>
          <w:rFonts w:ascii="Times New Roman" w:hAnsi="Times New Roman" w:eastAsia="方正仿宋_GBK"/>
          <w:b/>
          <w:sz w:val="32"/>
        </w:rPr>
        <w:t xml:space="preserve">2.7 规划寻优方法与本项目选型</w:t>
      </w:r>
      <w:bookmarkEnd w:id="78"/>
      <w:bookmarkEnd w:id="1198"/>
    </w:p>
    <w:p>
      <w:pPr>
        <w:pStyle w:val="5"/>
        <w:keepNext/>
        <w:numPr>
          <w:numId w:val="0"/>
        </w:numPr>
        <w:spacing w:line="390" w:lineRule="exact" w:before="160" w:after="120"/>
        <w:ind w:firstLine="0"/>
      </w:pPr>
      <w:bookmarkStart w:id="79" w:name="整数规划与工程措施选择"/>
      <w:r>
        <w:rPr>
          <w:rFonts w:ascii="Times New Roman" w:hAnsi="Times New Roman" w:eastAsia="方正仿宋_GBK"/>
          <w:b/>
          <w:sz w:val="26"/>
        </w:rPr>
        <w:t xml:space="preserve">2.7.1 整数规划与工程措施选择</w:t>
      </w:r>
      <w:bookmarkEnd w:id="79"/>
    </w:p>
    <w:p>
      <w:pPr>
        <w:pStyle w:val="FirstParagraph"/>
        <w:widowControl/>
        <w:spacing w:line="348" w:lineRule="exact" w:before="0" w:after="0"/>
        <w:ind w:firstLine="480"/>
        <w:jc w:val="both"/>
      </w:pPr>
      <w:r>
        <w:rPr>
          <w:rFonts w:ascii="Times New Roman" w:hAnsi="Times New Roman" w:eastAsia="方正仿宋_GBK"/>
          <w:b w:val="0"/>
          <w:sz w:val="24"/>
        </w:rPr>
        <w:t xml:space="preserve">混合整数规划用于同时确定主变规格与台数、储能柜数、联络工程数量及投运年份。主变按允许规格整台选购，储能按成套柜配置，联络工程按项目建设；站间转接功率则在可转负荷范围内连续调整。计算结果直接形成分年度建设规模和负荷转接安排[43][44]。</w:t>
      </w:r>
    </w:p>
    <w:p>
      <w:pPr>
        <w:pStyle w:val="2"/>
        <w:widowControl/>
        <w:spacing w:line="348" w:lineRule="exact" w:before="0" w:after="0"/>
        <w:ind w:firstLine="480"/>
        <w:jc w:val="both"/>
      </w:pPr>
      <w:r>
        <w:rPr>
          <w:rFonts w:ascii="Times New Roman" w:hAnsi="Times New Roman" w:eastAsia="方正仿宋_GBK"/>
          <w:b w:val="0"/>
          <w:sz w:val="24"/>
        </w:rPr>
        <w:t xml:space="preserve">对给定峰值持续时间，储能功率与能量折算为已知系数；主变有功供电能力按统一功率因数折算；线路负荷转接保持线性守恒。技术条件因此可以写成线性约束。本研究统一按主变N-1后满足全部转接负荷校核，供电区域类别用于确定候选设备规格和转供能力范围。</w:t>
      </w:r>
    </w:p>
    <w:p>
      <w:pPr>
        <w:pStyle w:val="2"/>
        <w:widowControl/>
        <w:spacing w:line="348" w:lineRule="exact" w:before="0" w:after="0"/>
        <w:ind w:firstLine="480"/>
        <w:jc w:val="both"/>
      </w:pPr>
      <w:r>
        <w:rPr>
          <w:rFonts w:ascii="Times New Roman" w:hAnsi="Times New Roman" w:eastAsia="方正仿宋_GBK"/>
          <w:b w:val="0"/>
          <w:sz w:val="24"/>
        </w:rPr>
        <w:t xml:space="preserve">整数规划将设备规格与工程数量直接作为决策变量，在正常运行和供电安全约束下比较措施费用，并通过连续衔接各年设备状态形成建设路径。</w:t>
      </w:r>
    </w:p>
    <w:p>
      <w:pPr>
        <w:pStyle w:val="5"/>
        <w:keepNext/>
        <w:numPr>
          <w:numId w:val="0"/>
        </w:numPr>
        <w:spacing w:line="390" w:lineRule="exact" w:before="160" w:after="120"/>
        <w:ind w:firstLine="0"/>
      </w:pPr>
      <w:bookmarkStart w:id="80" w:name="评价期费用比选与方案形成"/>
      <w:r>
        <w:rPr>
          <w:rFonts w:ascii="Times New Roman" w:hAnsi="Times New Roman" w:eastAsia="方正仿宋_GBK"/>
          <w:b/>
          <w:sz w:val="26"/>
        </w:rPr>
        <w:t xml:space="preserve">2.7.2 评价期费用比选与方案形成</w:t>
      </w:r>
      <w:bookmarkEnd w:id="80"/>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评价期费用比选在满足技术约束的可行配置中进行。主变增容、储能配置和10 kV联络采用同一评价期，建设投资、运维和设备更新按投运年份折现，设备状态与站间负荷转接共同进入规划期优化。</w:t>
      </w:r>
    </w:p>
    <w:p>
      <w:pPr>
        <w:pStyle w:val="2"/>
        <w:widowControl/>
        <w:spacing w:line="348" w:lineRule="exact" w:before="0" w:after="0"/>
        <w:ind w:firstLine="480"/>
        <w:jc w:val="both"/>
      </w:pPr>
      <w:r>
        <w:rPr>
          <w:rFonts w:ascii="Times New Roman" w:hAnsi="Times New Roman" w:eastAsia="方正仿宋_GBK"/>
          <w:b w:val="0"/>
          <w:sz w:val="24"/>
        </w:rPr>
        <w:t xml:space="preserve">刚性与弹性方案采用相同的初始资产、负荷情景和措施集合，分别满足各自容载比范围。比较结果同时列示设备配置、负荷转接与费用，使推荐容载比能够对应到具体建设方案。</w:t>
      </w:r>
    </w:p>
    <w:p>
      <w:pPr>
        <w:pStyle w:val="2"/>
        <w:widowControl/>
        <w:spacing w:line="348" w:lineRule="exact" w:before="0" w:after="0"/>
        <w:ind w:firstLine="480"/>
        <w:jc w:val="both"/>
      </w:pPr>
      <w:r>
        <w:rPr>
          <w:rFonts w:ascii="Times New Roman" w:hAnsi="Times New Roman" w:eastAsia="方正仿宋_GBK"/>
          <w:b w:val="0"/>
          <w:sz w:val="24"/>
        </w:rPr>
        <w:t xml:space="preserve">费用目标附近可能存在多组可行配置，因此每个费用结果均与其对应的设备和联络项目共同列示。</w:t>
      </w:r>
    </w:p>
    <w:p>
      <w:pPr>
        <w:pStyle w:val="5"/>
        <w:keepNext/>
        <w:numPr>
          <w:numId w:val="0"/>
        </w:numPr>
        <w:spacing w:line="390" w:lineRule="exact" w:before="160" w:after="120"/>
        <w:ind w:firstLine="0"/>
      </w:pPr>
      <w:bookmarkStart w:id="81" w:name="参数矩阵的适用范围"/>
      <w:r>
        <w:rPr>
          <w:rFonts w:ascii="Times New Roman" w:hAnsi="Times New Roman" w:eastAsia="方正仿宋_GBK"/>
          <w:b/>
          <w:sz w:val="26"/>
        </w:rPr>
        <w:t xml:space="preserve">2.7.3 参数矩阵的适用范围</w:t>
      </w:r>
      <w:bookmarkEnd w:id="81"/>
    </w:p>
    <w:p>
      <w:pPr>
        <w:pStyle w:val="FirstParagraph"/>
        <w:widowControl/>
        <w:spacing w:line="348" w:lineRule="exact" w:before="0" w:after="0"/>
        <w:ind w:firstLine="480"/>
        <w:jc w:val="both"/>
      </w:pPr>
      <w:r>
        <w:rPr>
          <w:rFonts w:ascii="Times New Roman" w:hAnsi="Times New Roman" w:eastAsia="方正仿宋_GBK"/>
          <w:b w:val="0"/>
          <w:sz w:val="24"/>
        </w:rPr>
        <w:t xml:space="preserve">连续参数变化与离散设备选择结合后，费用和容载比往往出现台阶。对已求解端点，插值得到中间价格下的费用可作描述；对设备配置和容载比推荐，中间点可能触发新的规格或储能柜数，仍需重新优化。参数外推按完整设备配置归纳推荐范围。</w:t>
      </w:r>
    </w:p>
    <w:p>
      <w:pPr>
        <w:pStyle w:val="2"/>
        <w:widowControl/>
        <w:spacing w:line="348" w:lineRule="exact" w:before="0" w:after="0"/>
        <w:ind w:firstLine="480"/>
        <w:jc w:val="both"/>
      </w:pPr>
      <w:r>
        <w:rPr>
          <w:rFonts w:ascii="Times New Roman" w:hAnsi="Times New Roman" w:eastAsia="方正仿宋_GBK"/>
          <w:b w:val="0"/>
          <w:sz w:val="24"/>
        </w:rPr>
        <w:t xml:space="preserve">本项目先以两地区资料分析运行与配置关系，再以五站网络开展参数推广，按联络、馈线及接收余量建立具体转供约束。矩阵表达指定初始设备、负荷分配及网络条件下的计算范围。应用于其他片区时，需要核对设备初态、负荷分散系数、联络路径和馈线余量，补充计算具体配置。</w:t>
      </w:r>
    </w:p>
    <w:p>
      <w:pPr>
        <w:pStyle w:val="2"/>
        <w:widowControl/>
        <w:spacing w:line="348" w:lineRule="exact" w:before="0" w:after="0"/>
        <w:ind w:firstLine="480"/>
        <w:jc w:val="both"/>
      </w:pPr>
      <w:r>
        <w:rPr>
          <w:rFonts w:ascii="Times New Roman" w:hAnsi="Times New Roman" w:eastAsia="方正仿宋_GBK"/>
          <w:b w:val="0"/>
          <w:sz w:val="24"/>
        </w:rPr>
        <w:t xml:space="preserve">反向压力外推保留电源原站归属，并使用非负用户负荷的典型场景。光伏规模变化后，反送压力相应改变；正向高峰按夜间包络保持。该构造用于分析装机增长下的双向容量需求，分布式电源电量渗透率用于描述年度供能特征。</w:t>
      </w:r>
    </w:p>
    <w:p>
      <w:pPr>
        <w:pStyle w:val="4"/>
        <w:keepNext/>
        <w:numPr>
          <w:numId w:val="0"/>
        </w:numPr>
        <w:spacing w:line="480" w:lineRule="exact" w:before="160" w:after="120"/>
        <w:ind w:firstLine="0"/>
      </w:pPr>
      <w:bookmarkStart w:id="1211" w:name="h211"/>
      <w:bookmarkStart w:id="82" w:name="本项目方法选择与工程衔接"/>
      <w:r>
        <w:rPr>
          <w:rFonts w:ascii="Times New Roman" w:hAnsi="Times New Roman" w:eastAsia="方正仿宋_GBK"/>
          <w:b/>
          <w:sz w:val="32"/>
        </w:rPr>
        <w:t xml:space="preserve">2.8 本项目方法选择与工程衔接</w:t>
      </w:r>
      <w:bookmarkEnd w:id="82"/>
      <w:bookmarkEnd w:id="1211"/>
    </w:p>
    <w:p>
      <w:pPr>
        <w:pStyle w:val="5"/>
        <w:keepNext/>
        <w:numPr>
          <w:numId w:val="0"/>
        </w:numPr>
        <w:spacing w:line="390" w:lineRule="exact" w:before="160" w:after="120"/>
        <w:ind w:firstLine="0"/>
      </w:pPr>
      <w:bookmarkStart w:id="83" w:name="运行特征与技术约束"/>
      <w:r>
        <w:rPr>
          <w:rFonts w:ascii="Times New Roman" w:hAnsi="Times New Roman" w:eastAsia="方正仿宋_GBK"/>
          <w:b/>
          <w:sz w:val="26"/>
        </w:rPr>
        <w:t xml:space="preserve">2.8.1 运行特征与技术约束</w:t>
      </w:r>
      <w:bookmarkEnd w:id="83"/>
    </w:p>
    <w:p>
      <w:pPr>
        <w:pStyle w:val="FirstParagraph"/>
        <w:widowControl/>
        <w:spacing w:line="348" w:lineRule="exact" w:before="0" w:after="0"/>
        <w:ind w:firstLine="480"/>
        <w:jc w:val="both"/>
      </w:pPr>
      <w:r>
        <w:rPr>
          <w:rFonts w:ascii="Times New Roman" w:hAnsi="Times New Roman" w:eastAsia="方正仿宋_GBK"/>
          <w:b w:val="0"/>
          <w:sz w:val="24"/>
        </w:rPr>
        <w:t xml:space="preserve">负荷与光伏研究强调日内、季节和空间分布[3][57]；供电能力研究强调主变结构及下级网络互济[8][45]。本项目据此分别提取最大正向、反向净负荷及95%峰值持续时间，构造正常运行和主变N-1容量约束。站间转接保持区县负荷总量，原站电源保留归属，转出负荷后的反向压力同步校核。</w:t>
      </w:r>
    </w:p>
    <w:p>
      <w:pPr>
        <w:pStyle w:val="5"/>
        <w:keepNext/>
        <w:numPr>
          <w:numId w:val="0"/>
        </w:numPr>
        <w:spacing w:line="390" w:lineRule="exact" w:before="160" w:after="120"/>
        <w:ind w:firstLine="0"/>
      </w:pPr>
      <w:bookmarkStart w:id="84" w:name="工程配置与费用寻优"/>
      <w:r>
        <w:rPr>
          <w:rFonts w:ascii="Times New Roman" w:hAnsi="Times New Roman" w:eastAsia="方正仿宋_GBK"/>
          <w:b/>
          <w:sz w:val="26"/>
        </w:rPr>
        <w:t xml:space="preserve">2.8.2 工程配置与费用寻优</w:t>
      </w:r>
      <w:bookmarkEnd w:id="84"/>
    </w:p>
    <w:p>
      <w:pPr>
        <w:pStyle w:val="FirstParagraph"/>
        <w:widowControl/>
        <w:spacing w:line="348" w:lineRule="exact" w:before="0" w:after="0"/>
        <w:ind w:firstLine="480"/>
        <w:jc w:val="both"/>
      </w:pPr>
      <w:r>
        <w:rPr>
          <w:rFonts w:ascii="Times New Roman" w:hAnsi="Times New Roman" w:eastAsia="方正仿宋_GBK"/>
          <w:b w:val="0"/>
          <w:sz w:val="24"/>
        </w:rPr>
        <w:t xml:space="preserve">主变规格、主变扩建位置、储能柜数和联络项目属于离散决策，站间转接功率属于连续决策，采用混合整数线性规划共同求解。工程费用按购置批次和投运年份形成现金流，以建设、固定运维与寿命更新的现值之和比较方案[10,11,12][43][44]。同一区县刚性、弹性方案使用相同仿真起点和措施集合，全部配置满足当年技术约束。</w:t>
      </w:r>
    </w:p>
    <w:p>
      <w:pPr>
        <w:pStyle w:val="5"/>
        <w:keepNext/>
        <w:numPr>
          <w:numId w:val="0"/>
        </w:numPr>
        <w:spacing w:line="390" w:lineRule="exact" w:before="160" w:after="120"/>
        <w:ind w:firstLine="0"/>
      </w:pPr>
      <w:bookmarkStart w:id="85" w:name="案例分析与通用矩阵"/>
      <w:r>
        <w:rPr>
          <w:rFonts w:ascii="Times New Roman" w:hAnsi="Times New Roman" w:eastAsia="方正仿宋_GBK"/>
          <w:b/>
          <w:sz w:val="26"/>
        </w:rPr>
        <w:t xml:space="preserve">2.8.3 案例分析与通用矩阵</w:t>
      </w:r>
      <w:bookmarkEnd w:id="85"/>
    </w:p>
    <w:p>
      <w:pPr>
        <w:pStyle w:val="FirstParagraph"/>
        <w:widowControl/>
        <w:spacing w:line="348" w:lineRule="exact" w:before="0" w:after="0"/>
        <w:ind w:firstLine="480"/>
        <w:jc w:val="both"/>
      </w:pPr>
      <w:r>
        <w:rPr>
          <w:rFonts w:ascii="Times New Roman" w:hAnsi="Times New Roman" w:eastAsia="方正仿宋_GBK"/>
          <w:b w:val="0"/>
          <w:sz w:val="24"/>
        </w:rPr>
        <w:t xml:space="preserve">案例按四年设备状态连续寻优，保留实际年度负荷变化。通用矩阵设置34686组目标年参数组合，将32112组有效结果按全部六项参数归纳为1296个单元。主变、储能与联络按统一工程价格和设备候选进行费用比选。</w:t>
      </w:r>
    </w:p>
    <w:p>
      <w:pPr>
        <w:pStyle w:val="5"/>
        <w:keepNext/>
        <w:numPr>
          <w:numId w:val="0"/>
        </w:numPr>
        <w:spacing w:line="390" w:lineRule="exact" w:before="160" w:after="120"/>
        <w:ind w:firstLine="0"/>
      </w:pPr>
      <w:bookmarkStart w:id="86" w:name="运行指标的统计范围与联合解释"/>
      <w:r>
        <w:rPr>
          <w:rFonts w:ascii="Times New Roman" w:hAnsi="Times New Roman" w:eastAsia="方正仿宋_GBK"/>
          <w:b/>
          <w:sz w:val="26"/>
        </w:rPr>
        <w:t xml:space="preserve">2.8.4 运行指标的统计范围与联合解释</w:t>
      </w:r>
      <w:bookmarkEnd w:id="86"/>
    </w:p>
    <w:p>
      <w:pPr>
        <w:pStyle w:val="FirstParagraph"/>
        <w:widowControl/>
        <w:spacing w:line="348" w:lineRule="exact" w:before="0" w:after="0"/>
        <w:ind w:firstLine="480"/>
        <w:jc w:val="both"/>
      </w:pPr>
      <w:r>
        <w:rPr>
          <w:rFonts w:ascii="Times New Roman" w:hAnsi="Times New Roman" w:eastAsia="方正仿宋_GBK"/>
          <w:b w:val="0"/>
          <w:sz w:val="24"/>
        </w:rPr>
        <w:t xml:space="preserve">容量规划所用指标可以按统计对象分为区域、变电站和设备三个层次。容载比观察区域总容量与年网供最大负荷，主变年最大负载率观察单台设备承受的负载，站间转供能力观察相邻供电范围之间可转移的负荷。同一组运行资料在不同层次下回答的问题不同，指标名称、统计范围和时间范围需要相互对应[5][8]。</w:t>
      </w:r>
    </w:p>
    <w:p>
      <w:pPr>
        <w:pStyle w:val="2"/>
        <w:widowControl/>
        <w:spacing w:line="348" w:lineRule="exact" w:before="0" w:after="0"/>
        <w:ind w:firstLine="480"/>
        <w:jc w:val="both"/>
      </w:pPr>
      <w:r>
        <w:rPr>
          <w:rFonts w:ascii="Times New Roman" w:hAnsi="Times New Roman" w:eastAsia="方正仿宋_GBK"/>
          <w:b w:val="0"/>
          <w:sz w:val="24"/>
        </w:rPr>
        <w:t xml:space="preserve">区域最大负荷应由同一时刻的负荷汇总后取最大值，各站独立最大负荷之和则用于描述所有站点各自的峰值需求。两者通过负荷分散系数联系。某站峰值出现在夏季午后，另一站峰值出现在晚间时，区域同时峰值可能低于两站独立峰值之和；各站主变仍分别需要满足本站高峰。负荷分散系数由此为区域容载比与站级容量之间的联系提供补充信息[46]。</w:t>
      </w:r>
    </w:p>
    <w:p>
      <w:pPr>
        <w:pStyle w:val="2"/>
        <w:widowControl/>
        <w:spacing w:line="348" w:lineRule="exact" w:before="0" w:after="0"/>
        <w:ind w:firstLine="480"/>
        <w:jc w:val="both"/>
      </w:pPr>
      <w:r>
        <w:rPr>
          <w:rFonts w:ascii="Times New Roman" w:hAnsi="Times New Roman" w:eastAsia="方正仿宋_GBK"/>
          <w:b w:val="0"/>
          <w:sz w:val="24"/>
        </w:rPr>
        <w:t xml:space="preserve">分布式电源装机渗透率和分布式电源电量渗透率的分子、分母分别对应容量和电量。前者将分布式电源装机与用户最大负荷比较，后者将发电量与用户用电量比较[7]。相同分布式电源装机渗透率在光伏利用小时、用户年负荷率不同的地区，会形成不同分布式电源电量渗透率。对年度电量较高但峰值相对平缓的用户，分布式电源电量渗透率可能较低；对全年用电量较少、峰值短时集中的用户，相同光伏装机可能形成较高分布式电源电量渗透率。两项指标结合使用，可以区分电源规模与全年能源供给关系。</w:t>
      </w:r>
    </w:p>
    <w:p>
      <w:pPr>
        <w:pStyle w:val="2"/>
        <w:widowControl/>
        <w:spacing w:line="348" w:lineRule="exact" w:before="0" w:after="0"/>
        <w:ind w:firstLine="480"/>
        <w:jc w:val="both"/>
      </w:pPr>
      <w:r>
        <w:rPr>
          <w:rFonts w:ascii="Times New Roman" w:hAnsi="Times New Roman" w:eastAsia="方正仿宋_GBK"/>
          <w:b w:val="0"/>
          <w:sz w:val="24"/>
        </w:rPr>
        <w:t xml:space="preserve">净负荷的正反向符号需要在功率统计中保持。正向值表示从高电压等级流向低电压等级，反向值表示低电压等级向高电压等级输送[7]。当分析设备容量压力时，可以比较两个方向的峰值幅度；当分析电量时，则需要保留符号积分。</w:t>
      </w:r>
    </w:p>
    <w:p>
      <w:pPr>
        <w:pStyle w:val="2"/>
        <w:widowControl/>
        <w:spacing w:line="348" w:lineRule="exact" w:before="0" w:after="0"/>
        <w:ind w:firstLine="480"/>
        <w:jc w:val="both"/>
      </w:pPr>
      <w:r>
        <w:rPr>
          <w:rFonts w:ascii="Times New Roman" w:hAnsi="Times New Roman" w:eastAsia="方正仿宋_GBK"/>
          <w:b w:val="0"/>
          <w:sz w:val="24"/>
        </w:rPr>
        <w:t xml:space="preserve">主变年最大负载率与用户年负荷率也需要区分。前者以设备额定容量或额定电流为基准，反映设备峰值负载；后者以用户最大负荷为基准，反映全年平均用电与峰值的关系。前者较高可能意味着设备运行余量较小，后者较高则说明用户负荷较平稳。两个名称虽接近，工程含义和计算分母均不同，正文和图表分别列示。</w:t>
      </w:r>
    </w:p>
    <w:p>
      <w:pPr>
        <w:pStyle w:val="2"/>
        <w:widowControl/>
        <w:spacing w:line="348" w:lineRule="exact" w:before="0" w:after="0"/>
        <w:ind w:firstLine="480"/>
        <w:jc w:val="both"/>
      </w:pPr>
      <w:r>
        <w:rPr>
          <w:rFonts w:ascii="Times New Roman" w:hAnsi="Times New Roman" w:eastAsia="方正仿宋_GBK"/>
          <w:b w:val="0"/>
          <w:sz w:val="24"/>
        </w:rPr>
        <w:t xml:space="preserve">在储能配置分析中，额定功率说明瞬时充放电规模，额定能量说明可存储和转换的电量，持续时间把两者联系起来。同样1 MW的储能，配置1 MWh和4 MWh时承担连续负荷的能力不同；同样2 MWh能量，0.50 MW和1 MW额定功率也对应不同持续时间。研究通过功率与能量共同约束进行比较。</w:t>
      </w:r>
    </w:p>
    <w:p>
      <w:pPr>
        <w:pStyle w:val="5"/>
        <w:keepNext/>
        <w:numPr>
          <w:numId w:val="0"/>
        </w:numPr>
        <w:spacing w:line="390" w:lineRule="exact" w:before="160" w:after="120"/>
        <w:ind w:firstLine="0"/>
      </w:pPr>
      <w:bookmarkStart w:id="87" w:name="参数分档与文献方法的衔接"/>
      <w:r>
        <w:rPr>
          <w:rFonts w:ascii="Times New Roman" w:hAnsi="Times New Roman" w:eastAsia="方正仿宋_GBK"/>
          <w:b/>
          <w:sz w:val="26"/>
        </w:rPr>
        <w:t xml:space="preserve">2.8.5 参数分档与文献方法的衔接</w:t>
      </w:r>
      <w:bookmarkEnd w:id="87"/>
    </w:p>
    <w:p>
      <w:pPr>
        <w:pStyle w:val="FirstParagraph"/>
        <w:widowControl/>
        <w:spacing w:line="348" w:lineRule="exact" w:before="0" w:after="0"/>
        <w:ind w:firstLine="480"/>
        <w:jc w:val="both"/>
      </w:pPr>
      <w:r>
        <w:rPr>
          <w:rFonts w:ascii="Times New Roman" w:hAnsi="Times New Roman" w:eastAsia="方正仿宋_GBK"/>
          <w:b w:val="0"/>
          <w:sz w:val="24"/>
        </w:rPr>
        <w:t xml:space="preserve">王凯亮等按负荷密度与增长水平给出差异化容载比建议[44]，刘炜彬等从负荷分散系数、安全运行及发展储备等因素分析参数取值[46]。这些研究强调容量储备与地区条件的对应关系。本报告采用分布式电源装机渗透率、年最大净负荷平均增长率、电缆长度占比、初始转供率、储能支撑持续时间及负荷分散系数作为主矩阵输入，供电区域类别及设备条件用于解释应用范围。</w:t>
      </w:r>
    </w:p>
    <w:p>
      <w:pPr>
        <w:pStyle w:val="2"/>
        <w:widowControl/>
        <w:spacing w:line="348" w:lineRule="exact" w:before="0" w:after="0"/>
        <w:ind w:firstLine="480"/>
        <w:jc w:val="both"/>
      </w:pPr>
      <w:r>
        <w:rPr>
          <w:rFonts w:ascii="Times New Roman" w:hAnsi="Times New Roman" w:eastAsia="方正仿宋_GBK"/>
          <w:b w:val="0"/>
          <w:sz w:val="24"/>
        </w:rPr>
        <w:t xml:space="preserve">DL/T 5729—2023表6.3.4的年负荷平均增长率区间依次为不大于2%、大于2%且不大于4%、大于4%且不大于7%、大于7%。本报告沿用这些增长分界，并参照首尾开口形式设置其他输入参数的研究分档，分别说明输入定义域和有限计算节点的验证范围。</w:t>
      </w:r>
    </w:p>
    <w:p>
      <w:pPr>
        <w:pStyle w:val="2"/>
        <w:widowControl/>
        <w:spacing w:line="348" w:lineRule="exact" w:before="0" w:after="0"/>
        <w:ind w:firstLine="480"/>
        <w:jc w:val="both"/>
      </w:pPr>
      <w:r>
        <w:rPr>
          <w:rFonts w:ascii="Times New Roman" w:hAnsi="Times New Roman" w:eastAsia="方正仿宋_GBK"/>
          <w:b w:val="0"/>
          <w:sz w:val="24"/>
        </w:rPr>
        <w:t xml:space="preserve">各单元的容载比范围由已核验配置归纳，具体取值对应允许主变规格和台数形成的离散配置。规划应用先核对输入与模板条件，再将容量规模落实到设备、联络及储能方案[43][44]。</w:t>
      </w:r>
    </w:p>
    <w:p>
      <w:pPr>
        <w:pStyle w:val="5"/>
        <w:keepNext/>
        <w:numPr>
          <w:numId w:val="0"/>
        </w:numPr>
        <w:spacing w:line="390" w:lineRule="exact" w:before="160" w:after="120"/>
        <w:ind w:firstLine="0"/>
      </w:pPr>
      <w:bookmarkStart w:id="88" w:name="技术经济结论的比较层次"/>
      <w:r>
        <w:rPr>
          <w:rFonts w:ascii="Times New Roman" w:hAnsi="Times New Roman" w:eastAsia="方正仿宋_GBK"/>
          <w:b/>
          <w:sz w:val="26"/>
        </w:rPr>
        <w:t xml:space="preserve">2.8.6 技术经济结论的比较层次</w:t>
      </w:r>
      <w:bookmarkEnd w:id="88"/>
    </w:p>
    <w:p>
      <w:pPr>
        <w:pStyle w:val="FirstParagraph"/>
        <w:widowControl/>
        <w:spacing w:line="348" w:lineRule="exact" w:before="0" w:after="0"/>
        <w:ind w:firstLine="480"/>
        <w:jc w:val="both"/>
      </w:pPr>
      <w:r>
        <w:rPr>
          <w:rFonts w:ascii="Times New Roman" w:hAnsi="Times New Roman" w:eastAsia="方正仿宋_GBK"/>
          <w:b w:val="0"/>
          <w:sz w:val="24"/>
        </w:rPr>
        <w:t xml:space="preserve">文献对储能与网架建设的经济比较采用不同评价范围：初始投资适合解释设备采购和工程规模，计及运行、更新和寿命的评价期费用适合比较不同建设年份及运维水平，而包含收益的财务分析还需电价、运行策略和市场机制[30][28][10]。使用这些研究结论时，应先明确评价目的及相应现金流范围。</w:t>
      </w:r>
    </w:p>
    <w:p>
      <w:pPr>
        <w:pStyle w:val="2"/>
        <w:widowControl/>
        <w:spacing w:line="348" w:lineRule="exact" w:before="0" w:after="0"/>
        <w:ind w:firstLine="480"/>
        <w:jc w:val="both"/>
      </w:pPr>
      <w:r>
        <w:rPr>
          <w:rFonts w:ascii="Times New Roman" w:hAnsi="Times New Roman" w:eastAsia="方正仿宋_GBK"/>
          <w:b w:val="0"/>
          <w:sz w:val="24"/>
        </w:rPr>
        <w:t xml:space="preserve">本报告以新增措施费用为主要比较对象，主变、储能与线路在同一评价期内折现。工程价格通过实际建设投资、公开规划造价和储能采购项目形成，单位功率投资比进一步反映措施之间的相对价格。站级容量和转供条件决定各措施能够承担的负荷，费用目标比较相应建设组合。</w:t>
      </w:r>
    </w:p>
    <w:p>
      <w:pPr>
        <w:pStyle w:val="2"/>
        <w:widowControl/>
        <w:spacing w:line="348" w:lineRule="exact" w:before="0" w:after="0"/>
        <w:ind w:firstLine="480"/>
        <w:jc w:val="both"/>
      </w:pPr>
      <w:r>
        <w:rPr>
          <w:rFonts w:ascii="Times New Roman" w:hAnsi="Times New Roman" w:eastAsia="方正仿宋_GBK"/>
          <w:b w:val="0"/>
          <w:sz w:val="24"/>
        </w:rPr>
        <w:t xml:space="preserve">对新增线路，价格下降可能只降低既定建设规模的费用；对储能，价格下降则可能使部分容量缺口由储能承担，从而减少主变建设。两种响应分别体现价格对既定方案费用和设备选择的影响。本报告在第五章分别列示容载比、设备规模和费用变化。</w:t>
      </w:r>
    </w:p>
    <w:p>
      <w:pPr>
        <w:pStyle w:val="4"/>
        <w:keepNext/>
        <w:numPr>
          <w:numId w:val="0"/>
        </w:numPr>
        <w:spacing w:line="480" w:lineRule="exact" w:before="160" w:after="120"/>
        <w:ind w:firstLine="0"/>
      </w:pPr>
      <w:bookmarkStart w:id="1233" w:name="h233"/>
      <w:bookmarkStart w:id="89" w:name="本章小结"/>
      <w:r>
        <w:rPr>
          <w:rFonts w:ascii="Times New Roman" w:hAnsi="Times New Roman" w:eastAsia="方正仿宋_GBK"/>
          <w:b/>
          <w:sz w:val="32"/>
        </w:rPr>
        <w:t xml:space="preserve">2.9 本章小结</w:t>
      </w:r>
      <w:bookmarkEnd w:id="89"/>
      <w:bookmarkEnd w:id="1233"/>
    </w:p>
    <w:p>
      <w:pPr>
        <w:pStyle w:val="FirstParagraph"/>
        <w:widowControl/>
        <w:spacing w:line="348" w:lineRule="exact" w:before="0" w:after="0"/>
        <w:ind w:firstLine="480"/>
        <w:jc w:val="both"/>
      </w:pPr>
      <w:r>
        <w:rPr>
          <w:rFonts w:ascii="Times New Roman" w:hAnsi="Times New Roman" w:eastAsia="方正仿宋_GBK"/>
          <w:b w:val="0"/>
          <w:sz w:val="24"/>
        </w:rPr>
        <w:t xml:space="preserve">相关研究表明，源荷时段关系决定正反向运行任务，主变结构和下级网络影响局部供电能力，储能与网架的替代选择还受持续时间及工程费用影响。本研究据此将地区运行资料和实际工程价格纳入同一规划模型：第三章确定源荷及设备条件，第四章建立各类措施费用，第五章在相同约束下比较配置，并用五站模板归纳不同参数条件下的推荐范围。</w:t>
      </w:r>
    </w:p>
    <w:p>
      <w:pPr>
        <w:pStyle w:val="3"/>
        <w:keepNext/>
        <w:pageBreakBefore/>
        <w:numPr>
          <w:numId w:val="0"/>
        </w:numPr>
        <w:spacing w:line="540" w:lineRule="exact" w:before="0" w:after="120"/>
        <w:ind w:firstLine="0"/>
      </w:pPr>
      <w:bookmarkStart w:id="1235" w:name="h235"/>
      <w:bookmarkStart w:id="90" w:name="第三章-徐州典型地区运行特征分析"/>
      <w:r>
        <w:rPr>
          <w:rFonts w:ascii="Times New Roman" w:hAnsi="Times New Roman" w:eastAsia="方正仿宋_GBK"/>
          <w:b/>
          <w:sz w:val="36"/>
        </w:rPr>
        <w:t xml:space="preserve">第三章 徐州典型地区运行特征分析</w:t>
      </w:r>
      <w:bookmarkEnd w:id="90"/>
      <w:bookmarkEnd w:id="1235"/>
    </w:p>
    <w:p>
      <w:pPr>
        <w:pStyle w:val="4"/>
        <w:keepNext/>
        <w:numPr>
          <w:numId w:val="0"/>
        </w:numPr>
        <w:spacing w:line="480" w:lineRule="exact" w:before="160" w:after="120"/>
        <w:ind w:firstLine="0"/>
      </w:pPr>
      <w:bookmarkStart w:id="1236" w:name="h236"/>
      <w:bookmarkStart w:id="91" w:name="研究地区与原始资料"/>
      <w:r>
        <w:rPr>
          <w:rFonts w:ascii="Times New Roman" w:hAnsi="Times New Roman" w:eastAsia="方正仿宋_GBK"/>
          <w:b/>
          <w:sz w:val="32"/>
        </w:rPr>
        <w:t xml:space="preserve">3.1 研究地区与原始资料</w:t>
      </w:r>
      <w:bookmarkEnd w:id="91"/>
      <w:bookmarkEnd w:id="1236"/>
    </w:p>
    <w:p>
      <w:pPr>
        <w:pStyle w:val="5"/>
        <w:keepNext/>
        <w:numPr>
          <w:numId w:val="0"/>
        </w:numPr>
        <w:spacing w:line="390" w:lineRule="exact" w:before="160" w:after="120"/>
        <w:ind w:firstLine="0"/>
      </w:pPr>
      <w:bookmarkStart w:id="92" w:name="地区选择及比较范围"/>
      <w:r>
        <w:rPr>
          <w:rFonts w:ascii="Times New Roman" w:hAnsi="Times New Roman" w:eastAsia="方正仿宋_GBK"/>
          <w:b/>
          <w:sz w:val="26"/>
        </w:rPr>
        <w:t xml:space="preserve">3.1.1 地区选择及比较范围</w:t>
      </w:r>
      <w:bookmarkEnd w:id="92"/>
    </w:p>
    <w:p>
      <w:pPr>
        <w:pStyle w:val="FirstParagraph"/>
        <w:widowControl/>
        <w:spacing w:line="348" w:lineRule="exact" w:before="0" w:after="0"/>
        <w:ind w:firstLine="480"/>
        <w:jc w:val="both"/>
      </w:pPr>
      <w:r>
        <w:rPr>
          <w:rFonts w:ascii="Times New Roman" w:hAnsi="Times New Roman" w:eastAsia="方正仿宋_GBK"/>
          <w:b w:val="0"/>
          <w:sz w:val="24"/>
        </w:rPr>
        <w:t xml:space="preserve">本研究以邳州和市区为规划计算对象。两类规划方案在同一区县使用相同负荷及仿真起点，区县间保留各自设备结构、供电区域类别和负荷分布。</w:t>
      </w:r>
    </w:p>
    <w:p>
      <w:pPr>
        <w:pStyle w:val="2"/>
        <w:widowControl/>
        <w:spacing w:line="348" w:lineRule="exact" w:before="0" w:after="0"/>
        <w:ind w:firstLine="480"/>
        <w:jc w:val="both"/>
      </w:pPr>
      <w:r>
        <w:rPr>
          <w:rFonts w:ascii="Times New Roman" w:hAnsi="Times New Roman" w:eastAsia="方正仿宋_GBK"/>
          <w:b w:val="0"/>
          <w:sz w:val="24"/>
        </w:rPr>
        <w:t xml:space="preserve">站级图表列示邳州20座和市区26座具有设备对应资料的110 kV变电站，覆盖主变配置、负荷水平及正反向运行特征。市区年度负荷采用同一行政范围的110 kV降压负荷统计，站级资料用于分析负荷在各站之间的分布。区域容载比按同一区县、同一电压等级统计，各站独立峰值用于现状压力分析，规划工况另按同一时刻的站级分布组织[5]。</w:t>
      </w:r>
    </w:p>
    <w:p>
      <w:pPr>
        <w:pStyle w:val="5"/>
        <w:keepNext/>
        <w:numPr>
          <w:numId w:val="0"/>
        </w:numPr>
        <w:spacing w:line="390" w:lineRule="exact" w:before="160" w:after="120"/>
        <w:ind w:firstLine="0"/>
      </w:pPr>
      <w:bookmarkStart w:id="93" w:name="历史分析与规划参数的衔接"/>
      <w:r>
        <w:rPr>
          <w:rFonts w:ascii="Times New Roman" w:hAnsi="Times New Roman" w:eastAsia="方正仿宋_GBK"/>
          <w:b/>
          <w:sz w:val="26"/>
        </w:rPr>
        <w:t xml:space="preserve">3.1.2 历史分析与规划参数的衔接</w:t>
      </w:r>
      <w:bookmarkEnd w:id="93"/>
    </w:p>
    <w:p>
      <w:pPr>
        <w:pStyle w:val="FirstParagraph"/>
        <w:widowControl/>
        <w:spacing w:line="348" w:lineRule="exact" w:before="0" w:after="0"/>
        <w:ind w:firstLine="480"/>
        <w:jc w:val="both"/>
      </w:pPr>
      <w:r>
        <w:rPr>
          <w:rFonts w:ascii="Times New Roman" w:hAnsi="Times New Roman" w:eastAsia="方正仿宋_GBK"/>
          <w:b w:val="0"/>
          <w:sz w:val="24"/>
        </w:rPr>
        <w:t xml:space="preserve">本章从历史负荷、光伏及设备结构提取规划仿真参数，将年度区域负荷统一换算为MW，作为年网供最大负荷估计值。规划站级正向、反向净负荷采用2025年分布并按仿真年度规模缩放，光伏装机图表则以2023—2025年月末记录为基础，对缺少记录的2021—2022年作几何回推。</w:t>
      </w:r>
    </w:p>
    <w:p>
      <w:pPr>
        <w:pStyle w:val="2"/>
        <w:widowControl/>
        <w:spacing w:line="348" w:lineRule="exact" w:before="0" w:after="0"/>
        <w:ind w:firstLine="480"/>
        <w:jc w:val="both"/>
      </w:pPr>
      <w:r>
        <w:rPr>
          <w:rFonts w:ascii="Times New Roman" w:hAnsi="Times New Roman" w:eastAsia="方正仿宋_GBK"/>
          <w:b w:val="0"/>
          <w:sz w:val="24"/>
        </w:rPr>
        <w:t xml:space="preserve">本章以历史容量和负荷分析现状，第五章则在各地区共同初始设备和2021年实际负荷下开展规划回算，基期容载比均约为2.00，后续容量由逐年优化确定。设备统计用于设置允许规格、供电区域类别及主变扩建位置，两类方案的正常负荷调整共用相同仿真通道。</w:t>
      </w:r>
    </w:p>
    <w:p>
      <w:pPr>
        <w:pStyle w:val="5"/>
        <w:keepNext/>
        <w:numPr>
          <w:numId w:val="0"/>
        </w:numPr>
        <w:spacing w:line="390" w:lineRule="exact" w:before="160" w:after="120"/>
        <w:ind w:firstLine="0"/>
      </w:pPr>
      <w:bookmarkStart w:id="94" w:name="时序处理与模型适用范围"/>
      <w:r>
        <w:rPr>
          <w:rFonts w:ascii="Times New Roman" w:hAnsi="Times New Roman" w:eastAsia="方正仿宋_GBK"/>
          <w:b/>
          <w:sz w:val="26"/>
        </w:rPr>
        <w:t xml:space="preserve">3.1.3 时序处理与模型适用范围</w:t>
      </w:r>
      <w:bookmarkEnd w:id="94"/>
    </w:p>
    <w:p>
      <w:pPr>
        <w:pStyle w:val="FirstParagraph"/>
        <w:widowControl/>
        <w:spacing w:line="348" w:lineRule="exact" w:before="0" w:after="0"/>
        <w:ind w:firstLine="480"/>
        <w:jc w:val="both"/>
      </w:pPr>
      <w:r>
        <w:rPr>
          <w:rFonts w:ascii="Times New Roman" w:hAnsi="Times New Roman" w:eastAsia="方正仿宋_GBK"/>
          <w:b w:val="0"/>
          <w:sz w:val="24"/>
        </w:rPr>
        <w:t xml:space="preserve">容量、功率、电量分别使用MVA、MW、MWh，净功率受入为正、反送为负。年度电量统一在2025年非闰年8760小时轴上估计。缺失记录补齐后统一形成8760小时序列：邳州采用相邻小时均值，市区采用相邻周同星期、同时刻的观测均值。</w:t>
      </w:r>
    </w:p>
    <w:p>
      <w:pPr>
        <w:pStyle w:val="2"/>
        <w:widowControl/>
        <w:spacing w:line="348" w:lineRule="exact" w:before="0" w:after="0"/>
        <w:ind w:firstLine="480"/>
        <w:jc w:val="both"/>
      </w:pPr>
      <w:r>
        <w:rPr>
          <w:rFonts w:ascii="Times New Roman" w:hAnsi="Times New Roman" w:eastAsia="方正仿宋_GBK"/>
          <w:b w:val="0"/>
          <w:sz w:val="24"/>
        </w:rPr>
        <w:t xml:space="preserve">95%峰值持续时间描述补齐后区域曲线的连续近峰事件，年度电量估计用于源荷背景分析。地区案例提取区域正向峰值、最低净负荷及各站局部极值的同期截面，市区45个、邳州26个，每个截面保留全部站点的同期功率。正向储能支撑持续时间分别取邳州2 h、市区6 h。</w:t>
      </w:r>
    </w:p>
    <w:p>
      <w:pPr>
        <w:pStyle w:val="4"/>
        <w:keepNext/>
        <w:numPr>
          <w:numId w:val="0"/>
        </w:numPr>
        <w:spacing w:line="480" w:lineRule="exact" w:before="160" w:after="120"/>
        <w:ind w:firstLine="0"/>
      </w:pPr>
      <w:bookmarkStart w:id="1246" w:name="h246"/>
      <w:bookmarkStart w:id="95" w:name="年度容量负荷与增长特征"/>
      <w:r>
        <w:rPr>
          <w:rFonts w:ascii="Times New Roman" w:hAnsi="Times New Roman" w:eastAsia="方正仿宋_GBK"/>
          <w:b/>
          <w:sz w:val="32"/>
        </w:rPr>
        <w:t xml:space="preserve">3.2 年度容量、负荷与增长特征</w:t>
      </w:r>
      <w:bookmarkEnd w:id="95"/>
      <w:bookmarkEnd w:id="1246"/>
    </w:p>
    <w:p>
      <w:pPr>
        <w:pStyle w:val="5"/>
        <w:keepNext/>
        <w:numPr>
          <w:numId w:val="0"/>
        </w:numPr>
        <w:spacing w:line="390" w:lineRule="exact" w:before="160" w:after="120"/>
        <w:ind w:firstLine="0"/>
      </w:pPr>
      <w:bookmarkStart w:id="96" w:name="邳州年度变化"/>
      <w:r>
        <w:rPr>
          <w:rFonts w:ascii="Times New Roman" w:hAnsi="Times New Roman" w:eastAsia="方正仿宋_GBK"/>
          <w:b/>
          <w:sz w:val="26"/>
        </w:rPr>
        <w:t xml:space="preserve">3.2.1 邳州年度变化</w:t>
      </w:r>
      <w:bookmarkEnd w:id="96"/>
    </w:p>
    <w:p>
      <w:pPr>
        <w:pStyle w:val="FirstParagraph"/>
        <w:widowControl/>
        <w:spacing w:line="348" w:lineRule="exact" w:before="0" w:after="0"/>
        <w:ind w:firstLine="480"/>
        <w:jc w:val="both"/>
      </w:pPr>
      <w:r>
        <w:rPr>
          <w:rFonts w:ascii="Times New Roman" w:hAnsi="Times New Roman" w:eastAsia="方正仿宋_GBK"/>
          <w:b w:val="0"/>
          <w:sz w:val="24"/>
        </w:rPr>
        <w:t xml:space="preserve">邳州2021年公用主变总容量为2027 MVA，年网供最大负荷按降压负荷估计为731.77 MW。2022—2025年负荷分别为825.00、761.23、862.66和956.45 MW。容量与负荷的年度变化共同影响容载比。</w:t>
      </w:r>
    </w:p>
    <w:p>
      <w:pPr>
        <w:pStyle w:val="2"/>
        <w:widowControl/>
        <w:spacing w:line="348" w:lineRule="exact" w:before="0" w:after="0"/>
        <w:ind w:firstLine="480"/>
        <w:jc w:val="both"/>
      </w:pPr>
      <w:r>
        <w:rPr>
          <w:rFonts w:ascii="Times New Roman" w:hAnsi="Times New Roman" w:eastAsia="方正仿宋_GBK"/>
          <w:b w:val="0"/>
          <w:sz w:val="24"/>
        </w:rPr>
        <w:t xml:space="preserve">历史统计保留原始年度波动，用于计算负荷增长和解释运行特征。仿真规划的基期与后续四年负荷在第五章另行列示。</w:t>
      </w:r>
    </w:p>
    <w:p>
      <w:pPr>
        <w:pStyle w:val="2"/>
        <w:keepNext/>
        <w:spacing w:line="280" w:lineRule="exact" w:before="120" w:after="80"/>
        <w:ind w:firstLine="0"/>
        <w:jc w:val="center"/>
      </w:pPr>
      <w:r>
        <w:rPr>
          <w:rFonts w:ascii="Times New Roman" w:hAnsi="Times New Roman" w:eastAsia="宋体"/>
          <w:b w:val="0"/>
          <w:sz w:val="21"/>
        </w:rPr>
        <w:t xml:space="preserve">表3-1 邳州和市区年度主变容量与降压负荷</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公用主变总容量/MVA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2045.50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2169.50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2139.50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3675.00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w:t>
            </w:r>
          </w:p>
        </w:tc>
      </w:tr>
    </w:tbl>
    <w:p>
      <w:pPr>
        <w:pStyle w:val="5"/>
        <w:keepNext/>
        <w:numPr>
          <w:numId w:val="0"/>
        </w:numPr>
        <w:spacing w:line="390" w:lineRule="exact" w:before="160" w:after="120"/>
        <w:ind w:firstLine="0"/>
      </w:pPr>
      <w:bookmarkStart w:id="97" w:name="市区年度变化"/>
      <w:r>
        <w:rPr>
          <w:rFonts w:ascii="Times New Roman" w:hAnsi="Times New Roman" w:eastAsia="方正仿宋_GBK"/>
          <w:b/>
          <w:sz w:val="26"/>
        </w:rPr>
        <w:t xml:space="preserve">3.2.2 市区年度变化</w:t>
      </w:r>
      <w:bookmarkEnd w:id="97"/>
    </w:p>
    <w:p>
      <w:pPr>
        <w:pStyle w:val="FirstParagraph"/>
        <w:widowControl/>
        <w:spacing w:line="348" w:lineRule="exact" w:before="0" w:after="0"/>
        <w:ind w:firstLine="480"/>
        <w:jc w:val="both"/>
      </w:pPr>
      <w:r>
        <w:rPr>
          <w:rFonts w:ascii="Times New Roman" w:hAnsi="Times New Roman" w:eastAsia="方正仿宋_GBK"/>
          <w:b w:val="0"/>
          <w:sz w:val="24"/>
        </w:rPr>
        <w:t xml:space="preserve">市区2021年公用主变总容量为3113.50 MVA，年网供最大负荷估计为1449.77 MW。2022—2025年负荷分别为1432.37、1542.22、1449.40和1528.82 MW。该序列在2022年和2024年出现回落，体现了年际波动。</w:t>
      </w:r>
    </w:p>
    <w:p>
      <w:pPr>
        <w:pStyle w:val="2"/>
        <w:widowControl/>
        <w:spacing w:line="348" w:lineRule="exact" w:before="0" w:after="0"/>
        <w:ind w:firstLine="480"/>
        <w:jc w:val="both"/>
      </w:pPr>
      <w:r>
        <w:rPr>
          <w:rFonts w:ascii="Times New Roman" w:hAnsi="Times New Roman" w:eastAsia="方正仿宋_GBK"/>
          <w:b w:val="0"/>
          <w:sz w:val="24"/>
        </w:rPr>
        <w:t xml:space="preserve">市区案例保留样本负荷的空间分布，设备候选按站级资料及研究假设设置。第五章保留统一仿真起点，采用2022—2025年实际年度负荷进行方案比较。</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787963"/>
            <wp:effectExtent b="0" l="0" r="0" t="0"/>
            <wp:docPr descr="" title="" id="1" name="Picture"/>
            <a:graphic>
              <a:graphicData uri="http://schemas.openxmlformats.org/drawingml/2006/picture">
                <pic:pic>
                  <pic:nvPicPr>
                    <pic:cNvPr descr="研究报告/02图表/当前版/annual_load.png" id="0" name="Picture"/>
                    <pic:cNvPicPr>
                      <a:picLocks noChangeArrowheads="1" noChangeAspect="1"/>
                    </pic:cNvPicPr>
                  </pic:nvPicPr>
                  <pic:blipFill>
                    <a:blip r:embed="rId98"/>
                    <a:stretch>
                      <a:fillRect/>
                    </a:stretch>
                  </pic:blipFill>
                  <pic:spPr bwMode="auto">
                    <a:xfrm>
                      <a:off x="0" y="0"/>
                      <a:ext cx="5120640" cy="2787963"/>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 邳州和市区年网供最大负荷</w:t>
      </w:r>
    </w:p>
    <w:p>
      <w:pPr>
        <w:pStyle w:val="5"/>
        <w:keepNext/>
        <w:numPr>
          <w:numId w:val="0"/>
        </w:numPr>
        <w:spacing w:line="390" w:lineRule="exact" w:before="160" w:after="120"/>
        <w:ind w:firstLine="0"/>
      </w:pPr>
      <w:bookmarkStart w:id="99" w:name="年最大净负荷平均增长率"/>
      <w:r>
        <w:rPr>
          <w:rFonts w:ascii="Times New Roman" w:hAnsi="Times New Roman" w:eastAsia="方正仿宋_GBK"/>
          <w:b/>
          <w:sz w:val="26"/>
        </w:rPr>
        <w:t xml:space="preserve">3.2.3 年最大净负荷平均增长率</w:t>
      </w:r>
      <w:bookmarkEnd w:id="99"/>
    </w:p>
    <w:p>
      <w:pPr>
        <w:pStyle w:val="FirstParagraph"/>
        <w:widowControl/>
        <w:spacing w:line="348" w:lineRule="exact" w:before="0" w:after="0"/>
        <w:ind w:firstLine="480"/>
        <w:jc w:val="both"/>
      </w:pPr>
      <w:r>
        <w:rPr>
          <w:rFonts w:ascii="Times New Roman" w:hAnsi="Times New Roman" w:eastAsia="方正仿宋_GBK"/>
          <w:b w:val="0"/>
          <w:sz w:val="24"/>
        </w:rPr>
        <w:t xml:space="preserve">年最大净负荷平均增长率[7]由同范围起止年度负荷按复合增长形式计算。2021—2025年包含四个年度间隔，增长分档采用2025年4月《配电网规划设计技术导则（修订稿）》第6.2.2.1条及表2[7]。</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acc>
                <m:accPr>
                  <m:chr m:val="‾"/>
                </m:accPr>
                <m:e>
                  <m:r>
                    <m:rPr>
                      <m:nor m:val="1"/>
                    </m:rPr>
                    <w:rPr>
                      <w:rFonts w:ascii="Times New Roman" w:hAnsi="Times New Roman" w:cs="Times New Roman" w:eastAsia="方正仿宋_GBK"/>
                      <w:i w:val="1"/>
                      <w:iCs w:val="1"/>
                    </w:rPr>
                    <m:t>g</m:t>
                  </m:r>
                </m:e>
              </m:acc>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2025</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2021</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年网供最大负荷估计值，单位MW；</w:t>
      </w:r>
      <m:oMath>
        <m:acc>
          <m:accPr>
            <m:chr m:val="‾"/>
          </m:accPr>
          <m:e>
            <m:r>
              <m:rPr>
                <m:nor m:val="1"/>
              </m:rPr>
              <w:rPr>
                <w:rFonts w:ascii="Times New Roman" w:hAnsi="Times New Roman" w:cs="Times New Roman" w:eastAsia="方正仿宋_GBK"/>
                <w:i w:val="1"/>
                <w:iCs w:val="1"/>
              </w:rPr>
              <m:t>g</m:t>
            </m:r>
          </m:e>
        </m:acc>
      </m:oMath>
      <w:r>
        <w:rPr>
          <w:rFonts w:ascii="Times New Roman" w:hAnsi="Times New Roman" w:eastAsia="方正仿宋_GBK"/>
          <w:b w:val="0"/>
          <w:sz w:val="24"/>
        </w:rPr>
        <w:t xml:space="preserve">为年最大净负荷平均增长率。</w:t>
      </w:r>
    </w:p>
    <w:p>
      <w:pPr>
        <w:pStyle w:val="2"/>
        <w:keepNext/>
        <w:spacing w:line="280" w:lineRule="exact" w:before="120" w:after="80"/>
        <w:ind w:firstLine="0"/>
        <w:jc w:val="center"/>
      </w:pPr>
      <w:r>
        <w:rPr>
          <w:rFonts w:ascii="Times New Roman" w:hAnsi="Times New Roman" w:eastAsia="宋体"/>
          <w:b w:val="0"/>
          <w:sz w:val="21"/>
        </w:rPr>
        <w:t xml:space="preserve">表3-2 年最大净负荷平均增长率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2025年年网供最大负荷/MW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间隔/年</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年最大净负荷平均增长率所属区间</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导则参考容载比</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 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邳州对应的容载比参考范围为1.70～1.90，市区为1.50～1.70。</w:t>
      </w:r>
    </w:p>
    <w:p>
      <w:pPr>
        <w:pStyle w:val="5"/>
        <w:keepNext/>
        <w:numPr>
          <w:numId w:val="0"/>
        </w:numPr>
        <w:spacing w:line="390" w:lineRule="exact" w:before="160" w:after="120"/>
        <w:ind w:firstLine="0"/>
      </w:pPr>
      <w:bookmarkStart w:id="100" w:name="历史统计与规划仿真的衔接"/>
      <w:r>
        <w:rPr>
          <w:rFonts w:ascii="Times New Roman" w:hAnsi="Times New Roman" w:eastAsia="方正仿宋_GBK"/>
          <w:b/>
          <w:sz w:val="26"/>
        </w:rPr>
        <w:t xml:space="preserve">3.2.4 历史统计与规划仿真的衔接</w:t>
      </w:r>
      <w:bookmarkEnd w:id="100"/>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2021—2025年实际容量与负荷用于现状分析，2022—2025年已知年度负荷直接进入地区案例。仿真保留市区2900.00 MVA、邳州1463.50 MVA的初始设备容量，基期及后续各年负荷均采用实际年度统计值，基期容载比按两位小数均为2.00。主变增容由逐年优化确定，实际在役容量与仿真容量分别列示。</w:t>
      </w:r>
    </w:p>
    <w:p>
      <w:pPr>
        <w:pStyle w:val="2"/>
        <w:widowControl/>
        <w:spacing w:line="348" w:lineRule="exact" w:before="0" w:after="0"/>
        <w:ind w:firstLine="480"/>
        <w:jc w:val="both"/>
      </w:pPr>
      <w:r>
        <w:rPr>
          <w:rFonts w:ascii="Times New Roman" w:hAnsi="Times New Roman" w:eastAsia="方正仿宋_GBK"/>
          <w:b w:val="0"/>
          <w:sz w:val="24"/>
        </w:rPr>
        <w:t xml:space="preserve">通用参数推广需要构造不同发展水平，采用基期峰值乘以</w:t>
      </w:r>
      <m:oMath>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acc>
          <m:accPr>
            <m:chr m:val="‾"/>
          </m:accPr>
          <m:e>
            <m:r>
              <m:rPr>
                <m:nor m:val="1"/>
              </m:rPr>
              <w:rPr>
                <w:rFonts w:ascii="Times New Roman" w:hAnsi="Times New Roman" w:cs="Times New Roman" w:eastAsia="方正仿宋_GBK"/>
                <w:i w:val="1"/>
                <w:iCs w:val="1"/>
              </w:rPr>
              <m:t>g</m:t>
            </m:r>
          </m:e>
        </m:acc>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4</m:t>
            </m:r>
          </m:sup>
        </m:sSup>
      </m:oMath>
      <w:r>
        <w:rPr>
          <w:rFonts w:ascii="Times New Roman" w:hAnsi="Times New Roman" w:eastAsia="方正仿宋_GBK"/>
          <w:b w:val="0"/>
          <w:sz w:val="24"/>
        </w:rPr>
        <w:t xml:space="preserve">确定目标年负荷。地区案例与通用模板的用途不同，分别保留其负荷来源和计算条件。</w:t>
      </w:r>
    </w:p>
    <w:p>
      <w:pPr>
        <w:pStyle w:val="4"/>
        <w:keepNext/>
        <w:numPr>
          <w:numId w:val="0"/>
        </w:numPr>
        <w:spacing w:line="480" w:lineRule="exact" w:before="160" w:after="120"/>
        <w:ind w:firstLine="0"/>
      </w:pPr>
      <w:bookmarkStart w:id="1264" w:name="h264"/>
      <w:bookmarkStart w:id="101" w:name="分布式光伏装机与电量"/>
      <w:r>
        <w:rPr>
          <w:rFonts w:ascii="Times New Roman" w:hAnsi="Times New Roman" w:eastAsia="方正仿宋_GBK"/>
          <w:b/>
          <w:sz w:val="32"/>
        </w:rPr>
        <w:t xml:space="preserve">3.3 分布式光伏装机与电量</w:t>
      </w:r>
      <w:bookmarkEnd w:id="101"/>
      <w:bookmarkEnd w:id="1264"/>
    </w:p>
    <w:p>
      <w:pPr>
        <w:pStyle w:val="5"/>
        <w:keepNext/>
        <w:numPr>
          <w:numId w:val="0"/>
        </w:numPr>
        <w:spacing w:line="390" w:lineRule="exact" w:before="160" w:after="120"/>
        <w:ind w:firstLine="0"/>
      </w:pPr>
      <w:bookmarkStart w:id="102" w:name="装机规模与月度变化"/>
      <w:r>
        <w:rPr>
          <w:rFonts w:ascii="Times New Roman" w:hAnsi="Times New Roman" w:eastAsia="方正仿宋_GBK"/>
          <w:b/>
          <w:sz w:val="26"/>
        </w:rPr>
        <w:t xml:space="preserve">3.3.1 装机规模与月度变化</w:t>
      </w:r>
      <w:bookmarkEnd w:id="102"/>
    </w:p>
    <w:p>
      <w:pPr>
        <w:pStyle w:val="FirstParagraph"/>
        <w:widowControl/>
        <w:spacing w:line="348" w:lineRule="exact" w:before="0" w:after="0"/>
        <w:ind w:firstLine="480"/>
        <w:jc w:val="both"/>
      </w:pPr>
      <w:r>
        <w:rPr>
          <w:rFonts w:ascii="Times New Roman" w:hAnsi="Times New Roman" w:eastAsia="方正仿宋_GBK"/>
          <w:b w:val="0"/>
          <w:sz w:val="24"/>
        </w:rPr>
        <w:t xml:space="preserve">邳州年末分布式光伏装机容量由2023年564.70 MW增加到2024年1126.58 MW、2025年1559.64 MW，市区同期为253.68、362.44和491.18 MW。现有月度装机数据始于2023年，2021—2022年装机容量按同月份增长关系回推，图中以虚线区分估计结果与统计记录。</w:t>
      </w:r>
    </w:p>
    <w:p>
      <w:pPr>
        <w:pStyle w:val="2"/>
        <w:widowControl/>
        <w:spacing w:line="348" w:lineRule="exact" w:before="0" w:after="0"/>
        <w:ind w:firstLine="480"/>
        <w:jc w:val="both"/>
      </w:pPr>
      <w:r>
        <w:rPr>
          <w:rFonts w:ascii="Times New Roman" w:hAnsi="Times New Roman" w:eastAsia="方正仿宋_GBK"/>
          <w:b w:val="0"/>
          <w:sz w:val="24"/>
        </w:rPr>
        <w:t xml:space="preserve">年度发电量采用相邻月末容量的平均值乘逐时出力系数累加，计入年内容量投运变化。</w:t>
      </w:r>
    </w:p>
    <w:p>
      <w:pPr>
        <w:pStyle w:val="2"/>
        <w:widowControl/>
        <w:spacing w:line="348" w:lineRule="exact" w:before="0" w:after="0"/>
        <w:ind w:firstLine="480"/>
        <w:jc w:val="both"/>
      </w:pPr>
      <w:r>
        <w:rPr>
          <w:rFonts w:ascii="Times New Roman" w:hAnsi="Times New Roman" w:eastAsia="方正仿宋_GBK"/>
          <w:b w:val="0"/>
          <w:sz w:val="24"/>
        </w:rPr>
        <w:t xml:space="preserve">现有资料未提供2021—2022年的逐月末光伏装机记录，模型按同月2023、2024年的规模关系几何回推。先固定月份，再沿年份回推，可以保留年内季节性投运差异。月末装机回推按式（3-2）计算，结果用于分析装机发展条件。</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acc>
                          <m:accPr>
                            <m:chr m:val="̂"/>
                          </m:accPr>
                          <m:e>
                            <m:r>
                              <m:rPr>
                                <m:nor m:val="1"/>
                              </m:rPr>
                              <w:rPr>
                                <w:rFonts w:ascii="Times New Roman" w:hAnsi="Times New Roman" w:cs="Times New Roman" w:eastAsia="方正仿宋_GBK"/>
                                <w:i w:val="1"/>
                                <w:iCs w:val="1"/>
                              </w:rPr>
                              <m:t>C</m:t>
                            </m:r>
                          </m:e>
                        </m:acc>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sSup>
                      <m:e>
                        <m:d>
                          <m:dPr>
                            <m:begChr m:val="("/>
                            <m:endChr m:val=")"/>
                            <m:grow/>
                          </m:dPr>
                          <m:e>
                            <m:f>
                              <m:fPr>
                                <m:type m:val="bar"/>
                              </m:fPr>
                              <m:num>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num>
                              <m:den>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den>
                            </m:f>
                          </m:e>
                        </m:d>
                      </m:e>
                      <m:sup>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p>
                    </m:sSup>
                  </m:e>
                </m:mr>
                <m:mr>
                  <m:e>
                    <m:r>
                      <m:rPr>
                        <m:nor m:val="1"/>
                      </m:rPr>
                      <w:rPr>
                        <w:rFonts w:ascii="Times New Roman" w:hAnsi="Times New Roman" w:cs="Times New Roman" w:eastAsia="方正仿宋_GBK"/>
                        <w:i w:val="1"/>
                        <w:iCs w:val="1"/>
                      </w:rPr>
                      <m:t>y</m:t>
                    </m:r>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2022</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C</m:t>
                </m:r>
              </m:e>
            </m:acc>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年第</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月末光伏装机容量估计值，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为对应月份记录，单位MW；</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为年份，</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为月份。</w:t>
      </w:r>
    </w:p>
    <w:p>
      <w:pPr>
        <w:pStyle w:val="2"/>
        <w:keepNext/>
        <w:spacing w:line="280" w:lineRule="exact" w:before="120" w:after="80"/>
        <w:ind w:firstLine="0"/>
        <w:jc w:val="center"/>
      </w:pPr>
      <w:r>
        <w:rPr>
          <w:rFonts w:ascii="Times New Roman" w:hAnsi="Times New Roman" w:eastAsia="宋体"/>
          <w:b w:val="0"/>
          <w:sz w:val="21"/>
        </w:rPr>
        <w:t xml:space="preserve">表3-3 年末分布式光伏装机容量</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2022年/MW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2023年/MW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2024年/MW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2025年/MW</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1126.58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1559.64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124.28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177.56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253.68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362.44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491.18</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注：2021—2022年为几何回推估计，2023—2025年采用月末装机统计，统一以MW列示。</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46082"/>
            <wp:effectExtent b="0" l="0" r="0" t="0"/>
            <wp:docPr descr="" title="" id="1" name="Picture"/>
            <a:graphic>
              <a:graphicData uri="http://schemas.openxmlformats.org/drawingml/2006/picture">
                <pic:pic>
                  <pic:nvPicPr>
                    <pic:cNvPr descr="研究报告/02图表/当前版/pv_monthly.png" id="0" name="Picture"/>
                    <pic:cNvPicPr>
                      <a:picLocks noChangeArrowheads="1" noChangeAspect="1"/>
                    </pic:cNvPicPr>
                  </pic:nvPicPr>
                  <pic:blipFill>
                    <a:blip r:embed="rId103"/>
                    <a:stretch>
                      <a:fillRect/>
                    </a:stretch>
                  </pic:blipFill>
                  <pic:spPr bwMode="auto">
                    <a:xfrm>
                      <a:off x="0" y="0"/>
                      <a:ext cx="5120640" cy="364608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图3-2 2021—2025年月末分布式光伏装机容量</w:t>
      </w:r>
    </w:p>
    <w:p>
      <w:pPr>
        <w:pStyle w:val="5"/>
        <w:keepNext/>
        <w:numPr>
          <w:numId w:val="0"/>
        </w:numPr>
        <w:spacing w:line="390" w:lineRule="exact" w:before="160" w:after="120"/>
        <w:ind w:firstLine="0"/>
      </w:pPr>
      <w:bookmarkStart w:id="104" w:name="年发电量估计方法"/>
      <w:r>
        <w:rPr>
          <w:rFonts w:ascii="Times New Roman" w:hAnsi="Times New Roman" w:eastAsia="方正仿宋_GBK"/>
          <w:b/>
          <w:sz w:val="26"/>
        </w:rPr>
        <w:t xml:space="preserve">3.3.2 年发电量估计方法</w:t>
      </w:r>
      <w:bookmarkEnd w:id="104"/>
    </w:p>
    <w:p>
      <w:pPr>
        <w:pStyle w:val="FirstParagraph"/>
        <w:widowControl/>
        <w:spacing w:line="348" w:lineRule="exact" w:before="0" w:after="0"/>
        <w:ind w:firstLine="480"/>
        <w:jc w:val="both"/>
      </w:pPr>
      <w:r>
        <w:rPr>
          <w:rFonts w:ascii="Times New Roman" w:hAnsi="Times New Roman" w:eastAsia="方正仿宋_GBK"/>
          <w:b w:val="0"/>
          <w:sz w:val="24"/>
        </w:rPr>
        <w:t xml:space="preserve">光伏发电量由月度装机与统一典型出力曲线估计。对月份</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，使用本月末和前月末容量均值；1月前月取2024年12月。式（3-3）为本研究积分估计方法，典型出力系数来自原始光伏曲线。</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r>
                <m:rPr>
                  <m:nor m:val="1"/>
                </m:rPr>
                <w:rPr>
                  <w:rFonts w:ascii="Times New Roman" w:hAnsi="Times New Roman" w:cs="Times New Roman" w:eastAsia="方正仿宋_GBK"/>
                  <w:i w:val="0"/>
                  <w:iCs w:val="0"/>
                </w:rPr>
                <m:t>=</m:t>
              </m:r>
              <m:nary>
                <m:naryPr>
                  <m:chr m:val="∑"/>
                  <m:limLoc m:val="undOvr"/>
                  <m:subHide m:val="0"/>
                  <m:supHide m:val="0"/>
                </m:naryPr>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nor m:val="1"/>
                    </m:rPr>
                    <w:rPr>
                      <w:rFonts w:ascii="Times New Roman" w:hAnsi="Times New Roman" w:cs="Times New Roman" w:eastAsia="方正仿宋_GBK"/>
                      <w:i w:val="0"/>
                      <w:iCs w:val="0"/>
                    </w:rPr>
                    <m:t>12</m:t>
                  </m:r>
                </m:sup>
                <m:e>
                  <m:nary>
                    <m:naryPr>
                      <m:chr m:val="∑"/>
                      <m:limLoc m:val="undOvr"/>
                      <m:subHide m:val="0"/>
                      <m:supHide m:val="1"/>
                    </m:naryPr>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ϕ</m:t>
                          </m:r>
                        </m:e>
                        <m:sub>
                          <m:r>
                            <m:rPr>
                              <m:nor m:val="1"/>
                            </m:rPr>
                            <w:rPr>
                              <w:rFonts w:ascii="Times New Roman" w:hAnsi="Times New Roman" w:cs="Times New Roman" w:eastAsia="方正仿宋_GBK"/>
                              <w:i w:val="1"/>
                              <w:iCs w:val="1"/>
                            </w:rPr>
                            <m:t>t</m:t>
                          </m:r>
                        </m:sub>
                      </m:sSub>
                    </m:e>
                  </m:nary>
                </m:e>
              </m:nary>
              <m:f>
                <m:fPr>
                  <m:type m:val="bar"/>
                </m:fPr>
                <m:num>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num>
                <m:den>
                  <m:r>
                    <m:rPr>
                      <m:nor m:val="1"/>
                    </m:rPr>
                    <w:rPr>
                      <w:rFonts w:ascii="Times New Roman" w:hAnsi="Times New Roman" w:cs="Times New Roman" w:eastAsia="方正仿宋_GBK"/>
                      <w:i w:val="0"/>
                      <w:iCs w:val="0"/>
                    </w:rPr>
                    <m:t>2</m:t>
                  </m:r>
                </m:den>
              </m:f>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（3-3）</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oMath>
      <w:r>
        <w:rPr>
          <w:rFonts w:ascii="Times New Roman" w:hAnsi="Times New Roman" w:eastAsia="方正仿宋_GBK"/>
          <w:b w:val="0"/>
          <w:sz w:val="24"/>
        </w:rPr>
        <w:t xml:space="preserve">为估计光伏年发电量，单位MWh；</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分别为本月及前月末光伏装机，单位MW；</w:t>
      </w:r>
      <m:oMath>
        <m:sSub>
          <m:e>
            <m:r>
              <m:rPr>
                <m:nor m:val="1"/>
              </m:rPr>
              <w:rPr>
                <w:rFonts w:ascii="Times New Roman" w:hAnsi="Times New Roman" w:cs="Times New Roman" w:eastAsia="方正仿宋_GBK"/>
                <w:i w:val="1"/>
                <w:iCs w:val="1"/>
              </w:rPr>
              <m:t>ϕ</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的典型光伏出力系数，</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为1</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为月份。典型出力曲线采用项目系统光伏资料，计算值用于区县光伏电量估计。</w:t>
      </w:r>
    </w:p>
    <w:p>
      <w:pPr>
        <w:pStyle w:val="2"/>
        <w:widowControl/>
        <w:spacing w:line="348" w:lineRule="exact" w:before="0" w:after="0"/>
        <w:ind w:firstLine="480"/>
        <w:jc w:val="both"/>
      </w:pPr>
      <w:r>
        <w:rPr>
          <w:rFonts w:ascii="Times New Roman" w:hAnsi="Times New Roman" w:eastAsia="方正仿宋_GBK"/>
          <w:b w:val="0"/>
          <w:sz w:val="24"/>
        </w:rPr>
        <w:t xml:space="preserve">按该方法，邳州2025年发电量估计为1698270.73 MWh，市区为590451.12 MWh。不同地区的年内投运速度和月末装机差异均进入计算。</w:t>
      </w:r>
    </w:p>
    <w:p>
      <w:pPr>
        <w:pStyle w:val="5"/>
        <w:keepNext/>
        <w:numPr>
          <w:numId w:val="0"/>
        </w:numPr>
        <w:spacing w:line="390" w:lineRule="exact" w:before="160" w:after="120"/>
        <w:ind w:firstLine="0"/>
      </w:pPr>
      <w:bookmarkStart w:id="105" w:name="用户最大负荷与分布式电源装机渗透率"/>
      <w:r>
        <w:rPr>
          <w:rFonts w:ascii="Times New Roman" w:hAnsi="Times New Roman" w:eastAsia="方正仿宋_GBK"/>
          <w:b/>
          <w:sz w:val="26"/>
        </w:rPr>
        <w:t xml:space="preserve">3.3.3 用户最大负荷与分布式电源装机渗透率</w:t>
      </w:r>
      <w:bookmarkEnd w:id="105"/>
    </w:p>
    <w:p>
      <w:pPr>
        <w:pStyle w:val="FirstParagraph"/>
        <w:widowControl/>
        <w:spacing w:line="348" w:lineRule="exact" w:before="0" w:after="0"/>
        <w:ind w:firstLine="480"/>
        <w:jc w:val="both"/>
      </w:pPr>
      <w:r>
        <w:rPr>
          <w:rFonts w:ascii="Times New Roman" w:hAnsi="Times New Roman" w:eastAsia="方正仿宋_GBK"/>
          <w:b w:val="0"/>
          <w:sz w:val="24"/>
        </w:rPr>
        <w:t xml:space="preserve">分布式电源装机渗透率采用《配电网规划设计技术导则》的指标定义，作为描述源荷条件的研究参数[7]。</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G</m:t>
                      </m:r>
                    </m:sub>
                  </m:sSub>
                </m:num>
                <m:den>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x</m:t>
                      </m:r>
                    </m:sub>
                  </m:sSub>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（3-4）</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oMath>
      <w:r>
        <w:rPr>
          <w:rFonts w:ascii="Times New Roman" w:hAnsi="Times New Roman" w:eastAsia="方正仿宋_GBK"/>
          <w:b w:val="0"/>
          <w:sz w:val="24"/>
        </w:rPr>
        <w:t xml:space="preserve">为分布式电源装机渗透率，无量纲；</w:t>
      </w: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G</m:t>
            </m:r>
          </m:sub>
        </m:sSub>
      </m:oMath>
      <w:r>
        <w:rPr>
          <w:rFonts w:ascii="Times New Roman" w:hAnsi="Times New Roman" w:eastAsia="方正仿宋_GBK"/>
          <w:b w:val="0"/>
          <w:sz w:val="24"/>
        </w:rPr>
        <w:t xml:space="preserve">为同范围分布式电源并网装机容量，单位MW；</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x</m:t>
            </m:r>
          </m:sub>
        </m:sSub>
      </m:oMath>
      <w:r>
        <w:rPr>
          <w:rFonts w:ascii="Times New Roman" w:hAnsi="Times New Roman" w:eastAsia="方正仿宋_GBK"/>
          <w:b w:val="0"/>
          <w:sz w:val="24"/>
        </w:rPr>
        <w:t xml:space="preserve">为用户最大负荷，单位MW。DG为分布式电源的英文缩写[7]。用户日间负荷由设备典型时刻净功率加回相应光伏出力估计，夜间候选负荷由设备夜间统计得到，再取两者较大值。该方法得到的用户最大负荷为典型场景估计值。</w:t>
      </w:r>
    </w:p>
    <w:p>
      <w:pPr>
        <w:pStyle w:val="2"/>
        <w:widowControl/>
        <w:spacing w:line="348" w:lineRule="exact" w:before="0" w:after="0"/>
        <w:ind w:firstLine="480"/>
        <w:jc w:val="both"/>
      </w:pPr>
      <w:r>
        <w:rPr>
          <w:rFonts w:ascii="Times New Roman" w:hAnsi="Times New Roman" w:eastAsia="方正仿宋_GBK"/>
          <w:b w:val="0"/>
          <w:sz w:val="24"/>
        </w:rPr>
        <w:t xml:space="preserve">邳州估计用户最大负荷为956.45 MW，分布式电源装机渗透率为1.63，市区估计用户最大负荷为1545.20 MW，分布式电源装机渗透率为0.32。</w:t>
      </w:r>
    </w:p>
    <w:p>
      <w:pPr>
        <w:pStyle w:val="5"/>
        <w:keepNext/>
        <w:numPr>
          <w:numId w:val="0"/>
        </w:numPr>
        <w:spacing w:line="390" w:lineRule="exact" w:before="160" w:after="120"/>
        <w:ind w:firstLine="0"/>
      </w:pPr>
      <w:bookmarkStart w:id="106" w:name="用户电量与分布式电源电量渗透率"/>
      <w:r>
        <w:rPr>
          <w:rFonts w:ascii="Times New Roman" w:hAnsi="Times New Roman" w:eastAsia="方正仿宋_GBK"/>
          <w:b/>
          <w:sz w:val="26"/>
        </w:rPr>
        <w:t xml:space="preserve">3.3.4 用户电量与分布式电源电量渗透率</w:t>
      </w:r>
      <w:bookmarkEnd w:id="106"/>
    </w:p>
    <w:p>
      <w:pPr>
        <w:pStyle w:val="FirstParagraph"/>
        <w:widowControl/>
        <w:spacing w:line="348" w:lineRule="exact" w:before="0" w:after="0"/>
        <w:ind w:firstLine="480"/>
        <w:jc w:val="both"/>
      </w:pPr>
      <w:r>
        <w:rPr>
          <w:rFonts w:ascii="Times New Roman" w:hAnsi="Times New Roman" w:eastAsia="方正仿宋_GBK"/>
          <w:b w:val="0"/>
          <w:sz w:val="24"/>
        </w:rPr>
        <w:t xml:space="preserve">在同范围、忽略损耗且其他电源已单独处理的条件下，用户电量可由净交换电量加本地发电量重建。现有逐时样本未完整覆盖区县全部用户，且缺少同范围用户年电量记录，因此先按样本覆盖系数估计区县净交换电量，再加本地光伏发电量。用户电量按式（3-5）估计。</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nary>
                      <m:naryPr>
                        <m:chr m:val="∑"/>
                        <m:limLoc m:val="undOvr"/>
                        <m:subHide m:val="0"/>
                        <m:supHide m:val="1"/>
                      </m:naryPr>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e>
                    </m:nary>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e>
                </m:mr>
                <m:mr>
                  <m:e>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E</m:t>
                        </m:r>
                      </m:sub>
                    </m:sSub>
                  </m:e>
                  <m:e>
                    <m:r>
                      <m:rPr>
                        <m:nor m:val="1"/>
                      </m:rPr>
                      <w:rPr>
                        <w:rFonts w:ascii="Times New Roman" w:hAnsi="Times New Roman" w:cs="Times New Roman" w:eastAsia="方正仿宋_GBK"/>
                        <w:i w:val="0"/>
                        <w:iCs w:val="0"/>
                      </w:rPr>
                      <m:t>=</m:t>
                    </m:r>
                    <m:f>
                      <m:fPr>
                        <m:type m:val="bar"/>
                      </m:fPr>
                      <m:num>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num>
                      <m:den>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den>
                    </m:f>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（3-5）</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oMath>
      <w:r>
        <w:rPr>
          <w:rFonts w:ascii="Times New Roman" w:hAnsi="Times New Roman" w:eastAsia="方正仿宋_GBK"/>
          <w:b w:val="0"/>
          <w:sz w:val="24"/>
        </w:rPr>
        <w:t xml:space="preserve">为用户年用电量估计值，</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oMath>
      <w:r>
        <w:rPr>
          <w:rFonts w:ascii="Times New Roman" w:hAnsi="Times New Roman" w:eastAsia="方正仿宋_GBK"/>
          <w:b w:val="0"/>
          <w:sz w:val="24"/>
        </w:rPr>
        <w:t xml:space="preserve">为光伏年发电量估计值，单位MWh；</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为分布式电源电量渗透率；</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的样本净交换功率，单位MW，</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为1 h。</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为按设备典型夜间负荷与样本最大净负荷构造的覆盖外推系数，邳州为1.01、市区为1.17。该参数按区县分布式光伏装机与110 kV样本净负荷估计。</w:t>
      </w:r>
    </w:p>
    <w:p>
      <w:pPr>
        <w:pStyle w:val="2"/>
        <w:widowControl/>
        <w:spacing w:line="348" w:lineRule="exact" w:before="0" w:after="0"/>
        <w:ind w:firstLine="480"/>
        <w:jc w:val="both"/>
      </w:pPr>
      <w:r>
        <w:rPr>
          <w:rFonts w:ascii="Times New Roman" w:hAnsi="Times New Roman" w:eastAsia="方正仿宋_GBK"/>
          <w:b w:val="0"/>
          <w:sz w:val="24"/>
        </w:rPr>
        <w:t xml:space="preserve">邳州估计用户年电量为4216392.40 MWh，分布式电源电量渗透率为40%，市区为6791485.10 MWh和9%。上述估计值用于源荷背景分析，费用目标采用第四章规定的新增措施支出。</w:t>
      </w:r>
    </w:p>
    <w:p>
      <w:pPr>
        <w:pStyle w:val="4"/>
        <w:keepNext/>
        <w:numPr>
          <w:numId w:val="0"/>
        </w:numPr>
        <w:spacing w:line="480" w:lineRule="exact" w:before="160" w:after="120"/>
        <w:ind w:firstLine="0"/>
      </w:pPr>
      <w:bookmarkStart w:id="1286" w:name="h286"/>
      <w:bookmarkStart w:id="107" w:name="主变负载率与双向净负荷"/>
      <w:r>
        <w:rPr>
          <w:rFonts w:ascii="Times New Roman" w:hAnsi="Times New Roman" w:eastAsia="方正仿宋_GBK"/>
          <w:b/>
          <w:sz w:val="32"/>
        </w:rPr>
        <w:t xml:space="preserve">3.4 主变负载率与双向净负荷</w:t>
      </w:r>
      <w:bookmarkEnd w:id="107"/>
      <w:bookmarkEnd w:id="1286"/>
    </w:p>
    <w:p>
      <w:pPr>
        <w:pStyle w:val="5"/>
        <w:keepNext/>
        <w:numPr>
          <w:numId w:val="0"/>
        </w:numPr>
        <w:spacing w:line="390" w:lineRule="exact" w:before="160" w:after="120"/>
        <w:ind w:firstLine="0"/>
      </w:pPr>
      <w:bookmarkStart w:id="108" w:name="主变年最大负载率统计"/>
      <w:r>
        <w:rPr>
          <w:rFonts w:ascii="Times New Roman" w:hAnsi="Times New Roman" w:eastAsia="方正仿宋_GBK"/>
          <w:b/>
          <w:sz w:val="26"/>
        </w:rPr>
        <w:t xml:space="preserve">3.4.1 主变年最大负载率统计</w:t>
      </w:r>
      <w:bookmarkEnd w:id="108"/>
    </w:p>
    <w:p>
      <w:pPr>
        <w:pStyle w:val="FirstParagraph"/>
        <w:widowControl/>
        <w:spacing w:line="348" w:lineRule="exact" w:before="0" w:after="0"/>
        <w:ind w:firstLine="480"/>
        <w:jc w:val="both"/>
      </w:pPr>
      <w:r>
        <w:rPr>
          <w:rFonts w:ascii="Times New Roman" w:hAnsi="Times New Roman" w:eastAsia="方正仿宋_GBK"/>
          <w:b w:val="0"/>
          <w:sz w:val="24"/>
        </w:rPr>
        <w:t xml:space="preserve">设备统计表记录逐台主变年最大负载率。按110 kV及区县筛选，计算样本均值、中位数及较高负载设备数量。分布统计采用各台设备的年度极值，各自最大时刻可能不同。</w:t>
      </w:r>
    </w:p>
    <w:p>
      <w:pPr>
        <w:pStyle w:val="2"/>
        <w:keepNext/>
        <w:spacing w:line="280" w:lineRule="exact" w:before="120" w:after="80"/>
        <w:ind w:firstLine="0"/>
        <w:jc w:val="center"/>
      </w:pPr>
      <w:r>
        <w:rPr>
          <w:rFonts w:ascii="Times New Roman" w:hAnsi="Times New Roman" w:eastAsia="宋体"/>
          <w:b w:val="0"/>
          <w:sz w:val="21"/>
        </w:rPr>
        <w:t xml:space="preserve">表3-4 逐台110 kV主变年最大负载率统计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样本台数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均值/%</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中位数/%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≥80%台数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最大值/%</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邳州逐台主变年最大负载率中位数为53%，市区为55%，两地区均有设备达到80%及以上。中位水平与较高负载设备并存，表明容量需求在设备之间存在差异，建设措施需落实到具体站点。</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loading_distribution.png" id="0" name="Picture"/>
                    <pic:cNvPicPr>
                      <a:picLocks noChangeArrowheads="1" noChangeAspect="1"/>
                    </pic:cNvPicPr>
                  </pic:nvPicPr>
                  <pic:blipFill>
                    <a:blip r:embed="rId109"/>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图3-3 邳州和市区逐台主变最大负载率分布</w:t>
      </w:r>
    </w:p>
    <w:p>
      <w:pPr>
        <w:pStyle w:val="5"/>
        <w:keepNext/>
        <w:numPr>
          <w:numId w:val="0"/>
        </w:numPr>
        <w:spacing w:line="390" w:lineRule="exact" w:before="160" w:after="120"/>
        <w:ind w:firstLine="0"/>
      </w:pPr>
      <w:bookmarkStart w:id="110" w:name="最大正向反向净负荷"/>
      <w:r>
        <w:rPr>
          <w:rFonts w:ascii="Times New Roman" w:hAnsi="Times New Roman" w:eastAsia="方正仿宋_GBK"/>
          <w:b/>
          <w:sz w:val="26"/>
        </w:rPr>
        <w:t xml:space="preserve">3.4.2 最大正向、反向净负荷</w:t>
      </w:r>
      <w:bookmarkEnd w:id="110"/>
    </w:p>
    <w:p>
      <w:pPr>
        <w:pStyle w:val="FirstParagraph"/>
        <w:widowControl/>
        <w:spacing w:line="348" w:lineRule="exact" w:before="0" w:after="0"/>
        <w:ind w:firstLine="480"/>
        <w:jc w:val="both"/>
      </w:pPr>
      <w:r>
        <w:rPr>
          <w:rFonts w:ascii="Times New Roman" w:hAnsi="Times New Roman" w:eastAsia="方正仿宋_GBK"/>
          <w:b w:val="0"/>
          <w:sz w:val="24"/>
        </w:rPr>
        <w:t xml:space="preserve">净负荷序列以受电为正、反送为负。容量压力采用最大绝对值，同时列示正向和反向极值用于容量校核。由带符号序列分别提取方向峰值：</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e>
                  <m:e>
                    <m:r>
                      <m:rPr>
                        <m:nor m:val="1"/>
                      </m:rPr>
                      <w:rPr>
                        <w:rFonts w:ascii="Times New Roman" w:hAnsi="Times New Roman" w:cs="Times New Roman" w:eastAsia="方正仿宋_GBK"/>
                        <w:i w:val="0"/>
                        <w:iCs w:val="0"/>
                      </w:rPr>
                      <m:t>=</m:t>
                    </m:r>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t</m:t>
                        </m:r>
                      </m:lim>
                    </m:limLow>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t</m:t>
                        </m:r>
                      </m:lim>
                    </m:limLow>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（3-6）</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的净负荷，受电为正、反送为负；</w:t>
      </w:r>
      <m:oMath>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oMath>
      <w:r>
        <w:rPr>
          <w:rFonts w:ascii="Times New Roman" w:hAnsi="Times New Roman" w:eastAsia="方正仿宋_GBK"/>
          <w:b w:val="0"/>
          <w:sz w:val="24"/>
        </w:rPr>
        <w:t xml:space="preserve">和</w:t>
      </w:r>
      <m:oMath>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oMath>
      <w:r>
        <w:rPr>
          <w:rFonts w:ascii="Times New Roman" w:hAnsi="Times New Roman" w:eastAsia="方正仿宋_GBK"/>
          <w:b w:val="0"/>
          <w:sz w:val="24"/>
        </w:rPr>
        <w:t xml:space="preserve">分别为最大正向、反向净负荷，</w:t>
      </w:r>
      <m:oMath>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oMath>
      <w:r>
        <w:rPr>
          <w:rFonts w:ascii="Times New Roman" w:hAnsi="Times New Roman" w:eastAsia="方正仿宋_GBK"/>
          <w:b w:val="0"/>
          <w:sz w:val="24"/>
        </w:rPr>
        <w:t xml:space="preserve">为净负荷最大绝对值，单位均为MW。站级负载率按</w:t>
      </w:r>
      <m:oMath>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计算，</w:t>
      </w:r>
      <m:oMath>
        <m:r>
          <m:rPr>
            <m:nor m:val="1"/>
          </m:rPr>
          <w:rPr>
            <w:rFonts w:ascii="Times New Roman" w:hAnsi="Times New Roman" w:cs="Times New Roman" w:eastAsia="方正仿宋_GBK"/>
            <w:i w:val="1"/>
            <w:iCs w:val="1"/>
          </w:rPr>
          <m:t>S</m:t>
        </m:r>
      </m:oMath>
      <w:r>
        <w:rPr>
          <w:rFonts w:ascii="Times New Roman" w:hAnsi="Times New Roman" w:eastAsia="方正仿宋_GBK"/>
          <w:b w:val="0"/>
          <w:sz w:val="24"/>
        </w:rPr>
        <w:t xml:space="preserve">为本站主变总容量，功率因数取0.95。本章采用初始容量和所设静态工况，第五章采用方案配置容量；均为按视在功率折算的站级计算值。正反向运行分别校核网络、电压及保护条件[4][5]。</w:t>
      </w:r>
    </w:p>
    <w:p>
      <w:pPr>
        <w:pStyle w:val="2"/>
        <w:keepNext/>
        <w:spacing w:line="280" w:lineRule="exact" w:before="120" w:after="80"/>
        <w:ind w:firstLine="0"/>
        <w:jc w:val="center"/>
      </w:pPr>
      <w:r>
        <w:rPr>
          <w:rFonts w:ascii="Times New Roman" w:hAnsi="Times New Roman" w:eastAsia="宋体"/>
          <w:b w:val="0"/>
          <w:sz w:val="21"/>
        </w:rPr>
        <w:t xml:space="preserve">表3-5 2025年站级样本最大正向、反向净负荷</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变电站</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净负荷最大绝对值/MW</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110千伏八义集变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大宋变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31.61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戴圩变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30.44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47.23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杜村变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二庙变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坊上变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29.53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富山变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26.86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河湾变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邳城变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宿羊山变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30.65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110千伏铁富变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土山变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汶河变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28.80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吴闸变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兴塘变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议堂变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34.26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堤北变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大黄山变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27.61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大庙变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60.13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60.13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古彭变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71.91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71.91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惠民变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花园变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夹河变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奎山变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开元变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龙湖变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刘湾变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60.90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60.90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彭场变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55.51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110千伏庞庄变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庆云桥变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升辉变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32.79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32.79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山南变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石桥变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拾屯变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62.83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62.83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祥和变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西郊变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响山变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玉潭变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38.50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翟山变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茱萸变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14.08</w:t>
            </w:r>
          </w:p>
        </w:tc>
      </w:tr>
    </w:tbl>
    <w:p>
      <w:pPr>
        <w:pStyle w:val="2"/>
        <w:keepNext/>
        <w:spacing w:line="280" w:lineRule="exact" w:before="120" w:after="80"/>
        <w:ind w:firstLine="0"/>
        <w:jc w:val="center"/>
      </w:pPr>
      <w:r>
        <w:rPr>
          <w:rFonts w:ascii="Times New Roman" w:hAnsi="Times New Roman" w:eastAsia="宋体"/>
          <w:b w:val="0"/>
          <w:sz w:val="21"/>
        </w:rPr>
        <w:t xml:space="preserve">表3-6 两地区站级负载率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中位数/%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最大值/%</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123</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122</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19636"/>
            <wp:effectExtent b="0" l="0" r="0" t="0"/>
            <wp:docPr descr="" title="" id="1" name="Picture"/>
            <a:graphic>
              <a:graphicData uri="http://schemas.openxmlformats.org/drawingml/2006/picture">
                <pic:pic>
                  <pic:nvPicPr>
                    <pic:cNvPr descr="研究报告/02图表/当前版/annual_model_pressure.png" id="0" name="Picture"/>
                    <pic:cNvPicPr>
                      <a:picLocks noChangeArrowheads="1" noChangeAspect="1"/>
                    </pic:cNvPicPr>
                  </pic:nvPicPr>
                  <pic:blipFill>
                    <a:blip r:embed="rId111"/>
                    <a:stretch>
                      <a:fillRect/>
                    </a:stretch>
                  </pic:blipFill>
                  <pic:spPr bwMode="auto">
                    <a:xfrm>
                      <a:off x="0" y="0"/>
                      <a:ext cx="5120640" cy="251963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图3-4 两地区静态工况下的站级负载率</w:t>
      </w:r>
    </w:p>
    <w:p>
      <w:pPr>
        <w:pStyle w:val="5"/>
        <w:keepNext/>
        <w:numPr>
          <w:numId w:val="0"/>
        </w:numPr>
        <w:spacing w:line="390" w:lineRule="exact" w:before="160" w:after="120"/>
        <w:ind w:firstLine="0"/>
      </w:pPr>
      <w:bookmarkStart w:id="112" w:name="区域同步净负荷曲线"/>
      <w:r>
        <w:rPr>
          <w:rFonts w:ascii="Times New Roman" w:hAnsi="Times New Roman" w:eastAsia="方正仿宋_GBK"/>
          <w:b/>
          <w:sz w:val="26"/>
        </w:rPr>
        <w:t xml:space="preserve">3.4.3 区域同步净负荷曲线</w:t>
      </w:r>
      <w:bookmarkEnd w:id="112"/>
    </w:p>
    <w:p>
      <w:pPr>
        <w:pStyle w:val="FirstParagraph"/>
        <w:widowControl/>
        <w:spacing w:line="348" w:lineRule="exact" w:before="0" w:after="0"/>
        <w:ind w:firstLine="480"/>
        <w:jc w:val="both"/>
      </w:pPr>
      <w:r>
        <w:rPr>
          <w:rFonts w:ascii="Times New Roman" w:hAnsi="Times New Roman" w:eastAsia="方正仿宋_GBK"/>
          <w:b w:val="0"/>
          <w:sz w:val="24"/>
        </w:rPr>
        <w:t xml:space="preserve">在统一小时轴上汇总区域内各站净负荷，得到区域同步净负荷曲线。图中按净负荷绝对值绘制全年过程，并放大最长近峰时段。邳州和市区的绝对值峰值均出现在正向受电时段。</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0927"/>
            <wp:effectExtent b="0" l="0" r="0" t="0"/>
            <wp:docPr descr="" title="" id="1" name="Picture"/>
            <a:graphic>
              <a:graphicData uri="http://schemas.openxmlformats.org/drawingml/2006/picture">
                <pic:pic>
                  <pic:nvPicPr>
                    <pic:cNvPr descr="研究报告/02图表/当前版/pizhou_regional_peak.png" id="0" name="Picture"/>
                    <pic:cNvPicPr>
                      <a:picLocks noChangeArrowheads="1" noChangeAspect="1"/>
                    </pic:cNvPicPr>
                  </pic:nvPicPr>
                  <pic:blipFill>
                    <a:blip r:embed="rId113"/>
                    <a:stretch>
                      <a:fillRect/>
                    </a:stretch>
                  </pic:blipFill>
                  <pic:spPr bwMode="auto">
                    <a:xfrm>
                      <a:off x="0" y="0"/>
                      <a:ext cx="5120640" cy="351092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图3-5 邳州区域净负荷曲线及95%近峰时段</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0927"/>
            <wp:effectExtent b="0" l="0" r="0" t="0"/>
            <wp:docPr descr="" title="" id="1" name="Picture"/>
            <a:graphic>
              <a:graphicData uri="http://schemas.openxmlformats.org/drawingml/2006/picture">
                <pic:pic>
                  <pic:nvPicPr>
                    <pic:cNvPr descr="研究报告/02图表/当前版/city_regional_peak.png" id="0" name="Picture"/>
                    <pic:cNvPicPr>
                      <a:picLocks noChangeArrowheads="1" noChangeAspect="1"/>
                    </pic:cNvPicPr>
                  </pic:nvPicPr>
                  <pic:blipFill>
                    <a:blip r:embed="rId114"/>
                    <a:stretch>
                      <a:fillRect/>
                    </a:stretch>
                  </pic:blipFill>
                  <pic:spPr bwMode="auto">
                    <a:xfrm>
                      <a:off x="0" y="0"/>
                      <a:ext cx="5120640" cy="351092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图3-6 市区区域净负荷曲线及95%近峰时段</w:t>
      </w:r>
    </w:p>
    <w:p>
      <w:pPr>
        <w:pStyle w:val="5"/>
        <w:keepNext/>
        <w:numPr>
          <w:numId w:val="0"/>
        </w:numPr>
        <w:spacing w:line="390" w:lineRule="exact" w:before="160" w:after="120"/>
        <w:ind w:firstLine="0"/>
      </w:pPr>
      <w:bookmarkStart w:id="115" w:name="峰值持续时间"/>
      <w:r>
        <w:rPr>
          <w:rFonts w:ascii="Times New Roman" w:hAnsi="Times New Roman" w:eastAsia="方正仿宋_GBK"/>
          <w:b/>
          <w:sz w:val="26"/>
        </w:rPr>
        <w:t xml:space="preserve">3.4.4 95%峰值持续时间</w:t>
      </w:r>
      <w:bookmarkEnd w:id="115"/>
    </w:p>
    <w:p>
      <w:pPr>
        <w:pStyle w:val="FirstParagraph"/>
        <w:widowControl/>
        <w:spacing w:line="348" w:lineRule="exact" w:before="0" w:after="0"/>
        <w:ind w:firstLine="480"/>
        <w:jc w:val="both"/>
      </w:pPr>
      <w:r>
        <w:rPr>
          <w:rFonts w:ascii="Times New Roman" w:hAnsi="Times New Roman" w:eastAsia="方正仿宋_GBK"/>
          <w:b w:val="0"/>
          <w:sz w:val="24"/>
        </w:rPr>
        <w:t xml:space="preserve">以区域净负荷最大绝对值的95%为阈值，统计达到阈值的最长连续时长和全年累计时数。</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0"/>
                      <w:iCs w:val="0"/>
                    </w:rPr>
                    <m:t>95</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连续时段长度</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（3-7）</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0"/>
                <w:iCs w:val="0"/>
              </w:rPr>
              <m:t>95</m:t>
            </m:r>
          </m:sub>
        </m:sSub>
      </m:oMath>
      <w:r>
        <w:rPr>
          <w:rFonts w:ascii="Times New Roman" w:hAnsi="Times New Roman" w:eastAsia="方正仿宋_GBK"/>
          <w:b w:val="0"/>
          <w:sz w:val="24"/>
        </w:rPr>
        <w:t xml:space="preserve">为95%峰值持续时间，单位h；</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的区域净负荷，</w:t>
      </w:r>
      <m:oMath>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bSup>
      </m:oMath>
      <w:r>
        <w:rPr>
          <w:rFonts w:ascii="Times New Roman" w:hAnsi="Times New Roman" w:eastAsia="方正仿宋_GBK"/>
          <w:b w:val="0"/>
          <w:sz w:val="24"/>
        </w:rPr>
        <w:t xml:space="preserve">为其全年最大绝对值，单位MW。</w:t>
      </w:r>
    </w:p>
    <w:p>
      <w:pPr>
        <w:pStyle w:val="2"/>
        <w:keepNext/>
        <w:spacing w:line="280" w:lineRule="exact" w:before="120" w:after="80"/>
        <w:ind w:firstLine="0"/>
        <w:jc w:val="center"/>
      </w:pPr>
      <w:r>
        <w:rPr>
          <w:rFonts w:ascii="Times New Roman" w:hAnsi="Times New Roman" w:eastAsia="宋体"/>
          <w:b w:val="0"/>
          <w:sz w:val="21"/>
        </w:rPr>
        <w:t xml:space="preserve">表3-7 两地区净负荷95%峰值持续时间</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净负荷最大绝对值/MW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95%峰值阈值/MW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最长连续时长/h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累计时数/h</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904.08</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1307.32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1241.95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邳州95%峰值阈值为904.08 MW，最长连续近峰时段为7月4日21:00—23:00，持续2 h，全年累计7 h。市区阈值为1241.95 MW，最长连续近峰时段为8月21日17:00—23:00，持续6 h，全年累计11 h。市区近峰过程持续更长，容量比选应关注较长时间的支撑需求。</w:t>
      </w:r>
    </w:p>
    <w:p>
      <w:pPr>
        <w:pStyle w:val="5"/>
        <w:keepNext/>
        <w:numPr>
          <w:numId w:val="0"/>
        </w:numPr>
        <w:spacing w:line="390" w:lineRule="exact" w:before="160" w:after="120"/>
        <w:ind w:firstLine="0"/>
      </w:pPr>
      <w:bookmarkStart w:id="116" w:name="峰段与储能容量的联系"/>
      <w:r>
        <w:rPr>
          <w:rFonts w:ascii="Times New Roman" w:hAnsi="Times New Roman" w:eastAsia="方正仿宋_GBK"/>
          <w:b/>
          <w:sz w:val="26"/>
        </w:rPr>
        <w:t xml:space="preserve">3.4.5 峰段与储能容量的联系</w:t>
      </w:r>
      <w:bookmarkEnd w:id="116"/>
    </w:p>
    <w:p>
      <w:pPr>
        <w:pStyle w:val="FirstParagraph"/>
        <w:widowControl/>
        <w:spacing w:line="348" w:lineRule="exact" w:before="0" w:after="0"/>
        <w:ind w:firstLine="480"/>
        <w:jc w:val="both"/>
      </w:pPr>
      <w:r>
        <w:rPr>
          <w:rFonts w:ascii="Times New Roman" w:hAnsi="Times New Roman" w:eastAsia="方正仿宋_GBK"/>
          <w:b w:val="0"/>
          <w:sz w:val="24"/>
        </w:rPr>
        <w:t xml:space="preserve">储能额定功率限制瞬时支撑幅度，可用能量限制连续支撑时长，因此静态支撑能力需同时满足峰值幅度与持续时间要求，模型取铭牌功率和峰段可持续能量折算功率的较小值确定充放电功率。</w:t>
      </w:r>
    </w:p>
    <w:p>
      <w:pPr>
        <w:pStyle w:val="2"/>
        <w:widowControl/>
        <w:spacing w:line="348" w:lineRule="exact" w:before="0" w:after="0"/>
        <w:ind w:firstLine="480"/>
        <w:jc w:val="both"/>
      </w:pPr>
      <w:r>
        <w:rPr>
          <w:rFonts w:ascii="Times New Roman" w:hAnsi="Times New Roman" w:eastAsia="方正仿宋_GBK"/>
          <w:b w:val="0"/>
          <w:sz w:val="24"/>
        </w:rPr>
        <w:t xml:space="preserve">95%近峰持续时间用于描述区域负荷特征。N-1后的容量缺口可能在负荷未达到峰值95%时已经出现，实际能量需求应按超过剩余供电能力的功率差积分确定。地区案例分别采用邳州2 h、市区6 h，推广在此基础上比较2、4、6 h。当前研究采用可用电量系数0.76作静态折算，未开展逐时荷电状态仿真[28][10]。</w:t>
      </w:r>
    </w:p>
    <w:p>
      <w:pPr>
        <w:pStyle w:val="4"/>
        <w:keepNext/>
        <w:numPr>
          <w:numId w:val="0"/>
        </w:numPr>
        <w:spacing w:line="480" w:lineRule="exact" w:before="160" w:after="120"/>
        <w:ind w:firstLine="0"/>
      </w:pPr>
      <w:bookmarkStart w:id="1314" w:name="h314"/>
      <w:bookmarkStart w:id="117" w:name="核心参数依据与相关性分析"/>
      <w:r>
        <w:rPr>
          <w:rFonts w:ascii="Times New Roman" w:hAnsi="Times New Roman" w:eastAsia="方正仿宋_GBK"/>
          <w:b/>
          <w:sz w:val="32"/>
        </w:rPr>
        <w:t xml:space="preserve">3.5 核心参数依据与相关性分析</w:t>
      </w:r>
      <w:bookmarkEnd w:id="117"/>
      <w:bookmarkEnd w:id="1314"/>
    </w:p>
    <w:p>
      <w:pPr>
        <w:pStyle w:val="5"/>
        <w:keepNext/>
        <w:numPr>
          <w:numId w:val="0"/>
        </w:numPr>
        <w:spacing w:line="390" w:lineRule="exact" w:before="160" w:after="120"/>
        <w:ind w:firstLine="0"/>
      </w:pPr>
      <w:bookmarkStart w:id="118" w:name="六项参数的选取依据"/>
      <w:r>
        <w:rPr>
          <w:rFonts w:ascii="Times New Roman" w:hAnsi="Times New Roman" w:eastAsia="方正仿宋_GBK"/>
          <w:b/>
          <w:sz w:val="26"/>
        </w:rPr>
        <w:t xml:space="preserve">3.5.1 六项参数的选取依据</w:t>
      </w:r>
      <w:bookmarkEnd w:id="118"/>
    </w:p>
    <w:p>
      <w:pPr>
        <w:pStyle w:val="FirstParagraph"/>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稿）》第6.2.2条将负荷增长、负荷分散系数和负荷转移能力列为容载比的影响因素，第7.4.2.2条要求结合新能源渗透水平校核反向容量，并开展增容与储能技术经济比选[7]。本研究据此选取源荷规模、网络支援和措施费用相关的六项参数。</w:t>
      </w:r>
    </w:p>
    <w:p>
      <w:pPr>
        <w:pStyle w:val="2"/>
        <w:keepNext/>
        <w:spacing w:line="280" w:lineRule="exact" w:before="120" w:after="80"/>
        <w:ind w:firstLine="0"/>
        <w:jc w:val="center"/>
      </w:pPr>
      <w:r>
        <w:rPr>
          <w:rFonts w:ascii="Times New Roman" w:hAnsi="Times New Roman" w:eastAsia="宋体"/>
          <w:b w:val="0"/>
          <w:sz w:val="21"/>
        </w:rPr>
        <w:t xml:space="preserve">表3-8 六项参数的定义、依据与规划作用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793"/>
        <w:gridCol w:w="3259"/>
        <w:gridCol w:w="3259"/>
      </w:tblGrid>
      <w:tr>
        <w:trPr>
          <w:cantSplit/>
          <w:tblHeader/>
        </w:trPr>
        <w:tc>
          <w:tcPr>
            <w:tcW w:type="dxa" w:w="179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定义及单位</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依据与规划作用</w:t>
            </w:r>
          </w:p>
        </w:tc>
      </w:tr>
      <w:tr>
        <w:trPr>
          <w:cantSplit/>
        </w:trPr>
        <w:tc>
          <w:tcPr>
            <w:tcW w:type="dxa" w:w="179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分布式电源装机容量与用户最大负荷之比，无量纲</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该导则第6.5.4条给出定义，第7.4.2.2条联系反向容量校核[7]；装机及负荷资料见第3.3节</w:t>
            </w:r>
          </w:p>
        </w:tc>
      </w:tr>
      <w:tr>
        <w:trPr>
          <w:cantSplit/>
        </w:trPr>
        <w:tc>
          <w:tcPr>
            <w:tcW w:type="dxa" w:w="179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同范围起止年度网供最大负荷的复合年平均增长率，%/年</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该导则第6.2.2.1条按该指标划分负荷发展阶段[7]；由同范围起止年度网供最大负荷计算</w:t>
            </w:r>
          </w:p>
        </w:tc>
      </w:tr>
      <w:tr>
        <w:trPr>
          <w:cantSplit/>
        </w:trPr>
        <w:tc>
          <w:tcPr>
            <w:tcW w:type="dxa" w:w="179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电缆长度占电缆与架空线路总长度的比例，%</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 kV线路形式影响工程费用[12]；邳州线路长度统计约11%，市区补充资料约80%，按第4.3节折算新增联络费用</w:t>
            </w:r>
          </w:p>
        </w:tc>
      </w:tr>
      <w:tr>
        <w:trPr>
          <w:cantSplit/>
        </w:trPr>
        <w:tc>
          <w:tcPr>
            <w:tcW w:type="dxa" w:w="179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基期可转负荷与基期网供最大负荷之比，%</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该导则第6.2.2.1条及馈线联络研究说明转供能力与容量储备的关系[7][8]；用于设定基期网络能力</w:t>
            </w:r>
          </w:p>
        </w:tc>
      </w:tr>
      <w:tr>
        <w:trPr>
          <w:cantSplit/>
        </w:trPr>
        <w:tc>
          <w:tcPr>
            <w:tcW w:type="dxa" w:w="179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给定功率缺口需连续支撑的时间，h</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储能定容同时考虑功率、能量及持续过程[10][28]；结合第3.4节峰段设置2、4、6 h</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各站正向峰值之和与区域同时正向峰值之比，无量纲</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该导则第6.2.2条列为容量储备影响因素[7]；各站及区域峰值取同一补齐全年序列</w:t>
            </w:r>
          </w:p>
        </w:tc>
      </w:tr>
    </w:tbl>
    <w:p>
      <w:pPr>
        <w:pStyle w:val="2"/>
        <w:widowControl/>
        <w:spacing w:line="348" w:lineRule="atLeast" w:before="0" w:after="0"/>
        <w:ind w:firstLine="480"/>
        <w:jc w:val="both"/>
      </w:pPr>
      <w:r>
        <w:rPr>
          <w:rFonts w:ascii="Times New Roman" w:hAnsi="Times New Roman" w:eastAsia="方正仿宋_GBK"/>
          <w:b w:val="0"/>
          <w:sz w:val="24"/>
        </w:rPr>
        <w:t xml:space="preserve">各项计算分别采用</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G</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x</m:t>
            </m:r>
          </m:sub>
        </m:sSub>
      </m:oMath>
      <w:r>
        <w:rPr>
          <w:rFonts w:ascii="Times New Roman" w:hAnsi="Times New Roman" w:eastAsia="方正仿宋_GBK"/>
          <w:b w:val="0"/>
          <w:sz w:val="24"/>
        </w:rPr>
        <w:t xml:space="preserve">、</w:t>
      </w:r>
      <m:oMath>
        <m:acc>
          <m:accPr>
            <m:chr m:val="‾"/>
          </m:accPr>
          <m:e>
            <m:r>
              <m:rPr>
                <m:nor m:val="1"/>
              </m:rPr>
              <w:rPr>
                <w:rFonts w:ascii="Times New Roman" w:hAnsi="Times New Roman" w:cs="Times New Roman" w:eastAsia="方正仿宋_GBK"/>
                <w:i w:val="1"/>
                <w:iCs w:val="1"/>
              </w:rPr>
              <m:t>g</m:t>
            </m:r>
          </m:e>
        </m:acc>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0</m:t>
            </m:r>
          </m:sub>
        </m:sSub>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oMath>
      <w:r>
        <w:rPr>
          <w:rFonts w:ascii="Times New Roman" w:hAnsi="Times New Roman" w:eastAsia="方正仿宋_GBK"/>
          <w:b w:val="0"/>
          <w:sz w:val="24"/>
        </w:rPr>
        <w:t xml:space="preserve">、</w:t>
      </w:r>
      <m:oMath>
        <m:r>
          <m:rPr>
            <m:nor m:val="1"/>
          </m:rPr>
          <w:rPr>
            <w:rFonts w:ascii="Times New Roman" w:hAnsi="Times New Roman" w:cs="Times New Roman" w:eastAsia="方正仿宋_GBK"/>
            <w:i w:val="1"/>
            <w:iCs w:val="1"/>
          </w:rPr>
          <m:t>α</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h</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d</m:t>
            </m:r>
          </m:sub>
        </m:sSub>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D</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e>
        </m:nary>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。其中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为基期及第</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年的年网供最大负荷，</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x</m:t>
            </m:r>
          </m:sub>
        </m:sSub>
      </m:oMath>
      <w:r>
        <w:rPr>
          <w:rFonts w:ascii="Times New Roman" w:hAnsi="Times New Roman" w:eastAsia="方正仿宋_GBK"/>
          <w:b w:val="0"/>
          <w:sz w:val="24"/>
        </w:rPr>
        <w:t xml:space="preserve">为用户最大负荷，</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为基期可转负荷，单位均为MW；</w:t>
      </w: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G</m:t>
            </m:r>
          </m:sub>
        </m:sSub>
      </m:oMath>
      <w:r>
        <w:rPr>
          <w:rFonts w:ascii="Times New Roman" w:hAnsi="Times New Roman" w:eastAsia="方正仿宋_GBK"/>
          <w:b w:val="0"/>
          <w:sz w:val="24"/>
        </w:rPr>
        <w:t xml:space="preserve">为分布式电源装机容量，单位MW；</w:t>
      </w:r>
      <m:oMath>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h</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d</m:t>
            </m:r>
          </m:sub>
        </m:sSub>
      </m:oMath>
      <w:r>
        <w:rPr>
          <w:rFonts w:ascii="Times New Roman" w:hAnsi="Times New Roman" w:eastAsia="方正仿宋_GBK"/>
          <w:b w:val="0"/>
          <w:sz w:val="24"/>
        </w:rPr>
        <w:t xml:space="preserve">分别为电缆、架空线路长度，单位km。储能支撑持续时间为本研究的规划参数，按第4.4节功率与可用电量关系参与设备比选。</w:t>
      </w:r>
    </w:p>
    <w:p>
      <w:pPr>
        <w:pStyle w:val="2"/>
        <w:keepNext/>
        <w:spacing w:line="280" w:lineRule="exact" w:before="120" w:after="80"/>
        <w:ind w:firstLine="0"/>
        <w:jc w:val="center"/>
      </w:pPr>
      <w:r>
        <w:rPr>
          <w:rFonts w:ascii="Times New Roman" w:hAnsi="Times New Roman" w:eastAsia="宋体"/>
          <w:b w:val="0"/>
          <w:sz w:val="21"/>
        </w:rPr>
        <w:t xml:space="preserve">表3-9 邳州和市区2025年指标对照</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分布式电源装机渗透率估计值</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分布式电源电量渗透率估计值</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主变年最大负载率中位数</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r>
    </w:tbl>
    <w:p>
      <w:pPr>
        <w:pStyle w:val="2"/>
        <w:keepNext/>
        <w:spacing w:line="280" w:lineRule="exact" w:before="120" w:after="80"/>
        <w:ind w:firstLine="0"/>
        <w:jc w:val="center"/>
      </w:pPr>
      <w:r>
        <w:rPr>
          <w:rFonts w:ascii="Times New Roman" w:hAnsi="Times New Roman" w:eastAsia="宋体"/>
          <w:b w:val="0"/>
          <w:sz w:val="21"/>
        </w:rPr>
        <w:t xml:space="preserve">表3-10 两地区负荷分散系数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各站最大正向净负荷之和/MW</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区域最大正向净负荷/MW</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1005.50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1455.10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1307.32</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邳州装机渗透率较高，需兼顾正向供电和日间反送，市区各站峰值相对区域同时峰值的分散程度较高，容量配置更依赖站点分布和邻站承接能力。地区转供统计及其进入模型的方法见第3.6节。</w:t>
      </w:r>
    </w:p>
    <w:p>
      <w:pPr>
        <w:pStyle w:val="2"/>
        <w:widowControl/>
        <w:spacing w:line="348" w:lineRule="exact" w:before="0" w:after="0"/>
        <w:ind w:firstLine="480"/>
        <w:jc w:val="both"/>
      </w:pPr>
      <w:r>
        <w:rPr>
          <w:rFonts w:ascii="Times New Roman" w:hAnsi="Times New Roman" w:eastAsia="方正仿宋_GBK"/>
          <w:b w:val="0"/>
          <w:sz w:val="24"/>
        </w:rPr>
        <w:t xml:space="preserve">参数的工程作用需结合容载比的构成理解。装机渗透率和平均增长率改变源荷条件，影响正向供电与反向输送所需容量；初始转供率和负荷分散系数改变站间容量能否共同利用及局部高峰任务；电缆长度占比与储能支撑持续时间则分别通过联络造价、储能有效支撑能力影响措施比选。同一参数可以先引起联络或储能调整，再在设备切换节点引起主变容量变化，因此后续同时观察容载比和设备响应。</w:t>
      </w:r>
    </w:p>
    <w:p>
      <w:pPr>
        <w:pStyle w:val="5"/>
        <w:keepNext/>
        <w:numPr>
          <w:numId w:val="0"/>
        </w:numPr>
        <w:spacing w:line="390" w:lineRule="exact" w:before="160" w:after="120"/>
        <w:ind w:firstLine="0"/>
      </w:pPr>
      <w:bookmarkStart w:id="119" w:name="参数采样及相关分析方法"/>
      <w:r>
        <w:rPr>
          <w:rFonts w:ascii="Times New Roman" w:hAnsi="Times New Roman" w:eastAsia="方正仿宋_GBK"/>
          <w:b/>
          <w:sz w:val="26"/>
        </w:rPr>
        <w:t xml:space="preserve">3.5.2 参数采样及相关分析方法</w:t>
      </w:r>
      <w:bookmarkEnd w:id="119"/>
    </w:p>
    <w:p>
      <w:pPr>
        <w:pStyle w:val="FirstParagraph"/>
        <w:keepNext/>
        <w:spacing w:line="280" w:lineRule="exact" w:before="120" w:after="80"/>
        <w:ind w:firstLine="0"/>
        <w:jc w:val="center"/>
      </w:pPr>
      <w:r>
        <w:rPr>
          <w:rFonts w:ascii="Times New Roman" w:hAnsi="Times New Roman" w:eastAsia="宋体"/>
          <w:b w:val="0"/>
          <w:sz w:val="21"/>
        </w:rPr>
        <w:t xml:space="preserve">表3-11 六项参数采样节点与矩阵分类</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793"/>
        <w:gridCol w:w="3259"/>
        <w:gridCol w:w="3259"/>
      </w:tblGrid>
      <w:tr>
        <w:trPr>
          <w:cantSplit/>
          <w:tblHeader/>
        </w:trPr>
        <w:tc>
          <w:tcPr>
            <w:tcW w:type="dxa" w:w="179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采样节点</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矩阵分类</w:t>
            </w:r>
          </w:p>
        </w:tc>
      </w:tr>
      <w:tr>
        <w:trPr>
          <w:cantSplit/>
        </w:trPr>
        <w:tc>
          <w:tcPr>
            <w:tcW w:type="dxa" w:w="179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0～3.00，步长0.25</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≤1；(1,2]；&gt;2</w:t>
            </w:r>
          </w:p>
        </w:tc>
      </w:tr>
      <w:tr>
        <w:trPr>
          <w:cantSplit/>
        </w:trPr>
        <w:tc>
          <w:tcPr>
            <w:tcW w:type="dxa" w:w="179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0、2%、3%、4%、5.5%、7%、8%、10%</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≤2%；(2%,4%]；(4%,7%]；&gt;7%</w:t>
            </w:r>
          </w:p>
        </w:tc>
      </w:tr>
      <w:tr>
        <w:trPr>
          <w:cantSplit/>
        </w:trPr>
        <w:tc>
          <w:tcPr>
            <w:tcW w:type="dxa" w:w="179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10%、30%、50%、80%、90%</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≤10%；(10%,30%]；&gt;30%</w:t>
            </w:r>
          </w:p>
        </w:tc>
      </w:tr>
      <w:tr>
        <w:trPr>
          <w:cantSplit/>
        </w:trPr>
        <w:tc>
          <w:tcPr>
            <w:tcW w:type="dxa" w:w="179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10%～90%，步长10%</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≤30%；(30%,50%]；(50%,70%]；&gt;70%</w:t>
            </w:r>
          </w:p>
        </w:tc>
      </w:tr>
      <w:tr>
        <w:trPr>
          <w:cantSplit/>
        </w:trPr>
        <w:tc>
          <w:tcPr>
            <w:tcW w:type="dxa" w:w="179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 h</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 h；4 h；6 h</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1.00、1.10、1.15</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1.00；1.10；1.15</w:t>
            </w:r>
          </w:p>
        </w:tc>
      </w:tr>
    </w:tbl>
    <w:p>
      <w:pPr>
        <w:pStyle w:val="2"/>
        <w:widowControl/>
        <w:spacing w:line="348" w:lineRule="exact" w:before="0" w:after="0"/>
        <w:ind w:firstLine="480"/>
        <w:jc w:val="both"/>
      </w:pPr>
      <w:r>
        <w:rPr>
          <w:rFonts w:ascii="Times New Roman" w:hAnsi="Times New Roman" w:eastAsia="方正仿宋_GBK"/>
          <w:b w:val="0"/>
          <w:sz w:val="24"/>
        </w:rPr>
        <w:t xml:space="preserve">增长率采用2%、4%、7%的分界[7]。装机渗透率、电缆长度占比和初始转供率按表列区间组织，首尾档开口，储能支撑持续时间和负荷分散系数按三个定值分别比较。电缆与转供参数结合一般城镇、邳州及市区网络背景取值，并补充低电缆占比下的高转供组合。六项参数按源荷条件与地区网络背景联合采样，共形成34686个互异组合，相关分析与第五章矩阵共用其中32112个有效节点。</w:t>
      </w:r>
    </w:p>
    <w:p>
      <w:pPr>
        <w:pStyle w:val="2"/>
        <w:widowControl/>
        <w:spacing w:line="348" w:lineRule="exact" w:before="0" w:after="0"/>
        <w:ind w:firstLine="480"/>
        <w:jc w:val="both"/>
      </w:pPr>
      <w:r>
        <w:rPr>
          <w:rFonts w:ascii="Times New Roman" w:hAnsi="Times New Roman" w:eastAsia="方正仿宋_GBK"/>
          <w:b w:val="0"/>
          <w:sz w:val="24"/>
        </w:rPr>
        <w:t xml:space="preserve">参数与容载比采用固定其余五项后的组内相关：同组参数值和容载比分别减去组均值，再将各组节点汇总计算Pearson系数，每组至少包含两个有效节点，节点等权，保留零响应组。参数间关联采用有效节点的六项输入相关矩阵。Pearson描述线性关联，Spearman用于检验排序关系[87][88]。</w:t>
      </w:r>
    </w:p>
    <w:p>
      <w:pPr>
        <w:pStyle w:val="5"/>
        <w:keepNext/>
        <w:numPr>
          <w:numId w:val="0"/>
        </w:numPr>
        <w:spacing w:line="390" w:lineRule="exact" w:before="160" w:after="120"/>
        <w:ind w:firstLine="0"/>
      </w:pPr>
      <w:bookmarkStart w:id="120" w:name="六项参数与容载比的关联"/>
      <w:r>
        <w:rPr>
          <w:rFonts w:ascii="Times New Roman" w:hAnsi="Times New Roman" w:eastAsia="方正仿宋_GBK"/>
          <w:b/>
          <w:sz w:val="26"/>
        </w:rPr>
        <w:t xml:space="preserve">3.5.3 六项参数与容载比的关联</w:t>
      </w:r>
      <w:bookmarkEnd w:id="120"/>
    </w:p>
    <w:p>
      <w:pPr>
        <w:pStyle w:val="FirstParagraph"/>
        <w:keepNext/>
        <w:spacing w:line="280" w:lineRule="exact" w:before="120" w:after="80"/>
        <w:ind w:firstLine="0"/>
        <w:jc w:val="center"/>
      </w:pPr>
      <w:r>
        <w:rPr>
          <w:rFonts w:ascii="Times New Roman" w:hAnsi="Times New Roman" w:eastAsia="宋体"/>
          <w:b w:val="0"/>
          <w:sz w:val="21"/>
        </w:rPr>
        <w:t xml:space="preserve">表3-12 六项参数与容载比的组内相关</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有效组数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有效节点数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Pearson</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容量响应组占比</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7584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32058</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10704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31473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w:t>
            </w:r>
          </w:p>
        </w:tc>
      </w:tr>
    </w:tbl>
    <w:p>
      <w:pPr>
        <w:pStyle w:val="2"/>
        <w:widowControl/>
        <w:spacing w:line="348" w:lineRule="exact" w:before="0" w:after="0"/>
        <w:ind w:firstLine="480"/>
        <w:jc w:val="both"/>
      </w:pPr>
      <w:r>
        <w:rPr>
          <w:rFonts w:ascii="Times New Roman" w:hAnsi="Times New Roman" w:eastAsia="方正仿宋_GBK"/>
          <w:b w:val="0"/>
          <w:sz w:val="24"/>
        </w:rPr>
        <w:t xml:space="preserve">装机渗透率与容载比的组内相关系数为0.88，装机增长提高日间反向输送需求，全部受控组均出现主变容量响应。年最大净负荷平均增长率和初始转供率的相关系数分别为－0.80、－0.74：前者同时改变目标年容量需求与容载比分母，后者通过站间支援减少部分本地容量或新增联络需求。</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储能支撑持续时间和负荷分散系数的相关系数分别为0.45、0.27、0.52。电缆占比提高使新增联络费用增加，部分组合转向主变建设；支撑时间延长使相同储能能量对应的有效功率降低；负荷分散系数提高增加局部峰值承载任务。三项参数分别在25%、12%、37%的受控组中触发主变容量变化，说明其作用集中于特定设备替代节点。</w:t>
      </w:r>
    </w:p>
    <w:p>
      <w:pPr>
        <w:pStyle w:val="2"/>
        <w:widowControl/>
        <w:spacing w:line="348" w:lineRule="exact" w:before="0" w:after="0"/>
        <w:ind w:firstLine="480"/>
        <w:jc w:val="both"/>
      </w:pPr>
      <w:r>
        <w:rPr>
          <w:rFonts w:ascii="Times New Roman" w:hAnsi="Times New Roman" w:eastAsia="方正仿宋_GBK"/>
          <w:b w:val="0"/>
          <w:sz w:val="24"/>
        </w:rPr>
        <w:t xml:space="preserve">装机渗透率的正相关与反向工况的容量需求一致。日间光伏出力增长后，净负荷可能由受入转为反送，主变容量与储能吸收能力共同决定可承载规模。对同一组背景参数，较低装机节点仍可能由晚间正向需求决定配置，进入反向约束起作用的区段后才增加设备。0.88的组内系数概括了这些分段响应，具体切换节点由第五章的设备结果解释。</w:t>
      </w:r>
    </w:p>
    <w:p>
      <w:pPr>
        <w:pStyle w:val="2"/>
        <w:widowControl/>
        <w:spacing w:line="348" w:lineRule="exact" w:before="0" w:after="0"/>
        <w:ind w:firstLine="480"/>
        <w:jc w:val="both"/>
      </w:pPr>
      <w:r>
        <w:rPr>
          <w:rFonts w:ascii="Times New Roman" w:hAnsi="Times New Roman" w:eastAsia="方正仿宋_GBK"/>
          <w:b w:val="0"/>
          <w:sz w:val="24"/>
        </w:rPr>
        <w:t xml:space="preserve">平均增长率的负相关包含容载比分母变化的作用。在初始容量一定、已建主变继续在役时，负荷增加会先消耗已有储备，达到局部供电约束后再购入整台主变，容量随设备规格跳变。因此，较低容载比可以同时对应较高负荷、更多联络及更高费用。初始转供率提高则增加既有网络可调用的支援能力，在邻站具有余量时减少新增工程；当剩余缺口由其他站点或设备规格决定时，继续提高该参数主要体现为联络投资变化。</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和支撑持续时间通过经济比选影响容量，其作用取决于设备替代条件。既有网络已满足转供任务、未选择新增联络的组合，对电缆造价变化可以保持相同配置，由主变及网络承担全部支撑的组合也可以保持储能持续时间变化前的配置。总体正相关由其他触发设备切换的组合形成。负荷分散系数增大则可能先增加邻站支援或储能，再触发主变增容，容量响应组占比用于说明此类切换的覆盖范围，具体设备组合见第五章。</w:t>
      </w:r>
    </w:p>
    <w:p>
      <w:pPr>
        <w:pStyle w:val="5"/>
        <w:keepNext/>
        <w:numPr>
          <w:numId w:val="0"/>
        </w:numPr>
        <w:spacing w:line="390" w:lineRule="exact" w:before="160" w:after="120"/>
        <w:ind w:firstLine="0"/>
      </w:pPr>
      <w:bookmarkStart w:id="121" w:name="参数之间的关联"/>
      <w:r>
        <w:rPr>
          <w:rFonts w:ascii="Times New Roman" w:hAnsi="Times New Roman" w:eastAsia="方正仿宋_GBK"/>
          <w:b/>
          <w:sz w:val="26"/>
        </w:rPr>
        <w:t xml:space="preserve">3.5.4 参数之间的关联</w:t>
      </w:r>
      <w:bookmarkEnd w:id="121"/>
    </w:p>
    <w:p>
      <w:pPr>
        <w:pStyle w:val="FirstParagraph"/>
        <w:keepNext/>
        <w:spacing w:line="280" w:lineRule="exact" w:before="120" w:after="80"/>
        <w:ind w:firstLine="0"/>
        <w:jc w:val="center"/>
      </w:pPr>
      <w:r>
        <w:rPr>
          <w:rFonts w:ascii="Times New Roman" w:hAnsi="Times New Roman" w:eastAsia="宋体"/>
          <w:b w:val="0"/>
          <w:sz w:val="21"/>
        </w:rPr>
        <w:t xml:space="preserve">表3-13 六项输入参数的Pearson相关矩阵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ηC</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ḡ</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α</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r₀</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H</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KD</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装机渗透率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平均增长率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0.28</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0.28</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支撑持续时间</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widowControl/>
        <w:spacing w:line="348" w:lineRule="exact" w:before="0" w:after="0"/>
        <w:ind w:firstLine="480"/>
        <w:jc w:val="both"/>
      </w:pPr>
      <w:r>
        <w:rPr>
          <w:rFonts w:ascii="Times New Roman" w:hAnsi="Times New Roman" w:eastAsia="方正仿宋_GBK"/>
          <w:b w:val="0"/>
          <w:sz w:val="24"/>
        </w:rPr>
        <w:t xml:space="preserve">表中符号依次对应装机渗透率</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oMath>
      <w:r>
        <w:rPr>
          <w:rFonts w:ascii="Times New Roman" w:hAnsi="Times New Roman" w:eastAsia="方正仿宋_GBK"/>
          <w:b w:val="0"/>
          <w:sz w:val="24"/>
        </w:rPr>
        <w:t xml:space="preserve">、平均增长率</w:t>
      </w:r>
      <m:oMath>
        <m:acc>
          <m:accPr>
            <m:chr m:val="‾"/>
          </m:accPr>
          <m:e>
            <m:r>
              <m:rPr>
                <m:nor m:val="1"/>
              </m:rPr>
              <w:rPr>
                <w:rFonts w:ascii="Times New Roman" w:hAnsi="Times New Roman" w:cs="Times New Roman" w:eastAsia="方正仿宋_GBK"/>
                <w:i w:val="1"/>
                <w:iCs w:val="1"/>
              </w:rPr>
              <m:t>g</m:t>
            </m:r>
          </m:e>
        </m:acc>
      </m:oMath>
      <w:r>
        <w:rPr>
          <w:rFonts w:ascii="Times New Roman" w:hAnsi="Times New Roman" w:eastAsia="方正仿宋_GBK"/>
          <w:b w:val="0"/>
          <w:sz w:val="24"/>
        </w:rPr>
        <w:t xml:space="preserve">、电缆长度占比</w:t>
      </w:r>
      <m:oMath>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、初始转供率</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、储能支撑持续时间</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及负荷分散系数</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D</m:t>
            </m:r>
          </m:sub>
        </m:sSub>
      </m:oMath>
      <w:r>
        <w:rPr>
          <w:rFonts w:ascii="Times New Roman" w:hAnsi="Times New Roman" w:eastAsia="方正仿宋_GBK"/>
          <w:b w:val="0"/>
          <w:sz w:val="24"/>
        </w:rPr>
        <w:t xml:space="preserve">。</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与初始转供率的Pearson系数为0.28，Spearman系数为0.24，反映两项参数在本次联合情景中具有共同的地区建设背景，但二者分别通过线路造价和既有网络支援作用于设备配置。其余输入配对的Pearson绝对值均不超过0.15，样本库中的线性关联较弱。上述系数描述联合采样及可行性筛选后的输入关系，实际地区的关系仍需结合对应记录判断。</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较高的地区往往具有不同的线路建设形态和联络条件，本次情景据此安排联合取值，同时保留造价输入和既有能力输入各自的作用。其余配对线性关联较弱，说明本库保留了较多交叉变化组合，可用于进一步比较各参数的受控响应。</w:t>
      </w:r>
    </w:p>
    <w:p>
      <w:pPr>
        <w:pStyle w:val="4"/>
        <w:keepNext/>
        <w:numPr>
          <w:numId w:val="0"/>
        </w:numPr>
        <w:spacing w:line="480" w:lineRule="exact" w:before="160" w:after="120"/>
        <w:ind w:firstLine="0"/>
      </w:pPr>
      <w:bookmarkStart w:id="1339" w:name="h339"/>
      <w:bookmarkStart w:id="122" w:name="kv负荷转接资料与仿真条件"/>
      <w:r>
        <w:rPr>
          <w:rFonts w:ascii="Times New Roman" w:hAnsi="Times New Roman" w:eastAsia="方正仿宋_GBK"/>
          <w:b/>
          <w:sz w:val="32"/>
        </w:rPr>
        <w:t xml:space="preserve">3.6 10 kV负荷转接资料与仿真条件</w:t>
      </w:r>
      <w:bookmarkEnd w:id="122"/>
      <w:bookmarkEnd w:id="1339"/>
    </w:p>
    <w:p>
      <w:pPr>
        <w:pStyle w:val="5"/>
        <w:keepNext/>
        <w:numPr>
          <w:numId w:val="0"/>
        </w:numPr>
        <w:spacing w:line="390" w:lineRule="exact" w:before="160" w:after="120"/>
        <w:ind w:firstLine="0"/>
      </w:pPr>
      <w:bookmarkStart w:id="123" w:name="地区转供统计与计算方法"/>
      <w:r>
        <w:rPr>
          <w:rFonts w:ascii="Times New Roman" w:hAnsi="Times New Roman" w:eastAsia="方正仿宋_GBK"/>
          <w:b/>
          <w:sz w:val="26"/>
        </w:rPr>
        <w:t xml:space="preserve">3.6.1 地区转供统计与计算方法</w:t>
      </w:r>
      <w:bookmarkEnd w:id="123"/>
    </w:p>
    <w:p>
      <w:pPr>
        <w:pStyle w:val="FirstParagraph"/>
        <w:widowControl/>
        <w:spacing w:line="348" w:lineRule="exact" w:before="0" w:after="0"/>
        <w:ind w:firstLine="480"/>
        <w:jc w:val="both"/>
      </w:pPr>
      <w:r>
        <w:rPr>
          <w:rFonts w:ascii="Times New Roman" w:hAnsi="Times New Roman" w:eastAsia="方正仿宋_GBK"/>
          <w:b w:val="0"/>
          <w:sz w:val="24"/>
        </w:rPr>
        <w:t xml:space="preserve">转供能力采用徐州地区变电站全停条件下的负荷转移统计数据，包含各站可由站外电源承担的最大负荷及相应损失负荷。以两项之和作为全停前需供负荷，按各站可转负荷之和占需供负荷总量的比例计算地区负荷加权转供率。</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r</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f>
                <m:fPr>
                  <m:type m:val="bar"/>
                </m:fPr>
                <m:num>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e>
                  </m:nary>
                </m:num>
                <m:den>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（3-8）</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为变电站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全停时站外最大可供负荷，</w:t>
      </w:r>
      <m:oMath>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为相应损失负荷，单位MW；</w:t>
      </w:r>
      <m:oMath>
        <m:sSub>
          <m:e>
            <m:r>
              <m:rPr>
                <m:nor m:val="1"/>
              </m:rPr>
              <w:rPr>
                <w:rFonts w:ascii="Times New Roman" w:hAnsi="Times New Roman" w:cs="Times New Roman" w:eastAsia="方正仿宋_GBK"/>
                <w:i w:val="1"/>
                <w:iCs w:val="1"/>
              </w:rPr>
              <m:t>r</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Sub>
      </m:oMath>
      <w:r>
        <w:rPr>
          <w:rFonts w:ascii="Times New Roman" w:hAnsi="Times New Roman" w:eastAsia="方正仿宋_GBK"/>
          <w:b w:val="0"/>
          <w:sz w:val="24"/>
        </w:rPr>
        <w:t xml:space="preserve">为地区负荷加权转供率。按原表全部电压等级记录汇总，市区约92%、邳州约67%，用于描述地区网络背景和确定推广采样范围。</w:t>
      </w:r>
    </w:p>
    <w:p>
      <w:pPr>
        <w:pStyle w:val="5"/>
        <w:keepNext/>
        <w:numPr>
          <w:numId w:val="0"/>
        </w:numPr>
        <w:spacing w:line="390" w:lineRule="exact" w:before="160" w:after="120"/>
        <w:ind w:firstLine="0"/>
      </w:pPr>
      <w:bookmarkStart w:id="124" w:name="逐站能力及网络约束"/>
      <w:r>
        <w:rPr>
          <w:rFonts w:ascii="Times New Roman" w:hAnsi="Times New Roman" w:eastAsia="方正仿宋_GBK"/>
          <w:b/>
          <w:sz w:val="26"/>
        </w:rPr>
        <w:t xml:space="preserve">3.6.2 逐站能力及网络约束</w:t>
      </w:r>
      <w:bookmarkEnd w:id="124"/>
    </w:p>
    <w:p>
      <w:pPr>
        <w:pStyle w:val="FirstParagraph"/>
        <w:widowControl/>
        <w:spacing w:line="348" w:lineRule="exact" w:before="0" w:after="0"/>
        <w:ind w:firstLine="480"/>
        <w:jc w:val="both"/>
      </w:pPr>
      <w:r>
        <w:rPr>
          <w:rFonts w:ascii="Times New Roman" w:hAnsi="Times New Roman" w:eastAsia="方正仿宋_GBK"/>
          <w:b w:val="0"/>
          <w:sz w:val="24"/>
        </w:rPr>
        <w:t xml:space="preserve">地区案例将全停转供统计与110 kV站点逐一匹配，市区26座实体站、邳州20座站采用对应记录，每站既有转供功率之和受站外最大可供负荷与既有网络标定预算的较小值限制。市区3座模拟站按既定设备参与地区计算，既有转供能力取零。</w:t>
      </w:r>
    </w:p>
    <w:p>
      <w:pPr>
        <w:pStyle w:val="2"/>
        <w:widowControl/>
        <w:spacing w:line="348" w:lineRule="exact" w:before="0" w:after="0"/>
        <w:ind w:firstLine="480"/>
        <w:jc w:val="both"/>
      </w:pPr>
      <w:r>
        <w:rPr>
          <w:rFonts w:ascii="Times New Roman" w:hAnsi="Times New Roman" w:eastAsia="方正仿宋_GBK"/>
          <w:b w:val="0"/>
          <w:sz w:val="24"/>
        </w:rPr>
        <w:t xml:space="preserve">既有通道与新增候选分别记录馈线端点和有效容量，正常运行允许调整供区，主变故障后重新分配转供。各通道共同校核源端可切负荷、共享馈线余量和接收站容量，新增联络单项有效能力为7.49 MW，工程费用按地区电缆长度占比计算。</w:t>
      </w:r>
    </w:p>
    <w:p>
      <w:pPr>
        <w:pStyle w:val="2"/>
        <w:widowControl/>
        <w:spacing w:line="348" w:lineRule="exact" w:before="0" w:after="0"/>
        <w:ind w:firstLine="480"/>
        <w:jc w:val="both"/>
      </w:pPr>
      <w:r>
        <w:rPr>
          <w:rFonts w:ascii="Times New Roman" w:hAnsi="Times New Roman" w:eastAsia="方正仿宋_GBK"/>
          <w:b w:val="0"/>
          <w:sz w:val="24"/>
        </w:rPr>
        <w:t xml:space="preserve">DL/T 5729—2023第7.1.2条对A+、A类及B、C类供电区域的中压负荷转移比例分别给出50%～70%、30%～50%的参考[5]。本研究保留上述分区依据，地区案例采用补充资料的逐站MW能力，推广模板按10%～90%初始转供率设置基期网络。</w:t>
      </w:r>
    </w:p>
    <w:p>
      <w:pPr>
        <w:pStyle w:val="5"/>
        <w:keepNext/>
        <w:numPr>
          <w:numId w:val="0"/>
        </w:numPr>
        <w:spacing w:line="390" w:lineRule="exact" w:before="160" w:after="120"/>
        <w:ind w:firstLine="0"/>
      </w:pPr>
      <w:bookmarkStart w:id="125" w:name="电源归属及反向功率"/>
      <w:r>
        <w:rPr>
          <w:rFonts w:ascii="Times New Roman" w:hAnsi="Times New Roman" w:eastAsia="方正仿宋_GBK"/>
          <w:b/>
          <w:sz w:val="26"/>
        </w:rPr>
        <w:t xml:space="preserve">3.6.3 电源归属及反向功率</w:t>
      </w:r>
      <w:bookmarkEnd w:id="125"/>
    </w:p>
    <w:p>
      <w:pPr>
        <w:pStyle w:val="FirstParagraph"/>
        <w:widowControl/>
        <w:spacing w:line="348" w:lineRule="exact" w:before="0" w:after="0"/>
        <w:ind w:firstLine="480"/>
        <w:jc w:val="both"/>
      </w:pPr>
      <w:r>
        <w:rPr>
          <w:rFonts w:ascii="Times New Roman" w:hAnsi="Times New Roman" w:eastAsia="方正仿宋_GBK"/>
          <w:b w:val="0"/>
          <w:sz w:val="24"/>
        </w:rPr>
        <w:t xml:space="preserve">正常转供改变用电负荷分配，电源仍保留原站归属，因此每个静态工况需按转出、转入功率重新计算净负荷，并同时校核正向供电和反向容量。转出功率以本站原始可转负荷为上限，区域内部转入、转出合计相等。</w:t>
      </w:r>
    </w:p>
    <w:p>
      <w:pPr>
        <w:pStyle w:val="4"/>
        <w:keepNext/>
        <w:numPr>
          <w:numId w:val="0"/>
        </w:numPr>
        <w:spacing w:line="480" w:lineRule="exact" w:before="160" w:after="120"/>
        <w:ind w:firstLine="0"/>
      </w:pPr>
      <w:bookmarkStart w:id="1349" w:name="h349"/>
      <w:bookmarkStart w:id="126" w:name="站级负载率与配置需求"/>
      <w:r>
        <w:rPr>
          <w:rFonts w:ascii="Times New Roman" w:hAnsi="Times New Roman" w:eastAsia="方正仿宋_GBK"/>
          <w:b/>
          <w:sz w:val="32"/>
        </w:rPr>
        <w:t xml:space="preserve">3.7 站级负载率与配置需求</w:t>
      </w:r>
      <w:bookmarkEnd w:id="126"/>
      <w:bookmarkEnd w:id="1349"/>
    </w:p>
    <w:p>
      <w:pPr>
        <w:pStyle w:val="5"/>
        <w:keepNext/>
        <w:numPr>
          <w:numId w:val="0"/>
        </w:numPr>
        <w:spacing w:line="390" w:lineRule="exact" w:before="160" w:after="120"/>
        <w:ind w:firstLine="0"/>
      </w:pPr>
      <w:bookmarkStart w:id="127" w:name="邳州站级相对负载"/>
      <w:r>
        <w:rPr>
          <w:rFonts w:ascii="Times New Roman" w:hAnsi="Times New Roman" w:eastAsia="方正仿宋_GBK"/>
          <w:b/>
          <w:sz w:val="26"/>
        </w:rPr>
        <w:t xml:space="preserve">3.7.1 邳州站级相对负载</w:t>
      </w:r>
      <w:bookmarkEnd w:id="127"/>
    </w:p>
    <w:p>
      <w:pPr>
        <w:pStyle w:val="FirstParagraph"/>
        <w:widowControl/>
        <w:spacing w:line="348" w:lineRule="exact" w:before="0" w:after="0"/>
        <w:ind w:firstLine="480"/>
        <w:jc w:val="both"/>
      </w:pPr>
      <w:r>
        <w:rPr>
          <w:rFonts w:ascii="Times New Roman" w:hAnsi="Times New Roman" w:eastAsia="方正仿宋_GBK"/>
          <w:b w:val="0"/>
          <w:sz w:val="24"/>
        </w:rPr>
        <w:t xml:space="preserve">图中比较各站2022—2025年的负载率，反映年度负荷变化对相同设备结构的影响。</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311856"/>
            <wp:effectExtent b="0" l="0" r="0" t="0"/>
            <wp:docPr descr="" title="" id="1" name="Picture"/>
            <a:graphic>
              <a:graphicData uri="http://schemas.openxmlformats.org/drawingml/2006/picture">
                <pic:pic>
                  <pic:nvPicPr>
                    <pic:cNvPr descr="研究报告/02图表/当前版/pizhou_modeled_peaks.png" id="0" name="Picture"/>
                    <pic:cNvPicPr>
                      <a:picLocks noChangeArrowheads="1" noChangeAspect="1"/>
                    </pic:cNvPicPr>
                  </pic:nvPicPr>
                  <pic:blipFill>
                    <a:blip r:embed="rId128"/>
                    <a:stretch>
                      <a:fillRect/>
                    </a:stretch>
                  </pic:blipFill>
                  <pic:spPr bwMode="auto">
                    <a:xfrm>
                      <a:off x="0" y="0"/>
                      <a:ext cx="5120640" cy="331185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图3-7 邳州站级负载率</w:t>
      </w:r>
    </w:p>
    <w:p>
      <w:pPr>
        <w:pStyle w:val="5"/>
        <w:keepNext/>
        <w:numPr>
          <w:numId w:val="0"/>
        </w:numPr>
        <w:spacing w:line="390" w:lineRule="exact" w:before="160" w:after="120"/>
        <w:ind w:firstLine="0"/>
      </w:pPr>
      <w:bookmarkStart w:id="129" w:name="市区站级相对负载"/>
      <w:r>
        <w:rPr>
          <w:rFonts w:ascii="Times New Roman" w:hAnsi="Times New Roman" w:eastAsia="方正仿宋_GBK"/>
          <w:b/>
          <w:sz w:val="26"/>
        </w:rPr>
        <w:t xml:space="preserve">3.7.2 市区站级相对负载</w:t>
      </w:r>
      <w:bookmarkEnd w:id="129"/>
    </w:p>
    <w:p>
      <w:pPr>
        <w:pStyle w:val="FirstParagraph"/>
        <w:keepNext/>
        <w:spacing w:line="240" w:lineRule="auto" w:before="120" w:after="0"/>
        <w:ind w:firstLine="0" w:firstLineChars="0" w:hanging="0" w:hangingChars="0" w:left="0" w:right="0" w:start="0" w:end="0" w:leftChars="0" w:rightChars="0" w:startChars="0" w:endChars="0"/>
        <w:jc w:val="center"/>
      </w:pPr>
      <w:r>
        <w:drawing>
          <wp:inline>
            <wp:extent cx="5120640" cy="3950850"/>
            <wp:effectExtent b="0" l="0" r="0" t="0"/>
            <wp:docPr descr="" title="" id="1" name="Picture"/>
            <a:graphic>
              <a:graphicData uri="http://schemas.openxmlformats.org/drawingml/2006/picture">
                <pic:pic>
                  <pic:nvPicPr>
                    <pic:cNvPr descr="研究报告/02图表/当前版/city_modeled_peaks.png" id="0" name="Picture"/>
                    <pic:cNvPicPr>
                      <a:picLocks noChangeArrowheads="1" noChangeAspect="1"/>
                    </pic:cNvPicPr>
                  </pic:nvPicPr>
                  <pic:blipFill>
                    <a:blip r:embed="rId130"/>
                    <a:stretch>
                      <a:fillRect/>
                    </a:stretch>
                  </pic:blipFill>
                  <pic:spPr bwMode="auto">
                    <a:xfrm>
                      <a:off x="0" y="0"/>
                      <a:ext cx="5120640" cy="395085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图3-8 市区站级负载率</w:t>
      </w:r>
    </w:p>
    <w:p>
      <w:pPr>
        <w:pStyle w:val="2"/>
        <w:widowControl/>
        <w:spacing w:line="348" w:lineRule="exact" w:before="0" w:after="0"/>
        <w:ind w:firstLine="480"/>
        <w:jc w:val="both"/>
      </w:pPr>
      <w:r>
        <w:rPr>
          <w:rFonts w:ascii="Times New Roman" w:hAnsi="Times New Roman" w:eastAsia="方正仿宋_GBK"/>
          <w:b w:val="0"/>
          <w:sz w:val="24"/>
        </w:rPr>
        <w:t xml:space="preserve">市区站级图表按能够与设备资料对应的26座站列示。地区容量、负荷及费用按统一计算范围汇总，站级展示范围与地区汇总范围分别使用。</w:t>
      </w:r>
    </w:p>
    <w:p>
      <w:pPr>
        <w:pStyle w:val="5"/>
        <w:keepNext/>
        <w:numPr>
          <w:numId w:val="0"/>
        </w:numPr>
        <w:spacing w:line="390" w:lineRule="exact" w:before="160" w:after="120"/>
        <w:ind w:firstLine="0"/>
      </w:pPr>
      <w:bookmarkStart w:id="131" w:name="负载率与规划措施的联系"/>
      <w:r>
        <w:rPr>
          <w:rFonts w:ascii="Times New Roman" w:hAnsi="Times New Roman" w:eastAsia="方正仿宋_GBK"/>
          <w:b/>
          <w:sz w:val="26"/>
        </w:rPr>
        <w:t xml:space="preserve">3.7.3 负载率与规划措施的联系</w:t>
      </w:r>
      <w:bookmarkEnd w:id="131"/>
    </w:p>
    <w:p>
      <w:pPr>
        <w:pStyle w:val="FirstParagraph"/>
        <w:widowControl/>
        <w:spacing w:line="348" w:lineRule="exact" w:before="0" w:after="0"/>
        <w:ind w:firstLine="480"/>
        <w:jc w:val="both"/>
      </w:pPr>
      <w:r>
        <w:rPr>
          <w:rFonts w:ascii="Times New Roman" w:hAnsi="Times New Roman" w:eastAsia="方正仿宋_GBK"/>
          <w:b w:val="0"/>
          <w:sz w:val="24"/>
        </w:rPr>
        <w:t xml:space="preserve">站级负载率超过100%时，需要通过转供、扩容或储能满足容量需求。具体配置结合正常运行与主变N-1约束在第五章比较。</w:t>
      </w:r>
    </w:p>
    <w:p>
      <w:pPr>
        <w:pStyle w:val="5"/>
        <w:keepNext/>
        <w:numPr>
          <w:numId w:val="0"/>
        </w:numPr>
        <w:spacing w:line="390" w:lineRule="exact" w:before="160" w:after="120"/>
        <w:ind w:firstLine="0"/>
      </w:pPr>
      <w:bookmarkStart w:id="132" w:name="较高负载率站的方向与配置条件"/>
      <w:r>
        <w:rPr>
          <w:rFonts w:ascii="Times New Roman" w:hAnsi="Times New Roman" w:eastAsia="方正仿宋_GBK"/>
          <w:b/>
          <w:sz w:val="26"/>
        </w:rPr>
        <w:t xml:space="preserve">3.7.4 较高负载率站的方向与配置条件</w:t>
      </w:r>
      <w:bookmarkEnd w:id="132"/>
    </w:p>
    <w:p>
      <w:pPr>
        <w:pStyle w:val="FirstParagraph"/>
        <w:keepNext/>
        <w:spacing w:line="280" w:lineRule="exact" w:before="120" w:after="80"/>
        <w:ind w:firstLine="0"/>
        <w:jc w:val="center"/>
      </w:pPr>
      <w:r>
        <w:rPr>
          <w:rFonts w:ascii="Times New Roman" w:hAnsi="Times New Roman" w:eastAsia="宋体"/>
          <w:b w:val="0"/>
          <w:sz w:val="21"/>
        </w:rPr>
        <w:t xml:space="preserve">表3-14 2025年站级负载率较高的站</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变电站</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初始公用主变总容量/MVA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主导方向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铁富变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杜村变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兴塘变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二庙变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戴庄变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反向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35.38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反向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宿羊山变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59.52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西郊变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拾屯变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惠民变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庆云桥变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65.76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堤北变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翟山变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花园变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63.57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bl>
    <w:p>
      <w:pPr>
        <w:pStyle w:val="2"/>
        <w:widowControl/>
        <w:spacing w:line="348" w:lineRule="exact" w:before="0" w:after="0"/>
        <w:ind w:firstLine="480"/>
        <w:jc w:val="both"/>
      </w:pPr>
      <w:r>
        <w:rPr>
          <w:rFonts w:ascii="Times New Roman" w:hAnsi="Times New Roman" w:eastAsia="方正仿宋_GBK"/>
          <w:b w:val="0"/>
          <w:sz w:val="24"/>
        </w:rPr>
        <w:t xml:space="preserve">站级负载率同时取决于净负荷和初始主变容量。容量较小的站，即使功率绝对值不大，也可能需要更多转供或本地支撑，容量较大的站则可能承担邻站负荷。上表同时保留正反向功率和初始容量，使图中的相对压力能够对应具体设备条件。</w:t>
      </w:r>
    </w:p>
    <w:p>
      <w:pPr>
        <w:pStyle w:val="5"/>
        <w:keepNext/>
        <w:numPr>
          <w:numId w:val="0"/>
        </w:numPr>
        <w:spacing w:line="390" w:lineRule="exact" w:before="160" w:after="120"/>
        <w:ind w:firstLine="0"/>
      </w:pPr>
      <w:bookmarkStart w:id="133" w:name="站级功率的主导方向"/>
      <w:r>
        <w:rPr>
          <w:rFonts w:ascii="Times New Roman" w:hAnsi="Times New Roman" w:eastAsia="方正仿宋_GBK"/>
          <w:b/>
          <w:sz w:val="26"/>
        </w:rPr>
        <w:t xml:space="preserve">3.7.5 站级功率的主导方向</w:t>
      </w:r>
      <w:bookmarkEnd w:id="133"/>
    </w:p>
    <w:p>
      <w:pPr>
        <w:pStyle w:val="FirstParagraph"/>
        <w:keepNext/>
        <w:spacing w:line="280" w:lineRule="exact" w:before="120" w:after="80"/>
        <w:ind w:firstLine="0"/>
        <w:jc w:val="center"/>
      </w:pPr>
      <w:r>
        <w:rPr>
          <w:rFonts w:ascii="Times New Roman" w:hAnsi="Times New Roman" w:eastAsia="宋体"/>
          <w:b w:val="0"/>
          <w:sz w:val="21"/>
        </w:rPr>
        <w:t xml:space="preserve">表3-15 站级展示范围内的功率方向及相对压力</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正向幅值较大站数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反向幅值较大站数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站级负载率超过100%的站数</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r>
    </w:tbl>
    <w:p>
      <w:pPr>
        <w:pStyle w:val="2"/>
        <w:widowControl/>
        <w:spacing w:line="348" w:lineRule="exact" w:before="0" w:after="0"/>
        <w:ind w:firstLine="480"/>
        <w:jc w:val="both"/>
      </w:pPr>
      <w:r>
        <w:rPr>
          <w:rFonts w:ascii="Times New Roman" w:hAnsi="Times New Roman" w:eastAsia="方正仿宋_GBK"/>
          <w:b w:val="0"/>
          <w:sz w:val="24"/>
        </w:rPr>
        <w:t xml:space="preserve">正向和反向幅值的比较用于识别所设工况下的容量压力来源。正向幅值较大的站重点核对负荷高峰及主变N-1后的供电能力，反向幅值较大的站还需检查转出用电负荷后是否增加本站反送需求。建设方案以第五章逐工况网络校核为依据。</w:t>
      </w:r>
    </w:p>
    <w:p>
      <w:pPr>
        <w:pStyle w:val="4"/>
        <w:keepNext/>
        <w:numPr>
          <w:numId w:val="0"/>
        </w:numPr>
        <w:spacing w:line="480" w:lineRule="exact" w:before="160" w:after="120"/>
        <w:ind w:firstLine="0"/>
      </w:pPr>
      <w:bookmarkStart w:id="1366" w:name="h366"/>
      <w:bookmarkStart w:id="134" w:name="运行特征的综合分析"/>
      <w:r>
        <w:rPr>
          <w:rFonts w:ascii="Times New Roman" w:hAnsi="Times New Roman" w:eastAsia="方正仿宋_GBK"/>
          <w:b/>
          <w:sz w:val="32"/>
        </w:rPr>
        <w:t xml:space="preserve">3.8 运行特征的综合分析</w:t>
      </w:r>
      <w:bookmarkEnd w:id="134"/>
      <w:bookmarkEnd w:id="1366"/>
    </w:p>
    <w:p>
      <w:pPr>
        <w:pStyle w:val="5"/>
        <w:keepNext/>
        <w:numPr>
          <w:numId w:val="0"/>
        </w:numPr>
        <w:spacing w:line="390" w:lineRule="exact" w:before="160" w:after="120"/>
        <w:ind w:firstLine="0"/>
      </w:pPr>
      <w:bookmarkStart w:id="135" w:name="容量建设与负荷变化的不同作用"/>
      <w:r>
        <w:rPr>
          <w:rFonts w:ascii="Times New Roman" w:hAnsi="Times New Roman" w:eastAsia="方正仿宋_GBK"/>
          <w:b/>
          <w:sz w:val="26"/>
        </w:rPr>
        <w:t xml:space="preserve">3.8.1 容量建设与负荷变化的不同作用</w:t>
      </w:r>
      <w:bookmarkEnd w:id="135"/>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2021—2025年邳州公用主变总容量由2027.00 MVA变为2139.50 MVA，净增加112.50 MVA；年网供最大负荷由731.77 MW增加到956.45 MW，增加224.68 MW。负荷增长幅度高于容量增长幅度，年度容载比由2.77降至2.24。市区同期主变容量由3113.50 MVA增加到3701.00 MVA，增加587.50 MVA；年网供最大负荷增加79.05 MW，容载比由2.15升至2.42。两个地区的比值变化反映了不同的容量投放与负荷增长关系。</w:t>
      </w:r>
    </w:p>
    <w:p>
      <w:pPr>
        <w:pStyle w:val="2"/>
        <w:widowControl/>
        <w:spacing w:line="348" w:lineRule="exact" w:before="0" w:after="0"/>
        <w:ind w:firstLine="480"/>
        <w:jc w:val="both"/>
      </w:pPr>
      <w:r>
        <w:rPr>
          <w:rFonts w:ascii="Times New Roman" w:hAnsi="Times New Roman" w:eastAsia="方正仿宋_GBK"/>
          <w:b w:val="0"/>
          <w:sz w:val="24"/>
        </w:rPr>
        <w:t xml:space="preserve">年度比值按容量和负荷两部分分解。下表采用与第五章相同的代数关系：先将新增容量除以本年负荷，得到容量变化贡献；再将上年容量乘以两年负荷倒数之差，得到负荷变化贡献。两项之和等于相邻年度容载比差值，据此判断各年的比值变化主要来自容量调整还是负荷波动。</w:t>
      </w:r>
    </w:p>
    <w:p>
      <w:pPr>
        <w:pStyle w:val="2"/>
        <w:keepNext/>
        <w:spacing w:line="280" w:lineRule="exact" w:before="120" w:after="80"/>
        <w:ind w:firstLine="0"/>
        <w:jc w:val="center"/>
      </w:pPr>
      <w:r>
        <w:rPr>
          <w:rFonts w:ascii="Times New Roman" w:hAnsi="Times New Roman" w:eastAsia="宋体"/>
          <w:b w:val="0"/>
          <w:sz w:val="21"/>
        </w:rPr>
        <w:t xml:space="preserve">表3-16 年度容载比变化的容量与负荷分解</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公用主变总容量变化/MVA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年网供最大负荷变化/MW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容量变化贡献</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负荷变化贡献</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容载比变化</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-63.77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101.43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93.79</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-0.28</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0.19</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109.85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2023年负荷回落而容量增加，两项变化共同推高容载比。2025年则出现容量小幅减少、负荷较快增加，容载比下降。市区2024年容量增加、负荷回落，容载比提高到2.54；2025年负荷恢复增长，比值随之回落。年度容载比的升降由容量投放、存量调整与负荷变化共同解释。</w:t>
      </w:r>
    </w:p>
    <w:p>
      <w:pPr>
        <w:pStyle w:val="2"/>
        <w:widowControl/>
        <w:spacing w:line="348" w:lineRule="exact" w:before="0" w:after="0"/>
        <w:ind w:firstLine="480"/>
        <w:jc w:val="both"/>
      </w:pPr>
      <w:r>
        <w:rPr>
          <w:rFonts w:ascii="Times New Roman" w:hAnsi="Times New Roman" w:eastAsia="方正仿宋_GBK"/>
          <w:b w:val="0"/>
          <w:sz w:val="24"/>
        </w:rPr>
        <w:t xml:space="preserve">这种区分对规划建设时序有直接意义。新主变投运后短期内常形成一定容量储备，随着新增用户逐步接入，设备负载和年网供最大负荷上升，容载比相应降低。评价规划效果时，应同时观察容量、负荷和投运年份。第五章采用逐年方案，正是为了将这些变化落实到建设规模和投运时点。</w:t>
      </w:r>
    </w:p>
    <w:p>
      <w:pPr>
        <w:pStyle w:val="5"/>
        <w:keepNext/>
        <w:numPr>
          <w:numId w:val="0"/>
        </w:numPr>
        <w:spacing w:line="390" w:lineRule="exact" w:before="160" w:after="120"/>
        <w:ind w:firstLine="0"/>
      </w:pPr>
      <w:bookmarkStart w:id="136" w:name="光伏发电与用电高峰的季节关系"/>
      <w:r>
        <w:rPr>
          <w:rFonts w:ascii="Times New Roman" w:hAnsi="Times New Roman" w:eastAsia="方正仿宋_GBK"/>
          <w:b/>
          <w:sz w:val="26"/>
        </w:rPr>
        <w:t xml:space="preserve">3.8.2 光伏发电与用电高峰的季节关系</w:t>
      </w:r>
      <w:bookmarkEnd w:id="136"/>
    </w:p>
    <w:p>
      <w:pPr>
        <w:pStyle w:val="FirstParagraph"/>
        <w:widowControl/>
        <w:spacing w:line="348" w:lineRule="exact" w:before="0" w:after="0"/>
        <w:ind w:firstLine="480"/>
        <w:jc w:val="both"/>
      </w:pPr>
      <w:r>
        <w:rPr>
          <w:rFonts w:ascii="Times New Roman" w:hAnsi="Times New Roman" w:eastAsia="方正仿宋_GBK"/>
          <w:b w:val="0"/>
          <w:sz w:val="24"/>
        </w:rPr>
        <w:t xml:space="preserve">光伏发电量与用户用电量共同决定分布式电源电量渗透率。邳州2025年5月该指标约60%，高于7月的38%，但7月光伏发电量为212845.47 MWh，高于5月的163851.67 MWh，说明比值差异还需结合用电规模解释。7月用户用电量为562354.97 MWh，明显高于5月的271920.09 MWh，较大的用电分母使其电量渗透率较低。</w:t>
      </w:r>
    </w:p>
    <w:p>
      <w:pPr>
        <w:pStyle w:val="2"/>
        <w:keepNext/>
        <w:spacing w:line="280" w:lineRule="exact" w:before="120" w:after="80"/>
        <w:ind w:firstLine="0"/>
        <w:jc w:val="center"/>
      </w:pPr>
      <w:r>
        <w:rPr>
          <w:rFonts w:ascii="Times New Roman" w:hAnsi="Times New Roman" w:eastAsia="宋体"/>
          <w:b w:val="0"/>
          <w:sz w:val="21"/>
        </w:rPr>
        <w:t xml:space="preserve">表3-17 邳州2025年分季度源荷电量特征</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光伏发电量估计/MWh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用户用电量估计/MWh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第1季度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321354.59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975677.35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755.80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第2季度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485794.73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880481.11</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700.77</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第3季度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435215.49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1310676.45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第4季度</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455905.92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1049556.71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589.21</w:t>
            </w:r>
          </w:p>
        </w:tc>
      </w:tr>
    </w:tbl>
    <w:p>
      <w:pPr>
        <w:pStyle w:val="2"/>
        <w:widowControl/>
        <w:spacing w:line="348" w:lineRule="exact" w:before="0" w:after="0"/>
        <w:ind w:firstLine="480"/>
        <w:jc w:val="both"/>
      </w:pPr>
      <w:r>
        <w:rPr>
          <w:rFonts w:ascii="Times New Roman" w:hAnsi="Times New Roman" w:eastAsia="方正仿宋_GBK"/>
          <w:b w:val="0"/>
          <w:sz w:val="24"/>
        </w:rPr>
        <w:t xml:space="preserve">季度统计采用各月发电量与用电量分别加总后再计算比值，保留各月电量规模的差异。区域年度指标同样采用全年电量合计，月度指标则用于分析季节变化。</w:t>
      </w:r>
    </w:p>
    <w:p>
      <w:pPr>
        <w:pStyle w:val="2"/>
        <w:widowControl/>
        <w:spacing w:line="348" w:lineRule="exact" w:before="0" w:after="0"/>
        <w:ind w:firstLine="480"/>
        <w:jc w:val="both"/>
      </w:pPr>
      <w:r>
        <w:rPr>
          <w:rFonts w:ascii="Times New Roman" w:hAnsi="Times New Roman" w:eastAsia="方正仿宋_GBK"/>
          <w:b w:val="0"/>
          <w:sz w:val="24"/>
        </w:rPr>
        <w:t xml:space="preserve">最大正向净负荷反映电网需承担的峰值任务，发电量和用电量反映全年或全季的电量交换。7月出现较高光伏发电量，同时仍出现956.45 MW的最大正向净负荷，说明光伏电量规模与年度供电峰值需要分别评价。光伏出力较高的日间可以减少受电，但光伏较低或无出力时的负荷仍需要主变供给。容量规划因此同时保留装机、电量和功率极值三类信息。</w:t>
      </w:r>
    </w:p>
    <w:p>
      <w:pPr>
        <w:pStyle w:val="2"/>
        <w:widowControl/>
        <w:spacing w:line="348" w:lineRule="exact" w:before="0" w:after="0"/>
        <w:ind w:firstLine="480"/>
        <w:jc w:val="both"/>
      </w:pPr>
      <w:r>
        <w:rPr>
          <w:rFonts w:ascii="Times New Roman" w:hAnsi="Times New Roman" w:eastAsia="方正仿宋_GBK"/>
          <w:b w:val="0"/>
          <w:sz w:val="24"/>
        </w:rPr>
        <w:t xml:space="preserve">分布式电源电量渗透率说明本地电源对年度用电的贡献，储能定容则依据功率缺口所在时段及连续长度。若主要问题是较短的正向尖峰，放电削峰可能减少所需主变容量；若主要问题是持续较长的日间反送，充电吸收需要相应能量空间。两种用途分别对应不同运行方向和时序要求。</w:t>
      </w:r>
    </w:p>
    <w:p>
      <w:pPr>
        <w:pStyle w:val="5"/>
        <w:keepNext/>
        <w:numPr>
          <w:numId w:val="0"/>
        </w:numPr>
        <w:spacing w:line="390" w:lineRule="exact" w:before="160" w:after="120"/>
        <w:ind w:firstLine="0"/>
      </w:pPr>
      <w:bookmarkStart w:id="137" w:name="区域容量储备与重载设备并存"/>
      <w:r>
        <w:rPr>
          <w:rFonts w:ascii="Times New Roman" w:hAnsi="Times New Roman" w:eastAsia="方正仿宋_GBK"/>
          <w:b/>
          <w:sz w:val="26"/>
        </w:rPr>
        <w:t xml:space="preserve">3.8.3 区域容量储备与重载设备并存</w:t>
      </w:r>
      <w:bookmarkEnd w:id="137"/>
    </w:p>
    <w:p>
      <w:pPr>
        <w:pStyle w:val="FirstParagraph"/>
        <w:widowControl/>
        <w:spacing w:line="348" w:lineRule="exact" w:before="0" w:after="0"/>
        <w:ind w:firstLine="480"/>
        <w:jc w:val="both"/>
      </w:pPr>
      <w:r>
        <w:rPr>
          <w:rFonts w:ascii="Times New Roman" w:hAnsi="Times New Roman" w:eastAsia="方正仿宋_GBK"/>
          <w:b w:val="0"/>
          <w:sz w:val="24"/>
        </w:rPr>
        <w:t xml:space="preserve">邳州40台主变样本中，年最大负载率达到80%及以上的有7台，占18%；市区61台样本中有7台，占11%。两地区最大值分别为92%和97%，高于各自约50%的中位水平。设备负载分布存在差异，区域总容量较充足时，部分站点仍可能承担较大的供电任务。</w:t>
      </w:r>
    </w:p>
    <w:p>
      <w:pPr>
        <w:pStyle w:val="2"/>
        <w:widowControl/>
        <w:spacing w:line="348" w:lineRule="exact" w:before="0" w:after="0"/>
        <w:ind w:firstLine="480"/>
        <w:jc w:val="both"/>
      </w:pPr>
      <w:r>
        <w:rPr>
          <w:rFonts w:ascii="Times New Roman" w:hAnsi="Times New Roman" w:eastAsia="方正仿宋_GBK"/>
          <w:b w:val="0"/>
          <w:sz w:val="24"/>
        </w:rPr>
        <w:t xml:space="preserve">区域容载比反映公用主变总容量，站级负载率反映容量与本地负荷的匹配程度。轻载站的余量只有在下级网络能够转移负荷、受端接线允许且运行条件满足时，才能用于支援重载站。相反，若联络受限或用户负荷无法切换，局部重载可能需要本站增容。区域指标和设备指标共同使用，可以区分容量总量不足与站间容量分配不匹配这两类问题。</w:t>
      </w:r>
    </w:p>
    <w:p>
      <w:pPr>
        <w:pStyle w:val="2"/>
        <w:widowControl/>
        <w:spacing w:line="348" w:lineRule="exact" w:before="0" w:after="0"/>
        <w:ind w:firstLine="480"/>
        <w:jc w:val="both"/>
      </w:pPr>
      <w:r>
        <w:rPr>
          <w:rFonts w:ascii="Times New Roman" w:hAnsi="Times New Roman" w:eastAsia="方正仿宋_GBK"/>
          <w:b w:val="0"/>
          <w:sz w:val="24"/>
        </w:rPr>
        <w:t xml:space="preserve">主变台数会改变N-1后的剩余容量。两台等容量主变在N-1条件下只剩一半容量，增加一台后，即使正常运行负载率不高，故障时的可用容量仍可能明显提高，因此主变扩建既增加总容量，也改变站内设备组合。第五章邳州弹性方案首年完成主变补强、减少后期配储的结果，需结合具体规格和建设时序解释。</w:t>
      </w:r>
    </w:p>
    <w:p>
      <w:pPr>
        <w:pStyle w:val="2"/>
        <w:widowControl/>
        <w:spacing w:line="348" w:lineRule="exact" w:before="0" w:after="0"/>
        <w:ind w:firstLine="480"/>
        <w:jc w:val="both"/>
      </w:pPr>
      <w:r>
        <w:rPr>
          <w:rFonts w:ascii="Times New Roman" w:hAnsi="Times New Roman" w:eastAsia="方正仿宋_GBK"/>
          <w:b w:val="0"/>
          <w:sz w:val="24"/>
        </w:rPr>
        <w:t xml:space="preserve">负荷分散系数用于联系各站峰值与区域同时峰值。系数大于1.00说明各站峰值不完全同时出现，区域峰值低于各站独立峰值之和，但各站设备仍要承受本地高峰。本报告采用1.00、1.10、1.15三个负荷分散系数构造推广情景，并结合站级负荷分配讨论容量配置。</w:t>
      </w:r>
    </w:p>
    <w:p>
      <w:pPr>
        <w:pStyle w:val="5"/>
        <w:keepNext/>
        <w:numPr>
          <w:numId w:val="0"/>
        </w:numPr>
        <w:spacing w:line="390" w:lineRule="exact" w:before="160" w:after="120"/>
        <w:ind w:firstLine="0"/>
      </w:pPr>
      <w:bookmarkStart w:id="138" w:name="两地区的容量规划重点"/>
      <w:r>
        <w:rPr>
          <w:rFonts w:ascii="Times New Roman" w:hAnsi="Times New Roman" w:eastAsia="方正仿宋_GBK"/>
          <w:b/>
          <w:sz w:val="26"/>
        </w:rPr>
        <w:t xml:space="preserve">3.8.4 两地区的容量规划重点</w:t>
      </w:r>
      <w:bookmarkEnd w:id="138"/>
    </w:p>
    <w:p>
      <w:pPr>
        <w:pStyle w:val="FirstParagraph"/>
        <w:widowControl/>
        <w:spacing w:line="348" w:lineRule="exact" w:before="0" w:after="0"/>
        <w:ind w:firstLine="480"/>
        <w:jc w:val="both"/>
      </w:pPr>
      <w:r>
        <w:rPr>
          <w:rFonts w:ascii="Times New Roman" w:hAnsi="Times New Roman" w:eastAsia="方正仿宋_GBK"/>
          <w:b w:val="0"/>
          <w:sz w:val="24"/>
        </w:rPr>
        <w:t xml:space="preserve">邳州分布式光伏装机由2023年564.70 MW增加到2025年1559.64 MW，增长较快；同期年网供最大负荷由761.23 MW增加到956.45 MW。光伏规模和供电负荷同时发展，规划需校核双向容量需求。日间反送较大的站点应结合本地负荷和电源位置安排容量，晚间正向高峰及主变N-1条件则继续决定供电储备。</w:t>
      </w:r>
    </w:p>
    <w:p>
      <w:pPr>
        <w:pStyle w:val="2"/>
        <w:widowControl/>
        <w:spacing w:line="348" w:lineRule="exact" w:before="0" w:after="0"/>
        <w:ind w:firstLine="480"/>
        <w:jc w:val="both"/>
      </w:pPr>
      <w:r>
        <w:rPr>
          <w:rFonts w:ascii="Times New Roman" w:hAnsi="Times New Roman" w:eastAsia="方正仿宋_GBK"/>
          <w:b w:val="0"/>
          <w:sz w:val="24"/>
        </w:rPr>
        <w:t xml:space="preserve">市区2025年分布式光伏装机为491.18 MW，年网供最大负荷为1528.82 MW。与邳州相比，光伏相对于用户负荷的规模较小，容量配置主要围绕正向供电、重载站及相邻站承接能力展开。既有联络可以改善负荷分配，但承接站的正常容量和N-1余量仍需共同校核。新增主变适宜与站间转接相配合，以减少局部供电缺口。</w:t>
      </w:r>
    </w:p>
    <w:p>
      <w:pPr>
        <w:pStyle w:val="2"/>
        <w:widowControl/>
        <w:spacing w:line="348" w:lineRule="exact" w:before="0" w:after="0"/>
        <w:ind w:firstLine="480"/>
        <w:jc w:val="both"/>
      </w:pPr>
      <w:r>
        <w:rPr>
          <w:rFonts w:ascii="Times New Roman" w:hAnsi="Times New Roman" w:eastAsia="方正仿宋_GBK"/>
          <w:b w:val="0"/>
          <w:sz w:val="24"/>
        </w:rPr>
        <w:t xml:space="preserve">两地区的研究共同表明，分片区确定容载比需要从运行任务出发。电源规模较大时关注反向输送，负荷增长较快时关注发展储备，设备集中重载时关注站间转供和本站建设；储能则根据相应方向的功率缺口与持续时间配置。区域容载比最终由满足这些任务的主变容量形成。</w:t>
      </w:r>
    </w:p>
    <w:p>
      <w:pPr>
        <w:pStyle w:val="3"/>
        <w:keepNext/>
        <w:pageBreakBefore/>
        <w:numPr>
          <w:numId w:val="0"/>
        </w:numPr>
        <w:spacing w:line="540" w:lineRule="exact" w:before="0" w:after="120"/>
        <w:ind w:firstLine="0"/>
      </w:pPr>
      <w:bookmarkStart w:id="1388" w:name="h388"/>
      <w:bookmarkStart w:id="139" w:name="第四章-基于实际工程的建设成本模型"/>
      <w:r>
        <w:rPr>
          <w:rFonts w:ascii="Times New Roman" w:hAnsi="Times New Roman" w:eastAsia="方正仿宋_GBK"/>
          <w:b/>
          <w:sz w:val="36"/>
        </w:rPr>
        <w:t xml:space="preserve">第四章 基于实际工程的建设成本模型</w:t>
      </w:r>
      <w:bookmarkEnd w:id="139"/>
      <w:bookmarkEnd w:id="1388"/>
    </w:p>
    <w:p>
      <w:pPr>
        <w:pStyle w:val="4"/>
        <w:keepNext/>
        <w:numPr>
          <w:numId w:val="0"/>
        </w:numPr>
        <w:spacing w:line="480" w:lineRule="exact" w:before="160" w:after="120"/>
        <w:ind w:firstLine="0"/>
      </w:pPr>
      <w:bookmarkStart w:id="1389" w:name="h389"/>
      <w:bookmarkStart w:id="140" w:name="成本模型的范围与建立原则"/>
      <w:r>
        <w:rPr>
          <w:rFonts w:ascii="Times New Roman" w:hAnsi="Times New Roman" w:eastAsia="方正仿宋_GBK"/>
          <w:b/>
          <w:sz w:val="32"/>
        </w:rPr>
        <w:t xml:space="preserve">4.1 成本模型的范围与建立原则</w:t>
      </w:r>
      <w:bookmarkEnd w:id="140"/>
      <w:bookmarkEnd w:id="1389"/>
    </w:p>
    <w:p>
      <w:pPr>
        <w:pStyle w:val="5"/>
        <w:keepNext/>
        <w:numPr>
          <w:numId w:val="0"/>
        </w:numPr>
        <w:spacing w:line="390" w:lineRule="exact" w:before="160" w:after="120"/>
        <w:ind w:firstLine="0"/>
      </w:pPr>
      <w:bookmarkStart w:id="141" w:name="建设改造措施与投资估算依据"/>
      <w:r>
        <w:rPr>
          <w:rFonts w:ascii="Times New Roman" w:hAnsi="Times New Roman" w:eastAsia="方正仿宋_GBK"/>
          <w:b/>
          <w:sz w:val="26"/>
        </w:rPr>
        <w:t xml:space="preserve">4.1.1 建设改造措施与投资估算依据</w:t>
      </w:r>
      <w:bookmarkEnd w:id="141"/>
    </w:p>
    <w:p>
      <w:pPr>
        <w:pStyle w:val="FirstParagraph"/>
        <w:widowControl/>
        <w:spacing w:line="348" w:lineRule="exact" w:before="0" w:after="0"/>
        <w:ind w:firstLine="480"/>
        <w:jc w:val="both"/>
      </w:pPr>
      <w:r>
        <w:rPr>
          <w:rFonts w:ascii="Times New Roman" w:hAnsi="Times New Roman" w:eastAsia="方正仿宋_GBK"/>
          <w:b w:val="0"/>
          <w:sz w:val="24"/>
        </w:rPr>
        <w:t xml:space="preserve">第三章确定了地区正反向容量需求及转供条件，本章为满足这些需求的主变、储能与10 kV联络措施建立费用模型。先按实际工程形成单位费用，再按逐年购置和投运规模计算支出，供第五章在技术可行组合之间比较经济性。主变更换以整台新购铭牌容量计价，扩建主变按独立扩建项目计价，储能按新增柜数计价，线路按当年新投运条数计价。既有资产只影响技术条件，其原建设费用不重复计入。</w:t>
      </w:r>
    </w:p>
    <w:p>
      <w:pPr>
        <w:pStyle w:val="2"/>
        <w:widowControl/>
        <w:spacing w:line="348" w:lineRule="exact" w:before="0" w:after="0"/>
        <w:ind w:firstLine="480"/>
        <w:jc w:val="both"/>
      </w:pPr>
      <w:r>
        <w:rPr>
          <w:rFonts w:ascii="Times New Roman" w:hAnsi="Times New Roman" w:eastAsia="方正仿宋_GBK"/>
          <w:b w:val="0"/>
          <w:sz w:val="24"/>
        </w:rPr>
        <w:t xml:space="preserve">主变、储能与线路均按项目范围使用价格。徐州110 kV主变增容与扩建工程估算包括设备及配套建设，储能价格取成套采购及安装项目，线路价格取公开规划造价。电缆长度占比用于计算联络综合造价，储能和主变采用统一参考价格，工程范围差异在应用时另行核定[85][89][86]。</w:t>
      </w:r>
    </w:p>
    <w:p>
      <w:pPr>
        <w:pStyle w:val="5"/>
        <w:keepNext/>
        <w:numPr>
          <w:numId w:val="0"/>
        </w:numPr>
        <w:spacing w:line="390" w:lineRule="exact" w:before="160" w:after="120"/>
        <w:ind w:firstLine="0"/>
      </w:pPr>
      <w:bookmarkStart w:id="142" w:name="投资运维与更新"/>
      <w:r>
        <w:rPr>
          <w:rFonts w:ascii="Times New Roman" w:hAnsi="Times New Roman" w:eastAsia="方正仿宋_GBK"/>
          <w:b/>
          <w:sz w:val="26"/>
        </w:rPr>
        <w:t xml:space="preserve">4.1.2 投资、运维与更新</w:t>
      </w:r>
      <w:bookmarkEnd w:id="142"/>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以2021年末为评价基准、2041年为截止年，新增工程在投运年发生初始投资，次年起计固定运维。设备达到设定寿命且评价期内仍需服务时，按同等实价更新，使不同寿命的措施在相同现金流范围内比较[10][11][12]。</w:t>
      </w:r>
    </w:p>
    <w:p>
      <w:pPr>
        <w:pStyle w:val="2"/>
        <w:widowControl/>
        <w:spacing w:line="348" w:lineRule="exact" w:before="0" w:after="0"/>
        <w:ind w:firstLine="480"/>
        <w:jc w:val="both"/>
      </w:pPr>
      <w:r>
        <w:rPr>
          <w:rFonts w:ascii="Times New Roman" w:hAnsi="Times New Roman" w:eastAsia="方正仿宋_GBK"/>
          <w:b w:val="0"/>
          <w:sz w:val="24"/>
        </w:rPr>
        <w:t xml:space="preserve">主变和线路寿命均取40年，储能取25年，年度固定运维支出与初始投资之比在变电、线路和储能三类措施中分别取0.042、0.022、0.030，折现率为6%。这些参数用于将初始投资、年度运维和设备更新分项折现[10,11,12]，两类方案在相同参数及2041年评价截止年下比较费用。</w:t>
      </w:r>
    </w:p>
    <w:p>
      <w:pPr>
        <w:pStyle w:val="2"/>
        <w:keepNext/>
        <w:spacing w:line="280" w:lineRule="exact" w:before="120" w:after="80"/>
        <w:ind w:firstLine="0"/>
        <w:jc w:val="center"/>
      </w:pPr>
      <w:r>
        <w:rPr>
          <w:rFonts w:ascii="Times New Roman" w:hAnsi="Times New Roman" w:eastAsia="宋体"/>
          <w:b w:val="0"/>
          <w:sz w:val="21"/>
        </w:rPr>
        <w:t xml:space="preserve">表4-1 统一经济评价参数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161"/>
        <w:gridCol w:w="2327"/>
        <w:gridCol w:w="3823"/>
      </w:tblGrid>
      <w:tr>
        <w:trPr>
          <w:cantSplit/>
          <w:tblHeader/>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取值</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计算依据与用途</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评价基准年/截止年</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2021/2041</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共同评价期费用比较</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折现率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现值法；统一资金时间价值参数[10,11,12]</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主变/线路使用年限</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设备更新间隔；本评价期内无更新</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储能使用年限</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设备更新间隔；本评价期内无更新</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变电固定运维费率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初始投资4%/年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按初始投资比例估算年度运维[11]</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线路固定运维费率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初始投资2%/年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按初始投资比例估算年度运维[12]</w:t>
            </w:r>
          </w:p>
        </w:tc>
      </w:tr>
      <w:tr>
        <w:trPr>
          <w:cantSplit/>
        </w:trPr>
        <w:tc>
          <w:tcPr>
            <w:tcW w:type="dxa" w:w="216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储能固定运维费率</w:t>
            </w:r>
          </w:p>
        </w:tc>
        <w:tc>
          <w:tcPr>
            <w:tcW w:type="dxa" w:w="23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初始投资3%/年</w:t>
            </w:r>
          </w:p>
        </w:tc>
        <w:tc>
          <w:tcPr>
            <w:tcW w:type="dxa" w:w="382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按初始投资比例估算年度运维[10]</w:t>
            </w:r>
          </w:p>
        </w:tc>
      </w:tr>
    </w:tbl>
    <w:p>
      <w:pPr>
        <w:pStyle w:val="2"/>
        <w:widowControl/>
        <w:spacing w:line="348" w:lineRule="exact" w:before="0" w:after="0"/>
        <w:ind w:firstLine="480"/>
        <w:jc w:val="both"/>
      </w:pPr>
      <w:r>
        <w:rPr>
          <w:rFonts w:ascii="Times New Roman" w:hAnsi="Times New Roman" w:eastAsia="方正仿宋_GBK"/>
          <w:b w:val="0"/>
          <w:sz w:val="24"/>
        </w:rPr>
        <w:t xml:space="preserve">注：文献支持费用构成和折现方法，所列年限与费率为本研究统一经济比较取值。</w:t>
      </w:r>
    </w:p>
    <w:p>
      <w:pPr>
        <w:pStyle w:val="5"/>
        <w:keepNext/>
        <w:numPr>
          <w:numId w:val="0"/>
        </w:numPr>
        <w:spacing w:line="390" w:lineRule="exact" w:before="160" w:after="120"/>
        <w:ind w:firstLine="0"/>
      </w:pPr>
      <w:bookmarkStart w:id="143" w:name="增量比较的适用范围"/>
      <w:r>
        <w:rPr>
          <w:rFonts w:ascii="Times New Roman" w:hAnsi="Times New Roman" w:eastAsia="方正仿宋_GBK"/>
          <w:b/>
          <w:sz w:val="26"/>
        </w:rPr>
        <w:t xml:space="preserve">4.1.3 增量比较的适用范围</w:t>
      </w:r>
      <w:bookmarkEnd w:id="143"/>
    </w:p>
    <w:p>
      <w:pPr>
        <w:pStyle w:val="FirstParagraph"/>
        <w:widowControl/>
        <w:spacing w:line="348" w:lineRule="exact" w:before="0" w:after="0"/>
        <w:ind w:firstLine="480"/>
        <w:jc w:val="both"/>
      </w:pPr>
      <w:r>
        <w:rPr>
          <w:rFonts w:ascii="Times New Roman" w:hAnsi="Times New Roman" w:eastAsia="方正仿宋_GBK"/>
          <w:b w:val="0"/>
          <w:sz w:val="24"/>
        </w:rPr>
        <w:t xml:space="preserve">2021年存量投资是两方案共有历史费用，不进入增量目标。两类方案共用仿真初始设备，基期及后续负荷采用实际年度统计值，基期容载比均约为2.00。2022年以后增加的措施按明确的购置和投运量计取，后续按各年在役状态计算运维费用，费用差来自新增措施规模及其投运时点。</w:t>
      </w:r>
    </w:p>
    <w:p>
      <w:pPr>
        <w:pStyle w:val="2"/>
        <w:widowControl/>
        <w:spacing w:line="348" w:lineRule="exact" w:before="0" w:after="0"/>
        <w:ind w:firstLine="480"/>
        <w:jc w:val="both"/>
      </w:pPr>
      <w:r>
        <w:rPr>
          <w:rFonts w:ascii="Times New Roman" w:hAnsi="Times New Roman" w:eastAsia="方正仿宋_GBK"/>
          <w:b w:val="0"/>
          <w:sz w:val="24"/>
        </w:rPr>
        <w:t xml:space="preserve">费用目标采用新增建设、固定运维和寿命更新支出，两类方案采用相同计价范围和折现基准。</w:t>
      </w:r>
    </w:p>
    <w:p>
      <w:pPr>
        <w:pStyle w:val="4"/>
        <w:keepNext/>
        <w:numPr>
          <w:numId w:val="0"/>
        </w:numPr>
        <w:spacing w:line="480" w:lineRule="exact" w:before="160" w:after="120"/>
        <w:ind w:firstLine="0"/>
      </w:pPr>
      <w:bookmarkStart w:id="1401" w:name="h401"/>
      <w:bookmarkStart w:id="144" w:name="主变工程成本系数"/>
      <w:r>
        <w:rPr>
          <w:rFonts w:ascii="Times New Roman" w:hAnsi="Times New Roman" w:eastAsia="方正仿宋_GBK"/>
          <w:b/>
          <w:sz w:val="32"/>
        </w:rPr>
        <w:t xml:space="preserve">4.2 主变工程成本系数</w:t>
      </w:r>
      <w:bookmarkEnd w:id="144"/>
      <w:bookmarkEnd w:id="1401"/>
    </w:p>
    <w:p>
      <w:pPr>
        <w:pStyle w:val="5"/>
        <w:keepNext/>
        <w:numPr>
          <w:numId w:val="0"/>
        </w:numPr>
        <w:spacing w:line="390" w:lineRule="exact" w:before="160" w:after="120"/>
        <w:ind w:firstLine="0"/>
      </w:pPr>
      <w:bookmarkStart w:id="145" w:name="替换工程案例"/>
      <w:r>
        <w:rPr>
          <w:rFonts w:ascii="Times New Roman" w:hAnsi="Times New Roman" w:eastAsia="方正仿宋_GBK"/>
          <w:b/>
          <w:sz w:val="26"/>
        </w:rPr>
        <w:t xml:space="preserve">4.2.1 替换工程案例</w:t>
      </w:r>
      <w:bookmarkEnd w:id="145"/>
    </w:p>
    <w:p>
      <w:pPr>
        <w:pStyle w:val="FirstParagraph"/>
        <w:widowControl/>
        <w:spacing w:line="348" w:lineRule="exact" w:before="0" w:after="0"/>
        <w:ind w:firstLine="480"/>
        <w:jc w:val="both"/>
      </w:pPr>
      <w:r>
        <w:rPr>
          <w:rFonts w:ascii="Times New Roman" w:hAnsi="Times New Roman" w:eastAsia="方正仿宋_GBK"/>
          <w:b w:val="0"/>
          <w:sz w:val="24"/>
        </w:rPr>
        <w:t xml:space="preserve">依据徐州110 kV输变电建设改造工程投资估算资料，王庄110 kV变电站2号主变由20 MVA更换为50 MVA，静态投资1151万元；鲁庙110 kV变电站两台主变由2×31.50 MVA更换为2×50 MVA，静态投资1335万元[85]。</w:t>
      </w:r>
    </w:p>
    <w:p>
      <w:pPr>
        <w:pStyle w:val="2"/>
        <w:widowControl/>
        <w:spacing w:line="348" w:lineRule="exact" w:before="0" w:after="0"/>
        <w:ind w:firstLine="480"/>
        <w:jc w:val="both"/>
      </w:pPr>
      <w:r>
        <w:rPr>
          <w:rFonts w:ascii="Times New Roman" w:hAnsi="Times New Roman" w:eastAsia="方正仿宋_GBK"/>
          <w:b w:val="0"/>
          <w:sz w:val="24"/>
        </w:rPr>
        <w:t xml:space="preserve">主变新购容量为当年采购并投运的新设备铭牌容量之和，包含更换和扩建采购，净增容量则等于新购容量扣除同期被替换设备容量。因此，仅扩建时两者相等，更换时净增容量小于新购容量。两个案例采购容量分别为50 MVA和100 MVA，扣除被替换的20 MVA和63 MVA后，容量净增分别为30 MVA和37 MVA。王庄包含新增9回10 kV出线，鲁庙包含新增1回10 kV出线，模型按两项目静态总投资形成含配套工程的主变更换参考系数。</w:t>
      </w:r>
    </w:p>
    <w:p>
      <w:pPr>
        <w:pStyle w:val="2"/>
        <w:keepNext/>
        <w:spacing w:line="280" w:lineRule="exact" w:before="120" w:after="80"/>
        <w:ind w:firstLine="0"/>
        <w:jc w:val="center"/>
      </w:pPr>
      <w:r>
        <w:rPr>
          <w:rFonts w:ascii="Times New Roman" w:hAnsi="Times New Roman" w:eastAsia="宋体"/>
          <w:b w:val="0"/>
          <w:sz w:val="21"/>
        </w:rPr>
        <w:t xml:space="preserve">表4-2 徐州110 kV主变工程价格依据[85]</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被替换主变容量/MVA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静态投资/万元</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邢楼110千伏变电站主变扩建工程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1206</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墩集110千伏变电站主变扩建工程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王庄110千伏变电站2号主变增容工程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鲁庙110千伏变电站1号2号主变增容工程</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1335</w:t>
            </w:r>
          </w:p>
        </w:tc>
      </w:tr>
    </w:tbl>
    <w:p>
      <w:pPr>
        <w:pStyle w:val="5"/>
        <w:keepNext/>
        <w:numPr>
          <w:numId w:val="0"/>
        </w:numPr>
        <w:spacing w:line="390" w:lineRule="exact" w:before="160" w:after="120"/>
        <w:ind w:firstLine="0"/>
      </w:pPr>
      <w:bookmarkStart w:id="146" w:name="采购容量加权系数"/>
      <w:r>
        <w:rPr>
          <w:rFonts w:ascii="Times New Roman" w:hAnsi="Times New Roman" w:eastAsia="方正仿宋_GBK"/>
          <w:b/>
          <w:sz w:val="26"/>
        </w:rPr>
        <w:t xml:space="preserve">4.2.2 采购容量加权系数</w:t>
      </w:r>
      <w:bookmarkEnd w:id="146"/>
    </w:p>
    <w:p>
      <w:pPr>
        <w:pStyle w:val="FirstParagraph"/>
        <w:widowControl/>
        <w:spacing w:line="348" w:lineRule="exact" w:before="0" w:after="0"/>
        <w:ind w:firstLine="480"/>
        <w:jc w:val="both"/>
      </w:pPr>
      <w:r>
        <w:rPr>
          <w:rFonts w:ascii="Times New Roman" w:hAnsi="Times New Roman" w:eastAsia="方正仿宋_GBK"/>
          <w:b w:val="0"/>
          <w:sz w:val="24"/>
        </w:rPr>
        <w:t xml:space="preserve">主变替换工程采用采购容量加权，将两个案例静态投资之和除以新购铭牌容量之和，形成式（4-1）的参考系数。</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1151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1335</m:t>
                  </m:r>
                </m:num>
                <m:den>
                  <m:r>
                    <m:rPr>
                      <m:nor m:val="1"/>
                    </m:rPr>
                    <w:rPr>
                      <w:rFonts w:ascii="Times New Roman" w:hAnsi="Times New Roman" w:cs="Times New Roman" w:eastAsia="方正仿宋_GBK"/>
                      <w:i w:val="0"/>
                      <w:iCs w:val="0"/>
                    </w:rPr>
                    <m:t>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16.57</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万元/MVA</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为主变更换工程单位采购容量投资，单位万元/MVA；分子为两案例静态投资合计，单位万元，分母为新购容量合计，单位MVA。</w:t>
      </w:r>
    </w:p>
    <w:p>
      <w:pPr>
        <w:pStyle w:val="2"/>
        <w:widowControl/>
        <w:spacing w:line="348" w:lineRule="exact" w:before="0" w:after="0"/>
        <w:ind w:firstLine="480"/>
        <w:jc w:val="both"/>
      </w:pPr>
      <w:r>
        <w:rPr>
          <w:rFonts w:ascii="Times New Roman" w:hAnsi="Times New Roman" w:eastAsia="方正仿宋_GBK"/>
          <w:b w:val="0"/>
          <w:sz w:val="24"/>
        </w:rPr>
        <w:t xml:space="preserve">王庄单案例系数为23.02万元/MVA，鲁庙为13.35万元/MVA。加权系数处于二者之间，保留项目配套规模差异的影响。本研究采用采购容量加权，并通过相对价格情景检查该系数对配置的影响。</w:t>
      </w:r>
    </w:p>
    <w:p>
      <w:pPr>
        <w:pStyle w:val="2"/>
        <w:widowControl/>
        <w:spacing w:line="348" w:lineRule="exact" w:before="0" w:after="0"/>
        <w:ind w:firstLine="480"/>
        <w:jc w:val="both"/>
      </w:pPr>
      <w:r>
        <w:rPr>
          <w:rFonts w:ascii="Times New Roman" w:hAnsi="Times New Roman" w:eastAsia="方正仿宋_GBK"/>
          <w:b w:val="0"/>
          <w:sz w:val="24"/>
        </w:rPr>
        <w:t xml:space="preserve">主变容量按功率因数0.95折算为有功供电能力，单位费用约17.45万元/MW。该功率按新购主变额定容量折算，用于计算主变单位功率投资。</w:t>
      </w:r>
    </w:p>
    <w:p>
      <w:pPr>
        <w:pStyle w:val="5"/>
        <w:keepNext/>
        <w:numPr>
          <w:numId w:val="0"/>
        </w:numPr>
        <w:spacing w:line="390" w:lineRule="exact" w:before="160" w:after="120"/>
        <w:ind w:firstLine="0"/>
      </w:pPr>
      <w:bookmarkStart w:id="147" w:name="净增容量与工程费用"/>
      <w:r>
        <w:rPr>
          <w:rFonts w:ascii="Times New Roman" w:hAnsi="Times New Roman" w:eastAsia="方正仿宋_GBK"/>
          <w:b/>
          <w:sz w:val="26"/>
        </w:rPr>
        <w:t xml:space="preserve">4.2.3 净增容量与工程费用</w:t>
      </w:r>
      <w:bookmarkEnd w:id="147"/>
    </w:p>
    <w:p>
      <w:pPr>
        <w:pStyle w:val="FirstParagraph"/>
        <w:widowControl/>
        <w:spacing w:line="348" w:lineRule="exact" w:before="0" w:after="0"/>
        <w:ind w:firstLine="480"/>
        <w:jc w:val="both"/>
      </w:pPr>
      <w:r>
        <w:rPr>
          <w:rFonts w:ascii="Times New Roman" w:hAnsi="Times New Roman" w:eastAsia="方正仿宋_GBK"/>
          <w:b w:val="0"/>
          <w:sz w:val="24"/>
        </w:rPr>
        <w:t xml:space="preserve">王庄净增30 MVA，按单位净增有功功率折算的投资为1151/[30×0.95]=40.39万元/MW。该价格高于按新购50 MVA折算的单位有功功率投资，原因是新购设备需要替换原有20 MVA供电能力。鲁庙的净增比例不同，替换投资分别按实际采购容量计算。</w:t>
      </w:r>
    </w:p>
    <w:p>
      <w:pPr>
        <w:pStyle w:val="2"/>
        <w:widowControl/>
        <w:spacing w:line="348" w:lineRule="exact" w:before="0" w:after="0"/>
        <w:ind w:firstLine="480"/>
        <w:jc w:val="both"/>
      </w:pPr>
      <w:r>
        <w:rPr>
          <w:rFonts w:ascii="Times New Roman" w:hAnsi="Times New Roman" w:eastAsia="方正仿宋_GBK"/>
          <w:b w:val="0"/>
          <w:sz w:val="24"/>
        </w:rPr>
        <w:t xml:space="preserve">对站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、主变安装位置</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、投运年份</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，若容量由</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p>
      </m:oMath>
      <w:r>
        <w:rPr>
          <w:rFonts w:ascii="Times New Roman" w:hAnsi="Times New Roman" w:eastAsia="方正仿宋_GBK"/>
          <w:b w:val="0"/>
          <w:sz w:val="24"/>
        </w:rPr>
        <w:t xml:space="preserve">更换为</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oMath>
      <w:r>
        <w:rPr>
          <w:rFonts w:ascii="Times New Roman" w:hAnsi="Times New Roman" w:eastAsia="方正仿宋_GBK"/>
          <w:b w:val="0"/>
          <w:sz w:val="24"/>
        </w:rPr>
        <w:t xml:space="preserve">，工程投资按</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oMath>
      <w:r>
        <w:rPr>
          <w:rFonts w:ascii="Times New Roman" w:hAnsi="Times New Roman" w:eastAsia="方正仿宋_GBK"/>
          <w:b w:val="0"/>
          <w:sz w:val="24"/>
        </w:rPr>
        <w:t xml:space="preserve">计取。设备容量增加</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p>
      </m:oMath>
      <w:r>
        <w:rPr>
          <w:rFonts w:ascii="Times New Roman" w:hAnsi="Times New Roman" w:eastAsia="方正仿宋_GBK"/>
          <w:b w:val="0"/>
          <w:sz w:val="24"/>
        </w:rPr>
        <w:t xml:space="preserve">，费用按整台新购容量计取。报告在年度表中并列主变净增容量和新购铭牌容量，使比值变化与实际采购费用可以分别复算。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r>
                      <m:rPr>
                        <m:nor m:val="1"/>
                      </m:rPr>
                      <w:rPr>
                        <w:rFonts w:ascii="Times New Roman" w:hAnsi="Times New Roman" w:cs="Times New Roman" w:eastAsia="方正仿宋_GBK"/>
                        <w:i w:val="0"/>
                        <w:iCs w:val="0"/>
                      </w:rPr>
                      <m:t> </m:t>
                    </m:r>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e>
                </m:mr>
                <m:mr>
                  <m:e>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d>
                      <m:dPr>
                        <m:begChr m:val="("/>
                        <m:endChr m:val=")"/>
                        <m:grow/>
                      </m:dPr>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bSup>
                      </m:e>
                    </m:d>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为站号，</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为主变安装位置，</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为投运年份；</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为更换投资，单位万元；</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为单位采购容量工程投资，单位万元/MVA；</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bSup>
      </m:oMath>
      <w:r>
        <w:rPr>
          <w:rFonts w:ascii="Times New Roman" w:hAnsi="Times New Roman" w:eastAsia="方正仿宋_GBK"/>
          <w:b w:val="0"/>
          <w:sz w:val="24"/>
        </w:rPr>
        <w:t xml:space="preserve">分别为更换后、更换前容量，</w:t>
      </w:r>
      <m:oMath>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为容量净增，单位MVA；</w:t>
      </w:r>
      <m:oMath>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为更换状态，发生更换取1，否则取0。未更换时投资为零；更换同一位置后，新容量在后续年份持续在役。</w:t>
      </w:r>
    </w:p>
    <w:p>
      <w:pPr>
        <w:pStyle w:val="5"/>
        <w:keepNext/>
        <w:numPr>
          <w:numId w:val="0"/>
        </w:numPr>
        <w:spacing w:line="390" w:lineRule="exact" w:before="160" w:after="120"/>
        <w:ind w:firstLine="0"/>
      </w:pPr>
      <w:bookmarkStart w:id="148" w:name="主变扩建"/>
      <w:r>
        <w:rPr>
          <w:rFonts w:ascii="Times New Roman" w:hAnsi="Times New Roman" w:eastAsia="方正仿宋_GBK"/>
          <w:b/>
          <w:sz w:val="26"/>
        </w:rPr>
        <w:t xml:space="preserve">4.2.4 主变扩建</w:t>
      </w:r>
      <w:bookmarkEnd w:id="148"/>
    </w:p>
    <w:p>
      <w:pPr>
        <w:pStyle w:val="FirstParagraph"/>
        <w:widowControl/>
        <w:spacing w:line="348" w:lineRule="exact" w:before="0" w:after="0"/>
        <w:ind w:firstLine="480"/>
        <w:jc w:val="both"/>
      </w:pPr>
      <w:r>
        <w:rPr>
          <w:rFonts w:ascii="Times New Roman" w:hAnsi="Times New Roman" w:eastAsia="方正仿宋_GBK"/>
          <w:b w:val="0"/>
          <w:sz w:val="24"/>
        </w:rPr>
        <w:t xml:space="preserve">邢楼和墩集主变扩建工程均采购50 MVA主变，各新增12回10 kV出线，静态总投资分别为1206万元和1240万元[85]。同规模案例均值为1223万元，作为50 MVA主变扩建仿真费用。</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p</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1206</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1240</m:t>
                  </m:r>
                </m:num>
                <m:den>
                  <m:r>
                    <m:rPr>
                      <m:nor m:val="1"/>
                    </m:rPr>
                    <w:rPr>
                      <w:rFonts w:ascii="Times New Roman" w:hAnsi="Times New Roman" w:cs="Times New Roman" w:eastAsia="方正仿宋_GBK"/>
                      <w:i w:val="0"/>
                      <w:iCs w:val="0"/>
                    </w:rPr>
                    <m:t>2</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1223</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万元/项</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（4-3）</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为50 MVA主变扩建项目参考投资，单位万元/项。</w:t>
      </w:r>
    </w:p>
    <w:p>
      <w:pPr>
        <w:pStyle w:val="2"/>
        <w:widowControl/>
        <w:spacing w:line="348" w:lineRule="exact" w:before="0" w:after="0"/>
        <w:ind w:firstLine="480"/>
        <w:jc w:val="both"/>
      </w:pPr>
      <w:r>
        <w:rPr>
          <w:rFonts w:ascii="Times New Roman" w:hAnsi="Times New Roman" w:eastAsia="方正仿宋_GBK"/>
          <w:b w:val="0"/>
          <w:sz w:val="24"/>
        </w:rPr>
        <w:t xml:space="preserve">主变扩建仅在具备预留位置的站点设置，按1223万元/项计费，费用包含增加台数及相应配套工程。</w:t>
      </w:r>
    </w:p>
    <w:p>
      <w:pPr>
        <w:pStyle w:val="2"/>
        <w:widowControl/>
        <w:spacing w:line="348" w:lineRule="exact" w:before="0" w:after="0"/>
        <w:ind w:firstLine="480"/>
        <w:jc w:val="both"/>
      </w:pPr>
      <w:r>
        <w:rPr>
          <w:rFonts w:ascii="Times New Roman" w:hAnsi="Times New Roman" w:eastAsia="方正仿宋_GBK"/>
          <w:b w:val="0"/>
          <w:sz w:val="24"/>
        </w:rPr>
        <w:t xml:space="preserve">主变扩建提高公用主变总容量与主变N-1后剩余容量，按第五章的容量约束和费用目标评价。既有两台规格、正向需求及供电安全任务不同，会使同样的扩建费用对应不同替代储能规模。</w:t>
      </w:r>
    </w:p>
    <w:p>
      <w:pPr>
        <w:pStyle w:val="4"/>
        <w:keepNext/>
        <w:numPr>
          <w:numId w:val="0"/>
        </w:numPr>
        <w:spacing w:line="480" w:lineRule="exact" w:before="160" w:after="120"/>
        <w:ind w:firstLine="0"/>
      </w:pPr>
      <w:bookmarkStart w:id="1420" w:name="h420"/>
      <w:bookmarkStart w:id="149" w:name="kv联络工程费用"/>
      <w:r>
        <w:rPr>
          <w:rFonts w:ascii="Times New Roman" w:hAnsi="Times New Roman" w:eastAsia="方正仿宋_GBK"/>
          <w:b/>
          <w:sz w:val="32"/>
        </w:rPr>
        <w:t xml:space="preserve">4.3 10 kV联络工程费用</w:t>
      </w:r>
      <w:bookmarkEnd w:id="149"/>
      <w:bookmarkEnd w:id="1420"/>
    </w:p>
    <w:p>
      <w:pPr>
        <w:pStyle w:val="5"/>
        <w:keepNext/>
        <w:numPr>
          <w:numId w:val="0"/>
        </w:numPr>
        <w:spacing w:line="390" w:lineRule="exact" w:before="160" w:after="120"/>
        <w:ind w:firstLine="0"/>
      </w:pPr>
      <w:bookmarkStart w:id="150" w:name="参考工程及单位造价"/>
      <w:r>
        <w:rPr>
          <w:rFonts w:ascii="Times New Roman" w:hAnsi="Times New Roman" w:eastAsia="方正仿宋_GBK"/>
          <w:b/>
          <w:sz w:val="26"/>
        </w:rPr>
        <w:t xml:space="preserve">4.3.1 参考工程及单位造价</w:t>
      </w:r>
      <w:bookmarkEnd w:id="150"/>
    </w:p>
    <w:p>
      <w:pPr>
        <w:pStyle w:val="FirstParagraph"/>
        <w:widowControl/>
        <w:spacing w:line="348" w:lineRule="exact" w:before="0" w:after="0"/>
        <w:ind w:firstLine="480"/>
        <w:jc w:val="both"/>
      </w:pPr>
      <w:r>
        <w:rPr>
          <w:rFonts w:ascii="Times New Roman" w:hAnsi="Times New Roman" w:eastAsia="方正仿宋_GBK"/>
          <w:b w:val="0"/>
          <w:sz w:val="24"/>
        </w:rPr>
        <w:t xml:space="preserve">10 kV联络工程的架空参考造价取华容县配电网规划报告表7-1的24万元/km，电缆电气部分为120万元/km，开关为3万元/台[89]。电缆采用含电气和土建的综合参考价180万元/km，其中土建按差额60万元/km计入研究费用。电缆工程投资范围包含电气安装及配套土建，徐州10 kV线路迁改工程公开建设内容亦包括相应电缆及通道工程[90]。</w:t>
      </w:r>
    </w:p>
    <w:p>
      <w:pPr>
        <w:pStyle w:val="5"/>
        <w:keepNext/>
        <w:numPr>
          <w:numId w:val="0"/>
        </w:numPr>
        <w:spacing w:line="390" w:lineRule="exact" w:before="160" w:after="120"/>
        <w:ind w:firstLine="0"/>
      </w:pPr>
      <w:bookmarkStart w:id="151" w:name="电缆长度占比与综合造价"/>
      <w:r>
        <w:rPr>
          <w:rFonts w:ascii="Times New Roman" w:hAnsi="Times New Roman" w:eastAsia="方正仿宋_GBK"/>
          <w:b/>
          <w:sz w:val="26"/>
        </w:rPr>
        <w:t xml:space="preserve">4.3.2 电缆长度占比与综合造价</w:t>
      </w:r>
      <w:bookmarkEnd w:id="151"/>
    </w:p>
    <w:p>
      <w:pPr>
        <w:pStyle w:val="FirstParagraph"/>
        <w:widowControl/>
        <w:spacing w:line="348" w:lineRule="exact" w:before="0" w:after="0"/>
        <w:ind w:firstLine="480"/>
        <w:jc w:val="both"/>
      </w:pPr>
      <w:r>
        <w:rPr>
          <w:rFonts w:ascii="Times New Roman" w:hAnsi="Times New Roman" w:eastAsia="方正仿宋_GBK"/>
          <w:b w:val="0"/>
          <w:sz w:val="24"/>
        </w:rPr>
        <w:t xml:space="preserve">线路造价以架空参考基价24万元/km为基准，定义线路成本系数</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。若电缆长度占比为</w:t>
      </w:r>
      <m:oMath>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，电缆综合参考价为180万元/km，则单位长度综合费用为</w:t>
      </w:r>
      <m:oMath>
        <m:r>
          <m:rPr>
            <m:nor m:val="1"/>
          </m:rPr>
          <w:rPr>
            <w:rFonts w:ascii="Times New Roman" w:hAnsi="Times New Roman" w:cs="Times New Roman" w:eastAsia="方正仿宋_GBK"/>
            <w:i w:val="0"/>
            <w:iCs w:val="0"/>
          </w:rPr>
          <m:t>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α</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180</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，对应</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6.5</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。系数也可按实际工程单位长度造价与基价之比确定。</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24</m:t>
              </m:r>
              <m:r>
                <m:rPr>
                  <m:nor m:val="1"/>
                </m:rPr>
                <w:rPr>
                  <w:rFonts w:ascii="Times New Roman" w:hAnsi="Times New Roman" w:cs="Times New Roman" w:eastAsia="方正仿宋_GBK"/>
                  <w:i w:val="1"/>
                  <w:iCs w:val="1"/>
                </w:rPr>
                <m:t>L</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（4-4）</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为单项目建设投资，单位万元；</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为线路长度，基准取3 km；</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为无量纲线路成本系数；6万元为两台等效开关的固定接入费用。固定费用不随</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同比缩放。</w:t>
      </w:r>
    </w:p>
    <w:p>
      <w:pPr>
        <w:pStyle w:val="2"/>
        <w:widowControl/>
        <w:spacing w:line="348" w:lineRule="exact" w:before="0" w:after="0"/>
        <w:ind w:firstLine="480"/>
        <w:jc w:val="both"/>
      </w:pPr>
      <w:r>
        <w:rPr>
          <w:rFonts w:ascii="Times New Roman" w:hAnsi="Times New Roman" w:eastAsia="方正仿宋_GBK"/>
          <w:b w:val="0"/>
          <w:sz w:val="24"/>
        </w:rPr>
        <w:t xml:space="preserve">邳州线路资料计算的电缆长度占比约11%，市区补充资料约80%。以3 km和6万元固定接入费计算，单项新增联络投资分别为128.38万元、452.40万元。推广时采用电缆长度占比作为输入参数，</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6.5</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用于内部计价。</w:t>
      </w:r>
    </w:p>
    <w:p>
      <w:pPr>
        <w:pStyle w:val="2"/>
        <w:keepNext/>
        <w:spacing w:line="280" w:lineRule="exact" w:before="120" w:after="80"/>
        <w:ind w:firstLine="0"/>
        <w:jc w:val="center"/>
      </w:pPr>
      <w:r>
        <w:rPr>
          <w:rFonts w:ascii="Times New Roman" w:hAnsi="Times New Roman" w:eastAsia="宋体"/>
          <w:b w:val="0"/>
          <w:sz w:val="21"/>
        </w:rPr>
        <w:t xml:space="preserve">表4-3 电缆长度占比与项目费用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长度/km</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单位长度费用/万元·km⁻¹</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固定接入费/万元</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项目投资/万元</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124.80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218.40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312.00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148.80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452.40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164.40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499.20</w:t>
            </w:r>
          </w:p>
        </w:tc>
      </w:tr>
    </w:tbl>
    <w:p>
      <w:pPr>
        <w:pStyle w:val="5"/>
        <w:keepNext/>
        <w:numPr>
          <w:numId w:val="0"/>
        </w:numPr>
        <w:spacing w:line="390" w:lineRule="exact" w:before="160" w:after="120"/>
        <w:ind w:firstLine="0"/>
      </w:pPr>
      <w:bookmarkStart w:id="152" w:name="联络能力与工程计费"/>
      <w:r>
        <w:rPr>
          <w:rFonts w:ascii="Times New Roman" w:hAnsi="Times New Roman" w:eastAsia="方正仿宋_GBK"/>
          <w:b/>
          <w:sz w:val="26"/>
        </w:rPr>
        <w:t xml:space="preserve">4.3.3 联络能力与工程计费</w:t>
      </w:r>
      <w:bookmarkEnd w:id="152"/>
    </w:p>
    <w:p>
      <w:pPr>
        <w:pStyle w:val="FirstParagraph"/>
        <w:widowControl/>
        <w:spacing w:line="348" w:lineRule="exact" w:before="0" w:after="0"/>
        <w:ind w:firstLine="480"/>
        <w:jc w:val="both"/>
      </w:pPr>
      <w:r>
        <w:rPr>
          <w:rFonts w:ascii="Times New Roman" w:hAnsi="Times New Roman" w:eastAsia="方正仿宋_GBK"/>
          <w:b w:val="0"/>
          <w:sz w:val="24"/>
        </w:rPr>
        <w:t xml:space="preserve">新增候选线的区段负荷参考值为7.49 MW，低于按允许电流折算的有功容量9.05 MW。模型按具体送受端馈线建立候选边，既有边不重复计原建设费，新增边按投运年计项目费用。线路价格改变时，候选路径、区段负荷及热限保持不变，用于识别经济参数的影响。</w:t>
      </w:r>
    </w:p>
    <w:p>
      <w:pPr>
        <w:pStyle w:val="2"/>
        <w:widowControl/>
        <w:spacing w:line="348" w:lineRule="exact" w:before="0" w:after="0"/>
        <w:ind w:firstLine="480"/>
        <w:jc w:val="both"/>
      </w:pPr>
      <w:r>
        <w:rPr>
          <w:rFonts w:ascii="Times New Roman" w:hAnsi="Times New Roman" w:eastAsia="方正仿宋_GBK"/>
          <w:b w:val="0"/>
          <w:sz w:val="24"/>
        </w:rPr>
        <w:t xml:space="preserve">同一馈线连接多条候选联络时，共用其源端可转负荷和接收余量，转供功率同时受接收主变容量限制。</w:t>
      </w:r>
    </w:p>
    <w:p>
      <w:pPr>
        <w:pStyle w:val="4"/>
        <w:keepNext/>
        <w:numPr>
          <w:numId w:val="0"/>
        </w:numPr>
        <w:spacing w:line="480" w:lineRule="exact" w:before="160" w:after="120"/>
        <w:ind w:firstLine="0"/>
      </w:pPr>
      <w:bookmarkStart w:id="1431" w:name="h431"/>
      <w:bookmarkStart w:id="153" w:name="储能投资模型"/>
      <w:r>
        <w:rPr>
          <w:rFonts w:ascii="Times New Roman" w:hAnsi="Times New Roman" w:eastAsia="方正仿宋_GBK"/>
          <w:b/>
          <w:sz w:val="32"/>
        </w:rPr>
        <w:t xml:space="preserve">4.4 储能投资模型</w:t>
      </w:r>
      <w:bookmarkEnd w:id="153"/>
      <w:bookmarkEnd w:id="1431"/>
    </w:p>
    <w:p>
      <w:pPr>
        <w:pStyle w:val="5"/>
        <w:keepNext/>
        <w:numPr>
          <w:numId w:val="0"/>
        </w:numPr>
        <w:spacing w:line="390" w:lineRule="exact" w:before="160" w:after="120"/>
        <w:ind w:firstLine="0"/>
      </w:pPr>
      <w:bookmarkStart w:id="154" w:name="储能规格与采购价格依据"/>
      <w:r>
        <w:rPr>
          <w:rFonts w:ascii="Times New Roman" w:hAnsi="Times New Roman" w:eastAsia="方正仿宋_GBK"/>
          <w:b/>
          <w:sz w:val="26"/>
        </w:rPr>
        <w:t xml:space="preserve">4.4.1 储能规格与采购价格依据</w:t>
      </w:r>
      <w:bookmarkEnd w:id="154"/>
    </w:p>
    <w:p>
      <w:pPr>
        <w:pStyle w:val="FirstParagraph"/>
        <w:widowControl/>
        <w:spacing w:line="348" w:lineRule="exact" w:before="0" w:after="0"/>
        <w:ind w:firstLine="480"/>
        <w:jc w:val="both"/>
      </w:pPr>
      <w:r>
        <w:rPr>
          <w:rFonts w:ascii="Times New Roman" w:hAnsi="Times New Roman" w:eastAsia="方正仿宋_GBK"/>
          <w:b w:val="0"/>
          <w:sz w:val="24"/>
        </w:rPr>
        <w:t xml:space="preserve">储能设备采用100 kW/215 kWh柜规格。苏州采购公告的储能柜子项最高限价为27.20万元，作为单柜价格参考[91]。模型投资采用浏阳用户侧储能项目的成套中标价210.46万元，保证交付规模为1 MW/2.15 MWh，折合10柜[86]。</w:t>
      </w:r>
    </w:p>
    <w:p>
      <w:pPr>
        <w:pStyle w:val="2"/>
        <w:widowControl/>
        <w:spacing w:line="348" w:lineRule="exact" w:before="0" w:after="0"/>
        <w:ind w:firstLine="480"/>
        <w:jc w:val="both"/>
      </w:pPr>
      <w:r>
        <w:rPr>
          <w:rFonts w:ascii="Times New Roman" w:hAnsi="Times New Roman" w:eastAsia="方正仿宋_GBK"/>
          <w:b w:val="0"/>
          <w:sz w:val="24"/>
        </w:rPr>
        <w:t xml:space="preserve">按保证交付规模形成单位价格，单柜参考投资为21.05万元。后续配置按整数柜计取功率、能量和投资。</w:t>
      </w:r>
    </w:p>
    <w:p>
      <w:pPr>
        <w:pStyle w:val="2"/>
        <w:keepNext/>
        <w:spacing w:line="280" w:lineRule="exact" w:before="120" w:after="80"/>
        <w:ind w:firstLine="0"/>
        <w:jc w:val="center"/>
      </w:pPr>
      <w:r>
        <w:rPr>
          <w:rFonts w:ascii="Times New Roman" w:hAnsi="Times New Roman" w:eastAsia="宋体"/>
          <w:b w:val="0"/>
          <w:sz w:val="21"/>
        </w:rPr>
        <w:t xml:space="preserve">表4-4 储能采购价格依据[91][86]</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案例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公告规模</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保证规模</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价格/万元</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价格性质</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苏州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 kW/215 kWh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同公告</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储能子项最高限价</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浏阳</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 MW/2.20 MWh</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最低1 MW/2.15 MWh</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储能项目中标总价</w:t>
            </w:r>
          </w:p>
        </w:tc>
      </w:tr>
    </w:tbl>
    <w:p>
      <w:pPr>
        <w:pStyle w:val="5"/>
        <w:keepNext/>
        <w:numPr>
          <w:numId w:val="0"/>
        </w:numPr>
        <w:spacing w:line="390" w:lineRule="exact" w:before="160" w:after="120"/>
        <w:ind w:firstLine="0"/>
      </w:pPr>
      <w:bookmarkStart w:id="155" w:name="成套柜单位价格"/>
      <w:r>
        <w:rPr>
          <w:rFonts w:ascii="Times New Roman" w:hAnsi="Times New Roman" w:eastAsia="方正仿宋_GBK"/>
          <w:b/>
          <w:sz w:val="26"/>
        </w:rPr>
        <w:t xml:space="preserve">4.4.2 成套柜单位价格</w:t>
      </w:r>
      <w:bookmarkEnd w:id="155"/>
    </w:p>
    <w:p>
      <w:pPr>
        <w:pStyle w:val="FirstParagraph"/>
        <w:widowControl/>
        <w:spacing w:line="348" w:lineRule="exact" w:before="0" w:after="0"/>
        <w:ind w:firstLine="480"/>
        <w:jc w:val="both"/>
      </w:pPr>
      <w:r>
        <w:rPr>
          <w:rFonts w:ascii="Times New Roman" w:hAnsi="Times New Roman" w:eastAsia="方正仿宋_GBK"/>
          <w:b w:val="0"/>
          <w:sz w:val="24"/>
        </w:rPr>
        <w:t xml:space="preserve">模型将10柜成套项目成交总投资线性折算为21.05万元/柜，再按相同柜型和单位价格进行规模外推，苏州单柜最高限价用于价格对照。</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e>
                  <m:e>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2104562.62</m:t>
                        </m:r>
                      </m:num>
                      <m:den>
                        <m:r>
                          <m:rPr>
                            <m:nor m:val="1"/>
                          </m:rPr>
                          <w:rPr>
                            <w:rFonts w:ascii="Times New Roman" w:hAnsi="Times New Roman" w:cs="Times New Roman" w:eastAsia="方正仿宋_GBK"/>
                            <w:i w:val="0"/>
                            <w:iCs w:val="0"/>
                          </w:rPr>
                          <m:t>10000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21.05</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万元/柜</m:t>
                    </m:r>
                  </m:e>
                </m:mr>
                <m:mr>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（4-5）</w:t>
            </w:r>
          </w:p>
        </w:tc>
      </w:tr>
    </w:tbl>
    <w:p>
      <w:pPr>
        <w:pStyle w:val="FirstParagraph"/>
        <w:widowControl/>
        <w:spacing w:line="348" w:lineRule="atLeas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为单柜参考投资，</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年新增储能投资，单位万元；新增柜数</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为非负整数；新增功率为</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 </w:t>
      </w:r>
      <w:r>
        <w:rPr>
          <w:rFonts w:ascii="Times New Roman" w:hAnsi="Times New Roman" w:eastAsia="方正仿宋_GBK"/>
          <w:b w:val="0"/>
          <w:sz w:val="24"/>
        </w:rPr>
        <w:t xml:space="preserve">MW，新增能量为</w:t>
      </w:r>
      <w:r>
        <w:rPr>
          <w:rFonts w:ascii="Times New Roman" w:hAnsi="Times New Roman" w:eastAsia="方正仿宋_GBK"/>
          <w:b w:val="0"/>
          <w:sz w:val="24"/>
        </w:rPr>
        <w:t xml:space="preserve"> </w:t>
      </w:r>
      <m:oMath>
        <m:f>
          <m:fPr>
            <m:type m:val="bar"/>
          </m:fPr>
          <m:num>
            <m:r>
              <m:rPr>
                <m:nor m:val="1"/>
              </m:rPr>
              <w:rPr>
                <w:rFonts w:ascii="Times New Roman" w:hAnsi="Times New Roman" w:cs="Times New Roman" w:eastAsia="方正仿宋_GBK"/>
                <w:i w:val="0"/>
                <w:iCs w:val="0"/>
              </w:rPr>
              <m:t>215</m:t>
            </m:r>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num>
          <m:den>
            <m:r>
              <m:rPr>
                <m:nor m:val="1"/>
              </m:rPr>
              <w:rPr>
                <w:rFonts w:ascii="Times New Roman" w:hAnsi="Times New Roman" w:cs="Times New Roman" w:eastAsia="方正仿宋_GBK"/>
                <w:i w:val="0"/>
                <w:iCs w:val="0"/>
              </w:rPr>
              <m:t>1000</m:t>
            </m:r>
          </m:den>
        </m:f>
      </m:oMath>
      <w:r>
        <w:rPr>
          <w:rFonts w:ascii="Times New Roman" w:hAnsi="Times New Roman" w:eastAsia="方正仿宋_GBK"/>
          <w:b w:val="0"/>
          <w:sz w:val="24"/>
        </w:rPr>
        <w:t xml:space="preserve"> </w:t>
      </w:r>
      <w:r>
        <w:rPr>
          <w:rFonts w:ascii="Times New Roman" w:hAnsi="Times New Roman" w:eastAsia="方正仿宋_GBK"/>
          <w:b w:val="0"/>
          <w:sz w:val="24"/>
        </w:rPr>
        <w:t xml:space="preserve">MWh。按能量折算的成交参考价为2104562.62/2150000≈0.98元/Wh。</w:t>
      </w:r>
    </w:p>
    <w:p>
      <w:pPr>
        <w:pStyle w:val="5"/>
        <w:keepNext/>
        <w:numPr>
          <w:numId w:val="0"/>
        </w:numPr>
        <w:spacing w:line="390" w:lineRule="exact" w:before="160" w:after="120"/>
        <w:ind w:firstLine="0"/>
      </w:pPr>
      <w:bookmarkStart w:id="156" w:name="储能有效支撑功率与持续时间"/>
      <w:r>
        <w:rPr>
          <w:rFonts w:ascii="Times New Roman" w:hAnsi="Times New Roman" w:eastAsia="方正仿宋_GBK"/>
          <w:b/>
          <w:sz w:val="26"/>
        </w:rPr>
        <w:t xml:space="preserve">4.4.3 储能有效支撑功率与持续时间</w:t>
      </w:r>
      <w:bookmarkEnd w:id="156"/>
    </w:p>
    <w:p>
      <w:pPr>
        <w:pStyle w:val="FirstParagraph"/>
        <w:widowControl/>
        <w:spacing w:line="348" w:lineRule="exact" w:before="0" w:after="0"/>
        <w:ind w:firstLine="480"/>
        <w:jc w:val="both"/>
      </w:pPr>
      <w:r>
        <w:rPr>
          <w:rFonts w:ascii="Times New Roman" w:hAnsi="Times New Roman" w:eastAsia="方正仿宋_GBK"/>
          <w:b w:val="0"/>
          <w:sz w:val="24"/>
        </w:rPr>
        <w:t xml:space="preserve">储能有效功率取额定功率与可用电量折算功率的较小值。设</w:t>
      </w:r>
      <m:oMath>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为储能柜数，</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为支撑持续时间，可用电量系数取0.76，则有：</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d>
                <m:dPr>
                  <m:begChr m:val="{"/>
                  <m:endChr m:val="}"/>
                  <m:grow/>
                </m:dPr>
                <m:e>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r>
                        <m:rPr>
                          <m:nor m:val="1"/>
                        </m:rPr>
                        <w:rPr>
                          <w:rFonts w:ascii="Times New Roman" w:hAnsi="Times New Roman" w:cs="Times New Roman" w:eastAsia="方正仿宋_GBK"/>
                          <w:i w:val="1"/>
                          <w:iCs w:val="1"/>
                        </w:rPr>
                        <m:t>n</m:t>
                      </m:r>
                    </m:num>
                    <m:den>
                      <m:r>
                        <m:rPr>
                          <m:nor m:val="1"/>
                        </m:rPr>
                        <w:rPr>
                          <w:rFonts w:ascii="Times New Roman" w:hAnsi="Times New Roman" w:cs="Times New Roman" w:eastAsia="方正仿宋_GBK"/>
                          <w:i w:val="1"/>
                          <w:iCs w:val="1"/>
                        </w:rPr>
                        <m:t>H</m:t>
                      </m:r>
                    </m:den>
                  </m:f>
                </m:e>
              </m:d>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&gt;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（4-6）</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单位为MW，单柜额定能量为0.215 MWh，额定功率为0.10 MW，</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单位为h。10柜在4 h条件下有效功率为0.4085 MW，单位有效功率投资约515.19万元/MW。正向支撑和反向吸收分别使用相应持续时间。</w:t>
      </w:r>
    </w:p>
    <w:p>
      <w:pPr>
        <w:pStyle w:val="2"/>
        <w:keepNext/>
        <w:spacing w:line="280" w:lineRule="exact" w:before="120" w:after="80"/>
        <w:ind w:firstLine="0"/>
        <w:jc w:val="center"/>
      </w:pPr>
      <w:r>
        <w:rPr>
          <w:rFonts w:ascii="Times New Roman" w:hAnsi="Times New Roman" w:eastAsia="宋体"/>
          <w:b w:val="0"/>
          <w:sz w:val="21"/>
        </w:rPr>
        <w:t xml:space="preserve">表4-5 持续时间与储能有效功率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储能支撑持续时间/h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10柜额定能量/MWh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可用电量系数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储能有效支撑功率/MW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单位有效功率投资/万元·MW⁻¹</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210.46</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257.60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0.41</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515.19</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772.79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1030.39</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storage_effective_cost.png" id="0" name="Picture"/>
                    <pic:cNvPicPr>
                      <a:picLocks noChangeArrowheads="1" noChangeAspect="1"/>
                    </pic:cNvPicPr>
                  </pic:nvPicPr>
                  <pic:blipFill>
                    <a:blip r:embed="rId157"/>
                    <a:stretch>
                      <a:fillRect/>
                    </a:stretch>
                  </pic:blipFill>
                  <pic:spPr bwMode="auto">
                    <a:xfrm>
                      <a:off x="0" y="0"/>
                      <a:ext cx="5120640" cy="25603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图4-1 储能单位有效支撑功率投资与持续时间</w:t>
      </w:r>
    </w:p>
    <w:p>
      <w:pPr>
        <w:pStyle w:val="5"/>
        <w:keepNext/>
        <w:numPr>
          <w:numId w:val="0"/>
        </w:numPr>
        <w:spacing w:line="390" w:lineRule="exact" w:before="160" w:after="120"/>
        <w:ind w:firstLine="0"/>
      </w:pPr>
      <w:bookmarkStart w:id="158" w:name="可用能力与工程适用性"/>
      <w:r>
        <w:rPr>
          <w:rFonts w:ascii="Times New Roman" w:hAnsi="Times New Roman" w:eastAsia="方正仿宋_GBK"/>
          <w:b/>
          <w:sz w:val="26"/>
        </w:rPr>
        <w:t xml:space="preserve">4.4.4 可用能力与工程适用性</w:t>
      </w:r>
      <w:bookmarkEnd w:id="158"/>
    </w:p>
    <w:p>
      <w:pPr>
        <w:pStyle w:val="FirstParagraph"/>
        <w:widowControl/>
        <w:spacing w:line="348" w:lineRule="exact" w:before="0" w:after="0"/>
        <w:ind w:firstLine="480"/>
        <w:jc w:val="both"/>
      </w:pPr>
      <w:r>
        <w:rPr>
          <w:rFonts w:ascii="Times New Roman" w:hAnsi="Times New Roman" w:eastAsia="方正仿宋_GBK"/>
          <w:b w:val="0"/>
          <w:sz w:val="24"/>
        </w:rPr>
        <w:t xml:space="preserve">可用电量系数用于第3.4.5节所述静态比选，正向支撑对应可放电电量，反向吸收对应可充电空间。工程应用时，应结合保证可用电量、充放电效率、充电条件及恢复时间核定两方向的支撑能力。</w:t>
      </w:r>
    </w:p>
    <w:p>
      <w:pPr>
        <w:pStyle w:val="4"/>
        <w:keepNext/>
        <w:numPr>
          <w:numId w:val="0"/>
        </w:numPr>
        <w:spacing w:line="480" w:lineRule="exact" w:before="160" w:after="120"/>
        <w:ind w:firstLine="0"/>
      </w:pPr>
      <w:bookmarkStart w:id="1447" w:name="h447"/>
      <w:bookmarkStart w:id="159" w:name="参数变化与措施费用的联系"/>
      <w:r>
        <w:rPr>
          <w:rFonts w:ascii="Times New Roman" w:hAnsi="Times New Roman" w:eastAsia="方正仿宋_GBK"/>
          <w:b/>
          <w:sz w:val="32"/>
        </w:rPr>
        <w:t xml:space="preserve">4.5 参数变化与措施费用的联系</w:t>
      </w:r>
      <w:bookmarkEnd w:id="159"/>
      <w:bookmarkEnd w:id="1447"/>
    </w:p>
    <w:p>
      <w:pPr>
        <w:pStyle w:val="5"/>
        <w:keepNext/>
        <w:numPr>
          <w:numId w:val="0"/>
        </w:numPr>
        <w:spacing w:line="390" w:lineRule="exact" w:before="160" w:after="120"/>
        <w:ind w:firstLine="0"/>
      </w:pPr>
      <w:bookmarkStart w:id="160" w:name="电缆长度占比与联络费用"/>
      <w:r>
        <w:rPr>
          <w:rFonts w:ascii="Times New Roman" w:hAnsi="Times New Roman" w:eastAsia="方正仿宋_GBK"/>
          <w:b/>
          <w:sz w:val="26"/>
        </w:rPr>
        <w:t xml:space="preserve">4.5.1 电缆长度占比与联络费用</w:t>
      </w:r>
      <w:bookmarkEnd w:id="160"/>
    </w:p>
    <w:p>
      <w:pPr>
        <w:pStyle w:val="FirstParagraph"/>
        <w:widowControl/>
        <w:spacing w:line="348" w:lineRule="exact" w:before="0" w:after="0"/>
        <w:ind w:firstLine="480"/>
        <w:jc w:val="both"/>
      </w:pPr>
      <w:r>
        <w:rPr>
          <w:rFonts w:ascii="Times New Roman" w:hAnsi="Times New Roman" w:eastAsia="方正仿宋_GBK"/>
          <w:b w:val="0"/>
          <w:sz w:val="24"/>
        </w:rPr>
        <w:t xml:space="preserve">电缆长度占比取10%、30%、50%、80%、90%，单项联络长度3 km和固定接入费6万元保持一致。按第4.3节计价关系，占比提高增加单位长度造价；初始转供率则决定既有网络能力，两项分别进入工程费用与技术约束。</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电缆长度占比按长度加权造价，固定接入费独立计取。例如占比10%时，单位长度综合费用为39.60万元/km；占比80%时为148.80万元/km。两者对应同一3 km工程的投资分别为124.80万元和452.40万元，差额来自线路形式。邳州采用补充资料中的实际长度占比计算，得到128.38万元/项。若已有通道满足任务，新增联络数量为零，这项价格输入不产生新增支出；需要建设联络时，项目数量与单位造价共同决定费用。</w:t>
      </w:r>
    </w:p>
    <w:p>
      <w:pPr>
        <w:pStyle w:val="2"/>
        <w:widowControl/>
        <w:spacing w:line="348" w:lineRule="exact" w:before="0" w:after="0"/>
        <w:ind w:firstLine="480"/>
        <w:jc w:val="both"/>
      </w:pPr>
      <w:r>
        <w:rPr>
          <w:rFonts w:ascii="Times New Roman" w:hAnsi="Times New Roman" w:eastAsia="方正仿宋_GBK"/>
          <w:b w:val="0"/>
          <w:sz w:val="24"/>
        </w:rPr>
        <w:t xml:space="preserve">联络的经济作用还取决于可利用的容量位置。局部站点需要转出负荷时，线路只能将负荷送到具有馈线和主变余量的接收站。若接收侧仍需增容，完整方案费用应同时包含线路及接收站建设。第五章按同一网络约束比较完整方案，将电缆造价变化引起的直接费用差与设备替代分别解释。</w:t>
      </w:r>
    </w:p>
    <w:p>
      <w:pPr>
        <w:pStyle w:val="5"/>
        <w:keepNext/>
        <w:numPr>
          <w:numId w:val="0"/>
        </w:numPr>
        <w:spacing w:line="390" w:lineRule="exact" w:before="160" w:after="120"/>
        <w:ind w:firstLine="0"/>
      </w:pPr>
      <w:bookmarkStart w:id="161" w:name="储能支撑时间与配置费用"/>
      <w:r>
        <w:rPr>
          <w:rFonts w:ascii="Times New Roman" w:hAnsi="Times New Roman" w:eastAsia="方正仿宋_GBK"/>
          <w:b/>
          <w:sz w:val="26"/>
        </w:rPr>
        <w:t xml:space="preserve">4.5.2 储能支撑时间与配置费用</w:t>
      </w:r>
      <w:bookmarkEnd w:id="161"/>
    </w:p>
    <w:p>
      <w:pPr>
        <w:pStyle w:val="FirstParagraph"/>
        <w:widowControl/>
        <w:spacing w:line="348" w:lineRule="exact" w:before="0" w:after="0"/>
        <w:ind w:firstLine="480"/>
        <w:jc w:val="both"/>
      </w:pPr>
      <w:r>
        <w:rPr>
          <w:rFonts w:ascii="Times New Roman" w:hAnsi="Times New Roman" w:eastAsia="方正仿宋_GBK"/>
          <w:b w:val="0"/>
          <w:sz w:val="24"/>
        </w:rPr>
        <w:t xml:space="preserve">储能采用100 kW/215 kWh成套柜及统一单柜参考投资，推广支撑持续时间取2、4、6 h。持续时间延长时，相同柜数的有效支撑功率降低，满足给定缺口需要增加柜数或改用主变、联络措施。新增柜数及投运年共同决定费用。</w:t>
      </w:r>
    </w:p>
    <w:p>
      <w:pPr>
        <w:pStyle w:val="2"/>
        <w:widowControl/>
        <w:spacing w:line="348" w:lineRule="exact" w:before="0" w:after="0"/>
        <w:ind w:firstLine="480"/>
        <w:jc w:val="both"/>
      </w:pPr>
      <w:r>
        <w:rPr>
          <w:rFonts w:ascii="Times New Roman" w:hAnsi="Times New Roman" w:eastAsia="方正仿宋_GBK"/>
          <w:b w:val="0"/>
          <w:sz w:val="24"/>
        </w:rPr>
        <w:t xml:space="preserve">以额定功率100 kW、额定能量215 kWh的单柜为例，可用电量为0.1634 MWh，2、4、6 h下有效支撑功率分别为0.08170、0.04085、约0.02723 MW。按本章成套采购价格折算，每MW有效支撑对应的初始投资约为257.60、515.19、772.79万元。相同设备铭牌功率下，支撑时间越长，可供比较的有效功率越小，单位支撑费用越高[86]。项目投资仍按整数柜计算，以上单位值用于解释方案差异。</w:t>
      </w:r>
    </w:p>
    <w:p>
      <w:pPr>
        <w:pStyle w:val="2"/>
        <w:widowControl/>
        <w:spacing w:line="348" w:lineRule="exact" w:before="0" w:after="0"/>
        <w:ind w:firstLine="480"/>
        <w:jc w:val="both"/>
      </w:pPr>
      <w:r>
        <w:rPr>
          <w:rFonts w:ascii="Times New Roman" w:hAnsi="Times New Roman" w:eastAsia="方正仿宋_GBK"/>
          <w:b w:val="0"/>
          <w:sz w:val="24"/>
        </w:rPr>
        <w:t xml:space="preserve">储能配置还受到缺口出现位置和时间条件影响。较小且局部的功率缺口可以由少量柜体补足；若持续时间较长，满足同一缺口所需柜数增加，主变更换或网络支援可能成为费用更低的组合。反向吸收与正向支撑分别采用各自持续时间，容量校核按第五章静态功率折算执行。逐年建设时，已投运储能继续在役，后续费用由新增柜数而非年末全部在役数量计取。</w:t>
      </w:r>
    </w:p>
    <w:p>
      <w:pPr>
        <w:pStyle w:val="5"/>
        <w:keepNext/>
        <w:numPr>
          <w:numId w:val="0"/>
        </w:numPr>
        <w:spacing w:line="390" w:lineRule="exact" w:before="160" w:after="120"/>
        <w:ind w:firstLine="0"/>
      </w:pPr>
      <w:bookmarkStart w:id="162" w:name="三类措施的经济比较"/>
      <w:r>
        <w:rPr>
          <w:rFonts w:ascii="Times New Roman" w:hAnsi="Times New Roman" w:eastAsia="方正仿宋_GBK"/>
          <w:b/>
          <w:sz w:val="26"/>
        </w:rPr>
        <w:t xml:space="preserve">4.5.3 三类措施的经济比较</w:t>
      </w:r>
      <w:bookmarkEnd w:id="162"/>
    </w:p>
    <w:p>
      <w:pPr>
        <w:pStyle w:val="FirstParagraph"/>
        <w:widowControl/>
        <w:spacing w:line="348" w:lineRule="exact" w:before="0" w:after="0"/>
        <w:ind w:firstLine="480"/>
        <w:jc w:val="both"/>
      </w:pPr>
      <w:r>
        <w:rPr>
          <w:rFonts w:ascii="Times New Roman" w:hAnsi="Times New Roman" w:eastAsia="方正仿宋_GBK"/>
          <w:b w:val="0"/>
          <w:sz w:val="24"/>
        </w:rPr>
        <w:t xml:space="preserve">单位功率投资按措施可提供的能力比较相对价格：主变对应新购整台容量，其供电作用受最大单台主变N-1剩余容量约束，联络对应受邻站接收余量限制的具体区段可转功率，储能对应给定持续时间内的有效功率。第五章据此在相同正常及故障约束下比较完整建设组合[30][28][10]。</w:t>
      </w:r>
    </w:p>
    <w:p>
      <w:pPr>
        <w:pStyle w:val="2"/>
        <w:widowControl/>
        <w:spacing w:line="348" w:lineRule="exact" w:before="0" w:after="0"/>
        <w:ind w:firstLine="480"/>
        <w:jc w:val="both"/>
      </w:pPr>
      <w:r>
        <w:rPr>
          <w:rFonts w:ascii="Times New Roman" w:hAnsi="Times New Roman" w:eastAsia="方正仿宋_GBK"/>
          <w:b w:val="0"/>
          <w:sz w:val="24"/>
        </w:rPr>
        <w:t xml:space="preserve">主变更换的采购容量、容量净增和N-1后剩余容量分别对应费用、宏观容载比和故障承载能力。以两台40 MVA设备为例，将其中一台换成63 MVA后总容量增加23 MVA，但最大单台主变停运后仍剩40 MVA，只有两台均升档，或在具备预留位置时扩建第三台主变，故障后的剩余容量才随具体组合改变。因此，工程比选应据实际停运设备校核，再比较相应采购费用。</w:t>
      </w:r>
    </w:p>
    <w:p>
      <w:pPr>
        <w:pStyle w:val="2"/>
        <w:widowControl/>
        <w:spacing w:line="348" w:lineRule="exact" w:before="0" w:after="0"/>
        <w:ind w:firstLine="480"/>
        <w:jc w:val="both"/>
      </w:pPr>
      <w:r>
        <w:rPr>
          <w:rFonts w:ascii="Times New Roman" w:hAnsi="Times New Roman" w:eastAsia="方正仿宋_GBK"/>
          <w:b w:val="0"/>
          <w:sz w:val="24"/>
        </w:rPr>
        <w:t xml:space="preserve">三类措施的替代发生在具体缺口位置。主变补强可以增加本地承载或邻站接收能力，联络将可切换负荷安排到其他站点，储能在设定时长内补充功率。经济结果需要同时满足源端可转负荷、通道能力和接收侧容量。较低的单项单位造价只有在能够承担相应供电任务时，才可能转化为完整方案的费用优势。第五章采用逐年配置和分项费用说明这种替代关系。</w:t>
      </w:r>
    </w:p>
    <w:p>
      <w:pPr>
        <w:pStyle w:val="4"/>
        <w:keepNext/>
        <w:numPr>
          <w:numId w:val="0"/>
        </w:numPr>
        <w:spacing w:line="480" w:lineRule="exact" w:before="160" w:after="120"/>
        <w:ind w:firstLine="0"/>
      </w:pPr>
      <w:bookmarkStart w:id="1460" w:name="h460"/>
      <w:bookmarkStart w:id="163" w:name="现金流现值计算"/>
      <w:r>
        <w:rPr>
          <w:rFonts w:ascii="Times New Roman" w:hAnsi="Times New Roman" w:eastAsia="方正仿宋_GBK"/>
          <w:b/>
          <w:sz w:val="32"/>
        </w:rPr>
        <w:t xml:space="preserve">4.6 现金流现值计算</w:t>
      </w:r>
      <w:bookmarkEnd w:id="163"/>
      <w:bookmarkEnd w:id="1460"/>
    </w:p>
    <w:p>
      <w:pPr>
        <w:pStyle w:val="5"/>
        <w:keepNext/>
        <w:numPr>
          <w:numId w:val="0"/>
        </w:numPr>
        <w:spacing w:line="390" w:lineRule="exact" w:before="160" w:after="120"/>
        <w:ind w:firstLine="0"/>
      </w:pPr>
      <w:bookmarkStart w:id="164" w:name="单项工程现值因子"/>
      <w:r>
        <w:rPr>
          <w:rFonts w:ascii="Times New Roman" w:hAnsi="Times New Roman" w:eastAsia="方正仿宋_GBK"/>
          <w:b/>
          <w:sz w:val="26"/>
        </w:rPr>
        <w:t xml:space="preserve">4.6.1 单项工程现值因子</w:t>
      </w:r>
      <w:bookmarkEnd w:id="164"/>
    </w:p>
    <w:p>
      <w:pPr>
        <w:pStyle w:val="FirstParagraph"/>
        <w:widowControl/>
        <w:spacing w:line="348" w:lineRule="exact" w:before="0" w:after="0"/>
        <w:ind w:firstLine="480"/>
        <w:jc w:val="both"/>
      </w:pPr>
      <w:r>
        <w:rPr>
          <w:rFonts w:ascii="Times New Roman" w:hAnsi="Times New Roman" w:eastAsia="方正仿宋_GBK"/>
          <w:b w:val="0"/>
          <w:sz w:val="24"/>
        </w:rPr>
        <w:t xml:space="preserve">设工程于</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年投运，初始投资</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，寿命</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，固定运维率</w:t>
      </w:r>
      <m:oMath>
        <m:r>
          <m:rPr>
            <m:nor m:val="1"/>
          </m:rPr>
          <w:rPr>
            <w:rFonts w:ascii="Times New Roman" w:hAnsi="Times New Roman" w:cs="Times New Roman" w:eastAsia="方正仿宋_GBK"/>
            <w:i w:val="1"/>
            <w:iCs w:val="1"/>
          </w:rPr>
          <m:t>q</m:t>
        </m:r>
      </m:oMath>
      <w:r>
        <w:rPr>
          <w:rFonts w:ascii="Times New Roman" w:hAnsi="Times New Roman" w:eastAsia="方正仿宋_GBK"/>
          <w:b w:val="0"/>
          <w:sz w:val="24"/>
        </w:rPr>
        <w:t xml:space="preserve">，评价截止年</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=2041，基准年2021，折现率</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=6%。单项工程现值由投运投资、评价期内更新和投运次年起固定运维构成[10][11][12]。</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e>
                    <m:f>
                      <m:fPr>
                        <m:type m:val="bar"/>
                      </m:fPr>
                      <m:num>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mr>
                <m:mr>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&lt;</m:t>
                        </m:r>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0"/>
                            <w:iCs w:val="0"/>
                          </w:rPr>
                          <m:t>​</m:t>
                        </m:r>
                      </m:sup>
                      <m:e>
                        <m:f>
                          <m:fPr>
                            <m:type m:val="bar"/>
                          </m:fPr>
                          <m:num>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nary>
                  </m:e>
                </m:mr>
                <m:mr>
                  <m:e/>
                  <m:e>
                    <m:r>
                      <m:rPr>
                        <m:nor m:val="1"/>
                      </m:rPr>
                      <w:rPr>
                        <w:rFonts w:ascii="Times New Roman" w:hAnsi="Times New Roman" w:cs="Times New Roman" w:eastAsia="方正仿宋_GBK"/>
                        <w:i w:val="0"/>
                        <w:iCs w:val="0"/>
                      </w:rPr>
                      <m:t>+</m:t>
                    </m:r>
                    <m:nary>
                      <m:naryPr>
                        <m:chr m:val="∑"/>
                        <m:limLoc m:val="undOvr"/>
                        <m:subHide m:val="0"/>
                        <m:supHide m:val="0"/>
                      </m:naryPr>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nor m:val="1"/>
                          </m:rPr>
                          <w:rPr>
                            <w:rFonts w:ascii="Times New Roman" w:hAnsi="Times New Roman" w:cs="Times New Roman" w:eastAsia="方正仿宋_GBK"/>
                            <w:i w:val="1"/>
                            <w:iCs w:val="1"/>
                          </w:rPr>
                          <m:t>T</m:t>
                        </m:r>
                      </m:sup>
                      <m:e>
                        <m:f>
                          <m:fPr>
                            <m:type m:val="bar"/>
                          </m:fPr>
                          <m:num>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（4-7）</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为单项工程费用现值，单位万元；</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为初始投资，单位万元；</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为投运年份，</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为寿命，单位年；</w:t>
      </w:r>
      <m:oMath>
        <m:r>
          <m:rPr>
            <m:nor m:val="1"/>
          </m:rPr>
          <w:rPr>
            <w:rFonts w:ascii="Times New Roman" w:hAnsi="Times New Roman" w:cs="Times New Roman" w:eastAsia="方正仿宋_GBK"/>
            <w:i w:val="1"/>
            <w:iCs w:val="1"/>
          </w:rPr>
          <m:t>q</m:t>
        </m:r>
      </m:oMath>
      <w:r>
        <w:rPr>
          <w:rFonts w:ascii="Times New Roman" w:hAnsi="Times New Roman" w:eastAsia="方正仿宋_GBK"/>
          <w:b w:val="0"/>
          <w:sz w:val="24"/>
        </w:rPr>
        <w:t xml:space="preserve">为年度固定运维占初始投资的比例，</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为折现率；</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为更新次数序号，</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为运维年份，</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为评价截止年。</w:t>
      </w:r>
    </w:p>
    <w:p>
      <w:pPr>
        <w:pStyle w:val="2"/>
        <w:widowControl/>
        <w:spacing w:line="348" w:lineRule="exact" w:before="0" w:after="0"/>
        <w:ind w:firstLine="480"/>
        <w:jc w:val="both"/>
      </w:pPr>
      <w:r>
        <w:rPr>
          <w:rFonts w:ascii="Times New Roman" w:hAnsi="Times New Roman" w:eastAsia="方正仿宋_GBK"/>
          <w:b w:val="0"/>
          <w:sz w:val="24"/>
        </w:rPr>
        <w:t xml:space="preserve">设备在</w:t>
      </w:r>
      <m:oMath>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严格小于2041时计取更新投资，固定运维计至2041年。</w:t>
      </w:r>
    </w:p>
    <w:p>
      <w:pPr>
        <w:pStyle w:val="2"/>
        <w:widowControl/>
        <w:spacing w:line="348" w:lineRule="exact" w:before="0" w:after="0"/>
        <w:ind w:firstLine="480"/>
        <w:jc w:val="both"/>
      </w:pPr>
      <w:r>
        <w:rPr>
          <w:rFonts w:ascii="Times New Roman" w:hAnsi="Times New Roman" w:eastAsia="方正仿宋_GBK"/>
          <w:b w:val="0"/>
          <w:sz w:val="24"/>
        </w:rPr>
        <w:t xml:space="preserve">令</w:t>
      </w:r>
      <m:oMath>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oMath>
      <w:r>
        <w:rPr>
          <w:rFonts w:ascii="Times New Roman" w:hAnsi="Times New Roman" w:eastAsia="方正仿宋_GBK"/>
          <w:b w:val="0"/>
          <w:sz w:val="24"/>
        </w:rPr>
        <w:t xml:space="preserve">，得到现值因子</w:t>
      </w:r>
      <m:oMath>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。主变按40年和系数0.042、线路按40年和系数0.022、储能按25年和系数0.030计算。2022—2025年投运的三类设备均未在2041年评价截止前达到设定寿命，因此本评价期内的更新支出为零。</w:t>
      </w:r>
    </w:p>
    <w:p>
      <w:pPr>
        <w:pStyle w:val="2"/>
        <w:keepNext/>
        <w:spacing w:line="280" w:lineRule="exact" w:before="120" w:after="80"/>
        <w:ind w:firstLine="0"/>
        <w:jc w:val="center"/>
      </w:pPr>
      <w:r>
        <w:rPr>
          <w:rFonts w:ascii="Times New Roman" w:hAnsi="Times New Roman" w:eastAsia="宋体"/>
          <w:b w:val="0"/>
          <w:sz w:val="21"/>
        </w:rPr>
        <w:t xml:space="preserve">表4-6 单位初始投资的2021年末现值因子（式4-7）</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投运年</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主变现金流现值因子</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线路现金流现值因子</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储能现金流现值因子</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w:t>
            </w:r>
          </w:p>
        </w:tc>
      </w:tr>
    </w:tbl>
    <w:p>
      <w:pPr>
        <w:pStyle w:val="5"/>
        <w:keepNext/>
        <w:numPr>
          <w:numId w:val="0"/>
        </w:numPr>
        <w:spacing w:line="390" w:lineRule="exact" w:before="160" w:after="120"/>
        <w:ind w:firstLine="0"/>
      </w:pPr>
      <w:bookmarkStart w:id="165" w:name="年度投运对现值的影响"/>
      <w:r>
        <w:rPr>
          <w:rFonts w:ascii="Times New Roman" w:hAnsi="Times New Roman" w:eastAsia="方正仿宋_GBK"/>
          <w:b/>
          <w:sz w:val="26"/>
        </w:rPr>
        <w:t xml:space="preserve">4.6.2 年度投运对现值的影响</w:t>
      </w:r>
      <w:bookmarkEnd w:id="165"/>
    </w:p>
    <w:p>
      <w:pPr>
        <w:pStyle w:val="FirstParagraph"/>
        <w:widowControl/>
        <w:spacing w:line="348" w:lineRule="exact" w:before="0" w:after="0"/>
        <w:ind w:firstLine="480"/>
        <w:jc w:val="both"/>
      </w:pPr>
      <w:r>
        <w:rPr>
          <w:rFonts w:ascii="Times New Roman" w:hAnsi="Times New Roman" w:eastAsia="方正仿宋_GBK"/>
          <w:b w:val="0"/>
          <w:sz w:val="24"/>
        </w:rPr>
        <w:t xml:space="preserve">相同工程晚一年投运会减少初始投资现值及计入的运维年数，并将更新年份后移，因此建设时点需在各年技术可行的前提下参与经济比选。</w:t>
      </w:r>
    </w:p>
    <w:p>
      <w:pPr>
        <w:pStyle w:val="2"/>
        <w:widowControl/>
        <w:spacing w:line="348" w:lineRule="exact" w:before="0" w:after="0"/>
        <w:ind w:firstLine="480"/>
        <w:jc w:val="both"/>
      </w:pPr>
      <w:r>
        <w:rPr>
          <w:rFonts w:ascii="Times New Roman" w:hAnsi="Times New Roman" w:eastAsia="方正仿宋_GBK"/>
          <w:b w:val="0"/>
          <w:sz w:val="24"/>
        </w:rPr>
        <w:t xml:space="preserve">储能投资按各投运批次的新增柜数计算。主变安装位置在不同年份先后升档，每一次更换分别计当年新购整台容量，采购批次合计用于费用，容量净增用于设备状态及容载比。</w:t>
      </w:r>
    </w:p>
    <w:p>
      <w:pPr>
        <w:pStyle w:val="5"/>
        <w:keepNext/>
        <w:numPr>
          <w:numId w:val="0"/>
        </w:numPr>
        <w:spacing w:line="390" w:lineRule="exact" w:before="160" w:after="120"/>
        <w:ind w:firstLine="0"/>
      </w:pPr>
      <w:bookmarkStart w:id="166" w:name="费用构成与结果复算"/>
      <w:r>
        <w:rPr>
          <w:rFonts w:ascii="Times New Roman" w:hAnsi="Times New Roman" w:eastAsia="方正仿宋_GBK"/>
          <w:b/>
          <w:sz w:val="26"/>
        </w:rPr>
        <w:t xml:space="preserve">4.6.3 费用构成与结果复算</w:t>
      </w:r>
      <w:bookmarkEnd w:id="166"/>
    </w:p>
    <w:p>
      <w:pPr>
        <w:pStyle w:val="FirstParagraph"/>
        <w:widowControl/>
        <w:spacing w:line="348" w:lineRule="exact" w:before="0" w:after="0"/>
        <w:ind w:firstLine="480"/>
        <w:jc w:val="both"/>
      </w:pPr>
      <w:r>
        <w:rPr>
          <w:rFonts w:ascii="Times New Roman" w:hAnsi="Times New Roman" w:eastAsia="方正仿宋_GBK"/>
          <w:b w:val="0"/>
          <w:sz w:val="24"/>
        </w:rPr>
        <w:t xml:space="preserve">方案费用现值为全部建设改造项目现值之和，主变、储能和线路分项汇总后应与所选布局对应的实际目标费用一致。费用表同时列示初始建设投资与评价期费用现值，便于核对工程规模和现金流折算。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T</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B</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L</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（4-8）</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oMath>
      <w:r>
        <w:rPr>
          <w:rFonts w:ascii="Times New Roman" w:hAnsi="Times New Roman" w:eastAsia="方正仿宋_GBK"/>
          <w:b w:val="0"/>
          <w:sz w:val="24"/>
        </w:rPr>
        <w:t xml:space="preserve">为方案费用现值，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为建设改造项目</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的费用现值，单位万元；</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分别为主变、储能和线路投运项目集合。年度采购量、柜数与新线条数来自方案状态变化，费用复算按工程类型和投运年建立现金流。费用以万元计量。</w:t>
      </w:r>
    </w:p>
    <w:p>
      <w:pPr>
        <w:pStyle w:val="5"/>
        <w:keepNext/>
        <w:numPr>
          <w:numId w:val="0"/>
        </w:numPr>
        <w:spacing w:line="390" w:lineRule="exact" w:before="160" w:after="120"/>
        <w:ind w:firstLine="0"/>
      </w:pPr>
      <w:bookmarkStart w:id="167" w:name="评价期边界与费用解释"/>
      <w:r>
        <w:rPr>
          <w:rFonts w:ascii="Times New Roman" w:hAnsi="Times New Roman" w:eastAsia="方正仿宋_GBK"/>
          <w:b/>
          <w:sz w:val="26"/>
        </w:rPr>
        <w:t xml:space="preserve">4.6.4 评价期边界与费用解释</w:t>
      </w:r>
      <w:bookmarkEnd w:id="167"/>
    </w:p>
    <w:p>
      <w:pPr>
        <w:pStyle w:val="FirstParagraph"/>
        <w:widowControl/>
        <w:spacing w:line="348" w:lineRule="exact" w:before="0" w:after="0"/>
        <w:ind w:firstLine="480"/>
        <w:jc w:val="both"/>
      </w:pPr>
      <w:r>
        <w:rPr>
          <w:rFonts w:ascii="Times New Roman" w:hAnsi="Times New Roman" w:eastAsia="方正仿宋_GBK"/>
          <w:b w:val="0"/>
          <w:sz w:val="24"/>
        </w:rPr>
        <w:t xml:space="preserve">本报告采用折现率6%、主变和线路寿命40年、储能寿命25年及本章所列固定运维率，更新按与首次购置相同的实价计算，价格情景对两者使用相同倍数。由于2021年末至2041年的共同评价期短于三类设备的完整寿命，2022—2025年投运设备未在评价截止前触发更新，现值结果因而反映这一期间的建设和固定运维费用。</w:t>
      </w:r>
    </w:p>
    <w:p>
      <w:pPr>
        <w:pStyle w:val="2"/>
        <w:widowControl/>
        <w:spacing w:line="348" w:lineRule="exact" w:before="0" w:after="0"/>
        <w:ind w:firstLine="480"/>
        <w:jc w:val="both"/>
      </w:pPr>
      <w:r>
        <w:rPr>
          <w:rFonts w:ascii="Times New Roman" w:hAnsi="Times New Roman" w:eastAsia="方正仿宋_GBK"/>
          <w:b w:val="0"/>
          <w:sz w:val="24"/>
        </w:rPr>
        <w:t xml:space="preserve">两类方案采用相同现金流范围，尚未计入期末残值、被替换存量设备运维费用的变化、储能充电购电及损耗，也未抵扣收益。不同寿命和替换时点可能使这些科目对费用产生不同影响，因此工程经济评价需在资料齐备后统一补充并检查方案排序，本报告费用降幅按当前列明的支出范围解释。</w:t>
      </w:r>
    </w:p>
    <w:p>
      <w:pPr>
        <w:pStyle w:val="5"/>
        <w:keepNext/>
        <w:numPr>
          <w:numId w:val="0"/>
        </w:numPr>
        <w:spacing w:line="390" w:lineRule="exact" w:before="160" w:after="120"/>
        <w:ind w:firstLine="0"/>
      </w:pPr>
      <w:bookmarkStart w:id="168" w:name="主变更换与扩建的投资差异"/>
      <w:r>
        <w:rPr>
          <w:rFonts w:ascii="Times New Roman" w:hAnsi="Times New Roman" w:eastAsia="方正仿宋_GBK"/>
          <w:b/>
          <w:sz w:val="26"/>
        </w:rPr>
        <w:t xml:space="preserve">4.6.5 主变更换与扩建的投资差异</w:t>
      </w:r>
      <w:bookmarkEnd w:id="168"/>
    </w:p>
    <w:p>
      <w:pPr>
        <w:pStyle w:val="FirstParagraph"/>
        <w:widowControl/>
        <w:spacing w:line="348" w:lineRule="exact" w:before="0" w:after="0"/>
        <w:ind w:firstLine="480"/>
        <w:jc w:val="both"/>
      </w:pPr>
      <w:r>
        <w:rPr>
          <w:rFonts w:ascii="Times New Roman" w:hAnsi="Times New Roman" w:eastAsia="方正仿宋_GBK"/>
          <w:b w:val="0"/>
          <w:sz w:val="24"/>
        </w:rPr>
        <w:t xml:space="preserve">主变更换与扩建均能增加变电容量，但工程内容和新增供电能力不同。更换工程需要购置整台新主变，同时拆除被替换设备；扩建工程增加主变台数，并建设相应间隔、出线及配套设施。因此，同为50 MVA新购容量，净增容量和N-1后剩余容量可能不同，工程经济比较应联系建设方式。</w:t>
      </w:r>
    </w:p>
    <w:p>
      <w:pPr>
        <w:pStyle w:val="2"/>
        <w:widowControl/>
        <w:spacing w:line="348" w:lineRule="exact" w:before="0" w:after="0"/>
        <w:ind w:firstLine="480"/>
        <w:jc w:val="both"/>
      </w:pPr>
      <w:r>
        <w:rPr>
          <w:rFonts w:ascii="Times New Roman" w:hAnsi="Times New Roman" w:eastAsia="方正仿宋_GBK"/>
          <w:b w:val="0"/>
          <w:sz w:val="24"/>
        </w:rPr>
        <w:t xml:space="preserve">王庄工程将20 MVA主变更换为50 MVA，净增30 MVA。若按新购容量折算，静态投资1151万元对应23.02万元/MVA；若按净增容量折算，则为38.37万元/MVA。两个系数分别回答购置一单位新设备容量需多少投资，以及增加一单位在役容量需多少投资，使用时应明确分母。报告的购置费用按新购容量计取，容量变化按净增容量统计。</w:t>
      </w:r>
    </w:p>
    <w:p>
      <w:pPr>
        <w:pStyle w:val="2"/>
        <w:widowControl/>
        <w:spacing w:line="348" w:lineRule="exact" w:before="0" w:after="0"/>
        <w:ind w:firstLine="480"/>
        <w:jc w:val="both"/>
      </w:pPr>
      <w:r>
        <w:rPr>
          <w:rFonts w:ascii="Times New Roman" w:hAnsi="Times New Roman" w:eastAsia="方正仿宋_GBK"/>
          <w:b w:val="0"/>
          <w:sz w:val="24"/>
        </w:rPr>
        <w:t xml:space="preserve">鲁庙工程由两台31.50 MVA更换为两台50 MVA，新购100 MVA、拆除原设备63 MVA、净增37 MVA，静态投资1335万元。按新购容量折算为13.35万元/MVA，按净增容量折算为36.08万元/MVA。两个更换工程按新购容量形成的系数差异较大，与工程配套内容及建设规模有关，按净增容量比较时，差距有所收窄。采用加权系数可以使不同规模案例共同参与参考投资估算。</w:t>
      </w:r>
    </w:p>
    <w:p>
      <w:pPr>
        <w:pStyle w:val="2"/>
        <w:widowControl/>
        <w:spacing w:line="348" w:lineRule="exact" w:before="0" w:after="0"/>
        <w:ind w:firstLine="480"/>
        <w:jc w:val="both"/>
      </w:pPr>
      <w:r>
        <w:rPr>
          <w:rFonts w:ascii="Times New Roman" w:hAnsi="Times New Roman" w:eastAsia="方正仿宋_GBK"/>
          <w:b w:val="0"/>
          <w:sz w:val="24"/>
        </w:rPr>
        <w:t xml:space="preserve">邢楼和墩集扩建工程均增加一台50 MVA主变及12回10 kV出线，平均静态投资1223万元，对应24.46万元/MVA[85]。扩建项目价格包含增加台数及相应配套工程，其供电作用需要结合原有主变台数分析。对两台主变站，扩建可能同时改善正常容量和N-1剩余容量，因此在设备位置具备条件时，这种措施有可能减少储能用于供电缺口的规模。</w:t>
      </w:r>
    </w:p>
    <w:p>
      <w:pPr>
        <w:pStyle w:val="2"/>
        <w:widowControl/>
        <w:spacing w:line="348" w:lineRule="exact" w:before="0" w:after="0"/>
        <w:ind w:firstLine="480"/>
        <w:jc w:val="both"/>
      </w:pPr>
      <w:r>
        <w:rPr>
          <w:rFonts w:ascii="Times New Roman" w:hAnsi="Times New Roman" w:eastAsia="方正仿宋_GBK"/>
          <w:b w:val="0"/>
          <w:sz w:val="24"/>
        </w:rPr>
        <w:t xml:space="preserve">主变更换与扩建的经济性取决于满足供电需求的完整措施组合。若更换后仍受N-1容量约束，方案可能继续需要较多储能，而若扩建能够同时消除正常和停运后的缺口，即使项目投资较高，整体费用仍可能较低。第五章采用完整站级约束和综合费用比较，将这些技术差异反映到建设选择中。</w:t>
      </w:r>
    </w:p>
    <w:p>
      <w:pPr>
        <w:pStyle w:val="5"/>
        <w:keepNext/>
        <w:numPr>
          <w:numId w:val="0"/>
        </w:numPr>
        <w:spacing w:line="390" w:lineRule="exact" w:before="160" w:after="120"/>
        <w:ind w:firstLine="0"/>
      </w:pPr>
      <w:bookmarkStart w:id="169" w:name="联络与储能的费用响应"/>
      <w:r>
        <w:rPr>
          <w:rFonts w:ascii="Times New Roman" w:hAnsi="Times New Roman" w:eastAsia="方正仿宋_GBK"/>
          <w:b/>
          <w:sz w:val="26"/>
        </w:rPr>
        <w:t xml:space="preserve">4.6.6 联络与储能的费用响应</w:t>
      </w:r>
      <w:bookmarkEnd w:id="169"/>
    </w:p>
    <w:p>
      <w:pPr>
        <w:pStyle w:val="FirstParagraph"/>
        <w:widowControl/>
        <w:spacing w:line="348" w:lineRule="exact" w:before="0" w:after="0"/>
        <w:ind w:firstLine="480"/>
        <w:jc w:val="both"/>
      </w:pPr>
      <w:r>
        <w:rPr>
          <w:rFonts w:ascii="Times New Roman" w:hAnsi="Times New Roman" w:eastAsia="方正仿宋_GBK"/>
          <w:b w:val="0"/>
          <w:sz w:val="24"/>
        </w:rPr>
        <w:t xml:space="preserve">线路成本系数改变单位长度造价，固定接入费保持6万元，但新增联络还需满足送端可转负荷、共享馈线余量及邻站容量要求才能发挥作用。因此，价格变化既可能只改变已有配置的费用，也可能触发主变、储能与联络之间的调整，第五章通过固定其余输入的配对结果分别判断。</w:t>
      </w:r>
    </w:p>
    <w:p>
      <w:pPr>
        <w:pStyle w:val="2"/>
        <w:widowControl/>
        <w:spacing w:line="348" w:lineRule="exact" w:before="0" w:after="0"/>
        <w:ind w:firstLine="480"/>
        <w:jc w:val="both"/>
      </w:pPr>
      <w:r>
        <w:rPr>
          <w:rFonts w:ascii="Times New Roman" w:hAnsi="Times New Roman" w:eastAsia="方正仿宋_GBK"/>
          <w:b w:val="0"/>
          <w:sz w:val="24"/>
        </w:rPr>
        <w:t xml:space="preserve">储能费用由新增柜数及单柜价格确定，有效支撑功率由额定功率、可用电量及持续时间共同确定。4 h条件下，10柜有效功率为0.4085 MW；2 h、6 h分别为0.8170 MW、约0.2723 MW。改变持续时间后，应重新求解措施组合，改变价格时则保持持续时间及设备规格，单独检验经济响应。</w:t>
      </w:r>
    </w:p>
    <w:p>
      <w:pPr>
        <w:pStyle w:val="2"/>
        <w:widowControl/>
        <w:spacing w:line="348" w:lineRule="exact" w:before="0" w:after="0"/>
        <w:ind w:firstLine="480"/>
        <w:jc w:val="both"/>
      </w:pPr>
      <w:r>
        <w:rPr>
          <w:rFonts w:ascii="Times New Roman" w:hAnsi="Times New Roman" w:eastAsia="方正仿宋_GBK"/>
          <w:b w:val="0"/>
          <w:sz w:val="24"/>
        </w:rPr>
        <w:t xml:space="preserve">逐年费用按当年新购主变、储能柜数和新增联络项目计算，后续在役状态用于容量与供电安全校核，因此两地区的费用差由完整措施组合及投运时点形成。共同评价期截止于2041年，在设备均未触发更新的条件下，寿命参数变化可能保持当前现金流不变。</w:t>
      </w:r>
    </w:p>
    <w:p>
      <w:pPr>
        <w:pStyle w:val="3"/>
        <w:keepNext/>
        <w:pageBreakBefore/>
        <w:numPr>
          <w:numId w:val="0"/>
        </w:numPr>
        <w:spacing w:line="540" w:lineRule="exact" w:before="0" w:after="120"/>
        <w:ind w:firstLine="0"/>
      </w:pPr>
      <w:bookmarkStart w:id="1486" w:name="h486"/>
      <w:bookmarkStart w:id="170" w:name="第五章-一片一策弹性容载比规划建议"/>
      <w:r>
        <w:rPr>
          <w:rFonts w:ascii="Times New Roman" w:hAnsi="Times New Roman" w:eastAsia="方正仿宋_GBK"/>
          <w:b/>
          <w:sz w:val="36"/>
        </w:rPr>
        <w:t xml:space="preserve">第五章</w:t>
      </w:r>
      <w:r>
        <w:rPr>
          <w:rFonts w:ascii="Times New Roman" w:hAnsi="Times New Roman" w:eastAsia="方正仿宋_GBK"/>
          <w:b/>
          <w:sz w:val="36"/>
        </w:rPr>
        <w:t xml:space="preserve"> </w:t>
      </w:r>
      <w:r>
        <w:rPr>
          <w:rFonts w:ascii="Times New Roman" w:hAnsi="Times New Roman" w:eastAsia="方正仿宋_GBK"/>
          <w:b/>
          <w:sz w:val="36"/>
        </w:rPr>
        <w:t xml:space="preserve">“</w:t>
      </w:r>
      <w:r>
        <w:rPr>
          <w:rFonts w:ascii="Times New Roman" w:hAnsi="Times New Roman" w:eastAsia="方正仿宋_GBK"/>
          <w:b/>
          <w:sz w:val="36"/>
        </w:rPr>
        <w:t xml:space="preserve">一片一策</w:t>
      </w:r>
      <w:r>
        <w:rPr>
          <w:rFonts w:ascii="Times New Roman" w:hAnsi="Times New Roman" w:eastAsia="方正仿宋_GBK"/>
          <w:b/>
          <w:sz w:val="36"/>
        </w:rPr>
        <w:t xml:space="preserve">”</w:t>
      </w:r>
      <w:r>
        <w:rPr>
          <w:rFonts w:ascii="Times New Roman" w:hAnsi="Times New Roman" w:eastAsia="方正仿宋_GBK"/>
          <w:b/>
          <w:sz w:val="36"/>
        </w:rPr>
        <w:t xml:space="preserve">弹性容载比规划建议</w:t>
      </w:r>
      <w:bookmarkEnd w:id="170"/>
      <w:bookmarkEnd w:id="1486"/>
    </w:p>
    <w:p>
      <w:pPr>
        <w:pStyle w:val="FirstParagraph"/>
        <w:widowControl/>
        <w:spacing w:line="348" w:lineRule="exact" w:before="0" w:after="0"/>
        <w:ind w:firstLine="480"/>
        <w:jc w:val="both"/>
      </w:pPr>
      <w:r>
        <w:rPr>
          <w:rFonts w:ascii="Times New Roman" w:hAnsi="Times New Roman" w:eastAsia="方正仿宋_GBK"/>
          <w:b w:val="0"/>
          <w:sz w:val="24"/>
        </w:rPr>
        <w:t xml:space="preserve">第三章给出邳州、市区的源荷与设备条件，第四章将主变、储能和联络建设折算为共同评价期费用。本章将两者结合，在相同供电任务下比较刚性、弹性方案，分析主变容量增加与储能、联络需求减少之间的经济替代关系。地区案例说明具体建设路径，五站模板进一步分析参数变化下的容载比取值。</w:t>
      </w:r>
    </w:p>
    <w:p>
      <w:pPr>
        <w:pStyle w:val="4"/>
        <w:keepNext/>
        <w:numPr>
          <w:numId w:val="0"/>
        </w:numPr>
        <w:spacing w:line="480" w:lineRule="exact" w:before="160" w:after="120"/>
        <w:ind w:firstLine="0"/>
      </w:pPr>
      <w:bookmarkStart w:id="1488" w:name="h488"/>
      <w:bookmarkStart w:id="171" w:name="寻优问题与共同起点"/>
      <w:r>
        <w:rPr>
          <w:rFonts w:ascii="Times New Roman" w:hAnsi="Times New Roman" w:eastAsia="方正仿宋_GBK"/>
          <w:b/>
          <w:sz w:val="32"/>
        </w:rPr>
        <w:t xml:space="preserve">5.1 寻优问题与共同起点</w:t>
      </w:r>
      <w:bookmarkEnd w:id="171"/>
      <w:bookmarkEnd w:id="1488"/>
    </w:p>
    <w:p>
      <w:pPr>
        <w:pStyle w:val="5"/>
        <w:keepNext/>
        <w:numPr>
          <w:numId w:val="0"/>
        </w:numPr>
        <w:spacing w:line="390" w:lineRule="exact" w:before="160" w:after="120"/>
        <w:ind w:firstLine="0"/>
      </w:pPr>
      <w:bookmarkStart w:id="172" w:name="年度负荷与共同仿真起点"/>
      <w:r>
        <w:rPr>
          <w:rFonts w:ascii="Times New Roman" w:hAnsi="Times New Roman" w:eastAsia="方正仿宋_GBK"/>
          <w:b/>
          <w:sz w:val="26"/>
        </w:rPr>
        <w:t xml:space="preserve">5.1.1 年度负荷与共同仿真起点</w:t>
      </w:r>
      <w:bookmarkEnd w:id="172"/>
    </w:p>
    <w:p>
      <w:pPr>
        <w:pStyle w:val="FirstParagraph"/>
        <w:widowControl/>
        <w:spacing w:line="348" w:lineRule="exact" w:before="0" w:after="0"/>
        <w:ind w:firstLine="480"/>
        <w:jc w:val="both"/>
      </w:pPr>
      <w:r>
        <w:rPr>
          <w:rFonts w:ascii="Times New Roman" w:hAnsi="Times New Roman" w:eastAsia="方正仿宋_GBK"/>
          <w:b w:val="0"/>
          <w:sz w:val="24"/>
        </w:rPr>
        <w:t xml:space="preserve">两类方案保留相同的初始设备组合。市区初始主变总容量为2900.00 MVA，邳州为1463.50 MVA；基期负荷取2021年实际统计值，两地区基期容载比按两位小数均为2.00。该设置用于方案比较，实际在役容量仍采用第三章年度统计。</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2.00</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的初始仿真主变总容量，单位MVA；</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为基期容载比，</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为同地区第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年的原表网供最大负荷估计值，单位MW。已有年度负荷直接进入模型，保留2023年邳州及2022、2024年市区的负荷回落。标准复合增长率用于增长水平描述和通用情景设置。</w:t>
      </w:r>
    </w:p>
    <w:p>
      <w:pPr>
        <w:pStyle w:val="2"/>
        <w:keepNext/>
        <w:spacing w:line="280" w:lineRule="exact" w:before="120" w:after="80"/>
        <w:ind w:firstLine="0"/>
        <w:jc w:val="center"/>
      </w:pPr>
      <w:r>
        <w:rPr>
          <w:rFonts w:ascii="Times New Roman" w:hAnsi="Times New Roman" w:eastAsia="宋体"/>
          <w:b w:val="0"/>
          <w:sz w:val="21"/>
        </w:rPr>
        <w:t xml:space="preserve">表5-1 实际统计与仿真起点</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实际主变容量/MVA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实际年网供最大负荷/MW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仿真容量/MVA</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1463.50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2045.50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按方案投运</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按方案投运</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2169.50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按方案投运</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2139.50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按方案投运</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2900.00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按方案投运</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按方案投运</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3675.00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按方案投运</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按方案投运</w:t>
            </w:r>
          </w:p>
        </w:tc>
      </w:tr>
    </w:tbl>
    <w:p>
      <w:pPr>
        <w:pStyle w:val="2"/>
        <w:widowControl/>
        <w:spacing w:line="348" w:lineRule="exact" w:before="0" w:after="0"/>
        <w:ind w:firstLine="480"/>
        <w:jc w:val="both"/>
      </w:pPr>
      <w:r>
        <w:rPr>
          <w:rFonts w:ascii="Times New Roman" w:hAnsi="Times New Roman" w:eastAsia="方正仿宋_GBK"/>
          <w:b w:val="0"/>
          <w:sz w:val="24"/>
        </w:rPr>
        <w:t xml:space="preserve">各站静态功率按已归档的区域正向峰值和最低净负荷工况分配，再按年度网供峰值标定。反向工况沿用同一源荷结构，属于按年度规模标定的研究情景。</w:t>
      </w:r>
    </w:p>
    <w:p>
      <w:pPr>
        <w:pStyle w:val="5"/>
        <w:keepNext/>
        <w:numPr>
          <w:numId w:val="0"/>
        </w:numPr>
        <w:spacing w:line="390" w:lineRule="exact" w:before="160" w:after="120"/>
        <w:ind w:firstLine="0"/>
      </w:pPr>
      <w:bookmarkStart w:id="173" w:name="刚性与弹性方案"/>
      <w:r>
        <w:rPr>
          <w:rFonts w:ascii="Times New Roman" w:hAnsi="Times New Roman" w:eastAsia="方正仿宋_GBK"/>
          <w:b/>
          <w:sz w:val="26"/>
        </w:rPr>
        <w:t xml:space="preserve">5.1.2 刚性与弹性方案</w:t>
      </w:r>
      <w:bookmarkEnd w:id="173"/>
    </w:p>
    <w:p>
      <w:pPr>
        <w:pStyle w:val="FirstParagraph"/>
        <w:widowControl/>
        <w:spacing w:line="348" w:lineRule="exact" w:before="0" w:after="0"/>
        <w:ind w:firstLine="480"/>
        <w:jc w:val="both"/>
      </w:pPr>
      <w:r>
        <w:rPr>
          <w:rFonts w:ascii="Times New Roman" w:hAnsi="Times New Roman" w:eastAsia="方正仿宋_GBK"/>
          <w:b w:val="0"/>
          <w:sz w:val="24"/>
        </w:rPr>
        <w:t xml:space="preserve">主变总容量随建设投运保持非减，其中刚性方案新增扩容受当年负荷两倍的容量限制，若负荷回落使既有容量超过该值，则维持上一年度在役容量。弹性方案以费用最小选择设备组合，容量由正常及N-1承载需求、允许规格和扩建位置共同确定。</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sub>
                    </m:sSub>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e</m:t>
                            </m:r>
                          </m:sub>
                          <m:sup>
                            <m:r>
                              <m:rPr>
                                <m:nor m:val="1"/>
                                <m:sty m:val="p"/>
                              </m:rPr>
                              <w:rPr>
                                <w:rFonts w:ascii="Times New Roman" w:hAnsi="Times New Roman" w:cs="Times New Roman" w:eastAsia="方正仿宋_GBK"/>
                                <w:i w:val="0"/>
                                <w:iCs w:val="0"/>
                              </w:rPr>
                              <m:t>max</m:t>
                            </m:r>
                          </m:sup>
                        </m:sSubSup>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s</m:t>
        </m:r>
      </m:oMath>
      <w:r>
        <w:rPr>
          <w:rFonts w:ascii="Times New Roman" w:hAnsi="Times New Roman" w:eastAsia="方正仿宋_GBK"/>
          <w:b w:val="0"/>
          <w:sz w:val="24"/>
        </w:rPr>
        <w:t xml:space="preserve">表示刚性或弹性方案，</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为方案主变总容量；</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e</m:t>
            </m:r>
          </m:sub>
          <m:sup>
            <m:r>
              <m:rPr>
                <m:nor m:val="1"/>
                <m:sty m:val="p"/>
              </m:rPr>
              <w:rPr>
                <w:rFonts w:ascii="Times New Roman" w:hAnsi="Times New Roman" w:cs="Times New Roman" w:eastAsia="方正仿宋_GBK"/>
                <w:i w:val="0"/>
                <w:iCs w:val="0"/>
              </w:rPr>
              <m:t>max</m:t>
            </m:r>
          </m:sup>
        </m:sSubSup>
      </m:oMath>
      <w:r>
        <w:rPr>
          <w:rFonts w:ascii="Times New Roman" w:hAnsi="Times New Roman" w:eastAsia="方正仿宋_GBK"/>
          <w:b w:val="0"/>
          <w:sz w:val="24"/>
        </w:rPr>
        <w:t xml:space="preserve">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在候选设备及场地条件下允许的最大容量。刚性方案的下端参考值</w:t>
      </w:r>
      <m:oMath>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sub>
        </m:sSub>
      </m:oMath>
      <w:r>
        <w:rPr>
          <w:rFonts w:ascii="Times New Roman" w:hAnsi="Times New Roman" w:eastAsia="方正仿宋_GBK"/>
          <w:b w:val="0"/>
          <w:sz w:val="24"/>
        </w:rPr>
        <w:t xml:space="preserve">按增长率对应的导则范围确定，市区1.50、邳州1.70[7]。两类方案均按实际设备配置与同年网供峰值计算容载比。</w:t>
      </w:r>
    </w:p>
    <w:p>
      <w:pPr>
        <w:pStyle w:val="2"/>
        <w:widowControl/>
        <w:spacing w:line="348" w:lineRule="exact" w:before="0" w:after="0"/>
        <w:ind w:firstLine="480"/>
        <w:jc w:val="both"/>
      </w:pPr>
      <w:r>
        <w:rPr>
          <w:rFonts w:ascii="Times New Roman" w:hAnsi="Times New Roman" w:eastAsia="方正仿宋_GBK"/>
          <w:b w:val="0"/>
          <w:sz w:val="24"/>
        </w:rPr>
        <w:t xml:space="preserve">在明确两类方案的容量约束后，进一步分析光伏增长可能带来的反向容量需求。以下用屋顶资源和政策发展目标构造源荷情景，相应可选主变容量仍由站址、设备候选及网络条件确定。</w:t>
      </w:r>
    </w:p>
    <w:p>
      <w:pPr>
        <w:pStyle w:val="2"/>
        <w:widowControl/>
        <w:spacing w:line="348" w:lineRule="exact" w:before="0" w:after="0"/>
        <w:ind w:firstLine="480"/>
        <w:jc w:val="both"/>
      </w:pPr>
      <w:r>
        <w:rPr>
          <w:rFonts w:ascii="Times New Roman" w:hAnsi="Times New Roman" w:eastAsia="方正仿宋_GBK"/>
          <w:b w:val="0"/>
          <w:sz w:val="24"/>
        </w:rPr>
        <w:t xml:space="preserve">根据项目收集的社区、村级建筑屋顶调查资料，邳州498个社区或村的屋顶面积合计8939.19万m²，市区鼓楼、云龙、泉山三区256个社区或村合计4082.36万m²。统计按建筑用途和屋面材质汇总。屋顶资料采用行政区范围，用于地区资源规模估算，110 kV容量分析采用第三章的供电范围。</w:t>
      </w:r>
    </w:p>
    <w:p>
      <w:pPr>
        <w:pStyle w:val="2"/>
        <w:widowControl/>
        <w:spacing w:line="348" w:lineRule="exact" w:before="0" w:after="0"/>
        <w:ind w:firstLine="480"/>
        <w:jc w:val="both"/>
      </w:pPr>
      <w:r>
        <w:rPr>
          <w:rFonts w:ascii="Times New Roman" w:hAnsi="Times New Roman" w:eastAsia="方正仿宋_GBK"/>
          <w:b w:val="0"/>
          <w:sz w:val="24"/>
        </w:rPr>
        <w:t xml:space="preserve">屋顶光伏装机容量按</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f</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1"/>
            <w:iCs w:val="1"/>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1000</m:t>
        </m:r>
      </m:oMath>
      <w:r>
        <w:rPr>
          <w:rFonts w:ascii="Times New Roman" w:hAnsi="Times New Roman" w:eastAsia="方正仿宋_GBK"/>
          <w:b w:val="0"/>
          <w:sz w:val="24"/>
        </w:rPr>
        <w:t xml:space="preserve">估算。其中，</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为调查屋顶面积，单位m²；</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为屋顶可利用比例；</w:t>
      </w:r>
      <m:oMath>
        <m:r>
          <m:rPr>
            <m:nor m:val="1"/>
          </m:rPr>
          <w:rPr>
            <w:rFonts w:ascii="Times New Roman" w:hAnsi="Times New Roman" w:cs="Times New Roman" w:eastAsia="方正仿宋_GBK"/>
            <w:i w:val="1"/>
            <w:iCs w:val="1"/>
          </w:rPr>
          <m:t>d</m:t>
        </m:r>
      </m:oMath>
      <w:r>
        <w:rPr>
          <w:rFonts w:ascii="Times New Roman" w:hAnsi="Times New Roman" w:eastAsia="方正仿宋_GBK"/>
          <w:b w:val="0"/>
          <w:sz w:val="24"/>
        </w:rPr>
        <w:t xml:space="preserve">为单位可用面积装机密度，单位kWp/m²；</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f</m:t>
            </m:r>
          </m:sub>
        </m:sSub>
      </m:oMath>
      <w:r>
        <w:rPr>
          <w:rFonts w:ascii="Times New Roman" w:hAnsi="Times New Roman" w:eastAsia="方正仿宋_GBK"/>
          <w:b w:val="0"/>
          <w:sz w:val="24"/>
        </w:rPr>
        <w:t xml:space="preserve">为估算装机容量，单位MWp。江苏省2009年光伏发电推进意见采用20%的屋顶可利用比例估算全省资源规模[92]，本研究以此为历史参照，并列出40%、60%两种开发程度下的估算值。徐州地铁分布式光伏项目公开资料列出可用建筑面积94900 m²、规划装机9.49 MWp，据此取装机密度0.10 kWp/m²[93]。</w:t>
      </w:r>
    </w:p>
    <w:p>
      <w:pPr>
        <w:pStyle w:val="2"/>
        <w:keepNext/>
        <w:spacing w:line="280" w:lineRule="exact" w:before="120" w:after="80"/>
        <w:ind w:firstLine="0"/>
        <w:jc w:val="center"/>
      </w:pPr>
      <w:r>
        <w:rPr>
          <w:rFonts w:ascii="Times New Roman" w:hAnsi="Times New Roman" w:eastAsia="宋体"/>
          <w:b w:val="0"/>
          <w:sz w:val="21"/>
        </w:rPr>
        <w:t xml:space="preserve">表5-2 不同屋顶可利用比例下的光伏装机容量估算</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行政范围</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屋顶面积/万m²</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可利用比例20%/MWp</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可利用比例40%/MWp</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可利用比例60%/MWp</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8939.19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1787.84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3575.67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5363.51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市区鼓楼、云龙、泉山三区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4082.36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816.47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1632.94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2449.42</w:t>
            </w:r>
          </w:p>
        </w:tc>
      </w:tr>
    </w:tbl>
    <w:p>
      <w:pPr>
        <w:pStyle w:val="2"/>
        <w:widowControl/>
        <w:spacing w:line="348" w:lineRule="exact" w:before="0" w:after="0"/>
        <w:ind w:firstLine="480"/>
        <w:jc w:val="both"/>
      </w:pPr>
      <w:r>
        <w:rPr>
          <w:rFonts w:ascii="Times New Roman" w:hAnsi="Times New Roman" w:eastAsia="方正仿宋_GBK"/>
          <w:b w:val="0"/>
          <w:sz w:val="24"/>
        </w:rPr>
        <w:t xml:space="preserve">上述容量为所调查屋顶在不同可利用比例下的总装机规模，包含已开发资源。实际新增规模结合建筑结构、遮挡、消防条件及已建光伏占用面积核定。表中MWp为组件侧峰值容量。</w:t>
      </w:r>
    </w:p>
    <w:p>
      <w:pPr>
        <w:pStyle w:val="2"/>
        <w:widowControl/>
        <w:spacing w:line="348" w:lineRule="exact" w:before="0" w:after="0"/>
        <w:ind w:firstLine="480"/>
        <w:jc w:val="both"/>
      </w:pPr>
      <w:r>
        <w:rPr>
          <w:rFonts w:ascii="Times New Roman" w:hAnsi="Times New Roman" w:eastAsia="方正仿宋_GBK"/>
          <w:b w:val="0"/>
          <w:sz w:val="24"/>
        </w:rPr>
        <w:t xml:space="preserve">《江苏省分布式光伏发展实施方案（2026—2030年）》提出，2030年全省分布式光伏累计装机较2025年翻一番，达到1.20亿千瓦[94]。以装机翻倍作为地区发展情景，邳州和市区装机规模分别约为3119.28 MW和982.36 MW。邳州屋顶可利用比例20%～40%的估算规模为1787.84～3575.67 MWp，市区三区相应为816.47～1632.94 MWp，说明两地区具有开展光伏持续增长情景分析的资源基础。屋顶资源与并网装机分别按各自统计范围使用，接网规模还需落实到供电区域。</w:t>
      </w:r>
    </w:p>
    <w:p>
      <w:pPr>
        <w:pStyle w:val="2"/>
        <w:widowControl/>
        <w:spacing w:line="348" w:lineRule="exact" w:before="0" w:after="0"/>
        <w:ind w:firstLine="480"/>
        <w:jc w:val="both"/>
      </w:pPr>
      <w:r>
        <w:rPr>
          <w:rFonts w:ascii="Times New Roman" w:hAnsi="Times New Roman" w:eastAsia="方正仿宋_GBK"/>
          <w:b w:val="0"/>
          <w:sz w:val="24"/>
        </w:rPr>
        <w:t xml:space="preserve">沿用第三章装机容量换算及用户最大负荷估计，源荷比按规划装机容量与用户最大负荷之比计算。在装机翻倍、用户最大负荷维持基准水平的情景下，邳州源荷比由1.63提高至约3.26，市区由0.32提高至约0.64，可作为本次发展情景的源荷比上端参考。用户最大负荷增长后，相应源荷比下降。邳州需要重点分析光伏集中出力期间的反向容量需求，市区则仍以正向负荷与主变N-1供电能力为主要校核内容。</w:t>
      </w:r>
    </w:p>
    <w:p>
      <w:pPr>
        <w:pStyle w:val="2"/>
        <w:widowControl/>
        <w:spacing w:line="348" w:lineRule="exact" w:before="0" w:after="0"/>
        <w:ind w:firstLine="480"/>
        <w:jc w:val="both"/>
      </w:pPr>
      <w:r>
        <w:rPr>
          <w:rFonts w:ascii="Times New Roman" w:hAnsi="Times New Roman" w:eastAsia="方正仿宋_GBK"/>
          <w:b w:val="0"/>
          <w:sz w:val="24"/>
        </w:rPr>
        <w:t xml:space="preserve">源荷比与容载比的关系通过净负荷体现：源荷比表征分布式电源装机与用户最大负荷的规模关系，容载比的分母为年网供最大负荷，主变容量还需同时满足日间反向输送和晚间供电需求。2025年邳州、市区现状容载比分别为2.24、2.42，而源荷比分别为1.63、0.32，地区数据反映出两项指标还受负荷时段和设备结构共同影响。相关概率规划研究也将负荷类型、电源可信度及运行条件纳入变电容量分析[95]。</w:t>
      </w:r>
    </w:p>
    <w:p>
      <w:pPr>
        <w:pStyle w:val="2"/>
        <w:widowControl/>
        <w:spacing w:line="348" w:lineRule="exact" w:before="0" w:after="0"/>
        <w:ind w:firstLine="480"/>
        <w:jc w:val="both"/>
      </w:pPr>
      <w:r>
        <w:rPr>
          <w:rFonts w:ascii="Times New Roman" w:hAnsi="Times New Roman" w:eastAsia="方正仿宋_GBK"/>
          <w:b w:val="0"/>
          <w:sz w:val="24"/>
        </w:rPr>
        <w:t xml:space="preserve">屋顶资源和政策发展情景用于判断光伏规模进一步增长的研究需求。同样的装机规模，在用户负荷、光伏空间分布、联络条件及储能持续时间不同的情况下，对正反向容量的要求也不同。容量比选的最大可选值由实际设备候选与站址条件确定。</w:t>
      </w:r>
    </w:p>
    <w:p>
      <w:pPr>
        <w:pStyle w:val="5"/>
        <w:keepNext/>
        <w:numPr>
          <w:numId w:val="0"/>
        </w:numPr>
        <w:spacing w:line="390" w:lineRule="exact" w:before="160" w:after="120"/>
        <w:ind w:firstLine="0"/>
      </w:pPr>
      <w:bookmarkStart w:id="174" w:name="工程候选与参数设置"/>
      <w:r>
        <w:rPr>
          <w:rFonts w:ascii="Times New Roman" w:hAnsi="Times New Roman" w:eastAsia="方正仿宋_GBK"/>
          <w:b/>
          <w:sz w:val="26"/>
        </w:rPr>
        <w:t xml:space="preserve">5.1.3 工程候选与参数设置</w:t>
      </w:r>
      <w:bookmarkEnd w:id="174"/>
    </w:p>
    <w:p>
      <w:pPr>
        <w:pStyle w:val="FirstParagraph"/>
        <w:widowControl/>
        <w:spacing w:line="348" w:lineRule="exact" w:before="0" w:after="0"/>
        <w:ind w:firstLine="480"/>
        <w:jc w:val="both"/>
      </w:pPr>
      <w:r>
        <w:rPr>
          <w:rFonts w:ascii="Times New Roman" w:hAnsi="Times New Roman" w:eastAsia="方正仿宋_GBK"/>
          <w:b w:val="0"/>
          <w:sz w:val="24"/>
        </w:rPr>
        <w:t xml:space="preserve">主变候选区分现有设备与新购设备，在役20、40 MVA等设备可继续保留，新购序列采用31.50、50.00、63.00、80.00 MVA，并受原设备容量、预留位置及允许扩建条件限制。第三台50.00 MVA主变仅在具备预留条件的站点设置，80.00 MVA方案还需在工程阶段核实配套间隔、短路电流及站址条件。</w:t>
      </w:r>
    </w:p>
    <w:p>
      <w:pPr>
        <w:pStyle w:val="2"/>
        <w:widowControl/>
        <w:spacing w:line="348" w:lineRule="exact" w:before="0" w:after="0"/>
        <w:ind w:firstLine="480"/>
        <w:jc w:val="both"/>
      </w:pPr>
      <w:r>
        <w:rPr>
          <w:rFonts w:ascii="Times New Roman" w:hAnsi="Times New Roman" w:eastAsia="方正仿宋_GBK"/>
          <w:b w:val="0"/>
          <w:sz w:val="24"/>
        </w:rPr>
        <w:t xml:space="preserve">储能采用100 kW/215 kWh成套柜，可用电量系数为0.76，地区案例正向支撑持续时间分别取邳州2 h、市区6 h，反向持续时间按各站静态参数设置。推广进一步比较2、4、6 h三个定值，在相同储能规格与工程价格下分析持续支撑要求对配置的影响。</w:t>
      </w:r>
    </w:p>
    <w:p>
      <w:pPr>
        <w:pStyle w:val="2"/>
        <w:keepNext/>
        <w:spacing w:line="280" w:lineRule="exact" w:before="120" w:after="80"/>
        <w:ind w:firstLine="0"/>
        <w:jc w:val="center"/>
      </w:pPr>
      <w:r>
        <w:rPr>
          <w:rFonts w:ascii="Times New Roman" w:hAnsi="Times New Roman" w:eastAsia="宋体"/>
          <w:b w:val="0"/>
          <w:sz w:val="21"/>
        </w:rPr>
        <w:t xml:space="preserve">表5-3 两地区共同计算条件</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793"/>
        <w:gridCol w:w="3259"/>
        <w:gridCol w:w="3259"/>
      </w:tblGrid>
      <w:tr>
        <w:trPr>
          <w:cantSplit/>
          <w:tblHeader/>
        </w:trPr>
        <w:tc>
          <w:tcPr>
            <w:tcW w:type="dxa" w:w="179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设置</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w:t>
            </w:r>
          </w:p>
        </w:tc>
      </w:tr>
      <w:tr>
        <w:trPr>
          <w:cantSplit/>
        </w:trPr>
        <w:tc>
          <w:tcPr>
            <w:tcW w:type="dxa" w:w="179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年度负荷</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2022—2025年逐年统计</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同范围110 kV年度记录</w:t>
            </w:r>
          </w:p>
        </w:tc>
      </w:tr>
      <w:tr>
        <w:trPr>
          <w:cantSplit/>
        </w:trPr>
        <w:tc>
          <w:tcPr>
            <w:tcW w:type="dxa" w:w="179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静态截面</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邳州26个、市区45个</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地区和各站局部极值同期截面</w:t>
            </w:r>
          </w:p>
        </w:tc>
      </w:tr>
      <w:tr>
        <w:trPr>
          <w:cantSplit/>
        </w:trPr>
        <w:tc>
          <w:tcPr>
            <w:tcW w:type="dxa" w:w="179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正向储能支撑持续时间</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邳州2 h、市区6 h</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地区95%峰值持续时间</w:t>
            </w:r>
          </w:p>
        </w:tc>
      </w:tr>
      <w:tr>
        <w:trPr>
          <w:cantSplit/>
        </w:trPr>
        <w:tc>
          <w:tcPr>
            <w:tcW w:type="dxa" w:w="179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储能规格及可用电量系数</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 kW/215 kWh；0.76</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采购资料及静态折算</w:t>
            </w:r>
          </w:p>
        </w:tc>
      </w:tr>
      <w:tr>
        <w:trPr>
          <w:cantSplit/>
        </w:trPr>
        <w:tc>
          <w:tcPr>
            <w:tcW w:type="dxa" w:w="179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新购主变规格</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31.50、50、63、80 MVA</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按站限制</w:t>
            </w:r>
          </w:p>
        </w:tc>
      </w:tr>
      <w:tr>
        <w:trPr>
          <w:cantSplit/>
        </w:trPr>
        <w:tc>
          <w:tcPr>
            <w:tcW w:type="dxa" w:w="179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第三台主变</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有预留条件时50 MVA</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按站限制</w:t>
            </w:r>
          </w:p>
        </w:tc>
      </w:tr>
      <w:tr>
        <w:trPr>
          <w:cantSplit/>
        </w:trPr>
        <w:tc>
          <w:tcPr>
            <w:tcW w:type="dxa" w:w="179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既有转供能力</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逐站MW上限与网络能力共同限制</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全停全转统计及馈线资料</w:t>
            </w:r>
          </w:p>
        </w:tc>
      </w:tr>
      <w:tr>
        <w:trPr>
          <w:cantSplit/>
        </w:trPr>
        <w:tc>
          <w:tcPr>
            <w:tcW w:type="dxa" w:w="179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新增联络费用</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邳州128.38、市区452.40万元/项</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地区电缆长度占比</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供电安全及功率因数</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正常及最大单台主变N-1；0.95</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逐工况校核</w:t>
            </w:r>
          </w:p>
        </w:tc>
      </w:tr>
    </w:tbl>
    <w:p>
      <w:pPr>
        <w:pStyle w:val="2"/>
        <w:widowControl/>
        <w:spacing w:line="348" w:lineRule="exact" w:before="0" w:after="0"/>
        <w:ind w:firstLine="480"/>
        <w:jc w:val="both"/>
      </w:pPr>
      <w:r>
        <w:rPr>
          <w:rFonts w:ascii="Times New Roman" w:hAnsi="Times New Roman" w:eastAsia="方正仿宋_GBK"/>
          <w:b w:val="0"/>
          <w:sz w:val="24"/>
        </w:rPr>
        <w:t xml:space="preserve">核心参数的定义、选取依据及地区资料见第3.5节。地区案例保留实际年度负荷和具体网络，推广模板按第3.5节的六项参数构造源荷、网络及工程费用条件。</w:t>
      </w:r>
    </w:p>
    <w:p>
      <w:pPr>
        <w:pStyle w:val="4"/>
        <w:keepNext/>
        <w:numPr>
          <w:numId w:val="0"/>
        </w:numPr>
        <w:spacing w:line="480" w:lineRule="exact" w:before="160" w:after="120"/>
        <w:ind w:firstLine="0"/>
      </w:pPr>
      <w:bookmarkStart w:id="1511" w:name="h511"/>
      <w:bookmarkStart w:id="175" w:name="三类措施的选取与寻优方法"/>
      <w:r>
        <w:rPr>
          <w:rFonts w:ascii="Times New Roman" w:hAnsi="Times New Roman" w:eastAsia="方正仿宋_GBK"/>
          <w:b/>
          <w:sz w:val="32"/>
        </w:rPr>
        <w:t xml:space="preserve">5.2 三类措施的选取与寻优方法</w:t>
      </w:r>
      <w:bookmarkEnd w:id="175"/>
      <w:bookmarkEnd w:id="1511"/>
    </w:p>
    <w:p>
      <w:pPr>
        <w:pStyle w:val="5"/>
        <w:keepNext/>
        <w:numPr>
          <w:numId w:val="0"/>
        </w:numPr>
        <w:spacing w:line="390" w:lineRule="exact" w:before="160" w:after="120"/>
        <w:ind w:firstLine="0"/>
      </w:pPr>
      <w:bookmarkStart w:id="176" w:name="主变增容及扩建方案"/>
      <w:r>
        <w:rPr>
          <w:rFonts w:ascii="Times New Roman" w:hAnsi="Times New Roman" w:eastAsia="方正仿宋_GBK"/>
          <w:b/>
          <w:sz w:val="26"/>
        </w:rPr>
        <w:t xml:space="preserve">5.2.1 主变增容及扩建方案</w:t>
      </w:r>
      <w:bookmarkEnd w:id="176"/>
    </w:p>
    <w:p>
      <w:pPr>
        <w:pStyle w:val="FirstParagraph"/>
        <w:widowControl/>
        <w:spacing w:line="348" w:lineRule="exact" w:before="0" w:after="0"/>
        <w:ind w:firstLine="480"/>
        <w:jc w:val="both"/>
      </w:pPr>
      <w:r>
        <w:rPr>
          <w:rFonts w:ascii="Times New Roman" w:hAnsi="Times New Roman" w:eastAsia="方正仿宋_GBK"/>
          <w:b w:val="0"/>
          <w:sz w:val="24"/>
        </w:rPr>
        <w:t xml:space="preserve">每个主变安装位置从允许规格中选择一项，在后续年份维持或升档。更换主变按新购整台容量计费，新增容量用于更新在役容量，两者分别统计。储能柜数为整数，后续在役数量不得低于前一年。新增联络投运后持续可用，既有联络建设费用不重复计取。</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1"/>
                            <w:iCs w:val="1"/>
                          </w:rPr>
                          <m:t>r</m:t>
                        </m:r>
                      </m:e>
                    </m:nary>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50</m:t>
                    </m:r>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r</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nary>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（5-3）</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表示站点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j</m:t>
        </m:r>
      </m:oMath>
      <w:r>
        <w:rPr>
          <w:rFonts w:ascii="Times New Roman" w:hAnsi="Times New Roman" w:eastAsia="方正仿宋_GBK"/>
          <w:b w:val="0"/>
          <w:sz w:val="24"/>
        </w:rPr>
        <w:t xml:space="preserve">个原主变位置在第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年是否采用容量</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表示第三台50 MVA主变是否在役，</w:t>
      </w:r>
      <m:oMath>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为在役储能柜数。没有扩建条件的站点不设置相应候选。</w:t>
      </w:r>
    </w:p>
    <w:p>
      <w:pPr>
        <w:pStyle w:val="2"/>
        <w:widowControl/>
        <w:spacing w:line="348" w:lineRule="exact" w:before="0" w:after="0"/>
        <w:ind w:firstLine="480"/>
        <w:jc w:val="both"/>
      </w:pPr>
      <w:r>
        <w:rPr>
          <w:rFonts w:ascii="Times New Roman" w:hAnsi="Times New Roman" w:eastAsia="方正仿宋_GBK"/>
          <w:b w:val="0"/>
          <w:sz w:val="24"/>
        </w:rPr>
        <w:t xml:space="preserve">主变更换的净增容量与新购容量分别统计。将20 MVA主变更换为50 MVA，净增30 MVA，但费用按整台50 MVA及配套工程计算，而第三台主变扩建增加50 MVA，并可能提高最大单台主变N-1后的剩余容量。经济比选同时考虑设备结构对供电安全的影响与相应工程费用[85]。</w:t>
      </w:r>
    </w:p>
    <w:p>
      <w:pPr>
        <w:pStyle w:val="5"/>
        <w:keepNext/>
        <w:numPr>
          <w:numId w:val="0"/>
        </w:numPr>
        <w:spacing w:line="390" w:lineRule="exact" w:before="160" w:after="120"/>
        <w:ind w:firstLine="0"/>
      </w:pPr>
      <w:bookmarkStart w:id="177" w:name="利用既有10-kv联络能力"/>
      <w:r>
        <w:rPr>
          <w:rFonts w:ascii="Times New Roman" w:hAnsi="Times New Roman" w:eastAsia="方正仿宋_GBK"/>
          <w:b/>
          <w:sz w:val="26"/>
        </w:rPr>
        <w:t xml:space="preserve">5.2.2 利用既有10 kV联络能力</w:t>
      </w:r>
      <w:bookmarkEnd w:id="177"/>
    </w:p>
    <w:p>
      <w:pPr>
        <w:pStyle w:val="FirstParagraph"/>
        <w:widowControl/>
        <w:spacing w:line="348" w:lineRule="exact" w:before="0" w:after="0"/>
        <w:ind w:firstLine="480"/>
        <w:jc w:val="both"/>
      </w:pPr>
      <w:r>
        <w:rPr>
          <w:rFonts w:ascii="Times New Roman" w:hAnsi="Times New Roman" w:eastAsia="方正仿宋_GBK"/>
          <w:b w:val="0"/>
          <w:sz w:val="24"/>
        </w:rPr>
        <w:t xml:space="preserve">既有网络按地区转供资料和逐站MW上限建模，统计计算见第3.6节。既有通道转出功率之和按每站预算约束，共用馈线的多条通道共用源端负荷和接收余量。</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p>
                  </m:sSubSup>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e>
              </m:nary>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（5-4）</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p>
        </m:sSubSup>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的既有转出通道集合，</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为工况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下通道</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的转出功率，</w:t>
      </w:r>
      <m:oMath>
        <m:sSub>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为既有网络标定预算，</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oMath>
      <w:r>
        <w:rPr>
          <w:rFonts w:ascii="Times New Roman" w:hAnsi="Times New Roman" w:eastAsia="方正仿宋_GBK"/>
          <w:b w:val="0"/>
          <w:sz w:val="24"/>
        </w:rPr>
        <w:t xml:space="preserve">为补充资料所列站外最大可供负荷，单位均为MW。正常和故障工况分别安排转供，既有能力以固定MW预算使用。</w:t>
      </w:r>
    </w:p>
    <w:p>
      <w:pPr>
        <w:pStyle w:val="5"/>
        <w:keepNext/>
        <w:numPr>
          <w:numId w:val="0"/>
        </w:numPr>
        <w:spacing w:line="390" w:lineRule="exact" w:before="160" w:after="120"/>
        <w:ind w:firstLine="0"/>
      </w:pPr>
      <w:bookmarkStart w:id="178" w:name="新建10-kv联络提升转供能力"/>
      <w:r>
        <w:rPr>
          <w:rFonts w:ascii="Times New Roman" w:hAnsi="Times New Roman" w:eastAsia="方正仿宋_GBK"/>
          <w:b/>
          <w:sz w:val="26"/>
        </w:rPr>
        <w:t xml:space="preserve">5.2.3 新建10 kV联络提升转供能力</w:t>
      </w:r>
      <w:bookmarkEnd w:id="178"/>
    </w:p>
    <w:p>
      <w:pPr>
        <w:pStyle w:val="FirstParagraph"/>
        <w:widowControl/>
        <w:spacing w:line="348" w:lineRule="exact" w:before="0" w:after="0"/>
        <w:ind w:firstLine="480"/>
        <w:jc w:val="both"/>
      </w:pPr>
      <w:r>
        <w:rPr>
          <w:rFonts w:ascii="Times New Roman" w:hAnsi="Times New Roman" w:eastAsia="方正仿宋_GBK"/>
          <w:b w:val="0"/>
          <w:sz w:val="24"/>
        </w:rPr>
        <w:t xml:space="preserve">转供通过具体馈线和站间候选边实现。每条边记录送受端、有效容量、是否既有及新增间隔需求，投运后参与转供。共用馈线的联络项目共同占用该馈线的可转负荷与接收余量，接收负荷还应通过邻站主变容量校核。</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e</m:t>
                        </m:r>
                      </m:sub>
                    </m:sSub>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e>
                  <m:e>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r>
                          <m:rPr>
                            <m:sty m:val="p"/>
                            <m:nor m:val="1"/>
                          </m:rPr>
                          <w:rPr>
                            <w:rFonts w:ascii="Times New Roman" w:hAnsi="Times New Roman" w:cs="Times New Roman" w:eastAsia="方正仿宋_GBK"/>
                            <w:i w:val="0"/>
                            <w:iCs w:val="0"/>
                          </w:rPr>
                          <m:t>n</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（5-5）</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下线路</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的转供功率，</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为线路有效容量，</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为投运状态，既有边取1。</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为馈线</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自身可转负荷，</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oMath>
      <w:r>
        <w:rPr>
          <w:rFonts w:ascii="Times New Roman" w:hAnsi="Times New Roman" w:eastAsia="方正仿宋_GBK"/>
          <w:b w:val="0"/>
          <w:sz w:val="24"/>
        </w:rPr>
        <w:t xml:space="preserve">为热限，</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oMath>
      <w:r>
        <w:rPr>
          <w:rFonts w:ascii="Times New Roman" w:hAnsi="Times New Roman" w:eastAsia="方正仿宋_GBK"/>
          <w:b w:val="0"/>
          <w:sz w:val="24"/>
        </w:rPr>
        <w:t xml:space="preserve">为接收余量计算采用的馈线负荷。各量单位均为MW，负的接收余量按0处理。送端可转负荷限于该馈线原有负荷块。</w:t>
      </w:r>
    </w:p>
    <w:p>
      <w:pPr>
        <w:pStyle w:val="2"/>
        <w:widowControl/>
        <w:spacing w:line="348" w:lineRule="exact" w:before="0" w:after="0"/>
        <w:ind w:firstLine="480"/>
        <w:jc w:val="both"/>
      </w:pPr>
      <w:r>
        <w:rPr>
          <w:rFonts w:ascii="Times New Roman" w:hAnsi="Times New Roman" w:eastAsia="方正仿宋_GBK"/>
          <w:b w:val="0"/>
          <w:sz w:val="24"/>
        </w:rPr>
        <w:t xml:space="preserve">两地区均保留已核实联络、按站对构建的既有等效通道及付费新增候选，馈线分配和热限采用已有资料及研究设定。既有能力受逐站资料上限约束，新增项目按投运年计建设费用。</w:t>
      </w:r>
    </w:p>
    <w:p>
      <w:pPr>
        <w:pStyle w:val="2"/>
        <w:widowControl/>
        <w:spacing w:line="348" w:lineRule="exact" w:before="0" w:after="0"/>
        <w:ind w:firstLine="480"/>
        <w:jc w:val="both"/>
      </w:pPr>
      <w:r>
        <w:rPr>
          <w:rFonts w:ascii="Times New Roman" w:hAnsi="Times New Roman" w:eastAsia="方正仿宋_GBK"/>
          <w:b w:val="0"/>
          <w:sz w:val="24"/>
        </w:rPr>
        <w:t xml:space="preserve">新增联络由具体端点、可切换负荷和接收余量共同限定。每条已建设线路的工程投资计取一次，同一项目在多个正常或故障工况中可以重复使用，但各工况分别校核功率。线路投运后持续在役，线路热限保持不变。</w:t>
      </w:r>
    </w:p>
    <w:p>
      <w:pPr>
        <w:pStyle w:val="5"/>
        <w:keepNext/>
        <w:numPr>
          <w:numId w:val="0"/>
        </w:numPr>
        <w:spacing w:line="390" w:lineRule="exact" w:before="160" w:after="120"/>
        <w:ind w:firstLine="0"/>
      </w:pPr>
      <w:bookmarkStart w:id="179" w:name="负荷转接与容量衔接"/>
      <w:r>
        <w:rPr>
          <w:rFonts w:ascii="Times New Roman" w:hAnsi="Times New Roman" w:eastAsia="方正仿宋_GBK"/>
          <w:b/>
          <w:sz w:val="26"/>
        </w:rPr>
        <w:t xml:space="preserve">5.2.4 负荷转接与容量衔接</w:t>
      </w:r>
      <w:bookmarkEnd w:id="179"/>
    </w:p>
    <w:p>
      <w:pPr>
        <w:pStyle w:val="FirstParagraph"/>
        <w:widowControl/>
        <w:spacing w:line="348" w:lineRule="exact" w:before="0" w:after="0"/>
        <w:ind w:firstLine="480"/>
        <w:jc w:val="both"/>
      </w:pPr>
      <w:r>
        <w:rPr>
          <w:rFonts w:ascii="Times New Roman" w:hAnsi="Times New Roman" w:eastAsia="方正仿宋_GBK"/>
          <w:b w:val="0"/>
          <w:sz w:val="24"/>
        </w:rPr>
        <w:t xml:space="preserve">站间转接改变供电归属，区域内部转出与承接总量相等。对每个静态工况，转接后的站级净负荷按下式计算。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1"/>
                        <w:iCs w:val="1"/>
                      </w:rPr>
                      <m:t>P</m:t>
                    </m:r>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e>
                    </m:nary>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e>
                    </m:nary>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1"/>
                            <w:iCs w:val="1"/>
                          </w:rPr>
                          <m:t>P</m:t>
                        </m:r>
                      </m:e>
                    </m:nary>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（5-6）</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和</w:t>
      </w:r>
      <m:oMath>
        <m:r>
          <m:rPr>
            <m:nor m:val="1"/>
          </m:rPr>
          <w:rPr>
            <w:rFonts w:ascii="Times New Roman" w:hAnsi="Times New Roman" w:cs="Times New Roman" w:eastAsia="方正仿宋_GBK"/>
            <w:i w:val="1"/>
            <w:iCs w:val="1"/>
          </w:rPr>
          <m:t>P</m:t>
        </m:r>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在工况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下转接前后的净负荷，</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为转出及承接负荷，单位均为MW。正向为受电，负向为反送；电源仍归属原站，转出用电负荷可能加重本地反向功率。每个工况使用自身源荷分布，分别校核两方向容量。</w:t>
      </w:r>
    </w:p>
    <w:p>
      <w:pPr>
        <w:pStyle w:val="2"/>
        <w:widowControl/>
        <w:spacing w:line="348" w:lineRule="exact" w:before="0" w:after="0"/>
        <w:ind w:firstLine="480"/>
        <w:jc w:val="both"/>
      </w:pPr>
      <w:r>
        <w:rPr>
          <w:rFonts w:ascii="Times New Roman" w:hAnsi="Times New Roman" w:eastAsia="方正仿宋_GBK"/>
          <w:b w:val="0"/>
          <w:sz w:val="24"/>
        </w:rPr>
        <w:t xml:space="preserve">以同一工况下两站为例，原净负荷分别为80 MW和40 MW，第一站向第二站转接25 MW后，净负荷变为55 MW和65 MW，合计仍为120 MW。这一转接还必须经过已投运线路，并同时满足源端可转负荷、受端馈线余量和两站主变容量要求。</w:t>
      </w:r>
    </w:p>
    <w:p>
      <w:pPr>
        <w:pStyle w:val="5"/>
        <w:keepNext/>
        <w:numPr>
          <w:numId w:val="0"/>
        </w:numPr>
        <w:spacing w:line="390" w:lineRule="exact" w:before="160" w:after="120"/>
        <w:ind w:firstLine="0"/>
      </w:pPr>
      <w:bookmarkStart w:id="180" w:name="储能有效支撑功率"/>
      <w:r>
        <w:rPr>
          <w:rFonts w:ascii="Times New Roman" w:hAnsi="Times New Roman" w:eastAsia="方正仿宋_GBK"/>
          <w:b/>
          <w:sz w:val="26"/>
        </w:rPr>
        <w:t xml:space="preserve">5.2.5 储能有效支撑功率</w:t>
      </w:r>
      <w:bookmarkEnd w:id="180"/>
    </w:p>
    <w:p>
      <w:pPr>
        <w:pStyle w:val="FirstParagraph"/>
        <w:widowControl/>
        <w:spacing w:line="348" w:lineRule="exact" w:before="0" w:after="0"/>
        <w:ind w:firstLine="480"/>
        <w:jc w:val="both"/>
      </w:pPr>
      <w:r>
        <w:rPr>
          <w:rFonts w:ascii="Times New Roman" w:hAnsi="Times New Roman" w:eastAsia="方正仿宋_GBK"/>
          <w:b w:val="0"/>
          <w:sz w:val="24"/>
        </w:rPr>
        <w:t xml:space="preserve">储能支撑同时受额定功率和可用电量限制，正反方向分别采用对应持续时间。</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d>
                <m:dPr>
                  <m:begChr m:val="{"/>
                  <m:endChr m:val="}"/>
                  <m:grow/>
                </m:dPr>
                <m:e>
                  <m:r>
                    <m:rPr>
                      <m:nor m:val="1"/>
                    </m:rPr>
                    <w:rPr>
                      <w:rFonts w:ascii="Times New Roman" w:hAnsi="Times New Roman" w:cs="Times New Roman" w:eastAsia="方正仿宋_GBK"/>
                      <w:i w:val="0"/>
                      <w:iCs w:val="0"/>
                    </w:rPr>
                    <m:t>0.10</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sub>
                      </m:sSub>
                    </m:num>
                    <m:den>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den>
                  </m:f>
                </m:e>
              </m:d>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（5-7）</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Sup>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为正向支撑或反向吸收持续时间，单位h，静态折算的最短时间取1 h；</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为相应有效功率，单位MW。4 h条件下每柜可提供0.04085 MW的静态支撑。工程应用条件见第4.4.4节。</w:t>
      </w:r>
    </w:p>
    <w:p>
      <w:pPr>
        <w:pStyle w:val="4"/>
        <w:keepNext/>
        <w:numPr>
          <w:numId w:val="0"/>
        </w:numPr>
        <w:spacing w:line="480" w:lineRule="exact" w:before="160" w:after="120"/>
        <w:ind w:firstLine="0"/>
      </w:pPr>
      <w:bookmarkStart w:id="1531" w:name="h531"/>
      <w:bookmarkStart w:id="181" w:name="约束条件与求解流程"/>
      <w:r>
        <w:rPr>
          <w:rFonts w:ascii="Times New Roman" w:hAnsi="Times New Roman" w:eastAsia="方正仿宋_GBK"/>
          <w:b/>
          <w:sz w:val="32"/>
        </w:rPr>
        <w:t xml:space="preserve">5.3 约束条件与求解流程</w:t>
      </w:r>
      <w:bookmarkEnd w:id="181"/>
      <w:bookmarkEnd w:id="1531"/>
    </w:p>
    <w:p>
      <w:pPr>
        <w:pStyle w:val="5"/>
        <w:keepNext/>
        <w:numPr>
          <w:numId w:val="0"/>
        </w:numPr>
        <w:spacing w:line="390" w:lineRule="exact" w:before="160" w:after="120"/>
        <w:ind w:firstLine="0"/>
      </w:pPr>
      <w:bookmarkStart w:id="182" w:name="正常运行与主变n-1"/>
      <w:r>
        <w:rPr>
          <w:rFonts w:ascii="Times New Roman" w:hAnsi="Times New Roman" w:eastAsia="方正仿宋_GBK"/>
          <w:b/>
          <w:sz w:val="26"/>
        </w:rPr>
        <w:t xml:space="preserve">5.3.1 正常运行与主变N-1</w:t>
      </w:r>
      <w:bookmarkEnd w:id="182"/>
    </w:p>
    <w:p>
      <w:pPr>
        <w:pStyle w:val="FirstParagraph"/>
        <w:widowControl/>
        <w:spacing w:line="348" w:lineRule="exact" w:before="0" w:after="0"/>
        <w:ind w:firstLine="480"/>
        <w:jc w:val="both"/>
      </w:pPr>
      <w:r>
        <w:rPr>
          <w:rFonts w:ascii="Times New Roman" w:hAnsi="Times New Roman" w:eastAsia="方正仿宋_GBK"/>
          <w:b w:val="0"/>
          <w:sz w:val="24"/>
        </w:rPr>
        <w:t xml:space="preserve">市区45个、邳州26个同期静态截面分别校核正常运行及各站最大单台主变N-1。故障站按剩余主变容量计算，健康邻站保留全部主变，允许通过已投运线路重新安排负荷。</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e>
                </m:mr>
                <m:mr>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e>
                </m:mr>
                <m:mr>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sSub>
                      <m:e>
                        <m:r>
                          <m:rPr>
                            <m:sty m:val="b"/>
                            <m:nor m:val="1"/>
                          </m:rPr>
                          <w:rPr>
                            <w:rFonts w:ascii="Times New Roman" w:hAnsi="Times New Roman" w:cs="Times New Roman" w:eastAsia="方正仿宋_GBK"/>
                            <w:i w:val="0"/>
                            <w:iCs w:val="0"/>
                          </w:rPr>
                          <m:t>1</m:t>
                        </m:r>
                      </m:e>
                      <m:sub>
                        <m:r>
                          <m:rPr>
                            <m:nor m:val="1"/>
                          </m:rPr>
                          <w:rPr>
                            <w:rFonts w:ascii="Times New Roman" w:hAnsi="Times New Roman" w:cs="Times New Roman" w:eastAsia="方正仿宋_GBK"/>
                            <w:i w:val="1"/>
                            <w:iCs w:val="1"/>
                          </w:rPr>
                          <m:t>i</m:t>
                        </m:r>
                        <m:r>
                          <m:rPr>
                            <m:nor m:val="1"/>
                            <m:sty m:val="p"/>
                          </m:rPr>
                          <w:rPr>
                            <w:rFonts w:ascii="Times New Roman" w:hAnsi="Times New Roman" w:cs="Times New Roman" w:eastAsia="方正仿宋_GBK"/>
                            <w:i w:val="0"/>
                            <w:iCs w:val="0"/>
                          </w:rPr>
                          <m:t>为故障站</m:t>
                        </m:r>
                      </m:sub>
                    </m:sSub>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j</m:t>
                        </m:r>
                      </m:lim>
                    </m:limLow>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（5-8）</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为带符号的站级净负荷，受入为正、反送为负；</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为工况下可用主变容量。正常及N-1场景共用同一建设方案，分别校核馈线和接收站能力。区县内部转出、转入功率合计相等，区域网供峰值的统计定义保持不变。</w:t>
      </w:r>
    </w:p>
    <w:p>
      <w:pPr>
        <w:pStyle w:val="5"/>
        <w:keepNext/>
        <w:numPr>
          <w:numId w:val="0"/>
        </w:numPr>
        <w:spacing w:line="390" w:lineRule="exact" w:before="160" w:after="120"/>
        <w:ind w:firstLine="0"/>
      </w:pPr>
      <w:bookmarkStart w:id="183" w:name="评价期费用目标"/>
      <w:r>
        <w:rPr>
          <w:rFonts w:ascii="Times New Roman" w:hAnsi="Times New Roman" w:eastAsia="方正仿宋_GBK"/>
          <w:b/>
          <w:sz w:val="26"/>
        </w:rPr>
        <w:t xml:space="preserve">5.3.2 评价期费用目标</w:t>
      </w:r>
      <w:bookmarkEnd w:id="183"/>
    </w:p>
    <w:p>
      <w:pPr>
        <w:pStyle w:val="FirstParagraph"/>
        <w:widowControl/>
        <w:spacing w:line="348" w:lineRule="exact" w:before="0" w:after="0"/>
        <w:ind w:firstLine="480"/>
        <w:jc w:val="both"/>
      </w:pPr>
      <w:r>
        <w:rPr>
          <w:rFonts w:ascii="Times New Roman" w:hAnsi="Times New Roman" w:eastAsia="方正仿宋_GBK"/>
          <w:b w:val="0"/>
          <w:sz w:val="24"/>
        </w:rPr>
        <w:t xml:space="preserve">模型以共同评价期内新增措施费用现值最小为目标，采用第四章的价格、寿命、维护费率和折现率，在投运当年计建设投资、次年起计固定运维，对评价期内达到设定寿命的设备按统一规则计取更新费用。</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sty m:val="p"/>
                      </m:rPr>
                      <w:rPr>
                        <w:rFonts w:ascii="Times New Roman" w:hAnsi="Times New Roman" w:cs="Times New Roman" w:eastAsia="方正仿宋_GBK"/>
                        <w:i w:val="0"/>
                        <w:iCs w:val="0"/>
                      </w:rPr>
                      <m:t>min</m:t>
                    </m:r>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e>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e>
                </m:mr>
                <m:mr>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（5-9）</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分别为当年新增主变、储能及联络建设投资，</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为相应费用现值因子。供电裕度作为技术约束。相同费用附近可能存在多种可行设备组合。</w:t>
      </w:r>
    </w:p>
    <w:p>
      <w:pPr>
        <w:pStyle w:val="5"/>
        <w:keepNext/>
        <w:numPr>
          <w:numId w:val="0"/>
        </w:numPr>
        <w:spacing w:line="390" w:lineRule="exact" w:before="160" w:after="120"/>
        <w:ind w:firstLine="0"/>
      </w:pPr>
      <w:bookmarkStart w:id="184" w:name="三类措施的约束寻优流程"/>
      <w:r>
        <w:rPr>
          <w:rFonts w:ascii="Times New Roman" w:hAnsi="Times New Roman" w:eastAsia="方正仿宋_GBK"/>
          <w:b/>
          <w:sz w:val="26"/>
        </w:rPr>
        <w:t xml:space="preserve">5.3.3 三类措施的约束寻优流程</w:t>
      </w:r>
      <w:bookmarkEnd w:id="184"/>
    </w:p>
    <w:p>
      <w:pPr>
        <w:pStyle w:val="FirstParagraph"/>
        <w:widowControl/>
        <w:spacing w:line="348" w:lineRule="exact" w:before="0" w:after="0"/>
        <w:ind w:firstLine="480"/>
        <w:jc w:val="both"/>
      </w:pPr>
      <w:r>
        <w:rPr>
          <w:rFonts w:ascii="Times New Roman" w:hAnsi="Times New Roman" w:eastAsia="方正仿宋_GBK"/>
          <w:b w:val="0"/>
          <w:sz w:val="24"/>
        </w:rPr>
        <w:t xml:space="preserve">计算结果按设备状态、容量非减、功率平衡、馈线共享余量、接收站容量及费用分项逐项复核，并以独立网络算法检查各静态工况的可行性。</w:t>
      </w:r>
    </w:p>
    <w:p>
      <w:pPr>
        <w:pStyle w:val="2"/>
        <w:widowControl/>
        <w:spacing w:line="348" w:lineRule="exact" w:before="0" w:after="0"/>
        <w:ind w:firstLine="480"/>
        <w:jc w:val="both"/>
      </w:pPr>
      <w:r>
        <w:rPr>
          <w:rFonts w:ascii="Times New Roman" w:hAnsi="Times New Roman" w:eastAsia="方正仿宋_GBK"/>
          <w:b w:val="0"/>
          <w:sz w:val="24"/>
        </w:rPr>
        <w:t xml:space="preserve">正文比较通过设备与网络约束校核的可行方案，费用对应所列建设配置。</w:t>
      </w:r>
    </w:p>
    <w:p>
      <w:pPr>
        <w:pStyle w:val="2"/>
        <w:widowControl/>
        <w:spacing w:line="348" w:lineRule="exact" w:before="0" w:after="0"/>
        <w:ind w:firstLine="480"/>
        <w:jc w:val="both"/>
      </w:pPr>
      <w:r>
        <w:rPr>
          <w:rFonts w:ascii="Times New Roman" w:hAnsi="Times New Roman" w:eastAsia="方正仿宋_GBK"/>
          <w:b w:val="0"/>
          <w:sz w:val="24"/>
        </w:rPr>
        <w:t xml:space="preserve">逐年寻优先载入共同初始设备和实际年度负荷，再建立允许的主变规格、扩建位置、储能柜数与联络投运状态。正常和各站最大单台主变N-1分别使用同一套建设状态，运行转接变量随工况变化。投运设备在后续年份持续在役。</w:t>
      </w:r>
    </w:p>
    <w:p>
      <w:pPr>
        <w:pStyle w:val="2"/>
        <w:widowControl/>
        <w:spacing w:line="348" w:lineRule="exact" w:before="0" w:after="0"/>
        <w:ind w:firstLine="480"/>
        <w:jc w:val="both"/>
      </w:pPr>
      <w:r>
        <w:rPr>
          <w:rFonts w:ascii="Times New Roman" w:hAnsi="Times New Roman" w:eastAsia="方正仿宋_GBK"/>
          <w:b w:val="0"/>
          <w:sz w:val="24"/>
        </w:rPr>
        <w:t xml:space="preserve">设备选择和投运状态采用整数变量，转供功率采用连续变量，容量储备通过技术与规划约束体现，以费用最小作为唯一经济目标。取得可行配置后，分别汇总年度容量、采购容量、储能和线路工程，再按第四章现金流复算费用，核对所列工程与经济结论。</w:t>
      </w:r>
    </w:p>
    <w:p>
      <w:pPr>
        <w:pStyle w:val="4"/>
        <w:keepNext/>
        <w:numPr>
          <w:numId w:val="0"/>
        </w:numPr>
        <w:spacing w:line="480" w:lineRule="exact" w:before="160" w:after="120"/>
        <w:ind w:firstLine="0"/>
      </w:pPr>
      <w:bookmarkStart w:id="1543" w:name="h543"/>
      <w:bookmarkStart w:id="185" w:name="寻优结果"/>
      <w:r>
        <w:rPr>
          <w:rFonts w:ascii="Times New Roman" w:hAnsi="Times New Roman" w:eastAsia="方正仿宋_GBK"/>
          <w:b/>
          <w:sz w:val="32"/>
        </w:rPr>
        <w:t xml:space="preserve">5.4 寻优结果</w:t>
      </w:r>
      <w:bookmarkEnd w:id="185"/>
      <w:bookmarkEnd w:id="1543"/>
    </w:p>
    <w:p>
      <w:pPr>
        <w:pStyle w:val="5"/>
        <w:keepNext/>
        <w:numPr>
          <w:numId w:val="0"/>
        </w:numPr>
        <w:spacing w:line="390" w:lineRule="exact" w:before="160" w:after="120"/>
        <w:ind w:firstLine="0"/>
      </w:pPr>
      <w:bookmarkStart w:id="186" w:name="邳州逐年方案"/>
      <w:r>
        <w:rPr>
          <w:rFonts w:ascii="Times New Roman" w:hAnsi="Times New Roman" w:eastAsia="方正仿宋_GBK"/>
          <w:b/>
          <w:sz w:val="26"/>
        </w:rPr>
        <w:t xml:space="preserve">5.4.1 邳州逐年方案</w:t>
      </w:r>
      <w:bookmarkEnd w:id="186"/>
    </w:p>
    <w:p>
      <w:pPr>
        <w:pStyle w:val="FirstParagraph"/>
        <w:widowControl/>
        <w:spacing w:line="348" w:lineRule="exact" w:before="0" w:after="0"/>
        <w:ind w:firstLine="480"/>
        <w:jc w:val="both"/>
      </w:pPr>
      <w:r>
        <w:rPr>
          <w:rFonts w:ascii="Times New Roman" w:hAnsi="Times New Roman" w:eastAsia="方正仿宋_GBK"/>
          <w:b w:val="0"/>
          <w:sz w:val="24"/>
        </w:rPr>
        <w:t xml:space="preserve">邳州弹性方案2022年完成240.50 MVA净增容量，主变总容量达到1704.00 MVA，之后三年保持该容量。各年储能和联络工程按当年供电需求安排，具体在役规模及新增建设分别列于下表。</w:t>
      </w:r>
    </w:p>
    <w:p>
      <w:pPr>
        <w:pStyle w:val="2"/>
        <w:keepNext/>
        <w:spacing w:line="280" w:lineRule="exact" w:before="120" w:after="80"/>
        <w:ind w:firstLine="0"/>
        <w:jc w:val="center"/>
      </w:pPr>
      <w:r>
        <w:rPr>
          <w:rFonts w:ascii="Times New Roman" w:hAnsi="Times New Roman" w:eastAsia="宋体"/>
          <w:b w:val="0"/>
          <w:sz w:val="21"/>
        </w:rPr>
        <w:t xml:space="preserve">表5-4 邳州逐年容量及措施</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累计新线/条</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1642.50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16.80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1642.50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16.80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1704.00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1704.00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1704.00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1704.00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1704.00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1704.00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bl>
    <w:p>
      <w:pPr>
        <w:pStyle w:val="2"/>
        <w:keepNext/>
        <w:spacing w:line="280" w:lineRule="exact" w:before="120" w:after="80"/>
        <w:ind w:firstLine="0"/>
        <w:jc w:val="center"/>
      </w:pPr>
      <w:r>
        <w:rPr>
          <w:rFonts w:ascii="Times New Roman" w:hAnsi="Times New Roman" w:eastAsia="宋体"/>
          <w:b w:val="0"/>
          <w:sz w:val="21"/>
        </w:rPr>
        <w:t xml:space="preserve">表5-5 邳州逐年新增工程与费用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扩建主变/台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新增储能额定能量/MWh</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当年措施现值/万元</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36.12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14588.04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2653.89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1891.08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483.50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12553.76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265.26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1527.82</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邳州两类方案的主要差异出现在建设时序。2022年弹性方案完成240.50 MVA净增容量，主变总容量达到1704.00 MVA，而刚性方案当年受容量上限约束，形成1642.50 MVA，并以储能及联络共同补足局部供电需求。2024年刚性方案再增加61.50 MVA，两类方案此后总容量相同。前期主变建设规模的差异改变了后续补充措施的选择，年度主变采购与储能、联络增量共同解释方案费用。</w:t>
      </w:r>
    </w:p>
    <w:p>
      <w:pPr>
        <w:pStyle w:val="2"/>
        <w:widowControl/>
        <w:spacing w:line="348" w:lineRule="exact" w:before="0" w:after="0"/>
        <w:ind w:firstLine="480"/>
        <w:jc w:val="both"/>
      </w:pPr>
      <w:r>
        <w:rPr>
          <w:rFonts w:ascii="Times New Roman" w:hAnsi="Times New Roman" w:eastAsia="方正仿宋_GBK"/>
          <w:b w:val="0"/>
          <w:sz w:val="24"/>
        </w:rPr>
        <w:t xml:space="preserve">2023年负荷较2022年回落约8%，两类方案均保持当年设备状态，容载比分别升至2.16和2.24。该年的比值上升由负荷变化形成。2024年负荷恢复后，刚性方案同时增容，弹性方案利用已投运容量并新增2项联络。2025年负荷进一步增加，两类方案主变容量均保持1704.00 MVA，容载比均为1.78。此时刚性方案继续增加储能及联络，弹性方案新增7.74 MWh储能和6项联络，反映出相同区域总容量下的站内设备结构和网络任务差异。</w:t>
      </w:r>
    </w:p>
    <w:p>
      <w:pPr>
        <w:pStyle w:val="2"/>
        <w:widowControl/>
        <w:spacing w:line="348" w:lineRule="exact" w:before="0" w:after="0"/>
        <w:ind w:firstLine="480"/>
        <w:jc w:val="both"/>
      </w:pPr>
      <w:r>
        <w:rPr>
          <w:rFonts w:ascii="Times New Roman" w:hAnsi="Times New Roman" w:eastAsia="方正仿宋_GBK"/>
          <w:b w:val="0"/>
          <w:sz w:val="24"/>
        </w:rPr>
        <w:t xml:space="preserve">年度新增工程表中的主变新购容量包含更换和扩建采购，扣除同期被替换主变容量后得到净增容量。例如，邳州弹性方案2022年新购483.50 MVA、替换原设备243.00 MVA，容量净增240.50 MVA。新购容量用于计取工程投资，净增容量决定在役总容量及容载比的变化。负荷回落年份即使不新增主变，容载比也可能升高，后续负荷恢复时，前期投运设备继续满足相应需求。</w:t>
      </w:r>
    </w:p>
    <w:p>
      <w:pPr>
        <w:pStyle w:val="5"/>
        <w:keepNext/>
        <w:numPr>
          <w:numId w:val="0"/>
        </w:numPr>
        <w:spacing w:line="390" w:lineRule="exact" w:before="160" w:after="120"/>
        <w:ind w:firstLine="0"/>
      </w:pPr>
      <w:bookmarkStart w:id="187" w:name="市区逐年方案"/>
      <w:r>
        <w:rPr>
          <w:rFonts w:ascii="Times New Roman" w:hAnsi="Times New Roman" w:eastAsia="方正仿宋_GBK"/>
          <w:b/>
          <w:sz w:val="26"/>
        </w:rPr>
        <w:t xml:space="preserve">5.4.2 市区逐年方案</w:t>
      </w:r>
      <w:bookmarkEnd w:id="187"/>
    </w:p>
    <w:p>
      <w:pPr>
        <w:pStyle w:val="FirstParagraph"/>
        <w:widowControl/>
        <w:spacing w:line="348" w:lineRule="exact" w:before="0" w:after="0"/>
        <w:ind w:firstLine="480"/>
        <w:jc w:val="both"/>
      </w:pPr>
      <w:r>
        <w:rPr>
          <w:rFonts w:ascii="Times New Roman" w:hAnsi="Times New Roman" w:eastAsia="方正仿宋_GBK"/>
          <w:b w:val="0"/>
          <w:sz w:val="24"/>
        </w:rPr>
        <w:t xml:space="preserve">市区弹性方案2022年完成23.00 MVA净增容量，主变总容量达到2923.00 MVA，之后三年保持该容量。各年储能和联络工程按当年供电需求安排，具体在役规模及新增建设分别列于下表。</w:t>
      </w:r>
    </w:p>
    <w:p>
      <w:pPr>
        <w:pStyle w:val="2"/>
        <w:keepNext/>
        <w:spacing w:line="280" w:lineRule="exact" w:before="120" w:after="80"/>
        <w:ind w:firstLine="0"/>
        <w:jc w:val="center"/>
      </w:pPr>
      <w:r>
        <w:rPr>
          <w:rFonts w:ascii="Times New Roman" w:hAnsi="Times New Roman" w:eastAsia="宋体"/>
          <w:b w:val="0"/>
          <w:sz w:val="21"/>
        </w:rPr>
        <w:t xml:space="preserve">表5-6 市区逐年容量及措施</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累计新线/条</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2923.00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2923.00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2923.00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2923.00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19636"/>
            <wp:effectExtent b="0" l="0" r="0" t="0"/>
            <wp:docPr descr="" title="" id="1" name="Picture"/>
            <a:graphic>
              <a:graphicData uri="http://schemas.openxmlformats.org/drawingml/2006/picture">
                <pic:pic>
                  <pic:nvPicPr>
                    <pic:cNvPr descr="研究报告/02图表/当前版/annual_clr.png" id="0" name="Picture"/>
                    <pic:cNvPicPr>
                      <a:picLocks noChangeArrowheads="1" noChangeAspect="1"/>
                    </pic:cNvPicPr>
                  </pic:nvPicPr>
                  <pic:blipFill>
                    <a:blip r:embed="rId188"/>
                    <a:stretch>
                      <a:fillRect/>
                    </a:stretch>
                  </pic:blipFill>
                  <pic:spPr bwMode="auto">
                    <a:xfrm>
                      <a:off x="0" y="0"/>
                      <a:ext cx="5120640" cy="251963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 邳州和市区逐年容载比</w:t>
      </w:r>
    </w:p>
    <w:p>
      <w:pPr>
        <w:pStyle w:val="2"/>
        <w:keepNext/>
        <w:spacing w:line="280" w:lineRule="exact" w:before="120" w:after="80"/>
        <w:ind w:firstLine="0"/>
        <w:jc w:val="center"/>
      </w:pPr>
      <w:r>
        <w:rPr>
          <w:rFonts w:ascii="Times New Roman" w:hAnsi="Times New Roman" w:eastAsia="宋体"/>
          <w:b w:val="0"/>
          <w:sz w:val="21"/>
        </w:rPr>
        <w:t xml:space="preserve">表5-7 市区逐年新增工程与费用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扩建主变/台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新增储能额定能量/MWh</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当年措施现值/万元</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2657.80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1446.64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bl>
    <w:p>
      <w:pPr>
        <w:pStyle w:val="2"/>
        <w:widowControl/>
        <w:spacing w:line="348" w:lineRule="exact" w:before="0" w:after="0"/>
        <w:ind w:firstLine="480"/>
        <w:jc w:val="both"/>
      </w:pPr>
      <w:r>
        <w:rPr>
          <w:rFonts w:ascii="Times New Roman" w:hAnsi="Times New Roman" w:eastAsia="方正仿宋_GBK"/>
          <w:b w:val="0"/>
          <w:sz w:val="24"/>
        </w:rPr>
        <w:t xml:space="preserve">市区2022年负荷低于2021年、2024年负荷低于2023年，刚性方案在这两个年份均保留已投运的2900.00 MVA主变容量。因此，相应年度容载比超过2.0由负荷减少形成，未伴随新增主变。</w:t>
      </w:r>
    </w:p>
    <w:p>
      <w:pPr>
        <w:pStyle w:val="2"/>
        <w:widowControl/>
        <w:spacing w:line="348" w:lineRule="exact" w:before="0" w:after="0"/>
        <w:ind w:firstLine="480"/>
        <w:jc w:val="both"/>
      </w:pPr>
      <w:r>
        <w:rPr>
          <w:rFonts w:ascii="Times New Roman" w:hAnsi="Times New Roman" w:eastAsia="方正仿宋_GBK"/>
          <w:b w:val="0"/>
          <w:sz w:val="24"/>
        </w:rPr>
        <w:t xml:space="preserve">市区四年中2023年的年度负荷最高，为1542.22 MW。两类方案首年建设完成后，后续主变总容量均保持不变，因此2023年的容载比低于2022年和2024年。到2025年，年度负荷为1528.82 MW，仍略低于2023年。以四年复合平均增长率描述增长阶段时，还需保留这类年际波动，逐年容量安排才能与实际供电任务对应。</w:t>
      </w:r>
    </w:p>
    <w:p>
      <w:pPr>
        <w:pStyle w:val="2"/>
        <w:widowControl/>
        <w:spacing w:line="348" w:lineRule="exact" w:before="0" w:after="0"/>
        <w:ind w:firstLine="480"/>
        <w:jc w:val="both"/>
      </w:pPr>
      <w:r>
        <w:rPr>
          <w:rFonts w:ascii="Times New Roman" w:hAnsi="Times New Roman" w:eastAsia="方正仿宋_GBK"/>
          <w:b w:val="0"/>
          <w:sz w:val="24"/>
        </w:rPr>
        <w:t xml:space="preserve">市区弹性方案选择在翟山变将一台40 MVA主变更换为63 MVA，既增加23 MVA区域容量，也将该站最大80 MVA主变停运后的剩余容量从40 MVA提高至63 MVA。刚性方案保留原主变容量，首年增加5项联络，借助网络重新安排负荷。两类方案分别以站内补强和新增通道满足同一组供电约束，费用差主要由这两类措施的工程费用形成。既有逐站转供能力在两类方案中共同参与支援。</w:t>
      </w:r>
    </w:p>
    <w:p>
      <w:pPr>
        <w:pStyle w:val="5"/>
        <w:keepNext/>
        <w:numPr>
          <w:numId w:val="0"/>
        </w:numPr>
        <w:spacing w:line="390" w:lineRule="exact" w:before="160" w:after="120"/>
        <w:ind w:firstLine="0"/>
      </w:pPr>
      <w:bookmarkStart w:id="189" w:name="弹性方案与导则建议范围的逐年对照"/>
      <w:r>
        <w:rPr>
          <w:rFonts w:ascii="Times New Roman" w:hAnsi="Times New Roman" w:eastAsia="方正仿宋_GBK"/>
          <w:b/>
          <w:sz w:val="26"/>
        </w:rPr>
        <w:t xml:space="preserve">5.4.3 弹性方案与导则建议范围的逐年对照</w:t>
      </w:r>
      <w:bookmarkEnd w:id="189"/>
    </w:p>
    <w:p>
      <w:pPr>
        <w:pStyle w:val="FirstParagraph"/>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2025年4月《配电网规划设计技术导则（修订稿）》第6.2.2.1条提出容载比总体控制在1.5～2.0，表2按年最大净负荷平均增长率划分发展阶段，相应建议范围如下[7]。</w:t>
      </w:r>
    </w:p>
    <w:p>
      <w:pPr>
        <w:pStyle w:val="2"/>
        <w:keepNext/>
        <w:spacing w:line="280" w:lineRule="exact" w:before="120" w:after="80"/>
        <w:ind w:firstLine="0"/>
        <w:jc w:val="center"/>
      </w:pPr>
      <w:r>
        <w:rPr>
          <w:rFonts w:ascii="Times New Roman" w:hAnsi="Times New Roman" w:eastAsia="宋体"/>
          <w:b w:val="0"/>
          <w:sz w:val="21"/>
        </w:rPr>
        <w:t xml:space="preserve">表5-8 高压分区或行政县（市、区）110～35 kV电网容载比选择范围[7]</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负荷增长情况</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年最大净负荷平均增长率KP</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容载比建议范围</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饱和期</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KP≤2%</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1.5～1.7</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较慢增长</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2%＜KP≤4%</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1.6～1.8</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中等增长</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4%＜KP≤7%</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较快增长</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KP＞7%</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1.8～2.0</w:t>
            </w:r>
          </w:p>
        </w:tc>
      </w:tr>
    </w:tbl>
    <w:p>
      <w:pPr>
        <w:pStyle w:val="2"/>
        <w:widowControl/>
        <w:spacing w:line="348" w:lineRule="exact" w:before="0" w:after="0"/>
        <w:ind w:firstLine="480"/>
        <w:jc w:val="both"/>
      </w:pPr>
      <w:r>
        <w:rPr>
          <w:rFonts w:ascii="Times New Roman" w:hAnsi="Times New Roman" w:eastAsia="方正仿宋_GBK"/>
          <w:b w:val="0"/>
          <w:sz w:val="24"/>
        </w:rPr>
        <w:t xml:space="preserve">本节沿用建模采用的2021—2025年复合平均增长率，</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P</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2025</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2021</m:t>
            </m:r>
          </m:sub>
        </m:sSub>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oMath>
      <w:r>
        <w:rPr>
          <w:rFonts w:ascii="Times New Roman" w:hAnsi="Times New Roman" w:eastAsia="方正仿宋_GBK"/>
          <w:b w:val="0"/>
          <w:sz w:val="24"/>
        </w:rPr>
        <w:t xml:space="preserve">，以同一增长水平对照各年方案。邳州年最大净负荷由731.77 MW增至956.45 MW，平均增长率约7%，属于4%＜KP≤7%的中等增长阶段，对应建议范围1.7～1.9，市区由1449.77 MW增至1528.82 MW，平均增长率约1%，属于KP≤2%的饱和期，对应建议范围1.5～1.7[7]。</w:t>
      </w:r>
    </w:p>
    <w:p>
      <w:pPr>
        <w:pStyle w:val="2"/>
        <w:widowControl/>
        <w:spacing w:line="348" w:lineRule="exact" w:before="0" w:after="0"/>
        <w:ind w:firstLine="480"/>
        <w:jc w:val="both"/>
      </w:pPr>
      <w:r>
        <w:rPr>
          <w:rFonts w:ascii="Times New Roman" w:hAnsi="Times New Roman" w:eastAsia="方正仿宋_GBK"/>
          <w:b w:val="0"/>
          <w:sz w:val="24"/>
        </w:rPr>
        <w:t xml:space="preserve">前述年度表为共同压缩起点下、正常允许调整供区的弹性无下限方案规划回算结果。按上述增长率统一分档，邳州2022—2024年均高于分档建议上限1.9，2025年降至1.78，进入建议范围，市区四年均高于分档建议上限1.7，其中2025年为1.91，高出约0.21。两地区各年结果均高于对应建议下限。按条文总体范围比较，邳州2022、2023年和市区2022、2024年超过2.0，其余年度位于1.5～2.0内[7]。年度负荷回落解释了部分年份容载比的上升：邳州2023年、市区2024年容量保持不变，负荷下降使比值升高，后续负荷恢复又使比值回落。</w:t>
      </w:r>
    </w:p>
    <w:p>
      <w:pPr>
        <w:pStyle w:val="2"/>
        <w:widowControl/>
        <w:spacing w:line="348" w:lineRule="exact" w:before="0" w:after="0"/>
        <w:ind w:firstLine="480"/>
        <w:jc w:val="both"/>
      </w:pPr>
      <w:r>
        <w:rPr>
          <w:rFonts w:ascii="Times New Roman" w:hAnsi="Times New Roman" w:eastAsia="方正仿宋_GBK"/>
          <w:b w:val="0"/>
          <w:sz w:val="24"/>
        </w:rPr>
        <w:t xml:space="preserve">市区连续高于分档建议上限，还与共同初始容量有关。以2025年为例，1528.82 MW负荷按容载比1.7折算容量为2598.99 MVA，而共同初始容量已为2900.00 MVA，高出301.01 MVA。容量保持非减的条件下，初始设备对应当年容载比约1.90。在此基础上，弹性方案2022年将翟山变一台40 MVA主变更换为63 MVA，净增23.00 MVA，四年均保持2923.00 MVA，2025年容载比为1.91。初始容量与新增补强分别贡献了超出分档建议上限的主要部分和增量部分。翟山变更换后，在最大80 MVA主变停运时保留63 MVA容量，并结合既有转供满足本次工况约束。这项设备补强与既定初始容量应分别解释。</w:t>
      </w:r>
    </w:p>
    <w:p>
      <w:pPr>
        <w:pStyle w:val="2"/>
        <w:widowControl/>
        <w:spacing w:line="348" w:lineRule="exact" w:before="0" w:after="0"/>
        <w:ind w:firstLine="480"/>
        <w:jc w:val="both"/>
      </w:pPr>
      <w:r>
        <w:rPr>
          <w:rFonts w:ascii="Times New Roman" w:hAnsi="Times New Roman" w:eastAsia="方正仿宋_GBK"/>
          <w:b w:val="0"/>
          <w:sz w:val="24"/>
        </w:rPr>
        <w:t xml:space="preserve">第6.2.2.1条a项允许在表中建议范围内无法满足供电安全准则时，结合实际情况适当提高容载比，c项要求加强中压配电网联络、增加转供能力，合理确定规划区域容载比[7]。当前方案通过既定正常及N-1静态工况校核，超过分档建议上限的年度结果由初始设备、网络约束、容量非减及费用目标共同形成。若据a项论证适当提高的必要性，还需专门检验分档建议范围内各可选设备与转供方案能否满足供电安全准则。因此，逐年规划应结合负荷变化检查既有容量的利用情况，并将中压联络与站内补强共同纳入方案比选。</w:t>
      </w:r>
    </w:p>
    <w:p>
      <w:pPr>
        <w:pStyle w:val="5"/>
        <w:keepNext/>
        <w:numPr>
          <w:numId w:val="0"/>
        </w:numPr>
        <w:spacing w:line="390" w:lineRule="exact" w:before="160" w:after="120"/>
        <w:ind w:firstLine="0"/>
      </w:pPr>
      <w:bookmarkStart w:id="190" w:name="建设规模与费用比较"/>
      <w:r>
        <w:rPr>
          <w:rFonts w:ascii="Times New Roman" w:hAnsi="Times New Roman" w:eastAsia="方正仿宋_GBK"/>
          <w:b/>
          <w:sz w:val="26"/>
        </w:rPr>
        <w:t xml:space="preserve">5.4.4 建设规模与费用比较</w:t>
      </w:r>
      <w:bookmarkEnd w:id="190"/>
    </w:p>
    <w:p>
      <w:pPr>
        <w:pStyle w:val="FirstParagraph"/>
        <w:widowControl/>
        <w:spacing w:line="348" w:lineRule="exact" w:before="0" w:after="0"/>
        <w:ind w:firstLine="480"/>
        <w:jc w:val="both"/>
      </w:pPr>
      <w:r>
        <w:rPr>
          <w:rFonts w:ascii="Times New Roman" w:hAnsi="Times New Roman" w:eastAsia="方正仿宋_GBK"/>
          <w:b w:val="0"/>
          <w:sz w:val="24"/>
        </w:rPr>
        <w:t xml:space="preserve">两地区刚性可行方案费用现值合计21790.82万元，弹性为15793.49万元，减少5997.33万元，降幅约28%。</w:t>
      </w:r>
    </w:p>
    <w:p>
      <w:pPr>
        <w:pStyle w:val="2"/>
        <w:keepNext/>
        <w:spacing w:line="280" w:lineRule="exact" w:before="120" w:after="80"/>
        <w:ind w:firstLine="0"/>
        <w:jc w:val="center"/>
      </w:pPr>
      <w:r>
        <w:rPr>
          <w:rFonts w:ascii="Times New Roman" w:hAnsi="Times New Roman" w:eastAsia="宋体"/>
          <w:b w:val="0"/>
          <w:sz w:val="21"/>
        </w:rPr>
        <w:t xml:space="preserve">表5-9 两地区方案费用比较</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评价期费用现值/万元</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19133.01</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14346.85</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2657.80</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1446.64</w:t>
            </w:r>
          </w:p>
        </w:tc>
      </w:tr>
    </w:tbl>
    <w:p>
      <w:pPr>
        <w:pStyle w:val="2"/>
        <w:keepNext/>
        <w:spacing w:line="280" w:lineRule="exact" w:before="120" w:after="80"/>
        <w:ind w:firstLine="0"/>
        <w:jc w:val="center"/>
      </w:pPr>
      <w:r>
        <w:rPr>
          <w:rFonts w:ascii="Times New Roman" w:hAnsi="Times New Roman" w:eastAsia="宋体"/>
          <w:b w:val="0"/>
          <w:sz w:val="21"/>
        </w:rPr>
        <w:t xml:space="preserve">表5-10 2025年在役措施及累计建设规模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在役主变/MVA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累计新购主变/MVA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储能能量/MWh</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1704.00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483.50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1704.00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483.50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2923.00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14261"/>
            <wp:effectExtent b="0" l="0" r="0" t="0"/>
            <wp:docPr descr="" title="" id="1" name="Picture"/>
            <a:graphic>
              <a:graphicData uri="http://schemas.openxmlformats.org/drawingml/2006/picture">
                <pic:pic>
                  <pic:nvPicPr>
                    <pic:cNvPr descr="研究报告/02图表/当前版/lifecycle_components.png" id="0" name="Picture"/>
                    <pic:cNvPicPr>
                      <a:picLocks noChangeArrowheads="1" noChangeAspect="1"/>
                    </pic:cNvPicPr>
                  </pic:nvPicPr>
                  <pic:blipFill>
                    <a:blip r:embed="rId191"/>
                    <a:stretch>
                      <a:fillRect/>
                    </a:stretch>
                  </pic:blipFill>
                  <pic:spPr bwMode="auto">
                    <a:xfrm>
                      <a:off x="0" y="0"/>
                      <a:ext cx="5120640" cy="2514261"/>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图5-2 各方案新增措施评价期费用现值</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232012"/>
            <wp:effectExtent b="0" l="0" r="0" t="0"/>
            <wp:docPr descr="" title="" id="1" name="Picture"/>
            <a:graphic>
              <a:graphicData uri="http://schemas.openxmlformats.org/drawingml/2006/picture">
                <pic:pic>
                  <pic:nvPicPr>
                    <pic:cNvPr descr="研究报告/02图表/当前版/measure_comparison.png" id="0" name="Picture"/>
                    <pic:cNvPicPr>
                      <a:picLocks noChangeArrowheads="1" noChangeAspect="1"/>
                    </pic:cNvPicPr>
                  </pic:nvPicPr>
                  <pic:blipFill>
                    <a:blip r:embed="rId192"/>
                    <a:stretch>
                      <a:fillRect/>
                    </a:stretch>
                  </pic:blipFill>
                  <pic:spPr bwMode="auto">
                    <a:xfrm>
                      <a:off x="0" y="0"/>
                      <a:ext cx="5120640" cy="223201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图5-3 主变新购容量与储能额定能量</w:t>
      </w:r>
    </w:p>
    <w:p>
      <w:pPr>
        <w:pStyle w:val="2"/>
        <w:widowControl/>
        <w:spacing w:line="348" w:lineRule="exact" w:before="0" w:after="0"/>
        <w:ind w:firstLine="480"/>
        <w:jc w:val="both"/>
      </w:pPr>
      <w:r>
        <w:rPr>
          <w:rFonts w:ascii="Times New Roman" w:hAnsi="Times New Roman" w:eastAsia="方正仿宋_GBK"/>
          <w:b w:val="0"/>
          <w:sz w:val="24"/>
        </w:rPr>
        <w:t xml:space="preserve">两地区均从共同压缩起点开展规划回算，首年必要补强计入建设投资，既有转供受逐站资料上限约束，新增联络按地区电缆长度占比计价。在这些相同条件下，比较通过全部静态工况校核的具体可行方案费用。</w:t>
      </w:r>
    </w:p>
    <w:p>
      <w:pPr>
        <w:pStyle w:val="2"/>
        <w:keepNext/>
        <w:spacing w:line="280" w:lineRule="exact" w:before="120" w:after="80"/>
        <w:ind w:firstLine="0"/>
        <w:jc w:val="center"/>
      </w:pPr>
      <w:r>
        <w:rPr>
          <w:rFonts w:ascii="Times New Roman" w:hAnsi="Times New Roman" w:eastAsia="宋体"/>
          <w:b w:val="0"/>
          <w:sz w:val="21"/>
        </w:rPr>
        <w:t xml:space="preserve">表5-11 主变、储能及联络费用现值</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联络/万元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合计/万元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11340.87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5751.81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2040.34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19133.01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11648.73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782.07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1916.05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14346.85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2657.80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2657.80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1446.64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1446.64</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弹性方案主变费用现值增加307.86万元，储能和联络分别减少4969.74万元、124.29万元，合计减少4786.17万元。首年较充分的主变补强降低了后续配储需求，储能费用减少是该地区费用差的主要来源。两类方案2024年起总容量相同，但主变采购及配套措施的时序不同。</w:t>
      </w:r>
    </w:p>
    <w:p>
      <w:pPr>
        <w:pStyle w:val="2"/>
        <w:widowControl/>
        <w:spacing w:line="348" w:lineRule="exact" w:before="0" w:after="0"/>
        <w:ind w:firstLine="480"/>
        <w:jc w:val="both"/>
      </w:pPr>
      <w:r>
        <w:rPr>
          <w:rFonts w:ascii="Times New Roman" w:hAnsi="Times New Roman" w:eastAsia="方正仿宋_GBK"/>
          <w:b w:val="0"/>
          <w:sz w:val="24"/>
        </w:rPr>
        <w:t xml:space="preserve">市区弹性方案以1446.64万元主变费用现值替代刚性方案2657.80万元联络费用，合计减少1211.17万元。既有转供在两类方案中均提供支援，费用优势来自新增补强方式的不同。两地区合计降幅由上述分项变化形成，区域容量变化与费用变化分别按设备及工程项目解释。</w:t>
      </w:r>
    </w:p>
    <w:p>
      <w:pPr>
        <w:pStyle w:val="2"/>
        <w:widowControl/>
        <w:spacing w:line="348" w:lineRule="exact" w:before="0" w:after="0"/>
        <w:ind w:firstLine="480"/>
        <w:jc w:val="both"/>
      </w:pPr>
      <w:r>
        <w:rPr>
          <w:rFonts w:ascii="Times New Roman" w:hAnsi="Times New Roman" w:eastAsia="方正仿宋_GBK"/>
          <w:b w:val="0"/>
          <w:sz w:val="24"/>
        </w:rPr>
        <w:t xml:space="preserve">容载比变化可按新增容量和负荷增长分解：</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den>
              </m:f>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
                <m:dPr>
                  <m:begChr m:val="("/>
                  <m:endChr m:val=")"/>
                  <m:grow/>
                </m:dPr>
                <m:e>
                  <m:f>
                    <m:fPr>
                      <m:type m:val="bar"/>
                    </m:fPr>
                    <m:num>
                      <m:r>
                        <m:rPr>
                          <m:nor m:val="1"/>
                        </m:rPr>
                        <w:rPr>
                          <w:rFonts w:ascii="Times New Roman" w:hAnsi="Times New Roman" w:cs="Times New Roman" w:eastAsia="方正仿宋_GBK"/>
                          <w:i w:val="0"/>
                          <w:iCs w:val="0"/>
                        </w:rPr>
                        <m:t>1</m:t>
                      </m:r>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den>
                  </m:f>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m:t>
                      </m:r>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e>
              </m:d>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（5-10）</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为相邻两年容载比，</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为仿真年序号；</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为相邻两年公用主变总容量，单位MVA；</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为对应年网供最大负荷，单位MW。第一项表达新增容量的贡献，第二项表达既有容量在负荷变化下的比值变化。逐年结果与容量、负荷共同解释。</w:t>
      </w:r>
    </w:p>
    <w:p>
      <w:pPr>
        <w:pStyle w:val="2"/>
        <w:keepNext/>
        <w:spacing w:line="280" w:lineRule="exact" w:before="120" w:after="80"/>
        <w:ind w:firstLine="0"/>
        <w:jc w:val="center"/>
      </w:pPr>
      <w:r>
        <w:rPr>
          <w:rFonts w:ascii="Times New Roman" w:hAnsi="Times New Roman" w:eastAsia="宋体"/>
          <w:b w:val="0"/>
          <w:sz w:val="21"/>
        </w:rPr>
        <w:t xml:space="preserve">表5-12 规划容载比年度变化分解</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容量变化贡献</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负荷变化贡献</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容载比净变化</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-0.19</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-0.19</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r>
    </w:tbl>
    <w:p>
      <w:pPr>
        <w:pStyle w:val="5"/>
        <w:keepNext/>
        <w:numPr>
          <w:numId w:val="0"/>
        </w:numPr>
        <w:spacing w:line="390" w:lineRule="exact" w:before="160" w:after="120"/>
        <w:ind w:firstLine="0"/>
      </w:pPr>
      <w:bookmarkStart w:id="193" w:name="邳州逐站规划方案"/>
      <w:r>
        <w:rPr>
          <w:rFonts w:ascii="Times New Roman" w:hAnsi="Times New Roman" w:eastAsia="方正仿宋_GBK"/>
          <w:b/>
          <w:sz w:val="26"/>
        </w:rPr>
        <w:t xml:space="preserve">5.4.5 邳州逐站规划方案</w:t>
      </w:r>
      <w:bookmarkEnd w:id="193"/>
    </w:p>
    <w:p>
      <w:pPr>
        <w:pStyle w:val="FirstParagraph"/>
        <w:widowControl/>
        <w:spacing w:line="348" w:lineRule="exact" w:before="0" w:after="0"/>
        <w:ind w:firstLine="480"/>
        <w:jc w:val="both"/>
      </w:pPr>
      <w:r>
        <w:rPr>
          <w:rFonts w:ascii="Times New Roman" w:hAnsi="Times New Roman" w:eastAsia="方正仿宋_GBK"/>
          <w:b w:val="0"/>
          <w:sz w:val="24"/>
        </w:rPr>
        <w:t xml:space="preserve">逐站表格列示区域正向峰值和最低净负荷两个代表工况的转接量，完整校核同时覆盖各站局部极值截面。主变N-1按本站最大单台容量扣除，健康邻站保留正常可用容量，转供使用已投运线路。</w:t>
      </w:r>
    </w:p>
    <w:p>
      <w:pPr>
        <w:pStyle w:val="2"/>
        <w:widowControl/>
        <w:spacing w:line="348" w:lineRule="exact" w:before="0" w:after="0"/>
        <w:ind w:firstLine="480"/>
        <w:jc w:val="both"/>
      </w:pPr>
      <w:r>
        <w:rPr>
          <w:rFonts w:ascii="Times New Roman" w:hAnsi="Times New Roman" w:eastAsia="方正仿宋_GBK"/>
          <w:b w:val="0"/>
          <w:sz w:val="24"/>
        </w:rPr>
        <w:t xml:space="preserve">邳州20座站分别列示两类方案的四年设备状态及区域正向峰值正常转接，随后结合2025年两代表工况和四年中本站绝对功率最大的校核工况，解释主变N-1后的站间支援。表中储能均为在役额定功率，支撑能力另按邳州2 h及可用电量折算。</w:t>
      </w:r>
    </w:p>
    <w:p>
      <w:pPr>
        <w:pStyle w:val="7"/>
        <w:keepNext/>
        <w:numPr>
          <w:numId w:val="0"/>
        </w:numPr>
        <w:spacing w:line="360" w:lineRule="exact" w:before="160" w:after="120"/>
        <w:ind w:firstLine="0"/>
      </w:pPr>
      <w:bookmarkStart w:id="194" w:name="八义集变规划分析"/>
      <w:r>
        <w:rPr>
          <w:rFonts w:ascii="Times New Roman" w:hAnsi="Times New Roman" w:eastAsia="方正仿宋_GBK"/>
          <w:b/>
          <w:sz w:val="24"/>
        </w:rPr>
        <w:t xml:space="preserve">八义集变规划分析</w:t>
      </w:r>
      <w:bookmarkEnd w:id="194"/>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该站初始主变组合为20+50 MVA，弹性方案四年均保留该组合，并2025年新增0.60 MW储能。</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2025年本站最大正向、反向净负荷分别为37.23 MW、19.12 MW。在同一需求下，刚性方案当年主变容量为70.00 MVA、储能额定功率0.60 MW，弹性方案分别为70.00 MVA和0.60 MW，两类方案本站主变总容量相同。弹性方案按当年各站局部极值计算的站级负载率为56%。</w:t>
      </w:r>
    </w:p>
    <w:p>
      <w:pPr>
        <w:pStyle w:val="2"/>
        <w:keepNext/>
        <w:spacing w:line="280" w:lineRule="exact" w:before="120" w:after="80"/>
        <w:ind w:firstLine="0"/>
        <w:jc w:val="center"/>
      </w:pPr>
      <w:r>
        <w:rPr>
          <w:rFonts w:ascii="Times New Roman" w:hAnsi="Times New Roman" w:eastAsia="宋体"/>
          <w:b w:val="0"/>
          <w:sz w:val="21"/>
        </w:rPr>
        <w:t xml:space="preserve">表5-13 八义集变年度配置与正向峰值正常转接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26.13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26.13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30.29</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MW，转接后净负荷为30.29 MW，区域最低净负荷工况下为-6.39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按最大单台主变N-1校核，本站剩余容量为20.00 MVA，两代表工况重新转供后的本站净负荷分别为19.49 MW、-6.39 MW，两方向最小容量余量为0.00 MW，正向储能有效支撑功率为0.49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四年校核截面中，本站绝对功率最大的工况出现在2025年，转接前为37.23 MW，主要表现为正向受电需求，该年设备在最大单台主变N-1后剩余容量为20.00 MVA。故障方式下本站转出17.74 MW、承接0.00 MW，其中与土山变之间的主要转出功率为14.46 MW，转接后净负荷为19.49 MW。这一工况通过邻站分担本站故障后的正向负荷。</w:t>
      </w:r>
    </w:p>
    <w:p>
      <w:pPr>
        <w:pStyle w:val="7"/>
        <w:keepNext/>
        <w:numPr>
          <w:numId w:val="0"/>
        </w:numPr>
        <w:spacing w:line="360" w:lineRule="exact" w:before="160" w:after="120"/>
        <w:ind w:firstLine="0"/>
      </w:pPr>
      <w:bookmarkStart w:id="195" w:name="大宋变规划分析"/>
      <w:r>
        <w:rPr>
          <w:rFonts w:ascii="Times New Roman" w:hAnsi="Times New Roman" w:eastAsia="方正仿宋_GBK"/>
          <w:b/>
          <w:sz w:val="24"/>
        </w:rPr>
        <w:t xml:space="preserve">大宋变规划分析</w:t>
      </w:r>
      <w:bookmarkEnd w:id="195"/>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该站初始主变组合为40+63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2025年本站最大正向、反向净负荷分别为69.44 MW、31.77 MW。在同一需求下，刚性方案当年主变容量为103.00 MVA、储能额定功率0.00 MW，弹性方案分别为103.00 MVA和0.00 MW，两类方案本站主变总容量相同。弹性方案按当年各站局部极值计算的站级负载率为71%。</w:t>
      </w:r>
    </w:p>
    <w:p>
      <w:pPr>
        <w:pStyle w:val="2"/>
        <w:keepNext/>
        <w:spacing w:line="280" w:lineRule="exact" w:before="120" w:after="80"/>
        <w:ind w:firstLine="0"/>
        <w:jc w:val="center"/>
      </w:pPr>
      <w:r>
        <w:rPr>
          <w:rFonts w:ascii="Times New Roman" w:hAnsi="Times New Roman" w:eastAsia="宋体"/>
          <w:b w:val="0"/>
          <w:sz w:val="21"/>
        </w:rPr>
        <w:t xml:space="preserve">表5-14 大宋变年度配置与正向峰值正常转接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59.89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55.27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62.63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59.89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55.27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62.63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69.44</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MW，转接后净负荷为69.44 MW，区域最低净负荷工况下为-31.77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MVA，两代表工况重新转供后的本站净负荷分别为38.00 MW、-31.77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四年校核截面中，本站绝对功率最大的工况出现在2025年，转接前为69.44 MW，主要表现为正向受电需求，该年设备在最大单台主变N-1后剩余容量为40.00 MVA。故障方式下本站转出31.44 MW、承接0.00 MW，其中与宿羊山变之间的主要转出功率为12.15 MW，转接后净负荷为38.00 MW。这一工况通过邻站分担本站故障后的正向负荷。</w:t>
      </w:r>
    </w:p>
    <w:p>
      <w:pPr>
        <w:pStyle w:val="7"/>
        <w:keepNext/>
        <w:numPr>
          <w:numId w:val="0"/>
        </w:numPr>
        <w:spacing w:line="360" w:lineRule="exact" w:before="160" w:after="120"/>
        <w:ind w:firstLine="0"/>
      </w:pPr>
      <w:bookmarkStart w:id="196" w:name="戴圩变规划分析"/>
      <w:r>
        <w:rPr>
          <w:rFonts w:ascii="Times New Roman" w:hAnsi="Times New Roman" w:eastAsia="方正仿宋_GBK"/>
          <w:b/>
          <w:sz w:val="24"/>
        </w:rPr>
        <w:t xml:space="preserve">戴圩变规划分析</w:t>
      </w:r>
      <w:bookmarkEnd w:id="196"/>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该站初始主变组合为20+50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2025年本站最大正向、反向净负荷分别为30.30 MW、24.46 MW。在同一需求下，刚性方案当年主变容量为70.00 MVA、储能额定功率0.00 MW，弹性方案分别为70.00 MVA和0.00 MW，两类方案本站主变总容量相同。弹性方案按当年各站局部极值计算的站级负载率为46%。</w:t>
      </w:r>
    </w:p>
    <w:p>
      <w:pPr>
        <w:pStyle w:val="2"/>
        <w:keepNext/>
        <w:spacing w:line="280" w:lineRule="exact" w:before="120" w:after="80"/>
        <w:ind w:firstLine="0"/>
        <w:jc w:val="center"/>
      </w:pPr>
      <w:r>
        <w:rPr>
          <w:rFonts w:ascii="Times New Roman" w:hAnsi="Times New Roman" w:eastAsia="宋体"/>
          <w:b w:val="0"/>
          <w:sz w:val="21"/>
        </w:rPr>
        <w:t xml:space="preserve">表5-15 戴圩变年度配置与正向峰值正常转接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27.34</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MW，转接后净负荷为27.34 MW，区域最低净负荷工况下为-24.10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按最大单台主变N-1校核，本站剩余容量为20.00 MVA，两代表工况重新转供后的本站净负荷分别为19.00 MW、-19.00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四年校核截面中，本站绝对功率最大的工况出现在2025年，转接前为30.30 MW，主要表现为正向受电需求，该年设备在最大单台主变N-1后剩余容量为20.00 MVA。故障方式下本站转出11.30 MW、承接0.00 MW，其中与坊上变之间的主要转出功率为11.30 MW，转接后净负荷为19.00 MW。这一工况通过邻站分担本站故障后的正向负荷。</w:t>
      </w:r>
    </w:p>
    <w:p>
      <w:pPr>
        <w:pStyle w:val="7"/>
        <w:keepNext/>
        <w:numPr>
          <w:numId w:val="0"/>
        </w:numPr>
        <w:spacing w:line="360" w:lineRule="exact" w:before="160" w:after="120"/>
        <w:ind w:firstLine="0"/>
      </w:pPr>
      <w:bookmarkStart w:id="197" w:name="戴庄变规划分析"/>
      <w:r>
        <w:rPr>
          <w:rFonts w:ascii="Times New Roman" w:hAnsi="Times New Roman" w:eastAsia="方正仿宋_GBK"/>
          <w:b/>
          <w:sz w:val="24"/>
        </w:rPr>
        <w:t xml:space="preserve">戴庄变规划分析</w:t>
      </w:r>
      <w:bookmarkEnd w:id="197"/>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该站初始主变组合为20+31.5 MVA，弹性方案2022年20 MVA更换为50 MVA，31.5 MVA更换为50 MVA，四年供电任务均由主变及网络承担。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2025年本站最大正向、反向净负荷分别为30.59 MW、47.47 MW。在同一需求下，刚性方案当年主变容量为100.00 MVA、储能额定功率0.00 MW，弹性方案分别为100.00 MVA和0.00 MW，两类方案本站主变总容量相同。弹性方案按当年各站局部极值计算的站级负载率为50%。</w:t>
      </w:r>
    </w:p>
    <w:p>
      <w:pPr>
        <w:pStyle w:val="2"/>
        <w:keepNext/>
        <w:spacing w:line="280" w:lineRule="exact" w:before="120" w:after="80"/>
        <w:ind w:firstLine="0"/>
        <w:jc w:val="center"/>
      </w:pPr>
      <w:r>
        <w:rPr>
          <w:rFonts w:ascii="Times New Roman" w:hAnsi="Times New Roman" w:eastAsia="宋体"/>
          <w:b w:val="0"/>
          <w:sz w:val="21"/>
        </w:rPr>
        <w:t xml:space="preserve">表5-16 戴庄变年度配置与正向峰值正常转接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26.39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26.39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MW，转接后净负荷为30.59 MW，区域最低净负荷工况下为-46.10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按最大单台主变N-1校核，本站剩余容量为50.00 MVA，两代表工况重新转供后的本站净负荷分别为30.59 MW、-46.10 MW，两方向最小容量余量为1.40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四年校核截面中，本站绝对功率最大的工况出现在2025年，转接前为-47.47 MW，主要表现为反向输送需求，该年设备在最大单台主变N-1后剩余容量为50.00 MVA。该工况本站由剩余主变满足承载要求。</w:t>
      </w:r>
    </w:p>
    <w:p>
      <w:pPr>
        <w:pStyle w:val="7"/>
        <w:keepNext/>
        <w:numPr>
          <w:numId w:val="0"/>
        </w:numPr>
        <w:spacing w:line="360" w:lineRule="exact" w:before="160" w:after="120"/>
        <w:ind w:firstLine="0"/>
      </w:pPr>
      <w:bookmarkStart w:id="198" w:name="杜村变规划分析"/>
      <w:r>
        <w:rPr>
          <w:rFonts w:ascii="Times New Roman" w:hAnsi="Times New Roman" w:eastAsia="方正仿宋_GBK"/>
          <w:b/>
          <w:sz w:val="24"/>
        </w:rPr>
        <w:t xml:space="preserve">杜村变规划分析</w:t>
      </w:r>
      <w:bookmarkEnd w:id="198"/>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该站初始主变组合为40+40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2025年本站最大正向、反向净负荷分别为92.06 MW、18.13 MW。在同一需求下，刚性方案当年主变容量为80.00 MVA、储能额定功率0.00 MW，弹性方案分别为80.00 MVA和0.00 MW，两类方案本站主变总容量相同。弹性方案按当年各站局部极值计算的站级负载率为121%。</w:t>
      </w:r>
    </w:p>
    <w:p>
      <w:pPr>
        <w:pStyle w:val="2"/>
        <w:keepNext/>
        <w:spacing w:line="280" w:lineRule="exact" w:before="120" w:after="80"/>
        <w:ind w:firstLine="0"/>
        <w:jc w:val="center"/>
      </w:pPr>
      <w:r>
        <w:rPr>
          <w:rFonts w:ascii="Times New Roman" w:hAnsi="Times New Roman" w:eastAsia="宋体"/>
          <w:b w:val="0"/>
          <w:sz w:val="21"/>
        </w:rPr>
        <w:t xml:space="preserve">表5-17 杜村变年度配置与正向峰值正常转接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66.58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66.58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75.45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2025年区域正向峰值正常工况下，本站转出7.65 MW、承接0.00 MW，转接后净负荷为76.00 MW，区域最低净负荷工况下为1.66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MVA，两代表工况重新转供后的本站净负荷分别为38.00 MW、1.66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四年校核截面中，本站绝对功率最大的工况出现在2025年，转接前为92.06 MW，主要表现为正向受电需求，该年设备在最大单台主变N-1后剩余容量为40.00 MVA。故障方式下本站转出54.06 MW、承接0.00 MW，其中与河湾变之间的主要转出功率为25.59 MW，转接后净负荷为38.00 MW。这一工况通过邻站分担本站故障后的正向负荷。</w:t>
      </w:r>
    </w:p>
    <w:p>
      <w:pPr>
        <w:pStyle w:val="7"/>
        <w:keepNext/>
        <w:numPr>
          <w:numId w:val="0"/>
        </w:numPr>
        <w:spacing w:line="360" w:lineRule="exact" w:before="160" w:after="120"/>
        <w:ind w:firstLine="0"/>
      </w:pPr>
      <w:bookmarkStart w:id="199" w:name="墩集变规划分析"/>
      <w:r>
        <w:rPr>
          <w:rFonts w:ascii="Times New Roman" w:hAnsi="Times New Roman" w:eastAsia="方正仿宋_GBK"/>
          <w:b/>
          <w:sz w:val="24"/>
        </w:rPr>
        <w:t xml:space="preserve">墩集变规划分析</w:t>
      </w:r>
      <w:bookmarkEnd w:id="199"/>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该站初始主变组合为20+50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2025年本站最大正向、反向净负荷分别为59.52 MW、35.45 MW。在同一需求下，刚性方案当年主变容量为70.00 MVA、储能额定功率0.00 MW，弹性方案分别为70.00 MVA和0.00 MW，两类方案本站主变总容量相同。弹性方案按当年各站局部极值计算的站级负载率为90%。</w:t>
      </w:r>
    </w:p>
    <w:p>
      <w:pPr>
        <w:pStyle w:val="2"/>
        <w:keepNext/>
        <w:spacing w:line="280" w:lineRule="exact" w:before="120" w:after="80"/>
        <w:ind w:firstLine="0"/>
        <w:jc w:val="center"/>
      </w:pPr>
      <w:r>
        <w:rPr>
          <w:rFonts w:ascii="Times New Roman" w:hAnsi="Times New Roman" w:eastAsia="宋体"/>
          <w:b w:val="0"/>
          <w:sz w:val="21"/>
        </w:rPr>
        <w:t xml:space="preserve">表5-18 墩集变年度配置与正向峰值正常转接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47.48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43.81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47.48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43.81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55.05</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MW，转接后净负荷为55.05 MW，区域最低净负荷工况下为-35.45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按最大单台主变N-1校核，本站剩余容量为20.00 MVA，两代表工况重新转供后的本站净负荷分别为19.00 MW、-19.00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四年校核截面中，本站绝对功率最大的工况出现在2025年，转接前为59.52 MW，主要表现为正向受电需求，该年设备在最大单台主变N-1后剩余容量为20.00 MVA。故障方式下本站转出40.52 MW、承接0.00 MW，其中与议堂变之间的主要转出功率为12.49 MW，转接后净负荷为19.00 MW。这一工况通过邻站分担本站故障后的正向负荷。</w:t>
      </w:r>
    </w:p>
    <w:p>
      <w:pPr>
        <w:pStyle w:val="7"/>
        <w:keepNext/>
        <w:numPr>
          <w:numId w:val="0"/>
        </w:numPr>
        <w:spacing w:line="360" w:lineRule="exact" w:before="160" w:after="120"/>
        <w:ind w:firstLine="0"/>
      </w:pPr>
      <w:bookmarkStart w:id="200" w:name="二庙变规划分析"/>
      <w:r>
        <w:rPr>
          <w:rFonts w:ascii="Times New Roman" w:hAnsi="Times New Roman" w:eastAsia="方正仿宋_GBK"/>
          <w:b/>
          <w:sz w:val="24"/>
        </w:rPr>
        <w:t xml:space="preserve">二庙变规划分析</w:t>
      </w:r>
      <w:bookmarkEnd w:id="200"/>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该站初始主变组合为31.5+80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2025年本站最大正向、反向净负荷分别为103.56 MW、0.00 MW。在同一需求下，刚性方案当年主变容量为111.50 MVA、储能额定功率0.00 MW，弹性方案分别为111.50 MVA和0.00 MW，两类方案本站主变总容量相同。弹性方案按当年各站局部极值计算的站级负载率为98%。</w:t>
      </w:r>
    </w:p>
    <w:p>
      <w:pPr>
        <w:pStyle w:val="2"/>
        <w:keepNext/>
        <w:spacing w:line="280" w:lineRule="exact" w:before="120" w:after="80"/>
        <w:ind w:firstLine="0"/>
        <w:jc w:val="center"/>
      </w:pPr>
      <w:r>
        <w:rPr>
          <w:rFonts w:ascii="Times New Roman" w:hAnsi="Times New Roman" w:eastAsia="宋体"/>
          <w:b w:val="0"/>
          <w:sz w:val="21"/>
        </w:rPr>
        <w:t xml:space="preserve">表5-19 二庙变年度配置与正向峰值正常转接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77.42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80.95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77.42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89.75</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MW，转接后净负荷为89.75 MW，区域最低净负荷工况下为31.86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按最大单台主变N-1校核，本站剩余容量为31.50 MVA，两代表工况重新转供后的本站净负荷分别为29.93 MW、29.92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四年校核截面中，本站绝对功率最大的工况出现在2025年，转接前为103.56 MW，主要表现为正向受电需求，该年设备在最大单台主变N-1后剩余容量为31.50 MVA。故障方式下本站转出73.63 MW、承接0.00 MW，其中与吴闸变之间的主要转出功率为17.47 MW，转接后净负荷为29.93 MW。这一工况通过邻站分担本站故障后的正向负荷。</w:t>
      </w:r>
    </w:p>
    <w:p>
      <w:pPr>
        <w:pStyle w:val="7"/>
        <w:keepNext/>
        <w:numPr>
          <w:numId w:val="0"/>
        </w:numPr>
        <w:spacing w:line="360" w:lineRule="exact" w:before="160" w:after="120"/>
        <w:ind w:firstLine="0"/>
      </w:pPr>
      <w:bookmarkStart w:id="201" w:name="坊上变规划分析"/>
      <w:r>
        <w:rPr>
          <w:rFonts w:ascii="Times New Roman" w:hAnsi="Times New Roman" w:eastAsia="方正仿宋_GBK"/>
          <w:b/>
          <w:sz w:val="24"/>
        </w:rPr>
        <w:t xml:space="preserve">坊上变规划分析</w:t>
      </w:r>
      <w:bookmarkEnd w:id="201"/>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该站初始主变组合为31.5+40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2025年本站最大正向、反向净负荷分别为39.89 MW、29.68 MW。在同一需求下，刚性方案当年主变容量为71.50 MVA、储能额定功率0.00 MW，弹性方案分别为71.50 MVA和0.00 MW，两类方案本站主变总容量相同。弹性方案按当年各站局部极值计算的站级负载率为59%。</w:t>
      </w:r>
    </w:p>
    <w:p>
      <w:pPr>
        <w:pStyle w:val="2"/>
        <w:keepNext/>
        <w:spacing w:line="280" w:lineRule="exact" w:before="120" w:after="80"/>
        <w:ind w:firstLine="0"/>
        <w:jc w:val="center"/>
      </w:pPr>
      <w:r>
        <w:rPr>
          <w:rFonts w:ascii="Times New Roman" w:hAnsi="Times New Roman" w:eastAsia="宋体"/>
          <w:b w:val="0"/>
          <w:sz w:val="21"/>
        </w:rPr>
        <w:t xml:space="preserve">表5-20 坊上变年度配置与正向峰值正常转接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32.67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30.14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34.16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32.67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30.14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34.16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37.87</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MW，转接后净负荷为37.87 MW，区域最低净负荷工况下为-29.68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按最大单台主变N-1校核，本站剩余容量为31.50 MVA，两代表工况重新转供后的本站净负荷分别为29.92 MW、-29.68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四年校核截面中，本站绝对功率最大的工况出现在2025年，转接前为39.89 MW，主要表现为正向受电需求，该年设备在最大单台主变N-1后剩余容量为31.50 MVA。故障方式下本站转出9.96 MW、承接0.00 MW，其中与杜村变之间的主要转出功率为9.96 MW，转接后净负荷为29.92 MW。这一工况通过邻站分担本站故障后的正向负荷。</w:t>
      </w:r>
    </w:p>
    <w:p>
      <w:pPr>
        <w:pStyle w:val="7"/>
        <w:keepNext/>
        <w:numPr>
          <w:numId w:val="0"/>
        </w:numPr>
        <w:spacing w:line="360" w:lineRule="exact" w:before="160" w:after="120"/>
        <w:ind w:firstLine="0"/>
      </w:pPr>
      <w:bookmarkStart w:id="202" w:name="富山变规划分析"/>
      <w:r>
        <w:rPr>
          <w:rFonts w:ascii="Times New Roman" w:hAnsi="Times New Roman" w:eastAsia="方正仿宋_GBK"/>
          <w:b/>
          <w:sz w:val="24"/>
        </w:rPr>
        <w:t xml:space="preserve">富山变规划分析</w:t>
      </w:r>
      <w:bookmarkEnd w:id="202"/>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该站初始主变组合为20+50 MVA，弹性方案2022年20 MVA更换为31.5 MVA，四年供电任务均由主变及网络承担。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2025年本站最大正向、反向净负荷分别为27.54 MW、27.00 MW。在同一需求下，刚性方案当年主变容量为81.50 MVA、储能额定功率0.00 MW，弹性方案分别为81.50 MVA和0.00 MW，两类方案本站主变总容量相同。弹性方案按当年各站局部极值计算的站级负载率为36%。</w:t>
      </w:r>
    </w:p>
    <w:p>
      <w:pPr>
        <w:pStyle w:val="2"/>
        <w:keepNext/>
        <w:spacing w:line="280" w:lineRule="exact" w:before="120" w:after="80"/>
        <w:ind w:firstLine="0"/>
        <w:jc w:val="center"/>
      </w:pPr>
      <w:r>
        <w:rPr>
          <w:rFonts w:ascii="Times New Roman" w:hAnsi="Times New Roman" w:eastAsia="宋体"/>
          <w:b w:val="0"/>
          <w:sz w:val="21"/>
        </w:rPr>
        <w:t xml:space="preserve">表5-21 富山变年度配置与正向峰值正常转接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23.99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23.99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26.59</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MW，转接后净负荷为26.59 MW，区域最低净负荷工况下为-19.32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按最大单台主变N-1校核，本站剩余容量为31.50 MVA，两代表工况重新转供后的本站净负荷分别为26.59 MW、-19.32 MW，两方向最小容量余量为3.33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四年校核截面中，本站绝对功率最大的工况出现在2025年，转接前为27.54 MW，主要表现为正向受电需求，该年设备在最大单台主变N-1后剩余容量为31.50 MVA。该工况本站由剩余主变满足承载要求。</w:t>
      </w:r>
    </w:p>
    <w:p>
      <w:pPr>
        <w:pStyle w:val="7"/>
        <w:keepNext/>
        <w:numPr>
          <w:numId w:val="0"/>
        </w:numPr>
        <w:spacing w:line="360" w:lineRule="exact" w:before="160" w:after="120"/>
        <w:ind w:firstLine="0"/>
      </w:pPr>
      <w:bookmarkStart w:id="203" w:name="河湾变规划分析"/>
      <w:r>
        <w:rPr>
          <w:rFonts w:ascii="Times New Roman" w:hAnsi="Times New Roman" w:eastAsia="方正仿宋_GBK"/>
          <w:b/>
          <w:sz w:val="24"/>
        </w:rPr>
        <w:t xml:space="preserve">河湾变规划分析</w:t>
      </w:r>
      <w:bookmarkEnd w:id="203"/>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该站初始主变组合为20+80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2025年本站最大正向、反向净负荷分别为73.11 MW、4.58 MW。在同一需求下，刚性方案当年主变容量为100.00 MVA、储能额定功率0.00 MW，弹性方案分别为100.00 MVA和0.00 MW，两类方案本站主变总容量相同。弹性方案按当年各站局部极值计算的站级负载率为77%。</w:t>
      </w:r>
    </w:p>
    <w:p>
      <w:pPr>
        <w:pStyle w:val="2"/>
        <w:keepNext/>
        <w:spacing w:line="280" w:lineRule="exact" w:before="120" w:after="80"/>
        <w:ind w:firstLine="0"/>
        <w:jc w:val="center"/>
      </w:pPr>
      <w:r>
        <w:rPr>
          <w:rFonts w:ascii="Times New Roman" w:hAnsi="Times New Roman" w:eastAsia="宋体"/>
          <w:b w:val="0"/>
          <w:sz w:val="21"/>
        </w:rPr>
        <w:t xml:space="preserve">表5-22 河湾变年度配置与正向峰值正常转接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56.74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64.30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56.74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64.30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71.29</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MW，转接后净负荷为71.29 MW，区域最低净负荷工况下为-3.50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按最大单台主变N-1校核，本站剩余容量为20.00 MVA，两代表工况重新转供后的本站净负荷分别为19.00 MW、-3.50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四年校核截面中，本站绝对功率最大的工况出现在2025年，转接前为73.11 MW，主要表现为正向受电需求，该年设备在最大单台主变N-1后剩余容量为20.00 MVA。故障方式下本站转出54.11 MW、承接0.00 MW，其中与吴闸变之间的主要转出功率为16.29 MW，转接后净负荷为19.00 MW。这一工况通过邻站分担本站故障后的正向负荷。</w:t>
      </w:r>
    </w:p>
    <w:p>
      <w:pPr>
        <w:pStyle w:val="7"/>
        <w:keepNext/>
        <w:numPr>
          <w:numId w:val="0"/>
        </w:numPr>
        <w:spacing w:line="360" w:lineRule="exact" w:before="160" w:after="120"/>
        <w:ind w:firstLine="0"/>
      </w:pPr>
      <w:bookmarkStart w:id="204" w:name="邳城变规划分析"/>
      <w:r>
        <w:rPr>
          <w:rFonts w:ascii="Times New Roman" w:hAnsi="Times New Roman" w:eastAsia="方正仿宋_GBK"/>
          <w:b/>
          <w:sz w:val="24"/>
        </w:rPr>
        <w:t xml:space="preserve">邳城变规划分析</w:t>
      </w:r>
      <w:bookmarkEnd w:id="204"/>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该站初始主变组合为20+50 MVA，弹性方案2022年20 MVA更换为31.5 MVA，并2025年新增1.10 MW储能。</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2025年本站最大正向、反向净负荷分别为22.90 MW、30.97 MW。在同一需求下，刚性方案当年主变容量为81.50 MVA、储能额定功率8.20 MW，弹性方案分别为81.50 MVA和1.10 MW，两类方案本站主变总容量相同。弹性方案按当年各站局部极值计算的站级负载率为40%。</w:t>
      </w:r>
    </w:p>
    <w:p>
      <w:pPr>
        <w:pStyle w:val="2"/>
        <w:keepNext/>
        <w:spacing w:line="280" w:lineRule="exact" w:before="120" w:after="80"/>
        <w:ind w:firstLine="0"/>
        <w:jc w:val="center"/>
      </w:pPr>
      <w:r>
        <w:rPr>
          <w:rFonts w:ascii="Times New Roman" w:hAnsi="Times New Roman" w:eastAsia="宋体"/>
          <w:b w:val="0"/>
          <w:sz w:val="21"/>
        </w:rPr>
        <w:t xml:space="preserve">表5-23 邳城变年度配置与正向峰值正常转接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22.90</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MW，转接后净负荷为22.90 MW，区域最低净负荷工况下为-28.74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按最大单台主变N-1校核，本站剩余容量为31.50 MVA，两代表工况重新转供后的本站净负荷分别为22.90 MW、-28.74 MW，两方向最小容量余量为2.28 MW，正向储能有效支撑功率为0.90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四年校核截面中，本站绝对功率最大的工况出现在2025年，转接前为-30.97 MW，主要表现为反向输送需求，该年设备在最大单台主变N-1后剩余容量为31.50 MVA。该工况本站未发生站间转接，储能相应方向有效支撑1.10 MW，与剩余主变共同满足承载要求。</w:t>
      </w:r>
    </w:p>
    <w:p>
      <w:pPr>
        <w:pStyle w:val="7"/>
        <w:keepNext/>
        <w:numPr>
          <w:numId w:val="0"/>
        </w:numPr>
        <w:spacing w:line="360" w:lineRule="exact" w:before="160" w:after="120"/>
        <w:ind w:firstLine="0"/>
      </w:pPr>
      <w:bookmarkStart w:id="205" w:name="邳州变规划分析"/>
      <w:r>
        <w:rPr>
          <w:rFonts w:ascii="Times New Roman" w:hAnsi="Times New Roman" w:eastAsia="方正仿宋_GBK"/>
          <w:b/>
          <w:sz w:val="24"/>
        </w:rPr>
        <w:t xml:space="preserve">邳州变规划分析</w:t>
      </w:r>
      <w:bookmarkEnd w:id="205"/>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该站初始主变组合为31.5+80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2025年本站最大正向、反向净负荷分别为69.39 MW、0.00 MW。在同一需求下，刚性方案当年主变容量为111.50 MVA、储能额定功率0.00 MW，弹性方案分别为111.50 MVA和0.00 MW，两类方案本站主变总容量相同。弹性方案按当年各站局部极值计算的站级负载率为66%。</w:t>
      </w:r>
    </w:p>
    <w:p>
      <w:pPr>
        <w:pStyle w:val="2"/>
        <w:keepNext/>
        <w:spacing w:line="280" w:lineRule="exact" w:before="120" w:after="80"/>
        <w:ind w:firstLine="0"/>
        <w:jc w:val="center"/>
      </w:pPr>
      <w:r>
        <w:rPr>
          <w:rFonts w:ascii="Times New Roman" w:hAnsi="Times New Roman" w:eastAsia="宋体"/>
          <w:b w:val="0"/>
          <w:sz w:val="21"/>
        </w:rPr>
        <w:t xml:space="preserve">表5-24 邳州变年度配置与正向峰值正常转接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58.63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54.10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61.31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75.62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58.63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54.10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61.31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75.62</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MW、承接7.65 MW，转接后净负荷为75.62 MW，区域最低净负荷工况下为11.99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按最大单台主变N-1校核，本站剩余容量为31.50 MVA，两代表工况重新转供后的本站净负荷分别为29.92 MW、11.99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四年校核截面中，本站绝对功率最大的工况出现在2025年，转接前为69.39 MW，主要表现为正向受电需求，该年设备在最大单台主变N-1后剩余容量为31.50 MVA。故障方式下本站转出39.46 MW、承接0.00 MW，其中与河湾变之间的主要转出功率为17.96 MW，转接后净负荷为29.92 MW。这一工况通过邻站分担本站故障后的正向负荷。</w:t>
      </w:r>
    </w:p>
    <w:p>
      <w:pPr>
        <w:pStyle w:val="7"/>
        <w:keepNext/>
        <w:numPr>
          <w:numId w:val="0"/>
        </w:numPr>
        <w:spacing w:line="360" w:lineRule="exact" w:before="160" w:after="120"/>
        <w:ind w:firstLine="0"/>
      </w:pPr>
      <w:bookmarkStart w:id="206" w:name="宿羊山变规划分析"/>
      <w:r>
        <w:rPr>
          <w:rFonts w:ascii="Times New Roman" w:hAnsi="Times New Roman" w:eastAsia="方正仿宋_GBK"/>
          <w:b/>
          <w:sz w:val="24"/>
        </w:rPr>
        <w:t xml:space="preserve">宿羊山变规划分析</w:t>
      </w:r>
      <w:bookmarkEnd w:id="206"/>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该站初始主变组合为31.5+40 MVA，弹性方案四年均保留该组合，并2025年新增1.10 MW储能。</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2025年本站最大正向、反向净负荷分别为61.43 MW、30.80 MW。在同一需求下，刚性方案当年主变容量为71.50 MVA、储能额定功率1.10 MW，弹性方案分别为71.50 MVA和1.10 MW，两类方案本站主变总容量相同。弹性方案按当年各站局部极值计算的站级负载率为90%。</w:t>
      </w:r>
    </w:p>
    <w:p>
      <w:pPr>
        <w:pStyle w:val="2"/>
        <w:keepNext/>
        <w:spacing w:line="280" w:lineRule="exact" w:before="120" w:after="80"/>
        <w:ind w:firstLine="0"/>
        <w:jc w:val="center"/>
      </w:pPr>
      <w:r>
        <w:rPr>
          <w:rFonts w:ascii="Times New Roman" w:hAnsi="Times New Roman" w:eastAsia="宋体"/>
          <w:b w:val="0"/>
          <w:sz w:val="21"/>
        </w:rPr>
        <w:t xml:space="preserve">表5-25 宿羊山变年度配置与正向峰值正常转接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52.99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55.40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52.99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55.40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MW，转接后净负荷为61.43 MW，区域最低净负荷工况下为-22.13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按最大单台主变N-1校核，本站剩余容量为31.50 MVA，两代表工况重新转供后的本站净负荷分别为30.82 MW、-22.13 MW，两方向最小容量余量为0.00 MW，正向储能有效支撑功率为0.90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四年校核截面中，本站绝对功率最大的工况出现在2025年，转接前为61.43 MW，主要表现为正向受电需求，该年设备在最大单台主变N-1后剩余容量为31.50 MVA。故障方式下本站转出30.60 MW、承接0.00 MW，其中与兴塘变之间的主要转出功率为14.20 MW，转接后净负荷为30.82 MW。这一工况通过邻站分担本站故障后的正向负荷。</w:t>
      </w:r>
    </w:p>
    <w:p>
      <w:pPr>
        <w:pStyle w:val="7"/>
        <w:keepNext/>
        <w:numPr>
          <w:numId w:val="0"/>
        </w:numPr>
        <w:spacing w:line="360" w:lineRule="exact" w:before="160" w:after="120"/>
        <w:ind w:firstLine="0"/>
      </w:pPr>
      <w:bookmarkStart w:id="207" w:name="铁富变规划分析"/>
      <w:r>
        <w:rPr>
          <w:rFonts w:ascii="Times New Roman" w:hAnsi="Times New Roman" w:eastAsia="方正仿宋_GBK"/>
          <w:b/>
          <w:sz w:val="24"/>
        </w:rPr>
        <w:t xml:space="preserve">铁富变规划分析</w:t>
      </w:r>
      <w:bookmarkEnd w:id="207"/>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该站初始主变组合为31.5+40 MVA，弹性方案2022年31.5 MVA更换为63 MVA，40 MVA更换为63 MVA，四年供电任务均由主变及网络承担。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2025年本站最大正向、反向净负荷分别为84.82 MW、57.21 MW。在同一需求下，刚性方案当年主变容量为126.00 MVA、储能额定功率0.00 MW，弹性方案分别为126.00 MVA和0.00 MW，两类方案本站主变总容量相同。弹性方案按当年各站局部极值计算的站级负载率为71%。</w:t>
      </w:r>
    </w:p>
    <w:p>
      <w:pPr>
        <w:pStyle w:val="2"/>
        <w:keepNext/>
        <w:spacing w:line="280" w:lineRule="exact" w:before="120" w:after="80"/>
        <w:ind w:firstLine="0"/>
        <w:jc w:val="center"/>
      </w:pPr>
      <w:r>
        <w:rPr>
          <w:rFonts w:ascii="Times New Roman" w:hAnsi="Times New Roman" w:eastAsia="宋体"/>
          <w:b w:val="0"/>
          <w:sz w:val="21"/>
        </w:rPr>
        <w:t xml:space="preserve">表5-26 铁富变年度配置与正向峰值正常转接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65.40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82.17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65.40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74.11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82.17</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MW，转接后净负荷为82.17 MW，区域最低净负荷工况下为-52.21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按最大单台主变N-1校核，本站剩余容量为63.00 MVA，两代表工况重新转供后的本站净负荷分别为59.85 MW、-52.21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四年校核截面中，本站绝对功率最大的工况出现在2025年，转接前为84.82 MW，主要表现为正向受电需求，该年设备在最大单台主变N-1后剩余容量为63.00 MVA。故障方式下本站转出24.97 MW、承接0.00 MW，其中与汶河变之间的主要转出功率为8.27 MW，转接后净负荷为59.85 MW。这一工况通过邻站分担本站故障后的正向负荷。</w:t>
      </w:r>
    </w:p>
    <w:p>
      <w:pPr>
        <w:pStyle w:val="7"/>
        <w:keepNext/>
        <w:numPr>
          <w:numId w:val="0"/>
        </w:numPr>
        <w:spacing w:line="360" w:lineRule="exact" w:before="160" w:after="120"/>
        <w:ind w:firstLine="0"/>
      </w:pPr>
      <w:bookmarkStart w:id="208" w:name="土山变规划分析"/>
      <w:r>
        <w:rPr>
          <w:rFonts w:ascii="Times New Roman" w:hAnsi="Times New Roman" w:eastAsia="方正仿宋_GBK"/>
          <w:b/>
          <w:sz w:val="24"/>
        </w:rPr>
        <w:t xml:space="preserve">土山变规划分析</w:t>
      </w:r>
      <w:bookmarkEnd w:id="208"/>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该站初始主变组合为20+50 MVA，弹性方案2022年20 MVA更换为50 MVA，四年供电任务均由主变及网络承担。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2025年本站最大正向、反向净负荷分别为39.87 MW、37.65 MW。在同一需求下，刚性方案当年主变容量为100.00 MVA、储能额定功率0.00 MW，弹性方案分别为100.00 MVA和0.00 MW，两类方案本站主变总容量相同。弹性方案按当年各站局部极值计算的站级负载率为42%。</w:t>
      </w:r>
    </w:p>
    <w:p>
      <w:pPr>
        <w:pStyle w:val="2"/>
        <w:keepNext/>
        <w:spacing w:line="280" w:lineRule="exact" w:before="120" w:after="80"/>
        <w:ind w:firstLine="0"/>
        <w:jc w:val="center"/>
      </w:pPr>
      <w:r>
        <w:rPr>
          <w:rFonts w:ascii="Times New Roman" w:hAnsi="Times New Roman" w:eastAsia="宋体"/>
          <w:b w:val="0"/>
          <w:sz w:val="21"/>
        </w:rPr>
        <w:t xml:space="preserve">表5-27 土山变年度配置与正向峰值正常转接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34.39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35.96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34.39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35.96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39.87</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MW，转接后净负荷为39.87 MW，区域最低净负荷工况下为-36.41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按最大单台主变N-1校核，本站剩余容量为50.00 MVA，两代表工况重新转供后的本站净负荷分别为39.87 MW、-36.41 MW，两方向最小容量余量为7.63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四年校核截面中，本站绝对功率最大的工况出现在2025年，转接前为39.87 MW，主要表现为正向受电需求，该年设备在最大单台主变N-1后剩余容量为50.00 MVA。该工况本站由剩余主变满足承载要求。</w:t>
      </w:r>
    </w:p>
    <w:p>
      <w:pPr>
        <w:pStyle w:val="7"/>
        <w:keepNext/>
        <w:numPr>
          <w:numId w:val="0"/>
        </w:numPr>
        <w:spacing w:line="360" w:lineRule="exact" w:before="160" w:after="120"/>
        <w:ind w:firstLine="0"/>
      </w:pPr>
      <w:bookmarkStart w:id="209" w:name="汶河变规划分析"/>
      <w:r>
        <w:rPr>
          <w:rFonts w:ascii="Times New Roman" w:hAnsi="Times New Roman" w:eastAsia="方正仿宋_GBK"/>
          <w:b/>
          <w:sz w:val="24"/>
        </w:rPr>
        <w:t xml:space="preserve">汶河变规划分析</w:t>
      </w:r>
      <w:bookmarkEnd w:id="209"/>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该站初始主变组合为20+31.5 MVA，弹性方案2022年20 MVA更换为31.5 MVA，四年供电任务均由主变及网络承担。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2025年本站最大正向、反向净负荷分别为25.93 MW、28.94 MW。在同一需求下，刚性方案当年主变容量为63.00 MVA、储能额定功率0.00 MW，弹性方案分别为63.00 MVA和0.00 MW，两类方案本站主变总容量相同。弹性方案按当年各站局部极值计算的站级负载率为48%。</w:t>
      </w:r>
    </w:p>
    <w:p>
      <w:pPr>
        <w:pStyle w:val="2"/>
        <w:keepNext/>
        <w:spacing w:line="280" w:lineRule="exact" w:before="120" w:after="80"/>
        <w:ind w:firstLine="0"/>
        <w:jc w:val="center"/>
      </w:pPr>
      <w:r>
        <w:rPr>
          <w:rFonts w:ascii="Times New Roman" w:hAnsi="Times New Roman" w:eastAsia="宋体"/>
          <w:b w:val="0"/>
          <w:sz w:val="21"/>
        </w:rPr>
        <w:t xml:space="preserve">表5-28 汶河变年度配置与正向峰值正常转接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31.5+31.5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31.5+31.5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31.5+31.5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31.5+31.5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22.81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31.5+31.5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31.5+31.5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31.5+31.5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31.5+31.5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22.81</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MW，转接后净负荷为22.81 MW，区域最低净负荷工况下为-27.24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按最大单台主变N-1校核，本站剩余容量为31.50 MVA，两代表工况重新转供后的本站净负荷分别为22.81 MW、-27.24 MW，两方向最小容量余量为2.69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四年校核截面中，本站绝对功率最大的工况出现在2025年，转接前为-28.94 MW，主要表现为反向输送需求，该年设备在最大单台主变N-1后剩余容量为31.50 MVA。该工况本站由剩余主变满足承载要求。</w:t>
      </w:r>
    </w:p>
    <w:p>
      <w:pPr>
        <w:pStyle w:val="7"/>
        <w:keepNext/>
        <w:numPr>
          <w:numId w:val="0"/>
        </w:numPr>
        <w:spacing w:line="360" w:lineRule="exact" w:before="160" w:after="120"/>
        <w:ind w:firstLine="0"/>
      </w:pPr>
      <w:bookmarkStart w:id="210" w:name="吴闸变规划分析"/>
      <w:r>
        <w:rPr>
          <w:rFonts w:ascii="Times New Roman" w:hAnsi="Times New Roman" w:eastAsia="方正仿宋_GBK"/>
          <w:b/>
          <w:sz w:val="24"/>
        </w:rPr>
        <w:t xml:space="preserve">吴闸变规划分析</w:t>
      </w:r>
      <w:bookmarkEnd w:id="210"/>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该站初始主变组合为20+50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2025年本站最大正向、反向净负荷分别为50.21 MW、0.00 MW。在同一需求下，刚性方案当年主变容量为70.00 MVA、储能额定功率0.00 MW，弹性方案分别为70.00 MVA和0.00 MW，两类方案本站主变总容量相同。弹性方案按当年各站局部极值计算的站级负载率为76%。</w:t>
      </w:r>
    </w:p>
    <w:p>
      <w:pPr>
        <w:pStyle w:val="2"/>
        <w:keepNext/>
        <w:spacing w:line="280" w:lineRule="exact" w:before="120" w:after="80"/>
        <w:ind w:firstLine="0"/>
        <w:jc w:val="center"/>
      </w:pPr>
      <w:r>
        <w:rPr>
          <w:rFonts w:ascii="Times New Roman" w:hAnsi="Times New Roman" w:eastAsia="宋体"/>
          <w:b w:val="0"/>
          <w:sz w:val="21"/>
        </w:rPr>
        <w:t xml:space="preserve">表5-29 吴闸变年度配置与正向峰值正常转接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43.46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43.46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48.18</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MW，转接后净负荷为48.18 MW，区域最低净负荷工况下为2.19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按最大单台主变N-1校核，本站剩余容量为20.00 MVA，两代表工况重新转供后的本站净负荷分别为19.00 MW、2.19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四年校核截面中，本站绝对功率最大的工况出现在2025年，转接前为50.21 MW，主要表现为正向受电需求，该年设备在最大单台主变N-1后剩余容量为20.00 MVA。故障方式下本站转出31.21 MW、承接0.00 MW，其中与议堂变之间的主要转出功率为12.49 MW，转接后净负荷为19.00 MW。这一工况通过邻站分担本站故障后的正向负荷。</w:t>
      </w:r>
    </w:p>
    <w:p>
      <w:pPr>
        <w:pStyle w:val="7"/>
        <w:keepNext/>
        <w:numPr>
          <w:numId w:val="0"/>
        </w:numPr>
        <w:spacing w:line="360" w:lineRule="exact" w:before="160" w:after="120"/>
        <w:ind w:firstLine="0"/>
      </w:pPr>
      <w:bookmarkStart w:id="211" w:name="邢楼变规划分析"/>
      <w:r>
        <w:rPr>
          <w:rFonts w:ascii="Times New Roman" w:hAnsi="Times New Roman" w:eastAsia="方正仿宋_GBK"/>
          <w:b/>
          <w:sz w:val="24"/>
        </w:rPr>
        <w:t xml:space="preserve">邢楼变规划分析</w:t>
      </w:r>
      <w:bookmarkEnd w:id="211"/>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该站初始主变组合为20+20 MVA，弹性方案2022年扩建第三台50 MVA主变，四年供电任务均由主变及网络承担。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2025年本站最大正向、反向净负荷分别为19.20 MW、35.38 MW。在同一需求下，刚性方案当年主变容量为113.00 MVA、储能额定功率1.10 MW，弹性方案分别为90.00 MVA和0.00 MW，弹性方案本站容量减少23.00 MVA。弹性方案按当年各站局部极值计算的站级负载率为41%。</w:t>
      </w:r>
    </w:p>
    <w:p>
      <w:pPr>
        <w:pStyle w:val="2"/>
        <w:keepNext/>
        <w:spacing w:line="280" w:lineRule="exact" w:before="120" w:after="80"/>
        <w:ind w:firstLine="0"/>
        <w:jc w:val="center"/>
      </w:pPr>
      <w:r>
        <w:rPr>
          <w:rFonts w:ascii="Times New Roman" w:hAnsi="Times New Roman" w:eastAsia="宋体"/>
          <w:b w:val="0"/>
          <w:sz w:val="21"/>
        </w:rPr>
        <w:t xml:space="preserve">表5-30 邢楼变年度配置与正向峰值正常转接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31.5+31.5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31.5+31.5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31.5+31.5+50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31.5+31.5+50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20+20+50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15.68</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MW，转接后净负荷为15.68 MW，区域最低净负荷工况下为-29.65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MVA，两代表工况重新转供后的本站净负荷分别为15.68 MW、-29.65 MW，两方向最小容量余量为8.35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四年校核截面中，本站绝对功率最大的工况出现在2025年，转接前为-35.38 MW，主要表现为反向输送需求，该年设备在最大单台主变N-1后剩余容量为40.00 MVA。该工况本站由剩余主变满足承载要求。</w:t>
      </w:r>
    </w:p>
    <w:p>
      <w:pPr>
        <w:pStyle w:val="7"/>
        <w:keepNext/>
        <w:numPr>
          <w:numId w:val="0"/>
        </w:numPr>
        <w:spacing w:line="360" w:lineRule="exact" w:before="160" w:after="120"/>
        <w:ind w:firstLine="0"/>
      </w:pPr>
      <w:bookmarkStart w:id="212" w:name="兴塘变规划分析"/>
      <w:r>
        <w:rPr>
          <w:rFonts w:ascii="Times New Roman" w:hAnsi="Times New Roman" w:eastAsia="方正仿宋_GBK"/>
          <w:b/>
          <w:sz w:val="24"/>
        </w:rPr>
        <w:t xml:space="preserve">兴塘变规划分析</w:t>
      </w:r>
      <w:bookmarkEnd w:id="212"/>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该站初始主变组合为20+20 MVA，弹性方案2022年20 MVA更换为31.5 MVA，20 MVA更换为31.5 MVA，并2025年新增0.80 MW储能。</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2025年本站最大正向、反向净负荷分别为39.15 MW、30.66 MW。在同一需求下，刚性方案当年主变容量为40.00 MVA、储能额定功率11.70 MW，弹性方案分别为63.00 MVA和0.80 MW，弹性方案本站增加23.00 MVA容量。弹性方案按当年各站局部极值计算的站级负载率为65%。</w:t>
      </w:r>
    </w:p>
    <w:p>
      <w:pPr>
        <w:pStyle w:val="2"/>
        <w:keepNext/>
        <w:spacing w:line="280" w:lineRule="exact" w:before="120" w:after="80"/>
        <w:ind w:firstLine="0"/>
        <w:jc w:val="center"/>
      </w:pPr>
      <w:r>
        <w:rPr>
          <w:rFonts w:ascii="Times New Roman" w:hAnsi="Times New Roman" w:eastAsia="宋体"/>
          <w:b w:val="0"/>
          <w:sz w:val="21"/>
        </w:rPr>
        <w:t xml:space="preserve">表5-31 兴塘变年度配置与正向峰值正常转接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33.77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35.31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31.5+31.5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33.77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31.5+31.5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31.5+31.5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35.31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31.5+31.5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MW，转接后净负荷为39.15 MW，区域最低净负荷工况下为-30.66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按最大单台主变N-1校核，本站剩余容量为31.50 MVA，两代表工况重新转供后的本站净负荷分别为30.58 MW、-30.66 MW，两方向最小容量余量为0.00 MW，正向储能有效支撑功率为0.65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四年校核截面中，本站绝对功率最大的工况出现在2025年，转接前为39.15 MW，主要表现为正向受电需求，该年设备在最大单台主变N-1后剩余容量为31.50 MVA。故障方式下本站转出8.57 MW、承接0.00 MW，其中与宿羊山变之间的主要转出功率为7.40 MW，转接后净负荷为30.58 MW。这一工况通过邻站分担本站故障后的正向负荷。</w:t>
      </w:r>
    </w:p>
    <w:p>
      <w:pPr>
        <w:pStyle w:val="7"/>
        <w:keepNext/>
        <w:numPr>
          <w:numId w:val="0"/>
        </w:numPr>
        <w:spacing w:line="360" w:lineRule="exact" w:before="160" w:after="120"/>
        <w:ind w:firstLine="0"/>
      </w:pPr>
      <w:bookmarkStart w:id="213" w:name="议堂变规划分析"/>
      <w:r>
        <w:rPr>
          <w:rFonts w:ascii="Times New Roman" w:hAnsi="Times New Roman" w:eastAsia="方正仿宋_GBK"/>
          <w:b/>
          <w:sz w:val="24"/>
        </w:rPr>
        <w:t xml:space="preserve">议堂变规划分析</w:t>
      </w:r>
      <w:bookmarkEnd w:id="213"/>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该站初始主变组合为20+50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2025年本站最大正向、反向净负荷分别为34.43 MW、22.89 MW。在同一需求下，刚性方案当年主变容量为70.00 MVA、储能额定功率0.00 MW，弹性方案分别为70.00 MVA和0.00 MW，两类方案本站主变总容量相同。弹性方案按当年各站局部极值计算的站级负载率为52%。</w:t>
      </w:r>
    </w:p>
    <w:p>
      <w:pPr>
        <w:pStyle w:val="2"/>
        <w:keepNext/>
        <w:spacing w:line="280" w:lineRule="exact" w:before="120" w:after="80"/>
        <w:ind w:firstLine="0"/>
        <w:jc w:val="center"/>
      </w:pPr>
      <w:r>
        <w:rPr>
          <w:rFonts w:ascii="Times New Roman" w:hAnsi="Times New Roman" w:eastAsia="宋体"/>
          <w:b w:val="0"/>
          <w:sz w:val="21"/>
        </w:rPr>
        <w:t xml:space="preserve">表5-32 议堂变年度配置与正向峰值正常转接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29.70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29.70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31.06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34.43</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MW，转接后净负荷为34.43 MW，区域最低净负荷工况下为-21.58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按最大单台主变N-1校核，本站剩余容量为20.00 MVA，两代表工况重新转供后的本站净负荷分别为19.00 MW、-19.00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四年校核截面中，本站绝对功率最大的工况出现在2025年，转接前为34.43 MW，主要表现为正向受电需求，该年设备在最大单台主变N-1后剩余容量为20.00 MVA。故障方式下本站转出15.43 MW、承接0.00 MW，其中与吴闸变之间的主要转出功率为15.43 MW，转接后净负荷为19.00 MW。这一工况通过邻站分担本站故障后的正向负荷。</w:t>
      </w:r>
    </w:p>
    <w:p>
      <w:pPr>
        <w:pStyle w:val="5"/>
        <w:keepNext/>
        <w:numPr>
          <w:numId w:val="0"/>
        </w:numPr>
        <w:spacing w:line="390" w:lineRule="exact" w:before="160" w:after="120"/>
        <w:ind w:firstLine="0"/>
      </w:pPr>
      <w:bookmarkStart w:id="214" w:name="市区逐站规划方案"/>
      <w:r>
        <w:rPr>
          <w:rFonts w:ascii="Times New Roman" w:hAnsi="Times New Roman" w:eastAsia="方正仿宋_GBK"/>
          <w:b/>
          <w:sz w:val="26"/>
        </w:rPr>
        <w:t xml:space="preserve">5.4.6 市区逐站规划方案</w:t>
      </w:r>
      <w:bookmarkEnd w:id="214"/>
    </w:p>
    <w:p>
      <w:pPr>
        <w:pStyle w:val="FirstParagraph"/>
        <w:widowControl/>
        <w:spacing w:line="348" w:lineRule="exact" w:before="0" w:after="0"/>
        <w:ind w:firstLine="480"/>
        <w:jc w:val="both"/>
      </w:pPr>
      <w:r>
        <w:rPr>
          <w:rFonts w:ascii="Times New Roman" w:hAnsi="Times New Roman" w:eastAsia="方正仿宋_GBK"/>
          <w:b w:val="0"/>
          <w:sz w:val="24"/>
        </w:rPr>
        <w:t xml:space="preserve">市区26座具备设备对应资料的变电站分别列示逐年配置、正常转接及主变N-1校核结果。各站分析结合本地需求与邻站支援任务，说明设备组合和建设时点的差异。</w:t>
      </w:r>
    </w:p>
    <w:p>
      <w:pPr>
        <w:pStyle w:val="7"/>
        <w:keepNext/>
        <w:numPr>
          <w:numId w:val="0"/>
        </w:numPr>
        <w:spacing w:line="360" w:lineRule="exact" w:before="160" w:after="120"/>
        <w:ind w:firstLine="0"/>
      </w:pPr>
      <w:bookmarkStart w:id="215" w:name="大黄山变规划分析"/>
      <w:r>
        <w:rPr>
          <w:rFonts w:ascii="Times New Roman" w:hAnsi="Times New Roman" w:eastAsia="方正仿宋_GBK"/>
          <w:b/>
          <w:sz w:val="24"/>
        </w:rPr>
        <w:t xml:space="preserve">大黄山变规划分析</w:t>
      </w:r>
      <w:bookmarkEnd w:id="215"/>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该站初始主变组合为40+63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2025年本站最大正向、反向净负荷分别为32.29 MW、35.73 MW。在同一需求下，刚性方案当年主变容量为103.00 MVA、储能额定功率0.00 MW，弹性方案分别为103.00 MVA和0.00 MW，两类方案本站主变总容量相同。弹性方案按当年各站局部极值计算的站级负载率为37%。</w:t>
      </w:r>
    </w:p>
    <w:p>
      <w:pPr>
        <w:pStyle w:val="2"/>
        <w:keepNext/>
        <w:spacing w:line="280" w:lineRule="exact" w:before="120" w:after="80"/>
        <w:ind w:firstLine="0"/>
        <w:jc w:val="center"/>
      </w:pPr>
      <w:r>
        <w:rPr>
          <w:rFonts w:ascii="Times New Roman" w:hAnsi="Times New Roman" w:eastAsia="宋体"/>
          <w:b w:val="0"/>
          <w:sz w:val="21"/>
        </w:rPr>
        <w:t xml:space="preserve">表5-33 大黄山变年度配置与正向峰值正常转接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MW，转接后净负荷为30.59 MW，区域最低净负荷工况下为-32.17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MVA，两代表工况重新转供后的本站净负荷分别为30.59 MW、-32.17 MW，两方向最小容量余量为5.83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四年校核截面中，本站绝对功率最大的工况出现在2023年，转接前为-36.05 MW，主要表现为反向输送需求，该年设备在最大单台主变N-1后剩余容量为40.00 MVA。该工况本站由剩余主变满足承载要求。</w:t>
      </w:r>
    </w:p>
    <w:p>
      <w:pPr>
        <w:pStyle w:val="7"/>
        <w:keepNext/>
        <w:numPr>
          <w:numId w:val="0"/>
        </w:numPr>
        <w:spacing w:line="360" w:lineRule="exact" w:before="160" w:after="120"/>
        <w:ind w:firstLine="0"/>
      </w:pPr>
      <w:bookmarkStart w:id="216" w:name="大庙变规划分析"/>
      <w:r>
        <w:rPr>
          <w:rFonts w:ascii="Times New Roman" w:hAnsi="Times New Roman" w:eastAsia="方正仿宋_GBK"/>
          <w:b/>
          <w:sz w:val="24"/>
        </w:rPr>
        <w:t xml:space="preserve">大庙变规划分析</w:t>
      </w:r>
      <w:bookmarkEnd w:id="216"/>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该站初始主变组合为40+50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2025年本站最大正向、反向净负荷分别为70.32 MW、8.70 MW。在同一需求下，刚性方案当年主变容量为90.00 MVA、储能额定功率0.00 MW，弹性方案分别为90.00 MVA和0.00 MW，两类方案本站主变总容量相同。弹性方案按当年各站局部极值计算的站级负载率为82%。</w:t>
      </w:r>
    </w:p>
    <w:p>
      <w:pPr>
        <w:pStyle w:val="2"/>
        <w:keepNext/>
        <w:spacing w:line="280" w:lineRule="exact" w:before="120" w:after="80"/>
        <w:ind w:firstLine="0"/>
        <w:jc w:val="center"/>
      </w:pPr>
      <w:r>
        <w:rPr>
          <w:rFonts w:ascii="Times New Roman" w:hAnsi="Times New Roman" w:eastAsia="宋体"/>
          <w:b w:val="0"/>
          <w:sz w:val="21"/>
        </w:rPr>
        <w:t xml:space="preserve">表5-34 大庙变年度配置与正向峰值正常转接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65.33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70.34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65.33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70.34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66.11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69.73</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MW，转接后净负荷为69.73 MW，区域最低净负荷工况下为1.68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MVA，两代表工况重新转供后的本站净负荷分别为38.00 MW、1.68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四年校核截面中，本站绝对功率最大的工况出现在2023年，转接前为70.93 MW，主要表现为正向受电需求，该年设备在最大单台主变N-1后剩余容量为40.00 MVA。故障方式下本站转出32.93 MW、承接0.00 MW，其中与龙湖变之间的主要转出功率为13.08 MW，转接后净负荷为38.00 MW。这一工况通过邻站分担本站故障后的正向负荷。</w:t>
      </w:r>
    </w:p>
    <w:p>
      <w:pPr>
        <w:pStyle w:val="7"/>
        <w:keepNext/>
        <w:numPr>
          <w:numId w:val="0"/>
        </w:numPr>
        <w:spacing w:line="360" w:lineRule="exact" w:before="160" w:after="120"/>
        <w:ind w:firstLine="0"/>
      </w:pPr>
      <w:bookmarkStart w:id="217" w:name="堤北变规划分析"/>
      <w:r>
        <w:rPr>
          <w:rFonts w:ascii="Times New Roman" w:hAnsi="Times New Roman" w:eastAsia="方正仿宋_GBK"/>
          <w:b/>
          <w:sz w:val="24"/>
        </w:rPr>
        <w:t xml:space="preserve">堤北变规划分析</w:t>
      </w:r>
      <w:bookmarkEnd w:id="217"/>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该站初始主变组合为63+63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2025年本站最大正向、反向净负荷分别为102.93 MW、0.00 MW。在同一需求下，刚性方案当年主变容量为126.00 MVA、储能额定功率0.00 MW，弹性方案分别为126.00 MVA和0.00 MW，两类方案本站主变总容量相同。弹性方案按当年各站局部极值计算的站级负载率为86%。</w:t>
      </w:r>
    </w:p>
    <w:p>
      <w:pPr>
        <w:pStyle w:val="2"/>
        <w:keepNext/>
        <w:spacing w:line="280" w:lineRule="exact" w:before="120" w:after="80"/>
        <w:ind w:firstLine="0"/>
        <w:jc w:val="center"/>
      </w:pPr>
      <w:r>
        <w:rPr>
          <w:rFonts w:ascii="Times New Roman" w:hAnsi="Times New Roman" w:eastAsia="宋体"/>
          <w:b w:val="0"/>
          <w:sz w:val="21"/>
        </w:rPr>
        <w:t xml:space="preserve">表5-35 堤北变年度配置与正向峰值正常转接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94.14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95.25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94.14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95.25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100.47</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MW，转接后净负荷为100.47 MW，区域最低净负荷工况下为32.89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按最大单台主变N-1校核，本站剩余容量为63.00 MVA，两代表工况重新转供后的本站净负荷分别为59.85 MW、32.89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四年校核截面中，本站绝对功率最大的工况出现在2023年，转接前为103.83 MW，主要表现为正向受电需求，该年设备在最大单台主变N-1后剩余容量为63.00 MVA。故障方式下本站转出43.98 MW、承接0.00 MW，其中与刘湾变之间的主要转出功率为25.46 MW，转接后净负荷为59.85 MW。这一工况通过邻站分担本站故障后的正向负荷。</w:t>
      </w:r>
    </w:p>
    <w:p>
      <w:pPr>
        <w:pStyle w:val="7"/>
        <w:keepNext/>
        <w:numPr>
          <w:numId w:val="0"/>
        </w:numPr>
        <w:spacing w:line="360" w:lineRule="exact" w:before="160" w:after="120"/>
        <w:ind w:firstLine="0"/>
      </w:pPr>
      <w:bookmarkStart w:id="218" w:name="翟山变规划分析"/>
      <w:r>
        <w:rPr>
          <w:rFonts w:ascii="Times New Roman" w:hAnsi="Times New Roman" w:eastAsia="方正仿宋_GBK"/>
          <w:b/>
          <w:sz w:val="24"/>
        </w:rPr>
        <w:t xml:space="preserve">翟山变规划分析</w:t>
      </w:r>
      <w:bookmarkEnd w:id="218"/>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该站初始主变组合为40+80 MVA，弹性方案2022年40 MVA更换为63 MVA，四年供电任务均由主变及网络承担。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2025年本站最大正向、反向净负荷分别为95.63 MW、0.00 MW。在同一需求下，刚性方案当年主变容量为120.00 MVA、储能额定功率0.00 MW，弹性方案分别为143.00 MVA和0.00 MW，弹性方案本站增加23.00 MVA容量。弹性方案按当年各站局部极值计算的站级负载率为70%。</w:t>
      </w:r>
    </w:p>
    <w:p>
      <w:pPr>
        <w:pStyle w:val="2"/>
        <w:keepNext/>
        <w:spacing w:line="280" w:lineRule="exact" w:before="120" w:after="80"/>
        <w:ind w:firstLine="0"/>
        <w:jc w:val="center"/>
      </w:pPr>
      <w:r>
        <w:rPr>
          <w:rFonts w:ascii="Times New Roman" w:hAnsi="Times New Roman" w:eastAsia="宋体"/>
          <w:b w:val="0"/>
          <w:sz w:val="21"/>
        </w:rPr>
        <w:t xml:space="preserve">表5-36 翟山变年度配置与正向峰值正常转接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91.30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104.13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102.56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87.77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82.49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87.01</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MW，转接后净负荷为87.01 MW，区域最低净负荷工况下为26.76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按最大单台主变N-1校核，本站剩余容量为63.00 MVA，两代表工况重新转供后的本站净负荷分别为59.85 MW、26.76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四年校核截面中，本站绝对功率最大的工况出现在2023年，转接前为96.46 MW，主要表现为正向受电需求，该年设备在最大单台主变N-1后剩余容量为63.00 MVA。故障方式下本站转出36.61 MW、承接0.00 MW，其中与开元变之间的主要转出功率为23.53 MW，转接后净负荷为59.85 MW。这一工况通过邻站分担本站故障后的正向负荷。</w:t>
      </w:r>
    </w:p>
    <w:p>
      <w:pPr>
        <w:pStyle w:val="7"/>
        <w:keepNext/>
        <w:numPr>
          <w:numId w:val="0"/>
        </w:numPr>
        <w:spacing w:line="360" w:lineRule="exact" w:before="160" w:after="120"/>
        <w:ind w:firstLine="0"/>
      </w:pPr>
      <w:bookmarkStart w:id="219" w:name="古彭变规划分析"/>
      <w:r>
        <w:rPr>
          <w:rFonts w:ascii="Times New Roman" w:hAnsi="Times New Roman" w:eastAsia="方正仿宋_GBK"/>
          <w:b/>
          <w:sz w:val="24"/>
        </w:rPr>
        <w:t xml:space="preserve">古彭变规划分析</w:t>
      </w:r>
      <w:bookmarkEnd w:id="219"/>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该站初始主变组合为50+80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2025年本站最大正向、反向净负荷分别为84.10 MW、0.00 MW。在同一需求下，刚性方案当年主变容量为130.00 MVA、储能额定功率0.00 MW，弹性方案分别为130.00 MVA和0.00 MW，两类方案本站主变总容量相同。弹性方案按当年各站局部极值计算的站级负载率为68%。</w:t>
      </w:r>
    </w:p>
    <w:p>
      <w:pPr>
        <w:pStyle w:val="2"/>
        <w:keepNext/>
        <w:spacing w:line="280" w:lineRule="exact" w:before="120" w:after="80"/>
        <w:ind w:firstLine="0"/>
        <w:jc w:val="center"/>
      </w:pPr>
      <w:r>
        <w:rPr>
          <w:rFonts w:ascii="Times New Roman" w:hAnsi="Times New Roman" w:eastAsia="宋体"/>
          <w:b w:val="0"/>
          <w:sz w:val="21"/>
        </w:rPr>
        <w:t xml:space="preserve">表5-37 古彭变年度配置与正向峰值正常转接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60.56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56.91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56.72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60.56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58.82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60.03</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MW，转接后净负荷为60.03 MW，区域最低净负荷工况下为24.10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按最大单台主变N-1校核，本站剩余容量为50.00 MVA，两代表工况重新转供后的本站净负荷分别为47.50 MW、24.10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四年校核截面中，本站绝对功率最大的工况出现在2023年，转接前为84.84 MW，主要表现为正向受电需求，该年设备在最大单台主变N-1后剩余容量为50.00 MVA。故障方式下本站转出37.34 MW、承接0.00 MW，其中与吴庄变之间的主要转出功率为19.58 MW，转接后净负荷为47.50 MW。这一工况通过邻站分担本站故障后的正向负荷。</w:t>
      </w:r>
    </w:p>
    <w:p>
      <w:pPr>
        <w:pStyle w:val="7"/>
        <w:keepNext/>
        <w:numPr>
          <w:numId w:val="0"/>
        </w:numPr>
        <w:spacing w:line="360" w:lineRule="exact" w:before="160" w:after="120"/>
        <w:ind w:firstLine="0"/>
      </w:pPr>
      <w:bookmarkStart w:id="220" w:name="花园变规划分析"/>
      <w:r>
        <w:rPr>
          <w:rFonts w:ascii="Times New Roman" w:hAnsi="Times New Roman" w:eastAsia="方正仿宋_GBK"/>
          <w:b/>
          <w:sz w:val="24"/>
        </w:rPr>
        <w:t xml:space="preserve">花园变规划分析</w:t>
      </w:r>
      <w:bookmarkEnd w:id="220"/>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该站初始主变组合为40+40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2025年本站最大正向、反向净负荷分别为63.57 MW、0.00 MW。在同一需求下，刚性方案当年主变容量为80.00 MVA、储能额定功率0.00 MW，弹性方案分别为80.00 MVA和0.00 MW，两类方案本站主变总容量相同。弹性方案按当年各站局部极值计算的站级负载率为84%。</w:t>
      </w:r>
    </w:p>
    <w:p>
      <w:pPr>
        <w:pStyle w:val="2"/>
        <w:keepNext/>
        <w:spacing w:line="280" w:lineRule="exact" w:before="120" w:after="80"/>
        <w:ind w:firstLine="0"/>
        <w:jc w:val="center"/>
      </w:pPr>
      <w:r>
        <w:rPr>
          <w:rFonts w:ascii="Times New Roman" w:hAnsi="Times New Roman" w:eastAsia="宋体"/>
          <w:b w:val="0"/>
          <w:sz w:val="21"/>
        </w:rPr>
        <w:t xml:space="preserve">表5-38 花园变年度配置与正向峰值正常转接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47.02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47.02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49.60</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MW，转接后净负荷为49.60 MW，区域最低净负荷工况下为19.62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MVA，两代表工况重新转供后的本站净负荷分别为38.00 MW、19.62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四年校核截面中，本站绝对功率最大的工况出现在2023年，转接前为64.13 MW，主要表现为正向受电需求，该年设备在最大单台主变N-1后剩余容量为40.00 MVA。故障方式下本站转出26.13 MW、承接0.00 MW，其中与庆云桥变之间的主要转出功率为10.59 MW，转接后净负荷为38.00 MW。这一工况通过邻站分担本站故障后的正向负荷。</w:t>
      </w:r>
    </w:p>
    <w:p>
      <w:pPr>
        <w:pStyle w:val="7"/>
        <w:keepNext/>
        <w:numPr>
          <w:numId w:val="0"/>
        </w:numPr>
        <w:spacing w:line="360" w:lineRule="exact" w:before="160" w:after="120"/>
        <w:ind w:firstLine="0"/>
      </w:pPr>
      <w:bookmarkStart w:id="221" w:name="惠民变规划分析"/>
      <w:r>
        <w:rPr>
          <w:rFonts w:ascii="Times New Roman" w:hAnsi="Times New Roman" w:eastAsia="方正仿宋_GBK"/>
          <w:b/>
          <w:sz w:val="24"/>
        </w:rPr>
        <w:t xml:space="preserve">惠民变规划分析</w:t>
      </w:r>
      <w:bookmarkEnd w:id="221"/>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该站初始主变组合为40+63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2025年本站最大正向、反向净负荷分别为85.29 MW、0.00 MW。在同一需求下，刚性方案当年主变容量为103.00 MVA、储能额定功率0.00 MW，弹性方案分别为103.00 MVA和0.00 MW，两类方案本站主变总容量相同。弹性方案按当年各站局部极值计算的站级负载率为87%。</w:t>
      </w:r>
    </w:p>
    <w:p>
      <w:pPr>
        <w:pStyle w:val="2"/>
        <w:keepNext/>
        <w:spacing w:line="280" w:lineRule="exact" w:before="120" w:after="80"/>
        <w:ind w:firstLine="0"/>
        <w:jc w:val="center"/>
      </w:pPr>
      <w:r>
        <w:rPr>
          <w:rFonts w:ascii="Times New Roman" w:hAnsi="Times New Roman" w:eastAsia="宋体"/>
          <w:b w:val="0"/>
          <w:sz w:val="21"/>
        </w:rPr>
        <w:t xml:space="preserve">表5-39 惠民变年度配置与正向峰值正常转接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69.69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70.51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69.69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74.38</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MW，转接后净负荷为74.38 MW，区域最低净负荷工况下为24.04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MVA，两代表工况重新转供后的本站净负荷分别为38.00 MW、24.04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四年校核截面中，本站绝对功率最大的工况出现在2023年，转接前为86.03 MW，主要表现为正向受电需求，该年设备在最大单台主变N-1后剩余容量为40.00 MVA。故障方式下本站转出48.03 MW、承接0.00 MW，其中与大庙变之间的主要转出功率为28.84 MW，转接后净负荷为38.00 MW。这一工况通过邻站分担本站故障后的正向负荷。</w:t>
      </w:r>
    </w:p>
    <w:p>
      <w:pPr>
        <w:pStyle w:val="7"/>
        <w:keepNext/>
        <w:numPr>
          <w:numId w:val="0"/>
        </w:numPr>
        <w:spacing w:line="360" w:lineRule="exact" w:before="160" w:after="120"/>
        <w:ind w:firstLine="0"/>
      </w:pPr>
      <w:bookmarkStart w:id="222" w:name="夹河变规划分析"/>
      <w:r>
        <w:rPr>
          <w:rFonts w:ascii="Times New Roman" w:hAnsi="Times New Roman" w:eastAsia="方正仿宋_GBK"/>
          <w:b/>
          <w:sz w:val="24"/>
        </w:rPr>
        <w:t xml:space="preserve">夹河变规划分析</w:t>
      </w:r>
      <w:bookmarkEnd w:id="222"/>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该站初始主变组合为40+40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2025年本站最大正向、反向净负荷分别为46.06 MW、6.81 MW。在同一需求下，刚性方案当年主变容量为80.00 MVA、储能额定功率0.00 MW，弹性方案分别为80.00 MVA和0.00 MW，两类方案本站主变总容量相同。弹性方案按当年各站局部极值计算的站级负载率为61%。</w:t>
      </w:r>
    </w:p>
    <w:p>
      <w:pPr>
        <w:pStyle w:val="2"/>
        <w:keepNext/>
        <w:spacing w:line="280" w:lineRule="exact" w:before="120" w:after="80"/>
        <w:ind w:firstLine="0"/>
        <w:jc w:val="center"/>
      </w:pPr>
      <w:r>
        <w:rPr>
          <w:rFonts w:ascii="Times New Roman" w:hAnsi="Times New Roman" w:eastAsia="宋体"/>
          <w:b w:val="0"/>
          <w:sz w:val="21"/>
        </w:rPr>
        <w:t xml:space="preserve">表5-40 夹河变年度配置与正向峰值正常转接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43.16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43.67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43.16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43.67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46.06</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MW，转接后净负荷为46.06 MW，区域最低净负荷工况下为-6.81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MVA，两代表工况重新转供后的本站净负荷分别为38.00 MW、-6.81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四年校核截面中，本站绝对功率最大的工况出现在2023年，转接前为46.47 MW，主要表现为正向受电需求，该年设备在最大单台主变N-1后剩余容量为40.00 MVA。故障方式下本站转出8.47 MW、承接0.00 MW，其中与开元变之间的主要转出功率为8.47 MW，转接后净负荷为38.00 MW。这一工况通过邻站分担本站故障后的正向负荷。</w:t>
      </w:r>
    </w:p>
    <w:p>
      <w:pPr>
        <w:pStyle w:val="7"/>
        <w:keepNext/>
        <w:numPr>
          <w:numId w:val="0"/>
        </w:numPr>
        <w:spacing w:line="360" w:lineRule="exact" w:before="160" w:after="120"/>
        <w:ind w:firstLine="0"/>
      </w:pPr>
      <w:bookmarkStart w:id="223" w:name="开元变规划分析"/>
      <w:r>
        <w:rPr>
          <w:rFonts w:ascii="Times New Roman" w:hAnsi="Times New Roman" w:eastAsia="方正仿宋_GBK"/>
          <w:b/>
          <w:sz w:val="24"/>
        </w:rPr>
        <w:t xml:space="preserve">开元变规划分析</w:t>
      </w:r>
      <w:bookmarkEnd w:id="223"/>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该站初始主变组合为40+63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2025年本站最大正向、反向净负荷分别为56.24 MW、0.00 MW。在同一需求下，刚性方案当年主变容量为103.00 MVA、储能额定功率0.00 MW，弹性方案分别为103.00 MVA和0.00 MW，两类方案本站主变总容量相同。弹性方案按当年各站局部极值计算的站级负载率为57%。</w:t>
      </w:r>
    </w:p>
    <w:p>
      <w:pPr>
        <w:pStyle w:val="2"/>
        <w:keepNext/>
        <w:spacing w:line="280" w:lineRule="exact" w:before="120" w:after="80"/>
        <w:ind w:firstLine="0"/>
        <w:jc w:val="center"/>
      </w:pPr>
      <w:r>
        <w:rPr>
          <w:rFonts w:ascii="Times New Roman" w:hAnsi="Times New Roman" w:eastAsia="宋体"/>
          <w:b w:val="0"/>
          <w:sz w:val="21"/>
        </w:rPr>
        <w:t xml:space="preserve">表5-41 开元变年度配置与正向峰值正常转接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53.17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55.22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52.69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53.32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56.24</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MW，转接后净负荷为56.24 MW，区域最低净负荷工况下为13.51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MVA，两代表工况重新转供后的本站净负荷分别为38.00 MW、13.51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四年校核截面中，本站绝对功率最大的工况出现在2023年，转接前为56.73 MW，主要表现为正向受电需求，该年设备在最大单台主变N-1后剩余容量为40.00 MVA。故障方式下本站转出18.73 MW、承接0.00 MW，其中与吴庄变之间的主要转出功率为18.73 MW，转接后净负荷为38.00 MW。这一工况通过邻站分担本站故障后的正向负荷。</w:t>
      </w:r>
    </w:p>
    <w:p>
      <w:pPr>
        <w:pStyle w:val="7"/>
        <w:keepNext/>
        <w:numPr>
          <w:numId w:val="0"/>
        </w:numPr>
        <w:spacing w:line="360" w:lineRule="exact" w:before="160" w:after="120"/>
        <w:ind w:firstLine="0"/>
      </w:pPr>
      <w:bookmarkStart w:id="224" w:name="奎山变规划分析"/>
      <w:r>
        <w:rPr>
          <w:rFonts w:ascii="Times New Roman" w:hAnsi="Times New Roman" w:eastAsia="方正仿宋_GBK"/>
          <w:b/>
          <w:sz w:val="24"/>
        </w:rPr>
        <w:t xml:space="preserve">奎山变规划分析</w:t>
      </w:r>
      <w:bookmarkEnd w:id="224"/>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该站初始主变组合为50+80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2025年本站最大正向、反向净负荷分别为83.73 MW、0.00 MW。在同一需求下，刚性方案当年主变容量为130.00 MVA、储能额定功率0.00 MW，弹性方案分别为130.00 MVA和0.00 MW，两类方案本站主变总容量相同。弹性方案按当年各站局部极值计算的站级负载率为68%。</w:t>
      </w:r>
    </w:p>
    <w:p>
      <w:pPr>
        <w:pStyle w:val="2"/>
        <w:keepNext/>
        <w:spacing w:line="280" w:lineRule="exact" w:before="120" w:after="80"/>
        <w:ind w:firstLine="0"/>
        <w:jc w:val="center"/>
      </w:pPr>
      <w:r>
        <w:rPr>
          <w:rFonts w:ascii="Times New Roman" w:hAnsi="Times New Roman" w:eastAsia="宋体"/>
          <w:b w:val="0"/>
          <w:sz w:val="21"/>
        </w:rPr>
        <w:t xml:space="preserve">表5-42 奎山变年度配置与正向峰值正常转接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66.93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76.71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88.42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78.52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86.99</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MW、承接15.55 MW，转接后净负荷为86.99 MW，区域最低净负荷工况下为22.48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按最大单台主变N-1校核，本站剩余容量为50.00 MVA，两代表工况重新转供后的本站净负荷分别为47.50 MW、22.48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四年校核截面中，本站绝对功率最大的工况出现在2023年，转接前为84.47 MW，主要表现为正向受电需求，该年设备在最大单台主变N-1后剩余容量为50.00 MVA。故障方式下本站转出36.97 MW、承接0.00 MW，其中与翟山变之间的主要转出功率为36.97 MW，转接后净负荷为47.50 MW。这一工况通过邻站分担本站故障后的正向负荷。</w:t>
      </w:r>
    </w:p>
    <w:p>
      <w:pPr>
        <w:pStyle w:val="7"/>
        <w:keepNext/>
        <w:numPr>
          <w:numId w:val="0"/>
        </w:numPr>
        <w:spacing w:line="360" w:lineRule="exact" w:before="160" w:after="120"/>
        <w:ind w:firstLine="0"/>
      </w:pPr>
      <w:bookmarkStart w:id="225" w:name="刘湾变规划分析"/>
      <w:r>
        <w:rPr>
          <w:rFonts w:ascii="Times New Roman" w:hAnsi="Times New Roman" w:eastAsia="方正仿宋_GBK"/>
          <w:b/>
          <w:sz w:val="24"/>
        </w:rPr>
        <w:t xml:space="preserve">刘湾变规划分析</w:t>
      </w:r>
      <w:bookmarkEnd w:id="225"/>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该站初始主变组合为40+50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2025年本站最大正向、反向净负荷分别为71.22 MW、13.31 MW。在同一需求下，刚性方案当年主变容量为90.00 MVA、储能额定功率0.00 MW，弹性方案分别为90.00 MVA和0.00 MW，两类方案本站主变总容量相同。弹性方案按当年各站局部极值计算的站级负载率为83%。</w:t>
      </w:r>
    </w:p>
    <w:p>
      <w:pPr>
        <w:pStyle w:val="2"/>
        <w:keepNext/>
        <w:spacing w:line="280" w:lineRule="exact" w:before="120" w:after="80"/>
        <w:ind w:firstLine="0"/>
        <w:jc w:val="center"/>
      </w:pPr>
      <w:r>
        <w:rPr>
          <w:rFonts w:ascii="Times New Roman" w:hAnsi="Times New Roman" w:eastAsia="宋体"/>
          <w:b w:val="0"/>
          <w:sz w:val="21"/>
        </w:rPr>
        <w:t xml:space="preserve">表5-43 刘湾变年度配置与正向峰值正常转接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56.62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60.96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57.30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56.62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60.96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57.30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60.43</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MW，转接后净负荷为60.43 MW，区域最低净负荷工况下为2.04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MVA，两代表工况重新转供后的本站净负荷分别为38.00 MW、2.04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四年校核截面中，本站绝对功率最大的工况出现在2023年，转接前为71.84 MW，主要表现为正向受电需求，该年设备在最大单台主变N-1后剩余容量为40.00 MVA。故障方式下本站转出33.84 MW、承接0.00 MW，其中与拾屯变之间的主要转出功率为33.11 MW，转接后净负荷为38.00 MW。这一工况通过邻站分担本站故障后的正向负荷。</w:t>
      </w:r>
    </w:p>
    <w:p>
      <w:pPr>
        <w:pStyle w:val="7"/>
        <w:keepNext/>
        <w:numPr>
          <w:numId w:val="0"/>
        </w:numPr>
        <w:spacing w:line="360" w:lineRule="exact" w:before="160" w:after="120"/>
        <w:ind w:firstLine="0"/>
      </w:pPr>
      <w:bookmarkStart w:id="226" w:name="龙湖变规划分析"/>
      <w:r>
        <w:rPr>
          <w:rFonts w:ascii="Times New Roman" w:hAnsi="Times New Roman" w:eastAsia="方正仿宋_GBK"/>
          <w:b/>
          <w:sz w:val="24"/>
        </w:rPr>
        <w:t xml:space="preserve">龙湖变规划分析</w:t>
      </w:r>
      <w:bookmarkEnd w:id="226"/>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该站初始主变组合为40+40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2025年本站最大正向、反向净负荷分别为31.83 MW、0.00 MW。在同一需求下，刚性方案当年主变容量为80.00 MVA、储能额定功率0.00 MW，弹性方案分别为80.00 MVA和0.00 MW，两类方案本站主变总容量相同。弹性方案按当年各站局部极值计算的站级负载率为42%。</w:t>
      </w:r>
    </w:p>
    <w:p>
      <w:pPr>
        <w:pStyle w:val="2"/>
        <w:keepNext/>
        <w:spacing w:line="280" w:lineRule="exact" w:before="120" w:after="80"/>
        <w:ind w:firstLine="0"/>
        <w:jc w:val="center"/>
      </w:pPr>
      <w:r>
        <w:rPr>
          <w:rFonts w:ascii="Times New Roman" w:hAnsi="Times New Roman" w:eastAsia="宋体"/>
          <w:b w:val="0"/>
          <w:sz w:val="21"/>
        </w:rPr>
        <w:t xml:space="preserve">表5-44 龙湖变年度配置与正向峰值正常转接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28.78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28.78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28.53</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MW，转接后净负荷为28.53 MW，区域最低净负荷工况下为9.38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MVA，两代表工况重新转供后的本站净负荷分别为28.53 MW、9.38 MW，两方向最小容量余量为9.47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四年校核截面中，本站绝对功率最大的工况出现在2023年，转接前为32.11 MW，主要表现为正向受电需求，该年设备在最大单台主变N-1后剩余容量为40.00 MVA。该工况本站由剩余主变满足承载要求。</w:t>
      </w:r>
    </w:p>
    <w:p>
      <w:pPr>
        <w:pStyle w:val="7"/>
        <w:keepNext/>
        <w:numPr>
          <w:numId w:val="0"/>
        </w:numPr>
        <w:spacing w:line="360" w:lineRule="exact" w:before="160" w:after="120"/>
        <w:ind w:firstLine="0"/>
      </w:pPr>
      <w:bookmarkStart w:id="227" w:name="庞庄变规划分析"/>
      <w:r>
        <w:rPr>
          <w:rFonts w:ascii="Times New Roman" w:hAnsi="Times New Roman" w:eastAsia="方正仿宋_GBK"/>
          <w:b/>
          <w:sz w:val="24"/>
        </w:rPr>
        <w:t xml:space="preserve">庞庄变规划分析</w:t>
      </w:r>
      <w:bookmarkEnd w:id="227"/>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该站初始主变组合为40+40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2025年本站最大正向、反向净负荷分别为11.20 MW、7.08 MW。在同一需求下，刚性方案当年主变容量为80.00 MVA、储能额定功率0.00 MW，弹性方案分别为80.00 MVA和0.00 MW，两类方案本站主变总容量相同。弹性方案按当年各站局部极值计算的站级负载率为15%。</w:t>
      </w:r>
    </w:p>
    <w:p>
      <w:pPr>
        <w:pStyle w:val="2"/>
        <w:keepNext/>
        <w:spacing w:line="280" w:lineRule="exact" w:before="120" w:after="80"/>
        <w:ind w:firstLine="0"/>
        <w:jc w:val="center"/>
      </w:pPr>
      <w:r>
        <w:rPr>
          <w:rFonts w:ascii="Times New Roman" w:hAnsi="Times New Roman" w:eastAsia="宋体"/>
          <w:b w:val="0"/>
          <w:sz w:val="21"/>
        </w:rPr>
        <w:t xml:space="preserve">表5-45 庞庄变年度配置与正向峰值正常转接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13.94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13.90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13.94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13.90</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MW、承接4.40 MW，转接后净负荷为13.90 MW，区域最低净负荷工况下为-6.87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MVA，两代表工况重新转供后的本站净负荷分别为13.90 MW、-6.87 MW，两方向最小容量余量为24.10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四年校核截面中，本站绝对功率最大的工况出现在2023年，转接前为11.30 MW，主要表现为正向受电需求，该年设备在最大单台主变N-1后剩余容量为40.00 MVA。该工况本站由剩余主变满足承载要求。</w:t>
      </w:r>
    </w:p>
    <w:p>
      <w:pPr>
        <w:pStyle w:val="7"/>
        <w:keepNext/>
        <w:numPr>
          <w:numId w:val="0"/>
        </w:numPr>
        <w:spacing w:line="360" w:lineRule="exact" w:before="160" w:after="120"/>
        <w:ind w:firstLine="0"/>
      </w:pPr>
      <w:bookmarkStart w:id="228" w:name="彭场变规划分析"/>
      <w:r>
        <w:rPr>
          <w:rFonts w:ascii="Times New Roman" w:hAnsi="Times New Roman" w:eastAsia="方正仿宋_GBK"/>
          <w:b/>
          <w:sz w:val="24"/>
        </w:rPr>
        <w:t xml:space="preserve">彭场变规划分析</w:t>
      </w:r>
      <w:bookmarkEnd w:id="228"/>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该站初始主变组合为40+50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2025年本站最大正向、反向净负荷分别为64.92 MW、0.00 MW。在同一需求下，刚性方案当年主变容量为90.00 MVA、储能额定功率0.00 MW，弹性方案分别为90.00 MVA和0.00 MW，两类方案本站主变总容量相同。弹性方案按当年各站局部极值计算的站级负载率为76%。</w:t>
      </w:r>
    </w:p>
    <w:p>
      <w:pPr>
        <w:pStyle w:val="2"/>
        <w:keepNext/>
        <w:spacing w:line="280" w:lineRule="exact" w:before="120" w:after="80"/>
        <w:ind w:firstLine="0"/>
        <w:jc w:val="center"/>
      </w:pPr>
      <w:r>
        <w:rPr>
          <w:rFonts w:ascii="Times New Roman" w:hAnsi="Times New Roman" w:eastAsia="宋体"/>
          <w:b w:val="0"/>
          <w:sz w:val="21"/>
        </w:rPr>
        <w:t xml:space="preserve">表5-46 彭场变年度配置与正向峰值正常转接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52.77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55.66</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MW，转接后净负荷为55.66 MW，区域最低净负荷工况下为7.76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MVA，两代表工况重新转供后的本站净负荷分别为38.00 MW、7.76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四年校核截面中，本站绝对功率最大的工况出现在2023年，转接前为65.49 MW，主要表现为正向受电需求，该年设备在最大单台主变N-1后剩余容量为40.00 MVA。故障方式下本站转出27.49 MW、承接0.00 MW，其中与庆云桥变之间的主要转出功率为12.88 MW，转接后净负荷为38.00 MW。这一工况通过邻站分担本站故障后的正向负荷。</w:t>
      </w:r>
    </w:p>
    <w:p>
      <w:pPr>
        <w:pStyle w:val="7"/>
        <w:keepNext/>
        <w:numPr>
          <w:numId w:val="0"/>
        </w:numPr>
        <w:spacing w:line="360" w:lineRule="exact" w:before="160" w:after="120"/>
        <w:ind w:firstLine="0"/>
      </w:pPr>
      <w:bookmarkStart w:id="229" w:name="庆云桥变规划分析"/>
      <w:r>
        <w:rPr>
          <w:rFonts w:ascii="Times New Roman" w:hAnsi="Times New Roman" w:eastAsia="方正仿宋_GBK"/>
          <w:b/>
          <w:sz w:val="24"/>
        </w:rPr>
        <w:t xml:space="preserve">庆云桥变规划分析</w:t>
      </w:r>
      <w:bookmarkEnd w:id="229"/>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该站初始主变组合为40+40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2025年本站最大正向、反向净负荷分别为65.76 MW、0.00 MW。在同一需求下，刚性方案当年主变容量为80.00 MVA、储能额定功率0.00 MW，弹性方案分别为80.00 MVA和0.00 MW，两类方案本站主变总容量相同。弹性方案按当年各站局部极值计算的站级负载率为87%。</w:t>
      </w:r>
    </w:p>
    <w:p>
      <w:pPr>
        <w:pStyle w:val="2"/>
        <w:keepNext/>
        <w:spacing w:line="280" w:lineRule="exact" w:before="120" w:after="80"/>
        <w:ind w:firstLine="0"/>
        <w:jc w:val="center"/>
      </w:pPr>
      <w:r>
        <w:rPr>
          <w:rFonts w:ascii="Times New Roman" w:hAnsi="Times New Roman" w:eastAsia="宋体"/>
          <w:b w:val="0"/>
          <w:sz w:val="21"/>
        </w:rPr>
        <w:t xml:space="preserve">表5-47 庆云桥变年度配置与正向峰值正常转接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54.76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55.41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54.76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58.96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55.41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58.45</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MW，转接后净负荷为58.45 MW，区域最低净负荷工况下为17.85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MVA，两代表工况重新转供后的本站净负荷分别为38.00 MW、17.85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四年校核截面中，本站绝对功率最大的工况出现在2023年，转接前为66.34 MW，主要表现为正向受电需求，该年设备在最大单台主变N-1后剩余容量为40.00 MVA。故障方式下本站转出28.34 MW、承接0.00 MW，其中与开元变之间的主要转出功率为19.47 MW，转接后净负荷为38.00 MW。这一工况通过邻站分担本站故障后的正向负荷。</w:t>
      </w:r>
    </w:p>
    <w:p>
      <w:pPr>
        <w:pStyle w:val="7"/>
        <w:keepNext/>
        <w:numPr>
          <w:numId w:val="0"/>
        </w:numPr>
        <w:spacing w:line="360" w:lineRule="exact" w:before="160" w:after="120"/>
        <w:ind w:firstLine="0"/>
      </w:pPr>
      <w:bookmarkStart w:id="230" w:name="山南变规划分析"/>
      <w:r>
        <w:rPr>
          <w:rFonts w:ascii="Times New Roman" w:hAnsi="Times New Roman" w:eastAsia="方正仿宋_GBK"/>
          <w:b/>
          <w:sz w:val="24"/>
        </w:rPr>
        <w:t xml:space="preserve">山南变规划分析</w:t>
      </w:r>
      <w:bookmarkEnd w:id="230"/>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该站初始主变组合为40+40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2025年本站最大正向、反向净负荷分别为5.80 MW、0.00 MW。在同一需求下，刚性方案当年主变容量为80.00 MVA、储能额定功率0.00 MW，弹性方案分别为80.00 MVA和0.00 MW，两类方案本站主变总容量相同。弹性方案按当年各站局部极值计算的站级负载率为8%。</w:t>
      </w:r>
    </w:p>
    <w:p>
      <w:pPr>
        <w:pStyle w:val="2"/>
        <w:keepNext/>
        <w:spacing w:line="280" w:lineRule="exact" w:before="120" w:after="80"/>
        <w:ind w:firstLine="0"/>
        <w:jc w:val="center"/>
      </w:pPr>
      <w:r>
        <w:rPr>
          <w:rFonts w:ascii="Times New Roman" w:hAnsi="Times New Roman" w:eastAsia="宋体"/>
          <w:b w:val="0"/>
          <w:sz w:val="21"/>
        </w:rPr>
        <w:t xml:space="preserve">表5-48 山南变年度配置与正向峰值正常转接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5.80</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MW，转接后净负荷为5.80 MW，区域最低净负荷工况下为0.64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MVA，两代表工况重新转供后的本站净负荷分别为5.80 MW、0.64 MW，两方向最小容量余量为32.20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四年校核截面中，本站绝对功率最大的工况出现在2023年，转接前为5.85 MW，主要表现为正向受电需求，该年设备在最大单台主变N-1后剩余容量为40.00 MVA。该工况本站由剩余主变满足承载要求。</w:t>
      </w:r>
    </w:p>
    <w:p>
      <w:pPr>
        <w:pStyle w:val="7"/>
        <w:keepNext/>
        <w:numPr>
          <w:numId w:val="0"/>
        </w:numPr>
        <w:spacing w:line="360" w:lineRule="exact" w:before="160" w:after="120"/>
        <w:ind w:firstLine="0"/>
      </w:pPr>
      <w:bookmarkStart w:id="231" w:name="升辉变规划分析"/>
      <w:r>
        <w:rPr>
          <w:rFonts w:ascii="Times New Roman" w:hAnsi="Times New Roman" w:eastAsia="方正仿宋_GBK"/>
          <w:b/>
          <w:sz w:val="24"/>
        </w:rPr>
        <w:t xml:space="preserve">升辉变规划分析</w:t>
      </w:r>
      <w:bookmarkEnd w:id="231"/>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该站初始主变组合为80+80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2025年本站最大正向、反向净负荷分别为38.35 MW、0.00 MW。在同一需求下，刚性方案当年主变容量为160.00 MVA、储能额定功率0.00 MW，弹性方案分别为160.00 MVA和0.00 MW，两类方案本站主变总容量相同。弹性方案按当年各站局部极值计算的站级负载率为25%。</w:t>
      </w:r>
    </w:p>
    <w:p>
      <w:pPr>
        <w:pStyle w:val="2"/>
        <w:keepNext/>
        <w:spacing w:line="280" w:lineRule="exact" w:before="120" w:after="80"/>
        <w:ind w:firstLine="0"/>
        <w:jc w:val="center"/>
      </w:pPr>
      <w:r>
        <w:rPr>
          <w:rFonts w:ascii="Times New Roman" w:hAnsi="Times New Roman" w:eastAsia="宋体"/>
          <w:b w:val="0"/>
          <w:sz w:val="21"/>
        </w:rPr>
        <w:t xml:space="preserve">表5-49 升辉变年度配置与正向峰值正常转接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28.80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28.80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28.55</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MW，转接后净负荷为28.55 MW，区域最低净负荷工况下为11.59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按最大单台主变N-1校核，本站剩余容量为80.00 MVA，两代表工况重新转供后的本站净负荷分别为28.55 MW、11.59 MW，两方向最小容量余量为47.45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四年校核截面中，本站绝对功率最大的工况出现在2023年，转接前为38.68 MW，主要表现为正向受电需求，该年设备在最大单台主变N-1后剩余容量为80.00 MVA。该工况本站由剩余主变满足承载要求。</w:t>
      </w:r>
    </w:p>
    <w:p>
      <w:pPr>
        <w:pStyle w:val="7"/>
        <w:keepNext/>
        <w:numPr>
          <w:numId w:val="0"/>
        </w:numPr>
        <w:spacing w:line="360" w:lineRule="exact" w:before="160" w:after="120"/>
        <w:ind w:firstLine="0"/>
      </w:pPr>
      <w:bookmarkStart w:id="232" w:name="石桥变规划分析"/>
      <w:r>
        <w:rPr>
          <w:rFonts w:ascii="Times New Roman" w:hAnsi="Times New Roman" w:eastAsia="方正仿宋_GBK"/>
          <w:b/>
          <w:sz w:val="24"/>
        </w:rPr>
        <w:t xml:space="preserve">石桥变规划分析</w:t>
      </w:r>
      <w:bookmarkEnd w:id="232"/>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该站初始主变组合为63+80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2025年本站最大正向、反向净负荷分别为110.02 MW、10.95 MW。在同一需求下，刚性方案当年主变容量为143.00 MVA、储能额定功率0.00 MW，弹性方案分别为143.00 MVA和0.00 MW，两类方案本站主变总容量相同。弹性方案按当年各站局部极值计算的站级负载率为81%。</w:t>
      </w:r>
    </w:p>
    <w:p>
      <w:pPr>
        <w:pStyle w:val="2"/>
        <w:keepNext/>
        <w:spacing w:line="280" w:lineRule="exact" w:before="120" w:after="80"/>
        <w:ind w:firstLine="0"/>
        <w:jc w:val="center"/>
      </w:pPr>
      <w:r>
        <w:rPr>
          <w:rFonts w:ascii="Times New Roman" w:hAnsi="Times New Roman" w:eastAsia="宋体"/>
          <w:b w:val="0"/>
          <w:sz w:val="21"/>
        </w:rPr>
        <w:t xml:space="preserve">表5-50 石桥变年度配置与正向峰值正常转接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97.17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104.62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98.32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103.71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97.17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104.62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98.32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103.71</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MW，转接后净负荷为103.71 MW，区域最低净负荷工况下为2.91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按最大单台主变N-1校核，本站剩余容量为63.00 MVA，两代表工况重新转供后的本站净负荷分别为59.85 MW、2.91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四年校核截面中，本站绝对功率最大的工况出现在2023年，转接前为110.98 MW，主要表现为正向受电需求，该年设备在最大单台主变N-1后剩余容量为63.00 MVA。故障方式下本站转出51.13 MW、承接0.00 MW，其中与响山变之间的主要转出功率为24.34 MW，转接后净负荷为59.85 MW。这一工况通过邻站分担本站故障后的正向负荷。</w:t>
      </w:r>
    </w:p>
    <w:p>
      <w:pPr>
        <w:pStyle w:val="7"/>
        <w:keepNext/>
        <w:numPr>
          <w:numId w:val="0"/>
        </w:numPr>
        <w:spacing w:line="360" w:lineRule="exact" w:before="160" w:after="120"/>
        <w:ind w:firstLine="0"/>
      </w:pPr>
      <w:bookmarkStart w:id="233" w:name="拾屯变规划分析"/>
      <w:r>
        <w:rPr>
          <w:rFonts w:ascii="Times New Roman" w:hAnsi="Times New Roman" w:eastAsia="方正仿宋_GBK"/>
          <w:b/>
          <w:sz w:val="24"/>
        </w:rPr>
        <w:t xml:space="preserve">拾屯变规划分析</w:t>
      </w:r>
      <w:bookmarkEnd w:id="233"/>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该站初始主变组合为40+40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2025年本站最大正向、反向净负荷分别为73.47 MW、0.00 MW。在同一需求下，刚性方案当年主变容量为80.00 MVA、储能额定功率0.00 MW，弹性方案分别为80.00 MVA和0.00 MW，两类方案本站主变总容量相同。弹性方案按当年各站局部极值计算的站级负载率为97%。</w:t>
      </w:r>
    </w:p>
    <w:p>
      <w:pPr>
        <w:pStyle w:val="2"/>
        <w:keepNext/>
        <w:spacing w:line="280" w:lineRule="exact" w:before="120" w:after="80"/>
        <w:ind w:firstLine="0"/>
        <w:jc w:val="center"/>
      </w:pPr>
      <w:r>
        <w:rPr>
          <w:rFonts w:ascii="Times New Roman" w:hAnsi="Times New Roman" w:eastAsia="宋体"/>
          <w:b w:val="0"/>
          <w:sz w:val="21"/>
        </w:rPr>
        <w:t xml:space="preserve">表5-51 拾屯变年度配置与正向峰值正常转接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67.70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68.50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67.70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68.50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MW、承接3.74 MW，转接后净负荷为76.00 MW，区域最低净负荷工况下为4.74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MVA，两代表工况重新转供后的本站净负荷分别为38.00 MW、4.74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四年校核截面中，本站绝对功率最大的工况出现在2023年，转接前为74.11 MW，主要表现为正向受电需求，该年设备在最大单台主变N-1后剩余容量为40.00 MVA。故障方式下本站转出36.11 MW、承接0.00 MW，其中与花园变之间的主要转出功率为22.73 MW，转接后净负荷为38.00 MW。这一工况通过邻站分担本站故障后的正向负荷。</w:t>
      </w:r>
    </w:p>
    <w:p>
      <w:pPr>
        <w:pStyle w:val="7"/>
        <w:keepNext/>
        <w:numPr>
          <w:numId w:val="0"/>
        </w:numPr>
        <w:spacing w:line="360" w:lineRule="exact" w:before="160" w:after="120"/>
        <w:ind w:firstLine="0"/>
      </w:pPr>
      <w:bookmarkStart w:id="234" w:name="统一变规划分析"/>
      <w:r>
        <w:rPr>
          <w:rFonts w:ascii="Times New Roman" w:hAnsi="Times New Roman" w:eastAsia="方正仿宋_GBK"/>
          <w:b/>
          <w:sz w:val="24"/>
        </w:rPr>
        <w:t xml:space="preserve">统一变规划分析</w:t>
      </w:r>
      <w:bookmarkEnd w:id="234"/>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该站初始主变组合为40+40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2025年本站最大正向、反向净负荷分别为92.94 MW、0.00 MW。在同一需求下，刚性方案当年主变容量为80.00 MVA、储能额定功率0.00 MW，弹性方案分别为80.00 MVA和0.00 MW，两类方案本站主变总容量相同。弹性方案按当年各站局部极值计算的站级负载率为122%。</w:t>
      </w:r>
    </w:p>
    <w:p>
      <w:pPr>
        <w:pStyle w:val="2"/>
        <w:keepNext/>
        <w:spacing w:line="280" w:lineRule="exact" w:before="120" w:after="80"/>
        <w:ind w:firstLine="0"/>
        <w:jc w:val="center"/>
      </w:pPr>
      <w:r>
        <w:rPr>
          <w:rFonts w:ascii="Times New Roman" w:hAnsi="Times New Roman" w:eastAsia="宋体"/>
          <w:b w:val="0"/>
          <w:sz w:val="21"/>
        </w:rPr>
        <w:t xml:space="preserve">表5-52 统一变年度配置与正向峰值正常转接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2025年区域正向峰值正常工况下，本站转出15.55 MW、承接0.00 MW，转接后净负荷为76.00 MW，区域最低净负荷工况下为14.84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MVA，两代表工况重新转供后的本站净负荷分别为38.00 MW、14.84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四年校核截面中，本站绝对功率最大的工况出现在2023年，转接前为93.76 MW，主要表现为正向受电需求，该年设备在最大单台主变N-1后剩余容量为40.00 MVA。故障方式下本站转出55.76 MW、承接0.00 MW，其中与奎山变之间的主要转出功率为32.73 MW，转接后净负荷为38.00 MW。这一工况通过邻站分担本站故障后的正向负荷。</w:t>
      </w:r>
    </w:p>
    <w:p>
      <w:pPr>
        <w:pStyle w:val="7"/>
        <w:keepNext/>
        <w:numPr>
          <w:numId w:val="0"/>
        </w:numPr>
        <w:spacing w:line="360" w:lineRule="exact" w:before="160" w:after="120"/>
        <w:ind w:firstLine="0"/>
      </w:pPr>
      <w:bookmarkStart w:id="235" w:name="吴庄变规划分析"/>
      <w:r>
        <w:rPr>
          <w:rFonts w:ascii="Times New Roman" w:hAnsi="Times New Roman" w:eastAsia="方正仿宋_GBK"/>
          <w:b/>
          <w:sz w:val="24"/>
        </w:rPr>
        <w:t xml:space="preserve">吴庄变规划分析</w:t>
      </w:r>
      <w:bookmarkEnd w:id="235"/>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该站初始主变组合为50+80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2025年本站最大正向、反向净负荷分别为103.02 MW、0.00 MW。在同一需求下，刚性方案当年主变容量为130.00 MVA、储能额定功率0.00 MW，弹性方案分别为130.00 MVA和0.00 MW，两类方案本站主变总容量相同。弹性方案按当年各站局部极值计算的站级负载率为83%。</w:t>
      </w:r>
    </w:p>
    <w:p>
      <w:pPr>
        <w:pStyle w:val="2"/>
        <w:keepNext/>
        <w:spacing w:line="280" w:lineRule="exact" w:before="120" w:after="80"/>
        <w:ind w:firstLine="0"/>
        <w:jc w:val="center"/>
      </w:pPr>
      <w:r>
        <w:rPr>
          <w:rFonts w:ascii="Times New Roman" w:hAnsi="Times New Roman" w:eastAsia="宋体"/>
          <w:b w:val="0"/>
          <w:sz w:val="21"/>
        </w:rPr>
        <w:t xml:space="preserve">表5-53 吴庄变年度配置与正向峰值正常转接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90.39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97.32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91.46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90.39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97.32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91.46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96.47</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MW，转接后净负荷为96.47 MW，区域最低净负荷工况下为31.10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按最大单台主变N-1校核，本站剩余容量为50.00 MVA，两代表工况重新转供后的本站净负荷分别为47.50 MW、31.10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四年校核截面中，本站绝对功率最大的工况出现在2023年，转接前为103.92 MW，主要表现为正向受电需求，该年设备在最大单台主变N-1后剩余容量为50.00 MVA。故障方式下本站转出56.42 MW、承接0.00 MW，其中与翟山变之间的主要转出功率为39.78 MW，转接后净负荷为47.50 MW。这一工况通过邻站分担本站故障后的正向负荷。</w:t>
      </w:r>
    </w:p>
    <w:p>
      <w:pPr>
        <w:pStyle w:val="7"/>
        <w:keepNext/>
        <w:numPr>
          <w:numId w:val="0"/>
        </w:numPr>
        <w:spacing w:line="360" w:lineRule="exact" w:before="160" w:after="120"/>
        <w:ind w:firstLine="0"/>
      </w:pPr>
      <w:bookmarkStart w:id="236" w:name="西郊变规划分析"/>
      <w:r>
        <w:rPr>
          <w:rFonts w:ascii="Times New Roman" w:hAnsi="Times New Roman" w:eastAsia="方正仿宋_GBK"/>
          <w:b/>
          <w:sz w:val="24"/>
        </w:rPr>
        <w:t xml:space="preserve">西郊变规划分析</w:t>
      </w:r>
      <w:bookmarkEnd w:id="236"/>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该站初始主变组合为63+63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2025年本站最大正向、反向净负荷分别为128.27 MW、0.00 MW。在同一需求下，刚性方案当年主变容量为126.00 MVA、储能额定功率0.00 MW，弹性方案分别为126.00 MVA和0.00 MW，两类方案本站主变总容量相同。弹性方案按当年各站局部极值计算的站级负载率为107%。</w:t>
      </w:r>
    </w:p>
    <w:p>
      <w:pPr>
        <w:pStyle w:val="2"/>
        <w:keepNext/>
        <w:spacing w:line="280" w:lineRule="exact" w:before="120" w:after="80"/>
        <w:ind w:firstLine="0"/>
        <w:jc w:val="center"/>
      </w:pPr>
      <w:r>
        <w:rPr>
          <w:rFonts w:ascii="Times New Roman" w:hAnsi="Times New Roman" w:eastAsia="宋体"/>
          <w:b w:val="0"/>
          <w:sz w:val="21"/>
        </w:rPr>
        <w:t xml:space="preserve">表5-54 西郊变年度配置与正向峰值正常转接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119.70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119.70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119.70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119.70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119.70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119.70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119.70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119.70</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2025年区域正向峰值正常工况下，本站转出8.57 MW、承接0.00 MW，转接后净负荷为119.70 MW，区域最低净负荷工况下为32.04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按最大单台主变N-1校核，本站剩余容量为63.00 MVA，两代表工况重新转供后的本站净负荷分别为59.85 MW、32.04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四年校核截面中，本站绝对功率最大的工况出现在2023年，转接前为129.39 MW，主要表现为正向受电需求，该年设备在最大单台主变N-1后剩余容量为63.00 MVA。故障方式下本站转出69.54 MW、承接0.00 MW，其中与古彭变之间的主要转出功率为27.51 MW，转接后净负荷为59.85 MW。这一工况通过邻站分担本站故障后的正向负荷。</w:t>
      </w:r>
    </w:p>
    <w:p>
      <w:pPr>
        <w:pStyle w:val="7"/>
        <w:keepNext/>
        <w:numPr>
          <w:numId w:val="0"/>
        </w:numPr>
        <w:spacing w:line="360" w:lineRule="exact" w:before="160" w:after="120"/>
        <w:ind w:firstLine="0"/>
      </w:pPr>
      <w:bookmarkStart w:id="237" w:name="祥和变规划分析"/>
      <w:r>
        <w:rPr>
          <w:rFonts w:ascii="Times New Roman" w:hAnsi="Times New Roman" w:eastAsia="方正仿宋_GBK"/>
          <w:b/>
          <w:sz w:val="24"/>
        </w:rPr>
        <w:t xml:space="preserve">祥和变规划分析</w:t>
      </w:r>
      <w:bookmarkEnd w:id="237"/>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该站初始主变组合为40+50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2025年本站最大正向、反向净负荷分别为19.37 MW、0.00 MW。在同一需求下，刚性方案当年主变容量为90.00 MVA、储能额定功率0.00 MW，弹性方案分别为90.00 MVA和0.00 MW，两类方案本站主变总容量相同。弹性方案按当年各站局部极值计算的站级负载率为23%。</w:t>
      </w:r>
    </w:p>
    <w:p>
      <w:pPr>
        <w:pStyle w:val="2"/>
        <w:keepNext/>
        <w:spacing w:line="280" w:lineRule="exact" w:before="120" w:after="80"/>
        <w:ind w:firstLine="0"/>
        <w:jc w:val="center"/>
      </w:pPr>
      <w:r>
        <w:rPr>
          <w:rFonts w:ascii="Times New Roman" w:hAnsi="Times New Roman" w:eastAsia="宋体"/>
          <w:b w:val="0"/>
          <w:sz w:val="21"/>
        </w:rPr>
        <w:t xml:space="preserve">表5-55 祥和变年度配置与正向峰值正常转接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19.35</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MW，转接后净负荷为19.35 MW，区域最低净负荷工况下为5.17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MVA，两代表工况重新转供后的本站净负荷分别为19.35 MW、5.17 MW，两方向最小容量余量为18.65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四年校核截面中，本站绝对功率最大的工况出现在2023年，转接前为19.54 MW，主要表现为正向受电需求，该年设备在最大单台主变N-1后剩余容量为40.00 MVA。该工况本站由剩余主变满足承载要求。</w:t>
      </w:r>
    </w:p>
    <w:p>
      <w:pPr>
        <w:pStyle w:val="7"/>
        <w:keepNext/>
        <w:numPr>
          <w:numId w:val="0"/>
        </w:numPr>
        <w:spacing w:line="360" w:lineRule="exact" w:before="160" w:after="120"/>
        <w:ind w:firstLine="0"/>
      </w:pPr>
      <w:bookmarkStart w:id="238" w:name="响山变规划分析"/>
      <w:r>
        <w:rPr>
          <w:rFonts w:ascii="Times New Roman" w:hAnsi="Times New Roman" w:eastAsia="方正仿宋_GBK"/>
          <w:b/>
          <w:sz w:val="24"/>
        </w:rPr>
        <w:t xml:space="preserve">响山变规划分析</w:t>
      </w:r>
      <w:bookmarkEnd w:id="238"/>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该站初始主变组合为40+40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2025年本站最大正向、反向净负荷分别为53.11 MW、0.00 MW。在同一需求下，刚性方案当年主变容量为80.00 MVA、储能额定功率0.00 MW，弹性方案分别为80.00 MVA和0.00 MW，两类方案本站主变总容量相同。弹性方案按当年各站局部极值计算的站级负载率为70%。</w:t>
      </w:r>
    </w:p>
    <w:p>
      <w:pPr>
        <w:pStyle w:val="2"/>
        <w:keepNext/>
        <w:spacing w:line="280" w:lineRule="exact" w:before="120" w:after="80"/>
        <w:ind w:firstLine="0"/>
        <w:jc w:val="center"/>
      </w:pPr>
      <w:r>
        <w:rPr>
          <w:rFonts w:ascii="Times New Roman" w:hAnsi="Times New Roman" w:eastAsia="宋体"/>
          <w:b w:val="0"/>
          <w:sz w:val="21"/>
        </w:rPr>
        <w:t xml:space="preserve">表5-56 响山变年度配置与正向峰值正常转接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49.76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53.58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49.76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53.58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50.35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53.11</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MW，转接后净负荷为53.11 MW，区域最低净负荷工况下为11.38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MVA，两代表工况重新转供后的本站净负荷分别为38.00 MW、11.38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四年校核截面中，本站绝对功率最大的工况出现在2023年，转接前为53.58 MW，主要表现为正向受电需求，该年设备在最大单台主变N-1后剩余容量为40.00 MVA。故障方式下本站转出15.58 MW、承接0.00 MW，其中与刘湾变之间的主要转出功率为15.58 MW，转接后净负荷为38.00 MW。这一工况通过邻站分担本站故障后的正向负荷。</w:t>
      </w:r>
    </w:p>
    <w:p>
      <w:pPr>
        <w:pStyle w:val="7"/>
        <w:keepNext/>
        <w:numPr>
          <w:numId w:val="0"/>
        </w:numPr>
        <w:spacing w:line="360" w:lineRule="exact" w:before="160" w:after="120"/>
        <w:ind w:firstLine="0"/>
      </w:pPr>
      <w:bookmarkStart w:id="239" w:name="玉潭变规划分析"/>
      <w:r>
        <w:rPr>
          <w:rFonts w:ascii="Times New Roman" w:hAnsi="Times New Roman" w:eastAsia="方正仿宋_GBK"/>
          <w:b/>
          <w:sz w:val="24"/>
        </w:rPr>
        <w:t xml:space="preserve">玉潭变规划分析</w:t>
      </w:r>
      <w:bookmarkEnd w:id="239"/>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该站初始主变组合为63+63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2025年本站最大正向、反向净负荷分别为45.03 MW、0.00 MW。在同一需求下，刚性方案当年主变容量为126.00 MVA、储能额定功率0.00 MW，弹性方案分别为126.00 MVA和0.00 MW，两类方案本站主变总容量相同。弹性方案按当年各站局部极值计算的站级负载率为38%。</w:t>
      </w:r>
    </w:p>
    <w:p>
      <w:pPr>
        <w:pStyle w:val="2"/>
        <w:keepNext/>
        <w:spacing w:line="280" w:lineRule="exact" w:before="120" w:after="80"/>
        <w:ind w:firstLine="0"/>
        <w:jc w:val="center"/>
      </w:pPr>
      <w:r>
        <w:rPr>
          <w:rFonts w:ascii="Times New Roman" w:hAnsi="Times New Roman" w:eastAsia="宋体"/>
          <w:b w:val="0"/>
          <w:sz w:val="21"/>
        </w:rPr>
        <w:t xml:space="preserve">表5-57 玉潭变年度配置与正向峰值正常转接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42.19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42.69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42.19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42.69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45.45</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MW、承接0.43 MW，转接后净负荷为45.45 MW，区域最低净负荷工况下为9.12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按最大单台主变N-1校核，本站剩余容量为63.00 MVA，两代表工况重新转供后的本站净负荷分别为45.45 MW、9.12 MW，两方向最小容量余量为14.40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四年校核截面中，本站绝对功率最大的工况出现在2023年，转接前为45.42 MW，主要表现为正向受电需求，该年设备在最大单台主变N-1后剩余容量为63.00 MVA。故障方式下本站转出0.00 MW、承接2.23 MW，其中与西郊变之间的主要承接功率为2.23 MW，转接后净负荷为47.65 MW。该工况的站间任务随局部功率方向和接收余量安排。</w:t>
      </w:r>
    </w:p>
    <w:p>
      <w:pPr>
        <w:pStyle w:val="7"/>
        <w:keepNext/>
        <w:numPr>
          <w:numId w:val="0"/>
        </w:numPr>
        <w:spacing w:line="360" w:lineRule="exact" w:before="160" w:after="120"/>
        <w:ind w:firstLine="0"/>
      </w:pPr>
      <w:bookmarkStart w:id="240" w:name="茱萸变规划分析"/>
      <w:r>
        <w:rPr>
          <w:rFonts w:ascii="Times New Roman" w:hAnsi="Times New Roman" w:eastAsia="方正仿宋_GBK"/>
          <w:b/>
          <w:sz w:val="24"/>
        </w:rPr>
        <w:t xml:space="preserve">茱萸变规划分析</w:t>
      </w:r>
      <w:bookmarkEnd w:id="240"/>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该站初始主变组合为40+40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2025年本站最大正向、反向净负荷分别为16.47 MW、5.61 MW。在同一需求下，刚性方案当年主变容量为80.00 MVA、储能额定功率0.00 MW，弹性方案分别为80.00 MVA和0.00 MW，两类方案本站主变总容量相同。弹性方案按当年各站局部极值计算的站级负载率为22%。</w:t>
      </w:r>
    </w:p>
    <w:p>
      <w:pPr>
        <w:pStyle w:val="2"/>
        <w:keepNext/>
        <w:spacing w:line="280" w:lineRule="exact" w:before="120" w:after="80"/>
        <w:ind w:firstLine="0"/>
        <w:jc w:val="center"/>
      </w:pPr>
      <w:r>
        <w:rPr>
          <w:rFonts w:ascii="Times New Roman" w:hAnsi="Times New Roman" w:eastAsia="宋体"/>
          <w:b w:val="0"/>
          <w:sz w:val="21"/>
        </w:rPr>
        <w:t xml:space="preserve">表5-58 茱萸变年度配置与正向峰值正常转接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MW，转接后净负荷为11.51 MW，区域最低净负荷工况下为-4.81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MVA，两代表工况重新转供后的本站净负荷分别为11.51 MW、-4.81 MW，两方向最小容量余量为26.49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四年校核截面中，本站绝对功率最大的工况出现在2023年，转接前为16.61 MW，主要表现为正向受电需求，该年设备在最大单台主变N-1后剩余容量为40.00 MVA。该工况本站由剩余主变满足承载要求。</w:t>
      </w:r>
    </w:p>
    <w:p>
      <w:pPr>
        <w:pStyle w:val="5"/>
        <w:keepNext/>
        <w:numPr>
          <w:numId w:val="0"/>
        </w:numPr>
        <w:spacing w:line="390" w:lineRule="exact" w:before="160" w:after="120"/>
        <w:ind w:firstLine="0"/>
      </w:pPr>
      <w:bookmarkStart w:id="241" w:name="年度设备配置与站间差异"/>
      <w:r>
        <w:rPr>
          <w:rFonts w:ascii="Times New Roman" w:hAnsi="Times New Roman" w:eastAsia="方正仿宋_GBK"/>
          <w:b/>
          <w:sz w:val="26"/>
        </w:rPr>
        <w:t xml:space="preserve">5.4.7 年度设备配置与站间差异</w:t>
      </w:r>
      <w:bookmarkEnd w:id="241"/>
    </w:p>
    <w:p>
      <w:pPr>
        <w:pStyle w:val="FirstParagraph"/>
        <w:widowControl/>
        <w:spacing w:line="348" w:lineRule="exact" w:before="0" w:after="0"/>
        <w:ind w:firstLine="480"/>
        <w:jc w:val="both"/>
      </w:pPr>
      <w:r>
        <w:rPr>
          <w:rFonts w:ascii="Times New Roman" w:hAnsi="Times New Roman" w:eastAsia="方正仿宋_GBK"/>
          <w:b w:val="0"/>
          <w:sz w:val="24"/>
        </w:rPr>
        <w:t xml:space="preserve">区域总容量可以由更换较大主变、增加主变台数或两者结合形成。总容量相近的站，在最大单台主变N-1后的剩余容量也可能不同，因此需要同时列示设备组合与配储地点。</w:t>
      </w:r>
    </w:p>
    <w:p>
      <w:pPr>
        <w:pStyle w:val="2"/>
        <w:keepNext/>
        <w:spacing w:line="280" w:lineRule="exact" w:before="120" w:after="80"/>
        <w:ind w:firstLine="0"/>
        <w:jc w:val="center"/>
      </w:pPr>
      <w:r>
        <w:rPr>
          <w:rFonts w:ascii="Times New Roman" w:hAnsi="Times New Roman" w:eastAsia="宋体"/>
          <w:b w:val="0"/>
          <w:sz w:val="21"/>
        </w:rPr>
        <w:t xml:space="preserve">表5-59 2025年站级展示范围内主变台数与配储站数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两台主变站数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三台主变站数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三台主变站占比</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配储站数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邳州两类方案均有1座三台主变站，但配储站数及储能规模不同。市区两类方案均保持两台主变的站内结构，弹性方案通过翟山变单台升档提高故障后剩余容量。主变台数只反映设备结构的一部分，同样为两台主变的站，额定规格和最大单台停运后的可用容量仍有差异。各年的具体组合、支援方向和投运变化需结合逐站表确定。</w:t>
      </w:r>
    </w:p>
    <w:p>
      <w:pPr>
        <w:pStyle w:val="2"/>
        <w:widowControl/>
        <w:spacing w:line="348" w:lineRule="exact" w:before="0" w:after="0"/>
        <w:ind w:firstLine="480"/>
        <w:jc w:val="both"/>
      </w:pPr>
      <w:r>
        <w:rPr>
          <w:rFonts w:ascii="Times New Roman" w:hAnsi="Times New Roman" w:eastAsia="方正仿宋_GBK"/>
          <w:b w:val="0"/>
          <w:sz w:val="24"/>
        </w:rPr>
        <w:t xml:space="preserve">同一容载比可以由不同站内设备结构形成，因此区域推荐区间需与主变台数、规格及站间任务对应。逐站比较需求和建设选择后，再归纳区域指标，才能说明新增容量用于哪些站点，以及费用变化来自哪些措施。</w:t>
      </w:r>
    </w:p>
    <w:p>
      <w:pPr>
        <w:pStyle w:val="2"/>
        <w:widowControl/>
        <w:spacing w:line="348" w:lineRule="exact" w:before="0" w:after="0"/>
        <w:ind w:firstLine="480"/>
        <w:jc w:val="both"/>
      </w:pPr>
      <w:r>
        <w:rPr>
          <w:rFonts w:ascii="Times New Roman" w:hAnsi="Times New Roman" w:eastAsia="方正仿宋_GBK"/>
          <w:b w:val="0"/>
          <w:sz w:val="24"/>
        </w:rPr>
        <w:t xml:space="preserve">主变台数增加可以改变最大单台容量占本站总容量的比例，但是否扩建还取决于预留位置、邻站支援及工程费用。部分站保留两台主变，通过具体线路利用邻站余量；部分站更换主变或增加第三台，承担本地和邻站任务。逐站结果中的不同建设方式共同形成地区容载比。</w:t>
      </w:r>
    </w:p>
    <w:p>
      <w:pPr>
        <w:pStyle w:val="4"/>
        <w:keepNext/>
        <w:numPr>
          <w:numId w:val="0"/>
        </w:numPr>
        <w:spacing w:line="480" w:lineRule="exact" w:before="160" w:after="120"/>
        <w:ind w:firstLine="0"/>
      </w:pPr>
      <w:bookmarkStart w:id="1915" w:name="h915"/>
      <w:bookmarkStart w:id="242" w:name="措施作用与工程衔接"/>
      <w:r>
        <w:rPr>
          <w:rFonts w:ascii="Times New Roman" w:hAnsi="Times New Roman" w:eastAsia="方正仿宋_GBK"/>
          <w:b/>
          <w:sz w:val="32"/>
        </w:rPr>
        <w:t xml:space="preserve">5.5 措施作用与工程衔接</w:t>
      </w:r>
      <w:bookmarkEnd w:id="242"/>
      <w:bookmarkEnd w:id="1915"/>
    </w:p>
    <w:p>
      <w:pPr>
        <w:pStyle w:val="5"/>
        <w:keepNext/>
        <w:numPr>
          <w:numId w:val="0"/>
        </w:numPr>
        <w:spacing w:line="390" w:lineRule="exact" w:before="160" w:after="120"/>
        <w:ind w:firstLine="0"/>
      </w:pPr>
      <w:bookmarkStart w:id="243" w:name="逐年负荷转接与站间任务"/>
      <w:r>
        <w:rPr>
          <w:rFonts w:ascii="Times New Roman" w:hAnsi="Times New Roman" w:eastAsia="方正仿宋_GBK"/>
          <w:b/>
          <w:sz w:val="26"/>
        </w:rPr>
        <w:t xml:space="preserve">5.5.1 逐年负荷转接与站间任务</w:t>
      </w:r>
      <w:bookmarkEnd w:id="243"/>
    </w:p>
    <w:p>
      <w:pPr>
        <w:pStyle w:val="FirstParagraph"/>
        <w:widowControl/>
        <w:spacing w:line="348" w:lineRule="exact" w:before="0" w:after="0"/>
        <w:ind w:firstLine="480"/>
        <w:jc w:val="both"/>
      </w:pPr>
      <w:r>
        <w:rPr>
          <w:rFonts w:ascii="Times New Roman" w:hAnsi="Times New Roman" w:eastAsia="方正仿宋_GBK"/>
          <w:b w:val="0"/>
          <w:sz w:val="24"/>
        </w:rPr>
        <w:t xml:space="preserve">新增线路按建设数量计投资，可转能力受线路及两端设备限制，实际转接功率则由具体运行工况确定，因此三者需分别统计。以下按区域正向峰值与最低净负荷两种正常工况列示网络利用情况。</w:t>
      </w:r>
    </w:p>
    <w:p>
      <w:pPr>
        <w:pStyle w:val="2"/>
        <w:keepNext/>
        <w:spacing w:line="280" w:lineRule="exact" w:before="120" w:after="80"/>
        <w:ind w:firstLine="0"/>
        <w:jc w:val="center"/>
      </w:pPr>
      <w:r>
        <w:rPr>
          <w:rFonts w:ascii="Times New Roman" w:hAnsi="Times New Roman" w:eastAsia="宋体"/>
          <w:b w:val="0"/>
          <w:sz w:val="21"/>
        </w:rPr>
        <w:t xml:space="preserve">表5-60 邳州正常方式下的分工况转接任务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831"/>
        <w:gridCol w:w="831"/>
        <w:gridCol w:w="831"/>
        <w:gridCol w:w="831"/>
        <w:gridCol w:w="831"/>
        <w:gridCol w:w="831"/>
        <w:gridCol w:w="831"/>
        <w:gridCol w:w="831"/>
        <w:gridCol w:w="831"/>
        <w:gridCol w:w="831"/>
      </w:tblGrid>
      <w:tr>
        <w:trPr>
          <w:cantSplit/>
          <w:tblHeader/>
        </w:trPr>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工况</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转接合计/MW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既有边/MW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新增边/MW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单站最大转出/MW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单站最大承接/MW</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7.65</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7.65</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bl>
    <w:p>
      <w:pPr>
        <w:pStyle w:val="2"/>
        <w:keepNext/>
        <w:spacing w:line="280" w:lineRule="exact" w:before="120" w:after="80"/>
        <w:ind w:firstLine="0"/>
        <w:jc w:val="center"/>
      </w:pPr>
      <w:r>
        <w:rPr>
          <w:rFonts w:ascii="Times New Roman" w:hAnsi="Times New Roman" w:eastAsia="宋体"/>
          <w:b w:val="0"/>
          <w:sz w:val="21"/>
        </w:rPr>
        <w:t xml:space="preserve">表5-61 市区正常方式下的分工况转接任务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831"/>
        <w:gridCol w:w="831"/>
        <w:gridCol w:w="831"/>
        <w:gridCol w:w="831"/>
        <w:gridCol w:w="831"/>
        <w:gridCol w:w="831"/>
        <w:gridCol w:w="831"/>
        <w:gridCol w:w="831"/>
        <w:gridCol w:w="831"/>
        <w:gridCol w:w="831"/>
      </w:tblGrid>
      <w:tr>
        <w:trPr>
          <w:cantSplit/>
          <w:tblHeader/>
        </w:trPr>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工况</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转接合计/MW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既有边/MW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新增边/MW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单站最大转出/MW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单站最大承接/MW</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16.36</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12.70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12.70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15.55</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16.36</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12.70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12.70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15.55</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bl>
    <w:p>
      <w:pPr>
        <w:pStyle w:val="2"/>
        <w:widowControl/>
        <w:spacing w:line="348" w:lineRule="exact" w:before="0" w:after="0"/>
        <w:ind w:firstLine="480"/>
        <w:jc w:val="both"/>
      </w:pPr>
      <w:r>
        <w:rPr>
          <w:rFonts w:ascii="Times New Roman" w:hAnsi="Times New Roman" w:eastAsia="方正仿宋_GBK"/>
          <w:b w:val="0"/>
          <w:sz w:val="24"/>
        </w:rPr>
        <w:t xml:space="preserve">每年转出站和承接站数量反映负荷分配范围，单站最大转出、承接量反映局部任务规模。新增主变投运后，某站既可能减少自身转出，也可能增加对邻站的承接。站点角色可以随工况和年份变化，正常运行中的承接站在自身N-1时仍可能需要其他站支援。</w:t>
      </w:r>
    </w:p>
    <w:p>
      <w:pPr>
        <w:pStyle w:val="2"/>
        <w:widowControl/>
        <w:spacing w:line="348" w:lineRule="exact" w:before="0" w:after="0"/>
        <w:ind w:firstLine="480"/>
        <w:jc w:val="both"/>
      </w:pPr>
      <w:r>
        <w:rPr>
          <w:rFonts w:ascii="Times New Roman" w:hAnsi="Times New Roman" w:eastAsia="方正仿宋_GBK"/>
          <w:b w:val="0"/>
          <w:sz w:val="24"/>
        </w:rPr>
        <w:t xml:space="preserve">同一设备布局可对应多种可行负荷分配，表中转接量展示所列方案的网络利用情况。后续工程安排应结合开关位置、实际负荷块和操作条件确定具体转供方式。</w:t>
      </w:r>
    </w:p>
    <w:p>
      <w:pPr>
        <w:pStyle w:val="5"/>
        <w:keepNext/>
        <w:numPr>
          <w:numId w:val="0"/>
        </w:numPr>
        <w:spacing w:line="390" w:lineRule="exact" w:before="160" w:after="120"/>
        <w:ind w:firstLine="0"/>
      </w:pPr>
      <w:bookmarkStart w:id="244" w:name="主变储能与联络的共同作用"/>
      <w:r>
        <w:rPr>
          <w:rFonts w:ascii="Times New Roman" w:hAnsi="Times New Roman" w:eastAsia="方正仿宋_GBK"/>
          <w:b/>
          <w:sz w:val="26"/>
        </w:rPr>
        <w:t xml:space="preserve">5.5.2 主变、储能与联络的共同作用</w:t>
      </w:r>
      <w:bookmarkEnd w:id="244"/>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增加本地及承接侧容量，联络建设使不同站的余量能够用于支援，储能补充给定持续时间内的功率缺口。联络需要具备两端条件才能发挥作用：送端负荷可以切换，受端馈线和主变能够接收，中间通道能够承担相应功率。</w:t>
      </w:r>
    </w:p>
    <w:p>
      <w:pPr>
        <w:pStyle w:val="2"/>
        <w:widowControl/>
        <w:spacing w:line="348" w:lineRule="exact" w:before="0" w:after="0"/>
        <w:ind w:firstLine="480"/>
        <w:jc w:val="both"/>
      </w:pPr>
      <w:r>
        <w:rPr>
          <w:rFonts w:ascii="Times New Roman" w:hAnsi="Times New Roman" w:eastAsia="方正仿宋_GBK"/>
          <w:b w:val="0"/>
          <w:sz w:val="24"/>
        </w:rPr>
        <w:t xml:space="preserve">正常供电与N-1条件的转接任务分别校核。正常方式下未充分使用的线路，可能承担故障时的必要支援，正常负载率较低的主变，也可能用于承接邻站故障负荷。设备经济性应按共同约束下的整体方案判断。</w:t>
      </w:r>
    </w:p>
    <w:p>
      <w:pPr>
        <w:pStyle w:val="2"/>
        <w:widowControl/>
        <w:spacing w:line="348" w:lineRule="exact" w:before="0" w:after="0"/>
        <w:ind w:firstLine="480"/>
        <w:jc w:val="both"/>
      </w:pPr>
      <w:r>
        <w:rPr>
          <w:rFonts w:ascii="Times New Roman" w:hAnsi="Times New Roman" w:eastAsia="方正仿宋_GBK"/>
          <w:b w:val="0"/>
          <w:sz w:val="24"/>
        </w:rPr>
        <w:t xml:space="preserve">逐站结果显示，设备选择与站间任务相互衔接。翟山变的更换直接增加最大单台主变N-1后的剩余容量，邢楼变扩建第三台主变改变原有两台小容量主变的组合，保持原设备的站点则结合既有通道安排故障负荷。各站的建设方式由本地源荷、相邻站能力、可扩建位置与工程费用共同确定，区域费用下降最终对应这些具体措施的差异。</w:t>
      </w:r>
    </w:p>
    <w:p>
      <w:pPr>
        <w:pStyle w:val="5"/>
        <w:keepNext/>
        <w:numPr>
          <w:numId w:val="0"/>
        </w:numPr>
        <w:spacing w:line="390" w:lineRule="exact" w:before="160" w:after="120"/>
        <w:ind w:firstLine="0"/>
      </w:pPr>
      <w:bookmarkStart w:id="245" w:name="储能支撑与必要转供量"/>
      <w:r>
        <w:rPr>
          <w:rFonts w:ascii="Times New Roman" w:hAnsi="Times New Roman" w:eastAsia="方正仿宋_GBK"/>
          <w:b/>
          <w:sz w:val="26"/>
        </w:rPr>
        <w:t xml:space="preserve">5.5.3 储能支撑与必要转供量</w:t>
      </w:r>
      <w:bookmarkEnd w:id="245"/>
    </w:p>
    <w:p>
      <w:pPr>
        <w:pStyle w:val="FirstParagraph"/>
        <w:widowControl/>
        <w:spacing w:line="348" w:lineRule="exact" w:before="0" w:after="0"/>
        <w:ind w:firstLine="480"/>
        <w:jc w:val="both"/>
      </w:pPr>
      <w:r>
        <w:rPr>
          <w:rFonts w:ascii="Times New Roman" w:hAnsi="Times New Roman" w:eastAsia="方正仿宋_GBK"/>
          <w:b w:val="0"/>
          <w:sz w:val="24"/>
        </w:rPr>
        <w:t xml:space="preserve">邳州正向支撑持续时间为2 h，每柜有效功率0.08170 MW；市区为6 h，每柜约0.02723 MW。邳州弹性方案2025年储能额定功率3.60 MW、额定能量7.74 MWh，刚性方案分别为22.70 MW、48.81 MWh。市区两类方案均通过主变和网络满足本次静态支撑要求。</w:t>
      </w:r>
    </w:p>
    <w:p>
      <w:pPr>
        <w:pStyle w:val="2"/>
        <w:keepNext/>
        <w:spacing w:line="280" w:lineRule="exact" w:before="120" w:after="80"/>
        <w:ind w:firstLine="0"/>
        <w:jc w:val="center"/>
      </w:pPr>
      <w:r>
        <w:rPr>
          <w:rFonts w:ascii="Times New Roman" w:hAnsi="Times New Roman" w:eastAsia="宋体"/>
          <w:b w:val="0"/>
          <w:sz w:val="21"/>
        </w:rPr>
        <w:t xml:space="preserve">表5-62 逐年最大必要既有转供功率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正常最大/MW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N-1最大/MW</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70.10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85.90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12.70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72.55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70.10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85.90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12.70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72.55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50.17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46.76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53.79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62.82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50.17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46.50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53.79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62.82</w:t>
            </w:r>
          </w:p>
        </w:tc>
      </w:tr>
    </w:tbl>
    <w:p>
      <w:pPr>
        <w:pStyle w:val="2"/>
        <w:widowControl/>
        <w:spacing w:line="348" w:lineRule="exact" w:before="0" w:after="0"/>
        <w:ind w:firstLine="480"/>
        <w:jc w:val="both"/>
      </w:pPr>
      <w:r>
        <w:rPr>
          <w:rFonts w:ascii="Times New Roman" w:hAnsi="Times New Roman" w:eastAsia="方正仿宋_GBK"/>
          <w:b w:val="0"/>
          <w:sz w:val="24"/>
        </w:rPr>
        <w:t xml:space="preserve">表中固定设备方案后，以最小总通道转供功率计算必要转供，并分别列出正常和N-1工况中的最大既有转供量。既有网络支援在正常及故障工况下共同参与容量平衡，新增联络费用由实际建设项目计取。</w:t>
      </w:r>
    </w:p>
    <w:p>
      <w:pPr>
        <w:pStyle w:val="2"/>
        <w:widowControl/>
        <w:spacing w:line="348" w:lineRule="exact" w:before="0" w:after="0"/>
        <w:ind w:firstLine="480"/>
        <w:jc w:val="both"/>
      </w:pPr>
      <w:r>
        <w:rPr>
          <w:rFonts w:ascii="Times New Roman" w:hAnsi="Times New Roman" w:eastAsia="方正仿宋_GBK"/>
          <w:b w:val="0"/>
          <w:sz w:val="24"/>
        </w:rPr>
        <w:t xml:space="preserve">必要转供功率还说明既有网络的作用。市区弹性方案没有新增联络，仍需要在既有逐站额度和通道内安排正常及故障支援；刚性方案的5项新增工程是在相同既有网络基础上增加可用路径。邳州两类方案均建设联络，但储能和主变的站内分布不同，各年的必要转供任务随负荷及投运状态变化。比较新增工程时，应将已有网络提供的支援与新建通道形成的增量分别对应到方案。</w:t>
      </w:r>
    </w:p>
    <w:p>
      <w:pPr>
        <w:pStyle w:val="4"/>
        <w:keepNext/>
        <w:numPr>
          <w:numId w:val="0"/>
        </w:numPr>
        <w:spacing w:line="480" w:lineRule="exact" w:before="160" w:after="120"/>
        <w:ind w:firstLine="0"/>
      </w:pPr>
      <w:bookmarkStart w:id="1931" w:name="h931"/>
      <w:bookmarkStart w:id="246" w:name="六参数推广矩阵"/>
      <w:r>
        <w:rPr>
          <w:rFonts w:ascii="Times New Roman" w:hAnsi="Times New Roman" w:eastAsia="方正仿宋_GBK"/>
          <w:b/>
          <w:sz w:val="32"/>
        </w:rPr>
        <w:t xml:space="preserve">5.6 六参数推广矩阵</w:t>
      </w:r>
      <w:bookmarkEnd w:id="246"/>
      <w:bookmarkEnd w:id="1931"/>
    </w:p>
    <w:p>
      <w:pPr>
        <w:pStyle w:val="5"/>
        <w:keepNext/>
        <w:numPr>
          <w:numId w:val="0"/>
        </w:numPr>
        <w:spacing w:line="390" w:lineRule="exact" w:before="160" w:after="120"/>
        <w:ind w:firstLine="0"/>
      </w:pPr>
      <w:bookmarkStart w:id="247" w:name="参数组织与推广模型"/>
      <w:r>
        <w:rPr>
          <w:rFonts w:ascii="Times New Roman" w:hAnsi="Times New Roman" w:eastAsia="方正仿宋_GBK"/>
          <w:b/>
          <w:sz w:val="26"/>
        </w:rPr>
        <w:t xml:space="preserve">5.6.1 参数组织与推广模型</w:t>
      </w:r>
      <w:bookmarkEnd w:id="247"/>
    </w:p>
    <w:p>
      <w:pPr>
        <w:pStyle w:val="FirstParagraph"/>
        <w:widowControl/>
        <w:spacing w:line="348" w:lineRule="exact" w:before="0" w:after="0"/>
        <w:ind w:firstLine="480"/>
        <w:jc w:val="both"/>
      </w:pPr>
      <w:r>
        <w:rPr>
          <w:rFonts w:ascii="Times New Roman" w:hAnsi="Times New Roman" w:eastAsia="方正仿宋_GBK"/>
          <w:b w:val="0"/>
          <w:sz w:val="24"/>
        </w:rPr>
        <w:t xml:space="preserve">推广采用第3.5节全部六项参数：分布式电源装机渗透率、年最大净负荷平均增长率、电缆长度占比、初始转供率、储能支撑持续时间和负荷分散系数。参数的政策依据、采样节点和相关系数见第3.5节，本节将同一有效结果库归纳为容载比矩阵。</w:t>
      </w:r>
    </w:p>
    <w:p>
      <w:pPr>
        <w:pStyle w:val="2"/>
        <w:widowControl/>
        <w:spacing w:line="348" w:lineRule="exact" w:before="0" w:after="0"/>
        <w:ind w:firstLine="480"/>
        <w:jc w:val="both"/>
      </w:pPr>
      <w:r>
        <w:rPr>
          <w:rFonts w:ascii="Times New Roman" w:hAnsi="Times New Roman" w:eastAsia="方正仿宋_GBK"/>
          <w:b w:val="0"/>
          <w:sz w:val="24"/>
        </w:rPr>
        <w:t xml:space="preserve">五站模板每站初始两台50 MVA主变，基期网供峰值250 MW，目标时点为基期后第4年。主变允许规格、扩建位置、馈线和间隔条件进入承载约束，主变、储能和新增联络按共同评价期费用比选。</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acc>
                      <m:accPr>
                        <m:chr m:val="‾"/>
                      </m:accPr>
                      <m:e>
                        <m:r>
                          <m:rPr>
                            <m:nor m:val="1"/>
                          </m:rPr>
                          <w:rPr>
                            <w:rFonts w:ascii="Times New Roman" w:hAnsi="Times New Roman" w:cs="Times New Roman" w:eastAsia="方正仿宋_GBK"/>
                            <w:i w:val="1"/>
                            <w:iCs w:val="1"/>
                          </w:rPr>
                          <m:t>g</m:t>
                        </m:r>
                      </m:e>
                    </m:acc>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b>
                    </m:sSub>
                  </m:e>
                  <m:e>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y</m:t>
                        </m:r>
                      </m:sub>
                    </m:sSub>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0.30</m:t>
                    </m:r>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0.75</m:t>
                    </m:r>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G</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为基期后第4年的网供最大负荷，</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y</m:t>
            </m:r>
          </m:sub>
        </m:sSub>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晚峰及日间净负荷，单位MW；</w:t>
      </w:r>
      <m:oMath>
        <m:acc>
          <m:accPr>
            <m:chr m:val="‾"/>
          </m:accPr>
          <m:e>
            <m:r>
              <m:rPr>
                <m:nor m:val="1"/>
              </m:rPr>
              <w:rPr>
                <w:rFonts w:ascii="Times New Roman" w:hAnsi="Times New Roman" w:cs="Times New Roman" w:eastAsia="方正仿宋_GBK"/>
                <w:i w:val="1"/>
                <w:iCs w:val="1"/>
              </w:rPr>
              <m:t>g</m:t>
            </m:r>
          </m:e>
        </m:acc>
      </m:oMath>
      <w:r>
        <w:rPr>
          <w:rFonts w:ascii="Times New Roman" w:hAnsi="Times New Roman" w:eastAsia="方正仿宋_GBK"/>
          <w:b w:val="0"/>
          <w:sz w:val="24"/>
        </w:rPr>
        <w:t xml:space="preserve">为年最大净负荷平均增长率，</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oMath>
      <w:r>
        <w:rPr>
          <w:rFonts w:ascii="Times New Roman" w:hAnsi="Times New Roman" w:eastAsia="方正仿宋_GBK"/>
          <w:b w:val="0"/>
          <w:sz w:val="24"/>
        </w:rPr>
        <w:t xml:space="preserve">为装机渗透率；</w:t>
      </w:r>
      <m:oMath>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w:t>
      </w:r>
      <m:oMath>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G</m:t>
            </m:r>
          </m:sup>
        </m:sSubSup>
      </m:oMath>
      <w:r>
        <w:rPr>
          <w:rFonts w:ascii="Times New Roman" w:hAnsi="Times New Roman" w:eastAsia="方正仿宋_GBK"/>
          <w:b w:val="0"/>
          <w:sz w:val="24"/>
        </w:rPr>
        <w:t xml:space="preserve">分别为负荷、光伏分配权重，各自合计为1。晚峰光伏出力取零，日间负荷和光伏出力系数分别为0.30、0.75。</w:t>
      </w:r>
    </w:p>
    <w:p>
      <w:pPr>
        <w:pStyle w:val="2"/>
        <w:widowControl/>
        <w:spacing w:line="348" w:lineRule="exact" w:before="0" w:after="0"/>
        <w:ind w:firstLine="480"/>
        <w:jc w:val="both"/>
      </w:pPr>
      <w:r>
        <w:rPr>
          <w:rFonts w:ascii="Times New Roman" w:hAnsi="Times New Roman" w:eastAsia="方正仿宋_GBK"/>
          <w:b w:val="0"/>
          <w:sz w:val="24"/>
        </w:rPr>
        <w:t xml:space="preserve">负荷分散系数以各站局部高峰工况体现，每个工况的区域合计仍为同一规划时点峰值。既有相邻站环网按基期可实现转供率标定通道能力和馈线余量；新增联络可配置独立接收馈线，并受备用间隔限制。电缆长度占比按第4.3节折算线路费用。</w:t>
      </w:r>
    </w:p>
    <w:p>
      <w:pPr>
        <w:pStyle w:val="2"/>
        <w:keepNext/>
        <w:spacing w:line="280" w:lineRule="exact" w:before="120" w:after="80"/>
        <w:ind w:firstLine="0"/>
        <w:jc w:val="center"/>
      </w:pPr>
      <w:r>
        <w:rPr>
          <w:rFonts w:ascii="Times New Roman" w:hAnsi="Times New Roman" w:eastAsia="宋体"/>
          <w:b w:val="0"/>
          <w:sz w:val="21"/>
        </w:rPr>
        <w:t xml:space="preserve">表5-63 五站推广模板</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4156"/>
        <w:gridCol w:w="4156"/>
      </w:tblGrid>
      <w:tr>
        <w:trPr>
          <w:cantSplit/>
          <w:tblHeader/>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设置</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初始设备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5站，每站2×50 MVA；按位置允许升档和扩建第三台50 MVA</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基期网供峰值/目标时点</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 MW/基期后第4年</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负荷权重</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0.10、0.15、0.20、0.25、0.30</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光伏权重</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0.08、0.14、0.18、0.25、0.35</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日间负荷系数/光伏出力系数</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0.30/0.75</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既有网络</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相邻站环网；按基期可实现转供率标定通道和馈线余量</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新增联络</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单项3 km、7.49 MW；允许独立接收馈线，备用间隔按站限制</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经济参数</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第四章统一工程价格与评价期费用</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由满足正常及N-1约束、按费用目标比选的可行设备方案计算</w:t>
            </w:r>
          </w:p>
        </w:tc>
      </w:tr>
    </w:tbl>
    <w:p>
      <w:pPr>
        <w:pStyle w:val="5"/>
        <w:keepNext/>
        <w:numPr>
          <w:numId w:val="0"/>
        </w:numPr>
        <w:spacing w:line="390" w:lineRule="exact" w:before="160" w:after="120"/>
        <w:ind w:firstLine="0"/>
      </w:pPr>
      <w:bookmarkStart w:id="248" w:name="矩阵结果与查表方法"/>
      <w:r>
        <w:rPr>
          <w:rFonts w:ascii="Times New Roman" w:hAnsi="Times New Roman" w:eastAsia="方正仿宋_GBK"/>
          <w:b/>
          <w:sz w:val="26"/>
        </w:rPr>
        <w:t xml:space="preserve">5.6.2 矩阵结果与查表方法</w:t>
      </w:r>
      <w:bookmarkEnd w:id="248"/>
    </w:p>
    <w:p>
      <w:pPr>
        <w:pStyle w:val="FirstParagraph"/>
        <w:widowControl/>
        <w:spacing w:line="348" w:lineRule="exact" w:before="0" w:after="0"/>
        <w:ind w:firstLine="480"/>
        <w:jc w:val="both"/>
      </w:pPr>
      <w:r>
        <w:rPr>
          <w:rFonts w:ascii="Times New Roman" w:hAnsi="Times New Roman" w:eastAsia="方正仿宋_GBK"/>
          <w:b w:val="0"/>
          <w:sz w:val="24"/>
        </w:rPr>
        <w:t xml:space="preserve">六项参数共设置34686个组合，其中32112个有效组合形成容载比区间。按电缆长度占比三档、储能支撑持续时间三个定值和负荷分散系数三个定值分为27张表，每表以平均增长率和装机渗透率构成12行、初始转供率构成4列，共1296个单元。每个单元包含2～60个有效样本，容载比区间总体为1.36～3.15。</w:t>
      </w:r>
    </w:p>
    <w:p>
      <w:pPr>
        <w:pStyle w:val="2"/>
        <w:widowControl/>
        <w:spacing w:line="348" w:lineRule="exact" w:before="0" w:after="0"/>
        <w:ind w:firstLine="480"/>
        <w:jc w:val="both"/>
      </w:pPr>
      <w:r>
        <w:rPr>
          <w:rFonts w:ascii="Times New Roman" w:hAnsi="Times New Roman" w:eastAsia="方正仿宋_GBK"/>
          <w:b w:val="0"/>
          <w:sz w:val="24"/>
        </w:rPr>
        <w:t xml:space="preserve">查表先确定电缆长度占比档、储能支撑持续时间和负荷分散系数，再按平均增长率、装机渗透率选行，按初始转供率选列。表内为对应有效节点的容载比有限范围，源荷与转供参数采用首尾开口分类，时间及分散系数按表题所列定值使用。</w:t>
      </w:r>
    </w:p>
    <w:p>
      <w:pPr>
        <w:pStyle w:val="2"/>
        <w:keepNext/>
        <w:spacing w:line="280" w:lineRule="exact" w:before="120" w:after="80"/>
        <w:ind w:firstLine="0"/>
        <w:jc w:val="center"/>
      </w:pPr>
      <w:r>
        <w:rPr>
          <w:rFonts w:ascii="Times New Roman" w:hAnsi="Times New Roman" w:eastAsia="宋体"/>
          <w:b w:val="0"/>
          <w:sz w:val="21"/>
        </w:rPr>
        <w:t xml:space="preserve">表5-64 电缆长度占比≤10%，储能支撑2 h，负荷分散系数1.00</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2.20～3.04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1.70～2.26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2.25～2.81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2.25～2.60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2.25～2.60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1.67～1.99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1.67～2.17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1.52～1.87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2.01～2.54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2.01～2.54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1.36～1.48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1.50～1.95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1.47～1.95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表5-65 电缆长度占比≤10%，储能支撑2 h，负荷分散系数1.10</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1.88～2.14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1.88～2.26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2.25～2.81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2.25～2.60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2.25～2.60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1.67～2.17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1.52～1.94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1.52～1.87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2.01～2.54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1.50～1.64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1.50～1.95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表5-66 电缆长度占比≤10%，储能支撑2 h，负荷分散系数1.15</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1.95～2.26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2.25～2.69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2.25～2.60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1.77～2.17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1.61～2.02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1.52～1.87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2.01～2.54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1.94～1.98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1.94～1.98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1.50～1.95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表5-67 电缆长度占比≤10%，储能支撑4 h，负荷分散系数1.00</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2.31～3.04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1.70～2.26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2.25～2.81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1.52～1.87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2.01～2.54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2.01～2.54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1.36～1.48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1.47～1.95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表5-68 电缆长度占比≤10%，储能支撑4 h，负荷分散系数1.10</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2.43～3.15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1.88～2.43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1.67～2.17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1.52～1.87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2.01～2.54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1.50～1.64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1.50～1.95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表5-69 电缆长度占比≤10%，储能支撑4 h，负荷分散系数1.15</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2.43～3.15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2.20～2.91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1.95～2.43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1.77～2.17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1.61～2.03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1.52～1.87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2.01～2.54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1.97～2.03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1.97～2.03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1.61～1.95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表5-70 电缆长度占比≤10%，储能支撑6 h，负荷分散系数1.00</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2.31～3.04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2.31～2.84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2.31～2.84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2.31～2.84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1.70～2.26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2.25～2.81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1.52～2.02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2.01～2.54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2.01～2.54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1.47～1.51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1.36～1.48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1.47～1.95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表5-71 电缆长度占比≤10%，储能支撑6 h，负荷分散系数1.10</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2.43～3.15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2.31～2.91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2.31～2.84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2.31～2.84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1.88～2.43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1.67～2.17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1.52～2.02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2.39～2.65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2.01～2.54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1.50～1.64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1.50～1.95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表5-72 电缆长度占比≤10%，储能支撑6 h，负荷分散系数1.15</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2.43～3.15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2.31～2.91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2.31～2.84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2.31～2.84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1.95～2.32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1.95～2.43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2.06～2.10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2.06～2.30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1.77～2.17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1.61～2.03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1.52～2.02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2.39～2.65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2.01～2.54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1.47～1.95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表5-73 电缆长度占比(10%,30%]，储能支撑2 h，负荷分散系数1.00</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2.20～3.04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1.70～2.26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2.25～2.81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1.67～1.99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1.67～2.17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1.61～2.03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1.52～1.87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2.01～2.54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2.01～2.54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1.47～1.51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1.36～1.48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1.47～1.95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表5-74 电缆长度占比(10%,30%]，储能支撑2 h，负荷分散系数1.10</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1.88～2.14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1.88～2.26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1.67～2.17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1.52～1.87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2.01～2.54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1.50～1.64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1.50～1.95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表5-75 电缆长度占比(10%,30%]，储能支撑2 h，负荷分散系数1.15</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1.95～2.26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1.77～2.17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1.61～2.02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1.52～1.87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2.01～2.54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1.94～1.98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1.94～1.98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1.61～1.95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表5-76 电缆长度占比(10%,30%]，储能支撑4 h，负荷分散系数1.00</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2.43～3.04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2.30～2.84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1.70～2.26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2.25～2.81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1.61～2.03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1.52～1.87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2.01～2.54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2.01～2.54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1.47～1.51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1.36～1.48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1.47～1.95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表5-77 电缆长度占比(10%,30%]，储能支撑4 h，负荷分散系数1.10</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2.43～3.15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2.30～2.91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2.30～2.84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1.88～2.43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1.67～2.17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1.52～1.87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2.01～2.54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1.50～1.64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1.50～1.95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表5-78 电缆长度占比(10%,30%]，储能支撑4 h，负荷分散系数1.15</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2.43～3.15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2.30～2.91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2.30～2.84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1.95～2.43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1.77～2.17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1.61～2.03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1.52～1.87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2.01～2.54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1.97～2.03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1.97～2.03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1.61～1.95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表5-79 电缆长度占比(10%,30%]，储能支撑6 h，负荷分散系数1.00</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2.43～3.04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2.31～2.84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2.31～2.84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2.31～2.84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1.70～2.26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2.25～2.81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1.61～2.03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1.52～2.02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2.01～2.54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2.01～2.54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1.47～1.51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1.36～1.48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1.47～1.95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1.47～1.95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表5-80 电缆长度占比(10%,30%]，储能支撑6 h，负荷分散系数1.10</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2.43～3.15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2.31～2.91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2.31～2.84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2.31～2.84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1.88～2.43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1.67～2.17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1.52～2.02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2.39～2.65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2.01～2.54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1.50～1.64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1.50～1.95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1.47～1.95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表5-81 电缆长度占比(10%,30%]，储能支撑6 h，负荷分散系数1.15</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2.43～3.15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2.31～2.91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2.31～2.84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2.31～2.84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1.95～2.32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1.95～2.43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2.06～2.10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2.06～2.30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1.61～2.03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1.52～2.02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2.39～2.65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2.01～2.54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1.47～1.95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表5-82 电缆长度占比&gt;30%，储能支撑2 h，负荷分散系数1.00</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2.20～3.04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1.77～2.26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2.25～2.81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1.77～2.17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1.61～2.14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1.61～2.14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1.52～2.14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1.50～1.62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1.36～1.62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1.50～1.95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表5-83 电缆长度占比&gt;30%，储能支撑2 h，负荷分散系数1.10</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1.88～2.14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1.88～2.26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1.52～1.78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1.61～2.17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1.52～2.14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1.36～1.62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表5-84 电缆长度占比&gt;30%，储能支撑2 h，负荷分散系数1.15</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1.70～1.89</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1.95～2.26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2.25～2.81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1.52～1.78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1.67～2.17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1.52～2.14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1.94～1.98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1.36～1.62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1.94～1.98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表5-85 电缆长度占比&gt;30%，储能支撑4 h，负荷分散系数1.00</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2.43～3.04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2.43～2.84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2.43～2.84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2.43～2.84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1.77～2.26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2.25～2.81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1.61～2.14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1.61～2.14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1.52～2.14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1.50～1.62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1.36～1.62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1.50～1.95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1.47～1.95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表5-86 电缆长度占比&gt;30%，储能支撑4 h，负荷分散系数1.10</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2.43～3.15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2.43～2.91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2.43～2.84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2.43～2.84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1.88～2.43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2.25～2.81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1.52～1.78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1.61～2.17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1.52～2.14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1.36～1.62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1.47～1.95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表5-87 电缆长度占比&gt;30%，储能支撑4 h，负荷分散系数1.15</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2.43～3.15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2.43～2.91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2.43～2.84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2.43～2.84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1.70～1.89</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2.13～2.43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2.25～2.81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1.67～1.94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1.52～1.78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1.52～2.14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1.97～2.03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1.36～1.62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1.97～2.03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1.47～1.95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2.24～2.59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表5-88 电缆长度占比&gt;30%，储能支撑6 h，负荷分散系数1.00</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2.43～3.15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2.43～2.84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2.43～2.84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2.43～2.84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1.77～2.26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2.25～2.81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1.61～2.14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1.61～2.14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1.52～2.14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1.50～1.62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1.36～1.62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1.50～1.95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1.47～1.95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表5-89 电缆长度占比&gt;30%，储能支撑6 h，负荷分散系数1.10</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2.43～3.15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2.43～2.91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2.43～2.84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2.43～2.84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1.88～2.43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2.25～2.81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1.52～1.78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1.61～2.17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1.52～2.14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2.39～2.65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1.36～1.62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1.47～1.95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表5-90 电缆长度占比&gt;30%，储能支撑6 h，负荷分散系数1.15</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2.43～3.15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2.43～2.91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2.43～2.84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2.43～2.84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2.13～2.32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1.70～1.89</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2.13～2.43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1.77～2.32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2.25～2.81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2.06～2.10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1.67～1.94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1.52～1.78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2.06～2.30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1.52～2.14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2.39～2.65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1.36～1.62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1.47～1.95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2.24～2.59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1.80～2.42</w:t>
            </w:r>
          </w:p>
        </w:tc>
      </w:tr>
    </w:tbl>
    <w:p>
      <w:pPr>
        <w:pStyle w:val="5"/>
        <w:keepNext/>
        <w:numPr>
          <w:numId w:val="0"/>
        </w:numPr>
        <w:spacing w:line="390" w:lineRule="exact" w:before="160" w:after="120"/>
        <w:ind w:firstLine="0"/>
      </w:pPr>
      <w:bookmarkStart w:id="249" w:name="参数关联对应的设备变化"/>
      <w:r>
        <w:rPr>
          <w:rFonts w:ascii="Times New Roman" w:hAnsi="Times New Roman" w:eastAsia="方正仿宋_GBK"/>
          <w:b/>
          <w:sz w:val="26"/>
        </w:rPr>
        <w:t xml:space="preserve">5.6.3 参数关联对应的设备变化</w:t>
      </w:r>
      <w:bookmarkEnd w:id="249"/>
    </w:p>
    <w:p>
      <w:pPr>
        <w:pStyle w:val="FirstParagraph"/>
        <w:widowControl/>
        <w:spacing w:line="348" w:lineRule="exact" w:before="0" w:after="0"/>
        <w:ind w:firstLine="480"/>
        <w:jc w:val="both"/>
      </w:pPr>
      <w:r>
        <w:rPr>
          <w:rFonts w:ascii="Times New Roman" w:hAnsi="Times New Roman" w:eastAsia="方正仿宋_GBK"/>
          <w:b w:val="0"/>
          <w:sz w:val="24"/>
        </w:rPr>
        <w:t xml:space="preserve">第3.5节组内相关显示，装机渗透率增加主要提高反向容量需求，初始转供率提高通常减少本地容量或新增工程需求。平均增长率同时改变规划时点负荷和设备配置，容载比随容量离散投运呈阶段变化。电缆长度占比、支撑时间及负荷分散系数则在部分组合中触发设备替代。</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321880"/>
            <wp:effectExtent b="0" l="0" r="0" t="0"/>
            <wp:docPr descr="" title="" id="1" name="Picture"/>
            <a:graphic>
              <a:graphicData uri="http://schemas.openxmlformats.org/drawingml/2006/picture">
                <pic:pic>
                  <pic:nvPicPr>
                    <pic:cNvPr descr="研究报告/02图表/当前版/planning_tier_heatmap.png" id="0" name="Picture"/>
                    <pic:cNvPicPr>
                      <a:picLocks noChangeArrowheads="1" noChangeAspect="1"/>
                    </pic:cNvPicPr>
                  </pic:nvPicPr>
                  <pic:blipFill>
                    <a:blip r:embed="rId250"/>
                    <a:stretch>
                      <a:fillRect/>
                    </a:stretch>
                  </pic:blipFill>
                  <pic:spPr bwMode="auto">
                    <a:xfrm>
                      <a:off x="0" y="0"/>
                      <a:ext cx="5120640" cy="3321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图5-4 装机渗透率与年最大净负荷平均增长率对应的容载比</w:t>
      </w:r>
    </w:p>
    <w:p>
      <w:pPr>
        <w:pStyle w:val="2"/>
        <w:widowControl/>
        <w:spacing w:line="348" w:lineRule="exact" w:before="0" w:after="0"/>
        <w:ind w:firstLine="480"/>
        <w:jc w:val="both"/>
      </w:pPr>
      <w:r>
        <w:rPr>
          <w:rFonts w:ascii="Times New Roman" w:hAnsi="Times New Roman" w:eastAsia="方正仿宋_GBK"/>
          <w:b w:val="0"/>
          <w:sz w:val="24"/>
        </w:rPr>
        <w:t xml:space="preserve">图中固定电缆长度占比10%、初始转供率40%、储能支撑持续时间4 h和负荷分散系数1.10，显示同一组背景下源荷条件的作用。</w:t>
      </w:r>
    </w:p>
    <w:p>
      <w:pPr>
        <w:pStyle w:val="5"/>
        <w:keepNext/>
        <w:numPr>
          <w:numId w:val="0"/>
        </w:numPr>
        <w:spacing w:line="390" w:lineRule="exact" w:before="160" w:after="120"/>
        <w:ind w:firstLine="0"/>
      </w:pPr>
      <w:bookmarkStart w:id="251" w:name="固定源荷条件下的转供序列"/>
      <w:r>
        <w:rPr>
          <w:rFonts w:ascii="Times New Roman" w:hAnsi="Times New Roman" w:eastAsia="方正仿宋_GBK"/>
          <w:b/>
          <w:sz w:val="26"/>
        </w:rPr>
        <w:t xml:space="preserve">5.6.4 固定源荷条件下的转供序列</w:t>
      </w:r>
      <w:bookmarkEnd w:id="251"/>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固定装机渗透率1.50、平均增长率4%、电缆长度占比10%、储能支撑持续时间4 h和负荷分散系数1.10，比较10%～90%的完整初始转供率序列。</w:t>
      </w:r>
    </w:p>
    <w:p>
      <w:pPr>
        <w:pStyle w:val="2"/>
        <w:keepNext/>
        <w:spacing w:line="280" w:lineRule="exact" w:before="120" w:after="80"/>
        <w:ind w:firstLine="0"/>
        <w:jc w:val="center"/>
      </w:pPr>
      <w:r>
        <w:rPr>
          <w:rFonts w:ascii="Times New Roman" w:hAnsi="Times New Roman" w:eastAsia="宋体"/>
          <w:b w:val="0"/>
          <w:sz w:val="21"/>
        </w:rPr>
        <w:t xml:space="preserve">表5-91 固定源荷和线路条件下的转供率比较</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5348.03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4967.43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2104.89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1984.06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1621.57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1500.74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70%、80%、90%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1379.91</w:t>
            </w:r>
          </w:p>
        </w:tc>
      </w:tr>
    </w:tbl>
    <w:p>
      <w:pPr>
        <w:pStyle w:val="2"/>
        <w:widowControl/>
        <w:spacing w:line="348" w:lineRule="exact" w:before="0" w:after="0"/>
        <w:ind w:firstLine="480"/>
        <w:jc w:val="both"/>
      </w:pPr>
      <w:r>
        <w:rPr>
          <w:rFonts w:ascii="Times New Roman" w:hAnsi="Times New Roman" w:eastAsia="方正仿宋_GBK"/>
          <w:b w:val="0"/>
          <w:sz w:val="24"/>
        </w:rPr>
        <w:t xml:space="preserve">10%～30%转供率之间发生主变配置切换，其中20%节点以储能补充局部缺口。30%及以上节点保持550.00 MVA、无储能的配置，新增联络随既有转供能力提高而减少，70%及以上节点采用相同设备方案。对应的容量变化集中于低转供阶段，后续改善主要表现为联络建设费用下降。</w:t>
      </w:r>
    </w:p>
    <w:p>
      <w:pPr>
        <w:pStyle w:val="5"/>
        <w:keepNext/>
        <w:numPr>
          <w:numId w:val="0"/>
        </w:numPr>
        <w:spacing w:line="390" w:lineRule="exact" w:before="160" w:after="120"/>
        <w:ind w:firstLine="0"/>
      </w:pPr>
      <w:bookmarkStart w:id="252" w:name="装机渗透率与双向容量需求"/>
      <w:r>
        <w:rPr>
          <w:rFonts w:ascii="Times New Roman" w:hAnsi="Times New Roman" w:eastAsia="方正仿宋_GBK"/>
          <w:b/>
          <w:sz w:val="26"/>
        </w:rPr>
        <w:t xml:space="preserve">5.6.5 装机渗透率与双向容量需求</w:t>
      </w:r>
      <w:bookmarkEnd w:id="252"/>
    </w:p>
    <w:p>
      <w:pPr>
        <w:pStyle w:val="FirstParagraph"/>
        <w:widowControl/>
        <w:spacing w:line="348" w:lineRule="exact" w:before="0" w:after="0"/>
        <w:ind w:firstLine="480"/>
        <w:jc w:val="both"/>
      </w:pPr>
      <w:r>
        <w:rPr>
          <w:rFonts w:ascii="Times New Roman" w:hAnsi="Times New Roman" w:eastAsia="方正仿宋_GBK"/>
          <w:b w:val="0"/>
          <w:sz w:val="24"/>
        </w:rPr>
        <w:t xml:space="preserve">固定平均增长率4%、电缆长度占比10%、初始转供率40%、储能支撑持续时间4 h和负荷分散系数1.10，读取装机渗透率0～3.00、步长0.25的完整序列。</w:t>
      </w:r>
    </w:p>
    <w:p>
      <w:pPr>
        <w:pStyle w:val="2"/>
        <w:keepNext/>
        <w:spacing w:line="280" w:lineRule="exact" w:before="120" w:after="80"/>
        <w:ind w:firstLine="0"/>
        <w:jc w:val="center"/>
      </w:pPr>
      <w:r>
        <w:rPr>
          <w:rFonts w:ascii="Times New Roman" w:hAnsi="Times New Roman" w:eastAsia="宋体"/>
          <w:b w:val="0"/>
          <w:sz w:val="21"/>
        </w:rPr>
        <w:t xml:space="preserve">表5-92 装机渗透率对应的设备配置变化</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1984.06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2483.72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5720.12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6693.98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15745.19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29449.91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129.20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40296.03</w:t>
            </w:r>
          </w:p>
        </w:tc>
      </w:tr>
    </w:tbl>
    <w:p>
      <w:pPr>
        <w:pStyle w:val="2"/>
        <w:widowControl/>
        <w:spacing w:line="348" w:lineRule="exact" w:before="0" w:after="0"/>
        <w:ind w:firstLine="480"/>
        <w:jc w:val="both"/>
      </w:pPr>
      <w:r>
        <w:rPr>
          <w:rFonts w:ascii="Times New Roman" w:hAnsi="Times New Roman" w:eastAsia="方正仿宋_GBK"/>
          <w:b w:val="0"/>
          <w:sz w:val="24"/>
        </w:rPr>
        <w:t xml:space="preserve">注：0～1.50合并表示该范围内步长0.25的采样节点采用相同方案。</w:t>
      </w:r>
    </w:p>
    <w:p>
      <w:pPr>
        <w:pStyle w:val="2"/>
        <w:widowControl/>
        <w:spacing w:line="348" w:lineRule="exact" w:before="0" w:after="0"/>
        <w:ind w:firstLine="480"/>
        <w:jc w:val="both"/>
      </w:pPr>
      <w:r>
        <w:rPr>
          <w:rFonts w:ascii="Times New Roman" w:hAnsi="Times New Roman" w:eastAsia="方正仿宋_GBK"/>
          <w:b w:val="0"/>
          <w:sz w:val="24"/>
        </w:rPr>
        <w:t xml:space="preserve">在0～1.50的已采样节点中，主变及联络配置保持一致，晚间正向供电任务决定该段的基础设备规模。装机渗透率达到1.75时先出现储能，主变容量仍保持550.00 MVA，说明反向缺口开始通过局部补充措施解决。达到2.00时主变升至626.00 MVA，设备选择进入另一组合。更高装机节点同时增加主变与储能，至3.00节点主变达到820.00 MVA、储能额定功率129.20 MW，容量候选和反向需求共同影响费用。</w:t>
      </w:r>
    </w:p>
    <w:p>
      <w:pPr>
        <w:pStyle w:val="2"/>
        <w:widowControl/>
        <w:spacing w:line="348" w:lineRule="exact" w:before="0" w:after="0"/>
        <w:ind w:firstLine="480"/>
        <w:jc w:val="both"/>
      </w:pPr>
      <w:r>
        <w:rPr>
          <w:rFonts w:ascii="Times New Roman" w:hAnsi="Times New Roman" w:eastAsia="方正仿宋_GBK"/>
          <w:b w:val="0"/>
          <w:sz w:val="24"/>
        </w:rPr>
        <w:t xml:space="preserve">这一序列解释了第3.5节装机渗透率正相关的工程来源。光伏装机增加先改变日间净负荷，只有进入现有主变及网络难以承担的区段，才触发设备变化。转供调整用电负荷归属，电源保留原站；在反向工况，向其他站转出用电负荷可能加大本地反送，因此正向转供方式与反向吸收方式需分别校核。主变、储能和联络的组合应随功率方向落实[7]。</w:t>
      </w:r>
    </w:p>
    <w:p>
      <w:pPr>
        <w:pStyle w:val="5"/>
        <w:keepNext/>
        <w:numPr>
          <w:numId w:val="0"/>
        </w:numPr>
        <w:spacing w:line="390" w:lineRule="exact" w:before="160" w:after="120"/>
        <w:ind w:firstLine="0"/>
      </w:pPr>
      <w:bookmarkStart w:id="253" w:name="平均增长率与容量储备消耗"/>
      <w:r>
        <w:rPr>
          <w:rFonts w:ascii="Times New Roman" w:hAnsi="Times New Roman" w:eastAsia="方正仿宋_GBK"/>
          <w:b/>
          <w:sz w:val="26"/>
        </w:rPr>
        <w:t xml:space="preserve">5.6.6 平均增长率与容量储备消耗</w:t>
      </w:r>
      <w:bookmarkEnd w:id="253"/>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固定装机渗透率1.50、电缆长度占比10%、初始转供率40%、支撑持续时间4 h及负荷分散系数1.10，比较锁定库中相应的八个增长节点。</w:t>
      </w:r>
    </w:p>
    <w:p>
      <w:pPr>
        <w:pStyle w:val="2"/>
        <w:keepNext/>
        <w:spacing w:line="280" w:lineRule="exact" w:before="120" w:after="80"/>
        <w:ind w:firstLine="0"/>
        <w:jc w:val="center"/>
      </w:pPr>
      <w:r>
        <w:rPr>
          <w:rFonts w:ascii="Times New Roman" w:hAnsi="Times New Roman" w:eastAsia="宋体"/>
          <w:b w:val="0"/>
          <w:sz w:val="21"/>
        </w:rPr>
        <w:t xml:space="preserve">表5-93 平均增长率对应的容量及工程变化</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1379.91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1621.57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1742.40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1984.06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2390.00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3726.46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6564.58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676.00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7704.18</w:t>
            </w:r>
          </w:p>
        </w:tc>
      </w:tr>
    </w:tbl>
    <w:p>
      <w:pPr>
        <w:pStyle w:val="2"/>
        <w:widowControl/>
        <w:spacing w:line="348" w:lineRule="exact" w:before="0" w:after="0"/>
        <w:ind w:firstLine="480"/>
        <w:jc w:val="both"/>
      </w:pPr>
      <w:r>
        <w:rPr>
          <w:rFonts w:ascii="Times New Roman" w:hAnsi="Times New Roman" w:eastAsia="方正仿宋_GBK"/>
          <w:b w:val="0"/>
          <w:sz w:val="24"/>
        </w:rPr>
        <w:t xml:space="preserve">从零增长至4%的节点，主变均为550.00 MVA。负荷增长逐步消耗该容量的储备，容载比下降，同时通过增加联络满足局部供电要求。5.5%节点仍保持同一主变容量，以少量储能补充缺口，7%节点主变升至600.00 MVA，容载比出现回升。8%、10%节点继续采用不同主变组合，表明容量以整台设备离散投运，容载比在连续增长条件下可以呈阶段波动。</w:t>
      </w:r>
    </w:p>
    <w:p>
      <w:pPr>
        <w:pStyle w:val="2"/>
        <w:widowControl/>
        <w:spacing w:line="348" w:lineRule="exact" w:before="0" w:after="0"/>
        <w:ind w:firstLine="480"/>
        <w:jc w:val="both"/>
      </w:pPr>
      <w:r>
        <w:rPr>
          <w:rFonts w:ascii="Times New Roman" w:hAnsi="Times New Roman" w:eastAsia="方正仿宋_GBK"/>
          <w:b w:val="0"/>
          <w:sz w:val="24"/>
        </w:rPr>
        <w:t xml:space="preserve">平均增长率与容载比的负相关应联系这些容量和负荷的共同变化。较高增长节点的容载比可以较低，但主变规模、联络数量或费用仍可能更高；相同主变规模下，比值下降首先表示负荷分母增加。地区案例保留真实逐年负荷与建设时序，推广模板则比较基期后第4年的配置，两者分别回答建设时点和给定发展水平下的规模问题。</w:t>
      </w:r>
    </w:p>
    <w:p>
      <w:pPr>
        <w:pStyle w:val="5"/>
        <w:keepNext/>
        <w:numPr>
          <w:numId w:val="0"/>
        </w:numPr>
        <w:spacing w:line="390" w:lineRule="exact" w:before="160" w:after="120"/>
        <w:ind w:firstLine="0"/>
      </w:pPr>
      <w:bookmarkStart w:id="254" w:name="电缆长度占比与联络主变替代"/>
      <w:r>
        <w:rPr>
          <w:rFonts w:ascii="Times New Roman" w:hAnsi="Times New Roman" w:eastAsia="方正仿宋_GBK"/>
          <w:b/>
          <w:sz w:val="26"/>
        </w:rPr>
        <w:t xml:space="preserve">5.6.7 电缆长度占比与联络、主变替代</w:t>
      </w:r>
      <w:bookmarkEnd w:id="254"/>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固定装机渗透率2.50、平均增长率4%、初始转供率70%、支撑持续时间4 h和负荷分散系数1.10，读取10%、30%、50%、80%、90%电缆长度占比节点。全部节点采用相同的单位线路能力和候选网络，费用按第四章长度加权关系计算。</w:t>
      </w:r>
    </w:p>
    <w:p>
      <w:pPr>
        <w:pStyle w:val="2"/>
        <w:keepNext/>
        <w:spacing w:line="280" w:lineRule="exact" w:before="120" w:after="80"/>
        <w:ind w:firstLine="0"/>
        <w:jc w:val="center"/>
      </w:pPr>
      <w:r>
        <w:rPr>
          <w:rFonts w:ascii="Times New Roman" w:hAnsi="Times New Roman" w:eastAsia="宋体"/>
          <w:b w:val="0"/>
          <w:sz w:val="21"/>
        </w:rPr>
        <w:t xml:space="preserve">表5-94 电缆长度占比对应的造价与设备切换</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10%、30%、50%、80%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12680.32～14900.59</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15147.71</w:t>
            </w:r>
          </w:p>
        </w:tc>
      </w:tr>
    </w:tbl>
    <w:p>
      <w:pPr>
        <w:pStyle w:val="2"/>
        <w:widowControl/>
        <w:spacing w:line="348" w:lineRule="exact" w:before="0" w:after="0"/>
        <w:ind w:firstLine="480"/>
        <w:jc w:val="both"/>
      </w:pPr>
      <w:r>
        <w:rPr>
          <w:rFonts w:ascii="Times New Roman" w:hAnsi="Times New Roman" w:eastAsia="方正仿宋_GBK"/>
          <w:b w:val="0"/>
          <w:sz w:val="24"/>
        </w:rPr>
        <w:t xml:space="preserve">注：首行四个节点配置相同，费用范围对应四个已计算节点。</w:t>
      </w:r>
    </w:p>
    <w:p>
      <w:pPr>
        <w:pStyle w:val="2"/>
        <w:widowControl/>
        <w:spacing w:line="348" w:lineRule="exact" w:before="0" w:after="0"/>
        <w:ind w:firstLine="480"/>
        <w:jc w:val="both"/>
      </w:pPr>
      <w:r>
        <w:rPr>
          <w:rFonts w:ascii="Times New Roman" w:hAnsi="Times New Roman" w:eastAsia="方正仿宋_GBK"/>
          <w:b w:val="0"/>
          <w:sz w:val="24"/>
        </w:rPr>
        <w:t xml:space="preserve">10%～80%范围内的四个已采样节点采用相同设备，费用增加来自同一组新增联络的造价变化，而90%节点则将主变由660.00 MVA提高至710.00 MVA，新增联络由7项减少为4项，储能配置保持28.00 MW。高电缆占比下新增联络较贵，费用比选转向更多站内容量，形成主变与联络的替代。该变化具有明确的项目费用依据。</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与初始转供率在本次库中的相关系数为0.28，但两者分别作用于造价和既有网络能力。上述比较固定转供率，用于识别造价引起的设备切换，第5.6.4节则固定线路条件，观察既有能力改善带来的新增工程减少。两组受控结果结合参数间统计关联，解释各项输入的规划作用。</w:t>
      </w:r>
    </w:p>
    <w:p>
      <w:pPr>
        <w:pStyle w:val="5"/>
        <w:keepNext/>
        <w:numPr>
          <w:numId w:val="0"/>
        </w:numPr>
        <w:spacing w:line="390" w:lineRule="exact" w:before="160" w:after="120"/>
        <w:ind w:firstLine="0"/>
      </w:pPr>
      <w:bookmarkStart w:id="255" w:name="储能持续时间与有效功率配置"/>
      <w:r>
        <w:rPr>
          <w:rFonts w:ascii="Times New Roman" w:hAnsi="Times New Roman" w:eastAsia="方正仿宋_GBK"/>
          <w:b/>
          <w:sz w:val="26"/>
        </w:rPr>
        <w:t xml:space="preserve">5.6.8 储能持续时间与有效功率配置</w:t>
      </w:r>
      <w:bookmarkEnd w:id="255"/>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固定装机渗透率2.50、平均增长率4%、电缆长度占比10%、初始转供率40%和负荷分散系数1.10，分别读取2、4、6 h三个定值。三组主变均为710.00 MVA，新增联络均为8项，储能有效支撑功率约14.38 MW。</w:t>
      </w:r>
    </w:p>
    <w:p>
      <w:pPr>
        <w:pStyle w:val="2"/>
        <w:keepNext/>
        <w:spacing w:line="280" w:lineRule="exact" w:before="120" w:after="80"/>
        <w:ind w:firstLine="0"/>
        <w:jc w:val="center"/>
      </w:pPr>
      <w:r>
        <w:rPr>
          <w:rFonts w:ascii="Times New Roman" w:hAnsi="Times New Roman" w:eastAsia="宋体"/>
          <w:b w:val="0"/>
          <w:sz w:val="21"/>
        </w:rPr>
        <w:t xml:space="preserve">表5-95 固定主变及联络配置下的储能持续时间比较</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储能支撑持续时间/h</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储能额定能量/MWh</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37.84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11921.75</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75.68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15745.19</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52.80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113.52</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19568.63</w:t>
            </w:r>
          </w:p>
        </w:tc>
      </w:tr>
    </w:tbl>
    <w:p>
      <w:pPr>
        <w:pStyle w:val="2"/>
        <w:widowControl/>
        <w:spacing w:line="348" w:lineRule="exact" w:before="0" w:after="0"/>
        <w:ind w:firstLine="480"/>
        <w:jc w:val="both"/>
      </w:pPr>
      <w:r>
        <w:rPr>
          <w:rFonts w:ascii="Times New Roman" w:hAnsi="Times New Roman" w:eastAsia="方正仿宋_GBK"/>
          <w:b w:val="0"/>
          <w:sz w:val="24"/>
        </w:rPr>
        <w:t xml:space="preserve">该组设备所需补充的有效功率接近一致，持续时间由2 h延长至4 h和6 h时，储能额定功率及额定能量按所需柜数增加，费用相应提高。主变及联络没有切换，说明这一组背景下增加柜数仍是相应可行组合的选择。其工程含义是：持续时间控制为同一功率缺口准备多少可用电量，铭牌功率变化还需结合有效支撑功率解释。</w:t>
      </w:r>
    </w:p>
    <w:p>
      <w:pPr>
        <w:pStyle w:val="2"/>
        <w:widowControl/>
        <w:spacing w:line="348" w:lineRule="exact" w:before="0" w:after="0"/>
        <w:ind w:firstLine="480"/>
        <w:jc w:val="both"/>
      </w:pPr>
      <w:r>
        <w:rPr>
          <w:rFonts w:ascii="Times New Roman" w:hAnsi="Times New Roman" w:eastAsia="方正仿宋_GBK"/>
          <w:b w:val="0"/>
          <w:sz w:val="24"/>
        </w:rPr>
        <w:t xml:space="preserve">第3.5节统计中，支撑时间仅在12%的受控组触发主变容量变化，其余组可能保持主变并调整储能，也可能由主变和网络满足全部需求。时间参数因此按2、4、6 h分别展示，便于将地区近峰特征与具体设备配置对应。实际项目的支撑时长还需结合故障恢复过程和功率缺口持续时间核定[28][10]。</w:t>
      </w:r>
    </w:p>
    <w:p>
      <w:pPr>
        <w:pStyle w:val="5"/>
        <w:keepNext/>
        <w:numPr>
          <w:numId w:val="0"/>
        </w:numPr>
        <w:spacing w:line="390" w:lineRule="exact" w:before="160" w:after="120"/>
        <w:ind w:firstLine="0"/>
      </w:pPr>
      <w:bookmarkStart w:id="256" w:name="负荷分散系数与局部高峰承载"/>
      <w:r>
        <w:rPr>
          <w:rFonts w:ascii="Times New Roman" w:hAnsi="Times New Roman" w:eastAsia="方正仿宋_GBK"/>
          <w:b/>
          <w:sz w:val="26"/>
        </w:rPr>
        <w:t xml:space="preserve">5.6.9 负荷分散系数与局部高峰承载</w:t>
      </w:r>
      <w:bookmarkEnd w:id="256"/>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固定装机渗透率0、平均增长率4%、电缆长度占比10%、初始转供率40%和储能支撑持续时间4 h，分别比较负荷分散系数1.00、1.10、1.15。各工况区域负荷合计相同，分散系数改变局部高峰在各站之间的分布。</w:t>
      </w:r>
    </w:p>
    <w:p>
      <w:pPr>
        <w:pStyle w:val="2"/>
        <w:keepNext/>
        <w:spacing w:line="280" w:lineRule="exact" w:before="120" w:after="80"/>
        <w:ind w:firstLine="0"/>
        <w:jc w:val="center"/>
      </w:pPr>
      <w:r>
        <w:rPr>
          <w:rFonts w:ascii="Times New Roman" w:hAnsi="Times New Roman" w:eastAsia="宋体"/>
          <w:b w:val="0"/>
          <w:sz w:val="21"/>
        </w:rPr>
        <w:t xml:space="preserve">表5-96 局部峰值分散程度对应的设备配置</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591.95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1984.06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2225.73</w:t>
            </w:r>
          </w:p>
        </w:tc>
      </w:tr>
    </w:tbl>
    <w:p>
      <w:pPr>
        <w:pStyle w:val="2"/>
        <w:widowControl/>
        <w:spacing w:line="348" w:lineRule="exact" w:before="0" w:after="0"/>
        <w:ind w:firstLine="480"/>
        <w:jc w:val="both"/>
      </w:pPr>
      <w:r>
        <w:rPr>
          <w:rFonts w:ascii="Times New Roman" w:hAnsi="Times New Roman" w:eastAsia="方正仿宋_GBK"/>
          <w:b w:val="0"/>
          <w:sz w:val="24"/>
        </w:rPr>
        <w:t xml:space="preserve">负荷分散系数由1.00提高至1.10时，局部高峰任务触发主变补强，容量增加50.00 MVA，并以主变和新增联络替代原少量储能。继续提高至1.15后，主变容量保持550.00 MVA，通过进一步增加2项联络利用已有容量。这表明即使区域同时峰值相同，局部负荷分布仍会影响站级设备需求。</w:t>
      </w:r>
    </w:p>
    <w:p>
      <w:pPr>
        <w:pStyle w:val="2"/>
        <w:widowControl/>
        <w:spacing w:line="348" w:lineRule="exact" w:before="0" w:after="0"/>
        <w:ind w:firstLine="480"/>
        <w:jc w:val="both"/>
      </w:pPr>
      <w:r>
        <w:rPr>
          <w:rFonts w:ascii="Times New Roman" w:hAnsi="Times New Roman" w:eastAsia="方正仿宋_GBK"/>
          <w:b w:val="0"/>
          <w:sz w:val="24"/>
        </w:rPr>
        <w:t xml:space="preserve">在装机渗透率2.50、其余背景相同的另一组节点中，三种分散系数均采用710.00 MVA主变，但储能额定功率分别为28.40、35.20、45.90 MW，新增联络也有调整。反向容量和局部高峰共同影响配置时，分散程度的作用可以更多体现为储能与线路组合。矩阵将三个定值分别列示，可保留这些设备差异，后续查表应与片区各站峰值及实际联络条件衔接。</w:t>
      </w:r>
    </w:p>
    <w:p>
      <w:pPr>
        <w:pStyle w:val="4"/>
        <w:keepNext/>
        <w:numPr>
          <w:numId w:val="0"/>
        </w:numPr>
        <w:spacing w:line="480" w:lineRule="exact" w:before="160" w:after="120"/>
        <w:ind w:firstLine="0"/>
      </w:pPr>
      <w:bookmarkStart w:id="2004" w:name="h1004"/>
      <w:bookmarkStart w:id="257" w:name="规划建议"/>
      <w:r>
        <w:rPr>
          <w:rFonts w:ascii="Times New Roman" w:hAnsi="Times New Roman" w:eastAsia="方正仿宋_GBK"/>
          <w:b/>
          <w:sz w:val="32"/>
        </w:rPr>
        <w:t xml:space="preserve">5.7 规划建议</w:t>
      </w:r>
      <w:bookmarkEnd w:id="257"/>
      <w:bookmarkEnd w:id="2004"/>
    </w:p>
    <w:p>
      <w:pPr>
        <w:pStyle w:val="5"/>
        <w:keepNext/>
        <w:numPr>
          <w:numId w:val="0"/>
        </w:numPr>
        <w:spacing w:line="390" w:lineRule="exact" w:before="160" w:after="120"/>
        <w:ind w:firstLine="0"/>
      </w:pPr>
      <w:bookmarkStart w:id="258" w:name="按源荷条件和网络能力选取容量"/>
      <w:r>
        <w:rPr>
          <w:rFonts w:ascii="Times New Roman" w:hAnsi="Times New Roman" w:eastAsia="方正仿宋_GBK"/>
          <w:b/>
          <w:sz w:val="26"/>
        </w:rPr>
        <w:t xml:space="preserve">5.7.1 按源荷条件和网络能力选取容量</w:t>
      </w:r>
      <w:bookmarkEnd w:id="258"/>
    </w:p>
    <w:p>
      <w:pPr>
        <w:pStyle w:val="FirstParagraph"/>
        <w:widowControl/>
        <w:spacing w:line="348" w:lineRule="exact" w:before="0" w:after="0"/>
        <w:ind w:firstLine="480"/>
        <w:jc w:val="both"/>
      </w:pPr>
      <w:r>
        <w:rPr>
          <w:rFonts w:ascii="Times New Roman" w:hAnsi="Times New Roman" w:eastAsia="方正仿宋_GBK"/>
          <w:b w:val="0"/>
          <w:sz w:val="24"/>
        </w:rPr>
        <w:t xml:space="preserve">邳州兼顾晚间正向供电、日间反向输送及各站局部峰值，市区结合既有网络和邻站承接能力确定补强位置。地区全部电压等级转供统计约67%、92%，进入110 kV案例时落实为逐站MW能力和具体网络约束。推广矩阵保留全部六项参数，规划应用根据片区实际取值查表。</w:t>
      </w:r>
    </w:p>
    <w:p>
      <w:pPr>
        <w:pStyle w:val="5"/>
        <w:keepNext/>
        <w:numPr>
          <w:numId w:val="0"/>
        </w:numPr>
        <w:spacing w:line="390" w:lineRule="exact" w:before="160" w:after="120"/>
        <w:ind w:firstLine="0"/>
      </w:pPr>
      <w:bookmarkStart w:id="259" w:name="统筹主变储能及联络建设"/>
      <w:r>
        <w:rPr>
          <w:rFonts w:ascii="Times New Roman" w:hAnsi="Times New Roman" w:eastAsia="方正仿宋_GBK"/>
          <w:b/>
          <w:sz w:val="26"/>
        </w:rPr>
        <w:t xml:space="preserve">5.7.2 统筹主变、储能及联络建设</w:t>
      </w:r>
      <w:bookmarkEnd w:id="259"/>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增加本站承载能力，联络建设利用邻站可用容量，储能在规定持续时间内补充功率缺口。三类措施的选择应同时考虑源端可转负荷、接收余量、N-1条件、建设位置和费用。既有联络能够满足需求时，先核实其可用能力，需要新增线路时，按明确的建设项目计费。储能规模由功率和可用电量共同决定。</w:t>
      </w:r>
    </w:p>
    <w:p>
      <w:pPr>
        <w:pStyle w:val="5"/>
        <w:keepNext/>
        <w:numPr>
          <w:numId w:val="0"/>
        </w:numPr>
        <w:spacing w:line="390" w:lineRule="exact" w:before="160" w:after="120"/>
        <w:ind w:firstLine="0"/>
      </w:pPr>
      <w:bookmarkStart w:id="260" w:name="保留参数区间滚动更新计算依据"/>
      <w:r>
        <w:rPr>
          <w:rFonts w:ascii="Times New Roman" w:hAnsi="Times New Roman" w:eastAsia="方正仿宋_GBK"/>
          <w:b/>
          <w:sz w:val="26"/>
        </w:rPr>
        <w:t xml:space="preserve">5.7.3 保留参数区间，滚动更新计算依据</w:t>
      </w:r>
      <w:bookmarkEnd w:id="260"/>
    </w:p>
    <w:p>
      <w:pPr>
        <w:pStyle w:val="FirstParagraph"/>
        <w:widowControl/>
        <w:spacing w:line="348" w:lineRule="exact" w:before="0" w:after="0"/>
        <w:ind w:firstLine="480"/>
        <w:jc w:val="both"/>
      </w:pPr>
      <w:r>
        <w:rPr>
          <w:rFonts w:ascii="Times New Roman" w:hAnsi="Times New Roman" w:eastAsia="方正仿宋_GBK"/>
          <w:b w:val="0"/>
          <w:sz w:val="24"/>
        </w:rPr>
        <w:t xml:space="preserve">参数查表沿用首尾开口区间，年度新增数据用于更新各区间内的计算结果和适用条件。线路造价、储能采购价、可用间隔或候选网络改变后，重新比较费用和配置，保持容载比、设备方案及工程投入之间的一致关系。</w:t>
      </w:r>
    </w:p>
    <w:p>
      <w:pPr>
        <w:pStyle w:val="5"/>
        <w:keepNext/>
        <w:numPr>
          <w:numId w:val="0"/>
        </w:numPr>
        <w:spacing w:line="390" w:lineRule="exact" w:before="160" w:after="120"/>
        <w:ind w:firstLine="0"/>
      </w:pPr>
      <w:bookmarkStart w:id="261" w:name="推荐区间与具体设备的衔接"/>
      <w:r>
        <w:rPr>
          <w:rFonts w:ascii="Times New Roman" w:hAnsi="Times New Roman" w:eastAsia="方正仿宋_GBK"/>
          <w:b/>
          <w:sz w:val="26"/>
        </w:rPr>
        <w:t xml:space="preserve">5.7.4 推荐区间与具体设备的衔接</w:t>
      </w:r>
      <w:bookmarkEnd w:id="261"/>
    </w:p>
    <w:p>
      <w:pPr>
        <w:pStyle w:val="FirstParagraph"/>
        <w:widowControl/>
        <w:spacing w:line="348" w:lineRule="exact" w:before="0" w:after="0"/>
        <w:ind w:firstLine="480"/>
        <w:jc w:val="both"/>
      </w:pPr>
      <w:r>
        <w:rPr>
          <w:rFonts w:ascii="Times New Roman" w:hAnsi="Times New Roman" w:eastAsia="方正仿宋_GBK"/>
          <w:b w:val="0"/>
          <w:sz w:val="24"/>
        </w:rPr>
        <w:t xml:space="preserve">推荐区间与地区年网供最大负荷结合，可得到区域主变容量的初步范围。例如网供最大负荷1000.00 MW时，容载比每变化0.10，对应主变总容量变化100.00 MVA。容量分配结合各站正反向功率、最大单台主变N-1和站间承接能力落实。</w:t>
      </w:r>
    </w:p>
    <w:p>
      <w:pPr>
        <w:pStyle w:val="2"/>
        <w:widowControl/>
        <w:spacing w:line="348" w:lineRule="exact" w:before="0" w:after="0"/>
        <w:ind w:firstLine="480"/>
        <w:jc w:val="both"/>
      </w:pPr>
      <w:r>
        <w:rPr>
          <w:rFonts w:ascii="Times New Roman" w:hAnsi="Times New Roman" w:eastAsia="方正仿宋_GBK"/>
          <w:b w:val="0"/>
          <w:sz w:val="24"/>
        </w:rPr>
        <w:t xml:space="preserve">相同区间内可以对应不同设备组合。对有扩建位置且停运后剩余容量不足的站，增加主变台数可以提高供电储备，峰值缺口较短的站可比较储能支撑，邻站余量较大的站可利用联络。推荐容载比与逐站措施及投运时点一并确定。</w:t>
      </w:r>
    </w:p>
    <w:p>
      <w:pPr>
        <w:pStyle w:val="5"/>
        <w:keepNext/>
        <w:numPr>
          <w:numId w:val="0"/>
        </w:numPr>
        <w:spacing w:line="390" w:lineRule="exact" w:before="160" w:after="120"/>
        <w:ind w:firstLine="0"/>
      </w:pPr>
      <w:bookmarkStart w:id="262" w:name="邳州与市区建设措施的综合比较"/>
      <w:r>
        <w:rPr>
          <w:rFonts w:ascii="Times New Roman" w:hAnsi="Times New Roman" w:eastAsia="方正仿宋_GBK"/>
          <w:b/>
          <w:sz w:val="26"/>
        </w:rPr>
        <w:t xml:space="preserve">5.7.5 邳州与市区建设措施的综合比较</w:t>
      </w:r>
      <w:bookmarkEnd w:id="262"/>
    </w:p>
    <w:p>
      <w:pPr>
        <w:pStyle w:val="FirstParagraph"/>
        <w:widowControl/>
        <w:spacing w:line="348" w:lineRule="exact" w:before="0" w:after="0"/>
        <w:ind w:firstLine="480"/>
        <w:jc w:val="both"/>
      </w:pPr>
      <w:r>
        <w:rPr>
          <w:rFonts w:ascii="Times New Roman" w:hAnsi="Times New Roman" w:eastAsia="方正仿宋_GBK"/>
          <w:b w:val="0"/>
          <w:sz w:val="24"/>
        </w:rPr>
        <w:t xml:space="preserve">两地区的弹性方案均增加了区域主变容量，逐站采用不同的建设方式。部分站更换既有主变，部分站扩建第三台，部分站保持原有设备并利用邻站支援。地区比值反映总容量与负荷的关系，逐站年度表反映设备和转供任务，两者共同说明新增容量的具体用途。</w:t>
      </w:r>
    </w:p>
    <w:p>
      <w:pPr>
        <w:pStyle w:val="2"/>
        <w:widowControl/>
        <w:spacing w:line="348" w:lineRule="exact" w:before="0" w:after="0"/>
        <w:ind w:firstLine="480"/>
        <w:jc w:val="both"/>
      </w:pPr>
      <w:r>
        <w:rPr>
          <w:rFonts w:ascii="Times New Roman" w:hAnsi="Times New Roman" w:eastAsia="方正仿宋_GBK"/>
          <w:b w:val="0"/>
          <w:sz w:val="24"/>
        </w:rPr>
        <w:t xml:space="preserve">邳州两类方案2025年主变容量均为1704.00 MVA、容载比1.78。弹性方案在首年完成较多主变建设，2025年储能额定能量为7.74 MWh，累计新增联络14条，而刚性方案受首年容量上限限制，2025年储能为48.81 MWh，累计新增联络15条。最终主变容量相同，建设时序和替代措施不同。</w:t>
      </w:r>
    </w:p>
    <w:p>
      <w:pPr>
        <w:pStyle w:val="2"/>
        <w:widowControl/>
        <w:spacing w:line="348" w:lineRule="exact" w:before="0" w:after="0"/>
        <w:ind w:firstLine="480"/>
        <w:jc w:val="both"/>
      </w:pPr>
      <w:r>
        <w:rPr>
          <w:rFonts w:ascii="Times New Roman" w:hAnsi="Times New Roman" w:eastAsia="方正仿宋_GBK"/>
          <w:b w:val="0"/>
          <w:sz w:val="24"/>
        </w:rPr>
        <w:t xml:space="preserve">市区弹性方案首年更换一台40 MVA主变为63 MVA，四年容量保持2923.00 MVA，2025年容载比1.91，刚性方案容量保持2900.00 MVA，首年新增5条联络，2025年容载比1.90。两地区刚性可行方案费用合计21790.82万元，弹性为15793.49万元，减少约28%。</w:t>
      </w:r>
    </w:p>
    <w:p>
      <w:pPr>
        <w:pStyle w:val="2"/>
        <w:widowControl/>
        <w:spacing w:line="348" w:lineRule="exact" w:before="0" w:after="0"/>
        <w:ind w:firstLine="480"/>
        <w:jc w:val="both"/>
      </w:pPr>
      <w:r>
        <w:rPr>
          <w:rFonts w:ascii="Times New Roman" w:hAnsi="Times New Roman" w:eastAsia="方正仿宋_GBK"/>
          <w:b w:val="0"/>
          <w:sz w:val="24"/>
        </w:rPr>
        <w:t xml:space="preserve">年度建设先满足当年需求，投运后持续在役的容量再供后续年份使用。负荷回落会提高同一容量对应的容载比，负荷恢复则消耗已有储备，整台主变投运又使容量按项目离散变化。因此，推荐区间用于前期比选，逐站工程与建设时点共同落实</w:t>
      </w:r>
      <w:r>
        <w:rPr>
          <w:rFonts w:ascii="Times New Roman" w:hAnsi="Times New Roman" w:eastAsia="方正仿宋_GBK"/>
          <w:b w:val="0"/>
          <w:sz w:val="24"/>
        </w:rPr>
        <w:t xml:space="preserve">“</w:t>
      </w:r>
      <w:r>
        <w:rPr>
          <w:rFonts w:ascii="Times New Roman" w:hAnsi="Times New Roman" w:eastAsia="方正仿宋_GBK"/>
          <w:b w:val="0"/>
          <w:sz w:val="24"/>
        </w:rPr>
        <w:t xml:space="preserve">一片一策</w:t>
      </w:r>
      <w:r>
        <w:rPr>
          <w:rFonts w:ascii="Times New Roman" w:hAnsi="Times New Roman" w:eastAsia="方正仿宋_GBK"/>
          <w:b w:val="0"/>
          <w:sz w:val="24"/>
        </w:rPr>
        <w:t xml:space="preserve">”</w:t>
      </w:r>
      <w:r>
        <w:rPr>
          <w:rFonts w:ascii="Times New Roman" w:hAnsi="Times New Roman" w:eastAsia="方正仿宋_GBK"/>
          <w:b w:val="0"/>
          <w:sz w:val="24"/>
        </w:rPr>
        <w:t xml:space="preserve">的规划方案。</w:t>
      </w:r>
    </w:p>
    <w:p>
      <w:pPr>
        <w:pStyle w:val="3"/>
        <w:keepNext/>
        <w:pageBreakBefore/>
        <w:numPr>
          <w:numId w:val="0"/>
        </w:numPr>
        <w:spacing w:line="540" w:lineRule="exact" w:before="0" w:after="120"/>
        <w:ind w:firstLine="0"/>
      </w:pPr>
      <w:bookmarkStart w:id="2019" w:name="h1019"/>
      <w:bookmarkStart w:id="263" w:name="第六章-结论与建议"/>
      <w:r>
        <w:rPr>
          <w:rFonts w:ascii="Times New Roman" w:hAnsi="Times New Roman" w:eastAsia="方正仿宋_GBK"/>
          <w:b/>
          <w:sz w:val="36"/>
        </w:rPr>
        <w:t xml:space="preserve">第六章 结论与建议</w:t>
      </w:r>
      <w:bookmarkEnd w:id="263"/>
      <w:bookmarkEnd w:id="2019"/>
    </w:p>
    <w:p>
      <w:pPr>
        <w:pStyle w:val="FirstParagraph"/>
        <w:widowControl/>
        <w:spacing w:line="348" w:lineRule="exact" w:before="0" w:after="0"/>
        <w:ind w:firstLine="480"/>
        <w:jc w:val="both"/>
      </w:pPr>
      <w:r>
        <w:rPr>
          <w:rFonts w:ascii="Times New Roman" w:hAnsi="Times New Roman" w:eastAsia="方正仿宋_GBK"/>
          <w:b w:val="0"/>
          <w:sz w:val="24"/>
        </w:rPr>
        <w:t xml:space="preserve">本项目围绕分布式新能源接入后区域容载比与站级双向容量需求的协调问题，以邳州和市区为案例，比较相同供电约束下的主变、储能和10 kV联络组合。地区计算用于判断放宽容量约束后措施及费用如何变化，五站参数推广用于归纳这些结果的适用条件，形成分片区的容载比推荐范围。</w:t>
      </w:r>
    </w:p>
    <w:p>
      <w:pPr>
        <w:pStyle w:val="4"/>
        <w:keepNext/>
        <w:numPr>
          <w:numId w:val="0"/>
        </w:numPr>
        <w:spacing w:line="480" w:lineRule="exact" w:before="160" w:after="120"/>
        <w:ind w:firstLine="0"/>
      </w:pPr>
      <w:bookmarkStart w:id="2021" w:name="h1021"/>
      <w:bookmarkStart w:id="264" w:name="主要研究结论"/>
      <w:r>
        <w:rPr>
          <w:rFonts w:ascii="Times New Roman" w:hAnsi="Times New Roman" w:eastAsia="方正仿宋_GBK"/>
          <w:b/>
          <w:sz w:val="32"/>
        </w:rPr>
        <w:t xml:space="preserve">6.1 主要研究结论</w:t>
      </w:r>
      <w:bookmarkEnd w:id="264"/>
      <w:bookmarkEnd w:id="2021"/>
    </w:p>
    <w:p>
      <w:pPr>
        <w:pStyle w:val="5"/>
        <w:keepNext/>
        <w:numPr>
          <w:numId w:val="0"/>
        </w:numPr>
        <w:spacing w:line="390" w:lineRule="exact" w:before="160" w:after="120"/>
        <w:ind w:firstLine="0"/>
      </w:pPr>
      <w:bookmarkStart w:id="265" w:name="容载比与局部容量压力应结合分析"/>
      <w:r>
        <w:rPr>
          <w:rFonts w:ascii="Times New Roman" w:hAnsi="Times New Roman" w:eastAsia="方正仿宋_GBK"/>
          <w:b/>
          <w:sz w:val="26"/>
        </w:rPr>
        <w:t xml:space="preserve">6.1.1 容载比与局部容量压力应结合分析</w:t>
      </w:r>
      <w:bookmarkEnd w:id="265"/>
    </w:p>
    <w:p>
      <w:pPr>
        <w:pStyle w:val="FirstParagraph"/>
        <w:widowControl/>
        <w:spacing w:line="348" w:lineRule="exact" w:before="0" w:after="0"/>
        <w:ind w:firstLine="480"/>
        <w:jc w:val="both"/>
      </w:pPr>
      <w:r>
        <w:rPr>
          <w:rFonts w:ascii="Times New Roman" w:hAnsi="Times New Roman" w:eastAsia="方正仿宋_GBK"/>
          <w:b w:val="0"/>
          <w:sz w:val="24"/>
        </w:rPr>
        <w:t xml:space="preserve">2025年邳州和市区实际容载比分别为2.24、2.42，分布式电源装机渗透率估计值分别为1.63、0.32，分布式电源电量渗透率约为40%、9%。区域容量储备与局部高负载可以同时存在，容量规划需要结合站级负载率、主变台数、反向功率和站间联络判断设备需求。</w:t>
      </w:r>
    </w:p>
    <w:p>
      <w:pPr>
        <w:pStyle w:val="2"/>
        <w:widowControl/>
        <w:spacing w:line="348" w:lineRule="exact" w:before="0" w:after="0"/>
        <w:ind w:firstLine="480"/>
        <w:jc w:val="both"/>
      </w:pPr>
      <w:r>
        <w:rPr>
          <w:rFonts w:ascii="Times New Roman" w:hAnsi="Times New Roman" w:eastAsia="方正仿宋_GBK"/>
          <w:b w:val="0"/>
          <w:sz w:val="24"/>
        </w:rPr>
        <w:t xml:space="preserve">2021—2025年年最大净负荷平均增长率按复合开根方式计算，邳州为7%、市区为1%。地区案例采用实际年度负荷，保留负荷回落及其引起的容载比变化。</w:t>
      </w:r>
    </w:p>
    <w:p>
      <w:pPr>
        <w:pStyle w:val="2"/>
        <w:widowControl/>
        <w:spacing w:line="348" w:lineRule="exact" w:before="0" w:after="0"/>
        <w:ind w:firstLine="480"/>
        <w:jc w:val="both"/>
      </w:pPr>
      <w:r>
        <w:rPr>
          <w:rFonts w:ascii="Times New Roman" w:hAnsi="Times New Roman" w:eastAsia="方正仿宋_GBK"/>
          <w:b w:val="0"/>
          <w:sz w:val="24"/>
        </w:rPr>
        <w:t xml:space="preserve">分布式光伏改变了用户用电与上级电网供电之间的关系。年度购电量下降、日间净负荷降低及反向输送增加可能同时发生，主变容量需求还取决于正向峰值、反向峰值和主变N-1后的供电条件。区域容载比反映总体容量储备，逐站正反向净负荷反映局部设备需求，二者共同构成容量规划的分析基础。</w:t>
      </w:r>
    </w:p>
    <w:p>
      <w:pPr>
        <w:pStyle w:val="5"/>
        <w:keepNext/>
        <w:numPr>
          <w:numId w:val="0"/>
        </w:numPr>
        <w:spacing w:line="390" w:lineRule="exact" w:before="160" w:after="120"/>
        <w:ind w:firstLine="0"/>
      </w:pPr>
      <w:bookmarkStart w:id="266" w:name="弹性容量配置降低了所设条件下的方案费用"/>
      <w:r>
        <w:rPr>
          <w:rFonts w:ascii="Times New Roman" w:hAnsi="Times New Roman" w:eastAsia="方正仿宋_GBK"/>
          <w:b/>
          <w:sz w:val="26"/>
        </w:rPr>
        <w:t xml:space="preserve">6.1.2 弹性容量配置降低了所设条件下的方案费用</w:t>
      </w:r>
      <w:bookmarkEnd w:id="266"/>
    </w:p>
    <w:p>
      <w:pPr>
        <w:pStyle w:val="FirstParagraph"/>
        <w:widowControl/>
        <w:spacing w:line="348" w:lineRule="exact" w:before="0" w:after="0"/>
        <w:ind w:firstLine="480"/>
        <w:jc w:val="both"/>
      </w:pPr>
      <w:r>
        <w:rPr>
          <w:rFonts w:ascii="Times New Roman" w:hAnsi="Times New Roman" w:eastAsia="方正仿宋_GBK"/>
          <w:b w:val="0"/>
          <w:sz w:val="24"/>
        </w:rPr>
        <w:t xml:space="preserve">在相同初始设备、实际年度负荷及逐站转供约束下，邳州两类方案2025年主变容量均为1704.00 MVA、容载比1.78，市区弹性方案为2923.00 MVA、1.91，刚性为2900.00 MVA、1.90。弹性配置由承载需求和费用确定，容量随年度建设保持非减。</w:t>
      </w:r>
    </w:p>
    <w:p>
      <w:pPr>
        <w:pStyle w:val="2"/>
        <w:widowControl/>
        <w:spacing w:line="348" w:lineRule="exact" w:before="0" w:after="0"/>
        <w:ind w:firstLine="480"/>
        <w:jc w:val="both"/>
      </w:pPr>
      <w:r>
        <w:rPr>
          <w:rFonts w:ascii="Times New Roman" w:hAnsi="Times New Roman" w:eastAsia="方正仿宋_GBK"/>
          <w:b w:val="0"/>
          <w:sz w:val="24"/>
        </w:rPr>
        <w:t xml:space="preserve">邳州弹性方案首年完成主变补强，减少后期配储，2025年储能额定能量7.74 MWh，刚性为48.81 MWh。市区弹性方案以一台主变更换替代刚性方案的5项新增联络。两地区刚性可行方案费用合计21790.82万元，弹性为15793.49万元，减少5997.33万元，约28%。</w:t>
      </w:r>
    </w:p>
    <w:p>
      <w:pPr>
        <w:pStyle w:val="5"/>
        <w:keepNext/>
        <w:numPr>
          <w:numId w:val="0"/>
        </w:numPr>
        <w:spacing w:line="390" w:lineRule="exact" w:before="160" w:after="120"/>
        <w:ind w:firstLine="0"/>
      </w:pPr>
      <w:bookmarkStart w:id="267" w:name="kv联络改善站间负荷配置其作用取决于两端容量与可转能力"/>
      <w:r>
        <w:rPr>
          <w:rFonts w:ascii="Times New Roman" w:hAnsi="Times New Roman" w:eastAsia="方正仿宋_GBK"/>
          <w:b/>
          <w:sz w:val="26"/>
        </w:rPr>
        <w:t xml:space="preserve">6.1.3 10 kV联络改善站间负荷配置，其作用取决于两端容量与可转能力</w:t>
      </w:r>
      <w:bookmarkEnd w:id="267"/>
    </w:p>
    <w:p>
      <w:pPr>
        <w:pStyle w:val="FirstParagraph"/>
        <w:widowControl/>
        <w:spacing w:line="348" w:lineRule="exact" w:before="0" w:after="0"/>
        <w:ind w:firstLine="480"/>
        <w:jc w:val="both"/>
      </w:pPr>
      <w:r>
        <w:rPr>
          <w:rFonts w:ascii="Times New Roman" w:hAnsi="Times New Roman" w:eastAsia="方正仿宋_GBK"/>
          <w:b w:val="0"/>
          <w:sz w:val="24"/>
        </w:rPr>
        <w:t xml:space="preserve">10 kV联络通过区县内部负荷转接改善容量与负荷的空间匹配。送端负荷转出后正向供电需求降低，承接站负荷增加，两端分别按调整后的负荷校核。原站电源保持归属，潜在反向需求同时计入容量分析，转接总量在区县内部保持一致。</w:t>
      </w:r>
    </w:p>
    <w:p>
      <w:pPr>
        <w:pStyle w:val="2"/>
        <w:widowControl/>
        <w:spacing w:line="348" w:lineRule="exact" w:before="0" w:after="0"/>
        <w:ind w:firstLine="480"/>
        <w:jc w:val="both"/>
      </w:pPr>
      <w:r>
        <w:rPr>
          <w:rFonts w:ascii="Times New Roman" w:hAnsi="Times New Roman" w:eastAsia="方正仿宋_GBK"/>
          <w:b w:val="0"/>
          <w:sz w:val="24"/>
        </w:rPr>
        <w:t xml:space="preserve">当前模型将转接功率绑定具体馈线和站间候选，既有边不重复计建设费用，新增边按投运年计费。共用馈线的联络共用可转负荷和接收余量，邻站主变同时通过容量校核。</w:t>
      </w:r>
    </w:p>
    <w:p>
      <w:pPr>
        <w:pStyle w:val="5"/>
        <w:keepNext/>
        <w:numPr>
          <w:numId w:val="0"/>
        </w:numPr>
        <w:spacing w:line="390" w:lineRule="exact" w:before="160" w:after="120"/>
        <w:ind w:firstLine="0"/>
      </w:pPr>
      <w:bookmarkStart w:id="268" w:name="六参数矩阵给出有条件的容载比范围"/>
      <w:r>
        <w:rPr>
          <w:rFonts w:ascii="Times New Roman" w:hAnsi="Times New Roman" w:eastAsia="方正仿宋_GBK"/>
          <w:b/>
          <w:sz w:val="26"/>
        </w:rPr>
        <w:t xml:space="preserve">6.1.4 六参数矩阵给出有条件的容载比范围</w:t>
      </w:r>
      <w:bookmarkEnd w:id="268"/>
    </w:p>
    <w:p>
      <w:pPr>
        <w:pStyle w:val="FirstParagraph"/>
        <w:widowControl/>
        <w:spacing w:line="348" w:lineRule="exact" w:before="0" w:after="0"/>
        <w:ind w:firstLine="480"/>
        <w:jc w:val="both"/>
      </w:pPr>
      <w:r>
        <w:rPr>
          <w:rFonts w:ascii="Times New Roman" w:hAnsi="Times New Roman" w:eastAsia="方正仿宋_GBK"/>
          <w:b w:val="0"/>
          <w:sz w:val="24"/>
        </w:rPr>
        <w:t xml:space="preserve">推广矩阵保留装机渗透率、年最大净负荷平均增长率、电缆长度占比、初始转供率、储能支撑持续时间和负荷分散系数全部六项参数。32112个有效节点按时间与分散系数的三个定值分别列示，形成27张表、1296个单元，容载比总体区间为1.36～3.15。</w:t>
      </w:r>
    </w:p>
    <w:p>
      <w:pPr>
        <w:pStyle w:val="2"/>
        <w:widowControl/>
        <w:spacing w:line="348" w:lineRule="exact" w:before="0" w:after="0"/>
        <w:ind w:firstLine="480"/>
        <w:jc w:val="both"/>
      </w:pPr>
      <w:r>
        <w:rPr>
          <w:rFonts w:ascii="Times New Roman" w:hAnsi="Times New Roman" w:eastAsia="方正仿宋_GBK"/>
          <w:b w:val="0"/>
          <w:sz w:val="24"/>
        </w:rPr>
        <w:t xml:space="preserve">固定其余五项后的组内相关系数依次为0.88、－0.80、0.45、－0.74、0.27、0.52，体现各参数在不同设备替代条件下的响应。输入参数间电缆占比与转供率的Pearson系数为0.28，其余配对绝对值不超过0.15，说明本次有效情景库中大部分配对的线性关联较弱。六项参数均与设备选择及工程费用对应，作为查表条件列示。</w:t>
      </w:r>
    </w:p>
    <w:p>
      <w:pPr>
        <w:pStyle w:val="4"/>
        <w:keepNext/>
        <w:numPr>
          <w:numId w:val="0"/>
        </w:numPr>
        <w:spacing w:line="480" w:lineRule="exact" w:before="160" w:after="120"/>
        <w:ind w:firstLine="0"/>
      </w:pPr>
      <w:bookmarkStart w:id="2035" w:name="h1035"/>
      <w:bookmarkStart w:id="269" w:name="规划应用建议"/>
      <w:r>
        <w:rPr>
          <w:rFonts w:ascii="Times New Roman" w:hAnsi="Times New Roman" w:eastAsia="方正仿宋_GBK"/>
          <w:b/>
          <w:sz w:val="32"/>
        </w:rPr>
        <w:t xml:space="preserve">6.2 规划应用建议</w:t>
      </w:r>
      <w:bookmarkEnd w:id="269"/>
      <w:bookmarkEnd w:id="2035"/>
    </w:p>
    <w:p>
      <w:pPr>
        <w:pStyle w:val="5"/>
        <w:keepNext/>
        <w:numPr>
          <w:numId w:val="0"/>
        </w:numPr>
        <w:spacing w:line="390" w:lineRule="exact" w:before="160" w:after="120"/>
        <w:ind w:firstLine="0"/>
      </w:pPr>
      <w:bookmarkStart w:id="270" w:name="按输入区间查表再落实设备方案"/>
      <w:r>
        <w:rPr>
          <w:rFonts w:ascii="Times New Roman" w:hAnsi="Times New Roman" w:eastAsia="方正仿宋_GBK"/>
          <w:b/>
          <w:sz w:val="26"/>
        </w:rPr>
        <w:t xml:space="preserve">6.2.1 按输入区间查表，再落实设备方案</w:t>
      </w:r>
      <w:bookmarkEnd w:id="270"/>
    </w:p>
    <w:p>
      <w:pPr>
        <w:pStyle w:val="FirstParagraph"/>
        <w:widowControl/>
        <w:spacing w:line="348" w:lineRule="exact" w:before="0" w:after="0"/>
        <w:ind w:firstLine="480"/>
        <w:jc w:val="both"/>
      </w:pPr>
      <w:r>
        <w:rPr>
          <w:rFonts w:ascii="Times New Roman" w:hAnsi="Times New Roman" w:eastAsia="方正仿宋_GBK"/>
          <w:b w:val="0"/>
          <w:sz w:val="24"/>
        </w:rPr>
        <w:t xml:space="preserve">规划应用先按同一统计范围计算源荷指标和复合增长率，确定参数区间，再核对初始主变、负荷分散系数、联络路径及可扩建位置。查表得到容量的初步比选范围后，将其落实为受设备和站址条件限制的可实施组合，并以主变总容量与同年网供峰值计算容载比。</w:t>
      </w:r>
    </w:p>
    <w:p>
      <w:pPr>
        <w:pStyle w:val="2"/>
        <w:widowControl/>
        <w:spacing w:line="348" w:lineRule="exact" w:before="0" w:after="0"/>
        <w:ind w:firstLine="480"/>
        <w:jc w:val="both"/>
      </w:pPr>
      <w:r>
        <w:rPr>
          <w:rFonts w:ascii="Times New Roman" w:hAnsi="Times New Roman" w:eastAsia="方正仿宋_GBK"/>
          <w:b w:val="0"/>
          <w:sz w:val="24"/>
        </w:rPr>
        <w:t xml:space="preserve">确定推荐区间后，以片区实际在役设备为起点，将主变规格、扩建条件、储能和联络工程纳入比选。先满足逐站正常运行及供电安全要求，再比较评价期费用，形成对应容量规模、投运时点和负荷转接安排。刚性基准用于评价弹性方案的费用变化，最终推荐值由具体设备配置形成。</w:t>
      </w:r>
    </w:p>
    <w:p>
      <w:pPr>
        <w:pStyle w:val="5"/>
        <w:keepNext/>
        <w:numPr>
          <w:numId w:val="0"/>
        </w:numPr>
        <w:spacing w:line="390" w:lineRule="exact" w:before="160" w:after="120"/>
        <w:ind w:firstLine="0"/>
      </w:pPr>
      <w:bookmarkStart w:id="271" w:name="核实分区转供能力与储能支撑条件"/>
      <w:r>
        <w:rPr>
          <w:rFonts w:ascii="Times New Roman" w:hAnsi="Times New Roman" w:eastAsia="方正仿宋_GBK"/>
          <w:b/>
          <w:sz w:val="26"/>
        </w:rPr>
        <w:t xml:space="preserve">6.2.2 核实分区转供能力与储能支撑条件</w:t>
      </w:r>
      <w:bookmarkEnd w:id="271"/>
    </w:p>
    <w:p>
      <w:pPr>
        <w:pStyle w:val="FirstParagraph"/>
        <w:widowControl/>
        <w:spacing w:line="348" w:lineRule="exact" w:before="0" w:after="0"/>
        <w:ind w:firstLine="480"/>
        <w:jc w:val="both"/>
      </w:pPr>
      <w:r>
        <w:rPr>
          <w:rFonts w:ascii="Times New Roman" w:hAnsi="Times New Roman" w:eastAsia="方正仿宋_GBK"/>
          <w:b w:val="0"/>
          <w:sz w:val="24"/>
        </w:rPr>
        <w:t xml:space="preserve">地区转供统计按补充资料的可转负荷与损失负荷计算，市区约92%、邳州约67%，案例对每站既有转出功率施加对应MW上限，并共同校核馈线接收余量和邻站主变能力。新增联络分别按市区约80%、邳州约11%的电缆长度占比计价。</w:t>
      </w:r>
    </w:p>
    <w:p>
      <w:pPr>
        <w:pStyle w:val="2"/>
        <w:widowControl/>
        <w:spacing w:line="348" w:lineRule="exact" w:before="0" w:after="0"/>
        <w:ind w:firstLine="480"/>
        <w:jc w:val="both"/>
      </w:pPr>
      <w:r>
        <w:rPr>
          <w:rFonts w:ascii="Times New Roman" w:hAnsi="Times New Roman" w:eastAsia="方正仿宋_GBK"/>
          <w:b w:val="0"/>
          <w:sz w:val="24"/>
        </w:rPr>
        <w:t xml:space="preserve">储能正向支撑持续时间采用邳州2 h、市区6 h，推广比较2、4、6 h。工程应用结合容量缺口的连续过程与故障恢复时间确定支撑要求，并核定可放电电量和可充电空间。</w:t>
      </w:r>
    </w:p>
    <w:p>
      <w:pPr>
        <w:pStyle w:val="2"/>
        <w:widowControl/>
        <w:spacing w:line="348" w:lineRule="exact" w:before="0" w:after="0"/>
        <w:ind w:firstLine="480"/>
        <w:jc w:val="both"/>
      </w:pPr>
      <w:r>
        <w:rPr>
          <w:rFonts w:ascii="Times New Roman" w:hAnsi="Times New Roman" w:eastAsia="方正仿宋_GBK"/>
          <w:b w:val="0"/>
          <w:sz w:val="24"/>
        </w:rPr>
        <w:t xml:space="preserve">规划应先核定既有联络通道、可切换负荷和承接站余量，充分利用具备条件的站间转供能力。新增联络能够进一步改善负荷分布时，将其与主变增容、主变扩建和储能配置共同比较，按实际可提供的容量支撑和工程费用确定组合。</w:t>
      </w:r>
    </w:p>
    <w:p>
      <w:pPr>
        <w:pStyle w:val="5"/>
        <w:keepNext/>
        <w:numPr>
          <w:numId w:val="0"/>
        </w:numPr>
        <w:spacing w:line="390" w:lineRule="exact" w:before="160" w:after="120"/>
        <w:ind w:firstLine="0"/>
      </w:pPr>
      <w:bookmarkStart w:id="272" w:name="随数据和工程条件更新结果"/>
      <w:r>
        <w:rPr>
          <w:rFonts w:ascii="Times New Roman" w:hAnsi="Times New Roman" w:eastAsia="方正仿宋_GBK"/>
          <w:b/>
          <w:sz w:val="26"/>
        </w:rPr>
        <w:t xml:space="preserve">6.2.3 随数据和工程条件更新结果</w:t>
      </w:r>
      <w:bookmarkEnd w:id="272"/>
    </w:p>
    <w:p>
      <w:pPr>
        <w:pStyle w:val="FirstParagraph"/>
        <w:widowControl/>
        <w:spacing w:line="348" w:lineRule="exact" w:before="0" w:after="0"/>
        <w:ind w:firstLine="480"/>
        <w:jc w:val="both"/>
      </w:pPr>
      <w:r>
        <w:rPr>
          <w:rFonts w:ascii="Times New Roman" w:hAnsi="Times New Roman" w:eastAsia="方正仿宋_GBK"/>
          <w:b w:val="0"/>
          <w:sz w:val="24"/>
        </w:rPr>
        <w:t xml:space="preserve">保留输入参数的区间形式，新增年度资料用于更新区间内的计算节点和设备配置。线路造价、储能价格、负荷分布或可用间隔改变后，按统一费用范围重新比较，同步更新设备方案与推荐区间。</w:t>
      </w:r>
    </w:p>
    <w:p>
      <w:pPr>
        <w:pStyle w:val="2"/>
        <w:widowControl/>
        <w:spacing w:line="348" w:lineRule="exact" w:before="0" w:after="0"/>
        <w:ind w:firstLine="480"/>
        <w:jc w:val="both"/>
      </w:pPr>
      <w:r>
        <w:rPr>
          <w:rFonts w:ascii="Times New Roman" w:hAnsi="Times New Roman" w:eastAsia="方正仿宋_GBK"/>
          <w:b w:val="0"/>
          <w:sz w:val="24"/>
        </w:rPr>
        <w:t xml:space="preserve">负荷增长、光伏投产及设备变化会改变片区容量需求。年度规划结合新增用户、实际峰值和建设进度更新源荷参数，重新核对站间转供能力，并按统一工程范围更新主变、储能和线路费用。</w:t>
      </w:r>
    </w:p>
    <w:p>
      <w:pPr>
        <w:pStyle w:val="2"/>
        <w:widowControl/>
        <w:spacing w:line="348" w:lineRule="exact" w:before="0" w:after="0"/>
        <w:ind w:firstLine="480"/>
        <w:jc w:val="both"/>
      </w:pPr>
      <w:r>
        <w:rPr>
          <w:rFonts w:ascii="Times New Roman" w:hAnsi="Times New Roman" w:eastAsia="方正仿宋_GBK"/>
          <w:b w:val="0"/>
          <w:sz w:val="24"/>
        </w:rPr>
        <w:t xml:space="preserve">滚动修订时同步调整推荐区间和逐站建设安排，使容量规模、采购投资与投运时点保持对应。实际馈线或设备条件发生较大变化的片区，按新的站级约束重新比选，逐步形成适用于本地区的</w:t>
      </w:r>
      <w:r>
        <w:rPr>
          <w:rFonts w:ascii="Times New Roman" w:hAnsi="Times New Roman" w:eastAsia="方正仿宋_GBK"/>
          <w:b w:val="0"/>
          <w:sz w:val="24"/>
        </w:rPr>
        <w:t xml:space="preserve">“</w:t>
      </w:r>
      <w:r>
        <w:rPr>
          <w:rFonts w:ascii="Times New Roman" w:hAnsi="Times New Roman" w:eastAsia="方正仿宋_GBK"/>
          <w:b w:val="0"/>
          <w:sz w:val="24"/>
        </w:rPr>
        <w:t xml:space="preserve">一片一策</w:t>
      </w:r>
      <w:r>
        <w:rPr>
          <w:rFonts w:ascii="Times New Roman" w:hAnsi="Times New Roman" w:eastAsia="方正仿宋_GBK"/>
          <w:b w:val="0"/>
          <w:sz w:val="24"/>
        </w:rPr>
        <w:t xml:space="preserve">”</w:t>
      </w:r>
      <w:r>
        <w:rPr>
          <w:rFonts w:ascii="Times New Roman" w:hAnsi="Times New Roman" w:eastAsia="方正仿宋_GBK"/>
          <w:b w:val="0"/>
          <w:sz w:val="24"/>
        </w:rPr>
        <w:t xml:space="preserve">容量规划方案。</w:t>
      </w:r>
    </w:p>
    <w:p>
      <w:pPr>
        <w:pStyle w:val="4"/>
        <w:keepNext/>
        <w:numPr>
          <w:numId w:val="0"/>
        </w:numPr>
        <w:spacing w:line="480" w:lineRule="exact" w:before="160" w:after="120"/>
        <w:ind w:firstLine="0"/>
      </w:pPr>
      <w:bookmarkStart w:id="2047" w:name="h1047"/>
      <w:bookmarkStart w:id="273" w:name="后续研究方向"/>
      <w:r>
        <w:rPr>
          <w:rFonts w:ascii="Times New Roman" w:hAnsi="Times New Roman" w:eastAsia="方正仿宋_GBK"/>
          <w:b/>
          <w:sz w:val="32"/>
        </w:rPr>
        <w:t xml:space="preserve">6.3 后续研究方向</w:t>
      </w:r>
      <w:bookmarkEnd w:id="273"/>
      <w:bookmarkEnd w:id="2047"/>
    </w:p>
    <w:p>
      <w:pPr>
        <w:pStyle w:val="FirstParagraph"/>
        <w:widowControl/>
        <w:spacing w:line="348" w:lineRule="exact" w:before="0" w:after="0"/>
        <w:ind w:firstLine="480"/>
        <w:jc w:val="both"/>
      </w:pPr>
      <w:r>
        <w:rPr>
          <w:rFonts w:ascii="Times New Roman" w:hAnsi="Times New Roman" w:eastAsia="方正仿宋_GBK"/>
          <w:b w:val="0"/>
          <w:sz w:val="24"/>
        </w:rPr>
        <w:t xml:space="preserve">当前地区案例采用市区45个、邳州26个同期静态截面，覆盖地区和各站局部极值，既有等效通道及部分设备条件采用研究假设，后续结合真实接线补充逐时荷电状态、电压和保护校核。费用包括共同评价期内的建设、固定运维及规定更新，尚未纳入期末残值、储能充电和损耗等科目。研究结果用于当前假定下的技术经济比选，具体建设需以核定网络和工程资料进一步校核。</w:t>
      </w:r>
    </w:p>
    <w:p>
      <w:pPr>
        <w:pStyle w:val="5"/>
        <w:keepNext/>
        <w:numPr>
          <w:numId w:val="0"/>
        </w:numPr>
        <w:spacing w:line="390" w:lineRule="exact" w:before="160" w:after="120"/>
        <w:ind w:firstLine="0"/>
      </w:pPr>
      <w:bookmarkStart w:id="274" w:name="深化储能运行与实际网络校核"/>
      <w:r>
        <w:rPr>
          <w:rFonts w:ascii="Times New Roman" w:hAnsi="Times New Roman" w:eastAsia="方正仿宋_GBK"/>
          <w:b/>
          <w:sz w:val="26"/>
        </w:rPr>
        <w:t xml:space="preserve">6.3.1 深化储能运行与实际网络校核</w:t>
      </w:r>
      <w:bookmarkEnd w:id="274"/>
    </w:p>
    <w:p>
      <w:pPr>
        <w:pStyle w:val="FirstParagraph"/>
        <w:widowControl/>
        <w:spacing w:line="348" w:lineRule="exact" w:before="0" w:after="0"/>
        <w:ind w:firstLine="480"/>
        <w:jc w:val="both"/>
      </w:pPr>
      <w:r>
        <w:rPr>
          <w:rFonts w:ascii="Times New Roman" w:hAnsi="Times New Roman" w:eastAsia="方正仿宋_GBK"/>
          <w:b w:val="0"/>
          <w:sz w:val="24"/>
        </w:rPr>
        <w:t xml:space="preserve">在峰段静态比选基础上，补充同范围用户负荷、光伏出力及转接负荷块的连续时序，按主变N-1期间的实际功率缺口积分确定能量需求，并分别核定正向放电和反向充电所需的荷电状态。结合保证可用能量、充放电效率及故障恢复时间，检查连续多日支撑条件。核实候选联络的实际馈线、开关位置和可切换区段，补充已建存量网络资料，继续分析线路允许容量、电压及保护配合。</w:t>
      </w:r>
    </w:p>
    <w:p>
      <w:pPr>
        <w:pStyle w:val="5"/>
        <w:keepNext/>
        <w:numPr>
          <w:numId w:val="0"/>
        </w:numPr>
        <w:spacing w:line="390" w:lineRule="exact" w:before="160" w:after="120"/>
        <w:ind w:firstLine="0"/>
      </w:pPr>
      <w:bookmarkStart w:id="275" w:name="拓展片区结构和经济参数"/>
      <w:r>
        <w:rPr>
          <w:rFonts w:ascii="Times New Roman" w:hAnsi="Times New Roman" w:eastAsia="方正仿宋_GBK"/>
          <w:b/>
          <w:sz w:val="26"/>
        </w:rPr>
        <w:t xml:space="preserve">6.3.2 拓展片区结构和经济参数</w:t>
      </w:r>
      <w:bookmarkEnd w:id="275"/>
    </w:p>
    <w:p>
      <w:pPr>
        <w:pStyle w:val="FirstParagraph"/>
        <w:widowControl/>
        <w:spacing w:line="348" w:lineRule="exact" w:before="0" w:after="0"/>
        <w:ind w:firstLine="480"/>
        <w:jc w:val="both"/>
      </w:pPr>
      <w:r>
        <w:rPr>
          <w:rFonts w:ascii="Times New Roman" w:hAnsi="Times New Roman" w:eastAsia="方正仿宋_GBK"/>
          <w:b w:val="0"/>
          <w:sz w:val="24"/>
        </w:rPr>
        <w:t xml:space="preserve">进一步增加不同主变台数、负荷密度和电源分布的站群，补充更多区县核定数据，分析线路与储能价格变化时的配置切换条件。在本研究既定规划条件下，结合新增片区资料核对容量储备、地区差异及费用变化，细化推荐区间的适用范围。结合工程概算、期末资产价值和运行费用完善现金流，细化推荐区间及建设时序。</w:t>
      </w:r>
    </w:p>
    <w:p>
      <w:pPr>
        <w:pStyle w:val="3"/>
        <w:keepNext/>
        <w:pageBreakBefore/>
        <w:numPr>
          <w:numId w:val="0"/>
        </w:numPr>
        <w:spacing w:line="540" w:lineRule="exact" w:before="0" w:after="120"/>
        <w:ind w:firstLine="0"/>
      </w:pPr>
      <w:bookmarkStart w:id="2053" w:name="h1053"/>
      <w:bookmarkStart w:id="276" w:name="参考文献"/>
      <w:r>
        <w:rPr>
          <w:rFonts w:ascii="Times New Roman" w:hAnsi="Times New Roman" w:eastAsia="方正仿宋_GBK"/>
          <w:b/>
          <w:sz w:val="36"/>
        </w:rPr>
        <w:t xml:space="preserve">参考文献</w:t>
      </w:r>
      <w:bookmarkEnd w:id="276"/>
      <w:bookmarkEnd w:id="2053"/>
    </w:p>
    <w:p>
      <w:pPr>
        <w:pStyle w:val="FirstParagraph"/>
        <w:widowControl/>
        <w:spacing w:line="320" w:lineRule="exact" w:before="0" w:after="80"/>
        <w:ind w:firstLine="0"/>
        <w:jc w:val="left"/>
      </w:pPr>
      <w:r>
        <w:rPr>
          <w:rFonts w:ascii="Times New Roman" w:hAnsi="Times New Roman" w:eastAsia="方正仿宋_GBK"/>
          <w:b w:val="0"/>
          <w:sz w:val="21"/>
        </w:rPr>
        <w:t xml:space="preserve">[1] 国家能源局. 国家能源局举行新闻发布会 介绍2026年一季度可再生能源并网运行情况[EB/OL]. (2026-04-27)[2026-10-02]. https://www.nea.gov.cn/20260427/4b751e59b0d7463a95f74096fed83e14/c.html.</w:t>
      </w:r>
    </w:p>
    <w:p>
      <w:pPr>
        <w:pStyle w:val="2"/>
        <w:widowControl/>
        <w:spacing w:line="320" w:lineRule="exact" w:before="0" w:after="80"/>
        <w:ind w:firstLine="0"/>
        <w:jc w:val="left"/>
      </w:pPr>
      <w:r>
        <w:rPr>
          <w:rFonts w:ascii="Times New Roman" w:hAnsi="Times New Roman" w:eastAsia="方正仿宋_GBK"/>
          <w:b w:val="0"/>
          <w:sz w:val="21"/>
        </w:rPr>
        <w:t xml:space="preserve">[2] 国家能源局. 2026年一季度光伏发电建设情况[EB/OL]. (2026-05-19)[2026-10-02]. https://www.nea.gov.cn/20260519/6008bb88dc0649e5b5530fd6ad0b117a/c.html.</w:t>
      </w:r>
    </w:p>
    <w:p>
      <w:pPr>
        <w:pStyle w:val="2"/>
        <w:widowControl/>
        <w:spacing w:line="320" w:lineRule="exact" w:before="0" w:after="80"/>
        <w:ind w:firstLine="0"/>
        <w:jc w:val="left"/>
      </w:pPr>
      <w:r>
        <w:rPr>
          <w:rFonts w:ascii="Times New Roman" w:hAnsi="Times New Roman" w:eastAsia="方正仿宋_GBK"/>
          <w:b w:val="0"/>
          <w:sz w:val="21"/>
        </w:rPr>
        <w:t xml:space="preserve">[3] HOU Q, ZHANG N, DU E, et al. Probabilistic duck curve in high PV penetration power system: concept, modeling, and empirical analysis in China[J]. Applied Energy, 2019, 242: 205-215.</w:t>
      </w:r>
    </w:p>
    <w:p>
      <w:pPr>
        <w:pStyle w:val="2"/>
        <w:widowControl/>
        <w:spacing w:line="320" w:lineRule="exact" w:before="0" w:after="80"/>
        <w:ind w:firstLine="0"/>
        <w:jc w:val="left"/>
      </w:pPr>
      <w:r>
        <w:rPr>
          <w:rFonts w:ascii="Times New Roman" w:hAnsi="Times New Roman" w:eastAsia="方正仿宋_GBK"/>
          <w:b w:val="0"/>
          <w:sz w:val="21"/>
        </w:rPr>
        <w:t xml:space="preserve">[4] MAJEED I B, NWULU N I. Impact of reverse power flow on distributed transformers in a solar-photovoltaic-integrated low-voltage network[J]. Energies, 2022, 15(23): 9238.</w:t>
      </w:r>
    </w:p>
    <w:p>
      <w:pPr>
        <w:pStyle w:val="2"/>
        <w:widowControl/>
        <w:spacing w:line="320" w:lineRule="exact" w:before="0" w:after="80"/>
        <w:ind w:firstLine="0"/>
        <w:jc w:val="left"/>
      </w:pPr>
      <w:r>
        <w:rPr>
          <w:rFonts w:ascii="Times New Roman" w:hAnsi="Times New Roman" w:eastAsia="方正仿宋_GBK"/>
          <w:b w:val="0"/>
          <w:sz w:val="21"/>
        </w:rPr>
        <w:t xml:space="preserve">[5] DL/T 5729—2023 配电网规划设计技术导则[S]. 2023.</w:t>
      </w:r>
    </w:p>
    <w:p>
      <w:pPr>
        <w:pStyle w:val="2"/>
        <w:widowControl/>
        <w:spacing w:line="320" w:lineRule="exact" w:before="0" w:after="80"/>
        <w:ind w:firstLine="0"/>
        <w:jc w:val="left"/>
      </w:pPr>
      <w:r>
        <w:rPr>
          <w:rFonts w:ascii="Times New Roman" w:hAnsi="Times New Roman" w:eastAsia="方正仿宋_GBK"/>
          <w:b w:val="0"/>
          <w:sz w:val="21"/>
        </w:rPr>
        <w:t xml:space="preserve">[6] 国家发展改革委, 国家能源局. 关于新形势下配电网高质量发展的指导意见: 发改能源〔2024〕187号[Z]. 2024.</w:t>
      </w:r>
    </w:p>
    <w:p>
      <w:pPr>
        <w:pStyle w:val="2"/>
        <w:widowControl/>
        <w:spacing w:line="320" w:lineRule="exact" w:before="0" w:after="80"/>
        <w:ind w:firstLine="0"/>
        <w:jc w:val="left"/>
      </w:pPr>
      <w:r>
        <w:rPr>
          <w:rFonts w:ascii="Times New Roman" w:hAnsi="Times New Roman" w:eastAsia="方正仿宋_GBK"/>
          <w:b w:val="0"/>
          <w:sz w:val="21"/>
        </w:rPr>
        <w:t xml:space="preserve">[7] 配电网规划设计技术导则（修订稿，2025年4月）[R]. 2025.</w:t>
      </w:r>
    </w:p>
    <w:p>
      <w:pPr>
        <w:pStyle w:val="2"/>
        <w:widowControl/>
        <w:spacing w:line="320" w:lineRule="exact" w:before="0" w:after="80"/>
        <w:ind w:firstLine="0"/>
        <w:jc w:val="left"/>
      </w:pPr>
      <w:r>
        <w:rPr>
          <w:rFonts w:ascii="Times New Roman" w:hAnsi="Times New Roman" w:eastAsia="方正仿宋_GBK"/>
          <w:b w:val="0"/>
          <w:sz w:val="21"/>
        </w:rPr>
        <w:t xml:space="preserve">[8] 肖峻, 刘柔嘉, 龙梦皓. 变电容载比与下一级中压配电网络关系的量化分析[J]. 电力建设, 2015, 36(11): 45-50.</w:t>
      </w:r>
    </w:p>
    <w:p>
      <w:pPr>
        <w:pStyle w:val="2"/>
        <w:widowControl/>
        <w:spacing w:line="320" w:lineRule="exact" w:before="0" w:after="80"/>
        <w:ind w:firstLine="0"/>
        <w:jc w:val="left"/>
      </w:pPr>
      <w:r>
        <w:rPr>
          <w:rFonts w:ascii="Times New Roman" w:hAnsi="Times New Roman" w:eastAsia="方正仿宋_GBK"/>
          <w:b w:val="0"/>
          <w:sz w:val="21"/>
        </w:rPr>
        <w:t xml:space="preserve">[9] DL/T 2041—2025 分布式电源接入电力系统承载力评估导则[S]. 2025.</w:t>
      </w:r>
    </w:p>
    <w:p>
      <w:pPr>
        <w:pStyle w:val="2"/>
        <w:widowControl/>
        <w:spacing w:line="320" w:lineRule="exact" w:before="0" w:after="80"/>
        <w:ind w:firstLine="0"/>
        <w:jc w:val="left"/>
      </w:pPr>
      <w:r>
        <w:rPr>
          <w:rFonts w:ascii="Times New Roman" w:hAnsi="Times New Roman" w:eastAsia="方正仿宋_GBK"/>
          <w:b w:val="0"/>
          <w:sz w:val="21"/>
        </w:rPr>
        <w:t xml:space="preserve">[10] XU T, MENG H, ZHU J, et al. Considering the life-cycle cost of distributed energy-storage planning in distribution grids[J]. Applied Sciences, 2018, 8(12): 2615.</w:t>
      </w:r>
    </w:p>
    <w:p>
      <w:pPr>
        <w:pStyle w:val="2"/>
        <w:widowControl/>
        <w:spacing w:line="320" w:lineRule="exact" w:before="0" w:after="80"/>
        <w:ind w:firstLine="0"/>
        <w:jc w:val="left"/>
      </w:pPr>
      <w:r>
        <w:rPr>
          <w:rFonts w:ascii="Times New Roman" w:hAnsi="Times New Roman" w:eastAsia="方正仿宋_GBK"/>
          <w:b w:val="0"/>
          <w:sz w:val="21"/>
        </w:rPr>
        <w:t xml:space="preserve">[11] ZENG W, FAN J, ZHANG W, et al. Whole life cycle cost analysis of transmission lines using the economic life interval method[J]. Energies, 2023, 16(23): 7804.</w:t>
      </w:r>
    </w:p>
    <w:p>
      <w:pPr>
        <w:pStyle w:val="2"/>
        <w:widowControl/>
        <w:spacing w:line="320" w:lineRule="exact" w:before="0" w:after="80"/>
        <w:ind w:firstLine="0"/>
        <w:jc w:val="left"/>
      </w:pPr>
      <w:r>
        <w:rPr>
          <w:rFonts w:ascii="Times New Roman" w:hAnsi="Times New Roman" w:eastAsia="方正仿宋_GBK"/>
          <w:b w:val="0"/>
          <w:sz w:val="21"/>
        </w:rPr>
        <w:t xml:space="preserve">[12] ZHU Z, LU S, GAO B, et al. Life cycle cost analysis of three types of power lines in 10 kV distribution network[J]. Inventions, 2016, 1(4): 20.</w:t>
      </w:r>
    </w:p>
    <w:p>
      <w:pPr>
        <w:pStyle w:val="2"/>
        <w:widowControl/>
        <w:spacing w:line="320" w:lineRule="exact" w:before="0" w:after="80"/>
        <w:ind w:firstLine="0"/>
        <w:jc w:val="left"/>
      </w:pPr>
      <w:r>
        <w:rPr>
          <w:rFonts w:ascii="Times New Roman" w:hAnsi="Times New Roman" w:eastAsia="方正仿宋_GBK"/>
          <w:b w:val="0"/>
          <w:sz w:val="21"/>
        </w:rPr>
        <w:t xml:space="preserve">[13] SAATY T L. The analytic hierarchy process[M]. New York: McGraw-Hill, 1980.</w:t>
      </w:r>
    </w:p>
    <w:p>
      <w:pPr>
        <w:pStyle w:val="2"/>
        <w:widowControl/>
        <w:spacing w:line="320" w:lineRule="exact" w:before="0" w:after="80"/>
        <w:ind w:firstLine="0"/>
        <w:jc w:val="left"/>
      </w:pPr>
      <w:r>
        <w:rPr>
          <w:rFonts w:ascii="Times New Roman" w:hAnsi="Times New Roman" w:eastAsia="方正仿宋_GBK"/>
          <w:b w:val="0"/>
          <w:sz w:val="21"/>
        </w:rPr>
        <w:t xml:space="preserve">[14] WU Q, PENG C. Comprehensive benefit evaluation of the power distribution network planning project based on improved IAHP and multi-level extension assessment method[J]. Sustainability, 2016, 8(8): 796.</w:t>
      </w:r>
    </w:p>
    <w:p>
      <w:pPr>
        <w:pStyle w:val="2"/>
        <w:widowControl/>
        <w:spacing w:line="320" w:lineRule="exact" w:before="0" w:after="80"/>
        <w:ind w:firstLine="0"/>
        <w:jc w:val="left"/>
      </w:pPr>
      <w:r>
        <w:rPr>
          <w:rFonts w:ascii="Times New Roman" w:hAnsi="Times New Roman" w:eastAsia="方正仿宋_GBK"/>
          <w:b w:val="0"/>
          <w:sz w:val="21"/>
        </w:rPr>
        <w:t xml:space="preserve">[15] 罗宁, 贺墨琳, 高华, 等. 基于改进的AHP-CRITIC组合赋权与可拓评估模型的配电网综合评价方法[J]. 电力系统保护与控制, 2021, 49(16): 86-96.</w:t>
      </w:r>
    </w:p>
    <w:p>
      <w:pPr>
        <w:pStyle w:val="2"/>
        <w:widowControl/>
        <w:spacing w:line="320" w:lineRule="exact" w:before="0" w:after="80"/>
        <w:ind w:firstLine="0"/>
        <w:jc w:val="left"/>
      </w:pPr>
      <w:r>
        <w:rPr>
          <w:rFonts w:ascii="Times New Roman" w:hAnsi="Times New Roman" w:eastAsia="方正仿宋_GBK"/>
          <w:b w:val="0"/>
          <w:sz w:val="21"/>
        </w:rPr>
        <w:t xml:space="preserve">[16] 程智余, 朱晓虎, 李建青. 基于改进ELECTRE法的电网规划投资多准则融合决策方法[J]. 中国电力, 2022, 55(11): 59-65.</w:t>
      </w:r>
    </w:p>
    <w:p>
      <w:pPr>
        <w:pStyle w:val="2"/>
        <w:widowControl/>
        <w:spacing w:line="320" w:lineRule="exact" w:before="0" w:after="80"/>
        <w:ind w:firstLine="0"/>
        <w:jc w:val="left"/>
      </w:pPr>
      <w:r>
        <w:rPr>
          <w:rFonts w:ascii="Times New Roman" w:hAnsi="Times New Roman" w:eastAsia="方正仿宋_GBK"/>
          <w:b w:val="0"/>
          <w:sz w:val="21"/>
        </w:rPr>
        <w:t xml:space="preserve">[17] GB/T 45418—2025 配电网通用技术导则[S]. 2025.</w:t>
      </w:r>
    </w:p>
    <w:p>
      <w:pPr>
        <w:pStyle w:val="2"/>
        <w:widowControl/>
        <w:spacing w:line="320" w:lineRule="exact" w:before="0" w:after="80"/>
        <w:ind w:firstLine="0"/>
        <w:jc w:val="left"/>
      </w:pPr>
      <w:r>
        <w:rPr>
          <w:rFonts w:ascii="Times New Roman" w:hAnsi="Times New Roman" w:eastAsia="方正仿宋_GBK"/>
          <w:b w:val="0"/>
          <w:sz w:val="21"/>
        </w:rPr>
        <w:t xml:space="preserve">[18] LIN T, WU G, LAI S, et al. Calculation of distribution network PV hosting capacity considering source–load uncertainty and active management[J]. Electronics, 2024, 13(20): 4048.</w:t>
      </w:r>
    </w:p>
    <w:p>
      <w:pPr>
        <w:pStyle w:val="2"/>
        <w:widowControl/>
        <w:spacing w:line="320" w:lineRule="exact" w:before="0" w:after="80"/>
        <w:ind w:firstLine="0"/>
        <w:jc w:val="left"/>
      </w:pPr>
      <w:r>
        <w:rPr>
          <w:rFonts w:ascii="Times New Roman" w:hAnsi="Times New Roman" w:eastAsia="方正仿宋_GBK"/>
          <w:b w:val="0"/>
          <w:sz w:val="21"/>
        </w:rPr>
        <w:t xml:space="preserve">[19] CHEN C, PENG W, XIE C, et al. Photovoltaic hosting capacity assessment of distribution networks considering source–load uncertainty[J]. Energies, 2025, 18(8): 2134.</w:t>
      </w:r>
    </w:p>
    <w:p>
      <w:pPr>
        <w:pStyle w:val="2"/>
        <w:widowControl/>
        <w:spacing w:line="320" w:lineRule="exact" w:before="0" w:after="80"/>
        <w:ind w:firstLine="0"/>
        <w:jc w:val="left"/>
      </w:pPr>
      <w:r>
        <w:rPr>
          <w:rFonts w:ascii="Times New Roman" w:hAnsi="Times New Roman" w:eastAsia="方正仿宋_GBK"/>
          <w:b w:val="0"/>
          <w:sz w:val="21"/>
        </w:rPr>
        <w:t xml:space="preserve">[20] LIU H, HE J, DENG L, et al. Assessment of distribution network hosting capacity incorporating multiple uncertainty factors[J]. Electronics, 2025, 14(22): 4495.</w:t>
      </w:r>
    </w:p>
    <w:p>
      <w:pPr>
        <w:pStyle w:val="2"/>
        <w:widowControl/>
        <w:spacing w:line="320" w:lineRule="exact" w:before="0" w:after="80"/>
        <w:ind w:firstLine="0"/>
        <w:jc w:val="left"/>
      </w:pPr>
      <w:r>
        <w:rPr>
          <w:rFonts w:ascii="Times New Roman" w:hAnsi="Times New Roman" w:eastAsia="方正仿宋_GBK"/>
          <w:b w:val="0"/>
          <w:sz w:val="21"/>
        </w:rPr>
        <w:t xml:space="preserve">[21] SHU J, ZHAO C, CHU B, et al. A closed-loop framework for PV dynamic hosting capacity: integrating physics-informed forecasting and stability constraints[J]. Frontiers in Energy Research, 2026. DOI: 10.3389/fenrg.2026.1823435.</w:t>
      </w:r>
    </w:p>
    <w:p>
      <w:pPr>
        <w:pStyle w:val="2"/>
        <w:widowControl/>
        <w:spacing w:line="320" w:lineRule="exact" w:before="0" w:after="80"/>
        <w:ind w:firstLine="0"/>
        <w:jc w:val="left"/>
      </w:pPr>
      <w:r>
        <w:rPr>
          <w:rFonts w:ascii="Times New Roman" w:hAnsi="Times New Roman" w:eastAsia="方正仿宋_GBK"/>
          <w:b w:val="0"/>
          <w:sz w:val="21"/>
        </w:rPr>
        <w:t xml:space="preserve">[22] HAIDER R, FERRO G, ROBBA M, et al. Flattening the duck curve: a case for distributed decision making[C]//2022 IEEE Power &amp; Energy Society General Meeting. 2022. DOI: 10.1109/PESGM48719.2022.9917019.</w:t>
      </w:r>
    </w:p>
    <w:p>
      <w:pPr>
        <w:pStyle w:val="2"/>
        <w:widowControl/>
        <w:spacing w:line="320" w:lineRule="exact" w:before="0" w:after="80"/>
        <w:ind w:firstLine="0"/>
        <w:jc w:val="left"/>
      </w:pPr>
      <w:r>
        <w:rPr>
          <w:rFonts w:ascii="Times New Roman" w:hAnsi="Times New Roman" w:eastAsia="方正仿宋_GBK"/>
          <w:b w:val="0"/>
          <w:sz w:val="21"/>
        </w:rPr>
        <w:t xml:space="preserve">[23] XIE Y, LI Q, YANG L, et al. The phenomenon and suppression strategy of overvoltage caused by PV power reverse flow[J]. Frontiers in Energy Research, 2024, 12: 1495742.</w:t>
      </w:r>
    </w:p>
    <w:p>
      <w:pPr>
        <w:pStyle w:val="2"/>
        <w:widowControl/>
        <w:spacing w:line="320" w:lineRule="exact" w:before="0" w:after="80"/>
        <w:ind w:firstLine="0"/>
        <w:jc w:val="left"/>
      </w:pPr>
      <w:r>
        <w:rPr>
          <w:rFonts w:ascii="Times New Roman" w:hAnsi="Times New Roman" w:eastAsia="方正仿宋_GBK"/>
          <w:b w:val="0"/>
          <w:sz w:val="21"/>
        </w:rPr>
        <w:t xml:space="preserve">[24] GHORBANSARVI A, HAMILTON D, ALMASSALKHI M R, et al. Transformer temperature management and voltage control in electric distribution systems with high solar PV penetration[EB/OL]. arXiv: 2410.09011, 2024.</w:t>
      </w:r>
    </w:p>
    <w:p>
      <w:pPr>
        <w:pStyle w:val="2"/>
        <w:widowControl/>
        <w:spacing w:line="320" w:lineRule="exact" w:before="0" w:after="80"/>
        <w:ind w:firstLine="0"/>
        <w:jc w:val="left"/>
      </w:pPr>
      <w:r>
        <w:rPr>
          <w:rFonts w:ascii="Times New Roman" w:hAnsi="Times New Roman" w:eastAsia="方正仿宋_GBK"/>
          <w:b w:val="0"/>
          <w:sz w:val="21"/>
        </w:rPr>
        <w:t xml:space="preserve">[25] GAO X, ZHANG J, SUN H, et al. A review of voltage control studies on low voltage distribution networks containing high penetration distributed photovoltaics[J]. Energies, 2024, 17(13): 3058.</w:t>
      </w:r>
    </w:p>
    <w:p>
      <w:pPr>
        <w:pStyle w:val="2"/>
        <w:widowControl/>
        <w:spacing w:line="320" w:lineRule="exact" w:before="0" w:after="80"/>
        <w:ind w:firstLine="0"/>
        <w:jc w:val="left"/>
      </w:pPr>
      <w:r>
        <w:rPr>
          <w:rFonts w:ascii="Times New Roman" w:hAnsi="Times New Roman" w:eastAsia="方正仿宋_GBK"/>
          <w:b w:val="0"/>
          <w:sz w:val="21"/>
        </w:rPr>
        <w:t xml:space="preserve">[26] NAIR V J, VAHID-GHAVIDEL M, ANNASWAMY A M. Dynamic resource coordination can increase grid hosting capacity to support more renewables, storage, and electrified load growth[EB/OL]. arXiv:2604.02170, 2026.</w:t>
      </w:r>
    </w:p>
    <w:p>
      <w:pPr>
        <w:pStyle w:val="2"/>
        <w:widowControl/>
        <w:spacing w:line="320" w:lineRule="exact" w:before="0" w:after="80"/>
        <w:ind w:firstLine="0"/>
        <w:jc w:val="left"/>
      </w:pPr>
      <w:r>
        <w:rPr>
          <w:rFonts w:ascii="Times New Roman" w:hAnsi="Times New Roman" w:eastAsia="方正仿宋_GBK"/>
          <w:b w:val="0"/>
          <w:sz w:val="21"/>
        </w:rPr>
        <w:t xml:space="preserve">[27] WANG R, JI H, LI P, et al. Multi-resource dynamic coordinated planning of flexible distribution network[J]. Nature Communications, 2024, 15: 4576.</w:t>
      </w:r>
    </w:p>
    <w:p>
      <w:pPr>
        <w:pStyle w:val="2"/>
        <w:widowControl/>
        <w:spacing w:line="320" w:lineRule="exact" w:before="0" w:after="80"/>
        <w:ind w:firstLine="0"/>
        <w:jc w:val="left"/>
      </w:pPr>
      <w:r>
        <w:rPr>
          <w:rFonts w:ascii="Times New Roman" w:hAnsi="Times New Roman" w:eastAsia="方正仿宋_GBK"/>
          <w:b w:val="0"/>
          <w:sz w:val="21"/>
        </w:rPr>
        <w:t xml:space="preserve">[28] MARTÍNEZ M, MATEO C, GÓMEZ T, et al. Distributed battery energy storage systems for deferring distribution network reinforcements under sustained load growth scenarios[J]. Journal of Energy Storage, 2024, 100: 113404.</w:t>
      </w:r>
    </w:p>
    <w:p>
      <w:pPr>
        <w:pStyle w:val="2"/>
        <w:widowControl/>
        <w:spacing w:line="320" w:lineRule="exact" w:before="0" w:after="80"/>
        <w:ind w:firstLine="0"/>
        <w:jc w:val="left"/>
      </w:pPr>
      <w:r>
        <w:rPr>
          <w:rFonts w:ascii="Times New Roman" w:hAnsi="Times New Roman" w:eastAsia="方正仿宋_GBK"/>
          <w:b w:val="0"/>
          <w:sz w:val="21"/>
        </w:rPr>
        <w:t xml:space="preserve">[29] HOLWEGER J, BALLIF C, WYRSCH N. Distributed flexibility as a cost-effective alternative to grid reinforcement[EB/OL]. arXiv:2109.07305, 2021.</w:t>
      </w:r>
    </w:p>
    <w:p>
      <w:pPr>
        <w:pStyle w:val="2"/>
        <w:widowControl/>
        <w:spacing w:line="320" w:lineRule="exact" w:before="0" w:after="80"/>
        <w:ind w:firstLine="0"/>
        <w:jc w:val="left"/>
      </w:pPr>
      <w:r>
        <w:rPr>
          <w:rFonts w:ascii="Times New Roman" w:hAnsi="Times New Roman" w:eastAsia="方正仿宋_GBK"/>
          <w:b w:val="0"/>
          <w:sz w:val="21"/>
        </w:rPr>
        <w:t xml:space="preserve">[30] MATTHISS B, MOMENIFARAHANI A, BINDER J. Storage placement and sizing in a distribution grid with high PV-generation[EB/OL]. arXiv: 2001.05814, 2020.</w:t>
      </w:r>
    </w:p>
    <w:p>
      <w:pPr>
        <w:pStyle w:val="2"/>
        <w:widowControl/>
        <w:spacing w:line="320" w:lineRule="exact" w:before="0" w:after="80"/>
        <w:ind w:firstLine="0"/>
        <w:jc w:val="left"/>
      </w:pPr>
      <w:r>
        <w:rPr>
          <w:rFonts w:ascii="Times New Roman" w:hAnsi="Times New Roman" w:eastAsia="方正仿宋_GBK"/>
          <w:b w:val="0"/>
          <w:sz w:val="21"/>
        </w:rPr>
        <w:t xml:space="preserve">[31] WU Y, CHEN Y, LI Z, et al. Robust co-planning of distributed photovoltaics and energy storage for enhancing the hosting capacity of active distribution networks[J]. Renewable Energy, 2025, 253: 123645.</w:t>
      </w:r>
    </w:p>
    <w:p>
      <w:pPr>
        <w:pStyle w:val="2"/>
        <w:widowControl/>
        <w:spacing w:line="320" w:lineRule="exact" w:before="0" w:after="80"/>
        <w:ind w:firstLine="0"/>
        <w:jc w:val="left"/>
      </w:pPr>
      <w:r>
        <w:rPr>
          <w:rFonts w:ascii="Times New Roman" w:hAnsi="Times New Roman" w:eastAsia="方正仿宋_GBK"/>
          <w:b w:val="0"/>
          <w:sz w:val="21"/>
        </w:rPr>
        <w:t xml:space="preserve">[32] ZHANG Q, WANG Z, MA S, et al. Stochastic pre-event preparation for enhancing resilience of distribution systems with high DER penetration[EB/OL]. (2020)[2026-10-02]. https://arxiv.org/abs/2012.13043.</w:t>
      </w:r>
    </w:p>
    <w:p>
      <w:pPr>
        <w:pStyle w:val="2"/>
        <w:widowControl/>
        <w:spacing w:line="320" w:lineRule="exact" w:before="0" w:after="80"/>
        <w:ind w:firstLine="0"/>
        <w:jc w:val="left"/>
      </w:pPr>
      <w:r>
        <w:rPr>
          <w:rFonts w:ascii="Times New Roman" w:hAnsi="Times New Roman" w:eastAsia="方正仿宋_GBK"/>
          <w:b w:val="0"/>
          <w:sz w:val="21"/>
        </w:rPr>
        <w:t xml:space="preserve">[33] HUANG J, SUN Z, XIE H, et al. Optimal substation capacity planning method in high-density load areas considering renewable energy[J]. Energy Reports, 2023, 9: 1520-1530.</w:t>
      </w:r>
    </w:p>
    <w:p>
      <w:pPr>
        <w:pStyle w:val="2"/>
        <w:widowControl/>
        <w:spacing w:line="320" w:lineRule="exact" w:before="0" w:after="80"/>
        <w:ind w:firstLine="0"/>
        <w:jc w:val="left"/>
      </w:pPr>
      <w:r>
        <w:rPr>
          <w:rFonts w:ascii="Times New Roman" w:hAnsi="Times New Roman" w:eastAsia="方正仿宋_GBK"/>
          <w:b w:val="0"/>
          <w:sz w:val="21"/>
        </w:rPr>
        <w:t xml:space="preserve">[34] XU D, FU Q, YE L, et al. The optimal sizing of substation capacity in a distribution network, considering a dynamic time-of-use pricing mechanism[J]. Sensors, 2022, 22(19): 7173.</w:t>
      </w:r>
    </w:p>
    <w:p>
      <w:pPr>
        <w:pStyle w:val="2"/>
        <w:widowControl/>
        <w:spacing w:line="320" w:lineRule="exact" w:before="0" w:after="80"/>
        <w:ind w:firstLine="0"/>
        <w:jc w:val="left"/>
      </w:pPr>
      <w:r>
        <w:rPr>
          <w:rFonts w:ascii="Times New Roman" w:hAnsi="Times New Roman" w:eastAsia="方正仿宋_GBK"/>
          <w:b w:val="0"/>
          <w:sz w:val="21"/>
        </w:rPr>
        <w:t xml:space="preserve">[35] NESPOLI L, MEDICI V. Global forecasting models for residential load flexibility and grid optimization[J]. Frontiers in Energy Research, 2025, 13: 1547617.</w:t>
      </w:r>
    </w:p>
    <w:p>
      <w:pPr>
        <w:pStyle w:val="2"/>
        <w:widowControl/>
        <w:spacing w:line="320" w:lineRule="exact" w:before="0" w:after="80"/>
        <w:ind w:firstLine="0"/>
        <w:jc w:val="left"/>
      </w:pPr>
      <w:r>
        <w:rPr>
          <w:rFonts w:ascii="Times New Roman" w:hAnsi="Times New Roman" w:eastAsia="方正仿宋_GBK"/>
          <w:b w:val="0"/>
          <w:sz w:val="21"/>
        </w:rPr>
        <w:t xml:space="preserve">[36] ZHU J, LIU Z, DAI F, et al. Coordinated planning of unbalanced flexible interconnected distribution networks based on distributed optimization[J]. Energies, 2026, 19(7): 1769.</w:t>
      </w:r>
    </w:p>
    <w:p>
      <w:pPr>
        <w:pStyle w:val="2"/>
        <w:widowControl/>
        <w:spacing w:line="320" w:lineRule="exact" w:before="0" w:after="80"/>
        <w:ind w:firstLine="0"/>
        <w:jc w:val="left"/>
      </w:pPr>
      <w:r>
        <w:rPr>
          <w:rFonts w:ascii="Times New Roman" w:hAnsi="Times New Roman" w:eastAsia="方正仿宋_GBK"/>
          <w:b w:val="0"/>
          <w:sz w:val="21"/>
        </w:rPr>
        <w:t xml:space="preserve">[37] LUO W, ZHANG C, HAN X, et al. Joint planning method for soft open points and energy storage in hybrid distribution networks based on improved DC power flow[J]. Processes, 2026, 14(6): 1013.</w:t>
      </w:r>
    </w:p>
    <w:p>
      <w:pPr>
        <w:pStyle w:val="2"/>
        <w:widowControl/>
        <w:spacing w:line="320" w:lineRule="exact" w:before="0" w:after="80"/>
        <w:ind w:firstLine="0"/>
        <w:jc w:val="left"/>
      </w:pPr>
      <w:r>
        <w:rPr>
          <w:rFonts w:ascii="Times New Roman" w:hAnsi="Times New Roman" w:eastAsia="方正仿宋_GBK"/>
          <w:b w:val="0"/>
          <w:sz w:val="21"/>
        </w:rPr>
        <w:t xml:space="preserve">[38] WANG J, CHANG C, LE J, et al. Sustainable distribution network planning for enhancing PV accommodation: a source–network–storage coordinated stochastic approach[J]. Sustainability, 2025, 17(12): 5324.</w:t>
      </w:r>
    </w:p>
    <w:p>
      <w:pPr>
        <w:pStyle w:val="2"/>
        <w:widowControl/>
        <w:spacing w:line="320" w:lineRule="exact" w:before="0" w:after="80"/>
        <w:ind w:firstLine="0"/>
        <w:jc w:val="left"/>
      </w:pPr>
      <w:r>
        <w:rPr>
          <w:rFonts w:ascii="Times New Roman" w:hAnsi="Times New Roman" w:eastAsia="方正仿宋_GBK"/>
          <w:b w:val="0"/>
          <w:sz w:val="21"/>
        </w:rPr>
        <w:t xml:space="preserve">[39] SHI Y, YAO Y, LI Y, et al. Research on source–grid–load–storage coordinated optimization and evolutionarily stable strategies for high renewable energy[J]. Energies, 2026, 19(2): 415.</w:t>
      </w:r>
    </w:p>
    <w:p>
      <w:pPr>
        <w:pStyle w:val="2"/>
        <w:widowControl/>
        <w:spacing w:line="320" w:lineRule="exact" w:before="0" w:after="80"/>
        <w:ind w:firstLine="0"/>
        <w:jc w:val="left"/>
      </w:pPr>
      <w:r>
        <w:rPr>
          <w:rFonts w:ascii="Times New Roman" w:hAnsi="Times New Roman" w:eastAsia="方正仿宋_GBK"/>
          <w:b w:val="0"/>
          <w:sz w:val="21"/>
        </w:rPr>
        <w:t xml:space="preserve">[40] WANG Y, YAN C, WANG Z, et al. Adaptability evaluation of power grid planning scheme for novel power system considering multiple decision psychology[J]. Energies, 2024, 17(15): 3672.</w:t>
      </w:r>
    </w:p>
    <w:p>
      <w:pPr>
        <w:pStyle w:val="2"/>
        <w:widowControl/>
        <w:spacing w:line="320" w:lineRule="exact" w:before="0" w:after="80"/>
        <w:ind w:firstLine="0"/>
        <w:jc w:val="left"/>
      </w:pPr>
      <w:r>
        <w:rPr>
          <w:rFonts w:ascii="Times New Roman" w:hAnsi="Times New Roman" w:eastAsia="方正仿宋_GBK"/>
          <w:b w:val="0"/>
          <w:sz w:val="21"/>
        </w:rPr>
        <w:t xml:space="preserve">[41] YE L, LI J, YANG S, et al. An improved TOPSIS method using Fermatean fuzzy sets for techno-economic evaluation of multi-type power sources[J]. Electronics, 2025, 14(23): 4770.</w:t>
      </w:r>
    </w:p>
    <w:p>
      <w:pPr>
        <w:pStyle w:val="2"/>
        <w:widowControl/>
        <w:spacing w:line="320" w:lineRule="exact" w:before="0" w:after="80"/>
        <w:ind w:firstLine="0"/>
        <w:jc w:val="left"/>
      </w:pPr>
      <w:r>
        <w:rPr>
          <w:rFonts w:ascii="Times New Roman" w:hAnsi="Times New Roman" w:eastAsia="方正仿宋_GBK"/>
          <w:b w:val="0"/>
          <w:sz w:val="21"/>
        </w:rPr>
        <w:t xml:space="preserve">[42] ZENG W, FAN J, REN Z, et al. Economic evaluation method of modern power transmission system based on improved technique for order of preference by similarity to ideal solution (TOPSIS) and best-worst method-anti-entropy weight[J]. Energies, 2023, 16(21): 7242.</w:t>
      </w:r>
    </w:p>
    <w:p>
      <w:pPr>
        <w:pStyle w:val="2"/>
        <w:widowControl/>
        <w:spacing w:line="320" w:lineRule="exact" w:before="0" w:after="80"/>
        <w:ind w:firstLine="0"/>
        <w:jc w:val="left"/>
      </w:pPr>
      <w:r>
        <w:rPr>
          <w:rFonts w:ascii="Times New Roman" w:hAnsi="Times New Roman" w:eastAsia="方正仿宋_GBK"/>
          <w:b w:val="0"/>
          <w:sz w:val="21"/>
        </w:rPr>
        <w:t xml:space="preserve">[43] 陈浩, 张焰, 俞国勤, 等. 多电压等级配电网最优容载比的计算方法[J]. 电气应用, 2011, 30(1): 25-29.</w:t>
      </w:r>
    </w:p>
    <w:p>
      <w:pPr>
        <w:pStyle w:val="2"/>
        <w:widowControl/>
        <w:spacing w:line="320" w:lineRule="exact" w:before="0" w:after="80"/>
        <w:ind w:firstLine="0"/>
        <w:jc w:val="left"/>
      </w:pPr>
      <w:r>
        <w:rPr>
          <w:rFonts w:ascii="Times New Roman" w:hAnsi="Times New Roman" w:eastAsia="方正仿宋_GBK"/>
          <w:b w:val="0"/>
          <w:sz w:val="21"/>
        </w:rPr>
        <w:t xml:space="preserve">[44] 王凯亮, 何卓怡, 叶健鹏, 等. 多电压等级电网协同规划的容载比优化配置方法[J]. 南方电网技术, 2025, 19(7): 131-139.</w:t>
      </w:r>
    </w:p>
    <w:p>
      <w:pPr>
        <w:pStyle w:val="2"/>
        <w:widowControl/>
        <w:spacing w:line="320" w:lineRule="exact" w:before="0" w:after="80"/>
        <w:ind w:firstLine="0"/>
        <w:jc w:val="left"/>
      </w:pPr>
      <w:r>
        <w:rPr>
          <w:rFonts w:ascii="Times New Roman" w:hAnsi="Times New Roman" w:eastAsia="方正仿宋_GBK"/>
          <w:b w:val="0"/>
          <w:sz w:val="21"/>
        </w:rPr>
        <w:t xml:space="preserve">[45] 刘文霞, 刘其达, 邓诗语, 等. 基于容载比色带的区域配电网充裕性分析[J]. 华北电力大学学报(自然科学版), 2022, 49(2): 1-12, 22.</w:t>
      </w:r>
    </w:p>
    <w:p>
      <w:pPr>
        <w:pStyle w:val="2"/>
        <w:widowControl/>
        <w:spacing w:line="320" w:lineRule="exact" w:before="0" w:after="80"/>
        <w:ind w:firstLine="0"/>
        <w:jc w:val="left"/>
      </w:pPr>
      <w:r>
        <w:rPr>
          <w:rFonts w:ascii="Times New Roman" w:hAnsi="Times New Roman" w:eastAsia="方正仿宋_GBK"/>
          <w:b w:val="0"/>
          <w:sz w:val="21"/>
        </w:rPr>
        <w:t xml:space="preserve">[46] 刘炜彬, 梁咏秋, 李锡刚, 等. 面向精细化规划的容载比参数优化方法研究[J]. 电气工程学报, 2025, 20(1): 208-216.</w:t>
      </w:r>
    </w:p>
    <w:p>
      <w:pPr>
        <w:pStyle w:val="2"/>
        <w:widowControl/>
        <w:spacing w:line="320" w:lineRule="exact" w:before="0" w:after="80"/>
        <w:ind w:firstLine="0"/>
        <w:jc w:val="left"/>
      </w:pPr>
      <w:r>
        <w:rPr>
          <w:rFonts w:ascii="Times New Roman" w:hAnsi="Times New Roman" w:eastAsia="方正仿宋_GBK"/>
          <w:b w:val="0"/>
          <w:sz w:val="21"/>
        </w:rPr>
        <w:t xml:space="preserve">[47] 张锐, 刘恒超, 张国驹, 等. 基于改进供电能力指标的低压台区柔性互联装置规划[J]. 电力建设, 2025, 46(8): 1-11.</w:t>
      </w:r>
    </w:p>
    <w:p>
      <w:pPr>
        <w:pStyle w:val="2"/>
        <w:widowControl/>
        <w:spacing w:line="320" w:lineRule="exact" w:before="0" w:after="80"/>
        <w:ind w:firstLine="0"/>
        <w:jc w:val="left"/>
      </w:pPr>
      <w:r>
        <w:rPr>
          <w:rFonts w:ascii="Times New Roman" w:hAnsi="Times New Roman" w:eastAsia="方正仿宋_GBK"/>
          <w:b w:val="0"/>
          <w:sz w:val="21"/>
        </w:rPr>
        <w:t xml:space="preserve">[48] 马雨欣, 林凌雪. 面向配电网精准规划的最大供电能力评估方法[J]. 现代电力, 2025, 42(6): 1120-1130.</w:t>
      </w:r>
    </w:p>
    <w:p>
      <w:pPr>
        <w:pStyle w:val="2"/>
        <w:widowControl/>
        <w:spacing w:line="320" w:lineRule="exact" w:before="0" w:after="80"/>
        <w:ind w:firstLine="0"/>
        <w:jc w:val="left"/>
      </w:pPr>
      <w:r>
        <w:rPr>
          <w:rFonts w:ascii="Times New Roman" w:hAnsi="Times New Roman" w:eastAsia="方正仿宋_GBK"/>
          <w:b w:val="0"/>
          <w:sz w:val="21"/>
        </w:rPr>
        <w:t xml:space="preserve">[49] 王守相, 尹孜阳, 赵倩宇. 考虑多供电层级耦合的中低压配电网分布式光伏承载力一体化精细评估方法[J]. 电工技术学报, 2025, 40(6): 1930-1944.</w:t>
      </w:r>
    </w:p>
    <w:p>
      <w:pPr>
        <w:pStyle w:val="2"/>
        <w:widowControl/>
        <w:spacing w:line="320" w:lineRule="exact" w:before="0" w:after="80"/>
        <w:ind w:firstLine="0"/>
        <w:jc w:val="left"/>
      </w:pPr>
      <w:r>
        <w:rPr>
          <w:rFonts w:ascii="Times New Roman" w:hAnsi="Times New Roman" w:eastAsia="方正仿宋_GBK"/>
          <w:b w:val="0"/>
          <w:sz w:val="21"/>
        </w:rPr>
        <w:t xml:space="preserve">[50] 王方敏, 顼佳宇, 苏宁, 等. 新型电力系统风险抑制下分布式光伏承载力概率评估方法[J]. 中国电力, 2025, 58(6): 33-44.</w:t>
      </w:r>
    </w:p>
    <w:p>
      <w:pPr>
        <w:pStyle w:val="2"/>
        <w:widowControl/>
        <w:spacing w:line="320" w:lineRule="exact" w:before="0" w:after="80"/>
        <w:ind w:firstLine="0"/>
        <w:jc w:val="left"/>
      </w:pPr>
      <w:r>
        <w:rPr>
          <w:rFonts w:ascii="Times New Roman" w:hAnsi="Times New Roman" w:eastAsia="方正仿宋_GBK"/>
          <w:b w:val="0"/>
          <w:sz w:val="21"/>
        </w:rPr>
        <w:t xml:space="preserve">[51] 徐非非, 冯华, 覃洪培, 等. 计及不确定性的配电网分布式光伏承载能力区间分析方法[J]. 浙江电力, 2023, 42(11): 86-95.</w:t>
      </w:r>
    </w:p>
    <w:p>
      <w:pPr>
        <w:pStyle w:val="2"/>
        <w:widowControl/>
        <w:spacing w:line="320" w:lineRule="exact" w:before="0" w:after="80"/>
        <w:ind w:firstLine="0"/>
        <w:jc w:val="left"/>
      </w:pPr>
      <w:r>
        <w:rPr>
          <w:rFonts w:ascii="Times New Roman" w:hAnsi="Times New Roman" w:eastAsia="方正仿宋_GBK"/>
          <w:b w:val="0"/>
          <w:sz w:val="21"/>
        </w:rPr>
        <w:t xml:space="preserve">[52] 张伟, 孔巧玉, 滕婕, 等. 面向柔性互联配电网的分布式光伏消纳能力区间评估方法[J/OL]. 现代电力, 2026-03-02. DOI: 10.19725/j.cnki.1007-2322.2024.0254.</w:t>
      </w:r>
    </w:p>
    <w:p>
      <w:pPr>
        <w:pStyle w:val="2"/>
        <w:widowControl/>
        <w:spacing w:line="320" w:lineRule="exact" w:before="0" w:after="80"/>
        <w:ind w:firstLine="0"/>
        <w:jc w:val="left"/>
      </w:pPr>
      <w:r>
        <w:rPr>
          <w:rFonts w:ascii="Times New Roman" w:hAnsi="Times New Roman" w:eastAsia="方正仿宋_GBK"/>
          <w:b w:val="0"/>
          <w:sz w:val="21"/>
        </w:rPr>
        <w:t xml:space="preserve">[53] 宋钰, 郭玥, 王旭阳, 等. 分布式光伏接入配电网安全经济承载力评估[J]. 浙江电力, 2025, 44(11): 93-102.</w:t>
      </w:r>
    </w:p>
    <w:p>
      <w:pPr>
        <w:pStyle w:val="2"/>
        <w:widowControl/>
        <w:spacing w:line="320" w:lineRule="exact" w:before="0" w:after="80"/>
        <w:ind w:firstLine="0"/>
        <w:jc w:val="left"/>
      </w:pPr>
      <w:r>
        <w:rPr>
          <w:rFonts w:ascii="Times New Roman" w:hAnsi="Times New Roman" w:eastAsia="方正仿宋_GBK"/>
          <w:b w:val="0"/>
          <w:sz w:val="21"/>
        </w:rPr>
        <w:t xml:space="preserve">[54] 李敬如, 白宇, 王旭阳, 等. 考虑主配协同的分布式光伏接入电网安全经济承载力计算方法[J]. 电力建设, 2025, 46(10): 113-121.</w:t>
      </w:r>
    </w:p>
    <w:p>
      <w:pPr>
        <w:pStyle w:val="2"/>
        <w:widowControl/>
        <w:spacing w:line="320" w:lineRule="exact" w:before="0" w:after="80"/>
        <w:ind w:firstLine="0"/>
        <w:jc w:val="left"/>
      </w:pPr>
      <w:r>
        <w:rPr>
          <w:rFonts w:ascii="Times New Roman" w:hAnsi="Times New Roman" w:eastAsia="方正仿宋_GBK"/>
          <w:b w:val="0"/>
          <w:sz w:val="21"/>
        </w:rPr>
        <w:t xml:space="preserve">[55] 龚锐, 李华强, 许立雄. 面向配电网综合承载力提升的储能优化配置方法[J]. 电网技术, 2025, 49(9): 3860-3869.</w:t>
      </w:r>
    </w:p>
    <w:p>
      <w:pPr>
        <w:pStyle w:val="2"/>
        <w:widowControl/>
        <w:spacing w:line="320" w:lineRule="exact" w:before="0" w:after="80"/>
        <w:ind w:firstLine="0"/>
        <w:jc w:val="left"/>
      </w:pPr>
      <w:r>
        <w:rPr>
          <w:rFonts w:ascii="Times New Roman" w:hAnsi="Times New Roman" w:eastAsia="方正仿宋_GBK"/>
          <w:b w:val="0"/>
          <w:sz w:val="21"/>
        </w:rPr>
        <w:t xml:space="preserve">[56] 曹炜, 董浩洋, 李芸, 等. 分布式光伏高比例接入的国外经验及实践启示[J]. 电气传动, 2022, 52(4): 3-11.</w:t>
      </w:r>
    </w:p>
    <w:p>
      <w:pPr>
        <w:pStyle w:val="2"/>
        <w:widowControl/>
        <w:spacing w:line="320" w:lineRule="exact" w:before="0" w:after="80"/>
        <w:ind w:firstLine="0"/>
        <w:jc w:val="left"/>
      </w:pPr>
      <w:r>
        <w:rPr>
          <w:rFonts w:ascii="Times New Roman" w:hAnsi="Times New Roman" w:eastAsia="方正仿宋_GBK"/>
          <w:b w:val="0"/>
          <w:sz w:val="21"/>
        </w:rPr>
        <w:t xml:space="preserve">[57] 龚玺, 徐金阁, 路玮. 江苏电网电力负荷变化特征研究[J]. 电气工程, 2023, 11(3): 137-143.</w:t>
      </w:r>
    </w:p>
    <w:p>
      <w:pPr>
        <w:pStyle w:val="2"/>
        <w:widowControl/>
        <w:spacing w:line="320" w:lineRule="exact" w:before="0" w:after="80"/>
        <w:ind w:firstLine="0"/>
        <w:jc w:val="left"/>
      </w:pPr>
      <w:r>
        <w:rPr>
          <w:rFonts w:ascii="Times New Roman" w:hAnsi="Times New Roman" w:eastAsia="方正仿宋_GBK"/>
          <w:b w:val="0"/>
          <w:sz w:val="21"/>
        </w:rPr>
        <w:t xml:space="preserve">[58] 梁志峰, 康重庆, 隋凌峰, 等. 含高比例分布式光伏的主配网运行风险评估与防控策略研究[J]. 清华大学学报(自然科学版), 2024, 64(11): 1964-1978.</w:t>
      </w:r>
    </w:p>
    <w:p>
      <w:pPr>
        <w:pStyle w:val="2"/>
        <w:widowControl/>
        <w:spacing w:line="320" w:lineRule="exact" w:before="0" w:after="80"/>
        <w:ind w:firstLine="0"/>
        <w:jc w:val="left"/>
      </w:pPr>
      <w:r>
        <w:rPr>
          <w:rFonts w:ascii="Times New Roman" w:hAnsi="Times New Roman" w:eastAsia="方正仿宋_GBK"/>
          <w:b w:val="0"/>
          <w:sz w:val="21"/>
        </w:rPr>
        <w:t xml:space="preserve">[59] 吕达夫. 考虑源荷不确定性的分布式光伏承载能力评估[J]. 上海电力大学学报, 2024, 40(6): 579-586.</w:t>
      </w:r>
    </w:p>
    <w:p>
      <w:pPr>
        <w:pStyle w:val="2"/>
        <w:widowControl/>
        <w:spacing w:line="320" w:lineRule="exact" w:before="0" w:after="80"/>
        <w:ind w:firstLine="0"/>
        <w:jc w:val="left"/>
      </w:pPr>
      <w:r>
        <w:rPr>
          <w:rFonts w:ascii="Times New Roman" w:hAnsi="Times New Roman" w:eastAsia="方正仿宋_GBK"/>
          <w:b w:val="0"/>
          <w:sz w:val="21"/>
        </w:rPr>
        <w:t xml:space="preserve">[60] 刘克权, 汤文, 陈钊, 等. 新能源高占比下主配协同调度的挑战与提升策略[J]. 智能电网, 2026, 16(1): 7-15.</w:t>
      </w:r>
    </w:p>
    <w:p>
      <w:pPr>
        <w:pStyle w:val="2"/>
        <w:widowControl/>
        <w:spacing w:line="320" w:lineRule="exact" w:before="0" w:after="80"/>
        <w:ind w:firstLine="0"/>
        <w:jc w:val="left"/>
      </w:pPr>
      <w:r>
        <w:rPr>
          <w:rFonts w:ascii="Times New Roman" w:hAnsi="Times New Roman" w:eastAsia="方正仿宋_GBK"/>
          <w:b w:val="0"/>
          <w:sz w:val="21"/>
        </w:rPr>
        <w:t xml:space="preserve">[61] 栗峰, 等. 新型电力系统下分布式光伏规模化并网运行关键技术探讨[J]. 电网技术, 2024, 48(1): 184-196.</w:t>
      </w:r>
    </w:p>
    <w:p>
      <w:pPr>
        <w:pStyle w:val="2"/>
        <w:widowControl/>
        <w:spacing w:line="320" w:lineRule="exact" w:before="0" w:after="80"/>
        <w:ind w:firstLine="0"/>
        <w:jc w:val="left"/>
      </w:pPr>
      <w:r>
        <w:rPr>
          <w:rFonts w:ascii="Times New Roman" w:hAnsi="Times New Roman" w:eastAsia="方正仿宋_GBK"/>
          <w:b w:val="0"/>
          <w:sz w:val="21"/>
        </w:rPr>
        <w:t xml:space="preserve">[62] 刘洪波, 刘珅诚, 盖雪扬, 等. 高比例新能源接入的主动配电网规划综述[J]. 发电技术, 2024, 45(1): 151-161.</w:t>
      </w:r>
    </w:p>
    <w:p>
      <w:pPr>
        <w:pStyle w:val="2"/>
        <w:widowControl/>
        <w:spacing w:line="320" w:lineRule="exact" w:before="0" w:after="80"/>
        <w:ind w:firstLine="0"/>
        <w:jc w:val="left"/>
      </w:pPr>
      <w:r>
        <w:rPr>
          <w:rFonts w:ascii="Times New Roman" w:hAnsi="Times New Roman" w:eastAsia="方正仿宋_GBK"/>
          <w:b w:val="0"/>
          <w:sz w:val="21"/>
        </w:rPr>
        <w:t xml:space="preserve">[63] 黄海泉, 等. 新型配电网分布式储能系统方案及配置研究综述[J]. 南方能源建设, 2024, 11(4): 42-53.</w:t>
      </w:r>
    </w:p>
    <w:p>
      <w:pPr>
        <w:pStyle w:val="2"/>
        <w:widowControl/>
        <w:spacing w:line="320" w:lineRule="exact" w:before="0" w:after="80"/>
        <w:ind w:firstLine="0"/>
        <w:jc w:val="left"/>
      </w:pPr>
      <w:r>
        <w:rPr>
          <w:rFonts w:ascii="Times New Roman" w:hAnsi="Times New Roman" w:eastAsia="方正仿宋_GBK"/>
          <w:b w:val="0"/>
          <w:sz w:val="21"/>
        </w:rPr>
        <w:t xml:space="preserve">[64] 贺春光, 王林峰, 曹媛, 等. 考虑综合收益的多电压等级配电网柔性互联装置协同规划方法[J]. 中国电力, 2025, 58(1): 78-84.</w:t>
      </w:r>
    </w:p>
    <w:p>
      <w:pPr>
        <w:pStyle w:val="2"/>
        <w:widowControl/>
        <w:spacing w:line="320" w:lineRule="exact" w:before="0" w:after="80"/>
        <w:ind w:firstLine="0"/>
        <w:jc w:val="left"/>
      </w:pPr>
      <w:r>
        <w:rPr>
          <w:rFonts w:ascii="Times New Roman" w:hAnsi="Times New Roman" w:eastAsia="方正仿宋_GBK"/>
          <w:b w:val="0"/>
          <w:sz w:val="21"/>
        </w:rPr>
        <w:t xml:space="preserve">[65] 徐峰亮, 王克谦, 等. 计及运行灵活性的中压配电系统源-网-储协同扩展规划[J]. 中国电力, 2024, 57(7): 98-108.</w:t>
      </w:r>
    </w:p>
    <w:p>
      <w:pPr>
        <w:pStyle w:val="2"/>
        <w:widowControl/>
        <w:spacing w:line="320" w:lineRule="exact" w:before="0" w:after="80"/>
        <w:ind w:firstLine="0"/>
        <w:jc w:val="left"/>
      </w:pPr>
      <w:r>
        <w:rPr>
          <w:rFonts w:ascii="Times New Roman" w:hAnsi="Times New Roman" w:eastAsia="方正仿宋_GBK"/>
          <w:b w:val="0"/>
          <w:sz w:val="21"/>
        </w:rPr>
        <w:t xml:space="preserve">[66] 乐健, 王靖, 廖小兵, 等. 基于随机场景的配电网源网储协同规划方法[J]. 电力系统保护与控制, 2025, 53(4): 132-147.</w:t>
      </w:r>
    </w:p>
    <w:p>
      <w:pPr>
        <w:pStyle w:val="2"/>
        <w:widowControl/>
        <w:spacing w:line="320" w:lineRule="exact" w:before="0" w:after="80"/>
        <w:ind w:firstLine="0"/>
        <w:jc w:val="left"/>
      </w:pPr>
      <w:r>
        <w:rPr>
          <w:rFonts w:ascii="Times New Roman" w:hAnsi="Times New Roman" w:eastAsia="方正仿宋_GBK"/>
          <w:b w:val="0"/>
          <w:sz w:val="21"/>
        </w:rPr>
        <w:t xml:space="preserve">[67] 张全, 代贤忠, 韩新阳, 等. 基于全生命周期投入产出效益的电网规划精准投资方法[J]. 中国电力, 2018, 51(10): 171-177.</w:t>
      </w:r>
    </w:p>
    <w:p>
      <w:pPr>
        <w:pStyle w:val="2"/>
        <w:widowControl/>
        <w:spacing w:line="320" w:lineRule="exact" w:before="0" w:after="80"/>
        <w:ind w:firstLine="0"/>
        <w:jc w:val="left"/>
      </w:pPr>
      <w:r>
        <w:rPr>
          <w:rFonts w:ascii="Times New Roman" w:hAnsi="Times New Roman" w:eastAsia="方正仿宋_GBK"/>
          <w:b w:val="0"/>
          <w:sz w:val="21"/>
        </w:rPr>
        <w:t xml:space="preserve">[68] 何凯, 王剑晓, 王佳伟, 等. 基于全成本电价的电网规划方案评估与优选[J]. 中国电力, 2020, 53(3): 66-75.</w:t>
      </w:r>
    </w:p>
    <w:p>
      <w:pPr>
        <w:pStyle w:val="2"/>
        <w:widowControl/>
        <w:spacing w:line="320" w:lineRule="exact" w:before="0" w:after="80"/>
        <w:ind w:firstLine="0"/>
        <w:jc w:val="left"/>
      </w:pPr>
      <w:r>
        <w:rPr>
          <w:rFonts w:ascii="Times New Roman" w:hAnsi="Times New Roman" w:eastAsia="方正仿宋_GBK"/>
          <w:b w:val="0"/>
          <w:sz w:val="21"/>
        </w:rPr>
        <w:t xml:space="preserve">[69] 武小琳, 栾凌, 潘连武, 等. 基于LM-CNN的输变电工程造价自动计算模型[J]. 中国电力, 2023, 56(2): 157-163.</w:t>
      </w:r>
    </w:p>
    <w:p>
      <w:pPr>
        <w:pStyle w:val="2"/>
        <w:widowControl/>
        <w:spacing w:line="320" w:lineRule="exact" w:before="0" w:after="80"/>
        <w:ind w:firstLine="0"/>
        <w:jc w:val="left"/>
      </w:pPr>
      <w:r>
        <w:rPr>
          <w:rFonts w:ascii="Times New Roman" w:hAnsi="Times New Roman" w:eastAsia="方正仿宋_GBK"/>
          <w:b w:val="0"/>
          <w:sz w:val="21"/>
        </w:rPr>
        <w:t xml:space="preserve">[70] 黄碧斌, 李琼慧, 高菲. 计及电网改造的高渗透率分布式光伏优化规划[J]. 电力建设, 2015, 36(10): 82-87.</w:t>
      </w:r>
    </w:p>
    <w:p>
      <w:pPr>
        <w:pStyle w:val="2"/>
        <w:widowControl/>
        <w:spacing w:line="320" w:lineRule="exact" w:before="0" w:after="80"/>
        <w:ind w:firstLine="0"/>
        <w:jc w:val="left"/>
      </w:pPr>
      <w:r>
        <w:rPr>
          <w:rFonts w:ascii="Times New Roman" w:hAnsi="Times New Roman" w:eastAsia="方正仿宋_GBK"/>
          <w:b w:val="0"/>
          <w:sz w:val="21"/>
        </w:rPr>
        <w:t xml:space="preserve">[71] 汪志才, 蔡晔, 谭玉东, 等. 考虑功能差异的输变电项目效益评价及投资优化方法[J]. 中国电力, 2019, 52(11): 175-184.</w:t>
      </w:r>
    </w:p>
    <w:p>
      <w:pPr>
        <w:pStyle w:val="2"/>
        <w:widowControl/>
        <w:spacing w:line="320" w:lineRule="exact" w:before="0" w:after="80"/>
        <w:ind w:firstLine="0"/>
        <w:jc w:val="left"/>
      </w:pPr>
      <w:r>
        <w:rPr>
          <w:rFonts w:ascii="Times New Roman" w:hAnsi="Times New Roman" w:eastAsia="方正仿宋_GBK"/>
          <w:b w:val="0"/>
          <w:sz w:val="21"/>
        </w:rPr>
        <w:t xml:space="preserve">[72] 严小玉. 考虑光伏电源接入影响的兴国县配电网规划[D]. 南昌: 南昌大学, 2016.</w:t>
      </w:r>
    </w:p>
    <w:p>
      <w:pPr>
        <w:pStyle w:val="2"/>
        <w:widowControl/>
        <w:spacing w:line="320" w:lineRule="exact" w:before="0" w:after="80"/>
        <w:ind w:firstLine="0"/>
        <w:jc w:val="left"/>
      </w:pPr>
      <w:r>
        <w:rPr>
          <w:rFonts w:ascii="Times New Roman" w:hAnsi="Times New Roman" w:eastAsia="方正仿宋_GBK"/>
          <w:b w:val="0"/>
          <w:sz w:val="21"/>
        </w:rPr>
        <w:t xml:space="preserve">[73] 谢天祥, 赏炜, 高捷. 基于数据驱动的配电网</w:t>
      </w:r>
      <w:r>
        <w:rPr>
          <w:rFonts w:ascii="Times New Roman" w:hAnsi="Times New Roman" w:eastAsia="方正仿宋_GBK"/>
          <w:b w:val="0"/>
          <w:sz w:val="21"/>
        </w:rPr>
        <w:t xml:space="preserve">“</w:t>
      </w:r>
      <w:r>
        <w:rPr>
          <w:rFonts w:ascii="Times New Roman" w:hAnsi="Times New Roman" w:eastAsia="方正仿宋_GBK"/>
          <w:b w:val="0"/>
          <w:sz w:val="21"/>
        </w:rPr>
        <w:t xml:space="preserve">三级弹性</w:t>
      </w:r>
      <w:r>
        <w:rPr>
          <w:rFonts w:ascii="Times New Roman" w:hAnsi="Times New Roman" w:eastAsia="方正仿宋_GBK"/>
          <w:b w:val="0"/>
          <w:sz w:val="21"/>
        </w:rPr>
        <w:t xml:space="preserve">”</w:t>
      </w:r>
      <w:r>
        <w:rPr>
          <w:rFonts w:ascii="Times New Roman" w:hAnsi="Times New Roman" w:eastAsia="方正仿宋_GBK"/>
          <w:b w:val="0"/>
          <w:sz w:val="21"/>
        </w:rPr>
        <w:t xml:space="preserve">精准规划方法研究[J]. 电气工程, 2022, 10(3): 139-153. DOI: 10.12677/jee.2022.103016.</w:t>
      </w:r>
    </w:p>
    <w:p>
      <w:pPr>
        <w:pStyle w:val="2"/>
        <w:widowControl/>
        <w:spacing w:line="320" w:lineRule="exact" w:before="0" w:after="80"/>
        <w:ind w:firstLine="0"/>
        <w:jc w:val="left"/>
      </w:pPr>
      <w:r>
        <w:rPr>
          <w:rFonts w:ascii="Times New Roman" w:hAnsi="Times New Roman" w:eastAsia="方正仿宋_GBK"/>
          <w:b w:val="0"/>
          <w:sz w:val="21"/>
        </w:rPr>
        <w:t xml:space="preserve">[74] 陈璨, 白明辉, 张婉明, 等. 分布式光伏边界渗透率快速定位及消纳方案择优[J]. 中国电力, 2022, 55(8): 40-50.</w:t>
      </w:r>
    </w:p>
    <w:p>
      <w:pPr>
        <w:pStyle w:val="2"/>
        <w:widowControl/>
        <w:spacing w:line="320" w:lineRule="exact" w:before="0" w:after="80"/>
        <w:ind w:firstLine="0"/>
        <w:jc w:val="left"/>
      </w:pPr>
      <w:r>
        <w:rPr>
          <w:rFonts w:ascii="Times New Roman" w:hAnsi="Times New Roman" w:eastAsia="方正仿宋_GBK"/>
          <w:b w:val="0"/>
          <w:sz w:val="21"/>
        </w:rPr>
        <w:t xml:space="preserve">[75] 孙东磊, 孙毅, 刘蕊, 等. 计及多层级配电网的分布式新能源最大消纳空间分解测算[J]. 中国电力, 2024, 57(8): 108-116.</w:t>
      </w:r>
    </w:p>
    <w:p>
      <w:pPr>
        <w:pStyle w:val="2"/>
        <w:widowControl/>
        <w:spacing w:line="320" w:lineRule="exact" w:before="0" w:after="80"/>
        <w:ind w:firstLine="0"/>
        <w:jc w:val="left"/>
      </w:pPr>
      <w:r>
        <w:rPr>
          <w:rFonts w:ascii="Times New Roman" w:hAnsi="Times New Roman" w:eastAsia="方正仿宋_GBK"/>
          <w:b w:val="0"/>
          <w:sz w:val="21"/>
        </w:rPr>
        <w:t xml:space="preserve">[76] 金勇, 刘俊勇, 张曦, 等. 基于功能单元的高压配电网负荷转供分层优化模型[J]. 工程科学与技术, 2017, 49(3): 179-190.</w:t>
      </w:r>
    </w:p>
    <w:p>
      <w:pPr>
        <w:pStyle w:val="2"/>
        <w:widowControl/>
        <w:spacing w:line="320" w:lineRule="exact" w:before="0" w:after="80"/>
        <w:ind w:firstLine="0"/>
        <w:jc w:val="left"/>
      </w:pPr>
      <w:r>
        <w:rPr>
          <w:rFonts w:ascii="Times New Roman" w:hAnsi="Times New Roman" w:eastAsia="方正仿宋_GBK"/>
          <w:b w:val="0"/>
          <w:sz w:val="21"/>
        </w:rPr>
        <w:t xml:space="preserve">[77] ZHAO F, XUE L, ZHU J, et al. A novel investment strategy for renewable-dominated power distribution networks[J]. Frontiers in Energy Research, 2023, 10: 968944.</w:t>
      </w:r>
    </w:p>
    <w:p>
      <w:pPr>
        <w:pStyle w:val="2"/>
        <w:widowControl/>
        <w:spacing w:line="320" w:lineRule="exact" w:before="0" w:after="80"/>
        <w:ind w:firstLine="0"/>
        <w:jc w:val="left"/>
      </w:pPr>
      <w:r>
        <w:rPr>
          <w:rFonts w:ascii="Times New Roman" w:hAnsi="Times New Roman" w:eastAsia="方正仿宋_GBK"/>
          <w:b w:val="0"/>
          <w:sz w:val="21"/>
        </w:rPr>
        <w:t xml:space="preserve">[78] 娄奇鹤, 李彦斌, 赵宇尘, 等. 适应极端事件的配电网弹性规划和投资策略研究综述[J]. 电力建设, 2024, 45(5): 37-47.</w:t>
      </w:r>
    </w:p>
    <w:p>
      <w:pPr>
        <w:pStyle w:val="2"/>
        <w:widowControl/>
        <w:spacing w:line="320" w:lineRule="exact" w:before="0" w:after="80"/>
        <w:ind w:firstLine="0"/>
        <w:jc w:val="left"/>
      </w:pPr>
      <w:r>
        <w:rPr>
          <w:rFonts w:ascii="Times New Roman" w:hAnsi="Times New Roman" w:eastAsia="方正仿宋_GBK"/>
          <w:b w:val="0"/>
          <w:sz w:val="21"/>
        </w:rPr>
        <w:t xml:space="preserve">[79] 国家发展改革委, 国家能源局. 关于促进新能源消纳和调控的指导意见: 发改能源〔2025〕1360号[Z]. 2025.</w:t>
      </w:r>
    </w:p>
    <w:p>
      <w:pPr>
        <w:pStyle w:val="2"/>
        <w:widowControl/>
        <w:spacing w:line="320" w:lineRule="exact" w:before="0" w:after="80"/>
        <w:ind w:firstLine="0"/>
        <w:jc w:val="left"/>
      </w:pPr>
      <w:r>
        <w:rPr>
          <w:rFonts w:ascii="Times New Roman" w:hAnsi="Times New Roman" w:eastAsia="方正仿宋_GBK"/>
          <w:b w:val="0"/>
          <w:sz w:val="21"/>
        </w:rPr>
        <w:t xml:space="preserve">[80] 国家发展改革委, 国家能源局. 关于深化提升</w:t>
      </w:r>
      <w:r>
        <w:rPr>
          <w:rFonts w:ascii="Times New Roman" w:hAnsi="Times New Roman" w:eastAsia="方正仿宋_GBK"/>
          <w:b w:val="0"/>
          <w:sz w:val="21"/>
        </w:rPr>
        <w:t xml:space="preserve">“</w:t>
      </w:r>
      <w:r>
        <w:rPr>
          <w:rFonts w:ascii="Times New Roman" w:hAnsi="Times New Roman" w:eastAsia="方正仿宋_GBK"/>
          <w:b w:val="0"/>
          <w:sz w:val="21"/>
        </w:rPr>
        <w:t xml:space="preserve">获得电力</w:t>
      </w:r>
      <w:r>
        <w:rPr>
          <w:rFonts w:ascii="Times New Roman" w:hAnsi="Times New Roman" w:eastAsia="方正仿宋_GBK"/>
          <w:b w:val="0"/>
          <w:sz w:val="21"/>
        </w:rPr>
        <w:t xml:space="preserve">”</w:t>
      </w:r>
      <w:r>
        <w:rPr>
          <w:rFonts w:ascii="Times New Roman" w:hAnsi="Times New Roman" w:eastAsia="方正仿宋_GBK"/>
          <w:b w:val="0"/>
          <w:sz w:val="21"/>
        </w:rPr>
        <w:t xml:space="preserve">服务水平 全面打造现代化用电营商环境的意见: 发改能源规〔2025〕624号[Z]. 2025.</w:t>
      </w:r>
    </w:p>
    <w:p>
      <w:pPr>
        <w:pStyle w:val="2"/>
        <w:widowControl/>
        <w:spacing w:line="320" w:lineRule="exact" w:before="0" w:after="80"/>
        <w:ind w:firstLine="0"/>
        <w:jc w:val="left"/>
      </w:pPr>
      <w:r>
        <w:rPr>
          <w:rFonts w:ascii="Times New Roman" w:hAnsi="Times New Roman" w:eastAsia="方正仿宋_GBK"/>
          <w:b w:val="0"/>
          <w:sz w:val="21"/>
        </w:rPr>
        <w:t xml:space="preserve">[81] 国家发展改革委, 国家能源局, 国家数据局. 加快构建新型电力系统行动方案（2024—2027年）[Z]. 2024.</w:t>
      </w:r>
    </w:p>
    <w:p>
      <w:pPr>
        <w:pStyle w:val="2"/>
        <w:widowControl/>
        <w:spacing w:line="320" w:lineRule="exact" w:before="0" w:after="80"/>
        <w:ind w:firstLine="0"/>
        <w:jc w:val="left"/>
      </w:pPr>
      <w:r>
        <w:rPr>
          <w:rFonts w:ascii="Times New Roman" w:hAnsi="Times New Roman" w:eastAsia="方正仿宋_GBK"/>
          <w:b w:val="0"/>
          <w:sz w:val="21"/>
        </w:rPr>
        <w:t xml:space="preserve">[82] 国家能源局. 配电网高质量发展行动实施方案（2024—2027年）[Z]. 2024.</w:t>
      </w:r>
    </w:p>
    <w:p>
      <w:pPr>
        <w:pStyle w:val="2"/>
        <w:widowControl/>
        <w:spacing w:line="320" w:lineRule="exact" w:before="0" w:after="80"/>
        <w:ind w:firstLine="0"/>
        <w:jc w:val="left"/>
      </w:pPr>
      <w:r>
        <w:rPr>
          <w:rFonts w:ascii="Times New Roman" w:hAnsi="Times New Roman" w:eastAsia="方正仿宋_GBK"/>
          <w:b w:val="0"/>
          <w:sz w:val="21"/>
        </w:rPr>
        <w:t xml:space="preserve">[83] 国家能源局. 分布式光伏接入电网承载力及提升措施评估试点实施方案[Z]. 2023.</w:t>
      </w:r>
    </w:p>
    <w:p>
      <w:pPr>
        <w:pStyle w:val="2"/>
        <w:widowControl/>
        <w:spacing w:line="320" w:lineRule="exact" w:before="0" w:after="80"/>
        <w:ind w:firstLine="0"/>
        <w:jc w:val="left"/>
      </w:pPr>
      <w:r>
        <w:rPr>
          <w:rFonts w:ascii="Times New Roman" w:hAnsi="Times New Roman" w:eastAsia="方正仿宋_GBK"/>
          <w:b w:val="0"/>
          <w:sz w:val="21"/>
        </w:rPr>
        <w:t xml:space="preserve">[84] 国家能源局. 省级分布式光伏接入电网承载力及提升措施研究分析报告大纲[Z]. 2023.</w:t>
      </w:r>
    </w:p>
    <w:p>
      <w:pPr>
        <w:pStyle w:val="2"/>
        <w:widowControl/>
        <w:spacing w:line="320" w:lineRule="exact" w:before="0" w:after="80"/>
        <w:ind w:firstLine="0"/>
        <w:jc w:val="left"/>
      </w:pPr>
      <w:r>
        <w:rPr>
          <w:rFonts w:ascii="Times New Roman" w:hAnsi="Times New Roman" w:eastAsia="方正仿宋_GBK"/>
          <w:b w:val="0"/>
          <w:sz w:val="21"/>
        </w:rPr>
        <w:t xml:space="preserve">[85] 国网江苏省电力有限公司徐州供电分公司. 徐州110 kV输变电建设改造工程建设规模及投资估算资料[Z]. 项目工程资料, 年份未注明.</w:t>
      </w:r>
    </w:p>
    <w:p>
      <w:pPr>
        <w:pStyle w:val="2"/>
        <w:widowControl/>
        <w:spacing w:line="320" w:lineRule="exact" w:before="0" w:after="80"/>
        <w:ind w:firstLine="0"/>
        <w:jc w:val="left"/>
      </w:pPr>
      <w:r>
        <w:rPr>
          <w:rFonts w:ascii="Times New Roman" w:hAnsi="Times New Roman" w:eastAsia="方正仿宋_GBK"/>
          <w:b w:val="0"/>
          <w:sz w:val="21"/>
        </w:rPr>
        <w:t xml:space="preserve">[86] 浏阳经济技术开发区管理委员会. 浏阳经开区南园污水处理厂1MW/2.2MWh用户侧储能项目中标结果公告[EB/OL]. (2024-08-15)[2026-10-02].</w:t>
      </w:r>
    </w:p>
    <w:p>
      <w:pPr>
        <w:pStyle w:val="2"/>
        <w:widowControl/>
        <w:spacing w:line="320" w:lineRule="exact" w:before="0" w:after="80"/>
        <w:ind w:firstLine="0"/>
        <w:jc w:val="left"/>
      </w:pPr>
      <w:r>
        <w:rPr>
          <w:rFonts w:ascii="Times New Roman" w:hAnsi="Times New Roman" w:eastAsia="方正仿宋_GBK"/>
          <w:b w:val="0"/>
          <w:sz w:val="21"/>
        </w:rPr>
        <w:t xml:space="preserve">[87] National Institute of Standards and Technology. Dataplot Reference Manual: Correlation[EB/OL]. (1997-03-18)[2026-10-07]. https://www.itl.nist.gov/div898/software/dataplot/refman2/ch2/correlat.pdf.</w:t>
      </w:r>
    </w:p>
    <w:p>
      <w:pPr>
        <w:pStyle w:val="2"/>
        <w:widowControl/>
        <w:spacing w:line="320" w:lineRule="exact" w:before="0" w:after="80"/>
        <w:ind w:firstLine="0"/>
        <w:jc w:val="left"/>
      </w:pPr>
      <w:r>
        <w:rPr>
          <w:rFonts w:ascii="Times New Roman" w:hAnsi="Times New Roman" w:eastAsia="方正仿宋_GBK"/>
          <w:b w:val="0"/>
          <w:sz w:val="21"/>
        </w:rPr>
        <w:t xml:space="preserve">[88] National Institute of Standards and Technology. Dataplot: Rank Correlation Independence Test[EB/OL]. [2026-10-07]. https://www.itl.nist.gov/div898/software/dataplot/refman1/auxillar/rankcorr.htm.</w:t>
      </w:r>
    </w:p>
    <w:p>
      <w:pPr>
        <w:pStyle w:val="2"/>
        <w:widowControl/>
        <w:spacing w:line="320" w:lineRule="exact" w:before="0" w:after="80"/>
        <w:ind w:firstLine="0"/>
        <w:jc w:val="left"/>
      </w:pPr>
      <w:r>
        <w:rPr>
          <w:rFonts w:ascii="Times New Roman" w:hAnsi="Times New Roman" w:eastAsia="方正仿宋_GBK"/>
          <w:b w:val="0"/>
          <w:sz w:val="21"/>
        </w:rPr>
        <w:t xml:space="preserve">[89] 华容县人民政府. 华容县配电网规划报告[EB/OL]. 2020. 表7-1. https://www.huarong.gov.cn/33157/64140/64170/content_1874487.html.</w:t>
      </w:r>
    </w:p>
    <w:p>
      <w:pPr>
        <w:pStyle w:val="2"/>
        <w:widowControl/>
        <w:spacing w:line="320" w:lineRule="exact" w:before="0" w:after="80"/>
        <w:ind w:firstLine="0"/>
        <w:jc w:val="left"/>
      </w:pPr>
      <w:r>
        <w:rPr>
          <w:rFonts w:ascii="Times New Roman" w:hAnsi="Times New Roman" w:eastAsia="方正仿宋_GBK"/>
          <w:b w:val="0"/>
          <w:sz w:val="21"/>
        </w:rPr>
        <w:t xml:space="preserve">[90] 徐州10 kV线路迁改项目招标公告[EB/OL]. 2025. https://ggzy.zwb.xz.gov.cn/jyxx/003009/003009001/20250903/8c7d2dd2-dcab-4abf-827f-d0f5774799d3.html.</w:t>
      </w:r>
    </w:p>
    <w:p>
      <w:pPr>
        <w:pStyle w:val="2"/>
        <w:widowControl/>
        <w:spacing w:line="320" w:lineRule="exact" w:before="0" w:after="80"/>
        <w:ind w:firstLine="0"/>
        <w:jc w:val="left"/>
      </w:pPr>
      <w:r>
        <w:rPr>
          <w:rFonts w:ascii="Times New Roman" w:hAnsi="Times New Roman" w:eastAsia="方正仿宋_GBK"/>
          <w:b w:val="0"/>
          <w:sz w:val="21"/>
        </w:rPr>
        <w:t xml:space="preserve">[91] 苏州禾瑞新能源发展有限公司. 苏州欣科导轨（二期）399.555KW屋顶分布式光伏及储能电站项目招标公告[EB/OL]. (2025-03-25)[2026-10-02]. 苏州市公共资源交易平台.</w:t>
      </w:r>
    </w:p>
    <w:p>
      <w:pPr>
        <w:pStyle w:val="2"/>
        <w:widowControl/>
        <w:spacing w:line="320" w:lineRule="exact" w:before="0" w:after="80"/>
        <w:ind w:firstLine="0"/>
        <w:jc w:val="left"/>
      </w:pPr>
      <w:r>
        <w:rPr>
          <w:rFonts w:ascii="Times New Roman" w:hAnsi="Times New Roman" w:eastAsia="方正仿宋_GBK"/>
          <w:b w:val="0"/>
          <w:sz w:val="21"/>
        </w:rPr>
        <w:t xml:space="preserve">[92] 江苏省人民政府办公厅. 关于转发省发展改革委江苏省光伏发电推进意见的通知：苏政办发〔2009〕85号[EB/OL]. (2009-06-19)[2026-10-06]. https://www.jiangsu.gov.cn/art/2009/9/15/art_46882_2681290.html.</w:t>
      </w:r>
    </w:p>
    <w:p>
      <w:pPr>
        <w:pStyle w:val="2"/>
        <w:widowControl/>
        <w:spacing w:line="320" w:lineRule="exact" w:before="0" w:after="80"/>
        <w:ind w:firstLine="0"/>
        <w:jc w:val="left"/>
      </w:pPr>
      <w:r>
        <w:rPr>
          <w:rFonts w:ascii="Times New Roman" w:hAnsi="Times New Roman" w:eastAsia="方正仿宋_GBK"/>
          <w:b w:val="0"/>
          <w:sz w:val="21"/>
        </w:rPr>
        <w:t xml:space="preserve">[93] 徐州地铁集团有限公司. 徐州地铁分布式光伏发电首期项目可研及设计全过程服务项目招标公告：0675-220JOC010007[EB/OL]. (2022-02-17)[2026-10-06]. https://ggzy.zwb.xz.gov.cn/jyxx/003009/003009001/20220217/f98ec421-7088-4256-b7c3-4f242176f576.html.</w:t>
      </w:r>
    </w:p>
    <w:p>
      <w:pPr>
        <w:pStyle w:val="2"/>
        <w:widowControl/>
        <w:spacing w:line="320" w:lineRule="exact" w:before="0" w:after="80"/>
        <w:ind w:firstLine="0"/>
        <w:jc w:val="left"/>
      </w:pPr>
      <w:r>
        <w:rPr>
          <w:rFonts w:ascii="Times New Roman" w:hAnsi="Times New Roman" w:eastAsia="方正仿宋_GBK"/>
          <w:b w:val="0"/>
          <w:sz w:val="21"/>
        </w:rPr>
        <w:t xml:space="preserve">[94] 江苏省发展和改革委员会. 关于印发《江苏省分布式光伏发展实施方案（2026—2030年）》的通知：苏发改能源发〔2026〕695号[EB/OL]. (2026-07-21)[2026-10-06]. https://fzggw.jiangsu.gov.cn/art/2026/7/29/art_84097_11809969.html.</w:t>
      </w:r>
    </w:p>
    <w:p>
      <w:pPr>
        <w:pStyle w:val="2"/>
        <w:widowControl/>
        <w:spacing w:line="320" w:lineRule="exact" w:before="0" w:after="80"/>
        <w:ind w:firstLine="0"/>
        <w:jc w:val="left"/>
      </w:pPr>
      <w:r>
        <w:rPr>
          <w:rFonts w:ascii="Times New Roman" w:hAnsi="Times New Roman" w:eastAsia="方正仿宋_GBK"/>
          <w:b w:val="0"/>
          <w:sz w:val="21"/>
        </w:rPr>
        <w:t xml:space="preserve">[95] 李阳彤, 王主丁, 陈琳, 等. 基于变电站容量概率规划的分布式电源可信度和有源配电网容载比计算分析[J]. 电网技术, 2026, 50(2): 619-628. DOI: 10.13335/j.1000-3673.pst.2024.1440.</w:t>
      </w:r>
    </w:p>
    <w:sectPr>
      <w:headerReference w:type="default" r:id="rId12"/>
      <w:footerReference w:type="default" r:id="rId17"/>
      <w:headerReference w:type="first" r:id="rId13"/>
      <w:footerReference w:type="first" r:id="rId18"/>
      <w:pgSz w:w="11906" w:h="16838"/>
      <w:pgMar w:top="1440" w:right="1797" w:bottom="1440" w:left="1797" w:header="720" w:footer="720" w:gutter="0"/>
      <w:cols w:space="425" w:num="1"/>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Times">
    <w:altName w:val="Sylfaen"/>
    <w:panose1 w:val="02020603050405020304"/>
    <w:charset w:val="00"/>
    <w:family w:val="roman"/>
    <w:pitch w:val="default"/>
    <w:sig w:usb0="00000000" w:usb1="00000000" w:usb2="00000009" w:usb3="00000000" w:csb0="000001FF" w:csb1="00000000"/>
  </w:font>
  <w:font w:name="Sylfaen">
    <w:panose1 w:val="010A0502050306030303"/>
    <w:charset w:val="00"/>
    <w:family w:val="auto"/>
    <w:pitch w:val="default"/>
    <w:sig w:usb0="040006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方正仿宋_GBK">
    <w:panose1 w:val="03000509000000000000"/>
    <w:charset w:val="86"/>
    <w:family w:val="script"/>
    <w:pitch w:val="default"/>
    <w:sig w:usb0="00000001" w:usb1="080E0000" w:usb2="00000000" w:usb3="00000000" w:csb0="00040000"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C4CFC">
    <w:pPr>
      <w:pStyle w:val="1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B1ADE">
    <w:pPr>
      <w:pStyle w:val="1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8332B">
    <w:pPr>
      <w:pStyle w:val="19"/>
      <w:ind w:firstLine="360"/>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FCF3D6">
    <w:pPr>
      <w:pStyle w:val="2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71610">
    <w:pPr>
      <w:pStyle w:val="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82D3F">
    <w:pPr>
      <w:pStyle w:val="20"/>
      <w:ind w:firstLine="360"/>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宋体"/>
        <w:b w:val="0"/>
        <w:sz w:val="18"/>
      </w:rPr>
      <w:t>徐州地区110 kV电网容载比弹性指标优化研究</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5D4B73"/>
    <w:multiLevelType w:val="multilevel"/>
    <w:tmpl w:val="4C5D4B73"/>
    <w:lvl w:ilvl="0" w:tentative="0">
      <w:start w:val="1"/>
      <w:numFmt w:val="decimal"/>
      <w:pStyle w:val="3"/>
      <w:lvlText w:val="%1"/>
      <w:lvlJc w:val="left"/>
      <w:pPr>
        <w:ind w:left="420" w:hanging="420"/>
      </w:pPr>
      <w:rPr>
        <w:rFonts w:hint="default" w:ascii="Times New Roman" w:hAnsi="Times New Roman" w:cs="Times New Roman"/>
      </w:rPr>
    </w:lvl>
    <w:lvl w:ilvl="1" w:tentative="0">
      <w:start w:val="1"/>
      <w:numFmt w:val="decimal"/>
      <w:isLgl/>
      <w:lvlText w:val="%1.%2"/>
      <w:lvlJc w:val="left"/>
      <w:pPr>
        <w:ind w:left="720" w:hanging="720"/>
      </w:pPr>
    </w:lvl>
    <w:lvl w:ilvl="2" w:tentative="0">
      <w:start w:val="1"/>
      <w:numFmt w:val="decimal"/>
      <w:isLgl/>
      <w:lvlText w:val="%1.%2.%3"/>
      <w:lvlJc w:val="left"/>
      <w:pPr>
        <w:ind w:left="720" w:hanging="720"/>
      </w:pPr>
    </w:lvl>
    <w:lvl w:ilvl="3" w:tentative="0">
      <w:start w:val="1"/>
      <w:numFmt w:val="decimal"/>
      <w:isLgl/>
      <w:lvlText w:val="%1.%2.%3.%4"/>
      <w:lvlJc w:val="left"/>
      <w:pPr>
        <w:ind w:left="1080" w:hanging="1080"/>
      </w:pPr>
    </w:lvl>
    <w:lvl w:ilvl="4" w:tentative="0">
      <w:start w:val="1"/>
      <w:numFmt w:val="decimal"/>
      <w:isLgl/>
      <w:lvlText w:val="%1.%2.%3.%4.%5"/>
      <w:lvlJc w:val="left"/>
      <w:pPr>
        <w:ind w:left="1440" w:hanging="1440"/>
      </w:pPr>
    </w:lvl>
    <w:lvl w:ilvl="5" w:tentative="0">
      <w:start w:val="1"/>
      <w:numFmt w:val="decimal"/>
      <w:isLgl/>
      <w:lvlText w:val="%1.%2.%3.%4.%5.%6"/>
      <w:lvlJc w:val="left"/>
      <w:pPr>
        <w:ind w:left="1440" w:hanging="1440"/>
      </w:pPr>
    </w:lvl>
    <w:lvl w:ilvl="6" w:tentative="0">
      <w:start w:val="1"/>
      <w:numFmt w:val="decimal"/>
      <w:isLgl/>
      <w:lvlText w:val="%1.%2.%3.%4.%5.%6.%7"/>
      <w:lvlJc w:val="left"/>
      <w:pPr>
        <w:ind w:left="1800" w:hanging="1800"/>
      </w:pPr>
    </w:lvl>
    <w:lvl w:ilvl="7" w:tentative="0">
      <w:start w:val="1"/>
      <w:numFmt w:val="decimal"/>
      <w:isLgl/>
      <w:lvlText w:val="%1.%2.%3.%4.%5.%6.%7.%8"/>
      <w:lvlJc w:val="left"/>
      <w:pPr>
        <w:ind w:left="2160" w:hanging="2160"/>
      </w:pPr>
    </w:lvl>
    <w:lvl w:ilvl="8" w:tentative="0">
      <w:start w:val="1"/>
      <w:numFmt w:val="decimal"/>
      <w:isLgl/>
      <w:lvlText w:val="%1.%2.%3.%4.%5.%6.%7.%8.%9"/>
      <w:lvlJc w:val="left"/>
      <w:pPr>
        <w:ind w:left="2160" w:hanging="2160"/>
      </w:pPr>
    </w:lvl>
  </w:abstractNum>
  <w:abstractNum w:abstractNumId="1">
    <w:nsid w:val="59C64203"/>
    <w:multiLevelType w:val="multilevel"/>
    <w:tmpl w:val="59C64203"/>
    <w:lvl w:ilvl="0" w:tentative="0">
      <w:start w:val="1"/>
      <w:numFmt w:val="decimal"/>
      <w:pStyle w:val="33"/>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0"/>
  </w:num>
  <w:num w:numId="2">
    <w:abstractNumId w:val="1"/>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Times New Roman"/>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iPriority="62"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djustRightInd w:val="0"/>
      <w:spacing w:line="348" w:lineRule="exact" w:before="0" w:after="0"/>
      <w:ind w:firstLineChars="200" w:firstLine="480"/>
      <w:jc w:val="both"/>
      <w:snapToGrid w:val="0"/>
    </w:pPr>
    <w:rPr>
      <w:rFonts w:ascii="Times New Roman" w:hAnsi="Times New Roman" w:eastAsia="方正仿宋_GBK" w:cstheme="minorBidi"/>
      <w:b w:val="0"/>
      <w:kern w:val="2"/>
      <w:sz w:val="24"/>
      <w:szCs w:val="22"/>
      <w:lang w:val="en-US" w:eastAsia="zh-CN" w:bidi="ar-SA"/>
    </w:rPr>
  </w:style>
  <w:style w:type="paragraph" w:styleId="3">
    <w:name w:val="heading 1"/>
    <w:next w:val="1"/>
    <w:link w:val="36"/>
    <w:qFormat/>
    <w:uiPriority w:val="9"/>
    <w:pPr>
      <w:keepNext/>
      <w:keepLines/>
      <w:spacing w:beforeLines="50" w:afterLines="50" w:line="360" w:lineRule="auto" w:before="0" w:after="120"/>
      <w:ind w:firstLine="0"/>
      <w:outlineLvl w:val="0"/>
      <w:snapToGrid w:val="0"/>
    </w:pPr>
    <w:rPr>
      <w:rFonts w:ascii="Times New Roman" w:hAnsi="Times New Roman" w:eastAsia="方正仿宋_GBK" w:cstheme="minorBidi"/>
      <w:b/>
      <w:bCs/>
      <w:kern w:val="44"/>
      <w:sz w:val="36"/>
      <w:szCs w:val="44"/>
      <w:lang w:val="en-US" w:eastAsia="zh-CN" w:bidi="ar-SA"/>
    </w:rPr>
  </w:style>
  <w:style w:type="paragraph" w:styleId="4">
    <w:name w:val="heading 2"/>
    <w:next w:val="3"/>
    <w:link w:val="37"/>
    <w:semiHidden/>
    <w:unhideWhenUsed/>
    <w:qFormat/>
    <w:uiPriority w:val="9"/>
    <w:pPr>
      <w:keepNext/>
      <w:keepLines/>
      <w:spacing w:before="160" w:after="120" w:line="360" w:lineRule="auto"/>
      <w:ind w:firstLine="0"/>
      <w:outlineLvl w:val="1"/>
      <w:snapToGrid w:val="0"/>
    </w:pPr>
    <w:rPr>
      <w:rFonts w:ascii="Times New Roman" w:hAnsi="Times New Roman" w:eastAsia="方正仿宋_GBK" w:cstheme="majorBidi"/>
      <w:b/>
      <w:bCs/>
      <w:kern w:val="2"/>
      <w:sz w:val="32"/>
      <w:szCs w:val="32"/>
      <w:lang w:val="en-US" w:eastAsia="zh-CN" w:bidi="ar-SA"/>
    </w:rPr>
  </w:style>
  <w:style w:type="paragraph" w:styleId="5">
    <w:name w:val="heading 3"/>
    <w:basedOn w:val="1"/>
    <w:next w:val="6"/>
    <w:link w:val="38"/>
    <w:semiHidden/>
    <w:unhideWhenUsed/>
    <w:qFormat/>
    <w:uiPriority w:val="9"/>
    <w:pPr>
      <w:keepNext/>
      <w:keepLines/>
      <w:spacing w:beforeLines="50" w:afterLines="50" w:line="360" w:lineRule="auto" w:before="160" w:after="120"/>
      <w:ind w:firstLine="0"/>
      <w:jc w:val="left"/>
      <w:outlineLvl w:val="2"/>
      <w:snapToGrid w:val="0"/>
    </w:pPr>
    <w:rPr>
      <w:rFonts w:ascii="Times New Roman" w:hAnsi="Times New Roman" w:eastAsia="方正仿宋_GBK"/>
      <w:b/>
      <w:bCs/>
      <w:sz w:val="26"/>
      <w:szCs w:val="32"/>
    </w:rPr>
  </w:style>
  <w:style w:type="paragraph" w:styleId="7">
    <w:name w:val="heading 4"/>
    <w:basedOn w:val="1"/>
    <w:next w:val="1"/>
    <w:link w:val="39"/>
    <w:semiHidden/>
    <w:unhideWhenUsed/>
    <w:qFormat/>
    <w:uiPriority w:val="9"/>
    <w:pPr>
      <w:keepNext/>
      <w:keepLines/>
      <w:spacing w:before="160" w:after="120" w:line="360" w:lineRule="auto"/>
      <w:ind w:firstLineChars="0" w:firstLine="0"/>
      <w:outlineLvl w:val="3"/>
      <w:snapToGrid w:val="0"/>
    </w:pPr>
    <w:rPr>
      <w:rFonts w:cstheme="majorBidi" w:ascii="Times New Roman" w:hAnsi="Times New Roman" w:eastAsia="方正仿宋_GBK"/>
      <w:b/>
      <w:bCs/>
      <w:sz w:val="24"/>
      <w:szCs w:val="28"/>
    </w:rPr>
  </w:style>
  <w:style w:type="paragraph" w:styleId="8">
    <w:name w:val="heading 5"/>
    <w:basedOn w:val="1"/>
    <w:next w:val="1"/>
    <w:link w:val="40"/>
    <w:semiHidden/>
    <w:unhideWhenUsed/>
    <w:qFormat/>
    <w:uiPriority w:val="9"/>
    <w:pPr>
      <w:keepNext/>
      <w:keepLines/>
      <w:spacing w:before="280" w:after="290" w:line="374" w:lineRule="auto"/>
      <w:outlineLvl w:val="4"/>
      <w:snapToGrid w:val="0"/>
    </w:pPr>
    <w:rPr>
      <w:b/>
      <w:bCs/>
      <w:szCs w:val="28"/>
    </w:rPr>
  </w:style>
  <w:style w:type="paragraph" w:styleId="9">
    <w:name w:val="heading 6"/>
    <w:basedOn w:val="1"/>
    <w:next w:val="1"/>
    <w:link w:val="41"/>
    <w:semiHidden/>
    <w:unhideWhenUsed/>
    <w:qFormat/>
    <w:uiPriority w:val="9"/>
    <w:pPr>
      <w:keepNext/>
      <w:keepLines/>
      <w:adjustRightInd/>
      <w:spacing w:before="240" w:after="64" w:line="319" w:lineRule="auto"/>
      <w:outlineLvl w:val="5"/>
      <w:snapToGrid w:val="0"/>
    </w:pPr>
    <w:rPr>
      <w:rFonts w:asciiTheme="majorHAnsi" w:hAnsiTheme="majorHAnsi" w:eastAsiaTheme="majorEastAsia" w:cstheme="majorBidi"/>
      <w:b/>
      <w:bCs/>
      <w:szCs w:val="24"/>
    </w:rPr>
  </w:style>
  <w:style w:type="paragraph" w:styleId="10">
    <w:name w:val="heading 7"/>
    <w:basedOn w:val="1"/>
    <w:next w:val="1"/>
    <w:link w:val="42"/>
    <w:semiHidden/>
    <w:unhideWhenUsed/>
    <w:qFormat/>
    <w:uiPriority w:val="9"/>
    <w:pPr>
      <w:keepNext/>
      <w:keepLines/>
      <w:spacing w:before="240" w:after="64" w:line="319" w:lineRule="auto"/>
      <w:outlineLvl w:val="6"/>
      <w:snapToGrid w:val="0"/>
    </w:pPr>
    <w:rPr>
      <w:b/>
      <w:bCs/>
      <w:szCs w:val="24"/>
    </w:rPr>
  </w:style>
  <w:style w:type="paragraph" w:styleId="11">
    <w:name w:val="heading 8"/>
    <w:basedOn w:val="1"/>
    <w:next w:val="1"/>
    <w:link w:val="43"/>
    <w:semiHidden/>
    <w:unhideWhenUsed/>
    <w:qFormat/>
    <w:uiPriority w:val="9"/>
    <w:pPr>
      <w:keepNext/>
      <w:keepLines/>
      <w:spacing w:before="240" w:after="64" w:line="319" w:lineRule="auto"/>
      <w:outlineLvl w:val="7"/>
      <w:snapToGrid w:val="0"/>
    </w:pPr>
    <w:rPr>
      <w:rFonts w:asciiTheme="majorHAnsi" w:hAnsiTheme="majorHAnsi" w:eastAsiaTheme="majorEastAsia" w:cstheme="majorBidi"/>
      <w:szCs w:val="24"/>
    </w:rPr>
  </w:style>
  <w:style w:type="paragraph" w:styleId="12">
    <w:name w:val="heading 9"/>
    <w:basedOn w:val="1"/>
    <w:next w:val="1"/>
    <w:link w:val="44"/>
    <w:semiHidden/>
    <w:unhideWhenUsed/>
    <w:qFormat/>
    <w:uiPriority w:val="9"/>
    <w:pPr>
      <w:keepNext/>
      <w:keepLines/>
      <w:spacing w:before="240" w:after="64" w:line="319" w:lineRule="auto"/>
      <w:outlineLvl w:val="8"/>
      <w:snapToGrid w:val="0"/>
    </w:pPr>
    <w:rPr>
      <w:rFonts w:asciiTheme="majorHAnsi" w:hAnsiTheme="majorHAnsi" w:eastAsiaTheme="majorEastAsia" w:cstheme="majorBidi"/>
      <w:sz w:val="21"/>
      <w:szCs w:val="21"/>
    </w:rPr>
  </w:style>
  <w:style w:type="character" w:default="1" w:styleId="28">
    <w:name w:val="Default Paragraph Font"/>
    <w:semiHidden/>
    <w:unhideWhenUsed/>
    <w:uiPriority w:val="1"/>
  </w:style>
  <w:style w:type="table" w:default="1" w:styleId="25">
    <w:name w:val="Normal Table"/>
    <w:semiHidden/>
    <w:unhideWhenUsed/>
    <w:uiPriority w:val="99"/>
    <w:tblPr>
      <w:tblCellMar>
        <w:top w:w="0" w:type="dxa"/>
        <w:left w:w="108" w:type="dxa"/>
        <w:bottom w:w="0" w:type="dxa"/>
        <w:right w:w="108" w:type="dxa"/>
      </w:tblCellMar>
    </w:tblPr>
  </w:style>
  <w:style w:type="paragraph" w:styleId="2">
    <w:name w:val="Body Text"/>
    <w:basedOn w:val="1"/>
    <w:link w:val="35"/>
    <w:semiHidden/>
    <w:unhideWhenUsed/>
    <w:qFormat/>
    <w:uiPriority w:val="99"/>
    <w:pPr>
      <w:spacing w:after="0" w:line="348" w:lineRule="exact" w:before="0"/>
      <w:ind w:firstLine="480"/>
      <w:snapToGrid w:val="0"/>
    </w:pPr>
    <w:rPr>
      <w:rFonts w:ascii="Times New Roman" w:hAnsi="Times New Roman" w:eastAsia="方正仿宋_GBK"/>
      <w:b w:val="0"/>
      <w:sz w:val="24"/>
    </w:rPr>
  </w:style>
  <w:style w:type="paragraph" w:customStyle="1" w:styleId="6">
    <w:name w:val="正文 缩进"/>
    <w:basedOn w:val="1"/>
    <w:qFormat/>
    <w:uiPriority w:val="99"/>
    <w:pPr>
      <w:snapToGrid w:val="0"/>
    </w:pPr>
  </w:style>
  <w:style w:type="paragraph" w:styleId="13">
    <w:name w:val="caption"/>
    <w:next w:val="1"/>
    <w:semiHidden/>
    <w:unhideWhenUsed/>
    <w:qFormat/>
    <w:uiPriority w:val="35"/>
    <w:pPr>
      <w:jc w:val="center"/>
      <w:snapToGrid w:val="0"/>
    </w:pPr>
    <w:rPr>
      <w:rFonts w:ascii="Times" w:hAnsi="Times" w:eastAsia="仿宋_GB2312" w:cs="Times New Roman"/>
      <w:kern w:val="2"/>
      <w:sz w:val="24"/>
      <w:szCs w:val="32"/>
      <w:lang w:val="en" w:eastAsia="zh-CN" w:bidi="ar-SA"/>
    </w:rPr>
  </w:style>
  <w:style w:type="paragraph" w:styleId="14">
    <w:name w:val="Document Map"/>
    <w:basedOn w:val="1"/>
    <w:link w:val="49"/>
    <w:semiHidden/>
    <w:unhideWhenUsed/>
    <w:qFormat/>
    <w:uiPriority w:val="99"/>
    <w:pPr>
      <w:adjustRightInd/>
      <w:snapToGrid w:val="0"/>
    </w:pPr>
    <w:rPr>
      <w:rFonts w:ascii="宋体" w:eastAsia="宋体" w:hAnsiTheme="minorHAnsi"/>
      <w:sz w:val="18"/>
      <w:szCs w:val="18"/>
    </w:rPr>
  </w:style>
  <w:style w:type="paragraph" w:styleId="15">
    <w:name w:val="annotation text"/>
    <w:basedOn w:val="1"/>
    <w:link w:val="113"/>
    <w:semiHidden/>
    <w:unhideWhenUsed/>
    <w:uiPriority w:val="99"/>
    <w:pPr>
      <w:jc w:val="left"/>
      <w:snapToGrid w:val="0"/>
    </w:pPr>
  </w:style>
  <w:style w:type="paragraph" w:styleId="16">
    <w:name w:val="toc 3"/>
    <w:basedOn w:val="1"/>
    <w:next w:val="1"/>
    <w:autoRedefine/>
    <w:semiHidden/>
    <w:unhideWhenUsed/>
    <w:qFormat/>
    <w:uiPriority w:val="39"/>
    <w:pPr>
      <w:ind w:left="840" w:leftChars="400"/>
      <w:snapToGrid w:val="0"/>
    </w:pPr>
  </w:style>
  <w:style w:type="paragraph" w:styleId="17">
    <w:name w:val="Date"/>
    <w:basedOn w:val="1"/>
    <w:next w:val="1"/>
    <w:link w:val="48"/>
    <w:semiHidden/>
    <w:unhideWhenUsed/>
    <w:qFormat/>
    <w:uiPriority w:val="99"/>
    <w:pPr>
      <w:ind w:left="100" w:leftChars="2500"/>
      <w:snapToGrid w:val="0"/>
    </w:pPr>
  </w:style>
  <w:style w:type="paragraph" w:styleId="18">
    <w:name w:val="Balloon Text"/>
    <w:basedOn w:val="1"/>
    <w:link w:val="50"/>
    <w:semiHidden/>
    <w:unhideWhenUsed/>
    <w:qFormat/>
    <w:uiPriority w:val="99"/>
    <w:pPr>
      <w:snapToGrid w:val="0"/>
    </w:pPr>
    <w:rPr>
      <w:sz w:val="18"/>
      <w:szCs w:val="18"/>
    </w:rPr>
  </w:style>
  <w:style w:type="paragraph" w:styleId="19">
    <w:name w:val="footer"/>
    <w:basedOn w:val="1"/>
    <w:link w:val="47"/>
    <w:unhideWhenUsed/>
    <w:qFormat/>
    <w:uiPriority w:val="99"/>
    <w:pPr>
      <w:tabs>
        <w:tab w:val="center" w:pos="4153"/>
        <w:tab w:val="right" w:pos="8306"/>
      </w:tabs>
      <w:spacing w:line="240" w:lineRule="atLeast"/>
      <w:jc w:val="left"/>
      <w:snapToGrid w:val="0"/>
    </w:pPr>
    <w:rPr>
      <w:sz w:val="18"/>
      <w:szCs w:val="18"/>
    </w:rPr>
  </w:style>
  <w:style w:type="paragraph" w:styleId="20">
    <w:name w:val="header"/>
    <w:basedOn w:val="1"/>
    <w:link w:val="46"/>
    <w:unhideWhenUsed/>
    <w:qFormat/>
    <w:uiPriority w:val="99"/>
    <w:pPr>
      <w:pBdr>
        <w:bottom w:val="single" w:color="auto" w:sz="6" w:space="1"/>
      </w:pBdr>
      <w:tabs>
        <w:tab w:val="center" w:pos="4153"/>
        <w:tab w:val="right" w:pos="8306"/>
      </w:tabs>
      <w:spacing w:line="240" w:lineRule="atLeast"/>
      <w:jc w:val="center"/>
      <w:snapToGrid w:val="0"/>
    </w:pPr>
    <w:rPr>
      <w:sz w:val="18"/>
      <w:szCs w:val="18"/>
    </w:rPr>
  </w:style>
  <w:style w:type="paragraph" w:styleId="21">
    <w:name w:val="toc 1"/>
    <w:basedOn w:val="1"/>
    <w:next w:val="1"/>
    <w:autoRedefine/>
    <w:unhideWhenUsed/>
    <w:qFormat/>
    <w:uiPriority w:val="39"/>
    <w:pPr>
      <w:tabs>
        <w:tab w:val="left" w:pos="0"/>
        <w:tab w:val="right" w:leader="dot" w:pos="8302"/>
      </w:tabs>
      <w:spacing w:line="360" w:lineRule="auto"/>
      <w:ind w:firstLine="0" w:firstLineChars="0"/>
      <w:snapToGrid w:val="0"/>
    </w:pPr>
    <w:rPr>
      <w:rFonts w:eastAsia="黑体" w:cs="Times New Roman"/>
      <w:sz w:val="28"/>
    </w:rPr>
  </w:style>
  <w:style w:type="paragraph" w:styleId="22">
    <w:name w:val="toc 2"/>
    <w:basedOn w:val="1"/>
    <w:next w:val="1"/>
    <w:autoRedefine/>
    <w:unhideWhenUsed/>
    <w:qFormat/>
    <w:uiPriority w:val="39"/>
    <w:pPr>
      <w:tabs>
        <w:tab w:val="left" w:pos="1120"/>
        <w:tab w:val="right" w:leader="dot" w:pos="8296"/>
      </w:tabs>
      <w:spacing w:line="360" w:lineRule="auto"/>
      <w:ind w:left="640" w:leftChars="200" w:firstLine="0" w:firstLineChars="0"/>
      <w:snapToGrid w:val="0"/>
    </w:pPr>
  </w:style>
  <w:style w:type="paragraph" w:styleId="23">
    <w:name w:val="Normal (Web)"/>
    <w:basedOn w:val="1"/>
    <w:semiHidden/>
    <w:unhideWhenUsed/>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styleId="24">
    <w:name w:val="annotation subject"/>
    <w:basedOn w:val="15"/>
    <w:next w:val="15"/>
    <w:link w:val="114"/>
    <w:semiHidden/>
    <w:unhideWhenUsed/>
    <w:uiPriority w:val="99"/>
    <w:pPr>
      <w:snapToGrid w:val="0"/>
    </w:pPr>
    <w:rPr>
      <w:b/>
      <w:bCs/>
    </w:rPr>
  </w:style>
  <w:style w:type="table" w:styleId="26">
    <w:name w:val="Table Grid"/>
    <w:basedOn w:val="25"/>
    <w:qFormat/>
    <w:uiPriority w:val="99"/>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7">
    <w:name w:val="Light Grid Accent 1"/>
    <w:basedOn w:val="25"/>
    <w:semiHidden/>
    <w:unhideWhenUsed/>
    <w:qFormat/>
    <w:uiPriority w:val="62"/>
    <w:rPr>
      <w:rFonts w:ascii="Times New Roman" w:hAnsi="Times New Roman" w:eastAsia="宋体" w:cs="Times New Roman"/>
      <w:kern w:val="0"/>
      <w:sz w:val="20"/>
      <w:szCs w:val="2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beforeLines="0" w:beforeAutospacing="0" w:after="0" w:afterLines="0" w:afterAutospacing="0" w:line="240" w:lineRule="auto"/>
      </w:pPr>
      <w:rPr>
        <w:rFonts w:hint="default" w:ascii="Cambria" w:hAnsi="Cambria" w:eastAsia="宋体" w:cs="Times New Roman"/>
        <w:b/>
        <w:bCs/>
      </w:rPr>
      <w:tbl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beforeLines="0" w:beforeAutospacing="0" w:after="0" w:afterLines="0" w:afterAutospacing="0" w:line="240" w:lineRule="auto"/>
      </w:pPr>
      <w:rPr>
        <w:rFonts w:hint="default" w:ascii="Cambria" w:hAnsi="Cambria" w:eastAsia="宋体"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hint="default" w:ascii="Cambria" w:hAnsi="Cambria" w:eastAsia="宋体" w:cs="Times New Roman"/>
        <w:b/>
        <w:bCs/>
      </w:rPr>
    </w:tblStylePr>
    <w:tblStylePr w:type="lastCol">
      <w:rPr>
        <w:rFonts w:hint="default" w:ascii="Cambria" w:hAnsi="Cambria" w:eastAsia="宋体" w:cs="Times New Roman"/>
        <w:b/>
        <w:bCs/>
      </w:rPr>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blPr/>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character" w:styleId="29">
    <w:name w:val="Strong"/>
    <w:basedOn w:val="28"/>
    <w:qFormat/>
    <w:uiPriority w:val="22"/>
    <w:rPr>
      <w:b/>
      <w:bCs/>
    </w:rPr>
  </w:style>
  <w:style w:type="character" w:styleId="30">
    <w:name w:val="FollowedHyperlink"/>
    <w:basedOn w:val="28"/>
    <w:semiHidden/>
    <w:unhideWhenUsed/>
    <w:qFormat/>
    <w:uiPriority w:val="99"/>
    <w:rPr>
      <w:color w:val="800080"/>
      <w:u w:val="single"/>
    </w:rPr>
  </w:style>
  <w:style w:type="character" w:styleId="31">
    <w:name w:val="Hyperlink"/>
    <w:basedOn w:val="28"/>
    <w:unhideWhenUsed/>
    <w:qFormat/>
    <w:uiPriority w:val="99"/>
    <w:rPr>
      <w:color w:val="000000"/>
      <w:u w:val="single"/>
    </w:rPr>
  </w:style>
  <w:style w:type="character" w:styleId="32">
    <w:name w:val="annotation reference"/>
    <w:basedOn w:val="28"/>
    <w:semiHidden/>
    <w:unhideWhenUsed/>
    <w:uiPriority w:val="99"/>
    <w:rPr>
      <w:sz w:val="21"/>
      <w:szCs w:val="21"/>
    </w:rPr>
  </w:style>
  <w:style w:type="paragraph" w:customStyle="1" w:styleId="33">
    <w:name w:val="参考文献"/>
    <w:basedOn w:val="2"/>
    <w:link w:val="34"/>
    <w:autoRedefine/>
    <w:qFormat/>
    <w:uiPriority w:val="0"/>
    <w:pPr>
      <w:widowControl/>
      <w:numPr>
        <w:ilvl w:val="0"/>
        <w:numId w:val="2"/>
      </w:numPr>
      <w:wordWrap w:val="0"/>
      <w:topLinePunct/>
      <w:autoSpaceDE w:val="0"/>
      <w:spacing w:before="180" w:after="180"/>
      <w:ind w:left="420" w:hanging="420"/>
      <w:snapToGrid w:val="0"/>
    </w:pPr>
    <w:rPr>
      <w:rFonts w:eastAsia="宋体"/>
    </w:rPr>
  </w:style>
  <w:style w:type="character" w:customStyle="1" w:styleId="34">
    <w:name w:val="参考文献 字符"/>
    <w:basedOn w:val="35"/>
    <w:link w:val="33"/>
    <w:uiPriority w:val="0"/>
    <w:rPr>
      <w:rFonts w:ascii="Times New Roman" w:hAnsi="Times New Roman" w:eastAsia="宋体"/>
    </w:rPr>
  </w:style>
  <w:style w:type="character" w:customStyle="1" w:styleId="35">
    <w:name w:val="正文文本 字符"/>
    <w:basedOn w:val="28"/>
    <w:link w:val="2"/>
    <w:semiHidden/>
    <w:uiPriority w:val="99"/>
  </w:style>
  <w:style w:type="character" w:customStyle="1" w:styleId="36">
    <w:name w:val="标题 1 字符"/>
    <w:basedOn w:val="28"/>
    <w:link w:val="3"/>
    <w:qFormat/>
    <w:uiPriority w:val="9"/>
    <w:rPr>
      <w:rFonts w:ascii="仿宋_GB2312" w:hAnsi="仿宋" w:eastAsia="仿宋_GB2312"/>
      <w:b/>
      <w:bCs/>
      <w:kern w:val="44"/>
      <w:sz w:val="36"/>
      <w:szCs w:val="44"/>
    </w:rPr>
  </w:style>
  <w:style w:type="character" w:customStyle="1" w:styleId="37">
    <w:name w:val="标题 2 字符"/>
    <w:basedOn w:val="28"/>
    <w:link w:val="4"/>
    <w:semiHidden/>
    <w:qFormat/>
    <w:uiPriority w:val="9"/>
    <w:rPr>
      <w:rFonts w:ascii="Times New Roman" w:hAnsi="Times New Roman" w:eastAsia="仿宋_GB2312" w:cstheme="majorBidi"/>
      <w:b/>
      <w:bCs/>
      <w:sz w:val="32"/>
      <w:szCs w:val="32"/>
    </w:rPr>
  </w:style>
  <w:style w:type="character" w:customStyle="1" w:styleId="38">
    <w:name w:val="标题 3 字符"/>
    <w:basedOn w:val="28"/>
    <w:link w:val="5"/>
    <w:semiHidden/>
    <w:qFormat/>
    <w:uiPriority w:val="9"/>
    <w:rPr>
      <w:rFonts w:ascii="Times New Roman" w:hAnsi="Times New Roman" w:eastAsia="仿宋_GB2312"/>
      <w:b/>
      <w:bCs/>
      <w:sz w:val="32"/>
      <w:szCs w:val="32"/>
    </w:rPr>
  </w:style>
  <w:style w:type="character" w:customStyle="1" w:styleId="39">
    <w:name w:val="标题 4 字符"/>
    <w:basedOn w:val="28"/>
    <w:link w:val="7"/>
    <w:semiHidden/>
    <w:qFormat/>
    <w:uiPriority w:val="9"/>
    <w:rPr>
      <w:rFonts w:ascii="Times New Roman" w:hAnsi="Times New Roman" w:eastAsia="仿宋_GB2312" w:cstheme="majorBidi"/>
      <w:b/>
      <w:bCs/>
      <w:sz w:val="32"/>
      <w:szCs w:val="28"/>
    </w:rPr>
  </w:style>
  <w:style w:type="character" w:customStyle="1" w:styleId="40">
    <w:name w:val="标题 5 字符"/>
    <w:basedOn w:val="28"/>
    <w:link w:val="8"/>
    <w:semiHidden/>
    <w:qFormat/>
    <w:uiPriority w:val="9"/>
    <w:rPr>
      <w:rFonts w:ascii="Times New Roman" w:hAnsi="Times New Roman" w:eastAsia="仿宋_GB2312"/>
      <w:b/>
      <w:bCs/>
      <w:sz w:val="32"/>
      <w:szCs w:val="28"/>
    </w:rPr>
  </w:style>
  <w:style w:type="character" w:customStyle="1" w:styleId="41">
    <w:name w:val="标题 6 字符"/>
    <w:basedOn w:val="28"/>
    <w:link w:val="9"/>
    <w:semiHidden/>
    <w:qFormat/>
    <w:uiPriority w:val="9"/>
    <w:rPr>
      <w:rFonts w:asciiTheme="majorHAnsi" w:hAnsiTheme="majorHAnsi" w:eastAsiaTheme="majorEastAsia" w:cstheme="majorBidi"/>
      <w:b/>
      <w:bCs/>
      <w:sz w:val="24"/>
      <w:szCs w:val="24"/>
    </w:rPr>
  </w:style>
  <w:style w:type="character" w:customStyle="1" w:styleId="42">
    <w:name w:val="标题 7 字符"/>
    <w:basedOn w:val="28"/>
    <w:link w:val="10"/>
    <w:semiHidden/>
    <w:qFormat/>
    <w:uiPriority w:val="9"/>
    <w:rPr>
      <w:rFonts w:ascii="Times New Roman" w:hAnsi="Times New Roman" w:eastAsia="仿宋_GB2312"/>
      <w:b/>
      <w:bCs/>
      <w:sz w:val="24"/>
      <w:szCs w:val="24"/>
    </w:rPr>
  </w:style>
  <w:style w:type="character" w:customStyle="1" w:styleId="43">
    <w:name w:val="标题 8 字符"/>
    <w:basedOn w:val="28"/>
    <w:link w:val="11"/>
    <w:semiHidden/>
    <w:qFormat/>
    <w:uiPriority w:val="9"/>
    <w:rPr>
      <w:rFonts w:asciiTheme="majorHAnsi" w:hAnsiTheme="majorHAnsi" w:eastAsiaTheme="majorEastAsia" w:cstheme="majorBidi"/>
      <w:sz w:val="24"/>
      <w:szCs w:val="24"/>
    </w:rPr>
  </w:style>
  <w:style w:type="character" w:customStyle="1" w:styleId="44">
    <w:name w:val="标题 9 字符"/>
    <w:basedOn w:val="28"/>
    <w:link w:val="12"/>
    <w:semiHidden/>
    <w:qFormat/>
    <w:uiPriority w:val="9"/>
    <w:rPr>
      <w:rFonts w:asciiTheme="majorHAnsi" w:hAnsiTheme="majorHAnsi" w:eastAsiaTheme="majorEastAsia" w:cstheme="majorBidi"/>
      <w:szCs w:val="21"/>
    </w:rPr>
  </w:style>
  <w:style w:type="paragraph" w:customStyle="1" w:styleId="45">
    <w:name w:val="msonormal"/>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character" w:customStyle="1" w:styleId="46">
    <w:name w:val="页眉 字符"/>
    <w:basedOn w:val="28"/>
    <w:link w:val="20"/>
    <w:qFormat/>
    <w:uiPriority w:val="99"/>
    <w:rPr>
      <w:rFonts w:ascii="Times New Roman" w:hAnsi="Times New Roman" w:eastAsia="仿宋_GB2312"/>
      <w:sz w:val="18"/>
      <w:szCs w:val="18"/>
    </w:rPr>
  </w:style>
  <w:style w:type="character" w:customStyle="1" w:styleId="47">
    <w:name w:val="页脚 字符"/>
    <w:basedOn w:val="28"/>
    <w:link w:val="19"/>
    <w:qFormat/>
    <w:uiPriority w:val="99"/>
    <w:rPr>
      <w:rFonts w:ascii="Times New Roman" w:hAnsi="Times New Roman" w:eastAsia="仿宋_GB2312"/>
      <w:sz w:val="18"/>
      <w:szCs w:val="18"/>
    </w:rPr>
  </w:style>
  <w:style w:type="character" w:customStyle="1" w:styleId="48">
    <w:name w:val="日期 字符"/>
    <w:basedOn w:val="28"/>
    <w:link w:val="17"/>
    <w:semiHidden/>
    <w:qFormat/>
    <w:uiPriority w:val="99"/>
    <w:rPr>
      <w:rFonts w:ascii="Times New Roman" w:hAnsi="Times New Roman" w:eastAsia="仿宋_GB2312"/>
      <w:sz w:val="32"/>
    </w:rPr>
  </w:style>
  <w:style w:type="character" w:customStyle="1" w:styleId="49">
    <w:name w:val="文档结构图 字符"/>
    <w:basedOn w:val="28"/>
    <w:link w:val="14"/>
    <w:semiHidden/>
    <w:qFormat/>
    <w:uiPriority w:val="99"/>
    <w:rPr>
      <w:rFonts w:ascii="宋体" w:eastAsia="宋体"/>
      <w:sz w:val="18"/>
      <w:szCs w:val="18"/>
    </w:rPr>
  </w:style>
  <w:style w:type="character" w:customStyle="1" w:styleId="50">
    <w:name w:val="批注框文本 字符"/>
    <w:basedOn w:val="28"/>
    <w:link w:val="18"/>
    <w:semiHidden/>
    <w:qFormat/>
    <w:uiPriority w:val="99"/>
    <w:rPr>
      <w:rFonts w:ascii="Times New Roman" w:hAnsi="Times New Roman" w:eastAsia="仿宋_GB2312"/>
      <w:sz w:val="18"/>
      <w:szCs w:val="18"/>
    </w:rPr>
  </w:style>
  <w:style w:type="paragraph" w:styleId="51">
    <w:name w:val="No Spacing"/>
    <w:qFormat/>
    <w:uiPriority w:val="1"/>
    <w:pPr>
      <w:widowControl w:val="0"/>
      <w:jc w:val="both"/>
      <w:snapToGrid w:val="0"/>
    </w:pPr>
    <w:rPr>
      <w:rFonts w:eastAsia="仿宋" w:asciiTheme="minorHAnsi" w:hAnsiTheme="minorHAnsi" w:cstheme="minorBidi"/>
      <w:kern w:val="2"/>
      <w:sz w:val="21"/>
      <w:szCs w:val="22"/>
      <w:lang w:val="en-US" w:eastAsia="zh-CN" w:bidi="ar-SA"/>
    </w:rPr>
  </w:style>
  <w:style w:type="character" w:customStyle="1" w:styleId="52">
    <w:name w:val="列表段落 字符"/>
    <w:link w:val="53"/>
    <w:qFormat/>
    <w:locked/>
    <w:uiPriority w:val="34"/>
    <w:rPr>
      <w:rFonts w:ascii="仿宋_GB2312" w:eastAsia="仿宋_GB2312"/>
      <w:sz w:val="32"/>
      <w:szCs w:val="32"/>
    </w:rPr>
  </w:style>
  <w:style w:type="paragraph" w:styleId="53">
    <w:name w:val="List Paragraph"/>
    <w:link w:val="52"/>
    <w:qFormat/>
    <w:uiPriority w:val="34"/>
    <w:pPr>
      <w:spacing w:line="580" w:lineRule="exact"/>
      <w:ind w:firstLine="643" w:firstLineChars="200"/>
      <w:snapToGrid w:val="0"/>
    </w:pPr>
    <w:rPr>
      <w:rFonts w:ascii="仿宋_GB2312" w:eastAsia="仿宋_GB2312" w:hAnsiTheme="minorHAnsi" w:cstheme="minorBidi"/>
      <w:kern w:val="2"/>
      <w:sz w:val="32"/>
      <w:szCs w:val="32"/>
      <w:lang w:val="en-US" w:eastAsia="zh-CN" w:bidi="ar-SA"/>
    </w:rPr>
  </w:style>
  <w:style w:type="character" w:customStyle="1" w:styleId="54">
    <w:name w:val="图片 Char"/>
    <w:link w:val="55"/>
    <w:qFormat/>
    <w:locked/>
    <w:uiPriority w:val="0"/>
    <w:rPr>
      <w:rFonts w:ascii="仿宋_GB2312" w:eastAsia="仿宋_GB2312"/>
      <w:sz w:val="32"/>
    </w:rPr>
  </w:style>
  <w:style w:type="paragraph" w:customStyle="1" w:styleId="55">
    <w:name w:val="图片"/>
    <w:link w:val="54"/>
    <w:qFormat/>
    <w:uiPriority w:val="0"/>
    <w:pPr>
      <w:jc w:val="center"/>
      <w:snapToGrid w:val="0"/>
    </w:pPr>
    <w:rPr>
      <w:rFonts w:ascii="仿宋_GB2312" w:eastAsia="仿宋_GB2312" w:hAnsiTheme="minorHAnsi" w:cstheme="minorBidi"/>
      <w:kern w:val="2"/>
      <w:sz w:val="32"/>
      <w:szCs w:val="22"/>
      <w:lang w:val="en-US" w:eastAsia="zh-CN" w:bidi="ar-SA"/>
    </w:rPr>
  </w:style>
  <w:style w:type="paragraph" w:customStyle="1" w:styleId="56">
    <w:name w:val="TOC 标题1"/>
    <w:basedOn w:val="3"/>
    <w:next w:val="1"/>
    <w:qFormat/>
    <w:uiPriority w:val="39"/>
    <w:pPr>
      <w:spacing w:before="240" w:beforeLines="0" w:afterLines="0" w:line="256" w:lineRule="auto"/>
      <w:outlineLvl w:val="9"/>
      <w:snapToGrid w:val="0"/>
    </w:pPr>
    <w:rPr>
      <w:rFonts w:asciiTheme="majorHAnsi" w:hAnsiTheme="majorHAnsi" w:eastAsiaTheme="majorEastAsia" w:cstheme="majorBidi"/>
      <w:b w:val="0"/>
      <w:bCs w:val="0"/>
      <w:color w:val="2F5597" w:themeColor="accent1" w:themeShade="BF"/>
      <w:kern w:val="0"/>
      <w:sz w:val="32"/>
      <w:szCs w:val="32"/>
    </w:rPr>
  </w:style>
  <w:style w:type="paragraph" w:customStyle="1" w:styleId="57">
    <w:name w:val="_Style 40"/>
    <w:basedOn w:val="1"/>
    <w:next w:val="53"/>
    <w:qFormat/>
    <w:uiPriority w:val="99"/>
    <w:pPr>
      <w:adjustRightInd/>
      <w:ind w:firstLine="420"/>
      <w:snapToGrid w:val="0"/>
    </w:pPr>
    <w:rPr>
      <w:rFonts w:ascii="Calibri" w:hAnsi="Calibri" w:eastAsia="宋体" w:cs="Times New Roman"/>
      <w:sz w:val="21"/>
      <w:szCs w:val="24"/>
    </w:rPr>
  </w:style>
  <w:style w:type="paragraph" w:customStyle="1" w:styleId="58">
    <w:name w:val="正文段落"/>
    <w:basedOn w:val="1"/>
    <w:qFormat/>
    <w:uiPriority w:val="99"/>
    <w:pPr>
      <w:adjustRightInd/>
      <w:snapToGrid w:val="0"/>
    </w:pPr>
    <w:rPr>
      <w:rFonts w:cs="Times New Roman"/>
      <w:szCs w:val="20"/>
    </w:rPr>
  </w:style>
  <w:style w:type="paragraph" w:customStyle="1" w:styleId="59">
    <w:name w:val="普通(网站)1"/>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customStyle="1" w:styleId="60">
    <w:name w:val="p0"/>
    <w:basedOn w:val="1"/>
    <w:qFormat/>
    <w:uiPriority w:val="99"/>
    <w:pPr>
      <w:widowControl/>
      <w:adjustRightInd/>
      <w:snapToGrid w:val="0"/>
    </w:pPr>
    <w:rPr>
      <w:rFonts w:eastAsia="宋体" w:cs="Times New Roman"/>
      <w:kern w:val="0"/>
      <w:sz w:val="21"/>
      <w:szCs w:val="20"/>
    </w:rPr>
  </w:style>
  <w:style w:type="paragraph" w:customStyle="1" w:styleId="61">
    <w:name w:val="xl102"/>
    <w:basedOn w:val="1"/>
    <w:qFormat/>
    <w:uiPriority w:val="99"/>
    <w:pPr>
      <w:widowControl/>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62">
    <w:name w:val="xl103"/>
    <w:basedOn w:val="1"/>
    <w:qFormat/>
    <w:uiPriority w:val="99"/>
    <w:pPr>
      <w:widowControl/>
      <w:adjustRightInd/>
      <w:spacing w:before="100" w:beforeAutospacing="1" w:after="100" w:afterAutospacing="1"/>
      <w:jc w:val="center"/>
      <w:snapToGrid w:val="0"/>
    </w:pPr>
    <w:rPr>
      <w:rFonts w:ascii="黑体" w:hAnsi="黑体" w:eastAsia="黑体" w:cs="宋体"/>
      <w:color w:val="000000"/>
      <w:kern w:val="0"/>
      <w:szCs w:val="24"/>
    </w:rPr>
  </w:style>
  <w:style w:type="paragraph" w:customStyle="1" w:styleId="63">
    <w:name w:val="xl104"/>
    <w:basedOn w:val="1"/>
    <w:qFormat/>
    <w:uiPriority w:val="99"/>
    <w:pPr>
      <w:widowControl/>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64">
    <w:name w:val="xl105"/>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5">
    <w:name w:val="xl106"/>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center"/>
      <w:snapToGrid w:val="0"/>
    </w:pPr>
    <w:rPr>
      <w:rFonts w:ascii="黑体" w:hAnsi="黑体" w:eastAsia="黑体" w:cs="宋体"/>
      <w:b/>
      <w:bCs/>
      <w:kern w:val="0"/>
      <w:szCs w:val="24"/>
    </w:rPr>
  </w:style>
  <w:style w:type="paragraph" w:customStyle="1" w:styleId="66">
    <w:name w:val="xl107"/>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7">
    <w:name w:val="xl108"/>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BDD7EE"/>
      <w:adjustRightInd/>
      <w:spacing w:before="100" w:beforeAutospacing="1" w:after="100" w:afterAutospacing="1"/>
      <w:jc w:val="center"/>
      <w:snapToGrid w:val="0"/>
    </w:pPr>
    <w:rPr>
      <w:rFonts w:ascii="黑体" w:hAnsi="黑体" w:eastAsia="黑体" w:cs="宋体"/>
      <w:b/>
      <w:bCs/>
      <w:kern w:val="0"/>
      <w:szCs w:val="24"/>
    </w:rPr>
  </w:style>
  <w:style w:type="paragraph" w:customStyle="1" w:styleId="68">
    <w:name w:val="xl109"/>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9">
    <w:name w:val="xl110"/>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70">
    <w:name w:val="xl111"/>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1">
    <w:name w:val="xl112"/>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2">
    <w:name w:val="xl113"/>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3">
    <w:name w:val="xl114"/>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center"/>
      <w:snapToGrid w:val="0"/>
    </w:pPr>
    <w:rPr>
      <w:rFonts w:ascii="黑体" w:hAnsi="黑体" w:eastAsia="黑体" w:cs="宋体"/>
      <w:kern w:val="0"/>
      <w:szCs w:val="24"/>
    </w:rPr>
  </w:style>
  <w:style w:type="paragraph" w:customStyle="1" w:styleId="74">
    <w:name w:val="xl115"/>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5">
    <w:name w:val="xl116"/>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6">
    <w:name w:val="xl117"/>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7">
    <w:name w:val="xl118"/>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8">
    <w:name w:val="xl119"/>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79">
    <w:name w:val="xl120"/>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80">
    <w:name w:val="xl121"/>
    <w:basedOn w:val="1"/>
    <w:qFormat/>
    <w:uiPriority w:val="99"/>
    <w:pPr>
      <w:widowControl/>
      <w:pBdr>
        <w:top w:val="single" w:color="auto" w:sz="4" w:space="0"/>
        <w:left w:val="single" w:color="auto" w:sz="4" w:space="0"/>
        <w:right w:val="single" w:color="auto" w:sz="4" w:space="0"/>
      </w:pBdr>
      <w:adjustRightInd/>
      <w:spacing w:before="100" w:beforeAutospacing="1" w:after="100" w:afterAutospacing="1"/>
      <w:jc w:val="center"/>
      <w:snapToGrid w:val="0"/>
    </w:pPr>
    <w:rPr>
      <w:rFonts w:ascii="黑体" w:hAnsi="黑体" w:eastAsia="黑体" w:cs="宋体"/>
      <w:kern w:val="0"/>
      <w:szCs w:val="24"/>
    </w:rPr>
  </w:style>
  <w:style w:type="paragraph" w:customStyle="1" w:styleId="81">
    <w:name w:val="xl122"/>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2">
    <w:name w:val="xl123"/>
    <w:basedOn w:val="1"/>
    <w:qFormat/>
    <w:uiPriority w:val="99"/>
    <w:pPr>
      <w:widowControl/>
      <w:pBdr>
        <w:top w:val="single" w:color="auto" w:sz="4" w:space="0"/>
        <w:left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83">
    <w:name w:val="xl124"/>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84">
    <w:name w:val="xl125"/>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5">
    <w:name w:val="xl126"/>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6">
    <w:name w:val="xl64"/>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7">
    <w:name w:val="xl65"/>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8">
    <w:name w:val="xl66"/>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9">
    <w:name w:val="xl67"/>
    <w:basedOn w:val="1"/>
    <w:qFormat/>
    <w:uiPriority w:val="99"/>
    <w:pPr>
      <w:widowControl/>
      <w:pBdr>
        <w:top w:val="single" w:color="auto" w:sz="4" w:space="0"/>
        <w:left w:val="single" w:color="auto" w:sz="4" w:space="0"/>
        <w:bottom w:val="single" w:color="auto" w:sz="4" w:space="0"/>
        <w:right w:val="single" w:color="auto" w:sz="4" w:space="0"/>
      </w:pBdr>
      <w:shd w:val="clear" w:color="auto" w:fill="3366FF"/>
      <w:adjustRightInd/>
      <w:spacing w:before="100" w:beforeAutospacing="1" w:after="100" w:afterAutospacing="1"/>
      <w:jc w:val="center"/>
      <w:snapToGrid w:val="0"/>
    </w:pPr>
    <w:rPr>
      <w:rFonts w:ascii="黑体" w:hAnsi="黑体" w:eastAsia="黑体" w:cs="宋体"/>
      <w:b/>
      <w:bCs/>
      <w:color w:val="FFFFFF"/>
      <w:kern w:val="0"/>
      <w:szCs w:val="24"/>
    </w:rPr>
  </w:style>
  <w:style w:type="paragraph" w:customStyle="1" w:styleId="90">
    <w:name w:val="xl68"/>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1">
    <w:name w:val="xl69"/>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2">
    <w:name w:val="xl70"/>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93">
    <w:name w:val="xl71"/>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4">
    <w:name w:val="xl72"/>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customStyle="1" w:styleId="95">
    <w:name w:val="xl73"/>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color w:val="FF0000"/>
      <w:kern w:val="0"/>
      <w:szCs w:val="24"/>
    </w:rPr>
  </w:style>
  <w:style w:type="paragraph" w:customStyle="1" w:styleId="96">
    <w:name w:val="xl74"/>
    <w:basedOn w:val="1"/>
    <w:qFormat/>
    <w:uiPriority w:val="99"/>
    <w:pPr>
      <w:widowControl/>
      <w:shd w:val="clear" w:color="auto" w:fill="E7E6E6"/>
      <w:adjustRightInd/>
      <w:spacing w:before="100" w:beforeAutospacing="1" w:after="100" w:afterAutospacing="1"/>
      <w:jc w:val="center"/>
      <w:snapToGrid w:val="0"/>
    </w:pPr>
    <w:rPr>
      <w:rFonts w:ascii="黑体" w:hAnsi="黑体" w:eastAsia="黑体" w:cs="宋体"/>
      <w:b/>
      <w:bCs/>
      <w:kern w:val="0"/>
      <w:szCs w:val="24"/>
    </w:rPr>
  </w:style>
  <w:style w:type="paragraph" w:customStyle="1" w:styleId="97">
    <w:name w:val="xl75"/>
    <w:basedOn w:val="1"/>
    <w:qFormat/>
    <w:uiPriority w:val="99"/>
    <w:pPr>
      <w:widowControl/>
      <w:shd w:val="clear" w:color="auto" w:fill="E7E6E6"/>
      <w:adjustRightInd/>
      <w:spacing w:before="100" w:beforeAutospacing="1" w:after="100" w:afterAutospacing="1"/>
      <w:jc w:val="center"/>
      <w:snapToGrid w:val="0"/>
    </w:pPr>
    <w:rPr>
      <w:rFonts w:ascii="黑体" w:hAnsi="黑体" w:eastAsia="黑体" w:cs="宋体"/>
      <w:kern w:val="0"/>
      <w:szCs w:val="24"/>
    </w:rPr>
  </w:style>
  <w:style w:type="character" w:customStyle="1" w:styleId="98">
    <w:name w:val="表 字符"/>
    <w:basedOn w:val="54"/>
    <w:link w:val="99"/>
    <w:qFormat/>
    <w:locked/>
    <w:uiPriority w:val="0"/>
    <w:rPr>
      <w:rFonts w:ascii="仿宋_GB2312" w:eastAsia="仿宋_GB2312"/>
      <w:sz w:val="32"/>
      <w:szCs w:val="21"/>
    </w:rPr>
  </w:style>
  <w:style w:type="paragraph" w:customStyle="1" w:styleId="99">
    <w:name w:val="表"/>
    <w:link w:val="98"/>
    <w:qFormat/>
    <w:uiPriority w:val="0"/>
    <w:pPr>
      <w:widowControl w:val="0"/>
      <w:snapToGrid w:val="0"/>
    </w:pPr>
    <w:rPr>
      <w:rFonts w:ascii="仿宋_GB2312" w:eastAsia="仿宋_GB2312" w:hAnsiTheme="minorHAnsi" w:cstheme="minorBidi"/>
      <w:kern w:val="2"/>
      <w:sz w:val="32"/>
      <w:szCs w:val="21"/>
      <w:lang w:val="en-US" w:eastAsia="zh-CN" w:bidi="ar-SA"/>
    </w:rPr>
  </w:style>
  <w:style w:type="paragraph" w:customStyle="1" w:styleId="100">
    <w:name w:val="列出段落1"/>
    <w:basedOn w:val="1"/>
    <w:qFormat/>
    <w:uiPriority w:val="99"/>
    <w:pPr>
      <w:adjustRightInd/>
      <w:ind w:firstLine="420"/>
      <w:snapToGrid w:val="0"/>
    </w:pPr>
    <w:rPr>
      <w:rFonts w:ascii="Calibri" w:hAnsi="Calibri" w:eastAsia="宋体" w:cs="黑体"/>
      <w:sz w:val="21"/>
    </w:rPr>
  </w:style>
  <w:style w:type="character" w:styleId="101">
    <w:name w:val="Placeholder Text"/>
    <w:basedOn w:val="28"/>
    <w:semiHidden/>
    <w:qFormat/>
    <w:uiPriority w:val="99"/>
    <w:rPr>
      <w:color w:val="808080"/>
    </w:rPr>
  </w:style>
  <w:style w:type="character" w:customStyle="1" w:styleId="102">
    <w:name w:val="标题 1 字符1"/>
    <w:qFormat/>
    <w:uiPriority w:val="0"/>
    <w:rPr>
      <w:rFonts w:hint="default" w:ascii="Arial" w:hAnsi="Arial" w:eastAsia="宋体" w:cs="Times New Roman"/>
      <w:b/>
      <w:bCs/>
      <w:kern w:val="32"/>
      <w:sz w:val="32"/>
      <w:szCs w:val="32"/>
      <w:lang w:val="zh-CN" w:eastAsia="zh-CN"/>
    </w:rPr>
  </w:style>
  <w:style w:type="character" w:customStyle="1" w:styleId="103">
    <w:name w:val="标题 2 字符1"/>
    <w:qFormat/>
    <w:uiPriority w:val="0"/>
    <w:rPr>
      <w:rFonts w:hint="default" w:ascii="Cambria" w:hAnsi="Cambria" w:eastAsia="宋体" w:cs="Times New Roman"/>
      <w:b/>
      <w:bCs/>
      <w:sz w:val="32"/>
      <w:szCs w:val="32"/>
      <w:lang w:val="zh-CN" w:eastAsia="zh-CN"/>
    </w:rPr>
  </w:style>
  <w:style w:type="character" w:customStyle="1" w:styleId="104">
    <w:name w:val="fontstyle01"/>
    <w:basedOn w:val="28"/>
    <w:qFormat/>
    <w:uiPriority w:val="0"/>
    <w:rPr>
      <w:rFonts w:hint="eastAsia" w:ascii="仿宋" w:hAnsi="仿宋" w:eastAsia="仿宋"/>
      <w:color w:val="000000"/>
      <w:sz w:val="28"/>
      <w:szCs w:val="28"/>
    </w:rPr>
  </w:style>
  <w:style w:type="character" w:customStyle="1" w:styleId="105">
    <w:name w:val="tlid-translation"/>
    <w:basedOn w:val="28"/>
    <w:qFormat/>
    <w:uiPriority w:val="0"/>
  </w:style>
  <w:style w:type="table" w:customStyle="1" w:styleId="106">
    <w:name w:val="网格型1"/>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7">
    <w:name w:val="网格型2"/>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8">
    <w:name w:val="网格型3"/>
    <w:basedOn w:val="25"/>
    <w:qFormat/>
    <w:uiPriority w:val="0"/>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9">
    <w:name w:val="网格表 4 - 着色 11"/>
    <w:basedOn w:val="25"/>
    <w:qFormat/>
    <w:uiPriority w:val="49"/>
    <w:rPr>
      <w:rFonts w:ascii="Times New Roman" w:hAnsi="Times New Roman" w:eastAsia="宋体" w:cs="Times New Roman"/>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0">
    <w:name w:val="网格表 6 彩色 - 着色 11"/>
    <w:basedOn w:val="25"/>
    <w:qFormat/>
    <w:uiPriority w:val="51"/>
    <w:rPr>
      <w:rFonts w:ascii="Times New Roman" w:hAnsi="Times New Roman" w:eastAsia="宋体" w:cs="Times New Roman"/>
      <w:color w:val="2F5597" w:themeColor="accent1" w:themeShade="BF"/>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1">
    <w:name w:val="网格表 41"/>
    <w:basedOn w:val="25"/>
    <w:qFormat/>
    <w:uiPriority w:val="49"/>
    <w:rPr>
      <w:rFonts w:ascii="Times New Roman" w:hAnsi="Times New Roman" w:eastAsia="宋体" w:cs="Times New Roman"/>
      <w:kern w:val="0"/>
      <w:sz w:val="20"/>
      <w:szCs w:val="20"/>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12">
    <w:name w:val="网格表 6 彩色1"/>
    <w:basedOn w:val="25"/>
    <w:qFormat/>
    <w:uiPriority w:val="51"/>
    <w:rPr>
      <w:rFonts w:ascii="Times New Roman" w:hAnsi="Times New Roman" w:eastAsia="宋体" w:cs="Times New Roman"/>
      <w:color w:val="000000" w:themeColor="text1"/>
      <w:kern w:val="0"/>
      <w:sz w:val="20"/>
      <w:szCs w:val="20"/>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113">
    <w:name w:val="批注文字 字符"/>
    <w:basedOn w:val="28"/>
    <w:link w:val="15"/>
    <w:semiHidden/>
    <w:uiPriority w:val="99"/>
    <w:rPr>
      <w:rFonts w:ascii="仿宋_GB2312" w:hAnsi="仿宋_GB2312" w:eastAsia="仿宋_GB2312"/>
      <w:sz w:val="24"/>
    </w:rPr>
  </w:style>
  <w:style w:type="character" w:customStyle="1" w:styleId="114">
    <w:name w:val="批注主题 字符"/>
    <w:basedOn w:val="113"/>
    <w:link w:val="24"/>
    <w:semiHidden/>
    <w:uiPriority w:val="99"/>
    <w:rPr>
      <w:rFonts w:ascii="仿宋_GB2312" w:hAnsi="仿宋_GB2312" w:eastAsia="仿宋_GB2312"/>
      <w:b/>
      <w:bCs/>
      <w:sz w:val="24"/>
    </w:rPr>
  </w:style>
  <w:style w:type="paragraph" w:customStyle="1" w:styleId="FirstParagraph">
    <w:name w:val="First Paragraph"/>
    <w:basedOn w:val="1"/>
    <w:pPr>
      <w:spacing w:line="348" w:lineRule="exact" w:before="0" w:after="0"/>
      <w:ind w:firstLine="480"/>
      <w:snapToGrid w:val="0"/>
    </w:pPr>
    <w:rPr>
      <w:rFonts w:ascii="Times New Roman" w:hAnsi="Times New Roman" w:eastAsia="方正仿宋_GBK"/>
      <w:b w:val="0"/>
      <w:sz w:val="24"/>
    </w:rPr>
  </w:style>
  <w:style w:type="paragraph" w:customStyle="1" w:styleId="Compact">
    <w:name w:val="Compact"/>
    <w:basedOn w:val="1"/>
    <w:pPr>
      <w:spacing w:line="348" w:lineRule="exact" w:before="0" w:after="0"/>
      <w:ind w:firstLine="480"/>
      <w:snapToGrid w:val="0"/>
    </w:pPr>
    <w:rPr>
      <w:rFonts w:ascii="Times New Roman" w:hAnsi="Times New Roman" w:eastAsia="方正仿宋_GBK"/>
      <w:b w:val="0"/>
      <w:sz w:val="24"/>
    </w:rPr>
  </w:style>
  <w:style w:type="paragraph" w:customStyle="1" w:styleId="SourceCode">
    <w:name w:val="Source Code"/>
    <w:basedOn w:val="Normal"/>
    <w:link w:val="VerbatimChar"/>
    <w:pPr>
      <w:wordWrap w:val="off"/>
      <w:snapToGrid w:val="0"/>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3.xml"/><Relationship Id="rId10" Type="http://schemas.openxmlformats.org/officeDocument/2006/relationships/header" Target="header2.xml"/><Relationship Id="rId11" Type="http://schemas.openxmlformats.org/officeDocument/2006/relationships/header" Target="header1.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footer" Target="footer3.xml"/><Relationship Id="rId15" Type="http://schemas.openxmlformats.org/officeDocument/2006/relationships/footer" Target="footer2.xml"/><Relationship Id="rId16" Type="http://schemas.openxmlformats.org/officeDocument/2006/relationships/footer" Target="footer1.xml"/><Relationship Id="rId17" Type="http://schemas.openxmlformats.org/officeDocument/2006/relationships/footer" Target="footer4.xml"/><Relationship Id="rId18" Type="http://schemas.openxmlformats.org/officeDocument/2006/relationships/footer" Target="footer5.xml"/><Relationship Id="rId188" Type="http://schemas.openxmlformats.org/officeDocument/2006/relationships/image" Target="media/rId188.png"/><Relationship Id="rId98" Type="http://schemas.openxmlformats.org/officeDocument/2006/relationships/image" Target="media/rId98.png"/><Relationship Id="rId111" Type="http://schemas.openxmlformats.org/officeDocument/2006/relationships/image" Target="media/rId111.png"/><Relationship Id="rId130" Type="http://schemas.openxmlformats.org/officeDocument/2006/relationships/image" Target="media/rId130.png"/><Relationship Id="rId114" Type="http://schemas.openxmlformats.org/officeDocument/2006/relationships/image" Target="media/rId114.png"/><Relationship Id="rId191" Type="http://schemas.openxmlformats.org/officeDocument/2006/relationships/image" Target="media/rId191.png"/><Relationship Id="rId109" Type="http://schemas.openxmlformats.org/officeDocument/2006/relationships/image" Target="media/rId109.png"/><Relationship Id="rId192" Type="http://schemas.openxmlformats.org/officeDocument/2006/relationships/image" Target="media/rId192.png"/><Relationship Id="rId128" Type="http://schemas.openxmlformats.org/officeDocument/2006/relationships/image" Target="media/rId128.png"/><Relationship Id="rId113" Type="http://schemas.openxmlformats.org/officeDocument/2006/relationships/image" Target="media/rId113.png"/><Relationship Id="rId250" Type="http://schemas.openxmlformats.org/officeDocument/2006/relationships/image" Target="media/rId250.png"/><Relationship Id="rId103" Type="http://schemas.openxmlformats.org/officeDocument/2006/relationships/image" Target="media/rId103.png"/><Relationship Id="rId157" Type="http://schemas.openxmlformats.org/officeDocument/2006/relationships/image" Target="media/rId157.png"/><Relationship Id="rId42" Type="http://schemas.openxmlformats.org/officeDocument/2006/relationships/image" Target="media/rId4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131</Pages>
  <Words>4471</Words>
  <Characters>4904</Characters>
  <Lines>340</Lines>
  <Paragraphs>95</Paragraphs>
  <TotalTime>35</TotalTime>
  <ScaleCrop>false</ScaleCrop>
  <LinksUpToDate>false</LinksUpToDate>
  <CharactersWithSpaces>5239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徐州地区分布式新能源高渗透率地区110 kV电网容载比弹性指标优化研究</dc:title>
  <dc:creator>研究项目组</dc:creator>
  <cp:keywords/>
  <dcterms:created xsi:type="dcterms:W3CDTF">2026-10-13T22:41:17Z</dcterms:created>
  <dcterms:modified xsi:type="dcterms:W3CDTF">2026-10-13T22:41:17Z</dcterms:modified>
  <cp:lastModifiedBy>研究项目组</cp:lastModifiedBy>
  <dc:subject>110 kV容量规划与措施经济比选</dc:subject>
</cp:coreProperties>
</file>

<file path=docProps/custom.xml><?xml version="1.0" encoding="utf-8"?>
<Properties xmlns="http://schemas.openxmlformats.org/officeDocument/2006/custom-properties" xmlns:vt="http://schemas.openxmlformats.org/officeDocument/2006/docPropsVTypes"/>
</file>