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after="100"/>
        <w:jc w:val="center"/>
      </w:pPr>
      <w:r>
        <w:rPr>
          <w:rFonts w:ascii="Arial" w:hAnsi="Arial" w:eastAsia="宋体" w:cs="Arial"/>
          <w:b/>
          <w:bCs/>
          <w:color w:val="17365D"/>
          <w:sz w:val="32"/>
          <w:szCs w:val="32"/>
        </w:rPr>
        <w:t xml:space="preserve">110 kV 正式推荐矩阵</w:t>
      </w:r>
    </w:p>
    <w:p>
      <w:pPr>
        <w:pStyle w:val="Normal"/>
        <w:spacing w:after="100"/>
        <w:jc w:val="center"/>
      </w:pPr>
      <w:r>
        <w:rPr>
          <w:rFonts w:ascii="Arial" w:hAnsi="Arial" w:eastAsia="宋体" w:cs="Arial"/>
          <w:color w:val="404040"/>
          <w:sz w:val="17"/>
          <w:szCs w:val="17"/>
        </w:rPr>
        <w:t xml:space="preserve">8 个编码片区｜2021 年实际在役资产共同基准｜2022—2025 年决策期｜2025 年价格口径</w:t>
      </w:r>
    </w:p>
    <w:p>
      <w:pPr>
        <w:pStyle w:val="Normal"/>
        <w:spacing w:after="150"/>
        <w:jc w:val="left"/>
      </w:pPr>
      <w:r>
        <w:rPr>
          <w:rFonts w:ascii="Arial" w:hAnsi="Arial" w:eastAsia="宋体" w:cs="Arial"/>
          <w:color w:val="404040"/>
          <w:sz w:val="17"/>
          <w:szCs w:val="17"/>
        </w:rPr>
        <w:t xml:space="preserve">说明：110 kV 为正式推荐矩阵；Word 为人工审查层，精确查值以同目录 CSV/Markdown 为准。</w:t>
      </w:r>
    </w:p>
    <w:tbl>
      <w:tblPr>
        <w:tblW w:w="0" w:type="auto"/>
        <w:tblLayout w:type="fixed"/>
        <w:tblBorders>
          <w:top w:val="single" w:sz="4" w:color="B4C7E7"/>
          <w:left w:val="single" w:sz="4" w:color="B4C7E7"/>
          <w:bottom w:val="single" w:sz="4" w:color="B4C7E7"/>
          <w:right w:val="single" w:sz="4" w:color="B4C7E7"/>
          <w:insideH w:val="single" w:sz="4" w:color="D9E2F3"/>
          <w:insideV w:val="single" w:sz="4" w:color="D9E2F3"/>
        </w:tblBorders>
      </w:tblPr>
      <w:tblGrid>
        <w:gridCol w:w="3100"/>
        <w:gridCol w:w="1547"/>
        <w:gridCol w:w="1547"/>
        <w:gridCol w:w="1547"/>
        <w:gridCol w:w="1547"/>
        <w:gridCol w:w="1547"/>
        <w:gridCol w:w="1547"/>
        <w:gridCol w:w="1547"/>
        <w:gridCol w:w="1547"/>
      </w:tblGrid>
      <w:tr>
        <w:trPr>
          <w:cantSplit/>
          <w:tblHeader/>
        </w:trPr>
        <w:tc>
          <w:tcPr>
            <w:tcW w:w="3100" w:type="dxa"/>
            <w:shd w:val="clear" w:color="auto" w:fill="1F4E78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6"/>
                <w:szCs w:val="16"/>
              </w:rPr>
              <w:t xml:space="preserve">指标</w:t>
            </w:r>
          </w:p>
        </w:tc>
        <w:tc>
          <w:tcPr>
            <w:tcW w:w="1547" w:type="dxa"/>
            <w:shd w:val="clear" w:color="auto" w:fill="1F4E78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6"/>
                <w:szCs w:val="16"/>
              </w:rPr>
              <w:t xml:space="preserve">QX-00001</w:t>
            </w:r>
          </w:p>
        </w:tc>
        <w:tc>
          <w:tcPr>
            <w:tcW w:w="1547" w:type="dxa"/>
            <w:shd w:val="clear" w:color="auto" w:fill="1F4E78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6"/>
                <w:szCs w:val="16"/>
              </w:rPr>
              <w:t xml:space="preserve">QX-00003</w:t>
            </w:r>
          </w:p>
        </w:tc>
        <w:tc>
          <w:tcPr>
            <w:tcW w:w="1547" w:type="dxa"/>
            <w:shd w:val="clear" w:color="auto" w:fill="1F4E78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6"/>
                <w:szCs w:val="16"/>
              </w:rPr>
              <w:t xml:space="preserve">QX-00004</w:t>
            </w:r>
          </w:p>
        </w:tc>
        <w:tc>
          <w:tcPr>
            <w:tcW w:w="1547" w:type="dxa"/>
            <w:shd w:val="clear" w:color="auto" w:fill="1F4E78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6"/>
                <w:szCs w:val="16"/>
              </w:rPr>
              <w:t xml:space="preserve">QX-00005</w:t>
            </w:r>
          </w:p>
        </w:tc>
        <w:tc>
          <w:tcPr>
            <w:tcW w:w="1547" w:type="dxa"/>
            <w:shd w:val="clear" w:color="auto" w:fill="1F4E78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6"/>
                <w:szCs w:val="16"/>
              </w:rPr>
              <w:t xml:space="preserve">QX-00007</w:t>
            </w:r>
          </w:p>
        </w:tc>
        <w:tc>
          <w:tcPr>
            <w:tcW w:w="1547" w:type="dxa"/>
            <w:shd w:val="clear" w:color="auto" w:fill="1F4E78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6"/>
                <w:szCs w:val="16"/>
              </w:rPr>
              <w:t xml:space="preserve">QX-00008</w:t>
            </w:r>
          </w:p>
        </w:tc>
        <w:tc>
          <w:tcPr>
            <w:tcW w:w="1547" w:type="dxa"/>
            <w:shd w:val="clear" w:color="auto" w:fill="1F4E78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6"/>
                <w:szCs w:val="16"/>
              </w:rPr>
              <w:t xml:space="preserve">QX-00009</w:t>
            </w:r>
          </w:p>
        </w:tc>
        <w:tc>
          <w:tcPr>
            <w:tcW w:w="1547" w:type="dxa"/>
            <w:shd w:val="clear" w:color="auto" w:fill="1F4E78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6"/>
                <w:szCs w:val="16"/>
              </w:rPr>
              <w:t xml:space="preserve">QX-00010</w:t>
            </w:r>
          </w:p>
        </w:tc>
      </w:tr>
      <w:tr>
        <w:trPr>
          <w:cantSplit/>
        </w:trPr>
        <w:tc>
          <w:tcPr>
            <w:tcW w:w="15476" w:type="dxa"/>
            <w:gridSpan w:val="9"/>
            <w:shd w:val="clear" w:color="auto" w:fill="5B9BD5"/>
            <w:vAlign w:val="center"/>
          </w:tcPr>
          <w:p>
            <w:pPr>
              <w:jc w:val="left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7"/>
                <w:szCs w:val="17"/>
              </w:rPr>
              <w:t xml:space="preserve">口径与推荐结论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资产范围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2025 年运行口径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2025 年运行口径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2025 年运行口径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2025 年运行口径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2025 年运行口径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2025 年运行口径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2025 年运行口径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2025 年运行口径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证据等级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B 级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B 级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B 级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A 级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B 级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B 级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B 级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B 级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推荐 Rcap 区间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阈值 2.359～2.360；稳健近优下限≥2.500；上界未在扫描内识别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本规划期Rcap不构成有效约束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本规划期Rcap不构成有效约束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阈值 2.171～2.172；稳健近优下限≥2.300；上界未在扫描内识别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本规划期Rcap不构成有效约束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未形成（先解决物理可行性）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未形成（先解决物理可行性）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未形成（先解决物理可行性）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推荐 Rcap 中心值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2.500起；上界未识别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不适用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不适用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2.300起；上界未识别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不适用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不适用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不适用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措施触发约束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数据证据不足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数据证据不足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数据证据不足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数据证据不足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数据证据不足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数据证据不足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数据证据不足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数据证据不足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推荐措施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未形成唯一推荐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未形成唯一推荐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未形成唯一推荐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未形成唯一推荐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无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无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无</w:t>
            </w:r>
          </w:p>
        </w:tc>
        <w:tc>
          <w:tcPr>
            <w:tcW w:w="1547" w:type="dxa"/>
            <w:shd w:val="clear" w:color="auto" w:fill="E2F0D9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375623"/>
                <w:sz w:val="16"/>
                <w:szCs w:val="16"/>
              </w:rPr>
              <w:t xml:space="preserve">无</w:t>
            </w:r>
          </w:p>
        </w:tc>
      </w:tr>
      <w:tr>
        <w:trPr>
          <w:cantSplit/>
        </w:trPr>
        <w:tc>
          <w:tcPr>
            <w:tcW w:w="15476" w:type="dxa"/>
            <w:gridSpan w:val="9"/>
            <w:shd w:val="clear" w:color="auto" w:fill="5B9BD5"/>
            <w:vAlign w:val="center"/>
          </w:tcPr>
          <w:p>
            <w:pPr>
              <w:jc w:val="left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7"/>
                <w:szCs w:val="17"/>
              </w:rPr>
              <w:t xml:space="preserve">推荐区间依据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推荐区间有效样本数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6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16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16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8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16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推荐区间形成方法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Rcap弹性前沿5%近优带＋局部细化＋同维度敏感性稳健交集；不与实现CLR取交集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不输出数值推荐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不输出数值推荐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Rcap弹性前沿5%近优带＋局部细化＋同维度敏感性稳健交集；不与实现CLR取交集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不输出数值推荐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不输出数值推荐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不输出数值推荐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不输出数值推荐</w:t>
            </w:r>
          </w:p>
        </w:tc>
      </w:tr>
      <w:tr>
        <w:trPr>
          <w:cantSplit/>
        </w:trPr>
        <w:tc>
          <w:tcPr>
            <w:tcW w:w="15476" w:type="dxa"/>
            <w:gridSpan w:val="9"/>
            <w:shd w:val="clear" w:color="auto" w:fill="5B9BD5"/>
            <w:vAlign w:val="center"/>
          </w:tcPr>
          <w:p>
            <w:pPr>
              <w:jc w:val="left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7"/>
                <w:szCs w:val="17"/>
              </w:rPr>
              <w:t xml:space="preserve">2025 年容载比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2025 年容载比｜2021—2025 实际（事实对照）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2.617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3.088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3.301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2.237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2.421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2.421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2.308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2.694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2025 年容载比｜不限制容载比优化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2.360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2.235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2.973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2.172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2.037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2025 年容载比｜控制容载比不超过 2.0 优化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2.268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2.235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2.973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2.119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2.037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</w:tr>
      <w:tr>
        <w:trPr>
          <w:cantSplit/>
        </w:trPr>
        <w:tc>
          <w:tcPr>
            <w:tcW w:w="15476" w:type="dxa"/>
            <w:gridSpan w:val="9"/>
            <w:shd w:val="clear" w:color="auto" w:fill="5B9BD5"/>
            <w:vAlign w:val="center"/>
          </w:tcPr>
          <w:p>
            <w:pPr>
              <w:jc w:val="left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7"/>
                <w:szCs w:val="17"/>
              </w:rPr>
              <w:t xml:space="preserve">累计年化成本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累计年化成本｜2021—2025 实际（事实对照）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未识别（设备动作成本未闭合）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未识别（设备动作成本未闭合）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未识别（设备动作成本未闭合）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未识别（设备动作成本未闭合）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未识别（设备动作成本未闭合）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未识别（设备动作成本未闭合）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未识别（设备动作成本未闭合）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未识别（设备动作成本未闭合）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累计年化成本｜不限制容载比优化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188.18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604.70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433.54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1,745.53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累计年化成本｜控制容载比不超过 2.0 优化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481.96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604.70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433.54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3,359.05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  <w:tc>
          <w:tcPr>
            <w:tcW w:w="1547" w:type="dxa"/>
            <w:shd w:val="clear" w:color="auto" w:fill="FCE4D6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9C0006"/>
                <w:sz w:val="16"/>
                <w:szCs w:val="16"/>
              </w:rPr>
              <w:t xml:space="preserve">不可行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严格约束增量成本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293.78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1,613.52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未形成直接比较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未形成直接比较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未形成直接比较</w:t>
            </w:r>
          </w:p>
        </w:tc>
      </w:tr>
      <w:tr>
        <w:trPr>
          <w:cantSplit/>
        </w:trPr>
        <w:tc>
          <w:tcPr>
            <w:tcW w:w="15476" w:type="dxa"/>
            <w:gridSpan w:val="9"/>
            <w:shd w:val="clear" w:color="auto" w:fill="5B9BD5"/>
            <w:vAlign w:val="center"/>
          </w:tcPr>
          <w:p>
            <w:pPr>
              <w:jc w:val="left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7"/>
                <w:szCs w:val="17"/>
              </w:rPr>
              <w:t xml:space="preserve">设备与负荷口径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公用变容量（MVA）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1,425.00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966.50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2,094.00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2,139.50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3,701.00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1,839.00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1,877.00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1,979.50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正向最大净负荷（MW）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544.55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313.03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634.28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956.45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1,528.82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759.56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813.38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734.91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反向峰值（MW）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未形成同步反向峰值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未形成同步反向峰值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未形成同步反向峰值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未形成同步反向峰值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未形成同步反向峰值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未形成同步反向峰值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未形成同步反向峰值</w:t>
            </w:r>
          </w:p>
        </w:tc>
        <w:tc>
          <w:tcPr>
            <w:tcW w:w="1547" w:type="dxa"/>
            <w:shd w:val="clear" w:color="auto" w:fill="FFF2CC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7F6000"/>
                <w:sz w:val="16"/>
                <w:szCs w:val="16"/>
              </w:rPr>
              <w:t xml:space="preserve">未形成同步反向峰值</w:t>
            </w:r>
          </w:p>
        </w:tc>
      </w:tr>
      <w:tr>
        <w:trPr>
          <w:cantSplit/>
        </w:trPr>
        <w:tc>
          <w:tcPr>
            <w:tcW w:w="15476" w:type="dxa"/>
            <w:gridSpan w:val="9"/>
            <w:shd w:val="clear" w:color="auto" w:fill="5B9BD5"/>
            <w:vAlign w:val="center"/>
          </w:tcPr>
          <w:p>
            <w:pPr>
              <w:jc w:val="left"/>
              <w:spacing w:after="0"/>
            </w:pPr>
            <w:r>
              <w:rPr>
                <w:rFonts w:ascii="Arial" w:hAnsi="Arial" w:eastAsia="宋体" w:cs="Arial"/>
                <w:b/>
                <w:bCs/>
                <w:color w:val="FFFFFF"/>
                <w:sz w:val="17"/>
                <w:szCs w:val="17"/>
              </w:rPr>
              <w:t xml:space="preserve">缺口与设备数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正向容量缺口（MW）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0.00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反向承载缺口（MW）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7.89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9.46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10.46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52.80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0.00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12.52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37.81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87.81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正向缺口设备数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</w:tr>
      <w:tr>
        <w:trPr>
          <w:cantSplit/>
        </w:trPr>
        <w:tc>
          <w:tcPr>
            <w:tcW w:w="3100" w:type="dxa"/>
            <w:shd w:val="clear" w:color="auto" w:fill="F2F2F2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b/>
                <w:bCs/>
                <w:color w:val="17365D"/>
                <w:sz w:val="16"/>
                <w:szCs w:val="16"/>
              </w:rPr>
              <w:t xml:space="preserve">反向缺口设备数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3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1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2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4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0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3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3</w:t>
            </w:r>
          </w:p>
        </w:tc>
        <w:tc>
          <w:tcPr>
            <w:tcW w:w="1547" w:type="dxa"/>
            <w:shd w:val="clear" w:color="auto" w:fill="FFFFFF"/>
            <w:vAlign w:val="center"/>
          </w:tcPr>
          <w:p>
            <w:pPr>
              <w:jc w:val="center"/>
              <w:spacing w:after="0"/>
            </w:pPr>
            <w:r>
              <w:rPr>
                <w:rFonts w:ascii="Arial" w:hAnsi="Arial" w:eastAsia="宋体" w:cs="Arial"/>
                <w:color w:val="404040"/>
                <w:sz w:val="16"/>
                <w:szCs w:val="16"/>
              </w:rPr>
              <w:t xml:space="preserve">5</w:t>
            </w:r>
          </w:p>
        </w:tc>
      </w:tr>
    </w:tbl>
    <w:p>
      <w:pPr>
        <w:pStyle w:val="Normal"/>
        <w:spacing w:after="45"/>
      </w:pPr>
      <w:r>
        <w:rPr>
          <w:rFonts w:ascii="Arial" w:hAnsi="Arial" w:eastAsia="宋体" w:cs="Arial"/>
          <w:color w:val="595959"/>
          <w:sz w:val="15"/>
          <w:szCs w:val="15"/>
        </w:rPr>
        <w:t xml:space="preserve">注：正式容载比只使用同电压等级公用变容量除以该路径、该年度同步正向最大净负荷；反向峰值和反向承载力单列。</w:t>
      </w:r>
    </w:p>
    <w:p>
      <w:pPr>
        <w:pStyle w:val="Normal"/>
        <w:spacing w:after="45"/>
      </w:pPr>
      <w:r>
        <w:rPr>
          <w:rFonts w:ascii="Arial" w:hAnsi="Arial" w:eastAsia="宋体" w:cs="Arial"/>
          <w:color w:val="595959"/>
          <w:sz w:val="15"/>
          <w:szCs w:val="15"/>
        </w:rPr>
        <w:t xml:space="preserve">注：推荐 Rcap 区间来自 Rcap—累计年化成本前沿、局部细化和同一 Rcap 维度的敏感性；不与实现 CLR 取交集。</w:t>
      </w:r>
    </w:p>
    <w:p>
      <w:pPr>
        <w:pStyle w:val="Normal"/>
        <w:spacing w:after="45"/>
      </w:pPr>
      <w:r>
        <w:rPr>
          <w:rFonts w:ascii="Arial" w:hAnsi="Arial" w:eastAsia="宋体" w:cs="Arial"/>
          <w:color w:val="595959"/>
          <w:sz w:val="15"/>
          <w:szCs w:val="15"/>
        </w:rPr>
        <w:t xml:space="preserve">注：数据映射、异常值、历史范围、成本闭合和跨年光伏快照见同目录模型科学性终审记录。</w:t>
      </w:r>
    </w:p>
    <w:sectPr>
      <w:footerReference w:type="default" r:id="rIdFooter"/>
      <w:pgSz w:w="16838" w:h="11906" w:orient="landscape"/>
      <w:pgMar w:top="709" w:right="680" w:bottom="709" w:left="680"/>
      <w:cols w:num="1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Arial" w:hAnsi="Arial" w:eastAsia="宋体" w:cs="Arial"/>
        <w:color w:val="808080"/>
        <w:sz w:val="14"/>
        <w:szCs w:val="14"/>
      </w:rPr>
      <w:t xml:space="preserve">v3.2 真实数据｜Word 人工审查层｜精确查值以同目录 CSV 为准｜第 </w:t>
    </w: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Arial" w:hAnsi="Arial" w:eastAsia="宋体"/>
        <w:sz w:val="18"/>
        <w:szCs w:val="18"/>
      </w:rPr>
    </w:rPrDefault>
  </w:docDefaults>
  <w:style w:type="paragraph" w:default="1" w:styleId="Normal">
    <w:name w:val="Normal"/>
    <w:qFormat/>
    <w:pPr>
      <w:spacing w:after="80"/>
    </w:pPr>
  </w:style>
  <w:style w:type="paragraph" w:styleId="Title">
    <w:name w:val="Title"/>
    <w:basedOn w:val="Normal"/>
    <w:qFormat/>
    <w:rPr>
      <w:rFonts w:ascii="Arial" w:hAnsi="Arial" w:eastAsia="黑体"/>
      <w:b/>
      <w:color w:val="17365D"/>
      <w:sz w:val="32"/>
    </w:rPr>
  </w:style>
  <w:style w:type="table" w:styleId="TableGrid">
    <w:name w:val="Table Grid"/>
    <w:basedOn w:val="Normal"/>
    <w:tblPr>
      <w:tblBorders>
        <w:top w:val="single" w:sz="4" w:color="B4C7E7"/>
        <w:left w:val="single" w:sz="4" w:color="B4C7E7"/>
        <w:bottom w:val="single" w:sz="4" w:color="B4C7E7"/>
        <w:right w:val="single" w:sz="4" w:color="B4C7E7"/>
        <w:insideH w:val="single" w:sz="4" w:color="D9E2F3"/>
        <w:insideV w:val="single" w:sz="4" w:color="D9E2F3"/>
      </w:tblBorders>
    </w:tblPr>
  </w:style>
</w:styles>
</file>

<file path=word/_rels/document.xml.rels><?xml version="1.0" encoding="UTF-8" standalone="yes"?>
<Relationships xmlns="http://schemas.openxmlformats.org/package/2006/relationships">
  <Relationship Id="rIdFooter" Type="http://schemas.openxmlformats.org/officeDocument/2006/relationships/footer" Target="footer1.xml"/>
</Relationships>
</file>