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  <w:jc w:val="center"/>
      </w:pPr>
      <w:r>
        <w:rPr>
          <w:rFonts w:ascii="Arial" w:hAnsi="Arial" w:eastAsia="宋体" w:cs="Arial"/>
          <w:b/>
          <w:bCs/>
          <w:color w:val="17365D"/>
          <w:sz w:val="32"/>
          <w:szCs w:val="32"/>
        </w:rPr>
        <w:t xml:space="preserve">35 kV 辅助分析矩阵</w:t>
      </w:r>
    </w:p>
    <w:p>
      <w:pPr>
        <w:pStyle w:val="Normal"/>
        <w:spacing w:after="100"/>
        <w:jc w:val="center"/>
      </w:pPr>
      <w:r>
        <w:rPr>
          <w:rFonts w:ascii="Arial" w:hAnsi="Arial" w:eastAsia="宋体" w:cs="Arial"/>
          <w:color w:val="404040"/>
          <w:sz w:val="17"/>
          <w:szCs w:val="17"/>
        </w:rPr>
        <w:t xml:space="preserve">8 个编码片区｜2021 年实际在役资产共同基准｜2022—2025 年决策期｜2025 年价格口径</w:t>
      </w:r>
    </w:p>
    <w:p>
      <w:pPr>
        <w:pStyle w:val="Normal"/>
        <w:spacing w:after="150"/>
        <w:jc w:val="left"/>
      </w:pPr>
      <w:r>
        <w:rPr>
          <w:rFonts w:ascii="Arial" w:hAnsi="Arial" w:eastAsia="宋体" w:cs="Arial"/>
          <w:color w:val="7F6000"/>
          <w:sz w:val="17"/>
          <w:szCs w:val="17"/>
        </w:rPr>
        <w:t xml:space="preserve">说明：35 kV 为辅助分析矩阵，不替代 110 kV 正式推荐；严格路径不可行的片区不形成正式唯一推荐。</w:t>
      </w:r>
    </w:p>
    <w:tbl>
      <w:tblPr>
        <w:tblW w:w="0" w:type="auto"/>
        <w:tblLayout w:type="fixed"/>
        <w:tblBorders>
          <w:top w:val="single" w:sz="4" w:color="B4C7E7"/>
          <w:left w:val="single" w:sz="4" w:color="B4C7E7"/>
          <w:bottom w:val="single" w:sz="4" w:color="B4C7E7"/>
          <w:right w:val="single" w:sz="4" w:color="B4C7E7"/>
          <w:insideH w:val="single" w:sz="4" w:color="D9E2F3"/>
          <w:insideV w:val="single" w:sz="4" w:color="D9E2F3"/>
        </w:tblBorders>
      </w:tblPr>
      <w:tblGrid>
        <w:gridCol w:w="3100"/>
        <w:gridCol w:w="1547"/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cantSplit/>
          <w:tblHeader/>
        </w:trPr>
        <w:tc>
          <w:tcPr>
            <w:tcW w:w="3100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QX-00001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QX-00003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QX-00004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QX-00005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QX-00007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QX-00008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QX-00009</w:t>
            </w:r>
          </w:p>
        </w:tc>
        <w:tc>
          <w:tcPr>
            <w:tcW w:w="1547" w:type="dxa"/>
            <w:shd w:val="clear" w:color="auto" w:fill="1F4E78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6"/>
                <w:szCs w:val="16"/>
              </w:rPr>
              <w:t xml:space="preserve">QX-00010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口径与推荐结论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资产范围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2025 年运行口径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证据等级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B 级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 Rcap 区间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无需调整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 Rcap 中心值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不适用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措施触发约束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数据证据不足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推荐措施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E2F0D9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375623"/>
                <w:sz w:val="16"/>
                <w:szCs w:val="16"/>
              </w:rPr>
              <w:t xml:space="preserve">无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未形成唯一推荐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推荐区间依据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推荐区间有效样本数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推荐区间形成方法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不输出数值推荐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2025 年容载比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年容载比｜2021—2025 实际（事实对照）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2.314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2.420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2.345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1.863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2.452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1.996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3.082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2.909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年容载比｜不限制容载比优化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2.613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3.487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3.605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2025 年容载比｜控制容载比不超过 2.0 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2.613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3.487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3.605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累计年化成本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累计年化成本｜2021—2025 实际（事实对照）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未识别（设备动作成本未闭合）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累计年化成本｜不限制容载比优化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506.73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2,140.65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累计年化成本｜控制容载比不超过 2.0 优化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506.73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CE4D6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9C0006"/>
                <w:sz w:val="16"/>
                <w:szCs w:val="16"/>
              </w:rPr>
              <w:t xml:space="preserve">不可行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2,140.65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严格约束增量成本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未形成直接比较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设备与负荷口径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公用变容量（MVA）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276.50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302.00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250.00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275.00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36.00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164.30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274.30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232.00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正向最大净负荷（MW）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119.49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124.78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106.61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147.65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14.68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82.31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89.00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79.75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反向峰值（MW）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  <w:tc>
          <w:tcPr>
            <w:tcW w:w="1547" w:type="dxa"/>
            <w:shd w:val="clear" w:color="auto" w:fill="FFF2CC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7F6000"/>
                <w:sz w:val="16"/>
                <w:szCs w:val="16"/>
              </w:rPr>
              <w:t xml:space="preserve">未形成同步反向峰值</w:t>
            </w:r>
          </w:p>
        </w:tc>
      </w:tr>
      <w:tr>
        <w:trPr>
          <w:cantSplit/>
        </w:trPr>
        <w:tc>
          <w:tcPr>
            <w:tcW w:w="15476" w:type="dxa"/>
            <w:gridSpan w:val="9"/>
            <w:shd w:val="clear" w:color="auto" w:fill="5B9BD5"/>
            <w:vAlign w:val="center"/>
          </w:tcPr>
          <w:p>
            <w:pPr>
              <w:jc w:val="left"/>
              <w:spacing w:after="0"/>
            </w:pPr>
            <w:r>
              <w:rPr>
                <w:rFonts w:ascii="Arial" w:hAnsi="Arial" w:eastAsia="宋体" w:cs="Arial"/>
                <w:b/>
                <w:bCs/>
                <w:color w:val="FFFFFF"/>
                <w:sz w:val="17"/>
                <w:szCs w:val="17"/>
              </w:rPr>
              <w:t xml:space="preserve">缺口与设备数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正向容量缺口（MW）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未形成设备级诊断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0.65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反向承载缺口（MW）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17.36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6.92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21.58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28.44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未形成设备级诊断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12.84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0.00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25.20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正向缺口设备数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未形成设备级诊断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1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3100" w:type="dxa"/>
            <w:shd w:val="clear" w:color="auto" w:fill="F2F2F2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b/>
                <w:bCs/>
                <w:color w:val="17365D"/>
                <w:sz w:val="16"/>
                <w:szCs w:val="16"/>
              </w:rPr>
              <w:t xml:space="preserve">反向缺口设备数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2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5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未形成设备级诊断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3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0</w:t>
            </w:r>
          </w:p>
        </w:tc>
        <w:tc>
          <w:tcPr>
            <w:tcW w:w="1547" w:type="dxa"/>
            <w:shd w:val="clear" w:color="auto" w:fill="FFFFFF"/>
            <w:vAlign w:val="center"/>
          </w:tcPr>
          <w:p>
            <w:pPr>
              <w:jc w:val="center"/>
              <w:spacing w:after="0"/>
            </w:pPr>
            <w:r>
              <w:rPr>
                <w:rFonts w:ascii="Arial" w:hAnsi="Arial" w:eastAsia="宋体" w:cs="Arial"/>
                <w:color w:val="404040"/>
                <w:sz w:val="16"/>
                <w:szCs w:val="16"/>
              </w:rPr>
              <w:t xml:space="preserve">4</w:t>
            </w:r>
          </w:p>
        </w:tc>
      </w:tr>
    </w:tbl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注：正式容载比只使用同电压等级公用变容量除以该路径、该年度同步正向最大净负荷；反向峰值和反向承载力单列。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注：推荐 Rcap 区间来自 Rcap—累计年化成本前沿、局部细化和同一 Rcap 维度的敏感性；不与实现 CLR 取交集。</w:t>
      </w:r>
    </w:p>
    <w:p>
      <w:pPr>
        <w:pStyle w:val="Normal"/>
        <w:spacing w:after="45"/>
      </w:pPr>
      <w:r>
        <w:rPr>
          <w:rFonts w:ascii="Arial" w:hAnsi="Arial" w:eastAsia="宋体" w:cs="Arial"/>
          <w:color w:val="595959"/>
          <w:sz w:val="15"/>
          <w:szCs w:val="15"/>
        </w:rPr>
        <w:t xml:space="preserve">注：数据映射、异常值、历史范围、成本闭合和跨年光伏快照见同目录模型科学性终审记录。</w:t>
      </w:r>
    </w:p>
    <w:sectPr>
      <w:footerReference w:type="default" r:id="rIdFooter"/>
      <w:pgSz w:w="16838" w:h="11906" w:orient="landscape"/>
      <w:pgMar w:top="709" w:right="680" w:bottom="709" w:left="680"/>
      <w:cols w:num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 w:cs="Arial"/>
        <w:color w:val="808080"/>
        <w:sz w:val="14"/>
        <w:szCs w:val="14"/>
      </w:rPr>
      <w:t xml:space="preserve">v3.2 真实数据｜Word 人工审查层｜精确查值以同目录 CSV 为准｜第 </w:t>
    </w: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18"/>
        <w:szCs w:val="18"/>
      </w:rPr>
    </w:rPrDefault>
  </w:docDefaults>
  <w:style w:type="paragraph" w:default="1" w:styleId="Normal">
    <w:name w:val="Normal"/>
    <w:qFormat/>
    <w:pPr>
      <w:spacing w:after="80"/>
    </w:pPr>
  </w:style>
  <w:style w:type="paragraph" w:styleId="Title">
    <w:name w:val="Title"/>
    <w:basedOn w:val="Normal"/>
    <w:qFormat/>
    <w:rPr>
      <w:rFonts w:ascii="Arial" w:hAnsi="Arial" w:eastAsia="黑体"/>
      <w:b/>
      <w:color w:val="17365D"/>
      <w:sz w:val="32"/>
    </w:rPr>
  </w:style>
  <w:style w:type="table" w:styleId="TableGrid">
    <w:name w:val="Table Grid"/>
    <w:basedOn w:val="Normal"/>
    <w:tblPr>
      <w:tblBorders>
        <w:top w:val="single" w:sz="4" w:color="B4C7E7"/>
        <w:left w:val="single" w:sz="4" w:color="B4C7E7"/>
        <w:bottom w:val="single" w:sz="4" w:color="B4C7E7"/>
        <w:right w:val="single" w:sz="4" w:color="B4C7E7"/>
        <w:insideH w:val="single" w:sz="4" w:color="D9E2F3"/>
        <w:insideV w:val="single" w:sz="4" w:color="D9E2F3"/>
      </w:tblBorders>
    </w:tblPr>
  </w:style>
</w:styles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1.xml"/>
</Relationships>
</file>