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115"/>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115"/>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115"/>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115"/>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115"/>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115"/>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115"/>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115"/>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115"/>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2030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MVA，基期负荷取同年实际统计值。2022—2030年承接上年在役设备，结合当年源荷和运行约束，逐年联合比选主变增容、储能配置和10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115"/>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115"/>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2030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115"/>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115"/>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115"/>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115"/>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115"/>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1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115"/>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115"/>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115"/>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115"/>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115"/>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115"/>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115"/>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115"/>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115"/>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115"/>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115"/>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115"/>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115"/>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115"/>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115"/>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115"/>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115"/>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115"/>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115"/>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115"/>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115"/>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115"/>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115"/>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115"/>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115"/>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115"/>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115"/>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115"/>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115"/>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115"/>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115"/>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115"/>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115"/>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115"/>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115"/>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115"/>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115"/>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115"/>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115"/>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115"/>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115"/>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115"/>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115"/>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115"/>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历史统计保留原始年度波动，用于计算负荷增长和解释运行特征。规划基期及2022—2030年负荷在第五章列示。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115"/>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13"/>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14"/>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115"/>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115"/>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MVA实际容量为共同起点，2022—2030年按上年在役设备和当年源荷选择新增措施。2026—2030年的区域负荷预测按相对2025年的比例换算为同范围110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115"/>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5"/>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年的装机年平均增幅。2025—2030年为9.32%。光伏装机增幅用于源荷情景外推，推广矩阵的负荷发展参数仍采用第3.2.3节定义的年最大净负荷平均增长率。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115"/>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115"/>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115"/>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5" w:name="h366"/>
      <w:bookmarkStart w:id="108" w:name="主变负载率与双向净负荷"/>
      <w:r>
        <w:rPr>
          <w:rFonts w:ascii="Times New Roman" w:hAnsi="Times New Roman" w:eastAsia="方正仿宋_GBK"/>
          <w:b/>
          <w:sz w:val="32"/>
        </w:rPr>
        <w:t xml:space="preserve">3.4 主变负载率与双向净负荷</w:t>
      </w:r>
      <w:bookmarkEnd w:id="108"/>
      <w:bookmarkEnd w:id="1365"/>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115"/>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6"/>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115"/>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7"/>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8"/>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9"/>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115"/>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20"/>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21"/>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115"/>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2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115"/>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1"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1"/>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115"/>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115"/>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负荷分散系数在1.05—1.25内按0.02间隔取11个节点，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1.05～1.25，步长0.02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115"/>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23"/>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115"/>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115"/>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24"/>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≤1.15；&gt;1.15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4"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4"/>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115"/>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115"/>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既有通道与新增候选分别记录馈线端点和有效容量，各通道共同校核源端可切负荷、共享馈线余量和接收站容量。邳州403条10 kV线路中，最大允许电流为416 A的有4条、455 A的有1条，其余398条均不低于485 A。按三相有功功率关系，以10 kV线电压、485 A允许电流和0.95功率因数折算，有功功率为7.98 MW，新增联络的工程计算上限取8.00 MW。具体可转功率还受可切换区段负荷限制，墩振线23—24杆拟设分段点下游配电变压器额定容量占全馈线已识别容量的90.97%，按该馈线2025年最大有功负荷8.23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rad>
                            <m:radPr>
                              <m:degHide m:val="1"/>
                            </m:radPr>
                            <m:deg/>
                            <m:e>
                              <m:r>
                                <m:rPr>
                                  <m:nor m:val="1"/>
                                </m:rPr>
                                <w:rPr>
                                  <w:rFonts w:ascii="Times New Roman" w:hAnsi="Times New Roman" w:cs="Times New Roman" w:eastAsia="方正仿宋_GBK"/>
                                  <w:i w:val="0"/>
                                  <w:iCs w:val="0"/>
                                </w:rPr>
                                <m:t>3</m:t>
                              </m:r>
                            </m:e>
                          </m:rad>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N</m:t>
                              </m:r>
                            </m:sub>
                          </m:sSub>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e>
                      </m:mr>
                      <m:mr>
                        <m:e/>
                        <m:e>
                          <m:r>
                            <m:rPr>
                              <m:nor m:val="1"/>
                            </m:rPr>
                            <w:rPr>
                              <w:rFonts w:ascii="Times New Roman" w:hAnsi="Times New Roman" w:cs="Times New Roman" w:eastAsia="方正仿宋_GBK"/>
                              <w:i w:val="0"/>
                              <w:iCs w:val="0"/>
                            </w:rPr>
                            <m:t>=</m:t>
                          </m:r>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0.485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N</m:t>
            </m:r>
          </m:sub>
        </m:sSub>
      </m:oMath>
      <w:r>
        <w:rPr>
          <w:rFonts w:ascii="Times New Roman" w:hAnsi="Times New Roman" w:eastAsia="方正仿宋_GBK"/>
          <w:b w:val="0"/>
          <w:sz w:val="24"/>
        </w:rPr>
        <w:t xml:space="preserve">为线路线电压，取10.00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为参考允许电流，取0.485 kA；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为新增联络的工程有功上限，取8.00 MW；</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115"/>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7" w:name="h458"/>
      <w:bookmarkStart w:id="133" w:name="站级负载率与配置需求"/>
      <w:r>
        <w:rPr>
          <w:rFonts w:ascii="Times New Roman" w:hAnsi="Times New Roman" w:eastAsia="方正仿宋_GBK"/>
          <w:b/>
          <w:sz w:val="32"/>
        </w:rPr>
        <w:t xml:space="preserve">3.7 站级负载率与配置需求</w:t>
      </w:r>
      <w:bookmarkEnd w:id="133"/>
      <w:bookmarkEnd w:id="145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115"/>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2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115"/>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26"/>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115"/>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115"/>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115"/>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3" w:name="h474"/>
      <w:bookmarkStart w:id="141" w:name="运行特征的综合分析"/>
      <w:r>
        <w:rPr>
          <w:rFonts w:ascii="Times New Roman" w:hAnsi="Times New Roman" w:eastAsia="方正仿宋_GBK"/>
          <w:b/>
          <w:sz w:val="32"/>
        </w:rPr>
        <w:t xml:space="preserve">3.8 运行特征的综合分析</w:t>
      </w:r>
      <w:bookmarkEnd w:id="141"/>
      <w:bookmarkEnd w:id="147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115"/>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27"/>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115"/>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28"/>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115"/>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115"/>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1"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1"/>
    </w:p>
    <w:p>
      <w:pPr>
        <w:pStyle w:val="4"/>
        <w:keepNext/>
        <w:numPr>
          <w:numId w:val="0"/>
        </w:numPr>
        <w:spacing w:line="480" w:lineRule="exact" w:before="160" w:after="120"/>
        <w:ind w:firstLine="0"/>
      </w:pPr>
      <w:bookmarkStart w:id="1502"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115"/>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115"/>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115"/>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4" w:name="h515"/>
      <w:bookmarkStart w:id="153" w:name="主变工程成本系数"/>
      <w:r>
        <w:rPr>
          <w:rFonts w:ascii="Times New Roman" w:hAnsi="Times New Roman" w:eastAsia="方正仿宋_GBK"/>
          <w:b/>
          <w:sz w:val="32"/>
        </w:rPr>
        <w:t xml:space="preserve">4.2 主变工程成本系数</w:t>
      </w:r>
      <w:bookmarkEnd w:id="153"/>
      <w:bookmarkEnd w:id="151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115"/>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2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115"/>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30"/>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115"/>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115"/>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39" w:name="h540"/>
      <w:bookmarkStart w:id="160" w:name="kv联络工程费用"/>
      <w:r>
        <w:rPr>
          <w:rFonts w:ascii="Times New Roman" w:hAnsi="Times New Roman" w:eastAsia="方正仿宋_GBK"/>
          <w:b/>
          <w:sz w:val="32"/>
        </w:rPr>
        <w:t xml:space="preserve">4.3 10 kV联络工程费用</w:t>
      </w:r>
      <w:bookmarkEnd w:id="160"/>
      <w:bookmarkEnd w:id="153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115"/>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115"/>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31"/>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115"/>
        <w:widowControl/>
        <w:spacing w:line="348" w:lineRule="exact" w:before="0" w:after="0"/>
        <w:ind w:firstLine="480"/>
        <w:jc w:val="both"/>
      </w:pPr>
      <w:r>
        <w:rPr>
          <w:rFonts w:ascii="Times New Roman" w:hAnsi="Times New Roman" w:eastAsia="方正仿宋_GBK"/>
          <w:b w:val="0"/>
          <w:sz w:val="24"/>
        </w:rPr>
        <w:t xml:space="preserve">新增联络能力的取值依据邳州10 kV线路允许电流、联络关系及区段明细。工程计算采用折算后的有功上限8.00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3" w:name="h554"/>
      <w:bookmarkStart w:id="165" w:name="储能投资模型"/>
      <w:r>
        <w:rPr>
          <w:rFonts w:ascii="Times New Roman" w:hAnsi="Times New Roman" w:eastAsia="方正仿宋_GBK"/>
          <w:b/>
          <w:sz w:val="32"/>
        </w:rPr>
        <w:t xml:space="preserve">4.4 储能投资模型</w:t>
      </w:r>
      <w:bookmarkEnd w:id="165"/>
      <w:bookmarkEnd w:id="155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115"/>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115"/>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115"/>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115"/>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32"/>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33"/>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115"/>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2"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115"/>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115"/>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115"/>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115"/>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89" w:name="h590"/>
      <w:bookmarkStart w:id="177" w:name="现金流现值计算"/>
      <w:r>
        <w:rPr>
          <w:rFonts w:ascii="Times New Roman" w:hAnsi="Times New Roman" w:eastAsia="方正仿宋_GBK"/>
          <w:b/>
          <w:sz w:val="32"/>
        </w:rPr>
        <w:t xml:space="preserve">4.6 现金流现值计算</w:t>
      </w:r>
      <w:bookmarkEnd w:id="177"/>
      <w:bookmarkEnd w:id="158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115"/>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。主变按40年和运维费率4.20%、线路按40年和运维费率2.20%、储能按25年和运维费率3.00%计算。2022—2030年投运的三类设备均未在2041年评价截止前达到设定寿命，因此本评价期内的更新支出为零。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34"/>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115"/>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2030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115"/>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115"/>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2030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115"/>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115"/>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8"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8"/>
    </w:p>
    <w:p>
      <w:pPr>
        <w:pStyle w:val="115"/>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0" w:name="h621"/>
      <w:bookmarkStart w:id="186" w:name="寻优问题与共同起点"/>
      <w:r>
        <w:rPr>
          <w:rFonts w:ascii="Times New Roman" w:hAnsi="Times New Roman" w:eastAsia="方正仿宋_GBK"/>
          <w:b/>
          <w:sz w:val="32"/>
        </w:rPr>
        <w:t xml:space="preserve">5.1 寻优问题与共同起点</w:t>
      </w:r>
      <w:bookmarkEnd w:id="186"/>
      <w:bookmarkEnd w:id="162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115"/>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MVA，对应基期容载比分别为2.15和2.77。逐站初始组合按地区容量及设备对应资料标定。2022—2030年逐年承接上一年度在役主变、储能和联络，只根据当年源荷及共同技术条件选择新增工程。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年的年度统计网供最大负荷，单位MW。2021—2025年采用同范围年度统计，2026—2030年采用区域负荷预测相对2025年的比例缩放规划峰值。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2022—2030</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2030年未来源荷按区域负荷预测及全市光伏装机相对2025年的比例缩放，站点空间分配继承基准模板，未来源荷的预测数据详见第3.2节和第3.3节。</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115"/>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115"/>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3"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115"/>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115"/>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115"/>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115"/>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115"/>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3" w:name="h664"/>
      <w:bookmarkStart w:id="196" w:name="约束条件与求解流程"/>
      <w:r>
        <w:rPr>
          <w:rFonts w:ascii="Times New Roman" w:hAnsi="Times New Roman" w:eastAsia="方正仿宋_GBK"/>
          <w:b/>
          <w:sz w:val="32"/>
        </w:rPr>
        <w:t xml:space="preserve">5.3 约束条件与求解流程</w:t>
      </w:r>
      <w:bookmarkEnd w:id="196"/>
      <w:bookmarkEnd w:id="166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115"/>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115"/>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115"/>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8" w:name="h679"/>
      <w:bookmarkStart w:id="200" w:name="寻优结果"/>
      <w:r>
        <w:rPr>
          <w:rFonts w:ascii="Times New Roman" w:hAnsi="Times New Roman" w:eastAsia="方正仿宋_GBK"/>
          <w:b/>
          <w:sz w:val="32"/>
        </w:rPr>
        <w:t xml:space="preserve">5.4 寻优结果</w:t>
      </w:r>
      <w:bookmarkEnd w:id="200"/>
      <w:bookmarkEnd w:id="167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115"/>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MVA，至2030年主变容量为2388.50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MWh和25条。弹性主变容量较刚性多263.00 MVA，容载比分别为2.04和1.81；储能少84.28 MWh，累计新增联络少19条。容量配置和配套工程的替代随年度需求逐步形成。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5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115"/>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MVA，至2030年主变容量为3413.00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56"/>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2030年两方案主变容量相差272.50 MVA，弹性容载比为1.85，刚性为1.70。弹性以站内主变补强减少新增联络和配储需求，但较多主变投资使截至2030年的累计费用较高。费用比较需同时考虑各年度主变、储能与联络投入。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57"/>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115"/>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115"/>
        <w:widowControl/>
        <w:spacing w:line="348" w:lineRule="exact" w:before="0" w:after="0"/>
        <w:ind w:firstLine="480"/>
        <w:jc w:val="both"/>
      </w:pPr>
      <w:r>
        <w:rPr>
          <w:rFonts w:ascii="Times New Roman" w:hAnsi="Times New Roman" w:eastAsia="方正仿宋_GBK"/>
          <w:b w:val="0"/>
          <w:sz w:val="24"/>
        </w:rPr>
        <w:t xml:space="preserve">邳州2022—2030年新增工程按2041年评价截止期折现，刚性方案费用现值为21551.31万元，弹性为19668.62万元，弹性较刚性减少1882.68万元。</w:t>
      </w:r>
    </w:p>
    <w:p>
      <w:pPr>
        <w:pStyle w:val="2"/>
        <w:widowControl/>
        <w:spacing w:line="348" w:lineRule="exact" w:before="0" w:after="0"/>
        <w:ind w:firstLine="480"/>
        <w:jc w:val="both"/>
      </w:pPr>
      <w:r>
        <w:rPr>
          <w:rFonts w:ascii="Times New Roman" w:hAnsi="Times New Roman" w:eastAsia="方正仿宋_GBK"/>
          <w:b w:val="0"/>
          <w:sz w:val="24"/>
        </w:rPr>
        <w:t xml:space="preserve">市区2022—2030年新增工程按2041年评价截止期折现，刚性方案费用现值为14819.77万元，弹性为16806.54万元，弹性较刚性增加1986.77万元。</w:t>
      </w:r>
    </w:p>
    <w:p>
      <w:pPr>
        <w:pStyle w:val="2"/>
        <w:keepNext/>
        <w:spacing w:line="280" w:lineRule="exact" w:before="120" w:after="80"/>
        <w:ind w:firstLine="0"/>
        <w:jc w:val="center"/>
      </w:pPr>
      <w:r>
        <w:rPr>
          <w:rFonts w:ascii="Times New Roman" w:hAnsi="Times New Roman" w:eastAsia="宋体"/>
          <w:b w:val="0"/>
          <w:sz w:val="21"/>
        </w:rPr>
        <w:t xml:space="preserve">表5-9 两地区2022—2030年新增方案费用比较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21551.31</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19668.62</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14819.77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r>
    </w:tbl>
    <w:p>
      <w:pPr>
        <w:pStyle w:val="2"/>
        <w:keepNext/>
        <w:spacing w:line="280" w:lineRule="exact" w:before="120" w:after="80"/>
        <w:ind w:firstLine="0"/>
        <w:jc w:val="center"/>
      </w:pPr>
      <w:r>
        <w:rPr>
          <w:rFonts w:ascii="Times New Roman" w:hAnsi="Times New Roman" w:eastAsia="宋体"/>
          <w:b w:val="0"/>
          <w:sz w:val="21"/>
        </w:rPr>
        <w:t xml:space="preserve">表5-10 2030年在役措施及累计建设规模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5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5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2030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4053.46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14632.86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2864.99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21551.31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13331.07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5690.94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646.62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19668.62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1697.69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1082.18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12039.90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14819.77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邳州弹性方案相对刚性的费用变化为主变增加9277.62万元、储能减少8941.92万元、联络减少2218.38万元，合计减少1882.68万元。费用差由各年度实际采购及投运批次形成，具体替代关系结合逐站设备与通道配置分析。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市区弹性方案相对刚性的费用变化为主变增加15108.85万元、储能减少1082.18万元、联络减少12039.90万元，合计增加1986.77万元。费用差由各年度实际采购及投运批次形成，具体替代关系结合逐站设备与通道配置分析。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4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注：列示历史回算年度及2030、2030年相对上一年的比值变化。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随源荷增长逐步增加，2030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6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邳州2030年储能额定能量的站点分布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115"/>
        <w:widowControl/>
        <w:spacing w:line="348" w:lineRule="exact" w:before="0" w:after="0"/>
        <w:ind w:firstLine="480"/>
        <w:jc w:val="both"/>
      </w:pPr>
      <w:r>
        <w:rPr>
          <w:rFonts w:ascii="Times New Roman" w:hAnsi="Times New Roman" w:eastAsia="方正仿宋_GBK"/>
          <w:b w:val="0"/>
          <w:sz w:val="24"/>
        </w:rPr>
        <w:t xml:space="preserve">逐站表格列示2021年基期及2025、2030年代表年度设备配置，转接量对应同小时区域正向峰值的正常运行转供方案。全年校核保留所有8760小时，主变N-1按本站最大单台扣除，事故追加只切换故障站原属区段。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邳州20座站分别说明全期主变更换、扩建和储能增加的时点，结合2030年本站故障下全年最小余量工况分析支撑需求。表中储能为在役额定功率，正向有效支撑按邳州2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MW，2030年分别为45.60 MW、32.52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MW。全年本站故障工况中最小余量为2.06 MW。该小时按采用的负荷转供方案，本站转出17.73 MW、承接0.00 MW，转接后净负荷为27.87 MW。其中与土山变之间的主要通道承担8.87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MW，2030年分别为85.06 MW、56.93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MW。全年本站故障工况中最小余量为16.11 MW。该小时按采用的负荷转供方案，本站转出41.31 MW、承接0.00 MW，转接后净负荷为43.74 MW。其中与宿羊山变之间的主要通道承担14.58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MW，2030年分别为37.12 MW、43.49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MW。全年本站故障工况中最小余量为6.95 MW。该小时按采用的负荷转供方案，本站转出-20.52 MW、承接0.00 MW，转接后净负荷为-22.98 MW。其中与邳州变之间的主要通道承担6.56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MW，2030年分别为37.47 MW、77.01 MW。2030年刚性方案主变容量100.00 MVA、储能额定功率8.30 MW，弹性方案分别为100.00 MVA和2.10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MW。储能正向有效支撑功率为1.72 MW、反向有效吸收功率为2.10 MW。全年本站故障工况中最小余量为0.02 MW。该小时按采用的负荷转供方案，本站转出-27.43 MW、承接0.00 MW，转接后净负荷为-49.58 MW。其中与邢楼变之间的主要通道承担5.27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MW，2030年分别为112.77 MW、35.82 MW。2030年刚性方案主变容量103.00 MVA、储能额定功率0.00 MW，弹性方案分别为163.00 MVA和0.00 MW。弹性方案本站主变容量较刚性增加60.00 MVA。</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MW。全年本站故障工况中最小余量为20.59 MW。该小时按采用的负荷转供方案，本站转出39.80 MW、承接1.44 MW，转接后净负荷为74.41 MW。其中与吴闸变之间的主要通道承担11.61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MW，2030年分别为72.91 MW、66.62 MW。2030年刚性方案主变容量94.50 MVA、储能额定功率12.00 MW，弹性方案分别为163.00 MVA和0.00 MW。弹性方案本站主变容量较刚性增加68.50 MVA。</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MW。全年本站故障工况中最小余量为22.09 MW。该小时本站未转接负荷，净负荷为72.91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MVA。弹性方案2022—2030年保留初始主变组合。储能按本地支撑需求分批增加，新增额定功率为2029年0.30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MW，2030年分别为126.85 MW、8.44 MW。2030年刚性方案主变容量160.00 MVA、储能额定功率0.00 MW，弹性方案分别为160.00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MW。储能正向有效支撑功率为0.25 MW、反向有效吸收功率为0.30 MW。全年本站故障工况中最小余量为0.46 MW。该小时按采用的负荷转供方案，本站转出51.07 MW、承接0.00 MW，转接后净负荷为75.78 MW。其中与邳州变之间的主要通道承担13.18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两方案本站储能额定功率相差0.30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MW，2030年分别为48.86 MW、50.79 MW。2030年刚性方案主变容量103.00 MVA、储能额定功率0.00 MW，弹性方案分别为103.00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MW。全年本站故障工况中最小余量为0.82 MW。该小时按采用的负荷转供方案，本站转出-13.60 MW、承接0.00 MW，转接后净负荷为-37.18 MW。其中与邳城变之间的主要通道承担5.44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MW，2030年分别为33.73 MW、45.50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MW。全年本站故障工况中最小余量为0.54 MW。该小时按采用的负荷转供方案，本站转出-16.12 MW、承接0.00 MW，转接后净负荷为-29.39 MW。其中与宿羊山变之间的主要通道承担15.17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MW，2030年分别为89.55 MW、13.68 MW。2030年刚性方案主变容量143.00 MVA、储能额定功率0.00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2030年最大单台主变N-1后，弹性方案剩余主变容量为113.00 MVA，按0.95功率因数折算为107.35 MW。储能正向有效支撑功率为0.00 MW、反向有效吸收功率为0.00 MW。全年本站故障工况中最小余量为31.07 MW。该小时按采用的负荷转供方案，本站转出13.27 MW、承接0.00 MW，转接后净负荷为76.28 MW。其中与邳州变之间的主要通道承担3.32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MW，2030年分别为28.06 MW、49.85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MW。全年本站故障工况中最小余量为1.75 MW。该小时按采用的负荷转供方案，本站转出-21.68 MW、承接0.00 MW，转接后净负荷为-28.18 MW。其中与坊上变之间的主要通道承担8.67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MW，2030年分别为85.00 MW、0.00 MW。2030年刚性方案主变容量160.00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MW。全年本站故障工况中最小余量为10.62 MW。该小时按采用的负荷转供方案，本站转出19.61 MW、承接0.00 MW，转接后净负荷为65.38 MW。其中与吴闸变之间的主要通道承担9.81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MW，2030年分别为75.24 MW、51.55 MW。2030年刚性方案主变容量103.00 MVA、储能额定功率0.00 MW，弹性方案分别为113.00 MVA和0.60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MW。储能正向有效支撑功率为0.49 MW、反向有效吸收功率为0.49 MW。全年本站故障工况中最小余量为2.01 MW。该小时按采用的负荷转供方案，本站转出29.26 MW、承接0.00 MW，转接后净负荷为45.98 MW。其中与大宋变之间的主要通道承担13.93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两方案本站储能额定功率相差0.60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MW，2030年分别为103.90 MW、95.79 MW。2030年刚性方案主变容量113.00 MVA、储能额定功率43.70 MW，弹性方案分别为126.00 MVA和28.50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MW。储能正向有效支撑功率为23.28 MW、反向有效吸收功率为23.28 MW。全年本站故障工况中最小余量为0.01 MW。该小时按采用的负荷转供方案，本站转出20.78 MW、承接0.00 MW，转接后净负荷为83.12 MW。其中与汶河变之间的主要通道承担5.20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两方案本站储能额定功率相差15.20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MW，2030年分别为48.84 MW、63.25 MW。2030年刚性方案主变容量113.00 MVA、储能额定功率2.00 MW，弹性方案分别为113.00 MVA和0.80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MW。储能正向有效支撑功率为0.65 MW、反向有效吸收功率为0.65 MW。全年本站故障工况中最小余量为0.01 MW。该小时按采用的负荷转供方案，本站转出-15.11 MW、承接0.00 MW，转接后净负荷为-48.15 MW。其中与八义集变之间的主要通道承担7.55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MW，2030年分别为31.76 MW、46.55 MW。2030年刚性方案主变容量81.50 MVA、储能额定功率0.60 MW，弹性方案分别为100.00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MW。全年本站故障工况中最小余量为0.95 MW。该小时本站未转接负荷，净负荷为-46.55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两方案本站储能额定功率相差0.60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MW，2030年分别为61.51 MW、3.50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MW。全年本站故障工况中最小余量为3.33 MW。该小时按采用的负荷转供方案，本站转出34.91 MW、承接0.00 MW，转接后净负荷为26.60 MW。其中与墩集变之间的主要通道承担13.30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MW，2030年分别为23.51 MW、56.45 MW。2030年刚性方案主变容量81.50 MVA、储能额定功率5.00 MW，弹性方案分别为113.00 MVA和0.10 MW。弹性方案本站主变容量较刚性增加31.50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MW。储能正向有效支撑功率为0.08 MW、反向有效吸收功率为0.05 MW。全年本站故障工况中最小余量为1.22 MW。该小时按采用的负荷转供方案，本站转出-2.21 MW、承接-4.45 MW，转接后净负荷为-58.69 MW。其中与戴庄变之间的主要通道承担4.45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MW，2030年分别为47.95 MW、51.73 MW。2030年刚性方案主变容量60.00 MVA、储能额定功率0.00 MW，弹性方案分别为71.50 MVA和0.00 MW。弹性方案本站主变容量较刚性增加11.50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MW。全年本站故障工况中最小余量为1.71 MW。该小时按采用的负荷转供方案，本站转出-23.51 MW、承接0.00 MW，转接后净负荷为-28.21 MW。其中与议堂变之间的主要通道承担8.46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MW，2030年分别为42.18 MW、40.13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MW。全年本站故障工况中最小余量为5.70 MW。该小时按采用的负荷转供方案，本站转出17.95 MW、承接0.00 MW，转接后净负荷为24.23 MW。其中与宿羊山变之间的主要通道承担15.26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2030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61"/>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邳州逐站初始与2030年方案的N-1剩余主变能力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115"/>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MW，2030年分别为38.97 MW、61.44 MW。2030年刚性方案主变容量113.00 MVA、储能额定功率0.00 MW，弹性方案分别为126.00 MVA和0.00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MW。全年本站故障工况中最小余量为10.16 MW。该小时按采用的负荷转供方案，本站转出-11.75 MW、承接0.00 MW，转接后净负荷为-49.69 MW。其中与响山变之间的主要通道承担11.75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MW，2030年分别为84.87 MW、25.83 MW。2030年刚性方案主变容量103.00 MVA、储能额定功率0.00 MW，弹性方案分别为163.00 MVA和0.00 MW。弹性方案本站主变容量较刚性增加60.00 MVA。</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MW。全年本站故障工况中最小余量为39.91 MW。该小时按采用的负荷转供方案，本站转出29.78 MW、承接0.00 MW，转接后净负荷为55.09 MW。其中与龙湖变之间的主要通道承担7.44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MW，2030年分别为124.23 MW、0.00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MW。全年本站故障工况中最小余量为0.22 MW。该小时按采用的负荷转供方案，本站转出64.60 MW、承接0.00 MW，转接后净负荷为59.63 MW。其中与玉潭变之间的主要通道承担14.91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MW，2030年分别为115.42 MW、0.00 MW。2030年刚性方案主变容量126.00 MVA、储能额定功率0.10 MW，弹性方案分别为160.00 MVA和0.00 MW。弹性方案本站主变容量较刚性增加34.00 MVA。</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MW。全年本站故障工况中最小余量为0.15 MW。该小时按采用的负荷转供方案，本站转出39.57 MW、承接0.00 MW，转接后净负荷为75.85 MW。其中与开元变之间的主要通道承担19.79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两方案本站储能额定功率相差0.10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MW，2030年分别为101.51 MW、0.00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MW。全年本站故障工况中最小余量为0.91 MW。该小时按采用的负荷转供方案，本站转出42.57 MW、承接0.00 MW，转接后净负荷为58.94 MW。其中与开元变之间的主要通道承担19.65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MW，2030年分别为76.74 MW、0.00 MW。2030年刚性方案主变容量90.00 MVA、储能额定功率0.00 MW，弹性方案分别为100.00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MW。全年本站故障工况中最小余量为1.79 MW。该小时按采用的负荷转供方案，本站转出31.02 MW、承接0.00 MW，转接后净负荷为45.71 MW。其中与彭场变之间的主要通道承担16.33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MW，2030年分别为102.94 MW、0.00 MW。2030年刚性方案主变容量113.00 MVA、储能额定功率0.00 MW，弹性方案分别为113.00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MW。全年本站故障工况中最小余量为0.11 MW。该小时按采用的负荷转供方案，本站转出55.56 MW、承接0.00 MW，转接后净负荷为47.39 MW。其中与大庙变之间的主要通道承担24.51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MW，2030年分别为55.60 MW、17.01 MW。2030年刚性方案主变容量71.50 MVA、储能额定功率0.00 MW，弹性方案分别为100.00 MVA和0.00 MW。弹性方案本站主变容量较刚性增加28.50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MW。全年本站故障工况中最小余量为1.71 MW。该小时按采用的负荷转供方案，本站转出9.81 MW、承接0.00 MW，转接后净负荷为45.79 MW。其中与拾屯变之间的主要通道承担6.54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MW，2030年分别为67.88 MW、0.00 MW。2030年刚性方案主变容量111.50 MVA、储能额定功率0.00 MW，弹性方案分别为111.50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MW。全年本站故障工况中最小余量为3.43 MW。该小时按采用的负荷转供方案，本站转出41.39 MW、承接0.00 MW，转接后净负荷为26.49 MW。其中与夹河变之间的主要通道承担14.90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MW，2030年分别为101.07 MW、0.00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MW。全年本站故障工况中最小余量为0.20 MW。该小时按采用的负荷转供方案，本站转出41.42 MW、承接0.00 MW，转接后净负荷为59.65 MW。其中与翟山变之间的主要通道承担16.57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MW，2030年分别为85.96 MW、31.29 MW。2030年刚性方案主变容量103.00 MVA、储能额定功率2.50 MW，弹性方案分别为163.00 MVA和0.00 MW。弹性方案本站主变容量较刚性增加60.00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MW。全年本站故障工况中最小余量为9.04 MW。该小时本站未转接负荷，净负荷为85.96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MW，2030年分别为38.42 MW、0.00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MW。全年本站故障工况中最小余量为7.58 MW。该小时按采用的负荷转供方案，本站转出8.00 MW、承接0.00 MW，转接后净负荷为30.42 MW。其中与惠民变之间的主要通道承担1.60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MW，2030年分别为13.52 MW、12.97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MW。全年本站故障工况中最小余量为21.91 MW。该小时按采用的负荷转供方案，本站转出0.00 MW、承接2.96 MW，转接后净负荷为16.09 MW。其中与西郊变之间的主要通道承担1.48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MW，2030年分别为78.36 MW、0.00 MW。2030年刚性方案主变容量100.00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MW。全年本站故障工况中最小余量为0.16 MW。该小时按采用的负荷转供方案，本站转出31.02 MW、承接0.00 MW，转接后净负荷为47.34 MW。其中与玉潭变之间的主要通道承担14.69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MW，2030年分别为79.38 MW、0.00 MW。2030年刚性方案主变容量90.00 MVA、储能额定功率0.10 MW，弹性方案分别为100.00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MW。全年本站故障工况中最小余量为1.20 MW。该小时按采用的负荷转供方案，本站转出33.07 MW、承接0.00 MW，转接后净负荷为46.30 MW。其中与开元变之间的主要通道承担13.23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两方案本站储能额定功率相差0.10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MW，2030年分别为7.00 MW、0.11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MW。全年本站故障工况中最小余量为29.37 MW。该小时按采用的负荷转供方案，本站转出0.00 MW、承接1.63 MW，转接后净负荷为8.63 MW。其中与统一变之间的主要通道承担1.63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MW，2030年分别为46.29 MW、0.00 MW。2030年刚性方案主变容量160.00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MW。全年本站故障工况中最小余量为26.59 MW。该小时按采用的负荷转供方案，本站转出0.00 MW、承接3.12 MW，转接后净负荷为49.41 MW。其中与统一变之间的主要通道承担3.12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MW，2030年分别为132.79 MW、35.62 MW。2030年刚性方案主变容量160.00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MW。全年本站故障工况中最小余量为0.80 MW。该小时按采用的负荷转供方案，本站转出57.60 MW、承接0.00 MW，转接后净负荷为75.20 MW。其中与刘湾变之间的主要通道承担20.80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MW，2030年分别为88.68 MW、4.34 MW。2030年刚性方案主变容量90.00 MVA、储能额定功率2.90 MW，弹性方案分别为100.00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MW。全年本站故障工况中最小余量为8.09 MW。该小时按采用的负荷转供方案，本站转出49.27 MW、承接0.00 MW，转接后净负荷为39.41 MW。其中与刘湾变之间的主要通道承担18.06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两方案本站储能额定功率相差2.90 MW，差额与所列主变组合及年度固定转接任务共同形成局部供电安排。</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MW，2030年分别为112.19 MW、0.00 MW。2030年刚性方案主变容量100.00 MVA、储能额定功率0.00 MW，弹性方案分别为113.00 MVA和0.00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MW。全年本站故障工况中最小余量为1.31 MW。该小时按采用的负荷转供方案，本站转出65.99 MW、承接0.00 MW，转接后净负荷为46.19 MW。其中与翟山变之间的主要通道承担28.05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MW，2030年分别为124.34 MW、0.00 MW。2030年刚性方案主变容量143.00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MW。全年本站故障工况中最小余量为15.46 MW。该小时按采用的负荷转供方案，本站转出63.81 MW、承接0.00 MW，转接后净负荷为60.54 MW。其中与开元变之间的主要通道承担19.63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MW，2030年分别为154.82 MW、0.00 MW。2030年刚性方案主变容量143.00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MW。全年本站故障工况中最小余量为3.53 MW。该小时按采用的负荷转供方案，本站转出82.35 MW、承接0.00 MW，转接后净负荷为72.47 MW。其中与夹河变之间的主要通道承担16.47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MW，2030年分别为23.38 MW、0.00 MW。2030年刚性方案主变容量100.00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MW。全年本站故障工况中最小余量为24.12 MW。该小时本站未转接负荷，净负荷为23.38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MW，2030年分别为64.11 MW、0.00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MW。全年本站故障工况中最小余量为11.70 MW。该小时按采用的负荷转供方案，本站转出37.81 MW、承接0.00 MW，转接后净负荷为26.30 MW。其中与刘湾变之间的主要通道承担21.37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MW，2030年分别为54.35 MW、0.00 MW。2030年刚性方案主变容量130.00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MW。全年本站故障工况中最小余量为3.03 MW。该小时按采用的负荷转供方案，本站转出9.88 MW、承接0.00 MW，转接后净负荷为44.47 MW。其中与祥和变之间的主要通道承担6.59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MW，2030年分别为19.87 MW、10.00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MW。全年本站故障工况中最小余量为18.13 MW。该小时本站未转接负荷，净负荷为19.87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2030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62"/>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市区逐站初始与2030年方案的N-1剩余主变能力</w:t>
      </w:r>
    </w:p>
    <w:p>
      <w:pPr>
        <w:pStyle w:val="4"/>
        <w:keepNext/>
        <w:numPr>
          <w:numId w:val="0"/>
        </w:numPr>
        <w:spacing w:line="480" w:lineRule="exact" w:before="160" w:after="120"/>
        <w:ind w:firstLine="0"/>
      </w:pPr>
      <w:bookmarkStart w:id="2018" w:name="h1033"/>
      <w:bookmarkStart w:id="262" w:name="措施作用与工程衔接"/>
      <w:r>
        <w:rPr>
          <w:rFonts w:ascii="Times New Roman" w:hAnsi="Times New Roman" w:eastAsia="方正仿宋_GBK"/>
          <w:b/>
          <w:sz w:val="32"/>
        </w:rPr>
        <w:t xml:space="preserve">5.5 措施作用与工程衔接</w:t>
      </w:r>
      <w:bookmarkEnd w:id="262"/>
      <w:bookmarkEnd w:id="2018"/>
    </w:p>
    <w:p>
      <w:pPr>
        <w:pStyle w:val="5"/>
        <w:keepNext/>
        <w:numPr>
          <w:numId w:val="0"/>
        </w:numPr>
        <w:spacing w:line="390" w:lineRule="exact" w:before="160" w:after="120"/>
        <w:ind w:firstLine="0"/>
      </w:pPr>
      <w:bookmarkStart w:id="263" w:name="逐年负荷转接与站间任务"/>
      <w:r>
        <w:rPr>
          <w:rFonts w:ascii="Times New Roman" w:hAnsi="Times New Roman" w:eastAsia="方正仿宋_GBK"/>
          <w:b/>
          <w:sz w:val="26"/>
        </w:rPr>
        <w:t xml:space="preserve">5.5.1 逐年负荷转接与站间任务</w:t>
      </w:r>
      <w:bookmarkEnd w:id="263"/>
    </w:p>
    <w:p>
      <w:pPr>
        <w:pStyle w:val="115"/>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4" w:name="主变储能与联络的共同作用"/>
      <w:r>
        <w:rPr>
          <w:rFonts w:ascii="Times New Roman" w:hAnsi="Times New Roman" w:eastAsia="方正仿宋_GBK"/>
          <w:b/>
          <w:sz w:val="26"/>
        </w:rPr>
        <w:t xml:space="preserve">5.5.2 主变、储能与联络的共同作用</w:t>
      </w:r>
      <w:bookmarkEnd w:id="264"/>
    </w:p>
    <w:p>
      <w:pPr>
        <w:pStyle w:val="115"/>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兴塘变2030年刚性方案主变组合为20.00+40.00 MVA，弹性为31.50+40.00 MVA。最大单台停运后分别剩余20.00 MVA和31.50 MVA，按0.95功率因数折算为19.00 MW和29.93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63"/>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兴塘变2030年两方案的N-1剩余主变能力</w:t>
      </w:r>
    </w:p>
    <w:p>
      <w:pPr>
        <w:pStyle w:val="5"/>
        <w:keepNext/>
        <w:numPr>
          <w:numId w:val="0"/>
        </w:numPr>
        <w:spacing w:line="390" w:lineRule="exact" w:before="160" w:after="120"/>
        <w:ind w:firstLine="0"/>
      </w:pPr>
      <w:bookmarkStart w:id="266" w:name="储能支撑与必要转供量"/>
      <w:r>
        <w:rPr>
          <w:rFonts w:ascii="Times New Roman" w:hAnsi="Times New Roman" w:eastAsia="方正仿宋_GBK"/>
          <w:b/>
          <w:sz w:val="26"/>
        </w:rPr>
        <w:t xml:space="preserve">5.5.3 储能支撑与必要转供量</w:t>
      </w:r>
      <w:bookmarkEnd w:id="266"/>
    </w:p>
    <w:p>
      <w:pPr>
        <w:pStyle w:val="115"/>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MW。2030年邳州弹性储能额定功率32.40 MW、额定能量69.66 MWh，刚性分别为71.60 MW和153.94 MWh；市区弹性未新增储能，刚性为5.60 MW和12.04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40" w:name="h1055"/>
      <w:bookmarkStart w:id="267" w:name="五参数推广矩阵"/>
      <w:r>
        <w:rPr>
          <w:rFonts w:ascii="Times New Roman" w:hAnsi="Times New Roman" w:eastAsia="方正仿宋_GBK"/>
          <w:b/>
          <w:sz w:val="32"/>
        </w:rPr>
        <w:t xml:space="preserve">5.6 五参数推广矩阵</w:t>
      </w:r>
      <w:bookmarkEnd w:id="267"/>
      <w:bookmarkEnd w:id="2040"/>
    </w:p>
    <w:p>
      <w:pPr>
        <w:pStyle w:val="5"/>
        <w:keepNext/>
        <w:numPr>
          <w:numId w:val="0"/>
        </w:numPr>
        <w:spacing w:line="390" w:lineRule="exact" w:before="160" w:after="120"/>
        <w:ind w:firstLine="0"/>
      </w:pPr>
      <w:bookmarkStart w:id="268" w:name="参数组织与推广模型"/>
      <w:r>
        <w:rPr>
          <w:rFonts w:ascii="Times New Roman" w:hAnsi="Times New Roman" w:eastAsia="方正仿宋_GBK"/>
          <w:b/>
          <w:sz w:val="26"/>
        </w:rPr>
        <w:t xml:space="preserve">5.6.1 参数组织与推广模型</w:t>
      </w:r>
      <w:bookmarkEnd w:id="268"/>
    </w:p>
    <w:p>
      <w:pPr>
        <w:pStyle w:val="115"/>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km；有功上限8.00 MW，区段有效转供7.49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69" w:name="矩阵结果与查表方法"/>
      <w:r>
        <w:rPr>
          <w:rFonts w:ascii="Times New Roman" w:hAnsi="Times New Roman" w:eastAsia="方正仿宋_GBK"/>
          <w:b/>
          <w:sz w:val="26"/>
        </w:rPr>
        <w:t xml:space="preserve">5.6.2 矩阵结果与查表方法</w:t>
      </w:r>
      <w:bookmarkEnd w:id="269"/>
    </w:p>
    <w:p>
      <w:pPr>
        <w:pStyle w:val="115"/>
        <w:widowControl/>
        <w:spacing w:line="348" w:lineRule="exact" w:before="0" w:after="0"/>
        <w:ind w:firstLine="480"/>
        <w:jc w:val="both"/>
      </w:pPr>
      <w:r>
        <w:rPr>
          <w:rFonts w:ascii="Times New Roman" w:hAnsi="Times New Roman" w:eastAsia="方正仿宋_GBK"/>
          <w:b w:val="0"/>
          <w:sz w:val="24"/>
        </w:rPr>
        <w:t xml:space="preserve">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以0.10为基准宽度，定位值取最接近该代表值的0.02网格值。同一行相邻不同容量水平的间距小于0.10时，以两者中点作为共用界值，局部缩窄窗口，使接近的容量水平接续显示；较大容量间隔及相同容量平台按实际结果保留。窗口表示中部配置的容量初选范围。实际设备按片区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表5-63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1.65～1.73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电缆长度占比&gt;30%、负荷分散系数&gt;1.15的容载比分档建议矩阵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2.19～2.28</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1.15、年最大净负荷平均增长率&gt;7%、装机渗透率(1,2]这一行为例，初始转供率四档的推荐窗口依次为1.96～2.03、1.89～1.96、1.63～1.69、1.57～1.63。接近的容量水平共用界值，窗口位置体现各转供档位的中部容量需求。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45"/>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电缆长度占比&gt;30%、负荷分散系数&gt;1.15下的矩阵端点</w:t>
      </w:r>
    </w:p>
    <w:p>
      <w:pPr>
        <w:pStyle w:val="5"/>
        <w:keepNext/>
        <w:numPr>
          <w:numId w:val="0"/>
        </w:numPr>
        <w:spacing w:line="390" w:lineRule="exact" w:before="160" w:after="120"/>
        <w:ind w:firstLine="0"/>
      </w:pPr>
      <w:bookmarkStart w:id="271" w:name="参数关联对应的设备变化"/>
      <w:r>
        <w:rPr>
          <w:rFonts w:ascii="Times New Roman" w:hAnsi="Times New Roman" w:eastAsia="方正仿宋_GBK"/>
          <w:b/>
          <w:sz w:val="26"/>
        </w:rPr>
        <w:t xml:space="preserve">5.6.3 参数关联对应的设备变化</w:t>
      </w:r>
      <w:bookmarkEnd w:id="271"/>
    </w:p>
    <w:p>
      <w:pPr>
        <w:pStyle w:val="115"/>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46"/>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3" w:name="固定源荷条件下的转供序列"/>
      <w:r>
        <w:rPr>
          <w:rFonts w:ascii="Times New Roman" w:hAnsi="Times New Roman" w:eastAsia="方正仿宋_GBK"/>
          <w:b/>
          <w:sz w:val="26"/>
        </w:rPr>
        <w:t xml:space="preserve">5.6.4 固定源荷条件下的转供序列</w:t>
      </w:r>
      <w:bookmarkEnd w:id="273"/>
    </w:p>
    <w:p>
      <w:pPr>
        <w:pStyle w:val="115"/>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中位代表节点定位四个推荐窗口，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表5-69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1.40～1.49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1.21～1.31</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注：两组均采用电缆长度占比50%和五站设备重新选配条件；按第5.6.2节的局部接续窗口方法归纳。</w:t>
      </w:r>
    </w:p>
    <w:p>
      <w:pPr>
        <w:pStyle w:val="2"/>
        <w:keepNext/>
        <w:spacing w:line="280" w:lineRule="exact" w:before="120" w:after="80"/>
        <w:ind w:firstLine="0"/>
        <w:jc w:val="center"/>
      </w:pPr>
      <w:r>
        <w:rPr>
          <w:rFonts w:ascii="Times New Roman" w:hAnsi="Times New Roman" w:eastAsia="宋体"/>
          <w:b w:val="0"/>
          <w:sz w:val="21"/>
        </w:rPr>
        <w:t xml:space="preserve">表5-70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表5-71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4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5" w:name="装机渗透率与双向容量需求"/>
      <w:r>
        <w:rPr>
          <w:rFonts w:ascii="Times New Roman" w:hAnsi="Times New Roman" w:eastAsia="方正仿宋_GBK"/>
          <w:b/>
          <w:sz w:val="26"/>
        </w:rPr>
        <w:t xml:space="preserve">5.6.5 装机渗透率与双向容量需求</w:t>
      </w:r>
      <w:bookmarkEnd w:id="275"/>
    </w:p>
    <w:p>
      <w:pPr>
        <w:pStyle w:val="115"/>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48"/>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77" w:name="年最大净负荷平均增长率与容量储备消耗"/>
      <w:r>
        <w:rPr>
          <w:rFonts w:ascii="Times New Roman" w:hAnsi="Times New Roman" w:eastAsia="方正仿宋_GBK"/>
          <w:b/>
          <w:sz w:val="26"/>
        </w:rPr>
        <w:t xml:space="preserve">5.6.6 年最大净负荷平均增长率与容量储备消耗</w:t>
      </w:r>
      <w:bookmarkEnd w:id="277"/>
    </w:p>
    <w:p>
      <w:pPr>
        <w:pStyle w:val="115"/>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表5-73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4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79" w:name="电缆长度占比与联络主变替代"/>
      <w:r>
        <w:rPr>
          <w:rFonts w:ascii="Times New Roman" w:hAnsi="Times New Roman" w:eastAsia="方正仿宋_GBK"/>
          <w:b/>
          <w:sz w:val="26"/>
        </w:rPr>
        <w:t xml:space="preserve">5.6.7 电缆长度占比与联络、主变替代</w:t>
      </w:r>
      <w:bookmarkEnd w:id="279"/>
    </w:p>
    <w:p>
      <w:pPr>
        <w:pStyle w:val="115"/>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50"/>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1" w:name="负荷分散系数与局部高峰承载"/>
      <w:r>
        <w:rPr>
          <w:rFonts w:ascii="Times New Roman" w:hAnsi="Times New Roman" w:eastAsia="方正仿宋_GBK"/>
          <w:b/>
          <w:sz w:val="26"/>
        </w:rPr>
        <w:t xml:space="preserve">5.6.8 负荷分散系数与局部高峰承载</w:t>
      </w:r>
      <w:bookmarkEnd w:id="281"/>
    </w:p>
    <w:p>
      <w:pPr>
        <w:pStyle w:val="115"/>
        <w:widowControl/>
        <w:spacing w:line="348" w:lineRule="exact" w:before="0" w:after="0"/>
        <w:ind w:firstLine="480"/>
        <w:jc w:val="both"/>
      </w:pPr>
      <w:r>
        <w:rPr>
          <w:rFonts w:ascii="Times New Roman" w:hAnsi="Times New Roman" w:eastAsia="方正仿宋_GBK"/>
          <w:b w:val="0"/>
          <w:sz w:val="24"/>
        </w:rPr>
        <w:t xml:space="preserve">固定装机渗透率2.00、年最大净负荷平均增长率4%、电缆长度占比10%和初始转供率40%，比较负荷分散系数1.05—1.25、间隔0.02的11个节点。表中按相同主变容量合并相邻采样节点，列示四个容量平台及各平台内的配套措施范围。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表5-75 负荷分散系数对应的容量平台及配套措施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3.80～8.80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4310.32～5396.52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1.11—1.19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0.00～0.10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5720.12～5983.51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6476.74～6597.57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8339.97</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注：同一行合并主变容量相同的相邻采样节点；储能、联络和费用列为这些节点的取值范围。</w:t>
      </w:r>
    </w:p>
    <w:p>
      <w:pPr>
        <w:pStyle w:val="2"/>
        <w:widowControl/>
        <w:spacing w:line="348" w:lineRule="exact" w:before="0" w:after="0"/>
        <w:ind w:firstLine="480"/>
        <w:jc w:val="both"/>
      </w:pPr>
      <w:r>
        <w:rPr>
          <w:rFonts w:ascii="Times New Roman" w:hAnsi="Times New Roman" w:eastAsia="方正仿宋_GBK"/>
          <w:b w:val="0"/>
          <w:sz w:val="24"/>
        </w:rPr>
        <w:t xml:space="preserve">容载比的三个变化节点为1.11、1.21和1.25，对应主变分别增加26.00 MVA、34.00 MVA和50.00 MVA，形成2.05、2.14、2.26和2.43四个容量平台。1.11节点以主变补强替代8.80 MW储能额定功率，并减少1项联络。1.11—1.19内主变保持626.00 MVA，随着局部高峰任务提高，新增联络由5项增至7项，末个节点补充0.10 MW储能；容量平台内仍需调整配套措施。</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572461"/>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51"/>
                    <a:stretch>
                      <a:fillRect/>
                    </a:stretch>
                  </pic:blipFill>
                  <pic:spPr bwMode="auto">
                    <a:xfrm>
                      <a:off x="0" y="0"/>
                      <a:ext cx="5120640" cy="55724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1.21节点再次增容后取消储能，并将新增联络由7项减至6项。1.25节点主变增至710.00 MVA，新增联络增至10项，共同满足更高的局部高峰任务。全序列容载比由2.05升至2.43，费用现值由4310.32万元增至8339.97万元。主变补强与储能、联络之间的替代随容量平台发生变化，图中保留各平台内全部采样节点。</w:t>
      </w:r>
    </w:p>
    <w:p>
      <w:pPr>
        <w:pStyle w:val="2"/>
        <w:widowControl/>
        <w:spacing w:line="348" w:lineRule="exact" w:before="0" w:after="0"/>
        <w:ind w:firstLine="480"/>
        <w:jc w:val="both"/>
      </w:pPr>
      <w:r>
        <w:rPr>
          <w:rFonts w:ascii="Times New Roman" w:hAnsi="Times New Roman" w:eastAsia="方正仿宋_GBK"/>
          <w:b w:val="0"/>
          <w:sz w:val="24"/>
        </w:rPr>
        <w:t xml:space="preserve">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13" w:name="h1130"/>
      <w:bookmarkStart w:id="283" w:name="规划建议"/>
      <w:r>
        <w:rPr>
          <w:rFonts w:ascii="Times New Roman" w:hAnsi="Times New Roman" w:eastAsia="方正仿宋_GBK"/>
          <w:b/>
          <w:sz w:val="32"/>
        </w:rPr>
        <w:t xml:space="preserve">5.7 规划建议</w:t>
      </w:r>
      <w:bookmarkEnd w:id="283"/>
      <w:bookmarkEnd w:id="2113"/>
    </w:p>
    <w:p>
      <w:pPr>
        <w:pStyle w:val="5"/>
        <w:keepNext/>
        <w:numPr>
          <w:numId w:val="0"/>
        </w:numPr>
        <w:spacing w:line="390" w:lineRule="exact" w:before="160" w:after="120"/>
        <w:ind w:firstLine="0"/>
      </w:pPr>
      <w:bookmarkStart w:id="284" w:name="按源荷条件和网络能力选取容量"/>
      <w:r>
        <w:rPr>
          <w:rFonts w:ascii="Times New Roman" w:hAnsi="Times New Roman" w:eastAsia="方正仿宋_GBK"/>
          <w:b/>
          <w:sz w:val="26"/>
        </w:rPr>
        <w:t xml:space="preserve">5.7.1 按源荷条件和网络能力选取容量</w:t>
      </w:r>
      <w:bookmarkEnd w:id="284"/>
    </w:p>
    <w:p>
      <w:pPr>
        <w:pStyle w:val="115"/>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5" w:name="统筹主变储能及联络建设"/>
      <w:r>
        <w:rPr>
          <w:rFonts w:ascii="Times New Roman" w:hAnsi="Times New Roman" w:eastAsia="方正仿宋_GBK"/>
          <w:b/>
          <w:sz w:val="26"/>
        </w:rPr>
        <w:t xml:space="preserve">5.7.2 统筹主变、储能及联络建设</w:t>
      </w:r>
      <w:bookmarkEnd w:id="285"/>
    </w:p>
    <w:p>
      <w:pPr>
        <w:pStyle w:val="115"/>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6" w:name="保留参数区间滚动更新计算依据"/>
      <w:r>
        <w:rPr>
          <w:rFonts w:ascii="Times New Roman" w:hAnsi="Times New Roman" w:eastAsia="方正仿宋_GBK"/>
          <w:b/>
          <w:sz w:val="26"/>
        </w:rPr>
        <w:t xml:space="preserve">5.7.3 保留参数区间，滚动更新计算依据</w:t>
      </w:r>
      <w:bookmarkEnd w:id="286"/>
    </w:p>
    <w:p>
      <w:pPr>
        <w:pStyle w:val="115"/>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87" w:name="推荐区间与具体设备的衔接"/>
      <w:r>
        <w:rPr>
          <w:rFonts w:ascii="Times New Roman" w:hAnsi="Times New Roman" w:eastAsia="方正仿宋_GBK"/>
          <w:b/>
          <w:sz w:val="26"/>
        </w:rPr>
        <w:t xml:space="preserve">5.7.4 推荐区间与具体设备的衔接</w:t>
      </w:r>
      <w:bookmarkEnd w:id="287"/>
    </w:p>
    <w:p>
      <w:pPr>
        <w:pStyle w:val="115"/>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88" w:name="邳州与市区建设措施的综合比较"/>
      <w:r>
        <w:rPr>
          <w:rFonts w:ascii="Times New Roman" w:hAnsi="Times New Roman" w:eastAsia="方正仿宋_GBK"/>
          <w:b/>
          <w:sz w:val="26"/>
        </w:rPr>
        <w:t xml:space="preserve">5.7.5 邳州与市区建设措施的综合比较</w:t>
      </w:r>
      <w:bookmarkEnd w:id="288"/>
    </w:p>
    <w:p>
      <w:pPr>
        <w:pStyle w:val="115"/>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2030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2030年邳州弹性方案主变容量2388.50 MVA、容载比2.04，刚性分别为2125.50 MVA、1.81；弹性储能69.66 MWh、累计新增联络6条，刚性为153.94 MWh、25条。市区弹性主变3413.00 MVA、容载比1.85，刚性为3140.50 MVA、1.70；弹性未新增储能和联络，刚性配储12.04 MWh、累计新增联络32条。</w:t>
      </w:r>
    </w:p>
    <w:p>
      <w:pPr>
        <w:pStyle w:val="2"/>
        <w:widowControl/>
        <w:spacing w:line="348" w:lineRule="exact" w:before="0" w:after="0"/>
        <w:ind w:firstLine="480"/>
        <w:jc w:val="both"/>
      </w:pPr>
      <w:r>
        <w:rPr>
          <w:rFonts w:ascii="Times New Roman" w:hAnsi="Times New Roman" w:eastAsia="方正仿宋_GBK"/>
          <w:b w:val="0"/>
          <w:sz w:val="24"/>
        </w:rPr>
        <w:t xml:space="preserve">邳州刚性、弹性可行方案费用现值分别为21551.31万元、19668.62万元，弹性减少1882.68万元；市区分别为14819.77万元、16806.54万元，弹性增加1986.77万元。邳州的储能及联络费用下降抵消了较多主变支出，市区截至2030年的配套工程节省额尚未抵消主变投入增加。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27" w:name="h1144"/>
      <w:bookmarkStart w:id="289" w:name="第六章-结论与建议"/>
      <w:r>
        <w:rPr>
          <w:rFonts w:ascii="Times New Roman" w:hAnsi="Times New Roman" w:eastAsia="方正仿宋_GBK"/>
          <w:b/>
          <w:sz w:val="36"/>
        </w:rPr>
        <w:t xml:space="preserve">第六章 结论与建议</w:t>
      </w:r>
      <w:bookmarkEnd w:id="289"/>
      <w:bookmarkEnd w:id="2127"/>
    </w:p>
    <w:p>
      <w:pPr>
        <w:pStyle w:val="115"/>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29" w:name="h1146"/>
      <w:bookmarkStart w:id="290" w:name="主要研究结论"/>
      <w:r>
        <w:rPr>
          <w:rFonts w:ascii="Times New Roman" w:hAnsi="Times New Roman" w:eastAsia="方正仿宋_GBK"/>
          <w:b/>
          <w:sz w:val="32"/>
        </w:rPr>
        <w:t xml:space="preserve">6.1 主要研究结论</w:t>
      </w:r>
      <w:bookmarkEnd w:id="290"/>
      <w:bookmarkEnd w:id="2129"/>
    </w:p>
    <w:p>
      <w:pPr>
        <w:pStyle w:val="5"/>
        <w:keepNext/>
        <w:numPr>
          <w:numId w:val="0"/>
        </w:numPr>
        <w:spacing w:line="390" w:lineRule="exact" w:before="160" w:after="120"/>
        <w:ind w:firstLine="0"/>
      </w:pPr>
      <w:bookmarkStart w:id="291" w:name="容载比与局部容量压力应结合分析"/>
      <w:r>
        <w:rPr>
          <w:rFonts w:ascii="Times New Roman" w:hAnsi="Times New Roman" w:eastAsia="方正仿宋_GBK"/>
          <w:b/>
          <w:sz w:val="26"/>
        </w:rPr>
        <w:t xml:space="preserve">6.1.1 容载比与局部容量压力应结合分析</w:t>
      </w:r>
      <w:bookmarkEnd w:id="291"/>
    </w:p>
    <w:p>
      <w:pPr>
        <w:pStyle w:val="115"/>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2" w:name="弹性容量配置在两地区形成不同的费用表现"/>
      <w:r>
        <w:rPr>
          <w:rFonts w:ascii="Times New Roman" w:hAnsi="Times New Roman" w:eastAsia="方正仿宋_GBK"/>
          <w:b/>
          <w:sz w:val="26"/>
        </w:rPr>
        <w:t xml:space="preserve">6.1.2 弹性容量配置在两地区形成不同的费用表现</w:t>
      </w:r>
      <w:bookmarkEnd w:id="292"/>
    </w:p>
    <w:p>
      <w:pPr>
        <w:pStyle w:val="115"/>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两地区均保留2021年实际地区容量，2022—2030年逐年承接已投运设备。2030年邳州刚性、弹性主变容量分别为2125.50 MVA、2388.50 MVA，容载比1.81、2.04；市区分别为3140.50 MVA、3413.00 MVA，容载比1.70、1.85。站内补强、配储与新增联络共同满足所采用的年度静态计算条件。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邳州2030年弹性储能69.66 MWh、累计新增联络6条，刚性为153.94 MWh、25条；市区弹性未新增储能和联络，刚性配储12.04 MWh、累计新增联络32条。邳州刚性、弹性费用现值分别为21551.31万元、19668.62万元，弹性减少1882.68万元；市区分别为14819.77万元、16806.54万元，弹性增加1986.77万元。两地均通过站内补强减少部分配套需求，但源荷、网络和建设时序不同，形成不同的费用结果。</w:t>
      </w:r>
    </w:p>
    <w:p>
      <w:pPr>
        <w:pStyle w:val="5"/>
        <w:keepNext/>
        <w:numPr>
          <w:numId w:val="0"/>
        </w:numPr>
        <w:spacing w:line="390" w:lineRule="exact" w:before="160" w:after="120"/>
        <w:ind w:firstLine="0"/>
      </w:pPr>
      <w:bookmarkStart w:id="293"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3"/>
    </w:p>
    <w:p>
      <w:pPr>
        <w:pStyle w:val="115"/>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4" w:name="两层相关分析确定五项推广参数"/>
      <w:r>
        <w:rPr>
          <w:rFonts w:ascii="Times New Roman" w:hAnsi="Times New Roman" w:eastAsia="方正仿宋_GBK"/>
          <w:b/>
          <w:sz w:val="26"/>
        </w:rPr>
        <w:t xml:space="preserve">6.1.4 两层相关分析确定五项推广参数</w:t>
      </w:r>
      <w:bookmarkEnd w:id="294"/>
    </w:p>
    <w:p>
      <w:pPr>
        <w:pStyle w:val="115"/>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真实中位代表节点定位基准宽度0.10的推荐窗口，接近的容量水平按中点共用界值并局部缩窄，保留容量变化及平台。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143" w:name="h1160"/>
      <w:bookmarkStart w:id="295" w:name="规划应用建议"/>
      <w:r>
        <w:rPr>
          <w:rFonts w:ascii="Times New Roman" w:hAnsi="Times New Roman" w:eastAsia="方正仿宋_GBK"/>
          <w:b/>
          <w:sz w:val="32"/>
        </w:rPr>
        <w:t xml:space="preserve">6.2 规划应用建议</w:t>
      </w:r>
      <w:bookmarkEnd w:id="295"/>
      <w:bookmarkEnd w:id="2143"/>
    </w:p>
    <w:p>
      <w:pPr>
        <w:pStyle w:val="5"/>
        <w:keepNext/>
        <w:numPr>
          <w:numId w:val="0"/>
        </w:numPr>
        <w:spacing w:line="390" w:lineRule="exact" w:before="160" w:after="120"/>
        <w:ind w:firstLine="0"/>
      </w:pPr>
      <w:bookmarkStart w:id="296" w:name="按输入区间查表再落实设备方案"/>
      <w:r>
        <w:rPr>
          <w:rFonts w:ascii="Times New Roman" w:hAnsi="Times New Roman" w:eastAsia="方正仿宋_GBK"/>
          <w:b/>
          <w:sz w:val="26"/>
        </w:rPr>
        <w:t xml:space="preserve">6.2.1 按输入区间查表，再落实设备方案</w:t>
      </w:r>
      <w:bookmarkEnd w:id="296"/>
    </w:p>
    <w:p>
      <w:pPr>
        <w:pStyle w:val="115"/>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97" w:name="核实分区转供能力与储能支撑条件"/>
      <w:r>
        <w:rPr>
          <w:rFonts w:ascii="Times New Roman" w:hAnsi="Times New Roman" w:eastAsia="方正仿宋_GBK"/>
          <w:b/>
          <w:sz w:val="26"/>
        </w:rPr>
        <w:t xml:space="preserve">6.2.2 核实分区转供能力与储能支撑条件</w:t>
      </w:r>
      <w:bookmarkEnd w:id="297"/>
    </w:p>
    <w:p>
      <w:pPr>
        <w:pStyle w:val="115"/>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98" w:name="随数据和工程条件更新结果"/>
      <w:r>
        <w:rPr>
          <w:rFonts w:ascii="Times New Roman" w:hAnsi="Times New Roman" w:eastAsia="方正仿宋_GBK"/>
          <w:b/>
          <w:sz w:val="26"/>
        </w:rPr>
        <w:t xml:space="preserve">6.2.3 随数据和工程条件更新结果</w:t>
      </w:r>
      <w:bookmarkEnd w:id="298"/>
    </w:p>
    <w:p>
      <w:pPr>
        <w:pStyle w:val="115"/>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55" w:name="h1172"/>
      <w:bookmarkStart w:id="299" w:name="后续研究方向"/>
      <w:r>
        <w:rPr>
          <w:rFonts w:ascii="Times New Roman" w:hAnsi="Times New Roman" w:eastAsia="方正仿宋_GBK"/>
          <w:b/>
          <w:sz w:val="32"/>
        </w:rPr>
        <w:t xml:space="preserve">6.3 后续研究方向</w:t>
      </w:r>
      <w:bookmarkEnd w:id="299"/>
      <w:bookmarkEnd w:id="2155"/>
    </w:p>
    <w:p>
      <w:pPr>
        <w:pStyle w:val="115"/>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0" w:name="深化储能运行与实际网络校核"/>
      <w:r>
        <w:rPr>
          <w:rFonts w:ascii="Times New Roman" w:hAnsi="Times New Roman" w:eastAsia="方正仿宋_GBK"/>
          <w:b/>
          <w:sz w:val="26"/>
        </w:rPr>
        <w:t xml:space="preserve">6.3.1 深化储能运行与实际网络校核</w:t>
      </w:r>
      <w:bookmarkEnd w:id="300"/>
    </w:p>
    <w:p>
      <w:pPr>
        <w:pStyle w:val="115"/>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1" w:name="拓展片区结构和经济参数"/>
      <w:r>
        <w:rPr>
          <w:rFonts w:ascii="Times New Roman" w:hAnsi="Times New Roman" w:eastAsia="方正仿宋_GBK"/>
          <w:b/>
          <w:sz w:val="26"/>
        </w:rPr>
        <w:t xml:space="preserve">6.3.2 拓展片区结构和经济参数</w:t>
      </w:r>
      <w:bookmarkEnd w:id="301"/>
    </w:p>
    <w:p>
      <w:pPr>
        <w:pStyle w:val="115"/>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61" w:name="h1178"/>
      <w:bookmarkStart w:id="302" w:name="参考文献"/>
      <w:r>
        <w:rPr>
          <w:rFonts w:ascii="Times New Roman" w:hAnsi="Times New Roman" w:eastAsia="方正仿宋_GBK"/>
          <w:b/>
          <w:sz w:val="36"/>
        </w:rPr>
        <w:t xml:space="preserve">参考文献</w:t>
      </w:r>
      <w:bookmarkEnd w:id="302"/>
      <w:bookmarkEnd w:id="2161"/>
    </w:p>
    <w:p>
      <w:pPr>
        <w:pStyle w:val="115"/>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7"/>
      <w:footerReference w:type="default" r:id="rId9"/>
      <w:headerReference w:type="first" r:id="rId8"/>
      <w:footerReference w:type="first" r:id="rId10"/>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6525">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0A8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DB13">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83A6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 Id="rId55" Type="http://schemas.openxmlformats.org/officeDocument/2006/relationships/image" Target="media/update_487cf85412928b2be280.png"/><Relationship Id="rId56" Type="http://schemas.openxmlformats.org/officeDocument/2006/relationships/image" Target="media/update_5eb1753d5d00a2d5e09f.png"/><Relationship Id="rId57" Type="http://schemas.openxmlformats.org/officeDocument/2006/relationships/image" Target="media/update_04b1ce452382461a03ea.png"/><Relationship Id="rId58" Type="http://schemas.openxmlformats.org/officeDocument/2006/relationships/image" Target="media/update_ebc93d5d8ff87104e562.png"/><Relationship Id="rId59" Type="http://schemas.openxmlformats.org/officeDocument/2006/relationships/image" Target="media/update_2e32e0a0db07549fed12.png"/><Relationship Id="rId60" Type="http://schemas.openxmlformats.org/officeDocument/2006/relationships/image" Target="media/update_ab6b5ddbcadac555aa66.png"/><Relationship Id="rId61" Type="http://schemas.openxmlformats.org/officeDocument/2006/relationships/image" Target="media/update_c23e9a15802ffbb4fa8d.png"/><Relationship Id="rId62" Type="http://schemas.openxmlformats.org/officeDocument/2006/relationships/image" Target="media/update_430c20d31f47ed5e96fa.png"/><Relationship Id="rId63" Type="http://schemas.openxmlformats.org/officeDocument/2006/relationships/image" Target="media/update_43a4f53d27e8179c36b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2026-10-26T10:52:12Z</dcterms:created>
  <dcterms:modified xsi:type="dcterms:W3CDTF">2026-10-26T10:52:12Z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