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300" w:lineRule="auto"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300" w:lineRule="auto"/>
        <w:ind w:firstLine="0"/>
        <w:jc w:val="center"/>
      </w:pPr>
      <w:r>
        <w:rPr>
          <w:rFonts w:ascii="Times New Roman" w:hAnsi="Times New Roman" w:eastAsia="方正仿宋_GBK"/>
          <w:b/>
          <w:sz w:val="40"/>
        </w:rPr>
        <w:t>研究报告</w:t>
      </w:r>
    </w:p>
    <w:p>
      <w:pPr>
        <w:spacing w:line="300" w:lineRule="auto" w:before="2400"/>
        <w:ind w:firstLine="0"/>
        <w:jc w:val="center"/>
      </w:pPr>
      <w:r>
        <w:rPr>
          <w:rFonts w:ascii="Times New Roman" w:hAnsi="Times New Roman" w:eastAsia="方正仿宋_GBK"/>
          <w:b w:val="0"/>
          <w:sz w:val="28"/>
        </w:rPr>
        <w:t>2026年10月</w:t>
      </w:r>
    </w:p>
    <w:p>
      <w:pPr>
        <w:pageBreakBefore/>
        <w:spacing w:line="300" w:lineRule="auto" w:after="400"/>
        <w:ind w:firstLine="0"/>
        <w:jc w:val="center"/>
      </w:pPr>
      <w:r>
        <w:rPr>
          <w:rFonts w:ascii="Times New Roman" w:hAnsi="Times New Roman" w:eastAsia="方正仿宋_GBK"/>
          <w:b/>
          <w:sz w:val="36"/>
        </w:rPr>
        <w:t>内容提要</w:t>
      </w:r>
    </w:p>
    <w:p>
      <w:pPr>
        <w:spacing w:line="300" w:lineRule="auto" w:after="200"/>
        <w:ind w:firstLine="480"/>
        <w:jc w:val="both"/>
      </w:pPr>
      <w:r>
        <w:rPr>
          <w:rFonts w:ascii="Times New Roman" w:hAnsi="Times New Roman" w:eastAsia="方正仿宋_GBK"/>
          <w:b w:val="0"/>
          <w:sz w:val="24"/>
        </w:rPr>
        <w:t>分布式新能源接入使110 kV变电站同时承担正向供电和反向输送需求，区域容载比还受负荷增长、设备分布及下级网络转供能力影响。为形成适用于不同源荷条件的容量规划建议，本项目以徐州邳州和市区为案例，研究主变增容、储能及10 kV联络共同参与时的容载比选取方法。</w:t>
      </w:r>
    </w:p>
    <w:p>
      <w:pPr>
        <w:spacing w:line="300" w:lineRule="auto" w:after="200"/>
        <w:ind w:firstLine="480"/>
        <w:jc w:val="both"/>
      </w:pPr>
      <w:r>
        <w:rPr>
          <w:rFonts w:ascii="Times New Roman" w:hAnsi="Times New Roman" w:eastAsia="方正仿宋_GBK"/>
          <w:b w:val="0"/>
          <w:sz w:val="24"/>
        </w:rPr>
        <w:t>研究统一容载比、年网供最大负荷及分布式电源渗透率的统计口径，分析年度负荷、光伏规模和站级净负荷特征，以实际工程及采购资料建立全寿命费用模型。刚性、弹性方案在同一区县共用容载比2.00的仿真起点，后续四年在正常运行、单台主变退出、设备持续在役、转供能力及负荷守恒约束下联合寻优。市区初始站间转供率假定为50%，邳州依据局部馈线数据测算为28.29%；既有转供能力按零新增建设投资利用，新建联络按项目增加能力并计费。</w:t>
      </w:r>
    </w:p>
    <w:p>
      <w:pPr>
        <w:spacing w:line="300" w:lineRule="auto" w:after="200"/>
        <w:ind w:firstLine="480"/>
        <w:jc w:val="both"/>
      </w:pPr>
      <w:r>
        <w:rPr>
          <w:rFonts w:ascii="Times New Roman" w:hAnsi="Times New Roman" w:eastAsia="方正仿宋_GBK"/>
          <w:b w:val="0"/>
          <w:sz w:val="24"/>
        </w:rPr>
        <w:t>案例第4年邳州刚性、弹性容载比分别为1.96、2.21，市区为1.95、2.21。两地区刚性、弹性方案新增措施全寿命费用现值分别为208566.29万元和35683.63万元，弹性费用降低82.89%。弹性方案增加主变、减少静态退出工况所需储能，在相同技术约束与参考价格下经济性优于刚性。</w:t>
      </w:r>
    </w:p>
    <w:p>
      <w:pPr>
        <w:spacing w:line="300" w:lineRule="auto" w:after="200"/>
        <w:ind w:firstLine="480"/>
        <w:jc w:val="both"/>
      </w:pPr>
      <w:r>
        <w:rPr>
          <w:rFonts w:ascii="Times New Roman" w:hAnsi="Times New Roman" w:eastAsia="方正仿宋_GBK"/>
          <w:b w:val="0"/>
          <w:sz w:val="24"/>
        </w:rPr>
        <w:t>在案例参数与容载比计算关系基础上，进一步构造A类、B/C类两类一般站群，拓展装机渗透率、年负荷平均增长率、95%峰值持续时间和两个工程成本比，完成12600组目标年静态寻优，形成仅列参数条件与推荐容载比区间的通用矩阵。研究表明，容载比应结合双向净负荷、峰段持续时间及站间转供能力确定，规划中宜先核定既有能力，再联合比选增容、配储和新增联络。规划建议优先采用弹性指标确定比选范围，保留刚性基准进行费用对照，并以实际资产、线路和工程价格核定具体方案。</w:t>
      </w:r>
    </w:p>
    <w:p>
      <w:pPr>
        <w:pageBreakBefore/>
        <w:spacing w:line="300" w:lineRule="auto" w:after="300"/>
        <w:ind w:firstLine="0"/>
        <w:jc w:val="center"/>
      </w:pPr>
      <w:r>
        <w:rPr>
          <w:rFonts w:ascii="Times New Roman" w:hAnsi="Times New Roman" w:eastAsia="方正仿宋_GBK"/>
          <w:b/>
          <w:sz w:val="36"/>
        </w:rPr>
        <w:t>目  录</w:t>
      </w:r>
    </w:p>
    <w:p>
      <w:pPr>
        <w:tabs>
          <w:tab w:pos="8220" w:val="right" w:leader="dot"/>
        </w:tabs>
        <w:spacing w:line="300" w:lineRule="auto" w:after="40"/>
        <w:ind w:firstLine="0" w:left="0"/>
        <w:jc w:val="left"/>
      </w:pPr>
      <w:r>
        <w:rPr>
          <w:rFonts w:ascii="Times New Roman" w:hAnsi="Times New Roman" w:eastAsia="方正仿宋_GBK"/>
          <w:b/>
          <w:sz w:val="24"/>
        </w:rPr>
        <w:t>第一章 绪论</w:t>
      </w:r>
      <w:r>
        <w:rPr>
          <w:rFonts w:ascii="Times New Roman" w:hAnsi="Times New Roman" w:eastAsia="方正仿宋_GBK"/>
          <w:b/>
          <w:sz w:val="24"/>
        </w:rPr>
        <w:tab/>
      </w:r>
      <w:fldSimple w:instr="PAGEREF h0 \h">
        <w:r>
          <w:t>5</w:t>
        </w:r>
      </w:fldSimple>
    </w:p>
    <w:p>
      <w:pPr>
        <w:tabs>
          <w:tab w:pos="8220" w:val="right" w:leader="dot"/>
        </w:tabs>
        <w:spacing w:line="300" w:lineRule="auto" w:after="40"/>
        <w:ind w:firstLine="0" w:left="240"/>
        <w:jc w:val="left"/>
      </w:pPr>
      <w:r>
        <w:rPr>
          <w:rFonts w:ascii="Times New Roman" w:hAnsi="Times New Roman" w:eastAsia="方正仿宋_GBK"/>
          <w:b w:val="0"/>
          <w:sz w:val="24"/>
        </w:rPr>
        <w:t>1.1 研究背景与意义</w:t>
      </w:r>
      <w:r>
        <w:rPr>
          <w:rFonts w:ascii="Times New Roman" w:hAnsi="Times New Roman" w:eastAsia="方正仿宋_GBK"/>
          <w:b w:val="0"/>
          <w:sz w:val="24"/>
        </w:rPr>
        <w:tab/>
      </w:r>
      <w:fldSimple w:instr="PAGEREF h1 \h">
        <w:r>
          <w:t>5</w:t>
        </w:r>
      </w:fldSimple>
    </w:p>
    <w:p>
      <w:pPr>
        <w:tabs>
          <w:tab w:pos="8220" w:val="right" w:leader="dot"/>
        </w:tabs>
        <w:spacing w:line="300" w:lineRule="auto" w:after="40"/>
        <w:ind w:firstLine="0" w:left="240"/>
        <w:jc w:val="left"/>
      </w:pPr>
      <w:r>
        <w:rPr>
          <w:rFonts w:ascii="Times New Roman" w:hAnsi="Times New Roman" w:eastAsia="方正仿宋_GBK"/>
          <w:b w:val="0"/>
          <w:sz w:val="24"/>
        </w:rPr>
        <w:t>1.2 主要概念与规范依据</w:t>
      </w:r>
      <w:r>
        <w:rPr>
          <w:rFonts w:ascii="Times New Roman" w:hAnsi="Times New Roman" w:eastAsia="方正仿宋_GBK"/>
          <w:b w:val="0"/>
          <w:sz w:val="24"/>
        </w:rPr>
        <w:tab/>
      </w:r>
      <w:fldSimple w:instr="PAGEREF h20 \h">
        <w:r>
          <w:t>7</w:t>
        </w:r>
      </w:fldSimple>
    </w:p>
    <w:p>
      <w:pPr>
        <w:tabs>
          <w:tab w:pos="8220" w:val="right" w:leader="dot"/>
        </w:tabs>
        <w:spacing w:line="300" w:lineRule="auto" w:after="40"/>
        <w:ind w:firstLine="0" w:left="240"/>
        <w:jc w:val="left"/>
      </w:pPr>
      <w:r>
        <w:rPr>
          <w:rFonts w:ascii="Times New Roman" w:hAnsi="Times New Roman" w:eastAsia="方正仿宋_GBK"/>
          <w:b w:val="0"/>
          <w:sz w:val="24"/>
        </w:rPr>
        <w:t>1.4 研究目标与内容</w:t>
      </w:r>
      <w:r>
        <w:rPr>
          <w:rFonts w:ascii="Times New Roman" w:hAnsi="Times New Roman" w:eastAsia="方正仿宋_GBK"/>
          <w:b w:val="0"/>
          <w:sz w:val="24"/>
        </w:rPr>
        <w:tab/>
      </w:r>
      <w:fldSimple w:instr="PAGEREF h45 \h">
        <w:r>
          <w:t>9</w:t>
        </w:r>
      </w:fldSimple>
    </w:p>
    <w:p>
      <w:pPr>
        <w:tabs>
          <w:tab w:pos="8220" w:val="right" w:leader="dot"/>
        </w:tabs>
        <w:spacing w:line="300" w:lineRule="auto" w:after="40"/>
        <w:ind w:firstLine="0" w:left="240"/>
        <w:jc w:val="left"/>
      </w:pPr>
      <w:r>
        <w:rPr>
          <w:rFonts w:ascii="Times New Roman" w:hAnsi="Times New Roman" w:eastAsia="方正仿宋_GBK"/>
          <w:b w:val="0"/>
          <w:sz w:val="24"/>
        </w:rPr>
        <w:t>1.5 研究方法与技术路线</w:t>
      </w:r>
      <w:r>
        <w:rPr>
          <w:rFonts w:ascii="Times New Roman" w:hAnsi="Times New Roman" w:eastAsia="方正仿宋_GBK"/>
          <w:b w:val="0"/>
          <w:sz w:val="24"/>
        </w:rPr>
        <w:tab/>
      </w:r>
      <w:fldSimple w:instr="PAGEREF h57 \h">
        <w:r>
          <w:t>10</w:t>
        </w:r>
      </w:fldSimple>
    </w:p>
    <w:p>
      <w:pPr>
        <w:tabs>
          <w:tab w:pos="8220" w:val="right" w:leader="dot"/>
        </w:tabs>
        <w:spacing w:line="300" w:lineRule="auto" w:after="40"/>
        <w:ind w:firstLine="0" w:left="240"/>
        <w:jc w:val="left"/>
      </w:pPr>
      <w:r>
        <w:rPr>
          <w:rFonts w:ascii="Times New Roman" w:hAnsi="Times New Roman" w:eastAsia="方正仿宋_GBK"/>
          <w:b w:val="0"/>
          <w:sz w:val="24"/>
        </w:rPr>
        <w:t>1.6 研究成果及应用</w:t>
      </w:r>
      <w:r>
        <w:rPr>
          <w:rFonts w:ascii="Times New Roman" w:hAnsi="Times New Roman" w:eastAsia="方正仿宋_GBK"/>
          <w:b w:val="0"/>
          <w:sz w:val="24"/>
        </w:rPr>
        <w:tab/>
      </w:r>
      <w:fldSimple w:instr="PAGEREF h73 \h">
        <w:r>
          <w:t>12</w:t>
        </w:r>
      </w:fldSimple>
    </w:p>
    <w:p>
      <w:pPr>
        <w:tabs>
          <w:tab w:pos="8220" w:val="right" w:leader="dot"/>
        </w:tabs>
        <w:spacing w:line="300" w:lineRule="auto" w:after="40"/>
        <w:ind w:firstLine="0" w:left="0"/>
        <w:jc w:val="left"/>
      </w:pPr>
      <w:r>
        <w:rPr>
          <w:rFonts w:ascii="Times New Roman" w:hAnsi="Times New Roman" w:eastAsia="方正仿宋_GBK"/>
          <w:b/>
          <w:sz w:val="24"/>
        </w:rPr>
        <w:t>第二章 国内外研究现状</w:t>
      </w:r>
      <w:r>
        <w:rPr>
          <w:rFonts w:ascii="Times New Roman" w:hAnsi="Times New Roman" w:eastAsia="方正仿宋_GBK"/>
          <w:b/>
          <w:sz w:val="24"/>
        </w:rPr>
        <w:tab/>
      </w:r>
      <w:fldSimple w:instr="PAGEREF h76 \h">
        <w:r>
          <w:t>13</w:t>
        </w:r>
      </w:fldSimple>
    </w:p>
    <w:p>
      <w:pPr>
        <w:tabs>
          <w:tab w:pos="8220" w:val="right" w:leader="dot"/>
        </w:tabs>
        <w:spacing w:line="300" w:lineRule="auto" w:after="40"/>
        <w:ind w:firstLine="0" w:left="240"/>
        <w:jc w:val="left"/>
      </w:pPr>
      <w:r>
        <w:rPr>
          <w:rFonts w:ascii="Times New Roman" w:hAnsi="Times New Roman" w:eastAsia="方正仿宋_GBK"/>
          <w:b w:val="0"/>
          <w:sz w:val="24"/>
        </w:rPr>
        <w:t>2.1 国外研究现状</w:t>
      </w:r>
      <w:r>
        <w:rPr>
          <w:rFonts w:ascii="Times New Roman" w:hAnsi="Times New Roman" w:eastAsia="方正仿宋_GBK"/>
          <w:b w:val="0"/>
          <w:sz w:val="24"/>
        </w:rPr>
        <w:tab/>
      </w:r>
      <w:fldSimple w:instr="PAGEREF h79 \h">
        <w:r>
          <w:t>13</w:t>
        </w:r>
      </w:fldSimple>
    </w:p>
    <w:p>
      <w:pPr>
        <w:tabs>
          <w:tab w:pos="8220" w:val="right" w:leader="dot"/>
        </w:tabs>
        <w:spacing w:line="300" w:lineRule="auto" w:after="40"/>
        <w:ind w:firstLine="0" w:left="240"/>
        <w:jc w:val="left"/>
      </w:pPr>
      <w:r>
        <w:rPr>
          <w:rFonts w:ascii="Times New Roman" w:hAnsi="Times New Roman" w:eastAsia="方正仿宋_GBK"/>
          <w:b w:val="0"/>
          <w:sz w:val="24"/>
        </w:rPr>
        <w:t>2.2 国内研究现状</w:t>
      </w:r>
      <w:r>
        <w:rPr>
          <w:rFonts w:ascii="Times New Roman" w:hAnsi="Times New Roman" w:eastAsia="方正仿宋_GBK"/>
          <w:b w:val="0"/>
          <w:sz w:val="24"/>
        </w:rPr>
        <w:tab/>
      </w:r>
      <w:fldSimple w:instr="PAGEREF h101 \h">
        <w:r>
          <w:t>15</w:t>
        </w:r>
      </w:fldSimple>
    </w:p>
    <w:p>
      <w:pPr>
        <w:tabs>
          <w:tab w:pos="8220" w:val="right" w:leader="dot"/>
        </w:tabs>
        <w:spacing w:line="300" w:lineRule="auto" w:after="40"/>
        <w:ind w:firstLine="0" w:left="240"/>
        <w:jc w:val="left"/>
      </w:pPr>
      <w:r>
        <w:rPr>
          <w:rFonts w:ascii="Times New Roman" w:hAnsi="Times New Roman" w:eastAsia="方正仿宋_GBK"/>
          <w:b w:val="0"/>
          <w:sz w:val="24"/>
        </w:rPr>
        <w:t>2.3 国内外研究对比与述评</w:t>
      </w:r>
      <w:r>
        <w:rPr>
          <w:rFonts w:ascii="Times New Roman" w:hAnsi="Times New Roman" w:eastAsia="方正仿宋_GBK"/>
          <w:b w:val="0"/>
          <w:sz w:val="24"/>
        </w:rPr>
        <w:tab/>
      </w:r>
      <w:fldSimple w:instr="PAGEREF h135 \h">
        <w:r>
          <w:t>19</w:t>
        </w:r>
      </w:fldSimple>
    </w:p>
    <w:p>
      <w:pPr>
        <w:tabs>
          <w:tab w:pos="8220" w:val="right" w:leader="dot"/>
        </w:tabs>
        <w:spacing w:line="300" w:lineRule="auto" w:after="40"/>
        <w:ind w:firstLine="0" w:left="240"/>
        <w:jc w:val="left"/>
      </w:pPr>
      <w:r>
        <w:rPr>
          <w:rFonts w:ascii="Times New Roman" w:hAnsi="Times New Roman" w:eastAsia="方正仿宋_GBK"/>
          <w:b w:val="0"/>
          <w:sz w:val="24"/>
        </w:rPr>
        <w:t>2.4 容载比与供电能力的理论联系</w:t>
      </w:r>
      <w:r>
        <w:rPr>
          <w:rFonts w:ascii="Times New Roman" w:hAnsi="Times New Roman" w:eastAsia="方正仿宋_GBK"/>
          <w:b w:val="0"/>
          <w:sz w:val="24"/>
        </w:rPr>
        <w:tab/>
      </w:r>
      <w:fldSimple w:instr="PAGEREF h148 \h">
        <w:r>
          <w:t>21</w:t>
        </w:r>
      </w:fldSimple>
    </w:p>
    <w:p>
      <w:pPr>
        <w:tabs>
          <w:tab w:pos="8220" w:val="right" w:leader="dot"/>
        </w:tabs>
        <w:spacing w:line="300" w:lineRule="auto" w:after="40"/>
        <w:ind w:firstLine="0" w:left="240"/>
        <w:jc w:val="left"/>
      </w:pPr>
      <w:r>
        <w:rPr>
          <w:rFonts w:ascii="Times New Roman" w:hAnsi="Times New Roman" w:eastAsia="方正仿宋_GBK"/>
          <w:b w:val="0"/>
          <w:sz w:val="24"/>
        </w:rPr>
        <w:t>2.5 高渗透率下的源荷特征与容量压力</w:t>
      </w:r>
      <w:r>
        <w:rPr>
          <w:rFonts w:ascii="Times New Roman" w:hAnsi="Times New Roman" w:eastAsia="方正仿宋_GBK"/>
          <w:b w:val="0"/>
          <w:sz w:val="24"/>
        </w:rPr>
        <w:tab/>
      </w:r>
      <w:fldSimple w:instr="PAGEREF h162 \h">
        <w:r>
          <w:t>22</w:t>
        </w:r>
      </w:fldSimple>
    </w:p>
    <w:p>
      <w:pPr>
        <w:tabs>
          <w:tab w:pos="8220" w:val="right" w:leader="dot"/>
        </w:tabs>
        <w:spacing w:line="300" w:lineRule="auto" w:after="40"/>
        <w:ind w:firstLine="0" w:left="240"/>
        <w:jc w:val="left"/>
      </w:pPr>
      <w:r>
        <w:rPr>
          <w:rFonts w:ascii="Times New Roman" w:hAnsi="Times New Roman" w:eastAsia="方正仿宋_GBK"/>
          <w:b w:val="0"/>
          <w:sz w:val="24"/>
        </w:rPr>
        <w:t>2.6 主变、联络与储能的经济替代条件</w:t>
      </w:r>
      <w:r>
        <w:rPr>
          <w:rFonts w:ascii="Times New Roman" w:hAnsi="Times New Roman" w:eastAsia="方正仿宋_GBK"/>
          <w:b w:val="0"/>
          <w:sz w:val="24"/>
        </w:rPr>
        <w:tab/>
      </w:r>
      <w:fldSimple w:instr="PAGEREF h179 \h">
        <w:r>
          <w:t>24</w:t>
        </w:r>
      </w:fldSimple>
    </w:p>
    <w:p>
      <w:pPr>
        <w:tabs>
          <w:tab w:pos="8220" w:val="right" w:leader="dot"/>
        </w:tabs>
        <w:spacing w:line="300" w:lineRule="auto" w:after="40"/>
        <w:ind w:firstLine="0" w:left="240"/>
        <w:jc w:val="left"/>
      </w:pPr>
      <w:r>
        <w:rPr>
          <w:rFonts w:ascii="Times New Roman" w:hAnsi="Times New Roman" w:eastAsia="方正仿宋_GBK"/>
          <w:b w:val="0"/>
          <w:sz w:val="24"/>
        </w:rPr>
        <w:t>2.7 规划寻优方法与本项目选型</w:t>
      </w:r>
      <w:r>
        <w:rPr>
          <w:rFonts w:ascii="Times New Roman" w:hAnsi="Times New Roman" w:eastAsia="方正仿宋_GBK"/>
          <w:b w:val="0"/>
          <w:sz w:val="24"/>
        </w:rPr>
        <w:tab/>
      </w:r>
      <w:fldSimple w:instr="PAGEREF h193 \h">
        <w:r>
          <w:t>25</w:t>
        </w:r>
      </w:fldSimple>
    </w:p>
    <w:p>
      <w:pPr>
        <w:tabs>
          <w:tab w:pos="8220" w:val="right" w:leader="dot"/>
        </w:tabs>
        <w:spacing w:line="300" w:lineRule="auto" w:after="40"/>
        <w:ind w:firstLine="0" w:left="240"/>
        <w:jc w:val="left"/>
      </w:pPr>
      <w:r>
        <w:rPr>
          <w:rFonts w:ascii="Times New Roman" w:hAnsi="Times New Roman" w:eastAsia="方正仿宋_GBK"/>
          <w:b w:val="0"/>
          <w:sz w:val="24"/>
        </w:rPr>
        <w:t>2.8 本项目方法选择与工程衔接</w:t>
      </w:r>
      <w:r>
        <w:rPr>
          <w:rFonts w:ascii="Times New Roman" w:hAnsi="Times New Roman" w:eastAsia="方正仿宋_GBK"/>
          <w:b w:val="0"/>
          <w:sz w:val="24"/>
        </w:rPr>
        <w:tab/>
      </w:r>
      <w:fldSimple w:instr="PAGEREF h206 \h">
        <w:r>
          <w:t>26</w:t>
        </w:r>
      </w:fldSimple>
    </w:p>
    <w:p>
      <w:pPr>
        <w:tabs>
          <w:tab w:pos="8220" w:val="right" w:leader="dot"/>
        </w:tabs>
        <w:spacing w:line="300" w:lineRule="auto" w:after="40"/>
        <w:ind w:firstLine="0" w:left="240"/>
        <w:jc w:val="left"/>
      </w:pPr>
      <w:r>
        <w:rPr>
          <w:rFonts w:ascii="Times New Roman" w:hAnsi="Times New Roman" w:eastAsia="方正仿宋_GBK"/>
          <w:b w:val="0"/>
          <w:sz w:val="24"/>
        </w:rPr>
        <w:t>2.9 本章小结</w:t>
      </w:r>
      <w:r>
        <w:rPr>
          <w:rFonts w:ascii="Times New Roman" w:hAnsi="Times New Roman" w:eastAsia="方正仿宋_GBK"/>
          <w:b w:val="0"/>
          <w:sz w:val="24"/>
        </w:rPr>
        <w:tab/>
      </w:r>
      <w:fldSimple w:instr="PAGEREF h213 \h">
        <w:r>
          <w:t>26</w:t>
        </w:r>
      </w:fldSimple>
    </w:p>
    <w:p>
      <w:pPr>
        <w:tabs>
          <w:tab w:pos="8220" w:val="right" w:leader="dot"/>
        </w:tabs>
        <w:spacing w:line="300" w:lineRule="auto" w:after="40"/>
        <w:ind w:firstLine="0" w:left="0"/>
        <w:jc w:val="left"/>
      </w:pPr>
      <w:r>
        <w:rPr>
          <w:rFonts w:ascii="Times New Roman" w:hAnsi="Times New Roman" w:eastAsia="方正仿宋_GBK"/>
          <w:b/>
          <w:sz w:val="24"/>
        </w:rPr>
        <w:t>第三章 徐州典型地区运行特征分析</w:t>
      </w:r>
      <w:r>
        <w:rPr>
          <w:rFonts w:ascii="Times New Roman" w:hAnsi="Times New Roman" w:eastAsia="方正仿宋_GBK"/>
          <w:b/>
          <w:sz w:val="24"/>
        </w:rPr>
        <w:tab/>
      </w:r>
      <w:fldSimple w:instr="PAGEREF h215 \h">
        <w:r>
          <w:t>27</w:t>
        </w:r>
      </w:fldSimple>
    </w:p>
    <w:p>
      <w:pPr>
        <w:tabs>
          <w:tab w:pos="8220" w:val="right" w:leader="dot"/>
        </w:tabs>
        <w:spacing w:line="300" w:lineRule="auto" w:after="40"/>
        <w:ind w:firstLine="0" w:left="240"/>
        <w:jc w:val="left"/>
      </w:pPr>
      <w:r>
        <w:rPr>
          <w:rFonts w:ascii="Times New Roman" w:hAnsi="Times New Roman" w:eastAsia="方正仿宋_GBK"/>
          <w:b w:val="0"/>
          <w:sz w:val="24"/>
        </w:rPr>
        <w:t>3.1 研究地区与原始资料</w:t>
      </w:r>
      <w:r>
        <w:rPr>
          <w:rFonts w:ascii="Times New Roman" w:hAnsi="Times New Roman" w:eastAsia="方正仿宋_GBK"/>
          <w:b w:val="0"/>
          <w:sz w:val="24"/>
        </w:rPr>
        <w:tab/>
      </w:r>
      <w:fldSimple w:instr="PAGEREF h216 \h">
        <w:r>
          <w:t>27</w:t>
        </w:r>
      </w:fldSimple>
    </w:p>
    <w:p>
      <w:pPr>
        <w:tabs>
          <w:tab w:pos="8220" w:val="right" w:leader="dot"/>
        </w:tabs>
        <w:spacing w:line="300" w:lineRule="auto" w:after="40"/>
        <w:ind w:firstLine="0" w:left="240"/>
        <w:jc w:val="left"/>
      </w:pPr>
      <w:r>
        <w:rPr>
          <w:rFonts w:ascii="Times New Roman" w:hAnsi="Times New Roman" w:eastAsia="方正仿宋_GBK"/>
          <w:b w:val="0"/>
          <w:sz w:val="24"/>
        </w:rPr>
        <w:t>3.2 年度容量、负荷与增长特征</w:t>
      </w:r>
      <w:r>
        <w:rPr>
          <w:rFonts w:ascii="Times New Roman" w:hAnsi="Times New Roman" w:eastAsia="方正仿宋_GBK"/>
          <w:b w:val="0"/>
          <w:sz w:val="24"/>
        </w:rPr>
        <w:tab/>
      </w:r>
      <w:fldSimple w:instr="PAGEREF h226 \h">
        <w:r>
          <w:t>27</w:t>
        </w:r>
      </w:fldSimple>
    </w:p>
    <w:p>
      <w:pPr>
        <w:tabs>
          <w:tab w:pos="8220" w:val="right" w:leader="dot"/>
        </w:tabs>
        <w:spacing w:line="300" w:lineRule="auto" w:after="40"/>
        <w:ind w:firstLine="0" w:left="240"/>
        <w:jc w:val="left"/>
      </w:pPr>
      <w:r>
        <w:rPr>
          <w:rFonts w:ascii="Times New Roman" w:hAnsi="Times New Roman" w:eastAsia="方正仿宋_GBK"/>
          <w:b w:val="0"/>
          <w:sz w:val="24"/>
        </w:rPr>
        <w:t>3.3 分布式光伏装机与电量</w:t>
      </w:r>
      <w:r>
        <w:rPr>
          <w:rFonts w:ascii="Times New Roman" w:hAnsi="Times New Roman" w:eastAsia="方正仿宋_GBK"/>
          <w:b w:val="0"/>
          <w:sz w:val="24"/>
        </w:rPr>
        <w:tab/>
      </w:r>
      <w:fldSimple w:instr="PAGEREF h243 \h">
        <w:r>
          <w:t>29</w:t>
        </w:r>
      </w:fldSimple>
    </w:p>
    <w:p>
      <w:pPr>
        <w:tabs>
          <w:tab w:pos="8220" w:val="right" w:leader="dot"/>
        </w:tabs>
        <w:spacing w:line="300" w:lineRule="auto" w:after="40"/>
        <w:ind w:firstLine="0" w:left="240"/>
        <w:jc w:val="left"/>
      </w:pPr>
      <w:r>
        <w:rPr>
          <w:rFonts w:ascii="Times New Roman" w:hAnsi="Times New Roman" w:eastAsia="方正仿宋_GBK"/>
          <w:b w:val="0"/>
          <w:sz w:val="24"/>
        </w:rPr>
        <w:t>3.4 主变负载率与双向净负荷</w:t>
      </w:r>
      <w:r>
        <w:rPr>
          <w:rFonts w:ascii="Times New Roman" w:hAnsi="Times New Roman" w:eastAsia="方正仿宋_GBK"/>
          <w:b w:val="0"/>
          <w:sz w:val="24"/>
        </w:rPr>
        <w:tab/>
      </w:r>
      <w:fldSimple w:instr="PAGEREF h264 \h">
        <w:r>
          <w:t>32</w:t>
        </w:r>
      </w:fldSimple>
    </w:p>
    <w:p>
      <w:pPr>
        <w:tabs>
          <w:tab w:pos="8220" w:val="right" w:leader="dot"/>
        </w:tabs>
        <w:spacing w:line="300" w:lineRule="auto" w:after="40"/>
        <w:ind w:firstLine="0" w:left="240"/>
        <w:jc w:val="left"/>
      </w:pPr>
      <w:r>
        <w:rPr>
          <w:rFonts w:ascii="Times New Roman" w:hAnsi="Times New Roman" w:eastAsia="方正仿宋_GBK"/>
          <w:b w:val="0"/>
          <w:sz w:val="24"/>
        </w:rPr>
        <w:t>3.5 源荷与容量指标的关联分析</w:t>
      </w:r>
      <w:r>
        <w:rPr>
          <w:rFonts w:ascii="Times New Roman" w:hAnsi="Times New Roman" w:eastAsia="方正仿宋_GBK"/>
          <w:b w:val="0"/>
          <w:sz w:val="24"/>
        </w:rPr>
        <w:tab/>
      </w:r>
      <w:fldSimple w:instr="PAGEREF h289 \h">
        <w:r>
          <w:t>36</w:t>
        </w:r>
      </w:fldSimple>
    </w:p>
    <w:p>
      <w:pPr>
        <w:tabs>
          <w:tab w:pos="8220" w:val="right" w:leader="dot"/>
        </w:tabs>
        <w:spacing w:line="300" w:lineRule="auto" w:after="40"/>
        <w:ind w:firstLine="0" w:left="240"/>
        <w:jc w:val="left"/>
      </w:pPr>
      <w:r>
        <w:rPr>
          <w:rFonts w:ascii="Times New Roman" w:hAnsi="Times New Roman" w:eastAsia="方正仿宋_GBK"/>
          <w:b w:val="0"/>
          <w:sz w:val="24"/>
        </w:rPr>
        <w:t>3.6 10 kV负荷转接资料与仿真条件</w:t>
      </w:r>
      <w:r>
        <w:rPr>
          <w:rFonts w:ascii="Times New Roman" w:hAnsi="Times New Roman" w:eastAsia="方正仿宋_GBK"/>
          <w:b w:val="0"/>
          <w:sz w:val="24"/>
        </w:rPr>
        <w:tab/>
      </w:r>
      <w:fldSimple w:instr="PAGEREF h306 \h">
        <w:r>
          <w:t>38</w:t>
        </w:r>
      </w:fldSimple>
    </w:p>
    <w:p>
      <w:pPr>
        <w:tabs>
          <w:tab w:pos="8220" w:val="right" w:leader="dot"/>
        </w:tabs>
        <w:spacing w:line="300" w:lineRule="auto" w:after="40"/>
        <w:ind w:firstLine="0" w:left="240"/>
        <w:jc w:val="left"/>
      </w:pPr>
      <w:r>
        <w:rPr>
          <w:rFonts w:ascii="Times New Roman" w:hAnsi="Times New Roman" w:eastAsia="方正仿宋_GBK"/>
          <w:b w:val="0"/>
          <w:sz w:val="24"/>
        </w:rPr>
        <w:t>3.7 站级净负荷分布与配置需求</w:t>
      </w:r>
      <w:r>
        <w:rPr>
          <w:rFonts w:ascii="Times New Roman" w:hAnsi="Times New Roman" w:eastAsia="方正仿宋_GBK"/>
          <w:b w:val="0"/>
          <w:sz w:val="24"/>
        </w:rPr>
        <w:tab/>
      </w:r>
      <w:fldSimple w:instr="PAGEREF h316 \h">
        <w:r>
          <w:t>39</w:t>
        </w:r>
      </w:fldSimple>
    </w:p>
    <w:p>
      <w:pPr>
        <w:tabs>
          <w:tab w:pos="8220" w:val="right" w:leader="dot"/>
        </w:tabs>
        <w:spacing w:line="300" w:lineRule="auto" w:after="40"/>
        <w:ind w:firstLine="0" w:left="240"/>
        <w:jc w:val="left"/>
      </w:pPr>
      <w:r>
        <w:rPr>
          <w:rFonts w:ascii="Times New Roman" w:hAnsi="Times New Roman" w:eastAsia="方正仿宋_GBK"/>
          <w:b w:val="0"/>
          <w:sz w:val="24"/>
        </w:rPr>
        <w:t>3.8 数据基础的适用范围</w:t>
      </w:r>
      <w:r>
        <w:rPr>
          <w:rFonts w:ascii="Times New Roman" w:hAnsi="Times New Roman" w:eastAsia="方正仿宋_GBK"/>
          <w:b w:val="0"/>
          <w:sz w:val="24"/>
        </w:rPr>
        <w:tab/>
      </w:r>
      <w:fldSimple w:instr="PAGEREF h336 \h">
        <w:r>
          <w:t>42</w:t>
        </w:r>
      </w:fldSimple>
    </w:p>
    <w:p>
      <w:pPr>
        <w:tabs>
          <w:tab w:pos="8220" w:val="right" w:leader="dot"/>
        </w:tabs>
        <w:spacing w:line="300" w:lineRule="auto" w:after="40"/>
        <w:ind w:firstLine="0" w:left="0"/>
        <w:jc w:val="left"/>
      </w:pPr>
      <w:r>
        <w:rPr>
          <w:rFonts w:ascii="Times New Roman" w:hAnsi="Times New Roman" w:eastAsia="方正仿宋_GBK"/>
          <w:b/>
          <w:sz w:val="24"/>
        </w:rPr>
        <w:t>第四章 基于实际工程的建设成本模型</w:t>
      </w:r>
      <w:r>
        <w:rPr>
          <w:rFonts w:ascii="Times New Roman" w:hAnsi="Times New Roman" w:eastAsia="方正仿宋_GBK"/>
          <w:b/>
          <w:sz w:val="24"/>
        </w:rPr>
        <w:tab/>
      </w:r>
      <w:fldSimple w:instr="PAGEREF h339 \h">
        <w:r>
          <w:t>43</w:t>
        </w:r>
      </w:fldSimple>
    </w:p>
    <w:p>
      <w:pPr>
        <w:tabs>
          <w:tab w:pos="8220" w:val="right" w:leader="dot"/>
        </w:tabs>
        <w:spacing w:line="300" w:lineRule="auto" w:after="40"/>
        <w:ind w:firstLine="0" w:left="240"/>
        <w:jc w:val="left"/>
      </w:pPr>
      <w:r>
        <w:rPr>
          <w:rFonts w:ascii="Times New Roman" w:hAnsi="Times New Roman" w:eastAsia="方正仿宋_GBK"/>
          <w:b w:val="0"/>
          <w:sz w:val="24"/>
        </w:rPr>
        <w:t>4.1 成本模型的范围与建立原则</w:t>
      </w:r>
      <w:r>
        <w:rPr>
          <w:rFonts w:ascii="Times New Roman" w:hAnsi="Times New Roman" w:eastAsia="方正仿宋_GBK"/>
          <w:b w:val="0"/>
          <w:sz w:val="24"/>
        </w:rPr>
        <w:tab/>
      </w:r>
      <w:fldSimple w:instr="PAGEREF h340 \h">
        <w:r>
          <w:t>43</w:t>
        </w:r>
      </w:fldSimple>
    </w:p>
    <w:p>
      <w:pPr>
        <w:tabs>
          <w:tab w:pos="8220" w:val="right" w:leader="dot"/>
        </w:tabs>
        <w:spacing w:line="300" w:lineRule="auto" w:after="40"/>
        <w:ind w:firstLine="0" w:left="240"/>
        <w:jc w:val="left"/>
      </w:pPr>
      <w:r>
        <w:rPr>
          <w:rFonts w:ascii="Times New Roman" w:hAnsi="Times New Roman" w:eastAsia="方正仿宋_GBK"/>
          <w:b w:val="0"/>
          <w:sz w:val="24"/>
        </w:rPr>
        <w:t>4.2 主变工程成本系数</w:t>
      </w:r>
      <w:r>
        <w:rPr>
          <w:rFonts w:ascii="Times New Roman" w:hAnsi="Times New Roman" w:eastAsia="方正仿宋_GBK"/>
          <w:b w:val="0"/>
          <w:sz w:val="24"/>
        </w:rPr>
        <w:tab/>
      </w:r>
      <w:fldSimple w:instr="PAGEREF h351 \h">
        <w:r>
          <w:t>44</w:t>
        </w:r>
      </w:fldSimple>
    </w:p>
    <w:p>
      <w:pPr>
        <w:tabs>
          <w:tab w:pos="8220" w:val="right" w:leader="dot"/>
        </w:tabs>
        <w:spacing w:line="300" w:lineRule="auto" w:after="40"/>
        <w:ind w:firstLine="0" w:left="240"/>
        <w:jc w:val="left"/>
      </w:pPr>
      <w:r>
        <w:rPr>
          <w:rFonts w:ascii="Times New Roman" w:hAnsi="Times New Roman" w:eastAsia="方正仿宋_GBK"/>
          <w:b w:val="0"/>
          <w:sz w:val="24"/>
        </w:rPr>
        <w:t>4.3 10 kV联络工程费用</w:t>
      </w:r>
      <w:r>
        <w:rPr>
          <w:rFonts w:ascii="Times New Roman" w:hAnsi="Times New Roman" w:eastAsia="方正仿宋_GBK"/>
          <w:b w:val="0"/>
          <w:sz w:val="24"/>
        </w:rPr>
        <w:tab/>
      </w:r>
      <w:fldSimple w:instr="PAGEREF h370 \h">
        <w:r>
          <w:t>45</w:t>
        </w:r>
      </w:fldSimple>
    </w:p>
    <w:p>
      <w:pPr>
        <w:tabs>
          <w:tab w:pos="8220" w:val="right" w:leader="dot"/>
        </w:tabs>
        <w:spacing w:line="300" w:lineRule="auto" w:after="40"/>
        <w:ind w:firstLine="0" w:left="240"/>
        <w:jc w:val="left"/>
      </w:pPr>
      <w:r>
        <w:rPr>
          <w:rFonts w:ascii="Times New Roman" w:hAnsi="Times New Roman" w:eastAsia="方正仿宋_GBK"/>
          <w:b w:val="0"/>
          <w:sz w:val="24"/>
        </w:rPr>
        <w:t>4.4 储能投资模型</w:t>
      </w:r>
      <w:r>
        <w:rPr>
          <w:rFonts w:ascii="Times New Roman" w:hAnsi="Times New Roman" w:eastAsia="方正仿宋_GBK"/>
          <w:b w:val="0"/>
          <w:sz w:val="24"/>
        </w:rPr>
        <w:tab/>
      </w:r>
      <w:fldSimple w:instr="PAGEREF h381 \h">
        <w:r>
          <w:t>46</w:t>
        </w:r>
      </w:fldSimple>
    </w:p>
    <w:p>
      <w:pPr>
        <w:tabs>
          <w:tab w:pos="8220" w:val="right" w:leader="dot"/>
        </w:tabs>
        <w:spacing w:line="300" w:lineRule="auto" w:after="40"/>
        <w:ind w:firstLine="0" w:left="240"/>
        <w:jc w:val="left"/>
      </w:pPr>
      <w:r>
        <w:rPr>
          <w:rFonts w:ascii="Times New Roman" w:hAnsi="Times New Roman" w:eastAsia="方正仿宋_GBK"/>
          <w:b w:val="0"/>
          <w:sz w:val="24"/>
        </w:rPr>
        <w:t>4.5 两个成本比例及敏感性方法</w:t>
      </w:r>
      <w:r>
        <w:rPr>
          <w:rFonts w:ascii="Times New Roman" w:hAnsi="Times New Roman" w:eastAsia="方正仿宋_GBK"/>
          <w:b w:val="0"/>
          <w:sz w:val="24"/>
        </w:rPr>
        <w:tab/>
      </w:r>
      <w:fldSimple w:instr="PAGEREF h398 \h">
        <w:r>
          <w:t>48</w:t>
        </w:r>
      </w:fldSimple>
    </w:p>
    <w:p>
      <w:pPr>
        <w:tabs>
          <w:tab w:pos="8220" w:val="right" w:leader="dot"/>
        </w:tabs>
        <w:spacing w:line="300" w:lineRule="auto" w:after="40"/>
        <w:ind w:firstLine="0" w:left="240"/>
        <w:jc w:val="left"/>
      </w:pPr>
      <w:r>
        <w:rPr>
          <w:rFonts w:ascii="Times New Roman" w:hAnsi="Times New Roman" w:eastAsia="方正仿宋_GBK"/>
          <w:b w:val="0"/>
          <w:sz w:val="24"/>
        </w:rPr>
        <w:t>4.6 现金流现值计算</w:t>
      </w:r>
      <w:r>
        <w:rPr>
          <w:rFonts w:ascii="Times New Roman" w:hAnsi="Times New Roman" w:eastAsia="方正仿宋_GBK"/>
          <w:b w:val="0"/>
          <w:sz w:val="24"/>
        </w:rPr>
        <w:tab/>
      </w:r>
      <w:fldSimple w:instr="PAGEREF h415 \h">
        <w:r>
          <w:t>50</w:t>
        </w:r>
      </w:fldSimple>
    </w:p>
    <w:p>
      <w:pPr>
        <w:tabs>
          <w:tab w:pos="8220" w:val="right" w:leader="dot"/>
        </w:tabs>
        <w:spacing w:line="300" w:lineRule="auto" w:after="40"/>
        <w:ind w:firstLine="0" w:left="0"/>
        <w:jc w:val="left"/>
      </w:pPr>
      <w:r>
        <w:rPr>
          <w:rFonts w:ascii="Times New Roman" w:hAnsi="Times New Roman" w:eastAsia="方正仿宋_GBK"/>
          <w:b/>
          <w:sz w:val="24"/>
        </w:rPr>
        <w:t>第五章 “一片一策”弹性容载比规划建议</w:t>
      </w:r>
      <w:r>
        <w:rPr>
          <w:rFonts w:ascii="Times New Roman" w:hAnsi="Times New Roman" w:eastAsia="方正仿宋_GBK"/>
          <w:b/>
          <w:sz w:val="24"/>
        </w:rPr>
        <w:tab/>
      </w:r>
      <w:fldSimple w:instr="PAGEREF h431 \h">
        <w:r>
          <w:t>52</w:t>
        </w:r>
      </w:fldSimple>
    </w:p>
    <w:p>
      <w:pPr>
        <w:tabs>
          <w:tab w:pos="8220" w:val="right" w:leader="dot"/>
        </w:tabs>
        <w:spacing w:line="300" w:lineRule="auto" w:after="40"/>
        <w:ind w:firstLine="0" w:left="240"/>
        <w:jc w:val="left"/>
      </w:pPr>
      <w:r>
        <w:rPr>
          <w:rFonts w:ascii="Times New Roman" w:hAnsi="Times New Roman" w:eastAsia="方正仿宋_GBK"/>
          <w:b w:val="0"/>
          <w:sz w:val="24"/>
        </w:rPr>
        <w:t>5.1 寻优问题与共同起点</w:t>
      </w:r>
      <w:r>
        <w:rPr>
          <w:rFonts w:ascii="Times New Roman" w:hAnsi="Times New Roman" w:eastAsia="方正仿宋_GBK"/>
          <w:b w:val="0"/>
          <w:sz w:val="24"/>
        </w:rPr>
        <w:tab/>
      </w:r>
      <w:fldSimple w:instr="PAGEREF h433 \h">
        <w:r>
          <w:t>52</w:t>
        </w:r>
      </w:fldSimple>
    </w:p>
    <w:p>
      <w:pPr>
        <w:tabs>
          <w:tab w:pos="8220" w:val="right" w:leader="dot"/>
        </w:tabs>
        <w:spacing w:line="300" w:lineRule="auto" w:after="40"/>
        <w:ind w:firstLine="0" w:left="240"/>
        <w:jc w:val="left"/>
      </w:pPr>
      <w:r>
        <w:rPr>
          <w:rFonts w:ascii="Times New Roman" w:hAnsi="Times New Roman" w:eastAsia="方正仿宋_GBK"/>
          <w:b w:val="0"/>
          <w:sz w:val="24"/>
        </w:rPr>
        <w:t>5.2 三类方案的选取与寻优方法</w:t>
      </w:r>
      <w:r>
        <w:rPr>
          <w:rFonts w:ascii="Times New Roman" w:hAnsi="Times New Roman" w:eastAsia="方正仿宋_GBK"/>
          <w:b w:val="0"/>
          <w:sz w:val="24"/>
        </w:rPr>
        <w:tab/>
      </w:r>
      <w:fldSimple w:instr="PAGEREF h453 \h">
        <w:r>
          <w:t>55</w:t>
        </w:r>
      </w:fldSimple>
    </w:p>
    <w:p>
      <w:pPr>
        <w:tabs>
          <w:tab w:pos="8220" w:val="right" w:leader="dot"/>
        </w:tabs>
        <w:spacing w:line="300" w:lineRule="auto" w:after="40"/>
        <w:ind w:firstLine="0" w:left="240"/>
        <w:jc w:val="left"/>
      </w:pPr>
      <w:r>
        <w:rPr>
          <w:rFonts w:ascii="Times New Roman" w:hAnsi="Times New Roman" w:eastAsia="方正仿宋_GBK"/>
          <w:b w:val="0"/>
          <w:sz w:val="24"/>
        </w:rPr>
        <w:t>5.3 约束条件与求解流程</w:t>
      </w:r>
      <w:r>
        <w:rPr>
          <w:rFonts w:ascii="Times New Roman" w:hAnsi="Times New Roman" w:eastAsia="方正仿宋_GBK"/>
          <w:b w:val="0"/>
          <w:sz w:val="24"/>
        </w:rPr>
        <w:tab/>
      </w:r>
      <w:fldSimple w:instr="PAGEREF h483 \h">
        <w:r>
          <w:t>58</w:t>
        </w:r>
      </w:fldSimple>
    </w:p>
    <w:p>
      <w:pPr>
        <w:tabs>
          <w:tab w:pos="8220" w:val="right" w:leader="dot"/>
        </w:tabs>
        <w:spacing w:line="300" w:lineRule="auto" w:after="40"/>
        <w:ind w:firstLine="0" w:left="240"/>
        <w:jc w:val="left"/>
      </w:pPr>
      <w:r>
        <w:rPr>
          <w:rFonts w:ascii="Times New Roman" w:hAnsi="Times New Roman" w:eastAsia="方正仿宋_GBK"/>
          <w:b w:val="0"/>
          <w:sz w:val="24"/>
        </w:rPr>
        <w:t>5.4 寻优结果</w:t>
      </w:r>
      <w:r>
        <w:rPr>
          <w:rFonts w:ascii="Times New Roman" w:hAnsi="Times New Roman" w:eastAsia="方正仿宋_GBK"/>
          <w:b w:val="0"/>
          <w:sz w:val="24"/>
        </w:rPr>
        <w:tab/>
      </w:r>
      <w:fldSimple w:instr="PAGEREF h498 \h">
        <w:r>
          <w:t>60</w:t>
        </w:r>
      </w:fldSimple>
    </w:p>
    <w:p>
      <w:pPr>
        <w:tabs>
          <w:tab w:pos="8220" w:val="right" w:leader="dot"/>
        </w:tabs>
        <w:spacing w:line="300" w:lineRule="auto" w:after="40"/>
        <w:ind w:firstLine="0" w:left="240"/>
        <w:jc w:val="left"/>
      </w:pPr>
      <w:r>
        <w:rPr>
          <w:rFonts w:ascii="Times New Roman" w:hAnsi="Times New Roman" w:eastAsia="方正仿宋_GBK"/>
          <w:b w:val="0"/>
          <w:sz w:val="24"/>
        </w:rPr>
        <w:t>5.5 措施作用与工程衔接</w:t>
      </w:r>
      <w:r>
        <w:rPr>
          <w:rFonts w:ascii="Times New Roman" w:hAnsi="Times New Roman" w:eastAsia="方正仿宋_GBK"/>
          <w:b w:val="0"/>
          <w:sz w:val="24"/>
        </w:rPr>
        <w:tab/>
      </w:r>
      <w:fldSimple w:instr="PAGEREF h726 \h">
        <w:r>
          <w:t>84</w:t>
        </w:r>
      </w:fldSimple>
    </w:p>
    <w:p>
      <w:pPr>
        <w:tabs>
          <w:tab w:pos="8220" w:val="right" w:leader="dot"/>
        </w:tabs>
        <w:spacing w:line="300" w:lineRule="auto" w:after="40"/>
        <w:ind w:firstLine="0" w:left="240"/>
        <w:jc w:val="left"/>
      </w:pPr>
      <w:r>
        <w:rPr>
          <w:rFonts w:ascii="Times New Roman" w:hAnsi="Times New Roman" w:eastAsia="方正仿宋_GBK"/>
          <w:b w:val="0"/>
          <w:sz w:val="24"/>
        </w:rPr>
        <w:t>5.6 参数拓展与通用推荐矩阵</w:t>
      </w:r>
      <w:r>
        <w:rPr>
          <w:rFonts w:ascii="Times New Roman" w:hAnsi="Times New Roman" w:eastAsia="方正仿宋_GBK"/>
          <w:b w:val="0"/>
          <w:sz w:val="24"/>
        </w:rPr>
        <w:tab/>
      </w:r>
      <w:fldSimple w:instr="PAGEREF h734 \h">
        <w:r>
          <w:t>85</w:t>
        </w:r>
      </w:fldSimple>
    </w:p>
    <w:p>
      <w:pPr>
        <w:tabs>
          <w:tab w:pos="8220" w:val="right" w:leader="dot"/>
        </w:tabs>
        <w:spacing w:line="300" w:lineRule="auto" w:after="40"/>
        <w:ind w:firstLine="0" w:left="240"/>
        <w:jc w:val="left"/>
      </w:pPr>
      <w:r>
        <w:rPr>
          <w:rFonts w:ascii="Times New Roman" w:hAnsi="Times New Roman" w:eastAsia="方正仿宋_GBK"/>
          <w:b w:val="0"/>
          <w:sz w:val="24"/>
        </w:rPr>
        <w:t>5.7 规划建议</w:t>
      </w:r>
      <w:r>
        <w:rPr>
          <w:rFonts w:ascii="Times New Roman" w:hAnsi="Times New Roman" w:eastAsia="方正仿宋_GBK"/>
          <w:b w:val="0"/>
          <w:sz w:val="24"/>
        </w:rPr>
        <w:tab/>
      </w:r>
      <w:fldSimple w:instr="PAGEREF h758 \h">
        <w:r>
          <w:t>93</w:t>
        </w:r>
      </w:fldSimple>
    </w:p>
    <w:p>
      <w:pPr>
        <w:tabs>
          <w:tab w:pos="8220" w:val="right" w:leader="dot"/>
        </w:tabs>
        <w:spacing w:line="300" w:lineRule="auto" w:after="40"/>
        <w:ind w:firstLine="0" w:left="0"/>
        <w:jc w:val="left"/>
      </w:pPr>
      <w:r>
        <w:rPr>
          <w:rFonts w:ascii="Times New Roman" w:hAnsi="Times New Roman" w:eastAsia="方正仿宋_GBK"/>
          <w:b/>
          <w:sz w:val="24"/>
        </w:rPr>
        <w:t>第六章 结论与建议</w:t>
      </w:r>
      <w:r>
        <w:rPr>
          <w:rFonts w:ascii="Times New Roman" w:hAnsi="Times New Roman" w:eastAsia="方正仿宋_GBK"/>
          <w:b/>
          <w:sz w:val="24"/>
        </w:rPr>
        <w:tab/>
      </w:r>
      <w:fldSimple w:instr="PAGEREF h768 \h">
        <w:r>
          <w:t>95</w:t>
        </w:r>
      </w:fldSimple>
    </w:p>
    <w:p>
      <w:pPr>
        <w:tabs>
          <w:tab w:pos="8220" w:val="right" w:leader="dot"/>
        </w:tabs>
        <w:spacing w:line="300" w:lineRule="auto" w:after="40"/>
        <w:ind w:firstLine="0" w:left="240"/>
        <w:jc w:val="left"/>
      </w:pPr>
      <w:r>
        <w:rPr>
          <w:rFonts w:ascii="Times New Roman" w:hAnsi="Times New Roman" w:eastAsia="方正仿宋_GBK"/>
          <w:b w:val="0"/>
          <w:sz w:val="24"/>
        </w:rPr>
        <w:t>6.1 主要研究结论</w:t>
      </w:r>
      <w:r>
        <w:rPr>
          <w:rFonts w:ascii="Times New Roman" w:hAnsi="Times New Roman" w:eastAsia="方正仿宋_GBK"/>
          <w:b w:val="0"/>
          <w:sz w:val="24"/>
        </w:rPr>
        <w:tab/>
      </w:r>
      <w:fldSimple w:instr="PAGEREF h770 \h">
        <w:r>
          <w:t>95</w:t>
        </w:r>
      </w:fldSimple>
    </w:p>
    <w:p>
      <w:pPr>
        <w:tabs>
          <w:tab w:pos="8220" w:val="right" w:leader="dot"/>
        </w:tabs>
        <w:spacing w:line="300" w:lineRule="auto" w:after="40"/>
        <w:ind w:firstLine="0" w:left="240"/>
        <w:jc w:val="left"/>
      </w:pPr>
      <w:r>
        <w:rPr>
          <w:rFonts w:ascii="Times New Roman" w:hAnsi="Times New Roman" w:eastAsia="方正仿宋_GBK"/>
          <w:b w:val="0"/>
          <w:sz w:val="24"/>
        </w:rPr>
        <w:t>6.2 规划应用建议</w:t>
      </w:r>
      <w:r>
        <w:rPr>
          <w:rFonts w:ascii="Times New Roman" w:hAnsi="Times New Roman" w:eastAsia="方正仿宋_GBK"/>
          <w:b w:val="0"/>
          <w:sz w:val="24"/>
        </w:rPr>
        <w:tab/>
      </w:r>
      <w:fldSimple w:instr="PAGEREF h783 \h">
        <w:r>
          <w:t>96</w:t>
        </w:r>
      </w:fldSimple>
    </w:p>
    <w:p>
      <w:pPr>
        <w:tabs>
          <w:tab w:pos="8220" w:val="right" w:leader="dot"/>
        </w:tabs>
        <w:spacing w:line="300" w:lineRule="auto" w:after="40"/>
        <w:ind w:firstLine="0" w:left="240"/>
        <w:jc w:val="left"/>
      </w:pPr>
      <w:r>
        <w:rPr>
          <w:rFonts w:ascii="Times New Roman" w:hAnsi="Times New Roman" w:eastAsia="方正仿宋_GBK"/>
          <w:b w:val="0"/>
          <w:sz w:val="24"/>
        </w:rPr>
        <w:t>6.3 后续研究方向</w:t>
      </w:r>
      <w:r>
        <w:rPr>
          <w:rFonts w:ascii="Times New Roman" w:hAnsi="Times New Roman" w:eastAsia="方正仿宋_GBK"/>
          <w:b w:val="0"/>
          <w:sz w:val="24"/>
        </w:rPr>
        <w:tab/>
      </w:r>
      <w:fldSimple w:instr="PAGEREF h793 \h">
        <w:r>
          <w:t>97</w:t>
        </w:r>
      </w:fldSimple>
    </w:p>
    <w:p>
      <w:pPr>
        <w:tabs>
          <w:tab w:pos="8220" w:val="right" w:leader="dot"/>
        </w:tabs>
        <w:spacing w:line="300" w:lineRule="auto" w:after="40"/>
        <w:ind w:firstLine="0" w:left="0"/>
        <w:jc w:val="left"/>
      </w:pPr>
      <w:r>
        <w:rPr>
          <w:rFonts w:ascii="Times New Roman" w:hAnsi="Times New Roman" w:eastAsia="方正仿宋_GBK"/>
          <w:b/>
          <w:sz w:val="24"/>
        </w:rPr>
        <w:t>参考文献</w:t>
      </w:r>
      <w:r>
        <w:rPr>
          <w:rFonts w:ascii="Times New Roman" w:hAnsi="Times New Roman" w:eastAsia="方正仿宋_GBK"/>
          <w:b/>
          <w:sz w:val="24"/>
        </w:rPr>
        <w:tab/>
      </w:r>
      <w:fldSimple w:instr="PAGEREF h798 \h">
        <w:r>
          <w:t>98</w:t>
        </w:r>
      </w:fldSimple>
    </w:p>
    <w:p>
      <w:bookmarkStart w:id="1000" w:name="h0"/>
      <w:pPr>
        <w:pStyle w:val="3"/>
        <w:keepNext/>
        <w:pageBreakBefore/>
        <w:numPr>
          <w:numId w:val="0"/>
        </w:numPr>
        <w:spacing w:line="360" w:lineRule="auto" w:before="0" w:after="120"/>
        <w:ind w:firstLine="0"/>
      </w:pPr>
      <w:bookmarkStart w:id="20" w:name="第一章-绪论"/>
      <w:r>
        <w:rPr>
          <w:rFonts w:ascii="Times New Roman" w:hAnsi="Times New Roman" w:eastAsia="方正仿宋_GBK"/>
          <w:b/>
          <w:sz w:val="36"/>
        </w:rPr>
        <w:t xml:space="preserve">第一章 绪论</w:t>
      </w:r>
      <w:bookmarkEnd w:id="20"/>
      <w:bookmarkEnd w:id="1000"/>
    </w:p>
    <w:p>
      <w:bookmarkStart w:id="1001" w:name="h1"/>
      <w:pPr>
        <w:pStyle w:val="4"/>
        <w:keepNext/>
        <w:numPr>
          <w:numId w:val="0"/>
        </w:numPr>
        <w:spacing w:line="360" w:lineRule="auto" w:before="160" w:after="120"/>
        <w:ind w:firstLine="0"/>
      </w:pPr>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60" w:lineRule="auto"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00" w:lineRule="auto" w:before="0" w:after="0"/>
        <w:ind w:firstLine="480"/>
        <w:jc w:val="both"/>
      </w:pPr>
      <w:r>
        <w:rPr>
          <w:rFonts w:ascii="Times New Roman" w:hAnsi="Times New Roman" w:eastAsia="方正仿宋_GBK"/>
          <w:b w:val="0"/>
          <w:sz w:val="24"/>
        </w:rPr>
        <w:t xml:space="preserve">在新型电力系统建设和能源绿色转型背景下，分布式光伏已成为配电网规划的重要电源条件。国家能源局公布，截至2026年3月底，全国分布式光伏装机容量达到5.54亿千瓦[1]。电源接入位置、用户用电特性和下级网络结构共同改变上级变电站的净负荷，容量规划需要同时分析正向供电、反向输送和设备退出后的供电需求。</w:t>
      </w:r>
    </w:p>
    <w:p>
      <w:pPr>
        <w:pStyle w:val="2"/>
        <w:widowControl/>
        <w:spacing w:line="300" w:lineRule="auto" w:before="0" w:after="0"/>
        <w:ind w:firstLine="480"/>
        <w:jc w:val="both"/>
      </w:pPr>
      <w:r>
        <w:rPr>
          <w:rFonts w:ascii="Times New Roman" w:hAnsi="Times New Roman" w:eastAsia="方正仿宋_GBK"/>
          <w:b w:val="0"/>
          <w:sz w:val="24"/>
        </w:rPr>
        <w:t xml:space="preserve">江苏分布式光伏发展具有较强的用户侧和区域分散特征。根据国家能源局2026年一季度光伏发电建设统计，江苏分布式光伏累计并网容量为6629.40万千瓦[2]。本项目选择邳州和市区，分别分析光伏规模相对较大的县域与负荷较密集城区的容量配置条件。片区划分以同一电压等级、同一统计范围的源荷及设备资料为基础，推荐指标与站级规划方案相互对应。</w:t>
      </w:r>
    </w:p>
    <w:p>
      <w:pPr>
        <w:pStyle w:val="2"/>
        <w:widowControl/>
        <w:spacing w:line="300" w:lineRule="auto" w:before="0" w:after="0"/>
        <w:ind w:firstLine="480"/>
        <w:jc w:val="both"/>
      </w:pPr>
      <w:r>
        <w:rPr>
          <w:rFonts w:ascii="Times New Roman" w:hAnsi="Times New Roman" w:eastAsia="方正仿宋_GBK"/>
          <w:b w:val="0"/>
          <w:sz w:val="24"/>
        </w:rPr>
        <w:t xml:space="preserve">分布式电源接入后，用户用电需求与电网供电负荷之间的对应关系发生变化。光伏出力较高时，部分用户用电由本地电源供给，110 kV主变受入功率相应减小；当本地发电超过本地用电时，主变潮流可能反向。光伏出力下降后，上级电网仍需承担剩余用电需求。由此，主变规划需要同时识别年度正向供电最大负荷和局部反向功率压力，设备容量的合理性还取决于负荷分布、下级网络联络及供电安全要求[3][4][5]。</w:t>
      </w:r>
    </w:p>
    <w:p>
      <w:pPr>
        <w:pStyle w:val="2"/>
        <w:widowControl/>
        <w:spacing w:line="300" w:lineRule="auto"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《关于新形势下配电网高质量发展的指导意见》将分布式新能源承载、多元负荷接入及源网荷储协同列为配电网发展的工作方向[6]。这些要求落实到110 kV规划，需要在既有资产条件下统筹主变建设与中压网改造，明确储能参与容量支撑的条件，避免仅凭一个年度比值安排投资。对于光伏集中发展的县域，正午反送与晚间受电可能分别决定不同设备的运行边界；对于负荷密集的市区，用户连续供电要求和局部重载站的供电安全容量可能更早成为制约。</w:t>
      </w:r>
    </w:p>
    <w:p>
      <w:pPr>
        <w:pStyle w:val="2"/>
        <w:widowControl/>
        <w:spacing w:line="300" w:lineRule="auto" w:before="0" w:after="0"/>
        <w:ind w:firstLine="480"/>
        <w:jc w:val="both"/>
      </w:pPr>
      <w:r>
        <w:rPr>
          <w:rFonts w:ascii="Times New Roman" w:hAnsi="Times New Roman" w:eastAsia="方正仿宋_GBK"/>
          <w:b w:val="0"/>
          <w:sz w:val="24"/>
        </w:rPr>
        <w:t xml:space="preserve">容载比是区域容量规划中长期使用的统计指标。DL/T 5729—2023以同电压等级公用变电设备总容量与区域年网供最大负荷之比定义容载比，并要求结合负荷发展、供电安全及技术经济条件确定合理水平[5]。该指标表达区域容量储备，具体站点容量、联络支援与光伏反送压力需要站级分析。高渗透率地区继续采用容载比进行容量评价时，应补充站级运行和措施组合分析，使区域指标与局部约束相互对应。</w:t>
      </w:r>
    </w:p>
    <w:p>
      <w:pPr>
        <w:pStyle w:val="2"/>
        <w:widowControl/>
        <w:spacing w:line="300" w:lineRule="auto" w:before="0" w:after="0"/>
        <w:ind w:firstLine="480"/>
        <w:jc w:val="both"/>
      </w:pPr>
      <w:r>
        <w:rPr>
          <w:rFonts w:ascii="Times New Roman" w:hAnsi="Times New Roman" w:eastAsia="方正仿宋_GBK"/>
          <w:b w:val="0"/>
          <w:sz w:val="24"/>
        </w:rPr>
        <w:t xml:space="preserve">分布式光伏对年网供最大负荷的影响具有时段差异。若全年正向峰值发生在光伏出力较低的晚间，新增光伏可能明显减少日间购电量，却未按相同比例降低年度供电峰值。若原峰值发生在日间，光伏接入可能使峰值转移到其他时段。光伏电量占比、装机与用户峰值之比以及主变年最大负载率，分别描述电量、装机规模和设备压力。报告因此将分布式电源装机渗透率与分布式电源电量渗透率作为区域源荷背景，将净负荷绝对峰值及峰段持续时间用于设备容量压力分析。</w:t>
      </w:r>
    </w:p>
    <w:p>
      <w:pPr>
        <w:pStyle w:val="5"/>
        <w:keepNext/>
        <w:numPr>
          <w:numId w:val="0"/>
        </w:numPr>
        <w:spacing w:line="360" w:lineRule="auto"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00" w:lineRule="auto" w:before="0" w:after="0"/>
        <w:ind w:firstLine="480"/>
        <w:jc w:val="both"/>
      </w:pPr>
      <w:r>
        <w:rPr>
          <w:rFonts w:ascii="Times New Roman" w:hAnsi="Times New Roman" w:eastAsia="方正仿宋_GBK"/>
          <w:b w:val="0"/>
          <w:sz w:val="24"/>
        </w:rPr>
        <w:t xml:space="preserve">按本项目统一单位口径，邳州2025年末分布式光伏装机容量为1559.64 MW，2025年110 kV降压负荷为956.45 MW；市区相应值为491.18 MW和1528.82 MW。两地区的电源规模、负荷任务及资产结构不同，为比较高光伏占比县域与市区容量配置提供了资料。上述光伏规模与降压负荷尚不构成标准分布式电源装机渗透率，其分母应进一步核定为用户最大用电负荷，第三章将说明单位采用条件和统计口径。</w:t>
      </w:r>
    </w:p>
    <w:p>
      <w:pPr>
        <w:pStyle w:val="2"/>
        <w:widowControl/>
        <w:spacing w:line="300" w:lineRule="auto" w:before="0" w:after="0"/>
        <w:ind w:firstLine="480"/>
        <w:jc w:val="both"/>
      </w:pPr>
      <w:r>
        <w:rPr>
          <w:rFonts w:ascii="Times New Roman" w:hAnsi="Times New Roman" w:eastAsia="方正仿宋_GBK"/>
          <w:b w:val="0"/>
          <w:sz w:val="24"/>
        </w:rPr>
        <w:t xml:space="preserve">邳州2021—2025年原表负荷存在年度回落，2023年低于2022年，2025年又高于此前各年。若只按某一年度的同比增长率安排容量，容易放大暂时波动的影响。市区负荷也有年度升降，但四年年负荷平均增长水平较低。同一容载比控制值应用于这两类地区时，可能引起不同的主变与储能组合，需要通过完整年度路径比较解释其原因。</w:t>
      </w:r>
    </w:p>
    <w:p>
      <w:pPr>
        <w:pStyle w:val="2"/>
        <w:widowControl/>
        <w:spacing w:line="300" w:lineRule="auto" w:before="0" w:after="0"/>
        <w:ind w:firstLine="480"/>
        <w:jc w:val="both"/>
      </w:pPr>
      <w:r>
        <w:rPr>
          <w:rFonts w:ascii="Times New Roman" w:hAnsi="Times New Roman" w:eastAsia="方正仿宋_GBK"/>
          <w:b w:val="0"/>
          <w:sz w:val="24"/>
        </w:rPr>
        <w:t xml:space="preserve">主变增容具有台数和规格的离散性。由20 MVA主变更换为50 MVA主变，容量净增30 MVA，采购及配套工程对应的设备规模为50 MVA。扩建主变又涉及预留位置与相应土建条件。若费用只按净增容量线性计取，可能低估替换工程投资，并改变措施间的比较结果。为使规划结论可以核算，本研究以徐州实际工程投资表标定主变系数，分别处理替换既有主变与扩建主变[7]。</w:t>
      </w:r>
    </w:p>
    <w:p>
      <w:pPr>
        <w:pStyle w:val="2"/>
        <w:widowControl/>
        <w:spacing w:line="300" w:lineRule="auto" w:before="0" w:after="0"/>
        <w:ind w:firstLine="480"/>
        <w:jc w:val="both"/>
      </w:pPr>
      <w:r>
        <w:rPr>
          <w:rFonts w:ascii="Times New Roman" w:hAnsi="Times New Roman" w:eastAsia="方正仿宋_GBK"/>
          <w:b w:val="0"/>
          <w:sz w:val="24"/>
        </w:rPr>
        <w:t xml:space="preserve">10 kV联络可以调整负荷的供电归属，缓解局部容量与负荷分布不匹配。其作用受供端可转负荷、受端剩余容量和通道条件共同限制。区县内正常运行负荷转接保持区域负荷总量，容载比分母保持一致；故障或检修状态下的转供能力则应按导则对应的供电安全条件评价[5][8]。本研究进行正常负荷配置与单台退出容量校核，工程阶段依据故障恢复要求核定实际操作条件。</w:t>
      </w:r>
    </w:p>
    <w:p>
      <w:pPr>
        <w:pStyle w:val="2"/>
        <w:widowControl/>
        <w:spacing w:line="300" w:lineRule="auto" w:before="0" w:after="0"/>
        <w:ind w:firstLine="480"/>
        <w:jc w:val="both"/>
      </w:pPr>
      <w:r>
        <w:rPr>
          <w:rFonts w:ascii="Times New Roman" w:hAnsi="Times New Roman" w:eastAsia="方正仿宋_GBK"/>
          <w:b w:val="0"/>
          <w:sz w:val="24"/>
        </w:rPr>
        <w:t xml:space="preserve">储能在短时尖峰场景下可以提供容量支撑，但其额定功率和额定能量必须同时满足需求。100 kW/215 kWh储能柜在持续时间超过2.15 h后，受能量约束的持续支撑功率低于额定功率。将储能额定MW直接抵扣所有站级峰值，会高估其能力；只按MWh计价而忽略持续时间，则无法比较不同峰段条件下的工程费用。峰值持续时间因此是本报告推荐矩阵的必要参数[9][10]。</w:t>
      </w:r>
    </w:p>
    <w:p>
      <w:pPr>
        <w:pStyle w:val="5"/>
        <w:keepNext/>
        <w:numPr>
          <w:numId w:val="0"/>
        </w:numPr>
        <w:spacing w:line="360" w:lineRule="auto"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00" w:lineRule="auto"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全寿命费用。这样形成的推荐值具有对应的建设措施及约束条件，便于说明采用某个比值需要付出多少投资、获得何种容量配置，以及哪些条件发生变化后需要重新比选。</w:t>
      </w:r>
    </w:p>
    <w:p>
      <w:pPr>
        <w:pStyle w:val="2"/>
        <w:widowControl/>
        <w:spacing w:line="300" w:lineRule="auto" w:before="0" w:after="0"/>
        <w:ind w:firstLine="480"/>
        <w:jc w:val="both"/>
      </w:pPr>
      <w:r>
        <w:rPr>
          <w:rFonts w:ascii="Times New Roman" w:hAnsi="Times New Roman" w:eastAsia="方正仿宋_GBK"/>
          <w:b w:val="0"/>
          <w:sz w:val="24"/>
        </w:rPr>
        <w:t xml:space="preserve">弹性方案允许在既定研究边界内放宽一般容载比控制值。容量提高后，局部供电安全约束所需的储能可能减少；但主变购置、配套工程及后续运维费用也会增加。两种费用变化能否相抵，取决于主变规格、储能价格、峰段持续时间和负荷空间分布。研究以同措施集合、同价格和同初态比较方案，通过费用结果评价两类方案的经济性。</w:t>
      </w:r>
    </w:p>
    <w:p>
      <w:pPr>
        <w:pStyle w:val="2"/>
        <w:widowControl/>
        <w:spacing w:line="300" w:lineRule="auto" w:before="0" w:after="0"/>
        <w:ind w:firstLine="480"/>
        <w:jc w:val="both"/>
      </w:pPr>
      <w:r>
        <w:rPr>
          <w:rFonts w:ascii="Times New Roman" w:hAnsi="Times New Roman" w:eastAsia="方正仿宋_GBK"/>
          <w:b w:val="0"/>
          <w:sz w:val="24"/>
        </w:rPr>
        <w:t xml:space="preserve">对实际规划而言，年度容载比的变化还应区分容量变化与负荷变化。既有主变保持不变而年最大负荷下降，容载比会升高；这并不意味着当年新增了容量。反之，负荷增长快于容量增长时，新增主变后容载比仍可能降低。逐年方案需同时列出主变在役容量、采购容量和年度负荷，才能把指标变化与建设行为对应起来。</w:t>
      </w:r>
    </w:p>
    <w:p>
      <w:pPr>
        <w:pStyle w:val="2"/>
        <w:widowControl/>
        <w:spacing w:line="300" w:lineRule="auto" w:before="0" w:after="0"/>
        <w:ind w:firstLine="480"/>
        <w:jc w:val="both"/>
      </w:pPr>
      <w:r>
        <w:rPr>
          <w:rFonts w:ascii="Times New Roman" w:hAnsi="Times New Roman" w:eastAsia="方正仿宋_GBK"/>
          <w:b w:val="0"/>
          <w:sz w:val="24"/>
        </w:rPr>
        <w:t xml:space="preserve">研究成果拟用于区域规划前期的技术经济比选。其直接价值是提供相应配置路径、价格参数与条件推荐矩阵，并明确推荐值随相关条件变化的范围。采用相似片区模板时，仍需核对实际容量和负荷分布。涉及具体接线、故障恢复时间、电压与保护配合的工程结论，应在接入系统或专项规划阶段另行校核。</w:t>
      </w:r>
    </w:p>
    <w:p>
      <w:bookmarkStart w:id="1020" w:name="h20"/>
      <w:pPr>
        <w:pStyle w:val="4"/>
        <w:keepNext/>
        <w:numPr>
          <w:numId w:val="0"/>
        </w:numPr>
        <w:spacing w:line="360" w:lineRule="auto" w:before="160" w:after="120"/>
        <w:ind w:firstLine="0"/>
      </w:pPr>
      <w:bookmarkStart w:id="25" w:name="主要概念与规范依据"/>
      <w:r>
        <w:rPr>
          <w:rFonts w:ascii="Times New Roman" w:hAnsi="Times New Roman" w:eastAsia="方正仿宋_GBK"/>
          <w:b/>
          <w:sz w:val="32"/>
        </w:rPr>
        <w:t xml:space="preserve">1.2 主要概念与规范依据</w:t>
      </w:r>
      <w:bookmarkEnd w:id="25"/>
      <w:bookmarkEnd w:id="1020"/>
    </w:p>
    <w:p>
      <w:pPr>
        <w:pStyle w:val="5"/>
        <w:keepNext/>
        <w:numPr>
          <w:numId w:val="0"/>
        </w:numPr>
        <w:spacing w:line="360" w:lineRule="auto"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00" w:lineRule="auto"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00" w:lineRule="auto"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[8]。该概念用于解释相同区域容载比下不同站群可能具有不同的局部供电能力。</w:t>
      </w:r>
    </w:p>
    <w:p>
      <w:pPr>
        <w:pStyle w:val="2"/>
        <w:widowControl/>
        <w:spacing w:line="300" w:lineRule="auto"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[11]。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5"/>
        <w:keepNext/>
        <w:numPr>
          <w:numId w:val="0"/>
        </w:numPr>
        <w:spacing w:line="360" w:lineRule="auto"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00" w:lineRule="auto" w:before="0" w:after="0"/>
        <w:ind w:firstLine="480"/>
        <w:jc w:val="both"/>
      </w:pPr>
      <w:r>
        <w:rPr>
          <w:rFonts w:ascii="Times New Roman" w:hAnsi="Times New Roman" w:eastAsia="方正仿宋_GBK"/>
          <w:b w:val="0"/>
          <w:sz w:val="24"/>
        </w:rPr>
        <w:t xml:space="preserve">导则按负荷发展阶段给出容载比推荐范围，具体选取还应结合供电安全、网络转供和技术经济分析[5]。本研究以容载比2.00为两类方案共同仿真起点，刚性方案后续各年按2.00上限控制，弹性方案在满足相同站级技术条件下开展高于2.00的容量配置比选，研究上限为2.60。</w:t>
      </w:r>
    </w:p>
    <w:p>
      <w:pPr>
        <w:pStyle w:val="2"/>
        <w:widowControl/>
        <w:spacing w:line="300" w:lineRule="auto" w:before="0" w:after="0"/>
        <w:ind w:firstLine="480"/>
        <w:jc w:val="both"/>
      </w:pPr>
      <w:r>
        <w:rPr>
          <w:rFonts w:ascii="Times New Roman" w:hAnsi="Times New Roman" w:eastAsia="方正仿宋_GBK"/>
          <w:b w:val="0"/>
          <w:sz w:val="24"/>
        </w:rPr>
        <w:t xml:space="preserve">两类方案使用相同负荷、设备规格、储能和联络候选措施以及工程价格。比较结果来自不同容载比条件下的设备与负荷配置。弹性规划建议属于本项目技术经济研究成果，工程应用结合现行标准和审定规划落实。</w:t>
      </w:r>
    </w:p>
    <w:p>
      <w:pPr>
        <w:pStyle w:val="5"/>
        <w:keepNext/>
        <w:numPr>
          <w:numId w:val="0"/>
        </w:numPr>
        <w:spacing w:line="360" w:lineRule="auto" w:before="160" w:after="120"/>
        <w:ind w:firstLine="0"/>
      </w:pPr>
      <w:bookmarkStart w:id="28" w:name="全寿命费用与方案评价"/>
      <w:r>
        <w:rPr>
          <w:rFonts w:ascii="Times New Roman" w:hAnsi="Times New Roman" w:eastAsia="方正仿宋_GBK"/>
          <w:b/>
          <w:sz w:val="26"/>
        </w:rPr>
        <w:t xml:space="preserve">1.2.3 全寿命费用与方案评价</w:t>
      </w:r>
      <w:bookmarkEnd w:id="28"/>
    </w:p>
    <w:p>
      <w:pPr>
        <w:pStyle w:val="FirstParagraph"/>
        <w:widowControl/>
        <w:spacing w:line="300" w:lineRule="auto" w:before="0" w:after="0"/>
        <w:ind w:firstLine="480"/>
        <w:jc w:val="both"/>
      </w:pPr>
      <w:r>
        <w:rPr>
          <w:rFonts w:ascii="Times New Roman" w:hAnsi="Times New Roman" w:eastAsia="方正仿宋_GBK"/>
          <w:b w:val="0"/>
          <w:sz w:val="24"/>
        </w:rPr>
        <w:t xml:space="preserve">全寿命费用将措施初始投资、固定运维和设备更新费用折算到同一评价时点，以比较不同寿命和投运年份的建设方案[10,12,13]。主变增容和主变扩建形成长期在役容量，储能承担相应峰段支撑，10 kV联络改善站间负荷配置，各措施按实际购置事件计算费用。</w:t>
      </w:r>
    </w:p>
    <w:p>
      <w:pPr>
        <w:pStyle w:val="2"/>
        <w:widowControl/>
        <w:spacing w:line="300" w:lineRule="auto"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[14][15][16][17]。本项目采用全寿命费用最小作为寻优目标，供电安全及设备容量作为约束，并结合片区源荷条件形成推荐范围。工程实施阶段可补充施工条件、土地资源及运行方式的综合评价。</w:t>
      </w:r>
    </w:p>
    <w:p>
      <w:pPr>
        <w:pStyle w:val="5"/>
        <w:keepNext/>
        <w:numPr>
          <w:numId w:val="0"/>
        </w:numPr>
        <w:spacing w:line="360" w:lineRule="auto"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00" w:lineRule="auto"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2041—2025《分布式电源接入电力系统承载力评估导则》组织分布式电源容量校核[5][11]。GB/T 45418—2025《配电网通用技术导则》作为下级配电网技术分析的补充依据[18]。分布式电源装机渗透率和电量渗透率采用《配电网规划设计技术导则（修订稿，2025年4月）》的指标定义[19]，用于描述片区源荷条件。</w:t>
      </w:r>
      <w:r>
        <w:rPr>
          <w:rFonts w:ascii="Times New Roman" w:hAnsi="Times New Roman" w:eastAsia="方正仿宋_GBK"/>
          <w:b w:val="0"/>
          <w:sz w:val="24"/>
        </w:rPr>
        <w:t xml:space="preserve"> </w:t>
      </w:r>
      <w:r>
        <w:rPr>
          <w:rFonts w:ascii="Times New Roman" w:hAnsi="Times New Roman" w:eastAsia="方正仿宋_GBK"/>
          <w:b w:val="0"/>
          <w:sz w:val="24"/>
        </w:rPr>
        <w:t xml:space="preserve">## 1.3 研究范围与对象</w:t>
      </w:r>
    </w:p>
    <w:p>
      <w:pPr>
        <w:pStyle w:val="5"/>
        <w:keepNext/>
        <w:numPr>
          <w:numId w:val="0"/>
        </w:numPr>
        <w:spacing w:line="360" w:lineRule="auto" w:before="160" w:after="120"/>
        <w:ind w:firstLine="0"/>
      </w:pPr>
      <w:bookmarkStart w:id="30" w:name="电压等级与统计范围"/>
      <w:r>
        <w:rPr>
          <w:rFonts w:ascii="Times New Roman" w:hAnsi="Times New Roman" w:eastAsia="方正仿宋_GBK"/>
          <w:b/>
          <w:sz w:val="26"/>
        </w:rPr>
        <w:t xml:space="preserve">1.3.1 电压等级与统计范围</w:t>
      </w:r>
      <w:bookmarkEnd w:id="30"/>
    </w:p>
    <w:p>
      <w:pPr>
        <w:pStyle w:val="FirstParagraph"/>
        <w:widowControl/>
        <w:spacing w:line="300" w:lineRule="auto"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5729—2023第6.3.3条，以行政区县作为最小统计分析范围[5]。本研究优化对象为邳州和市区。研究统计和优化均按110 kV范围开展。</w:t>
      </w:r>
    </w:p>
    <w:p>
      <w:pPr>
        <w:pStyle w:val="2"/>
        <w:widowControl/>
        <w:spacing w:line="300" w:lineRule="auto" w:before="0" w:after="0"/>
        <w:ind w:firstLine="480"/>
        <w:jc w:val="both"/>
      </w:pPr>
      <w:r>
        <w:rPr>
          <w:rFonts w:ascii="Times New Roman" w:hAnsi="Times New Roman" w:eastAsia="方正仿宋_GBK"/>
          <w:b w:val="0"/>
          <w:sz w:val="24"/>
        </w:rPr>
        <w:t xml:space="preserve">邳州站级模型含20座110 kV变电站，市区含29座已映射或补充的仿真站。年网供最大负荷采用区县同电压等级年度降压负荷估计，站级空间分布由样本时序标定。区域年度负荷用于容载比计算，各站最大净负荷用于局部容量校核。</w:t>
      </w:r>
    </w:p>
    <w:p>
      <w:pPr>
        <w:pStyle w:val="2"/>
        <w:widowControl/>
        <w:spacing w:line="300" w:lineRule="auto" w:before="0" w:after="0"/>
        <w:ind w:firstLine="480"/>
        <w:jc w:val="both"/>
      </w:pPr>
      <w:r>
        <w:rPr>
          <w:rFonts w:ascii="Times New Roman" w:hAnsi="Times New Roman" w:eastAsia="方正仿宋_GBK"/>
          <w:b w:val="0"/>
          <w:sz w:val="24"/>
        </w:rPr>
        <w:t xml:space="preserve">供电区域分类按导则规定的负荷密度等条件确定[5]。邳州保留样本类别，市区统一按A类进行规划仿真；通用外推设置A类与B/C类站群，分别采用相应设备规格和转供能力范围。</w:t>
      </w:r>
    </w:p>
    <w:p>
      <w:pPr>
        <w:pStyle w:val="5"/>
        <w:keepNext/>
        <w:numPr>
          <w:numId w:val="0"/>
        </w:numPr>
        <w:spacing w:line="360" w:lineRule="auto" w:before="160" w:after="120"/>
        <w:ind w:firstLine="0"/>
      </w:pPr>
      <w:bookmarkStart w:id="31" w:name="年份与评价期"/>
      <w:r>
        <w:rPr>
          <w:rFonts w:ascii="Times New Roman" w:hAnsi="Times New Roman" w:eastAsia="方正仿宋_GBK"/>
          <w:b/>
          <w:sz w:val="26"/>
        </w:rPr>
        <w:t xml:space="preserve">1.3.2 年份与评价期</w:t>
      </w:r>
      <w:bookmarkEnd w:id="31"/>
    </w:p>
    <w:p>
      <w:pPr>
        <w:pStyle w:val="FirstParagraph"/>
        <w:widowControl/>
        <w:spacing w:line="300" w:lineRule="auto" w:before="0" w:after="0"/>
        <w:ind w:firstLine="480"/>
        <w:jc w:val="both"/>
      </w:pPr>
      <w:r>
        <w:rPr>
          <w:rFonts w:ascii="Times New Roman" w:hAnsi="Times New Roman" w:eastAsia="方正仿宋_GBK"/>
          <w:b w:val="0"/>
          <w:sz w:val="24"/>
        </w:rPr>
        <w:t xml:space="preserve">2021—2025年资料用于分析负荷发展、光伏装机和设备运行特征。规划仿真采用共同的容载比2.00起点，以历史资料形成的年负荷平均增长率构造后续四年负荷。现状统计与仿真规划分别列示，年度建设规模由满足约束的优化结果确定。</w:t>
      </w:r>
    </w:p>
    <w:p>
      <w:pPr>
        <w:pStyle w:val="2"/>
        <w:widowControl/>
        <w:spacing w:line="300" w:lineRule="auto" w:before="0" w:after="0"/>
        <w:ind w:firstLine="480"/>
        <w:jc w:val="both"/>
      </w:pPr>
      <w:r>
        <w:rPr>
          <w:rFonts w:ascii="Times New Roman" w:hAnsi="Times New Roman" w:eastAsia="方正仿宋_GBK"/>
          <w:b w:val="0"/>
          <w:sz w:val="24"/>
        </w:rPr>
        <w:t xml:space="preserve">基期主变按离散规格配置，基期年网供最大负荷取主变总容量的二分之一。站级负荷沿用实际样本的空间分布，再按年度区域负荷标定。邳州和市区的刚性、弹性方案分别共用本地区的起点、负荷和价格。</w:t>
      </w:r>
    </w:p>
    <w:p>
      <w:pPr>
        <w:pStyle w:val="2"/>
        <w:widowControl/>
        <w:spacing w:line="300" w:lineRule="auto" w:before="0" w:after="0"/>
        <w:ind w:firstLine="480"/>
        <w:jc w:val="both"/>
      </w:pPr>
      <w:r>
        <w:rPr>
          <w:rFonts w:ascii="Times New Roman" w:hAnsi="Times New Roman" w:eastAsia="方正仿宋_GBK"/>
          <w:b w:val="0"/>
          <w:sz w:val="24"/>
        </w:rPr>
        <w:t xml:space="preserve">经济评价以2021年末为折现基准，评价截止于2041年。仿真第1—4年在计算文件中分别标记为2022—2025年，用于统一投运时间和现金流折现。主变、线路和储能的寿命、运维率采用第四章列明的研究参数[10,12,13]。</w:t>
      </w:r>
    </w:p>
    <w:p>
      <w:pPr>
        <w:pStyle w:val="5"/>
        <w:keepNext/>
        <w:numPr>
          <w:numId w:val="0"/>
        </w:numPr>
        <w:spacing w:line="360" w:lineRule="auto" w:before="160" w:after="120"/>
        <w:ind w:firstLine="0"/>
      </w:pPr>
      <w:bookmarkStart w:id="32" w:name="技术分析与费用边界"/>
      <w:r>
        <w:rPr>
          <w:rFonts w:ascii="Times New Roman" w:hAnsi="Times New Roman" w:eastAsia="方正仿宋_GBK"/>
          <w:b/>
          <w:sz w:val="26"/>
        </w:rPr>
        <w:t xml:space="preserve">1.3.3 技术分析与费用边界</w:t>
      </w:r>
      <w:bookmarkEnd w:id="32"/>
    </w:p>
    <w:p>
      <w:pPr>
        <w:pStyle w:val="FirstParagraph"/>
        <w:widowControl/>
        <w:spacing w:line="300" w:lineRule="auto" w:before="0" w:after="0"/>
        <w:ind w:firstLine="480"/>
        <w:jc w:val="both"/>
      </w:pPr>
      <w:r>
        <w:rPr>
          <w:rFonts w:ascii="Times New Roman" w:hAnsi="Times New Roman" w:eastAsia="方正仿宋_GBK"/>
          <w:b w:val="0"/>
          <w:sz w:val="24"/>
        </w:rPr>
        <w:t xml:space="preserve">技术模型包括正向供电、反向功率压力、单台主变退出后的静态供电安全容量以及正常负荷转接约束。储能按峰段持续时间折算有效支撑功率，联络通道按送受两端成对计量。模型采用峰段静态支撑进行规划比选。</w:t>
      </w:r>
    </w:p>
    <w:p>
      <w:pPr>
        <w:pStyle w:val="2"/>
        <w:widowControl/>
        <w:spacing w:line="300" w:lineRule="auto"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上述科目可能影响工程经济排序，报告在费用解释和应用条件中说明其对应影响。</w:t>
      </w:r>
    </w:p>
    <w:p>
      <w:pPr>
        <w:pStyle w:val="2"/>
        <w:widowControl/>
        <w:spacing w:line="300" w:lineRule="auto" w:before="0" w:after="0"/>
        <w:ind w:firstLine="480"/>
        <w:jc w:val="both"/>
      </w:pPr>
      <w:r>
        <w:rPr>
          <w:rFonts w:ascii="Times New Roman" w:hAnsi="Times New Roman" w:eastAsia="方正仿宋_GBK"/>
          <w:b w:val="0"/>
          <w:sz w:val="24"/>
        </w:rPr>
        <w:t xml:space="preserve">两类方案均可选主变替换、扩建主变、配置储能、利用既有仿真通道转接负荷及新建联络线。市区初始站间转供率假定为50%；邳州采用六馈线样本测算的28.29%，在区县内部统一应用。新建10 kV联络线提供新增转供能力。弹性各年超过2.00及市区指标低于邳州，为本研究方案比较的显式规划条件；费用排序由寻优结果产生。第五章将区分规划条件、模型结果与外推建议。</w:t>
      </w:r>
    </w:p>
    <w:p>
      <w:bookmarkStart w:id="1045" w:name="h45"/>
      <w:pPr>
        <w:pStyle w:val="4"/>
        <w:keepNext/>
        <w:numPr>
          <w:numId w:val="0"/>
        </w:numPr>
        <w:spacing w:line="360" w:lineRule="auto" w:before="160" w:after="120"/>
        <w:ind w:firstLine="0"/>
      </w:pPr>
      <w:bookmarkStart w:id="33" w:name="研究目标与内容"/>
      <w:r>
        <w:rPr>
          <w:rFonts w:ascii="Times New Roman" w:hAnsi="Times New Roman" w:eastAsia="方正仿宋_GBK"/>
          <w:b/>
          <w:sz w:val="32"/>
        </w:rPr>
        <w:t xml:space="preserve">1.4 研究目标与内容</w:t>
      </w:r>
      <w:bookmarkEnd w:id="33"/>
      <w:bookmarkEnd w:id="1045"/>
    </w:p>
    <w:p>
      <w:pPr>
        <w:pStyle w:val="5"/>
        <w:keepNext/>
        <w:numPr>
          <w:numId w:val="0"/>
        </w:numPr>
        <w:spacing w:line="360" w:lineRule="auto" w:before="160" w:after="120"/>
        <w:ind w:firstLine="0"/>
      </w:pPr>
      <w:bookmarkStart w:id="34" w:name="研究目标"/>
      <w:r>
        <w:rPr>
          <w:rFonts w:ascii="Times New Roman" w:hAnsi="Times New Roman" w:eastAsia="方正仿宋_GBK"/>
          <w:b/>
          <w:sz w:val="26"/>
        </w:rPr>
        <w:t xml:space="preserve">1.4.1 研究目标</w:t>
      </w:r>
      <w:bookmarkEnd w:id="34"/>
    </w:p>
    <w:p>
      <w:pPr>
        <w:pStyle w:val="FirstParagraph"/>
        <w:widowControl/>
        <w:spacing w:line="300" w:lineRule="auto"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00" w:lineRule="auto"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避免仅凭单次投资比值决定规划方案。</w:t>
      </w:r>
    </w:p>
    <w:p>
      <w:pPr>
        <w:pStyle w:val="2"/>
        <w:widowControl/>
        <w:spacing w:line="300" w:lineRule="auto" w:before="0" w:after="0"/>
        <w:ind w:firstLine="480"/>
        <w:jc w:val="both"/>
      </w:pPr>
      <w:r>
        <w:rPr>
          <w:rFonts w:ascii="Times New Roman" w:hAnsi="Times New Roman" w:eastAsia="方正仿宋_GBK"/>
          <w:b w:val="0"/>
          <w:sz w:val="24"/>
        </w:rPr>
        <w:t xml:space="preserve">在此基础上，形成后续四年同初态、同措施集合的刚性和弹性路径，给出每年主变容量、采购措施、储能配置、正常负荷转接及费用。推荐容载比由这些实际决策计算得到，并满足正反向供电需求与供电安全要求。</w:t>
      </w:r>
    </w:p>
    <w:p>
      <w:pPr>
        <w:pStyle w:val="2"/>
        <w:widowControl/>
        <w:spacing w:line="300" w:lineRule="auto" w:before="0" w:after="0"/>
        <w:ind w:firstLine="480"/>
        <w:jc w:val="both"/>
      </w:pPr>
      <w:r>
        <w:rPr>
          <w:rFonts w:ascii="Times New Roman" w:hAnsi="Times New Roman" w:eastAsia="方正仿宋_GBK"/>
          <w:b w:val="0"/>
          <w:sz w:val="24"/>
        </w:rPr>
        <w:t xml:space="preserve">最后，围绕主变与线路、主变与储能两个成本比例开展敏感性分析，结合源荷水平、峰段持续时间和年负荷平均增长率构造条件矩阵。通用矩阵按参数分档给出容载比推荐区间，具体工程措施在方案结果和配套工作簿中列示。</w:t>
      </w:r>
    </w:p>
    <w:p>
      <w:pPr>
        <w:pStyle w:val="5"/>
        <w:keepNext/>
        <w:numPr>
          <w:numId w:val="0"/>
        </w:numPr>
        <w:spacing w:line="360" w:lineRule="auto" w:before="160" w:after="120"/>
        <w:ind w:firstLine="0"/>
      </w:pPr>
      <w:bookmarkStart w:id="35" w:name="主要研究内容"/>
      <w:r>
        <w:rPr>
          <w:rFonts w:ascii="Times New Roman" w:hAnsi="Times New Roman" w:eastAsia="方正仿宋_GBK"/>
          <w:b/>
          <w:sz w:val="26"/>
        </w:rPr>
        <w:t xml:space="preserve">1.4.2 主要研究内容</w:t>
      </w:r>
      <w:bookmarkEnd w:id="35"/>
    </w:p>
    <w:p>
      <w:pPr>
        <w:pStyle w:val="FirstParagraph"/>
        <w:widowControl/>
        <w:spacing w:line="300" w:lineRule="auto"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kV统计范围；结合设备台账及站级时序分析正反向净负荷、绝对峰值、峰段持续时间和主变负载率。分布式光伏月度装机与典型出力曲线用于估计发电量，并分别核定用户负荷与电量分母。</w:t>
      </w:r>
    </w:p>
    <w:p>
      <w:pPr>
        <w:pStyle w:val="2"/>
        <w:widowControl/>
        <w:spacing w:line="300" w:lineRule="auto" w:before="0" w:after="0"/>
        <w:ind w:firstLine="480"/>
        <w:jc w:val="both"/>
      </w:pPr>
      <w:r>
        <w:rPr>
          <w:rFonts w:ascii="Times New Roman" w:hAnsi="Times New Roman" w:eastAsia="方正仿宋_GBK"/>
          <w:b w:val="0"/>
          <w:sz w:val="24"/>
        </w:rPr>
        <w:t xml:space="preserve">工程费用研究以徐州主变扩建和替换工程为主要价格依据，采用采购案例标定储能，采用公开规划造价形成线路参考情景。研究明确案例规模、包含工程内容与价格适用范围，给出成本系数的计算式。成本比例按可比的有效MW口径构造，并同时说明各措施在功能上的差异。</w:t>
      </w:r>
    </w:p>
    <w:p>
      <w:pPr>
        <w:pStyle w:val="2"/>
        <w:widowControl/>
        <w:spacing w:line="300" w:lineRule="auto" w:before="0" w:after="0"/>
        <w:ind w:firstLine="480"/>
        <w:jc w:val="both"/>
      </w:pPr>
      <w:r>
        <w:rPr>
          <w:rFonts w:ascii="Times New Roman" w:hAnsi="Times New Roman" w:eastAsia="方正仿宋_GBK"/>
          <w:b w:val="0"/>
          <w:sz w:val="24"/>
        </w:rPr>
        <w:t xml:space="preserve">逐年规划采用混合整数线性优化。主变离散规格、扩建主变及联络线投运状态、储能柜数为整数决策；站间正常转接功率为连续决策。主目标为新增措施全寿命费用现值最小；同费用条件下依次处理弹性容载比偏好和转接量，以使年度结果可重复解释。</w:t>
      </w:r>
    </w:p>
    <w:p>
      <w:pPr>
        <w:pStyle w:val="2"/>
        <w:widowControl/>
        <w:spacing w:line="300" w:lineRule="auto"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方案分析结合区域年度容量与逐站建设安排，说明主变、储能和联络对容量配置及全寿命费用的影响。</w:t>
      </w:r>
    </w:p>
    <w:p>
      <w:pPr>
        <w:pStyle w:val="2"/>
        <w:widowControl/>
        <w:spacing w:line="300" w:lineRule="auto" w:before="0" w:after="0"/>
        <w:ind w:firstLine="480"/>
        <w:jc w:val="both"/>
      </w:pPr>
      <w:r>
        <w:rPr>
          <w:rFonts w:ascii="Times New Roman" w:hAnsi="Times New Roman" w:eastAsia="方正仿宋_GBK"/>
          <w:b w:val="0"/>
          <w:sz w:val="24"/>
        </w:rPr>
        <w:t xml:space="preserve">参数研究在两类一般站群中拓展装机渗透率、年负荷平均增长率、峰段持续时间及两个成本比，求解12600组目标年静态方案，按参数分档形成通用容载比推荐区间。</w:t>
      </w:r>
    </w:p>
    <w:p>
      <w:bookmarkStart w:id="1057" w:name="h57"/>
      <w:pPr>
        <w:pStyle w:val="4"/>
        <w:keepNext/>
        <w:numPr>
          <w:numId w:val="0"/>
        </w:numPr>
        <w:spacing w:line="360" w:lineRule="auto" w:before="160" w:after="120"/>
        <w:ind w:firstLine="0"/>
      </w:pPr>
      <w:bookmarkStart w:id="36" w:name="研究方法与技术路线"/>
      <w:r>
        <w:rPr>
          <w:rFonts w:ascii="Times New Roman" w:hAnsi="Times New Roman" w:eastAsia="方正仿宋_GBK"/>
          <w:b/>
          <w:sz w:val="32"/>
        </w:rPr>
        <w:t xml:space="preserve">1.5 研究方法与技术路线</w:t>
      </w:r>
      <w:bookmarkEnd w:id="36"/>
      <w:bookmarkEnd w:id="1057"/>
    </w:p>
    <w:p>
      <w:pPr>
        <w:pStyle w:val="5"/>
        <w:keepNext/>
        <w:numPr>
          <w:numId w:val="0"/>
        </w:numPr>
        <w:spacing w:line="360" w:lineRule="auto" w:before="160" w:after="120"/>
        <w:ind w:firstLine="0"/>
      </w:pPr>
      <w:bookmarkStart w:id="37" w:name="原始资料核对与指标计算"/>
      <w:r>
        <w:rPr>
          <w:rFonts w:ascii="Times New Roman" w:hAnsi="Times New Roman" w:eastAsia="方正仿宋_GBK"/>
          <w:b/>
          <w:sz w:val="26"/>
        </w:rPr>
        <w:t xml:space="preserve">1.5.1 原始资料核对与指标计算</w:t>
      </w:r>
      <w:bookmarkEnd w:id="37"/>
    </w:p>
    <w:p>
      <w:pPr>
        <w:pStyle w:val="FirstParagraph"/>
        <w:widowControl/>
        <w:spacing w:line="300" w:lineRule="auto" w:before="0" w:after="0"/>
        <w:ind w:firstLine="480"/>
        <w:jc w:val="both"/>
      </w:pPr>
      <w:r>
        <w:rPr>
          <w:rFonts w:ascii="Times New Roman" w:hAnsi="Times New Roman" w:eastAsia="方正仿宋_GBK"/>
          <w:b w:val="0"/>
          <w:sz w:val="24"/>
        </w:rPr>
        <w:t xml:space="preserve">对年度容量、负荷及月度光伏装机，先统一万千伏安、万千瓦与MVA、MW的换算，再核对电压等级和区县范围。对逐时负荷，将受电记为正、反送记为负，保留缺失小时和异常表头的处理记录。资料处理的目的在于明确每个计算量由哪些原始列形成，避免经过多次加工后失去统计含义。</w:t>
      </w:r>
    </w:p>
    <w:p>
      <w:pPr>
        <w:pStyle w:val="2"/>
        <w:widowControl/>
        <w:spacing w:line="300" w:lineRule="auto" w:before="0" w:after="0"/>
        <w:ind w:firstLine="480"/>
        <w:jc w:val="both"/>
      </w:pPr>
      <w:r>
        <w:rPr>
          <w:rFonts w:ascii="Times New Roman" w:hAnsi="Times New Roman" w:eastAsia="方正仿宋_GBK"/>
          <w:b w:val="0"/>
          <w:sz w:val="24"/>
        </w:rPr>
        <w:t xml:space="preserve">指标分为区域统计量和站级运行量。区域容载比、分布式电源装机渗透率与分布式电源电量渗透率分别使用自己的分母；站级最大负载率及净负荷最大绝对值反映设备压力，95%峰值持续时间反映尖峰能量需求。年度同比增长率采用四个年度的1∶2∶3∶4权重平滑，权重用于提高近年信息的影响程度，属于本研究方法。</w:t>
      </w:r>
    </w:p>
    <w:p>
      <w:pPr>
        <w:pStyle w:val="5"/>
        <w:keepNext/>
        <w:numPr>
          <w:numId w:val="0"/>
        </w:numPr>
        <w:spacing w:line="360" w:lineRule="auto" w:before="160" w:after="120"/>
        <w:ind w:firstLine="0"/>
      </w:pPr>
      <w:bookmarkStart w:id="38" w:name="工程单位费用计算与联合寻优"/>
      <w:r>
        <w:rPr>
          <w:rFonts w:ascii="Times New Roman" w:hAnsi="Times New Roman" w:eastAsia="方正仿宋_GBK"/>
          <w:b/>
          <w:sz w:val="26"/>
        </w:rPr>
        <w:t xml:space="preserve">1.5.2 工程单位费用计算与联合寻优</w:t>
      </w:r>
      <w:bookmarkEnd w:id="38"/>
    </w:p>
    <w:p>
      <w:pPr>
        <w:pStyle w:val="FirstParagraph"/>
        <w:widowControl/>
        <w:spacing w:line="300" w:lineRule="auto"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00" w:lineRule="auto" w:before="0" w:after="0"/>
        <w:ind w:firstLine="480"/>
        <w:jc w:val="both"/>
      </w:pPr>
      <w:r>
        <w:rPr>
          <w:rFonts w:ascii="Times New Roman" w:hAnsi="Times New Roman" w:eastAsia="方正仿宋_GBK"/>
          <w:b w:val="0"/>
          <w:sz w:val="24"/>
        </w:rPr>
        <w:t xml:space="preserve">在联合寻优中，年度容载比约束与站级技术约束同时进入模型。区县内部转接改变站级负荷分配而保持区域总任务守恒；反向压力按电源原归属保守处理，负荷转出后的潜在反送压力同步校核。模型同时求解邳州和市区各自的刚性、弹性规划方案，保留本研究设定的地区间和方案间指标条件。</w:t>
      </w:r>
    </w:p>
    <w:p>
      <w:pPr>
        <w:pStyle w:val="2"/>
        <w:widowControl/>
        <w:spacing w:line="300" w:lineRule="auto" w:before="0" w:after="0"/>
        <w:ind w:firstLine="480"/>
        <w:jc w:val="both"/>
      </w:pPr>
      <w:r>
        <w:rPr>
          <w:rFonts w:ascii="Times New Roman" w:hAnsi="Times New Roman" w:eastAsia="方正仿宋_GBK"/>
          <w:b w:val="0"/>
          <w:sz w:val="24"/>
        </w:rPr>
        <w:t xml:space="preserve">求解过程采用分阶段目标。先确定费用最小目标的计算上界，再在允许的数值容差内选择弹性容量配置，最后固定整数设备布局，减少维持该布局所需的正常转接量。由此确定各年设备规模和负荷转接安排。</w:t>
      </w:r>
    </w:p>
    <w:p>
      <w:pPr>
        <w:pStyle w:val="5"/>
        <w:keepNext/>
        <w:numPr>
          <w:numId w:val="0"/>
        </w:numPr>
        <w:spacing w:line="360" w:lineRule="auto" w:before="160" w:after="120"/>
        <w:ind w:firstLine="0"/>
      </w:pPr>
      <w:bookmarkStart w:id="39" w:name="条件矩阵与方案核查"/>
      <w:r>
        <w:rPr>
          <w:rFonts w:ascii="Times New Roman" w:hAnsi="Times New Roman" w:eastAsia="方正仿宋_GBK"/>
          <w:b/>
          <w:sz w:val="26"/>
        </w:rPr>
        <w:t xml:space="preserve">1.5.3 条件矩阵与方案核查</w:t>
      </w:r>
      <w:bookmarkEnd w:id="39"/>
    </w:p>
    <w:p>
      <w:pPr>
        <w:pStyle w:val="FirstParagraph"/>
        <w:widowControl/>
        <w:spacing w:line="300" w:lineRule="auto" w:before="0" w:after="0"/>
        <w:ind w:firstLine="480"/>
        <w:jc w:val="both"/>
      </w:pPr>
      <w:r>
        <w:rPr>
          <w:rFonts w:ascii="Times New Roman" w:hAnsi="Times New Roman" w:eastAsia="方正仿宋_GBK"/>
          <w:b w:val="0"/>
          <w:sz w:val="24"/>
        </w:rPr>
        <w:t xml:space="preserve">推荐矩阵依据案例中的参数与配置关系建立一般站群，再进行目标年参数外推。源荷水平和分布式电源电量渗透率用于说明片区能源条件，峰值持续时间和增长率用于组织容量需求，两个成本比例用于改变措施经济关系。每个推荐区间由对应参数分档下的可行计算结果归纳，配套结果保存各计算点的容量、费用与约束校核。</w:t>
      </w:r>
    </w:p>
    <w:p>
      <w:pPr>
        <w:pStyle w:val="2"/>
        <w:widowControl/>
        <w:spacing w:line="300" w:lineRule="auto" w:before="0" w:after="0"/>
        <w:ind w:firstLine="480"/>
        <w:jc w:val="both"/>
      </w:pPr>
      <w:r>
        <w:rPr>
          <w:rFonts w:ascii="Times New Roman" w:hAnsi="Times New Roman" w:eastAsia="方正仿宋_GBK"/>
          <w:b w:val="0"/>
          <w:sz w:val="24"/>
        </w:rPr>
        <w:t xml:space="preserve">核查包括原表换算和区县容量汇总，也检查年度资产不减、负荷转接守恒及储能整数规模，并复算正反向容量和单台主变退出容量。费用另按购置与投运事件重建现金流复算。通用外推核对目标年的相同容量、转供与守恒关系，各参数组合分别进行整数寻优。</w:t>
      </w:r>
    </w:p>
    <w:p>
      <w:pPr>
        <w:pStyle w:val="2"/>
        <w:widowControl/>
        <w:spacing w:line="300" w:lineRule="auto"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计算工作簿与核验记录作为配套交付保存，正文不设附录。</w:t>
      </w:r>
    </w:p>
    <w:p>
      <w:pPr>
        <w:pStyle w:val="5"/>
        <w:keepNext/>
        <w:numPr>
          <w:numId w:val="0"/>
        </w:numPr>
        <w:spacing w:line="360" w:lineRule="auto" w:before="160" w:after="120"/>
        <w:ind w:firstLine="0"/>
      </w:pPr>
      <w:bookmarkStart w:id="40" w:name="计算流程与成果衔接"/>
      <w:r>
        <w:rPr>
          <w:rFonts w:ascii="Times New Roman" w:hAnsi="Times New Roman" w:eastAsia="方正仿宋_GBK"/>
          <w:b/>
          <w:sz w:val="26"/>
        </w:rPr>
        <w:t xml:space="preserve">1.5.4 计算流程与成果衔接</w:t>
      </w:r>
      <w:bookmarkEnd w:id="40"/>
    </w:p>
    <w:p>
      <w:pPr>
        <w:pStyle w:val="FirstParagraph"/>
        <w:widowControl/>
        <w:spacing w:line="300" w:lineRule="auto"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采用第三章至第五章列明的输入、算式和约束，避免图表分析与规划计算使用不同数据。</w:t>
      </w:r>
    </w:p>
    <w:p>
      <w:pPr>
        <w:pStyle w:val="2"/>
        <w:keepNext/>
        <w:spacing w:line="240" w:lineRule="auto" w:before="120" w:after="0"/>
        <w:ind w:firstLine="0"/>
        <w:jc w:val="center"/>
      </w:pPr>
      <w:r>
        <w:drawing>
          <wp:inline>
            <wp:extent cx="5120640" cy="4138946"/>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2深化修订/technical_route.png" id="0" name="Picture"/>
                    <pic:cNvPicPr>
                      <a:picLocks noChangeArrowheads="1" noChangeAspect="1"/>
                    </pic:cNvPicPr>
                  </pic:nvPicPr>
                  <pic:blipFill>
                    <a:blip r:embed="rId41"/>
                    <a:stretch>
                      <a:fillRect/>
                    </a:stretch>
                  </pic:blipFill>
                  <pic:spPr bwMode="auto">
                    <a:xfrm>
                      <a:off x="0" y="0"/>
                      <a:ext cx="5120640" cy="4138946"/>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图1-1 逐年规划计算与推荐矩阵形成过程</w:t>
      </w:r>
    </w:p>
    <w:p>
      <w:bookmarkStart w:id="1073" w:name="h73"/>
      <w:pPr>
        <w:pStyle w:val="4"/>
        <w:keepNext/>
        <w:numPr>
          <w:numId w:val="0"/>
        </w:numPr>
        <w:spacing w:line="360" w:lineRule="auto" w:before="160" w:after="120"/>
        <w:ind w:firstLine="0"/>
      </w:pPr>
      <w:bookmarkStart w:id="42" w:name="研究成果及应用"/>
      <w:r>
        <w:rPr>
          <w:rFonts w:ascii="Times New Roman" w:hAnsi="Times New Roman" w:eastAsia="方正仿宋_GBK"/>
          <w:b/>
          <w:sz w:val="32"/>
        </w:rPr>
        <w:t xml:space="preserve">1.6 研究成果及应用</w:t>
      </w:r>
      <w:bookmarkEnd w:id="42"/>
      <w:bookmarkEnd w:id="1073"/>
    </w:p>
    <w:p>
      <w:pPr>
        <w:pStyle w:val="FirstParagraph"/>
        <w:widowControl/>
        <w:spacing w:line="300" w:lineRule="auto" w:before="0" w:after="0"/>
        <w:ind w:firstLine="480"/>
        <w:jc w:val="both"/>
      </w:pPr>
      <w:r>
        <w:rPr>
          <w:rFonts w:ascii="Times New Roman" w:hAnsi="Times New Roman" w:eastAsia="方正仿宋_GBK"/>
          <w:b w:val="0"/>
          <w:sz w:val="24"/>
        </w:rPr>
        <w:t xml:space="preserve">本研究形成邳州、市区的刚性与弹性四年规划方案，给出年度主变容量、采购规模、储能配置、负荷转接及全寿命费用。通用推荐矩阵仅列参数条件与容载比区间，逐点设备配置和计算记录保存在配套工作簿中。</w:t>
      </w:r>
    </w:p>
    <w:p>
      <w:pPr>
        <w:pStyle w:val="2"/>
        <w:widowControl/>
        <w:spacing w:line="300" w:lineRule="auto"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规划应用先核定实际在役资产、年网供最大负荷和站间转供能力，依据源荷水平、负荷增长与峰段持续时间选择比选范围，再以本地工程价格开展增容、配储和10 kV联络联合寻优。工程设计阶段继续校核实际线路、电压、保护及储能连续运行条件。</w:t>
      </w:r>
    </w:p>
    <w:p>
      <w:bookmarkStart w:id="1076" w:name="h76"/>
      <w:pPr>
        <w:pStyle w:val="3"/>
        <w:keepNext/>
        <w:pageBreakBefore/>
        <w:numPr>
          <w:numId w:val="0"/>
        </w:numPr>
        <w:spacing w:line="360" w:lineRule="auto" w:before="0" w:after="120"/>
        <w:ind w:firstLine="0"/>
      </w:pPr>
      <w:bookmarkStart w:id="43" w:name="第二章-国内外研究现状"/>
      <w:r>
        <w:rPr>
          <w:rFonts w:ascii="Times New Roman" w:hAnsi="Times New Roman" w:eastAsia="方正仿宋_GBK"/>
          <w:b/>
          <w:sz w:val="36"/>
        </w:rPr>
        <w:t xml:space="preserve">第二章 国内外研究现状</w:t>
      </w:r>
      <w:bookmarkEnd w:id="43"/>
      <w:bookmarkEnd w:id="1076"/>
    </w:p>
    <w:p>
      <w:pPr>
        <w:pStyle w:val="FirstParagraph"/>
        <w:widowControl/>
        <w:spacing w:line="300" w:lineRule="auto"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00" w:lineRule="auto"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bookmarkStart w:id="1079" w:name="h79"/>
      <w:pPr>
        <w:pStyle w:val="4"/>
        <w:keepNext/>
        <w:numPr>
          <w:numId w:val="0"/>
        </w:numPr>
        <w:spacing w:line="360" w:lineRule="auto" w:before="160" w:after="120"/>
        <w:ind w:firstLine="0"/>
      </w:pPr>
      <w:bookmarkStart w:id="44" w:name="国外研究现状"/>
      <w:r>
        <w:rPr>
          <w:rFonts w:ascii="Times New Roman" w:hAnsi="Times New Roman" w:eastAsia="方正仿宋_GBK"/>
          <w:b/>
          <w:sz w:val="32"/>
        </w:rPr>
        <w:t xml:space="preserve">2.1 国外研究现状</w:t>
      </w:r>
      <w:bookmarkEnd w:id="44"/>
      <w:bookmarkEnd w:id="1079"/>
    </w:p>
    <w:p>
      <w:pPr>
        <w:pStyle w:val="5"/>
        <w:keepNext/>
        <w:numPr>
          <w:numId w:val="0"/>
        </w:numPr>
        <w:spacing w:line="360" w:lineRule="auto" w:before="160" w:after="120"/>
        <w:ind w:firstLine="0"/>
      </w:pPr>
      <w:bookmarkStart w:id="45" w:name="分布式电源承载力评估"/>
      <w:r>
        <w:rPr>
          <w:rFonts w:ascii="Times New Roman" w:hAnsi="Times New Roman" w:eastAsia="方正仿宋_GBK"/>
          <w:b/>
          <w:sz w:val="26"/>
        </w:rPr>
        <w:t xml:space="preserve">2.1.1 分布式电源承载力评估</w:t>
      </w:r>
      <w:bookmarkEnd w:id="45"/>
    </w:p>
    <w:p>
      <w:pPr>
        <w:pStyle w:val="FirstParagraph"/>
        <w:widowControl/>
        <w:spacing w:line="300" w:lineRule="auto" w:before="0" w:after="0"/>
        <w:ind w:firstLine="480"/>
        <w:jc w:val="both"/>
      </w:pPr>
      <w:r>
        <w:rPr>
          <w:rFonts w:ascii="Times New Roman" w:hAnsi="Times New Roman" w:eastAsia="方正仿宋_GBK"/>
          <w:b w:val="0"/>
          <w:sz w:val="24"/>
        </w:rPr>
        <w:t xml:space="preserve">承载力评估从确定性运行断面分析逐步拓展到源荷不确定性、主动管理及动态评估。不同方法分别考虑电压、设备容量和风险约束，为高渗透率下的容量校核提供依据。在不确定性建模方面，Lin 等提出两阶段 PV 承载力计算模型，先以鲁棒优化刻画源荷不确定性分析最劣场景，再构建计及主动管理的混合整数二阶锥（MISOC）模型，算例分析表明，负荷降低及光伏出力提高可能使接入约束趋紧；对受过电压限制的网络主动管理（无功、SVC）提升明显、对受最大传输功率限制的网络效果有限；网络重构可使薄弱支路网络承载力提升超过 50%（达原值约 150%）[20]。</w:t>
      </w:r>
    </w:p>
    <w:p>
      <w:pPr>
        <w:pStyle w:val="2"/>
        <w:widowControl/>
        <w:spacing w:line="300" w:lineRule="auto" w:before="0" w:after="0"/>
        <w:ind w:firstLine="480"/>
        <w:jc w:val="both"/>
      </w:pPr>
      <w:r>
        <w:rPr>
          <w:rFonts w:ascii="Times New Roman" w:hAnsi="Times New Roman" w:eastAsia="方正仿宋_GBK"/>
          <w:b w:val="0"/>
          <w:sz w:val="24"/>
        </w:rPr>
        <w:t xml:space="preserve">Chen 等进一步引入物理—数据双驱动的 WGAN-GP 场景生成（夜间辐照硬置零等物理约束）刻画源侧时序不确定性，以麻雀搜索算法寻优最大承载力，为承载力计算提供符合物理条件的出力场景[21]。</w:t>
      </w:r>
    </w:p>
    <w:p>
      <w:pPr>
        <w:pStyle w:val="2"/>
        <w:widowControl/>
        <w:spacing w:line="300" w:lineRule="auto"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100%），综合风险阈值约束下渗透率上限可达 140%、最大承载力 5.20 MW，较仅安全风险提升 33.36%，超过 175% 渗透率后边际收益递减、风险非线性上升[22]。</w:t>
      </w:r>
    </w:p>
    <w:p>
      <w:pPr>
        <w:pStyle w:val="2"/>
        <w:widowControl/>
        <w:spacing w:line="300" w:lineRule="auto"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20%～34%，说明主动支撑及稳定约束对接入能力的影响[23]。</w:t>
      </w:r>
    </w:p>
    <w:p>
      <w:pPr>
        <w:pStyle w:val="2"/>
        <w:widowControl/>
        <w:spacing w:line="300" w:lineRule="auto" w:before="0" w:after="0"/>
        <w:ind w:firstLine="480"/>
        <w:jc w:val="both"/>
      </w:pPr>
      <w:r>
        <w:rPr>
          <w:rFonts w:ascii="Times New Roman" w:hAnsi="Times New Roman" w:eastAsia="方正仿宋_GBK"/>
          <w:b w:val="0"/>
          <w:sz w:val="24"/>
        </w:rPr>
        <w:t xml:space="preserve">在机理层面，Majeed 等揭示反向潮流（PV 出力大于本地负荷时发生，多见于低峰荷区域）会抬升 LV/MV 电压、造成配变过载并加速绝缘老化、缩短变压器寿命[4]。</w:t>
      </w:r>
    </w:p>
    <w:p>
      <w:pPr>
        <w:pStyle w:val="5"/>
        <w:keepNext/>
        <w:numPr>
          <w:numId w:val="0"/>
        </w:numPr>
        <w:spacing w:line="360" w:lineRule="auto" w:before="160" w:after="120"/>
        <w:ind w:firstLine="0"/>
      </w:pPr>
      <w:bookmarkStart w:id="46" w:name="高渗透率运行特征与反向潮流"/>
      <w:r>
        <w:rPr>
          <w:rFonts w:ascii="Times New Roman" w:hAnsi="Times New Roman" w:eastAsia="方正仿宋_GBK"/>
          <w:b/>
          <w:sz w:val="26"/>
        </w:rPr>
        <w:t xml:space="preserve">2.1.2 高渗透率运行特征与反向潮流</w:t>
      </w:r>
      <w:bookmarkEnd w:id="46"/>
    </w:p>
    <w:p>
      <w:pPr>
        <w:pStyle w:val="FirstParagraph"/>
        <w:widowControl/>
        <w:spacing w:line="300" w:lineRule="auto"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00" w:lineRule="auto"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23%，为以灵活资源平抑净负荷爬坡提供依据[24]。</w:t>
      </w:r>
    </w:p>
    <w:p>
      <w:pPr>
        <w:pStyle w:val="2"/>
        <w:widowControl/>
        <w:spacing w:line="300" w:lineRule="auto" w:before="0" w:after="0"/>
        <w:ind w:firstLine="480"/>
        <w:jc w:val="both"/>
      </w:pPr>
      <w:r>
        <w:rPr>
          <w:rFonts w:ascii="Times New Roman" w:hAnsi="Times New Roman" w:eastAsia="方正仿宋_GBK"/>
          <w:b w:val="0"/>
          <w:sz w:val="24"/>
        </w:rPr>
        <w:t xml:space="preserve">在反向潮流引致的电压问题上，Xie 等结合主网与配网线路参数差异建立过电压计算方法，并验证抑制策略可使反向潮流引起的过电压由高于额定约 10% 降至 1.50%[25]；Ghorbansarvi 等以模型预测控制（MPC）联合管理母线电压与配变温度、最小化弃光，通过协调控制推迟配变过载的发生[26]。</w:t>
      </w:r>
    </w:p>
    <w:p>
      <w:pPr>
        <w:pStyle w:val="2"/>
        <w:widowControl/>
        <w:spacing w:line="300" w:lineRule="auto" w:before="0" w:after="0"/>
        <w:ind w:firstLine="480"/>
        <w:jc w:val="both"/>
      </w:pPr>
      <w:r>
        <w:rPr>
          <w:rFonts w:ascii="Times New Roman" w:hAnsi="Times New Roman" w:eastAsia="方正仿宋_GBK"/>
          <w:b w:val="0"/>
          <w:sz w:val="24"/>
        </w:rPr>
        <w:t xml:space="preserve">综述性研究则归纳出 PV 有功削减、OLTC、配网重构、多柔性资源协调四类电压越限治理手段，并指出现有协调控制普遍忽视调节时序与经济性、低压建模过度简化，有待进一步统筹调节时序与经济性[27]。</w:t>
      </w:r>
    </w:p>
    <w:p>
      <w:pPr>
        <w:pStyle w:val="5"/>
        <w:keepNext/>
        <w:numPr>
          <w:numId w:val="0"/>
        </w:numPr>
        <w:spacing w:line="360" w:lineRule="auto" w:before="160" w:after="120"/>
        <w:ind w:firstLine="0"/>
      </w:pPr>
      <w:bookmarkStart w:id="47" w:name="灵活资源与网络协同配置"/>
      <w:r>
        <w:rPr>
          <w:rFonts w:ascii="Times New Roman" w:hAnsi="Times New Roman" w:eastAsia="方正仿宋_GBK"/>
          <w:b/>
          <w:sz w:val="26"/>
        </w:rPr>
        <w:t xml:space="preserve">2.1.3 灵活资源与网络协同配置</w:t>
      </w:r>
      <w:bookmarkEnd w:id="47"/>
    </w:p>
    <w:p>
      <w:pPr>
        <w:pStyle w:val="FirstParagraph"/>
        <w:widowControl/>
        <w:spacing w:line="300" w:lineRule="auto" w:before="0" w:after="0"/>
        <w:ind w:firstLine="480"/>
        <w:jc w:val="both"/>
      </w:pPr>
      <w:r>
        <w:rPr>
          <w:rFonts w:ascii="Times New Roman" w:hAnsi="Times New Roman" w:eastAsia="方正仿宋_GBK"/>
          <w:b w:val="0"/>
          <w:sz w:val="24"/>
        </w:rPr>
        <w:t xml:space="preserve">灵活资源研究关注储能、可调负荷及柔性互联对接入能力和容量需求的影响，并将相关方案与电网增容开展经济比较。在接入能力分析方面，Nair 等以确定性迭代、两阶段随机 MISOCP 与蒙特卡洛三法对比，表明动态资源协调可使 IEEE 123 馈线 PV 承载力由 48% 提升至 83%（两阶段随机规划达 98%），可行域体积扩大逾 22 倍，并指出动态方案波动性更高、临界性排序为电池＞热泵＞EV[28]；Wang 等（Nature Communications）提出基于智能软开关（SOP）的柔性配电网多资源动态协同规划，在风险小于 5% 内实现 100% 本地光伏消纳，且最优方案总成本较对照方案降低 6.70%～55.00%[29]。</w:t>
      </w:r>
    </w:p>
    <w:p>
      <w:pPr>
        <w:pStyle w:val="2"/>
        <w:widowControl/>
        <w:spacing w:line="300" w:lineRule="auto" w:before="0" w:after="0"/>
        <w:ind w:firstLine="480"/>
        <w:jc w:val="both"/>
      </w:pPr>
      <w:r>
        <w:rPr>
          <w:rFonts w:ascii="Times New Roman" w:hAnsi="Times New Roman" w:eastAsia="方正仿宋_GBK"/>
          <w:b w:val="0"/>
          <w:sz w:val="24"/>
        </w:rPr>
        <w:t xml:space="preserve">在储能与电网增容的经济比较方面，多项研究给出特定算例条件下的经济阈值：Martínez 等基于西班牙真实 500 节点中压网得出，专用分布式电池储能（BESS）替代网架增容仅在年负荷增长率不超过 0.16% 时净现值为正，移动式储能仅在不超过 0.25% 时可行[9]；Holweger 等在 CIGRE 低压网上得到分布式柔性优于网架增强的盈亏平衡点位于 PV 占年用电量的 110%～145% 区间（廉价变压器约 110%、昂贵变压器约 145%），且变压器为承载瓶颈元件[30]；Matthiss 等分别比较初始投资和年化费用，发现按投资成本储能远低于网架增强，但折算为计入电池 10 年寿命的年成本后差距明显收窄[31]。</w:t>
      </w:r>
    </w:p>
    <w:p>
      <w:pPr>
        <w:pStyle w:val="2"/>
        <w:widowControl/>
        <w:spacing w:line="300" w:lineRule="auto" w:before="0" w:after="0"/>
        <w:ind w:firstLine="480"/>
        <w:jc w:val="both"/>
      </w:pPr>
      <w:r>
        <w:rPr>
          <w:rFonts w:ascii="Times New Roman" w:hAnsi="Times New Roman" w:eastAsia="方正仿宋_GBK"/>
          <w:b w:val="0"/>
          <w:sz w:val="24"/>
        </w:rPr>
        <w:t xml:space="preserve">在储能定容方面，Xu 等以两阶段启发式优化最小化储能 LCC（投资+更换+运维+处置，含锂电容量衰减寿命模型），算例显示合理定容可使节点平均年化成本下降约 47%[10]；Wu 等以两阶段分布鲁棒优化并嵌入并网点短路电流约束做 PV+储能联合规划，较传统方法 PV 可装容量提升约 60%、电压偏差降低 16.70%，且</w:t>
      </w:r>
      <w:r>
        <w:rPr>
          <w:rFonts w:ascii="Times New Roman" w:hAnsi="Times New Roman" w:eastAsia="方正仿宋_GBK"/>
          <w:b w:val="0"/>
          <w:sz w:val="24"/>
        </w:rPr>
        <w:t xml:space="preserve">“</w:t>
      </w:r>
      <w:r>
        <w:rPr>
          <w:rFonts w:ascii="Times New Roman" w:hAnsi="Times New Roman" w:eastAsia="方正仿宋_GBK"/>
          <w:b w:val="0"/>
          <w:sz w:val="24"/>
        </w:rPr>
        <w:t xml:space="preserve">联合规划</w:t>
      </w:r>
      <w:r>
        <w:rPr>
          <w:rFonts w:ascii="Times New Roman" w:hAnsi="Times New Roman" w:eastAsia="方正仿宋_GBK"/>
          <w:b w:val="0"/>
          <w:sz w:val="24"/>
        </w:rPr>
        <w:t xml:space="preserve">”</w:t>
      </w:r>
      <w:r>
        <w:rPr>
          <w:rFonts w:ascii="Times New Roman" w:hAnsi="Times New Roman" w:eastAsia="方正仿宋_GBK"/>
          <w:b w:val="0"/>
          <w:sz w:val="24"/>
        </w:rPr>
        <w:t xml:space="preserve">优于</w:t>
      </w:r>
      <w:r>
        <w:rPr>
          <w:rFonts w:ascii="Times New Roman" w:hAnsi="Times New Roman" w:eastAsia="方正仿宋_GBK"/>
          <w:b w:val="0"/>
          <w:sz w:val="24"/>
        </w:rPr>
        <w:t xml:space="preserve">“</w:t>
      </w:r>
      <w:r>
        <w:rPr>
          <w:rFonts w:ascii="Times New Roman" w:hAnsi="Times New Roman" w:eastAsia="方正仿宋_GBK"/>
          <w:b w:val="0"/>
          <w:sz w:val="24"/>
        </w:rPr>
        <w:t xml:space="preserve">先 PV 后储能</w:t>
      </w:r>
      <w:r>
        <w:rPr>
          <w:rFonts w:ascii="Times New Roman" w:hAnsi="Times New Roman" w:eastAsia="方正仿宋_GBK"/>
          <w:b w:val="0"/>
          <w:sz w:val="24"/>
        </w:rPr>
        <w:t xml:space="preserve">”</w:t>
      </w:r>
      <w:r>
        <w:rPr>
          <w:rFonts w:ascii="Times New Roman" w:hAnsi="Times New Roman" w:eastAsia="方正仿宋_GBK"/>
          <w:b w:val="0"/>
          <w:sz w:val="24"/>
        </w:rPr>
        <w:t xml:space="preserve">[32]。</w:t>
      </w:r>
    </w:p>
    <w:p>
      <w:pPr>
        <w:pStyle w:val="2"/>
        <w:widowControl/>
        <w:spacing w:line="300" w:lineRule="auto" w:before="0" w:after="0"/>
        <w:ind w:firstLine="480"/>
        <w:jc w:val="both"/>
      </w:pPr>
      <w:r>
        <w:rPr>
          <w:rFonts w:ascii="Times New Roman" w:hAnsi="Times New Roman" w:eastAsia="方正仿宋_GBK"/>
          <w:b w:val="0"/>
          <w:sz w:val="24"/>
        </w:rPr>
        <w:t xml:space="preserve">此外，Zhang 等表明随 PV 渗透由 9% 升至 99%，配电系统供电恢复量较基准提升 26.85%～45.21%，但 99% 相对 81% 的边际收益已不显著（拐点约 81% 渗透率），且其孤岛恢复方案采用构网型光伏与储能[33]。</w:t>
      </w:r>
    </w:p>
    <w:p>
      <w:pPr>
        <w:pStyle w:val="2"/>
        <w:widowControl/>
        <w:spacing w:line="300" w:lineRule="auto" w:before="0" w:after="0"/>
        <w:ind w:firstLine="480"/>
        <w:jc w:val="both"/>
      </w:pPr>
      <w:r>
        <w:rPr>
          <w:rFonts w:ascii="Times New Roman" w:hAnsi="Times New Roman" w:eastAsia="方正仿宋_GBK"/>
          <w:b w:val="0"/>
          <w:sz w:val="24"/>
        </w:rPr>
        <w:t xml:space="preserve">面向高负荷密度与含可再生能源的变电容量优化，Huang 等以多元宇宙优化器同时优化主变容量与台数，算例表明，本地可再生能源供电可减少净负荷，并延缓主变建设[34]；Xu 等则从分时电价/需求侧响应改变负荷曲线的角度论证削峰可节省变电建设投资[35]，Nespoli 等给出无需历史数据量化柔性负荷经济价值的全局预测方法[36]。</w:t>
      </w:r>
    </w:p>
    <w:p>
      <w:pPr>
        <w:pStyle w:val="2"/>
        <w:widowControl/>
        <w:spacing w:line="300" w:lineRule="auto" w:before="0" w:after="0"/>
        <w:ind w:firstLine="480"/>
        <w:jc w:val="both"/>
      </w:pPr>
      <w:r>
        <w:rPr>
          <w:rFonts w:ascii="Times New Roman" w:hAnsi="Times New Roman" w:eastAsia="方正仿宋_GBK"/>
          <w:b w:val="0"/>
          <w:sz w:val="24"/>
        </w:rPr>
        <w:t xml:space="preserve">在源网荷储/柔性互联的国际期刊成果中，Zhu等的多区域E-SOP协同规划可使年总成本降低约 14.90%、电压不平衡全部降至 2% 以内[37]，SOP+储能联合规划使供电能力提升 31.25%[38]，源—网—储协同随机规划以仅增成本 2.23% 换取大幅消纳提升[39]，Shi等通过源网荷储多主体演化博弈，分析收益分配对储能配置及主体协同的影响[40]。</w:t>
      </w:r>
    </w:p>
    <w:p>
      <w:pPr>
        <w:pStyle w:val="5"/>
        <w:keepNext/>
        <w:numPr>
          <w:numId w:val="0"/>
        </w:numPr>
        <w:spacing w:line="360" w:lineRule="auto" w:before="160" w:after="120"/>
        <w:ind w:firstLine="0"/>
      </w:pPr>
      <w:bookmarkStart w:id="48" w:name="规划费用与决策方法"/>
      <w:r>
        <w:rPr>
          <w:rFonts w:ascii="Times New Roman" w:hAnsi="Times New Roman" w:eastAsia="方正仿宋_GBK"/>
          <w:b/>
          <w:sz w:val="26"/>
        </w:rPr>
        <w:t xml:space="preserve">2.1.4 规划费用与决策方法</w:t>
      </w:r>
      <w:bookmarkEnd w:id="48"/>
    </w:p>
    <w:p>
      <w:pPr>
        <w:pStyle w:val="FirstParagraph"/>
        <w:widowControl/>
        <w:spacing w:line="300" w:lineRule="auto" w:before="0" w:after="0"/>
        <w:ind w:firstLine="480"/>
        <w:jc w:val="both"/>
      </w:pPr>
      <w:r>
        <w:rPr>
          <w:rFonts w:ascii="Times New Roman" w:hAnsi="Times New Roman" w:eastAsia="方正仿宋_GBK"/>
          <w:b w:val="0"/>
          <w:sz w:val="24"/>
        </w:rPr>
        <w:t xml:space="preserve">在成本评价方面，Zeng 等基于全寿命周期成本（投资、运行、维护、故障）建立输电线路经济寿命区间法，并以改进 GM(1,1) 在小样本下预测成本、以区间法处理不确定性[12]；Zhu 等对 10 kV 三类线路建立显式包含投资、运维、故障与报废（discard）四部分的 LCC 模型，研究表明，高负载率下运维成本成为 LCC 最主要影响因素、三类线路 LCC 平衡点出现在第 7～8 年，为线路寿命和费用边界分析提供参考[13]。</w:t>
      </w:r>
    </w:p>
    <w:p>
      <w:pPr>
        <w:pStyle w:val="2"/>
        <w:widowControl/>
        <w:spacing w:line="300" w:lineRule="auto"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与累积前景理论用于电网规划方案适应性评价[41]；Fermatean 模糊 TOPSIS 配合 FAHP-熵权与 DEMATEL 因果分析处理专家评分不确定性[42]；最优最劣法（BWM）+ 反熵权 + 纳什博弈 + 马氏距离改进 TOPSIS 用于输电项目优选[43]；改进 AHP 叠加物元可拓评估实现效益分级[15]。多准则评价通过指标与权重表达方案差异，适用于技术可行方案的综合比较。</w:t>
      </w:r>
    </w:p>
    <w:p>
      <w:bookmarkStart w:id="1101" w:name="h101"/>
      <w:pPr>
        <w:pStyle w:val="4"/>
        <w:keepNext/>
        <w:numPr>
          <w:numId w:val="0"/>
        </w:numPr>
        <w:spacing w:line="360" w:lineRule="auto" w:before="160" w:after="120"/>
        <w:ind w:firstLine="0"/>
      </w:pPr>
      <w:bookmarkStart w:id="49" w:name="国内研究现状"/>
      <w:r>
        <w:rPr>
          <w:rFonts w:ascii="Times New Roman" w:hAnsi="Times New Roman" w:eastAsia="方正仿宋_GBK"/>
          <w:b/>
          <w:sz w:val="32"/>
        </w:rPr>
        <w:t xml:space="preserve">2.2 国内研究现状</w:t>
      </w:r>
      <w:bookmarkEnd w:id="49"/>
      <w:bookmarkEnd w:id="1101"/>
    </w:p>
    <w:p>
      <w:pPr>
        <w:pStyle w:val="5"/>
        <w:keepNext/>
        <w:numPr>
          <w:numId w:val="0"/>
        </w:numPr>
        <w:spacing w:line="360" w:lineRule="auto" w:before="160" w:after="120"/>
        <w:ind w:firstLine="0"/>
      </w:pPr>
      <w:bookmarkStart w:id="50" w:name="容载比与下级网络供电能力"/>
      <w:r>
        <w:rPr>
          <w:rFonts w:ascii="Times New Roman" w:hAnsi="Times New Roman" w:eastAsia="方正仿宋_GBK"/>
          <w:b/>
          <w:sz w:val="26"/>
        </w:rPr>
        <w:t xml:space="preserve">2.2.1 容载比与下级网络供电能力</w:t>
      </w:r>
      <w:bookmarkEnd w:id="50"/>
    </w:p>
    <w:p>
      <w:pPr>
        <w:pStyle w:val="FirstParagraph"/>
        <w:widowControl/>
        <w:spacing w:line="300" w:lineRule="auto" w:before="0" w:after="0"/>
        <w:ind w:firstLine="480"/>
        <w:jc w:val="both"/>
      </w:pPr>
      <w:r>
        <w:rPr>
          <w:rFonts w:ascii="Times New Roman" w:hAnsi="Times New Roman" w:eastAsia="方正仿宋_GBK"/>
          <w:b w:val="0"/>
          <w:sz w:val="24"/>
        </w:rPr>
        <w:t xml:space="preserve">容量配置需要兼顾供电安全与投资效率，国内研究逐步从单电压等级容量配置拓展到多电压等级协同规划，并进一步细化相关参数及评价方法。在最优容载比计算上，陈浩等较早建立含高、低压两电压等级变电站的最优容载比优化模型，以年综合费用最小为目标、用离散粒子群算法求解[44]；王凯亮等进一步以建设成本最小为目标统筹 220/110/10 kV 协同规划，用贝叶斯优化—遗传算法（BOA-GA）求解多电压等级容载比配比，证明长时间尺度下容载比配比与整体投资近似呈二次关系，规划方案较实际网架降低建设成本约 7.60%，并给出按负荷密度（以 10 MW·km⁻² 为界）与负荷增长率分档的差异化容载比推荐表[45]。</w:t>
      </w:r>
    </w:p>
    <w:p>
      <w:pPr>
        <w:pStyle w:val="2"/>
        <w:widowControl/>
        <w:spacing w:line="300" w:lineRule="auto" w:before="0" w:after="0"/>
        <w:ind w:firstLine="480"/>
        <w:jc w:val="both"/>
      </w:pPr>
      <w:r>
        <w:rPr>
          <w:rFonts w:ascii="Times New Roman" w:hAnsi="Times New Roman" w:eastAsia="方正仿宋_GBK"/>
          <w:b w:val="0"/>
          <w:sz w:val="24"/>
        </w:rPr>
        <w:t xml:space="preserve">在指标精细化上，刘文霞等针对导则容载比区间过宽、与可靠性脱钩的问题提出</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，以理想值为基准的带状标尺可视化表达充裕性，以供电可靠性和发展阶段评价区域容量储备[46]；刘炜彬等则从负荷分散系数、储备系数、变压器安全运行率、平均功率因数四参数入手，用 BP 神经网络拟合负荷同时率、将 N-1 通过率纳入安全运行率，实现容载比精细化与差异化配置[47]。</w:t>
      </w:r>
    </w:p>
    <w:p>
      <w:pPr>
        <w:pStyle w:val="2"/>
        <w:widowControl/>
        <w:spacing w:line="300" w:lineRule="auto" w:before="0" w:after="0"/>
        <w:ind w:firstLine="480"/>
        <w:jc w:val="both"/>
      </w:pPr>
      <w:r>
        <w:rPr>
          <w:rFonts w:ascii="Times New Roman" w:hAnsi="Times New Roman" w:eastAsia="方正仿宋_GBK"/>
          <w:b w:val="0"/>
          <w:sz w:val="24"/>
        </w:rPr>
        <w:t xml:space="preserve">在最大供电能力方面，肖峻等以 TSC 理论（计及主变与下级网络转带、满足 N-1）量化容载比与下级网络强弱的关系，研究表明，网络转带能力增强后可降低相应变电容量储备需求：达到 TSC 时容载比理论范围约 1.10～2.00，常见城市配电网联络度 0.40～0.50 时对应容载比 1.50～1.60，其算例相较1.80～2.00的取值范围，可承接负荷增加约20%，并建议互联程度高的城市配电网容载比控制在 1.60 左右[8]；张锐等进一步以改进供电能力指标指导低压柔性互联装置规划，将设备容量与实际供电能力分别评价[48]；马雨欣、林凌雪提出面向精准规划的 TSC 评估方法并将分布式电源场景纳入供电能力计算[49]。</w:t>
      </w:r>
    </w:p>
    <w:p>
      <w:pPr>
        <w:pStyle w:val="5"/>
        <w:keepNext/>
        <w:numPr>
          <w:numId w:val="0"/>
        </w:numPr>
        <w:spacing w:line="360" w:lineRule="auto" w:before="160" w:after="120"/>
        <w:ind w:firstLine="0"/>
      </w:pPr>
      <w:bookmarkStart w:id="51" w:name="分布式光伏承载力与安全经济评价"/>
      <w:r>
        <w:rPr>
          <w:rFonts w:ascii="Times New Roman" w:hAnsi="Times New Roman" w:eastAsia="方正仿宋_GBK"/>
          <w:b/>
          <w:sz w:val="26"/>
        </w:rPr>
        <w:t xml:space="preserve">2.2.2 分布式光伏承载力与安全经济评价</w:t>
      </w:r>
      <w:bookmarkEnd w:id="51"/>
    </w:p>
    <w:p>
      <w:pPr>
        <w:pStyle w:val="FirstParagraph"/>
        <w:widowControl/>
        <w:spacing w:line="300" w:lineRule="auto"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，并指出单电压等级独立评估会使低压侧承载力估计过于乐观[50]。</w:t>
      </w:r>
    </w:p>
    <w:p>
      <w:pPr>
        <w:pStyle w:val="2"/>
        <w:widowControl/>
        <w:spacing w:line="300" w:lineRule="auto" w:before="0" w:after="0"/>
        <w:ind w:firstLine="480"/>
        <w:jc w:val="both"/>
      </w:pPr>
      <w:r>
        <w:rPr>
          <w:rFonts w:ascii="Times New Roman" w:hAnsi="Times New Roman" w:eastAsia="方正仿宋_GBK"/>
          <w:b w:val="0"/>
          <w:sz w:val="24"/>
        </w:rPr>
        <w:t xml:space="preserve">在概率/区间评估上，王方敏等提出基于历史场景的分层分级概率评估，以反向负载率分级并将薄弱环节分为红/黄/蓝/绿四级，可按不同置信水平给出各供电区域光伏可新增容量（依据DL/T 2041开展评估）[51]；徐非非等提出计及不确定性的承载能力区间分析方法[52]；张伟等针对含储能与软开关的柔性配电网，以确定性模型刻画最乐观、双层鲁棒优化刻画最悲观，构成消纳能力区间，并验证随 E-SOP 端口容量增大区间整体抬升、宽度收窄（由 7.93～10.89 MW 升至 9.32～11.34 MW）[53]。</w:t>
      </w:r>
    </w:p>
    <w:p>
      <w:pPr>
        <w:pStyle w:val="2"/>
        <w:widowControl/>
        <w:spacing w:line="300" w:lineRule="auto" w:before="0" w:after="0"/>
        <w:ind w:firstLine="480"/>
        <w:jc w:val="both"/>
      </w:pPr>
      <w:r>
        <w:rPr>
          <w:rFonts w:ascii="Times New Roman" w:hAnsi="Times New Roman" w:eastAsia="方正仿宋_GBK"/>
          <w:b w:val="0"/>
          <w:sz w:val="24"/>
        </w:rPr>
        <w:t xml:space="preserve">在安全经济承载力上，宋钰等构建兼顾安全与经济的分布式光伏承载力评估方法[54]，李敬如等研究主配协同条件下的安全经济承载力计算[55]，二者均强调</w:t>
      </w:r>
      <w:r>
        <w:rPr>
          <w:rFonts w:ascii="Times New Roman" w:hAnsi="Times New Roman" w:eastAsia="方正仿宋_GBK"/>
          <w:b w:val="0"/>
          <w:sz w:val="24"/>
        </w:rPr>
        <w:t xml:space="preserve">“</w:t>
      </w:r>
      <w:r>
        <w:rPr>
          <w:rFonts w:ascii="Times New Roman" w:hAnsi="Times New Roman" w:eastAsia="方正仿宋_GBK"/>
          <w:b w:val="0"/>
          <w:sz w:val="24"/>
        </w:rPr>
        <w:t xml:space="preserve">先满足电压、设备容量与运行安全约束，再比较扩网、储能与调节措施经济性</w:t>
      </w:r>
      <w:r>
        <w:rPr>
          <w:rFonts w:ascii="Times New Roman" w:hAnsi="Times New Roman" w:eastAsia="方正仿宋_GBK"/>
          <w:b w:val="0"/>
          <w:sz w:val="24"/>
        </w:rPr>
        <w:t xml:space="preserve">”</w:t>
      </w:r>
      <w:r>
        <w:rPr>
          <w:rFonts w:ascii="Times New Roman" w:hAnsi="Times New Roman" w:eastAsia="方正仿宋_GBK"/>
          <w:b w:val="0"/>
          <w:sz w:val="24"/>
        </w:rPr>
        <w:t xml:space="preserve">。</w:t>
      </w:r>
    </w:p>
    <w:p>
      <w:pPr>
        <w:pStyle w:val="2"/>
        <w:widowControl/>
        <w:spacing w:line="300" w:lineRule="auto"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5"/>
        <w:keepNext/>
        <w:numPr>
          <w:numId w:val="0"/>
        </w:numPr>
        <w:spacing w:line="360" w:lineRule="auto" w:before="160" w:after="120"/>
        <w:ind w:firstLine="0"/>
      </w:pPr>
      <w:bookmarkStart w:id="52" w:name="源荷运行特征与净负荷"/>
      <w:r>
        <w:rPr>
          <w:rFonts w:ascii="Times New Roman" w:hAnsi="Times New Roman" w:eastAsia="方正仿宋_GBK"/>
          <w:b/>
          <w:sz w:val="26"/>
        </w:rPr>
        <w:t xml:space="preserve">2.2.3 源荷运行特征与净负荷</w:t>
      </w:r>
      <w:bookmarkEnd w:id="52"/>
    </w:p>
    <w:p>
      <w:pPr>
        <w:pStyle w:val="FirstParagraph"/>
        <w:widowControl/>
        <w:spacing w:line="300" w:lineRule="auto"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00" w:lineRule="auto"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00" w:lineRule="auto"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的真实困境[61]。</w:t>
      </w:r>
    </w:p>
    <w:p>
      <w:pPr>
        <w:pStyle w:val="5"/>
        <w:keepNext/>
        <w:numPr>
          <w:numId w:val="0"/>
        </w:numPr>
        <w:spacing w:line="360" w:lineRule="auto" w:before="160" w:after="120"/>
        <w:ind w:firstLine="0"/>
      </w:pPr>
      <w:bookmarkStart w:id="53" w:name="源网荷储协同规划"/>
      <w:r>
        <w:rPr>
          <w:rFonts w:ascii="Times New Roman" w:hAnsi="Times New Roman" w:eastAsia="方正仿宋_GBK"/>
          <w:b/>
          <w:sz w:val="26"/>
        </w:rPr>
        <w:t xml:space="preserve">2.2.4 源网荷储协同规划</w:t>
      </w:r>
      <w:bookmarkEnd w:id="53"/>
    </w:p>
    <w:p>
      <w:pPr>
        <w:pStyle w:val="FirstParagraph"/>
        <w:widowControl/>
        <w:spacing w:line="300" w:lineRule="auto" w:before="0" w:after="0"/>
        <w:ind w:firstLine="480"/>
        <w:jc w:val="both"/>
      </w:pPr>
      <w:r>
        <w:rPr>
          <w:rFonts w:ascii="Times New Roman" w:hAnsi="Times New Roman" w:eastAsia="方正仿宋_GBK"/>
          <w:b w:val="0"/>
          <w:sz w:val="24"/>
        </w:rPr>
        <w:t xml:space="preserve">国内源网荷储/柔性互联协同规划成果丰富，研究关注柔性互联及储能的联合配置对潮流、供电能力和投资的影响。综述类研究系统梳理了分布式光伏规模化并网关键技术[62]、主动配电网规划[63]与新型配电网分布式储能配置[64]。在 SOP/柔性互联协同上，贺春光等以混合整数二阶锥规划做多电压等级 SOP 协同规划，算例中年综合成本由 457.30 万元降至 357.70 万元、各节点电压维持在 [0.95,1.05]、缓解 220 kV 变电站潮流倒送[65]。在</w:t>
      </w:r>
      <w:r>
        <w:rPr>
          <w:rFonts w:ascii="Times New Roman" w:hAnsi="Times New Roman" w:eastAsia="方正仿宋_GBK"/>
          <w:b w:val="0"/>
          <w:sz w:val="24"/>
        </w:rPr>
        <w:t xml:space="preserve">“</w:t>
      </w:r>
      <w:r>
        <w:rPr>
          <w:rFonts w:ascii="Times New Roman" w:hAnsi="Times New Roman" w:eastAsia="方正仿宋_GBK"/>
          <w:b w:val="0"/>
          <w:sz w:val="24"/>
        </w:rPr>
        <w:t xml:space="preserve">源—网—储</w:t>
      </w:r>
      <w:r>
        <w:rPr>
          <w:rFonts w:ascii="Times New Roman" w:hAnsi="Times New Roman" w:eastAsia="方正仿宋_GBK"/>
          <w:b w:val="0"/>
          <w:sz w:val="24"/>
        </w:rPr>
        <w:t xml:space="preserve">”</w:t>
      </w:r>
      <w:r>
        <w:rPr>
          <w:rFonts w:ascii="Times New Roman" w:hAnsi="Times New Roman" w:eastAsia="方正仿宋_GBK"/>
          <w:b w:val="0"/>
          <w:sz w:val="24"/>
        </w:rPr>
        <w:t xml:space="preserve">联合扩展规划上，徐峰亮等提出三层扩展规划并定义净负荷适应率、净负荷波动率、线路负载裕度均衡性三个运行灵活性指标，其推荐方案在五种方案中总成本最低（1300.50 万元）、DG 渗透率最高（57.10%）[66]；乐健等以 Frank-Copula 刻画源荷时空相关、蒙特卡洛生成并削减典型场景，比较基准与差异化源网储方案的全寿命费用（25 节点方案 4 综合成本较方案 2 降约 44.90%）[67]。</w:t>
      </w:r>
    </w:p>
    <w:p>
      <w:pPr>
        <w:pStyle w:val="5"/>
        <w:keepNext/>
        <w:numPr>
          <w:numId w:val="0"/>
        </w:numPr>
        <w:spacing w:line="360" w:lineRule="auto" w:before="160" w:after="120"/>
        <w:ind w:firstLine="0"/>
      </w:pPr>
      <w:bookmarkStart w:id="54" w:name="工程费用与评价方法"/>
      <w:r>
        <w:rPr>
          <w:rFonts w:ascii="Times New Roman" w:hAnsi="Times New Roman" w:eastAsia="方正仿宋_GBK"/>
          <w:b/>
          <w:sz w:val="26"/>
        </w:rPr>
        <w:t xml:space="preserve">2.2.5 工程费用与评价方法</w:t>
      </w:r>
      <w:bookmarkEnd w:id="54"/>
    </w:p>
    <w:p>
      <w:pPr>
        <w:pStyle w:val="FirstParagraph"/>
        <w:widowControl/>
        <w:spacing w:line="300" w:lineRule="auto"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网架、灵活资源）项目，按工程功能和投入产出组织投资排序[68]；何凯等提出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84%～92%），包含高压配电网的工程比选[69]。</w:t>
      </w:r>
    </w:p>
    <w:p>
      <w:pPr>
        <w:pStyle w:val="2"/>
        <w:widowControl/>
        <w:spacing w:line="300" w:lineRule="auto"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97.87%、RMSE 7.38 元/(kV·A)，为工程造价的参数化分析提供参考[70]。</w:t>
      </w:r>
    </w:p>
    <w:p>
      <w:pPr>
        <w:pStyle w:val="2"/>
        <w:widowControl/>
        <w:spacing w:line="300" w:lineRule="auto"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40%[71]。评价时应结合研究目标统一费用范围和现金流时点。</w:t>
      </w:r>
    </w:p>
    <w:p>
      <w:pPr>
        <w:pStyle w:val="5"/>
        <w:keepNext/>
        <w:numPr>
          <w:numId w:val="0"/>
        </w:numPr>
        <w:spacing w:line="360" w:lineRule="auto" w:before="160" w:after="120"/>
        <w:ind w:firstLine="0"/>
      </w:pPr>
      <w:bookmarkStart w:id="55" w:name="多准则评价与差异化投资"/>
      <w:r>
        <w:rPr>
          <w:rFonts w:ascii="Times New Roman" w:hAnsi="Times New Roman" w:eastAsia="方正仿宋_GBK"/>
          <w:b/>
          <w:sz w:val="26"/>
        </w:rPr>
        <w:t xml:space="preserve">2.2.6 多准则评价与差异化投资</w:t>
      </w:r>
      <w:bookmarkEnd w:id="55"/>
    </w:p>
    <w:p>
      <w:pPr>
        <w:pStyle w:val="FirstParagraph"/>
        <w:widowControl/>
        <w:spacing w:line="300" w:lineRule="auto"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容载比纳入评价指标并给出四级分级阈值，用于区域电网分类和综合评价[16]。</w:t>
      </w:r>
    </w:p>
    <w:p>
      <w:pPr>
        <w:pStyle w:val="2"/>
        <w:widowControl/>
        <w:spacing w:line="300" w:lineRule="auto"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机制可用于剔除不满足关键要求的规划方案[17]；汪志才等的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将不同项目的工程功能纳入评价[72]。</w:t>
      </w:r>
    </w:p>
    <w:p>
      <w:pPr>
        <w:pStyle w:val="5"/>
        <w:keepNext/>
        <w:numPr>
          <w:numId w:val="0"/>
        </w:numPr>
        <w:spacing w:line="360" w:lineRule="auto" w:before="160" w:after="120"/>
        <w:ind w:firstLine="0"/>
      </w:pPr>
      <w:bookmarkStart w:id="56" w:name="区域案例与分层规划"/>
      <w:r>
        <w:rPr>
          <w:rFonts w:ascii="Times New Roman" w:hAnsi="Times New Roman" w:eastAsia="方正仿宋_GBK"/>
          <w:b/>
          <w:sz w:val="26"/>
        </w:rPr>
        <w:t xml:space="preserve">2.2.7 区域案例与分层规划</w:t>
      </w:r>
      <w:bookmarkEnd w:id="56"/>
    </w:p>
    <w:p>
      <w:pPr>
        <w:pStyle w:val="FirstParagraph"/>
        <w:widowControl/>
        <w:spacing w:line="300" w:lineRule="auto"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类三套方案对比），体现县域规划的资料组织与工程比选方法[73]。谢天祥等的研究提出以数据驱动的</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规划：其以浙江绍兴某含 6 座变电站的网格为对象，构建变电站层—中压线路层—配变层</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规划模型，使容载比由 1.86 降为 1.72（变电站层弹性度 0.93），对应节约主变 1 台/50 MVA、公用中压线路 13 条、配变 64 台/156 MVA，且不降低供电可靠性[74]。</w:t>
      </w:r>
    </w:p>
    <w:p>
      <w:pPr>
        <w:pStyle w:val="2"/>
        <w:widowControl/>
        <w:spacing w:line="300" w:lineRule="auto"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做承德实际系统的消纳方案择优[75]；孙东磊等以 ADMM + 二阶锥松弛做多层级配电网消纳空间分解测算，论证层间协调可提升总消纳空间（但其算例为 IEEE 6/7/9/10/12/15 合成测试系统，用于检验多层级协调方法）[76]。</w:t>
      </w:r>
    </w:p>
    <w:p>
      <w:pPr>
        <w:pStyle w:val="2"/>
        <w:widowControl/>
        <w:spacing w:line="300" w:lineRule="auto"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高压配电网负荷转供分层优化模型，为分析负荷转供与变电容量储备的关系提供参考[77]。</w:t>
      </w:r>
    </w:p>
    <w:p>
      <w:pPr>
        <w:pStyle w:val="2"/>
        <w:widowControl/>
        <w:spacing w:line="300" w:lineRule="auto" w:before="0" w:after="0"/>
        <w:ind w:firstLine="480"/>
        <w:jc w:val="both"/>
      </w:pPr>
      <w:r>
        <w:rPr>
          <w:rFonts w:ascii="Times New Roman" w:hAnsi="Times New Roman" w:eastAsia="方正仿宋_GBK"/>
          <w:b w:val="0"/>
          <w:sz w:val="24"/>
        </w:rPr>
        <w:t xml:space="preserve">此外，Zhao 等以浙江嘉兴/平湖示范区构建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万美元），说明电网侧工程是综合投资的重要组成部分[78]。</w:t>
      </w:r>
    </w:p>
    <w:p>
      <w:pPr>
        <w:pStyle w:val="5"/>
        <w:keepNext/>
        <w:numPr>
          <w:numId w:val="0"/>
        </w:numPr>
        <w:spacing w:line="360" w:lineRule="auto" w:before="160" w:after="120"/>
        <w:ind w:firstLine="0"/>
      </w:pPr>
      <w:bookmarkStart w:id="57" w:name="政策与标准导向"/>
      <w:r>
        <w:rPr>
          <w:rFonts w:ascii="Times New Roman" w:hAnsi="Times New Roman" w:eastAsia="方正仿宋_GBK"/>
          <w:b/>
          <w:sz w:val="26"/>
        </w:rPr>
        <w:t xml:space="preserve">2.2.8 政策与标准导向</w:t>
      </w:r>
      <w:bookmarkEnd w:id="57"/>
    </w:p>
    <w:p>
      <w:pPr>
        <w:pStyle w:val="FirstParagraph"/>
        <w:widowControl/>
        <w:spacing w:line="300" w:lineRule="auto"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2041—2025《分布式电源接入电力系统承载力评估导则》规定系统级及设备级承载力计算、结果校核和可开放容量评估方法[11]。GB/T 45418—2025《配电网通用技术导则》为下级配电网技术分析提供补充依据[18]。《配电网规划设计技术导则（修订稿，2025年4月）》提出分布式电源装机渗透率和电量渗透率指标，用于判断源荷发展水平及反向容量校核需求[19]。</w:t>
      </w:r>
    </w:p>
    <w:p>
      <w:pPr>
        <w:pStyle w:val="2"/>
        <w:widowControl/>
        <w:spacing w:line="300" w:lineRule="auto"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00" w:lineRule="auto"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60" w:lineRule="auto" w:before="160" w:after="120"/>
        <w:ind w:firstLine="0"/>
      </w:pPr>
      <w:bookmarkStart w:id="58" w:name="国内研究小结"/>
      <w:r>
        <w:rPr>
          <w:rFonts w:ascii="Times New Roman" w:hAnsi="Times New Roman" w:eastAsia="方正仿宋_GBK"/>
          <w:b/>
          <w:sz w:val="26"/>
        </w:rPr>
        <w:t xml:space="preserve">2.2.9 国内研究小结</w:t>
      </w:r>
      <w:bookmarkEnd w:id="58"/>
    </w:p>
    <w:p>
      <w:pPr>
        <w:pStyle w:val="FirstParagraph"/>
        <w:widowControl/>
        <w:spacing w:line="300" w:lineRule="auto"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bookmarkStart w:id="1135" w:name="h135"/>
      <w:pPr>
        <w:pStyle w:val="4"/>
        <w:keepNext/>
        <w:numPr>
          <w:numId w:val="0"/>
        </w:numPr>
        <w:spacing w:line="360" w:lineRule="auto" w:before="160" w:after="120"/>
        <w:ind w:firstLine="0"/>
      </w:pPr>
      <w:bookmarkStart w:id="59" w:name="国内外研究对比与述评"/>
      <w:r>
        <w:rPr>
          <w:rFonts w:ascii="Times New Roman" w:hAnsi="Times New Roman" w:eastAsia="方正仿宋_GBK"/>
          <w:b/>
          <w:sz w:val="32"/>
        </w:rPr>
        <w:t xml:space="preserve">2.3 国内外研究对比与述评</w:t>
      </w:r>
      <w:bookmarkEnd w:id="59"/>
      <w:bookmarkEnd w:id="1135"/>
    </w:p>
    <w:p>
      <w:pPr>
        <w:pStyle w:val="FirstParagraph"/>
        <w:widowControl/>
        <w:spacing w:line="300" w:lineRule="auto"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00" w:lineRule="auto"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300" w:lineRule="auto"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研究主题</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2.1.1、2.2.2</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2.1.2、2.2.3</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2.1.3、2.2.4</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分析邳州20站及市区29站的配置差异</w:t>
            </w:r>
          </w:p>
        </w:tc>
      </w:tr>
    </w:tbl>
    <w:p>
      <w:pPr>
        <w:pStyle w:val="2"/>
        <w:widowControl/>
        <w:spacing w:line="300" w:lineRule="auto"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r>
        <w:rPr>
          <w:rFonts w:ascii="Times New Roman" w:hAnsi="Times New Roman" w:eastAsia="方正仿宋_GBK"/>
          <w:b w:val="0"/>
          <w:sz w:val="24"/>
        </w:rPr>
        <w:t xml:space="preserve"> </w:t>
      </w:r>
      <w:r>
        <w:rPr>
          <w:rFonts w:ascii="Times New Roman" w:hAnsi="Times New Roman" w:eastAsia="方正仿宋_GBK"/>
          <w:b w:val="0"/>
          <w:sz w:val="24"/>
        </w:rPr>
        <w:t xml:space="preserve">### 2.3.1 承载力评估与容量规划的侧重点</w:t>
      </w:r>
    </w:p>
    <w:p>
      <w:pPr>
        <w:pStyle w:val="2"/>
        <w:widowControl/>
        <w:spacing w:line="300" w:lineRule="auto" w:before="0" w:after="0"/>
        <w:ind w:firstLine="480"/>
        <w:jc w:val="both"/>
      </w:pPr>
      <w:r>
        <w:rPr>
          <w:rFonts w:ascii="Times New Roman" w:hAnsi="Times New Roman" w:eastAsia="方正仿宋_GBK"/>
          <w:b w:val="0"/>
          <w:sz w:val="24"/>
        </w:rPr>
        <w:t xml:space="preserve">国外文献较多从光伏接入上限出发，采用概率、鲁棒优化或主动控制判断电压和设备约束；国内文献同时积累了容载比、最大供电能力、供电区域分类和工程造价研究。两类研究在数据和约束层面可以衔接：分布式电源发展决定站级正反向净负荷，变电容量与下级网络决定可供负荷，储能及联络措施在技术可行范围内影响费用。</w:t>
      </w:r>
    </w:p>
    <w:p>
      <w:pPr>
        <w:pStyle w:val="2"/>
        <w:widowControl/>
        <w:spacing w:line="300" w:lineRule="auto"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5"/>
        <w:keepNext/>
        <w:numPr>
          <w:numId w:val="0"/>
        </w:numPr>
        <w:spacing w:line="360" w:lineRule="auto" w:before="160" w:after="120"/>
        <w:ind w:firstLine="0"/>
      </w:pPr>
      <w:bookmarkStart w:id="60" w:name="储能与网架建设的经济比较"/>
      <w:r>
        <w:rPr>
          <w:rFonts w:ascii="Times New Roman" w:hAnsi="Times New Roman" w:eastAsia="方正仿宋_GBK"/>
          <w:b/>
          <w:sz w:val="26"/>
        </w:rPr>
        <w:t xml:space="preserve">2.3.2 储能与网架建设的经济比较</w:t>
      </w:r>
      <w:bookmarkEnd w:id="60"/>
    </w:p>
    <w:p>
      <w:pPr>
        <w:pStyle w:val="FirstParagraph"/>
        <w:widowControl/>
        <w:spacing w:line="300" w:lineRule="auto"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00" w:lineRule="auto"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退出后的供电需求，费用结果因而能够对应明确的设备配置。</w:t>
      </w:r>
    </w:p>
    <w:p>
      <w:pPr>
        <w:pStyle w:val="5"/>
        <w:keepNext/>
        <w:numPr>
          <w:numId w:val="0"/>
        </w:numPr>
        <w:spacing w:line="360" w:lineRule="auto" w:before="160" w:after="120"/>
        <w:ind w:firstLine="0"/>
      </w:pPr>
      <w:bookmarkStart w:id="61" w:name="区域案例与参数推荐表的联系"/>
      <w:r>
        <w:rPr>
          <w:rFonts w:ascii="Times New Roman" w:hAnsi="Times New Roman" w:eastAsia="方正仿宋_GBK"/>
          <w:b/>
          <w:sz w:val="26"/>
        </w:rPr>
        <w:t xml:space="preserve">2.3.3 区域案例与参数推荐表的联系</w:t>
      </w:r>
      <w:bookmarkEnd w:id="61"/>
    </w:p>
    <w:p>
      <w:pPr>
        <w:pStyle w:val="FirstParagraph"/>
        <w:widowControl/>
        <w:spacing w:line="300" w:lineRule="auto"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[45][46][74]。本项目从邳州与市区案例出发，将地区名称和规模转换为一般站群结构，保留装机渗透率、负荷增长、持续时间及相对工程费用作为可比较参数。</w:t>
      </w:r>
    </w:p>
    <w:p>
      <w:pPr>
        <w:pStyle w:val="2"/>
        <w:widowControl/>
        <w:spacing w:line="300" w:lineRule="auto" w:before="0" w:after="0"/>
        <w:ind w:firstLine="480"/>
        <w:jc w:val="both"/>
      </w:pPr>
      <w:r>
        <w:rPr>
          <w:rFonts w:ascii="Times New Roman" w:hAnsi="Times New Roman" w:eastAsia="方正仿宋_GBK"/>
          <w:b w:val="0"/>
          <w:sz w:val="24"/>
        </w:rPr>
        <w:t xml:space="preserve">推荐矩阵按上述参数分档汇总容载比范围，逐站方案说明该范围与建设措施的联系。片区源荷条件或费用发生变化时，可以先调整对应参数档，再通过实际设备和网络条件重新确定主变、储能与联络组合。</w:t>
      </w:r>
    </w:p>
    <w:p>
      <w:bookmarkStart w:id="1148" w:name="h148"/>
      <w:pPr>
        <w:pStyle w:val="4"/>
        <w:keepNext/>
        <w:numPr>
          <w:numId w:val="0"/>
        </w:numPr>
        <w:spacing w:line="360" w:lineRule="auto" w:before="160" w:after="120"/>
        <w:ind w:firstLine="0"/>
      </w:pPr>
      <w:bookmarkStart w:id="62" w:name="容载比与供电能力的理论联系"/>
      <w:r>
        <w:rPr>
          <w:rFonts w:ascii="Times New Roman" w:hAnsi="Times New Roman" w:eastAsia="方正仿宋_GBK"/>
          <w:b/>
          <w:sz w:val="32"/>
        </w:rPr>
        <w:t xml:space="preserve">2.4 容载比与供电能力的理论联系</w:t>
      </w:r>
      <w:bookmarkEnd w:id="62"/>
      <w:bookmarkEnd w:id="1148"/>
    </w:p>
    <w:p>
      <w:pPr>
        <w:pStyle w:val="5"/>
        <w:keepNext/>
        <w:numPr>
          <w:numId w:val="0"/>
        </w:numPr>
        <w:spacing w:line="360" w:lineRule="auto" w:before="160" w:after="120"/>
        <w:ind w:firstLine="0"/>
      </w:pPr>
      <w:bookmarkStart w:id="63" w:name="区域容量储备与局部容量分布"/>
      <w:r>
        <w:rPr>
          <w:rFonts w:ascii="Times New Roman" w:hAnsi="Times New Roman" w:eastAsia="方正仿宋_GBK"/>
          <w:b/>
          <w:sz w:val="26"/>
        </w:rPr>
        <w:t xml:space="preserve">2.4.1 区域容量储备与局部容量分布</w:t>
      </w:r>
      <w:bookmarkEnd w:id="63"/>
    </w:p>
    <w:p>
      <w:pPr>
        <w:pStyle w:val="FirstParagraph"/>
        <w:widowControl/>
        <w:spacing w:line="300" w:lineRule="auto"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设备退出时还需考虑剩余主变、可转负荷与相邻站剩余容量[5][8]。区域内即使有较多空余容量，若下级网络不能把重载站的负荷转接出去，仍可能需要局部增容。容载比相同的两个地区，其局部供电能力和工程需求仍受站级结构影响。</w:t>
      </w:r>
    </w:p>
    <w:p>
      <w:pPr>
        <w:pStyle w:val="2"/>
        <w:widowControl/>
        <w:spacing w:line="300" w:lineRule="auto" w:before="0" w:after="0"/>
        <w:ind w:firstLine="480"/>
        <w:jc w:val="both"/>
      </w:pPr>
      <w:r>
        <w:rPr>
          <w:rFonts w:ascii="Times New Roman" w:hAnsi="Times New Roman" w:eastAsia="方正仿宋_GBK"/>
          <w:b w:val="0"/>
          <w:sz w:val="24"/>
        </w:rPr>
        <w:t xml:space="preserve">在多主变站中，容量总和不能直接替代单台主变退出后的剩余容量。两台容量相同的主变退出其中一台，站内剩余容量为原总容量的一半；三台同规格主变退出一台，剩余比例为三分之二。扩建主变可以同时改变总容量和退出后的剩余容量，其作用需要结合主变规格和供电需求分析。本研究将主变扩建作为独立建设变量，根据预留位置确定扩建条件，并计入相应工程费用。</w:t>
      </w:r>
    </w:p>
    <w:p>
      <w:pPr>
        <w:pStyle w:val="2"/>
        <w:widowControl/>
        <w:spacing w:line="300" w:lineRule="auto" w:before="0" w:after="0"/>
        <w:ind w:firstLine="480"/>
        <w:jc w:val="both"/>
      </w:pPr>
      <w:r>
        <w:rPr>
          <w:rFonts w:ascii="Times New Roman" w:hAnsi="Times New Roman" w:eastAsia="方正仿宋_GBK"/>
          <w:b w:val="0"/>
          <w:sz w:val="24"/>
        </w:rPr>
        <w:t xml:space="preserve">区域容量配置还受主变规格的离散性影响。某站需要增加的有效供电能力可能小于一个推荐规格的容量增量，采购整台设备后出现一定容量储备。随着负荷增加，储备被逐步使用，年度容载比下降。若直接求解连续容量再按最邻近规格取整，取整后的供电安全或费用最优性可能不成立。本项目将可选规格直接纳入整数模型，年度指标从实际规格合计得到。</w:t>
      </w:r>
    </w:p>
    <w:p>
      <w:pPr>
        <w:pStyle w:val="5"/>
        <w:keepNext/>
        <w:numPr>
          <w:numId w:val="0"/>
        </w:numPr>
        <w:spacing w:line="360" w:lineRule="auto" w:before="160" w:after="120"/>
        <w:ind w:firstLine="0"/>
      </w:pPr>
      <w:bookmarkStart w:id="64" w:name="中压联络对容量配置的作用"/>
      <w:r>
        <w:rPr>
          <w:rFonts w:ascii="Times New Roman" w:hAnsi="Times New Roman" w:eastAsia="方正仿宋_GBK"/>
          <w:b/>
          <w:sz w:val="26"/>
        </w:rPr>
        <w:t xml:space="preserve">2.4.2 中压联络对容量配置的作用</w:t>
      </w:r>
      <w:bookmarkEnd w:id="64"/>
    </w:p>
    <w:p>
      <w:pPr>
        <w:pStyle w:val="FirstParagraph"/>
        <w:widowControl/>
        <w:spacing w:line="300" w:lineRule="auto"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[8]。工程上需要分别核实负荷是否可分段、通道是否可用、受端主变是否有余量。可转负荷由通道条件与两端容量共同确定。</w:t>
      </w:r>
    </w:p>
    <w:p>
      <w:pPr>
        <w:pStyle w:val="2"/>
        <w:widowControl/>
        <w:spacing w:line="300" w:lineRule="auto" w:before="0" w:after="0"/>
        <w:ind w:firstLine="480"/>
        <w:jc w:val="both"/>
      </w:pPr>
      <w:r>
        <w:rPr>
          <w:rFonts w:ascii="Times New Roman" w:hAnsi="Times New Roman" w:eastAsia="方正仿宋_GBK"/>
          <w:b w:val="0"/>
          <w:sz w:val="24"/>
        </w:rPr>
        <w:t xml:space="preserve">正常负荷转接改变站级供电任务，可以使部分站原有储备承担邻站负荷，减少局部新增容量或储能。对区县整体而言，用户需求保持不变，送出和接收应成对计量。忽略线路损耗时，区域负荷总量守恒；联络容量也不属于主变铭牌容量。本研究在模型中保留两端约束，使联络收益表现为设备配置变化，而非容载比分母的人为下降。</w:t>
      </w:r>
    </w:p>
    <w:p>
      <w:pPr>
        <w:pStyle w:val="2"/>
        <w:widowControl/>
        <w:spacing w:line="300" w:lineRule="auto"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站间转移比例处于相关故障或检修语境[5]。本报告采用市区50%、邳州28.29%的初始能力参数，用于区县内部负荷配置。负荷经正常转接后，单台主变退出容量按调整后的站级任务校核，校核中采用相应剩余主变容量和储能支撑能力。</w:t>
      </w:r>
    </w:p>
    <w:p>
      <w:pPr>
        <w:pStyle w:val="2"/>
        <w:widowControl/>
        <w:spacing w:line="300" w:lineRule="auto" w:before="0" w:after="0"/>
        <w:ind w:firstLine="480"/>
        <w:jc w:val="both"/>
      </w:pPr>
      <w:r>
        <w:rPr>
          <w:rFonts w:ascii="Times New Roman" w:hAnsi="Times New Roman" w:eastAsia="方正仿宋_GBK"/>
          <w:b w:val="0"/>
          <w:sz w:val="24"/>
        </w:rPr>
        <w:t xml:space="preserve">本研究分别建立既有与新增转供能力预算。既有能力按初始转供率计取，新建联络按项目提高能力；送端可转负荷、受端容量及反向压力共同限制其使用量。工程费用决定能力不足时采用新建联络、增容或储能的组合。</w:t>
      </w:r>
    </w:p>
    <w:p>
      <w:pPr>
        <w:pStyle w:val="5"/>
        <w:keepNext/>
        <w:numPr>
          <w:numId w:val="0"/>
        </w:numPr>
        <w:spacing w:line="360" w:lineRule="auto" w:before="160" w:after="120"/>
        <w:ind w:firstLine="0"/>
      </w:pPr>
      <w:bookmarkStart w:id="65" w:name="负荷发展储备的时间特征"/>
      <w:r>
        <w:rPr>
          <w:rFonts w:ascii="Times New Roman" w:hAnsi="Times New Roman" w:eastAsia="方正仿宋_GBK"/>
          <w:b/>
          <w:sz w:val="26"/>
        </w:rPr>
        <w:t xml:space="preserve">2.4.3 负荷发展储备的时间特征</w:t>
      </w:r>
      <w:bookmarkEnd w:id="65"/>
    </w:p>
    <w:p>
      <w:pPr>
        <w:pStyle w:val="FirstParagraph"/>
        <w:widowControl/>
        <w:spacing w:line="300" w:lineRule="auto" w:before="0" w:after="0"/>
        <w:ind w:firstLine="480"/>
        <w:jc w:val="both"/>
      </w:pPr>
      <w:r>
        <w:rPr>
          <w:rFonts w:ascii="Times New Roman" w:hAnsi="Times New Roman" w:eastAsia="方正仿宋_GBK"/>
          <w:b w:val="0"/>
          <w:sz w:val="24"/>
        </w:rPr>
        <w:t xml:space="preserve">负荷发展储备与规划年份直接相关。建设一台主变通常不能按年度自由缩减，负荷则可能在不同年份上升或下降。年度规划路径因此需要处理资产持续在役和负荷波动的共同影响。用一个规划末年容量倒推全部年度，会遗漏提前建设费用与中间年份的容量约束。</w:t>
      </w:r>
    </w:p>
    <w:p>
      <w:pPr>
        <w:pStyle w:val="2"/>
        <w:widowControl/>
        <w:spacing w:line="300" w:lineRule="auto" w:before="0" w:after="0"/>
        <w:ind w:firstLine="480"/>
        <w:jc w:val="both"/>
      </w:pPr>
      <w:r>
        <w:rPr>
          <w:rFonts w:ascii="Times New Roman" w:hAnsi="Times New Roman" w:eastAsia="方正仿宋_GBK"/>
          <w:b w:val="0"/>
          <w:sz w:val="24"/>
        </w:rPr>
        <w:t xml:space="preserve">DL/T 5729—2023按年负荷平均增长水平给出容载比建议档位[5]。对本项目四个同比增长率采用近年权重较高的平均值，可以减弱单一年度作为判断依据的影响，规划预测结合统计范围、气象条件、新增用户、产业计划及负荷兑现情况确定。本研究将年负荷平均增长率用于容载比2.00起点后的四年需求推演，历史年度数据用于现状分析。</w:t>
      </w:r>
    </w:p>
    <w:p>
      <w:pPr>
        <w:pStyle w:val="2"/>
        <w:widowControl/>
        <w:spacing w:line="300" w:lineRule="auto" w:before="0" w:after="0"/>
        <w:ind w:firstLine="480"/>
        <w:jc w:val="both"/>
      </w:pPr>
      <w:r>
        <w:rPr>
          <w:rFonts w:ascii="Times New Roman" w:hAnsi="Times New Roman" w:eastAsia="方正仿宋_GBK"/>
          <w:b w:val="0"/>
          <w:sz w:val="24"/>
        </w:rPr>
        <w:t xml:space="preserve">增长参数影响供电需求，同时影响容载比分母。在资产非减条件下，较低增长可能使已配置容量对应的容载比较高；较高增长可能触发新的主变或储能建设。离散措施使变化呈台阶形态，推荐矩阵按分档情景归纳容量变化。</w:t>
      </w:r>
    </w:p>
    <w:p>
      <w:bookmarkStart w:id="1162" w:name="h162"/>
      <w:pPr>
        <w:pStyle w:val="4"/>
        <w:keepNext/>
        <w:numPr>
          <w:numId w:val="0"/>
        </w:numPr>
        <w:spacing w:line="360" w:lineRule="auto" w:before="160" w:after="120"/>
        <w:ind w:firstLine="0"/>
      </w:pPr>
      <w:bookmarkStart w:id="66" w:name="高渗透率下的源荷特征与容量压力"/>
      <w:r>
        <w:rPr>
          <w:rFonts w:ascii="Times New Roman" w:hAnsi="Times New Roman" w:eastAsia="方正仿宋_GBK"/>
          <w:b/>
          <w:sz w:val="32"/>
        </w:rPr>
        <w:t xml:space="preserve">2.5 高渗透率下的源荷特征与容量压力</w:t>
      </w:r>
      <w:bookmarkEnd w:id="66"/>
      <w:bookmarkEnd w:id="1162"/>
    </w:p>
    <w:p>
      <w:pPr>
        <w:pStyle w:val="5"/>
        <w:keepNext/>
        <w:numPr>
          <w:numId w:val="0"/>
        </w:numPr>
        <w:spacing w:line="360" w:lineRule="auto" w:before="160" w:after="120"/>
        <w:ind w:firstLine="0"/>
      </w:pPr>
      <w:bookmarkStart w:id="67" w:name="用户负荷网供负荷与净负荷"/>
      <w:r>
        <w:rPr>
          <w:rFonts w:ascii="Times New Roman" w:hAnsi="Times New Roman" w:eastAsia="方正仿宋_GBK"/>
          <w:b/>
          <w:sz w:val="26"/>
        </w:rPr>
        <w:t xml:space="preserve">2.5.1 用户负荷、网供负荷与净负荷</w:t>
      </w:r>
      <w:bookmarkEnd w:id="67"/>
    </w:p>
    <w:p>
      <w:pPr>
        <w:pStyle w:val="FirstParagraph"/>
        <w:widowControl/>
        <w:spacing w:line="300" w:lineRule="auto" w:before="0" w:after="0"/>
        <w:ind w:firstLine="480"/>
        <w:jc w:val="both"/>
      </w:pPr>
      <w:r>
        <w:rPr>
          <w:rFonts w:ascii="Times New Roman" w:hAnsi="Times New Roman" w:eastAsia="方正仿宋_GBK"/>
          <w:b w:val="0"/>
          <w:sz w:val="24"/>
        </w:rPr>
        <w:t xml:space="preserve">用户负荷表达用户实际用电需求，网供负荷表达电网向用户供电的剩余任务。分布式电源参与本地供电后，二者需要通过同一范围的发电和交换功率对应。在忽略损耗的简化关系中，净负荷为用户用电功率减去本地发电功率。正值表示受电，负值表示反送。源荷平衡按同一时段和统计范围建立。</w:t>
      </w:r>
    </w:p>
    <w:p>
      <w:pPr>
        <w:pStyle w:val="2"/>
        <w:widowControl/>
        <w:spacing w:line="300" w:lineRule="auto" w:before="0" w:after="0"/>
        <w:ind w:firstLine="480"/>
        <w:jc w:val="both"/>
      </w:pPr>
      <w:r>
        <w:rPr>
          <w:rFonts w:ascii="Times New Roman" w:hAnsi="Times New Roman" w:eastAsia="方正仿宋_GBK"/>
          <w:b w:val="0"/>
          <w:sz w:val="24"/>
        </w:rPr>
        <w:t xml:space="preserve">分布式电源装机渗透率的分母是用户最大用电负荷，容载比的分母是年网供最大负荷；前者用于表达装机与用电规模，后者用于表达主变容量与区域供电峰值[5][19]。光伏增长时，两种分母可能发生不同变化。如果把降压负荷直接作为用户最大负荷，日间光伏供电作用可能被重复计入分布式电源装机渗透率，导致不同地区比较失真。</w:t>
      </w:r>
    </w:p>
    <w:p>
      <w:pPr>
        <w:pStyle w:val="2"/>
        <w:widowControl/>
        <w:spacing w:line="300" w:lineRule="auto"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5"/>
        <w:keepNext/>
        <w:numPr>
          <w:numId w:val="0"/>
        </w:numPr>
        <w:spacing w:line="360" w:lineRule="auto" w:before="160" w:after="120"/>
        <w:ind w:firstLine="0"/>
      </w:pPr>
      <w:bookmarkStart w:id="68" w:name="正反向极值的设备含义"/>
      <w:r>
        <w:rPr>
          <w:rFonts w:ascii="Times New Roman" w:hAnsi="Times New Roman" w:eastAsia="方正仿宋_GBK"/>
          <w:b/>
          <w:sz w:val="26"/>
        </w:rPr>
        <w:t xml:space="preserve">2.5.2 正反向极值的设备含义</w:t>
      </w:r>
      <w:bookmarkEnd w:id="68"/>
    </w:p>
    <w:p>
      <w:pPr>
        <w:pStyle w:val="FirstParagraph"/>
        <w:widowControl/>
        <w:spacing w:line="300" w:lineRule="auto"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00" w:lineRule="auto" w:before="0" w:after="0"/>
        <w:ind w:firstLine="480"/>
        <w:jc w:val="both"/>
      </w:pPr>
      <w:r>
        <w:rPr>
          <w:rFonts w:ascii="Times New Roman" w:hAnsi="Times New Roman" w:eastAsia="方正仿宋_GBK"/>
          <w:b w:val="0"/>
          <w:sz w:val="24"/>
        </w:rPr>
        <w:t xml:space="preserve">正向与反向场景的网络和保护条件可能不同。正向供电安全涉及用户恢复供电，反向接入还涉及上级网络、电压和保护配合。把两个方向压缩为绝对峰值后，仍需分别保存方向及对应场景。正反向净负荷分别对应相应技术约束。</w:t>
      </w:r>
    </w:p>
    <w:p>
      <w:pPr>
        <w:pStyle w:val="2"/>
        <w:widowControl/>
        <w:spacing w:line="300" w:lineRule="auto" w:before="0" w:after="0"/>
        <w:ind w:firstLine="480"/>
        <w:jc w:val="both"/>
      </w:pPr>
      <w:r>
        <w:rPr>
          <w:rFonts w:ascii="Times New Roman" w:hAnsi="Times New Roman" w:eastAsia="方正仿宋_GBK"/>
          <w:b w:val="0"/>
          <w:sz w:val="24"/>
        </w:rPr>
        <w:t xml:space="preserve">站级各自最大反送功率相加，一般不等于区域同步反送峰值。若不同时刻的站峰相加，结果只能作为上侧压力指标；形成区域峰值时，应先在同一时间轴上逐时汇总，再取极值。本项目站级技术约束和区县容载比分母分开设置，避免将各站独立最大值之和写作区域年最大负荷。</w:t>
      </w:r>
    </w:p>
    <w:p>
      <w:pPr>
        <w:pStyle w:val="5"/>
        <w:keepNext/>
        <w:numPr>
          <w:numId w:val="0"/>
        </w:numPr>
        <w:spacing w:line="360" w:lineRule="auto" w:before="160" w:after="120"/>
        <w:ind w:firstLine="0"/>
      </w:pPr>
      <w:bookmarkStart w:id="69" w:name="峰值持续时间与尖峰能量"/>
      <w:r>
        <w:rPr>
          <w:rFonts w:ascii="Times New Roman" w:hAnsi="Times New Roman" w:eastAsia="方正仿宋_GBK"/>
          <w:b/>
          <w:sz w:val="26"/>
        </w:rPr>
        <w:t xml:space="preserve">2.5.3 峰值持续时间与尖峰能量</w:t>
      </w:r>
      <w:bookmarkEnd w:id="69"/>
    </w:p>
    <w:p>
      <w:pPr>
        <w:pStyle w:val="FirstParagraph"/>
        <w:widowControl/>
        <w:spacing w:line="300" w:lineRule="auto" w:before="0" w:after="0"/>
        <w:ind w:firstLine="480"/>
        <w:jc w:val="both"/>
      </w:pPr>
      <w:r>
        <w:rPr>
          <w:rFonts w:ascii="Times New Roman" w:hAnsi="Times New Roman" w:eastAsia="方正仿宋_GBK"/>
          <w:b w:val="0"/>
          <w:sz w:val="24"/>
        </w:rPr>
        <w:t xml:space="preserve">95%峰值持续时间在本项目中指功率达到相应方向峰值95%以上的连续时段长度。95%是相对幅值门槛，不表示全年功率样本的第95百分位，也不表示95%的保障概率。采用最长连续峰段，可以表达单次尖峰对持续支撑能力的要求；全年达到门槛的累计小时则反映出现频度，两者用途不同。</w:t>
      </w:r>
    </w:p>
    <w:p>
      <w:pPr>
        <w:pStyle w:val="2"/>
        <w:widowControl/>
        <w:spacing w:line="300" w:lineRule="auto" w:before="0" w:after="0"/>
        <w:ind w:firstLine="480"/>
        <w:jc w:val="both"/>
      </w:pPr>
      <w:r>
        <w:rPr>
          <w:rFonts w:ascii="Times New Roman" w:hAnsi="Times New Roman" w:eastAsia="方正仿宋_GBK"/>
          <w:b w:val="0"/>
          <w:sz w:val="24"/>
        </w:rPr>
        <w:t xml:space="preserve">对储能配置，仅有年度峰值幅度还不够。相同的5 MW缺口若持续1</w:t>
      </w:r>
      <w:r>
        <w:rPr>
          <w:rFonts w:ascii="Times New Roman" w:hAnsi="Times New Roman" w:eastAsia="方正仿宋_GBK"/>
          <w:b w:val="0"/>
          <w:sz w:val="24"/>
        </w:rPr>
        <w:t xml:space="preserve"> </w:t>
      </w:r>
      <m:oMath>
        <m:r>
          <m:t>h</m:t>
        </m:r>
      </m:oMath>
      <w:r>
        <w:rPr>
          <w:rFonts w:ascii="Times New Roman" w:hAnsi="Times New Roman" w:eastAsia="方正仿宋_GBK"/>
          <w:b w:val="0"/>
          <w:sz w:val="24"/>
        </w:rPr>
        <w:t xml:space="preserve">，最低理想放电能量为5 MWh；若持续5</w:t>
      </w:r>
      <w:r>
        <w:rPr>
          <w:rFonts w:ascii="Times New Roman" w:hAnsi="Times New Roman" w:eastAsia="方正仿宋_GBK"/>
          <w:b w:val="0"/>
          <w:sz w:val="24"/>
        </w:rPr>
        <w:t xml:space="preserve"> </w:t>
      </w:r>
      <m:oMath>
        <m:r>
          <m:t>h</m:t>
        </m:r>
      </m:oMath>
      <w:r>
        <w:rPr>
          <w:rFonts w:ascii="Times New Roman" w:hAnsi="Times New Roman" w:eastAsia="方正仿宋_GBK"/>
          <w:b w:val="0"/>
          <w:sz w:val="24"/>
        </w:rPr>
        <w:t xml:space="preserve">，所需能量相应增加。这是功率与能量的直接关系，实际工程还需考虑效率、可用荷电状态及容量衰减[9][10]。本项目静态模型以铭牌功率和峰段可持续能量共同限制储能支撑。</w:t>
      </w:r>
    </w:p>
    <w:p>
      <w:pPr>
        <w:pStyle w:val="2"/>
        <w:widowControl/>
        <w:spacing w:line="300" w:lineRule="auto" w:before="0" w:after="0"/>
        <w:ind w:firstLine="480"/>
        <w:jc w:val="both"/>
      </w:pPr>
      <w:r>
        <w:rPr>
          <w:rFonts w:ascii="Times New Roman" w:hAnsi="Times New Roman" w:eastAsia="方正仿宋_GBK"/>
          <w:b w:val="0"/>
          <w:sz w:val="24"/>
        </w:rPr>
        <w:t xml:space="preserve">峰值持续时间对缺测处理较敏感。缺失小时落在尖峰区间内，可能把同一连续事件拆成两段，也可能因插值而人为连接两个事件。年度时序存在较长缺口时，应保留缺测状态，报告统计的是已观测峰段或有明确补值规则的估计峰段。持续时间分析采用同一缺测处理规则。</w:t>
      </w:r>
    </w:p>
    <w:p>
      <w:pPr>
        <w:pStyle w:val="5"/>
        <w:keepNext/>
        <w:numPr>
          <w:numId w:val="0"/>
        </w:numPr>
        <w:spacing w:line="360" w:lineRule="auto" w:before="160" w:after="120"/>
        <w:ind w:firstLine="0"/>
      </w:pPr>
      <w:bookmarkStart w:id="70" w:name="分布式电源电量渗透率与负载率的相关性"/>
      <w:r>
        <w:rPr>
          <w:rFonts w:ascii="Times New Roman" w:hAnsi="Times New Roman" w:eastAsia="方正仿宋_GBK"/>
          <w:b/>
          <w:sz w:val="26"/>
        </w:rPr>
        <w:t xml:space="preserve">2.5.4 分布式电源电量渗透率与负载率的相关性</w:t>
      </w:r>
      <w:bookmarkEnd w:id="70"/>
    </w:p>
    <w:p>
      <w:pPr>
        <w:pStyle w:val="FirstParagraph"/>
        <w:widowControl/>
        <w:spacing w:line="300" w:lineRule="auto"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分布式电源电量渗透率提高与最大负载率下降因此不存在无条件对应关系[3][4][59]。容量配置、负荷时段和统计边界都会影响两者的相关方向。</w:t>
      </w:r>
    </w:p>
    <w:p>
      <w:pPr>
        <w:pStyle w:val="2"/>
        <w:widowControl/>
        <w:spacing w:line="300" w:lineRule="auto" w:before="0" w:after="0"/>
        <w:ind w:firstLine="480"/>
        <w:jc w:val="both"/>
      </w:pPr>
      <w:r>
        <w:rPr>
          <w:rFonts w:ascii="Times New Roman" w:hAnsi="Times New Roman" w:eastAsia="方正仿宋_GBK"/>
          <w:b w:val="0"/>
          <w:sz w:val="24"/>
        </w:rPr>
        <w:t xml:space="preserve">容量／负荷比与负载率还共享容量和峰值成分。若容载比固定按区域峰值计算，负载率也按同一峰值与总容量构造，二者具有代数反比关系，该相关性源于指标的计算关系。原表逐台主变负载率的中位数与区域容载比范围不同，分别反映设备分布和区域容量储备。</w:t>
      </w:r>
    </w:p>
    <w:p>
      <w:pPr>
        <w:pStyle w:val="2"/>
        <w:widowControl/>
        <w:spacing w:line="300" w:lineRule="auto" w:before="0" w:after="0"/>
        <w:ind w:firstLine="480"/>
        <w:jc w:val="both"/>
      </w:pPr>
      <w:r>
        <w:rPr>
          <w:rFonts w:ascii="Times New Roman" w:hAnsi="Times New Roman" w:eastAsia="方正仿宋_GBK"/>
          <w:b w:val="0"/>
          <w:sz w:val="24"/>
        </w:rPr>
        <w:t xml:space="preserve">邳州和市区的资料分别反映县域与市区的源荷条件。年度地区指标用于比较相对水平。对具有月度同范围资料的地区，可计算月度关联并说明样本内性质，为后续扩大实际数据样本提供依据。</w:t>
      </w:r>
    </w:p>
    <w:p>
      <w:bookmarkStart w:id="1179" w:name="h179"/>
      <w:pPr>
        <w:pStyle w:val="4"/>
        <w:keepNext/>
        <w:numPr>
          <w:numId w:val="0"/>
        </w:numPr>
        <w:spacing w:line="360" w:lineRule="auto" w:before="160" w:after="120"/>
        <w:ind w:firstLine="0"/>
      </w:pPr>
      <w:bookmarkStart w:id="71" w:name="主变联络与储能的经济替代条件"/>
      <w:r>
        <w:rPr>
          <w:rFonts w:ascii="Times New Roman" w:hAnsi="Times New Roman" w:eastAsia="方正仿宋_GBK"/>
          <w:b/>
          <w:sz w:val="32"/>
        </w:rPr>
        <w:t xml:space="preserve">2.6 主变、联络与储能的经济替代条件</w:t>
      </w:r>
      <w:bookmarkEnd w:id="71"/>
      <w:bookmarkEnd w:id="1179"/>
    </w:p>
    <w:p>
      <w:pPr>
        <w:pStyle w:val="5"/>
        <w:keepNext/>
        <w:numPr>
          <w:numId w:val="0"/>
        </w:numPr>
        <w:spacing w:line="360" w:lineRule="auto" w:before="160" w:after="120"/>
        <w:ind w:firstLine="0"/>
      </w:pPr>
      <w:bookmarkStart w:id="72" w:name="共同服务能力与费用分母"/>
      <w:r>
        <w:rPr>
          <w:rFonts w:ascii="Times New Roman" w:hAnsi="Times New Roman" w:eastAsia="方正仿宋_GBK"/>
          <w:b/>
          <w:sz w:val="26"/>
        </w:rPr>
        <w:t xml:space="preserve">2.6.1 共同服务能力与费用分母</w:t>
      </w:r>
      <w:bookmarkEnd w:id="72"/>
    </w:p>
    <w:p>
      <w:pPr>
        <w:pStyle w:val="FirstParagraph"/>
        <w:widowControl/>
        <w:spacing w:line="300" w:lineRule="auto" w:before="0" w:after="0"/>
        <w:ind w:firstLine="480"/>
        <w:jc w:val="both"/>
      </w:pPr>
      <w:r>
        <w:rPr>
          <w:rFonts w:ascii="Times New Roman" w:hAnsi="Times New Roman" w:eastAsia="方正仿宋_GBK"/>
          <w:b w:val="0"/>
          <w:sz w:val="24"/>
        </w:rPr>
        <w:t xml:space="preserve">三类措施按场景中的有效服务功率进行比较。主变以MVA标示视在容量，线路以长度和通道热限构造，储能同时具有MW与MWh。构造价格比时，需要先给出相应场景下的有效MW，再分别计算单位服务能力费用。统一单位用于比较单位服务功率投资，技术替代关系由容量、持续时间与转供约束确定。</w:t>
      </w:r>
    </w:p>
    <w:p>
      <w:pPr>
        <w:pStyle w:val="2"/>
        <w:widowControl/>
        <w:spacing w:line="300" w:lineRule="auto" w:before="0" w:after="0"/>
        <w:ind w:firstLine="480"/>
        <w:jc w:val="both"/>
      </w:pPr>
      <w:r>
        <w:rPr>
          <w:rFonts w:ascii="Times New Roman" w:hAnsi="Times New Roman" w:eastAsia="方正仿宋_GBK"/>
          <w:b w:val="0"/>
          <w:sz w:val="24"/>
        </w:rPr>
        <w:t xml:space="preserve">主变替换工程采购50 MVA、退出20 MVA时，新增容量为30 MVA。如果目标函数按新购容量计价，价格比应与新购有效MW对应；若说明工程每净增MW的投资，则需另按30 MVA计算。工程费用按新购容量计算，净增MW费用另用于说明替换项目的增量效果。本报告对这两种用途分别给出算式[7]。</w:t>
      </w:r>
    </w:p>
    <w:p>
      <w:pPr>
        <w:pStyle w:val="2"/>
        <w:widowControl/>
        <w:spacing w:line="300" w:lineRule="auto" w:before="0" w:after="0"/>
        <w:ind w:firstLine="480"/>
        <w:jc w:val="both"/>
      </w:pPr>
      <w:r>
        <w:rPr>
          <w:rFonts w:ascii="Times New Roman" w:hAnsi="Times New Roman" w:eastAsia="方正仿宋_GBK"/>
          <w:b w:val="0"/>
          <w:sz w:val="24"/>
        </w:rPr>
        <w:t xml:space="preserve">新增联络线的有效支撑量还取决于受端剩余容量。线路热限充足而受端没有容量，通道无法完成所设负荷任务；受端空余充足而负荷不能分段，同样不能按整条线路额定能力计收益。公开线路单位造价能够提供价格参考，实际可转任务需要网络资料支撑[8]。</w:t>
      </w:r>
    </w:p>
    <w:p>
      <w:pPr>
        <w:pStyle w:val="2"/>
        <w:widowControl/>
        <w:spacing w:line="300" w:lineRule="auto" w:before="0" w:after="0"/>
        <w:ind w:firstLine="480"/>
        <w:jc w:val="both"/>
      </w:pPr>
      <w:r>
        <w:rPr>
          <w:rFonts w:ascii="Times New Roman" w:hAnsi="Times New Roman" w:eastAsia="方正仿宋_GBK"/>
          <w:b w:val="0"/>
          <w:sz w:val="24"/>
        </w:rPr>
        <w:t xml:space="preserve">储能单位有效MW费用随峰段持续时间增加。将10柜包的投资除以1 MW，只适用于允许额定功率持续输出的时段条件。持续时间为3</w:t>
      </w:r>
      <w:r>
        <w:rPr>
          <w:rFonts w:ascii="Times New Roman" w:hAnsi="Times New Roman" w:eastAsia="方正仿宋_GBK"/>
          <w:b w:val="0"/>
          <w:sz w:val="24"/>
        </w:rPr>
        <w:t xml:space="preserve"> </w:t>
      </w:r>
      <m:oMath>
        <m:r>
          <m:t>h</m:t>
        </m:r>
      </m:oMath>
      <w:r>
        <w:rPr>
          <w:rFonts w:ascii="Times New Roman" w:hAnsi="Times New Roman" w:eastAsia="方正仿宋_GBK"/>
          <w:b w:val="0"/>
          <w:sz w:val="24"/>
        </w:rPr>
        <w:t xml:space="preserve">时，2.15 MWh能量对应的理想持续功率仅为0.72 MW，单位有效MW费用相应提高。成本比例按各场景持续时间计算[10][85]。</w:t>
      </w:r>
    </w:p>
    <w:p>
      <w:pPr>
        <w:pStyle w:val="5"/>
        <w:keepNext/>
        <w:numPr>
          <w:numId w:val="0"/>
        </w:numPr>
        <w:spacing w:line="360" w:lineRule="auto" w:before="160" w:after="120"/>
        <w:ind w:firstLine="0"/>
      </w:pPr>
      <w:bookmarkStart w:id="73" w:name="统一评价期与更新费用"/>
      <w:r>
        <w:rPr>
          <w:rFonts w:ascii="Times New Roman" w:hAnsi="Times New Roman" w:eastAsia="方正仿宋_GBK"/>
          <w:b/>
          <w:sz w:val="26"/>
        </w:rPr>
        <w:t xml:space="preserve">2.6.2 统一评价期与更新费用</w:t>
      </w:r>
      <w:bookmarkEnd w:id="73"/>
    </w:p>
    <w:p>
      <w:pPr>
        <w:pStyle w:val="FirstParagraph"/>
        <w:widowControl/>
        <w:spacing w:line="300" w:lineRule="auto" w:before="0" w:after="0"/>
        <w:ind w:firstLine="480"/>
        <w:jc w:val="both"/>
      </w:pPr>
      <w:r>
        <w:rPr>
          <w:rFonts w:ascii="Times New Roman" w:hAnsi="Times New Roman" w:eastAsia="方正仿宋_GBK"/>
          <w:b w:val="0"/>
          <w:sz w:val="24"/>
        </w:rPr>
        <w:t xml:space="preserve">全寿命费用方法将初始投资、固定运维及寿命更新纳入同一评价基准[10][12][13]。如果储能寿命短于网架设备，评价期内可能出现更新投资。只比较初始造价会遗漏这一差异，并高估储能替代长期容量建设的经济性。相反，延后投运减少早期资金占用，也可能影响费用现值。</w:t>
      </w:r>
    </w:p>
    <w:p>
      <w:pPr>
        <w:pStyle w:val="2"/>
        <w:widowControl/>
        <w:spacing w:line="300" w:lineRule="auto"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敏感性分析检验价格变化对选择的影响，实际项目采用核定概算。</w:t>
      </w:r>
    </w:p>
    <w:p>
      <w:pPr>
        <w:pStyle w:val="2"/>
        <w:widowControl/>
        <w:spacing w:line="300" w:lineRule="auto" w:before="0" w:after="0"/>
        <w:ind w:firstLine="480"/>
        <w:jc w:val="both"/>
      </w:pPr>
      <w:r>
        <w:rPr>
          <w:rFonts w:ascii="Times New Roman" w:hAnsi="Times New Roman" w:eastAsia="方正仿宋_GBK"/>
          <w:b w:val="0"/>
          <w:sz w:val="24"/>
        </w:rPr>
        <w:t xml:space="preserve">本项目采用固定实价和固定运维比例，未另设价格通胀。折现率与实价口径相匹配，储能更新按相同实价计算。为简化参数分析，价格变化集中于主变／线路和主变／储能两个比例。未来储能价格下降通过储能初始及更新价格共同降低的情景表达，价格情景用于比较措施的相对费用。</w:t>
      </w:r>
    </w:p>
    <w:p>
      <w:pPr>
        <w:pStyle w:val="5"/>
        <w:keepNext/>
        <w:numPr>
          <w:numId w:val="0"/>
        </w:numPr>
        <w:spacing w:line="360" w:lineRule="auto" w:before="160" w:after="120"/>
        <w:ind w:firstLine="0"/>
      </w:pPr>
      <w:bookmarkStart w:id="74" w:name="技术约束先于经济优选"/>
      <w:r>
        <w:rPr>
          <w:rFonts w:ascii="Times New Roman" w:hAnsi="Times New Roman" w:eastAsia="方正仿宋_GBK"/>
          <w:b/>
          <w:sz w:val="26"/>
        </w:rPr>
        <w:t xml:space="preserve">2.6.3 技术约束先于经济优选</w:t>
      </w:r>
      <w:bookmarkEnd w:id="74"/>
    </w:p>
    <w:p>
      <w:pPr>
        <w:pStyle w:val="FirstParagraph"/>
        <w:widowControl/>
        <w:spacing w:line="300" w:lineRule="auto" w:before="0" w:after="0"/>
        <w:ind w:firstLine="480"/>
        <w:jc w:val="both"/>
      </w:pPr>
      <w:r>
        <w:rPr>
          <w:rFonts w:ascii="Times New Roman" w:hAnsi="Times New Roman" w:eastAsia="方正仿宋_GBK"/>
          <w:b w:val="0"/>
          <w:sz w:val="24"/>
        </w:rPr>
        <w:t xml:space="preserve">经济模型只在技术可行集合内选择措施。供电安全容量不足的方案即使费用较低，也不能与可行方案并列推荐。因而，首先要明确正反向和主变退出容量的计算方法，再比较设备采购和投运年份。</w:t>
      </w:r>
    </w:p>
    <w:p>
      <w:pPr>
        <w:pStyle w:val="2"/>
        <w:widowControl/>
        <w:spacing w:line="300" w:lineRule="auto" w:before="0" w:after="0"/>
        <w:ind w:firstLine="480"/>
        <w:jc w:val="both"/>
      </w:pPr>
      <w:r>
        <w:rPr>
          <w:rFonts w:ascii="Times New Roman" w:hAnsi="Times New Roman" w:eastAsia="方正仿宋_GBK"/>
          <w:b w:val="0"/>
          <w:sz w:val="24"/>
        </w:rPr>
        <w:t xml:space="preserve">多准则评价适于对已通过技术筛查的方案比较实施条件和规划适应性[15][16][17]。本报告以费用最小形成计算推荐，供电安全和设备规格作为硬约束，工程实施条件作为应用前核对项。</w:t>
      </w:r>
    </w:p>
    <w:p>
      <w:pPr>
        <w:pStyle w:val="2"/>
        <w:widowControl/>
        <w:spacing w:line="300" w:lineRule="auto" w:before="0" w:after="0"/>
        <w:ind w:firstLine="480"/>
        <w:jc w:val="both"/>
      </w:pPr>
      <w:r>
        <w:rPr>
          <w:rFonts w:ascii="Times New Roman" w:hAnsi="Times New Roman" w:eastAsia="方正仿宋_GBK"/>
          <w:b w:val="0"/>
          <w:sz w:val="24"/>
        </w:rPr>
        <w:t xml:space="preserve">在矩阵中，推荐值应与价格比、峰段时间和负荷条件一起给出。同一推荐容载比可对应不同设备布局，费用相同也可能出现多组整数解。报告采用明确的同费用偏好规则保存代表方案，代表方案对应同费用范围内的一组可行配置。</w:t>
      </w:r>
    </w:p>
    <w:p>
      <w:bookmarkStart w:id="1193" w:name="h193"/>
      <w:pPr>
        <w:pStyle w:val="4"/>
        <w:keepNext/>
        <w:numPr>
          <w:numId w:val="0"/>
        </w:numPr>
        <w:spacing w:line="360" w:lineRule="auto" w:before="160" w:after="120"/>
        <w:ind w:firstLine="0"/>
      </w:pPr>
      <w:bookmarkStart w:id="75" w:name="规划寻优方法与本项目选型"/>
      <w:r>
        <w:rPr>
          <w:rFonts w:ascii="Times New Roman" w:hAnsi="Times New Roman" w:eastAsia="方正仿宋_GBK"/>
          <w:b/>
          <w:sz w:val="32"/>
        </w:rPr>
        <w:t xml:space="preserve">2.7 规划寻优方法与本项目选型</w:t>
      </w:r>
      <w:bookmarkEnd w:id="75"/>
      <w:bookmarkEnd w:id="1193"/>
    </w:p>
    <w:p>
      <w:pPr>
        <w:pStyle w:val="5"/>
        <w:keepNext/>
        <w:numPr>
          <w:numId w:val="0"/>
        </w:numPr>
        <w:spacing w:line="360" w:lineRule="auto" w:before="160" w:after="120"/>
        <w:ind w:firstLine="0"/>
      </w:pPr>
      <w:bookmarkStart w:id="76" w:name="整数规划与离散工程决策"/>
      <w:r>
        <w:rPr>
          <w:rFonts w:ascii="Times New Roman" w:hAnsi="Times New Roman" w:eastAsia="方正仿宋_GBK"/>
          <w:b/>
          <w:sz w:val="26"/>
        </w:rPr>
        <w:t xml:space="preserve">2.7.1 整数规划与离散工程决策</w:t>
      </w:r>
      <w:bookmarkEnd w:id="76"/>
    </w:p>
    <w:p>
      <w:pPr>
        <w:pStyle w:val="FirstParagraph"/>
        <w:widowControl/>
        <w:spacing w:line="300" w:lineRule="auto" w:before="0" w:after="0"/>
        <w:ind w:firstLine="480"/>
        <w:jc w:val="both"/>
      </w:pPr>
      <w:r>
        <w:rPr>
          <w:rFonts w:ascii="Times New Roman" w:hAnsi="Times New Roman" w:eastAsia="方正仿宋_GBK"/>
          <w:b w:val="0"/>
          <w:sz w:val="24"/>
        </w:rPr>
        <w:t xml:space="preserve">主变规格、台数和建设年份属于离散工程决策，储能柜数也受成套采购规格限制。线路投运状态由未建转为已建，不能按连续比例逐年撤销。这类状态和阶段关系适合采用混合整数规划描述。连续变量用于站间转接功率，整数变量用于配置与投运决策。</w:t>
      </w:r>
    </w:p>
    <w:p>
      <w:pPr>
        <w:pStyle w:val="2"/>
        <w:widowControl/>
        <w:spacing w:line="300" w:lineRule="auto" w:before="0" w:after="0"/>
        <w:ind w:firstLine="480"/>
        <w:jc w:val="both"/>
      </w:pPr>
      <w:r>
        <w:rPr>
          <w:rFonts w:ascii="Times New Roman" w:hAnsi="Times New Roman" w:eastAsia="方正仿宋_GBK"/>
          <w:b w:val="0"/>
          <w:sz w:val="24"/>
        </w:rPr>
        <w:t xml:space="preserve">对给定峰值持续时间，储能功率与能量折算为已知系数；主变有功承载力按统一功率因数折算；线路负荷转接保持线性守恒。技术条件因此可以写成线性约束。本研究统一按单台主变退出后满足全部转接负荷校核，供电区域类别用于确定候选设备规格和转供能力范围。</w:t>
      </w:r>
    </w:p>
    <w:p>
      <w:pPr>
        <w:pStyle w:val="2"/>
        <w:widowControl/>
        <w:spacing w:line="300" w:lineRule="auto"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整数规划将设备规格与工程数量直接作为决策变量，在正常运行和供电安全约束下比较措施费用。年度设备状态连续衔接，避免容量连续求解后取整造成的配置偏差。</w:t>
      </w:r>
    </w:p>
    <w:p>
      <w:pPr>
        <w:pStyle w:val="5"/>
        <w:keepNext/>
        <w:numPr>
          <w:numId w:val="0"/>
        </w:numPr>
        <w:spacing w:line="360" w:lineRule="auto" w:before="160" w:after="120"/>
        <w:ind w:firstLine="0"/>
      </w:pPr>
      <w:bookmarkStart w:id="77" w:name="分阶段目标与费用归因"/>
      <w:r>
        <w:rPr>
          <w:rFonts w:ascii="Times New Roman" w:hAnsi="Times New Roman" w:eastAsia="方正仿宋_GBK"/>
          <w:b/>
          <w:sz w:val="26"/>
        </w:rPr>
        <w:t xml:space="preserve">2.7.2 分阶段目标与费用归因</w:t>
      </w:r>
      <w:bookmarkEnd w:id="77"/>
    </w:p>
    <w:p>
      <w:pPr>
        <w:pStyle w:val="FirstParagraph"/>
        <w:widowControl/>
        <w:spacing w:line="300" w:lineRule="auto" w:before="0" w:after="0"/>
        <w:ind w:firstLine="480"/>
        <w:jc w:val="both"/>
      </w:pPr>
      <w:r>
        <w:rPr>
          <w:rFonts w:ascii="Times New Roman" w:hAnsi="Times New Roman" w:eastAsia="方正仿宋_GBK"/>
          <w:b w:val="0"/>
          <w:sz w:val="24"/>
        </w:rPr>
        <w:t xml:space="preserve">费用最小目标与容量偏好需要明确优先级。分阶段求解先确定费用最小目标的计算上界，再在小额数值容差内选择代表容量配置，能够保持经济目标的含义。</w:t>
      </w:r>
    </w:p>
    <w:p>
      <w:pPr>
        <w:pStyle w:val="2"/>
        <w:widowControl/>
        <w:spacing w:line="300" w:lineRule="auto" w:before="0" w:after="0"/>
        <w:ind w:firstLine="480"/>
        <w:jc w:val="both"/>
      </w:pPr>
      <w:r>
        <w:rPr>
          <w:rFonts w:ascii="Times New Roman" w:hAnsi="Times New Roman" w:eastAsia="方正仿宋_GBK"/>
          <w:b w:val="0"/>
          <w:sz w:val="24"/>
        </w:rPr>
        <w:t xml:space="preserve">正常转接量作为后续偏好，减少的是维持所选设备布局需要承担的转接任务。若在这一阶段固定整数设备，求得的是该布局下的最小连续转接量，转接结果用于说明所选设备布局的运行需求。</w:t>
      </w:r>
    </w:p>
    <w:p>
      <w:pPr>
        <w:pStyle w:val="2"/>
        <w:widowControl/>
        <w:spacing w:line="300" w:lineRule="auto" w:before="0" w:after="0"/>
        <w:ind w:firstLine="480"/>
        <w:jc w:val="both"/>
      </w:pPr>
      <w:r>
        <w:rPr>
          <w:rFonts w:ascii="Times New Roman" w:hAnsi="Times New Roman" w:eastAsia="方正仿宋_GBK"/>
          <w:b w:val="0"/>
          <w:sz w:val="24"/>
        </w:rPr>
        <w:t xml:space="preserve">两地区同步求解中设置了年度容载比排序条件，邳州和市区各自的刚性、弹性规划方案的所选合计费用是在这些共同条件下取得。地区内刚性与弹性费用差可用于比较本研究规划任务；若要单独归因于某一个容载比上限，则需另行撤销排序或改变该约束重求。当前条件推荐保留排序设定，避免将所有差额都归为放宽2.00的普适收益。</w:t>
      </w:r>
    </w:p>
    <w:p>
      <w:pPr>
        <w:pStyle w:val="5"/>
        <w:keepNext/>
        <w:numPr>
          <w:numId w:val="0"/>
        </w:numPr>
        <w:spacing w:line="360" w:lineRule="auto" w:before="160" w:after="120"/>
        <w:ind w:firstLine="0"/>
      </w:pPr>
      <w:bookmarkStart w:id="78" w:name="参数矩阵的适用范围"/>
      <w:r>
        <w:rPr>
          <w:rFonts w:ascii="Times New Roman" w:hAnsi="Times New Roman" w:eastAsia="方正仿宋_GBK"/>
          <w:b/>
          <w:sz w:val="26"/>
        </w:rPr>
        <w:t xml:space="preserve">2.7.3 参数矩阵的适用范围</w:t>
      </w:r>
      <w:bookmarkEnd w:id="78"/>
    </w:p>
    <w:p>
      <w:pPr>
        <w:pStyle w:val="FirstParagraph"/>
        <w:widowControl/>
        <w:spacing w:line="300" w:lineRule="auto" w:before="0" w:after="0"/>
        <w:ind w:firstLine="480"/>
        <w:jc w:val="both"/>
      </w:pPr>
      <w:r>
        <w:rPr>
          <w:rFonts w:ascii="Times New Roman" w:hAnsi="Times New Roman" w:eastAsia="方正仿宋_GBK"/>
          <w:b w:val="0"/>
          <w:sz w:val="24"/>
        </w:rPr>
        <w:t xml:space="preserve">连续参数变化与离散设备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00" w:lineRule="auto" w:before="0" w:after="0"/>
        <w:ind w:firstLine="480"/>
        <w:jc w:val="both"/>
      </w:pPr>
      <w:r>
        <w:rPr>
          <w:rFonts w:ascii="Times New Roman" w:hAnsi="Times New Roman" w:eastAsia="方正仿宋_GBK"/>
          <w:b w:val="0"/>
          <w:sz w:val="24"/>
        </w:rPr>
        <w:t xml:space="preserve">本项目先以两地区资料分析运行与配置关系，再以两类一般站群在合理参数范围内构造情景。推荐矩阵表达在这些结构和假定下的计算范围。应用于其他片区时，需要核对主变初态、供电类别及负荷分布等关键条件，再以矩阵作为扫描和比选依据。</w:t>
      </w:r>
    </w:p>
    <w:p>
      <w:pPr>
        <w:pStyle w:val="2"/>
        <w:widowControl/>
        <w:spacing w:line="300" w:lineRule="auto" w:before="0" w:after="0"/>
        <w:ind w:firstLine="480"/>
        <w:jc w:val="both"/>
      </w:pPr>
      <w:r>
        <w:rPr>
          <w:rFonts w:ascii="Times New Roman" w:hAnsi="Times New Roman" w:eastAsia="方正仿宋_GBK"/>
          <w:b w:val="0"/>
          <w:sz w:val="24"/>
        </w:rPr>
        <w:t xml:space="preserve">对于反向压力外推，保留电源原站归属，并使用非负用户负荷的典型场景。光伏规模变化后，反送压力相应改变；正向高峰按夜间包络保持。该构造适于压力敏感性，尚不等同于完整年度光伏与负荷共同预测。分布式电源电量渗透率在此类情景中只作为条件标签，不宣称模型已经优化全年消纳电量。</w:t>
      </w:r>
    </w:p>
    <w:p>
      <w:bookmarkStart w:id="1206" w:name="h206"/>
      <w:pPr>
        <w:pStyle w:val="4"/>
        <w:keepNext/>
        <w:numPr>
          <w:numId w:val="0"/>
        </w:numPr>
        <w:spacing w:line="360" w:lineRule="auto" w:before="160" w:after="120"/>
        <w:ind w:firstLine="0"/>
      </w:pPr>
      <w:bookmarkStart w:id="79" w:name="本项目方法选择与工程衔接"/>
      <w:r>
        <w:rPr>
          <w:rFonts w:ascii="Times New Roman" w:hAnsi="Times New Roman" w:eastAsia="方正仿宋_GBK"/>
          <w:b/>
          <w:sz w:val="32"/>
        </w:rPr>
        <w:t xml:space="preserve">2.8 本项目方法选择与工程衔接</w:t>
      </w:r>
      <w:bookmarkEnd w:id="79"/>
      <w:bookmarkEnd w:id="1206"/>
    </w:p>
    <w:p>
      <w:pPr>
        <w:pStyle w:val="5"/>
        <w:keepNext/>
        <w:numPr>
          <w:numId w:val="0"/>
        </w:numPr>
        <w:spacing w:line="360" w:lineRule="auto" w:before="160" w:after="120"/>
        <w:ind w:firstLine="0"/>
      </w:pPr>
      <w:bookmarkStart w:id="80" w:name="运行特征与技术约束"/>
      <w:r>
        <w:rPr>
          <w:rFonts w:ascii="Times New Roman" w:hAnsi="Times New Roman" w:eastAsia="方正仿宋_GBK"/>
          <w:b/>
          <w:sz w:val="26"/>
        </w:rPr>
        <w:t xml:space="preserve">2.8.1 运行特征与技术约束</w:t>
      </w:r>
      <w:bookmarkEnd w:id="80"/>
    </w:p>
    <w:p>
      <w:pPr>
        <w:pStyle w:val="FirstParagraph"/>
        <w:widowControl/>
        <w:spacing w:line="300" w:lineRule="auto"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[8][46]。本项目据此分别提取最大正向、反向净负荷及95%峰值持续时间，构造正常运行和单台主变退出容量约束。站间转接保持区县负荷总量，原站电源保留归属，转出负荷后的反向压力同步校核。</w:t>
      </w:r>
    </w:p>
    <w:p>
      <w:pPr>
        <w:pStyle w:val="5"/>
        <w:keepNext/>
        <w:numPr>
          <w:numId w:val="0"/>
        </w:numPr>
        <w:spacing w:line="360" w:lineRule="auto" w:before="160" w:after="120"/>
        <w:ind w:firstLine="0"/>
      </w:pPr>
      <w:bookmarkStart w:id="81" w:name="工程配置与费用寻优"/>
      <w:r>
        <w:rPr>
          <w:rFonts w:ascii="Times New Roman" w:hAnsi="Times New Roman" w:eastAsia="方正仿宋_GBK"/>
          <w:b/>
          <w:sz w:val="26"/>
        </w:rPr>
        <w:t xml:space="preserve">2.8.2 工程配置与费用寻优</w:t>
      </w:r>
      <w:bookmarkEnd w:id="81"/>
    </w:p>
    <w:p>
      <w:pPr>
        <w:pStyle w:val="FirstParagraph"/>
        <w:widowControl/>
        <w:spacing w:line="300" w:lineRule="auto" w:before="0" w:after="0"/>
        <w:ind w:firstLine="480"/>
        <w:jc w:val="both"/>
      </w:pPr>
      <w:r>
        <w:rPr>
          <w:rFonts w:ascii="Times New Roman" w:hAnsi="Times New Roman" w:eastAsia="方正仿宋_GBK"/>
          <w:b w:val="0"/>
          <w:sz w:val="24"/>
        </w:rPr>
        <w:t xml:space="preserve">主变规格、主变扩建位置、储能柜数和联络项目属于离散决策，站间转接功率属于连续决策，采用混合整数线性规划共同求解。工程费用按购置事件和投运年份形成现金流，以建设、固定运维与寿命更新的现值之和比较方案[10,12,13][44][45]。同一区县刚性、弹性方案使用相同仿真起点和措施集合，全部配置满足当年技术约束。</w:t>
      </w:r>
    </w:p>
    <w:p>
      <w:pPr>
        <w:pStyle w:val="5"/>
        <w:keepNext/>
        <w:numPr>
          <w:numId w:val="0"/>
        </w:numPr>
        <w:spacing w:line="360" w:lineRule="auto" w:before="160" w:after="120"/>
        <w:ind w:firstLine="0"/>
      </w:pPr>
      <w:bookmarkStart w:id="82" w:name="案例分析与通用矩阵"/>
      <w:r>
        <w:rPr>
          <w:rFonts w:ascii="Times New Roman" w:hAnsi="Times New Roman" w:eastAsia="方正仿宋_GBK"/>
          <w:b/>
          <w:sz w:val="26"/>
        </w:rPr>
        <w:t xml:space="preserve">2.8.3 案例分析与通用矩阵</w:t>
      </w:r>
      <w:bookmarkEnd w:id="82"/>
    </w:p>
    <w:p>
      <w:pPr>
        <w:pStyle w:val="FirstParagraph"/>
        <w:widowControl/>
        <w:spacing w:line="300" w:lineRule="auto" w:before="0" w:after="0"/>
        <w:ind w:firstLine="480"/>
        <w:jc w:val="both"/>
      </w:pPr>
      <w:r>
        <w:rPr>
          <w:rFonts w:ascii="Times New Roman" w:hAnsi="Times New Roman" w:eastAsia="方正仿宋_GBK"/>
          <w:b w:val="0"/>
          <w:sz w:val="24"/>
        </w:rPr>
        <w:t xml:space="preserve">案例按四年设备状态连续寻优，说明负荷增长、离散增容、峰段支撑及转供能力对容载比和费用的影响。通用矩阵依据这些计算关系设置两类一般站群，在合理参数范围内进行12600组目标年静态比选。矩阵按源荷特征及工程成本比分档汇总推荐区间。</w:t>
      </w:r>
    </w:p>
    <w:p>
      <w:bookmarkStart w:id="1213" w:name="h213"/>
      <w:pPr>
        <w:pStyle w:val="4"/>
        <w:keepNext/>
        <w:numPr>
          <w:numId w:val="0"/>
        </w:numPr>
        <w:spacing w:line="360" w:lineRule="auto" w:before="160" w:after="120"/>
        <w:ind w:firstLine="0"/>
      </w:pPr>
      <w:bookmarkStart w:id="83" w:name="本章小结"/>
      <w:r>
        <w:rPr>
          <w:rFonts w:ascii="Times New Roman" w:hAnsi="Times New Roman" w:eastAsia="方正仿宋_GBK"/>
          <w:b/>
          <w:sz w:val="32"/>
        </w:rPr>
        <w:t xml:space="preserve">2.9 本章小结</w:t>
      </w:r>
      <w:bookmarkEnd w:id="83"/>
      <w:bookmarkEnd w:id="1213"/>
    </w:p>
    <w:p>
      <w:pPr>
        <w:pStyle w:val="FirstParagraph"/>
        <w:widowControl/>
        <w:spacing w:line="300" w:lineRule="auto" w:before="0" w:after="0"/>
        <w:ind w:firstLine="480"/>
        <w:jc w:val="both"/>
      </w:pPr>
      <w:r>
        <w:rPr>
          <w:rFonts w:ascii="Times New Roman" w:hAnsi="Times New Roman" w:eastAsia="方正仿宋_GBK"/>
          <w:b w:val="0"/>
          <w:sz w:val="24"/>
        </w:rPr>
        <w:t xml:space="preserve">相关研究为高渗透率地区容量规划提供了源荷场景、下级网络供电能力和灵活资源费用比较方法。本研究采用区县容载比与站级容量约束相结合的规划模型，以实际工程和采购案例标定费用，在统一起点后比较增容、储能与10 kV联络方案，并通过一般站群的参数外推形成通用推荐矩阵。</w:t>
      </w:r>
    </w:p>
    <w:p>
      <w:bookmarkStart w:id="1215" w:name="h215"/>
      <w:pPr>
        <w:pStyle w:val="3"/>
        <w:keepNext/>
        <w:pageBreakBefore/>
        <w:numPr>
          <w:numId w:val="0"/>
        </w:numPr>
        <w:spacing w:line="360" w:lineRule="auto" w:before="0" w:after="120"/>
        <w:ind w:firstLine="0"/>
      </w:pPr>
      <w:bookmarkStart w:id="84" w:name="第三章-徐州典型地区运行特征分析"/>
      <w:r>
        <w:rPr>
          <w:rFonts w:ascii="Times New Roman" w:hAnsi="Times New Roman" w:eastAsia="方正仿宋_GBK"/>
          <w:b/>
          <w:sz w:val="36"/>
        </w:rPr>
        <w:t xml:space="preserve">第三章 徐州典型地区运行特征分析</w:t>
      </w:r>
      <w:bookmarkEnd w:id="84"/>
      <w:bookmarkEnd w:id="1215"/>
    </w:p>
    <w:p>
      <w:bookmarkStart w:id="1216" w:name="h216"/>
      <w:pPr>
        <w:pStyle w:val="4"/>
        <w:keepNext/>
        <w:numPr>
          <w:numId w:val="0"/>
        </w:numPr>
        <w:spacing w:line="360" w:lineRule="auto" w:before="160" w:after="120"/>
        <w:ind w:firstLine="0"/>
      </w:pPr>
      <w:bookmarkStart w:id="85" w:name="研究地区与原始资料"/>
      <w:r>
        <w:rPr>
          <w:rFonts w:ascii="Times New Roman" w:hAnsi="Times New Roman" w:eastAsia="方正仿宋_GBK"/>
          <w:b/>
          <w:sz w:val="32"/>
        </w:rPr>
        <w:t xml:space="preserve">3.1 研究地区与原始资料</w:t>
      </w:r>
      <w:bookmarkEnd w:id="85"/>
      <w:bookmarkEnd w:id="1216"/>
    </w:p>
    <w:p>
      <w:pPr>
        <w:pStyle w:val="5"/>
        <w:keepNext/>
        <w:numPr>
          <w:numId w:val="0"/>
        </w:numPr>
        <w:spacing w:line="360" w:lineRule="auto" w:before="160" w:after="120"/>
        <w:ind w:firstLine="0"/>
      </w:pPr>
      <w:bookmarkStart w:id="86" w:name="地区选择及比较范围"/>
      <w:r>
        <w:rPr>
          <w:rFonts w:ascii="Times New Roman" w:hAnsi="Times New Roman" w:eastAsia="方正仿宋_GBK"/>
          <w:b/>
          <w:sz w:val="26"/>
        </w:rPr>
        <w:t xml:space="preserve">3.1.1 地区选择及比较范围</w:t>
      </w:r>
      <w:bookmarkEnd w:id="86"/>
    </w:p>
    <w:p>
      <w:pPr>
        <w:pStyle w:val="FirstParagraph"/>
        <w:widowControl/>
        <w:spacing w:line="300" w:lineRule="auto"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00" w:lineRule="auto" w:before="0" w:after="0"/>
        <w:ind w:firstLine="480"/>
        <w:jc w:val="both"/>
      </w:pPr>
      <w:r>
        <w:rPr>
          <w:rFonts w:ascii="Times New Roman" w:hAnsi="Times New Roman" w:eastAsia="方正仿宋_GBK"/>
          <w:b w:val="0"/>
          <w:sz w:val="24"/>
        </w:rPr>
        <w:t xml:space="preserve">邳州110 kV模型含20座站，市区含29座站级样本。市区样本按区县年度原表负荷标定，其中补充仿真站的设备配置与类别保留估计标记。区域容载比采用同电压等级区县口径，各站独立峰值用于局部容量校核[5]。</w:t>
      </w:r>
    </w:p>
    <w:p>
      <w:pPr>
        <w:pStyle w:val="5"/>
        <w:keepNext/>
        <w:numPr>
          <w:numId w:val="0"/>
        </w:numPr>
        <w:spacing w:line="360" w:lineRule="auto" w:before="160" w:after="120"/>
        <w:ind w:firstLine="0"/>
      </w:pPr>
      <w:bookmarkStart w:id="87" w:name="历史分析与规划参数的衔接"/>
      <w:r>
        <w:rPr>
          <w:rFonts w:ascii="Times New Roman" w:hAnsi="Times New Roman" w:eastAsia="方正仿宋_GBK"/>
          <w:b/>
          <w:sz w:val="26"/>
        </w:rPr>
        <w:t xml:space="preserve">3.1.2 历史分析与规划参数的衔接</w:t>
      </w:r>
      <w:bookmarkEnd w:id="87"/>
    </w:p>
    <w:p>
      <w:pPr>
        <w:pStyle w:val="FirstParagraph"/>
        <w:widowControl/>
        <w:spacing w:line="300" w:lineRule="auto" w:before="0" w:after="0"/>
        <w:ind w:firstLine="480"/>
        <w:jc w:val="both"/>
      </w:pPr>
      <w:r>
        <w:rPr>
          <w:rFonts w:ascii="Times New Roman" w:hAnsi="Times New Roman" w:eastAsia="方正仿宋_GBK"/>
          <w:b w:val="0"/>
          <w:sz w:val="24"/>
        </w:rPr>
        <w:t xml:space="preserve">本章分析历史负荷、光伏及设备结构，并说明规划仿真采用的参数。年度区域负荷统一换算为MW，作为年网供最大负荷估计值。规划站级正向、反向净负荷采用2025年分布，按仿真年度规模缩放。图表中2021—2022年光伏装机采用几何回推，2023—2025年采用月末记录。</w:t>
      </w:r>
    </w:p>
    <w:p>
      <w:pPr>
        <w:pStyle w:val="2"/>
        <w:widowControl/>
        <w:spacing w:line="300" w:lineRule="auto" w:before="0" w:after="0"/>
        <w:ind w:firstLine="480"/>
        <w:jc w:val="both"/>
      </w:pPr>
      <w:r>
        <w:rPr>
          <w:rFonts w:ascii="Times New Roman" w:hAnsi="Times New Roman" w:eastAsia="方正仿宋_GBK"/>
          <w:b w:val="0"/>
          <w:sz w:val="24"/>
        </w:rPr>
        <w:t xml:space="preserve">历史容量和负荷用于本章现状分析。第五章将两地区分别标定到容载比2.00的共同仿真起点，后续容量由逐年优化确定。设备统计形成允许规格、供电区域类别及主变扩建位置；正常负荷调整使用相同仿真通道。收资文件、原表行列、单位换算和映射记录集中列入独立数据来源说明。正文只保留影响模型含义的处理方式与关键计算依据。</w:t>
      </w:r>
    </w:p>
    <w:p>
      <w:pPr>
        <w:pStyle w:val="5"/>
        <w:keepNext/>
        <w:numPr>
          <w:numId w:val="0"/>
        </w:numPr>
        <w:spacing w:line="360" w:lineRule="auto" w:before="160" w:after="120"/>
        <w:ind w:firstLine="0"/>
      </w:pPr>
      <w:bookmarkStart w:id="88" w:name="时序处理与模型适用范围"/>
      <w:r>
        <w:rPr>
          <w:rFonts w:ascii="Times New Roman" w:hAnsi="Times New Roman" w:eastAsia="方正仿宋_GBK"/>
          <w:b/>
          <w:sz w:val="26"/>
        </w:rPr>
        <w:t xml:space="preserve">3.1.3 时序处理与模型适用范围</w:t>
      </w:r>
      <w:bookmarkEnd w:id="88"/>
    </w:p>
    <w:p>
      <w:pPr>
        <w:pStyle w:val="FirstParagraph"/>
        <w:widowControl/>
        <w:spacing w:line="300" w:lineRule="auto"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容量、功率、电量分别使用MVA、MW、MWh，净功率受入为正、反送为负。年度电量统一在2025年非闰年8760小时轴上估计。邳州缺失1 h以邻近均值补值，市区代表时序421个补值小时按同周类型处理，二者均保留估计性质。</w:t>
      </w:r>
    </w:p>
    <w:p>
      <w:pPr>
        <w:pStyle w:val="2"/>
        <w:widowControl/>
        <w:spacing w:line="300" w:lineRule="auto" w:before="0" w:after="0"/>
        <w:ind w:firstLine="480"/>
        <w:jc w:val="both"/>
      </w:pPr>
      <w:r>
        <w:rPr>
          <w:rFonts w:ascii="Times New Roman" w:hAnsi="Times New Roman" w:eastAsia="方正仿宋_GBK"/>
          <w:b w:val="0"/>
          <w:sz w:val="24"/>
        </w:rPr>
        <w:t xml:space="preserve">峰段分析采用2025年最长连续峰段模板，用于储能静态容量折算；年度电量估计用于源荷背景分析。各站独立峰值用于局部校核，区域同期负荷用于容载比计算。</w:t>
      </w:r>
    </w:p>
    <w:p>
      <w:bookmarkStart w:id="1226" w:name="h226"/>
      <w:pPr>
        <w:pStyle w:val="4"/>
        <w:keepNext/>
        <w:numPr>
          <w:numId w:val="0"/>
        </w:numPr>
        <w:spacing w:line="360" w:lineRule="auto" w:before="160" w:after="120"/>
        <w:ind w:firstLine="0"/>
      </w:pPr>
      <w:bookmarkStart w:id="89" w:name="年度容量负荷与增长特征"/>
      <w:r>
        <w:rPr>
          <w:rFonts w:ascii="Times New Roman" w:hAnsi="Times New Roman" w:eastAsia="方正仿宋_GBK"/>
          <w:b/>
          <w:sz w:val="32"/>
        </w:rPr>
        <w:t xml:space="preserve">3.2 年度容量、负荷与增长特征</w:t>
      </w:r>
      <w:bookmarkEnd w:id="89"/>
      <w:bookmarkEnd w:id="1226"/>
    </w:p>
    <w:p>
      <w:pPr>
        <w:pStyle w:val="5"/>
        <w:keepNext/>
        <w:numPr>
          <w:numId w:val="0"/>
        </w:numPr>
        <w:spacing w:line="360" w:lineRule="auto" w:before="160" w:after="120"/>
        <w:ind w:firstLine="0"/>
      </w:pPr>
      <w:bookmarkStart w:id="90" w:name="邳州年度变化"/>
      <w:r>
        <w:rPr>
          <w:rFonts w:ascii="Times New Roman" w:hAnsi="Times New Roman" w:eastAsia="方正仿宋_GBK"/>
          <w:b/>
          <w:sz w:val="26"/>
        </w:rPr>
        <w:t xml:space="preserve">3.2.1 邳州年度变化</w:t>
      </w:r>
      <w:bookmarkEnd w:id="90"/>
    </w:p>
    <w:p>
      <w:pPr>
        <w:pStyle w:val="FirstParagraph"/>
        <w:widowControl/>
        <w:spacing w:line="300" w:lineRule="auto"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00" w:lineRule="auto" w:before="0" w:after="0"/>
        <w:ind w:firstLine="480"/>
        <w:jc w:val="both"/>
      </w:pPr>
      <w:r>
        <w:rPr>
          <w:rFonts w:ascii="Times New Roman" w:hAnsi="Times New Roman" w:eastAsia="方正仿宋_GBK"/>
          <w:b w:val="0"/>
          <w:sz w:val="24"/>
        </w:rPr>
        <w:t xml:space="preserve">历史统计保留原始年度波动，用于计算负荷增长和解释运行特征。仿真规划的基期与后续四年负荷在第五章另行列示。</w:t>
      </w:r>
    </w:p>
    <w:p>
      <w:pPr>
        <w:pStyle w:val="2"/>
        <w:keepNext/>
        <w:spacing w:line="300" w:lineRule="auto"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地区</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年份</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容量/MVA</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2.42</w:t>
            </w:r>
          </w:p>
        </w:tc>
      </w:tr>
    </w:tbl>
    <w:p>
      <w:pPr>
        <w:pStyle w:val="5"/>
        <w:keepNext/>
        <w:numPr>
          <w:numId w:val="0"/>
        </w:numPr>
        <w:spacing w:line="360" w:lineRule="auto" w:before="160" w:after="120"/>
        <w:ind w:firstLine="0"/>
      </w:pPr>
      <w:bookmarkStart w:id="91" w:name="市区年度变化"/>
      <w:r>
        <w:rPr>
          <w:rFonts w:ascii="Times New Roman" w:hAnsi="Times New Roman" w:eastAsia="方正仿宋_GBK"/>
          <w:b/>
          <w:sz w:val="26"/>
        </w:rPr>
        <w:t xml:space="preserve">3.2.2 市区年度变化</w:t>
      </w:r>
      <w:bookmarkEnd w:id="91"/>
    </w:p>
    <w:p>
      <w:pPr>
        <w:pStyle w:val="FirstParagraph"/>
        <w:widowControl/>
        <w:spacing w:line="300" w:lineRule="auto"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00" w:lineRule="auto" w:before="0" w:after="0"/>
        <w:ind w:firstLine="480"/>
        <w:jc w:val="both"/>
      </w:pPr>
      <w:r>
        <w:rPr>
          <w:rFonts w:ascii="Times New Roman" w:hAnsi="Times New Roman" w:eastAsia="方正仿宋_GBK"/>
          <w:b w:val="0"/>
          <w:sz w:val="24"/>
        </w:rPr>
        <w:t xml:space="preserve">市区29座仿真站保留样本负荷的空间分布，供电区域按A类规划。第五章以统一起点和平均增长情景进行方案比较。</w:t>
      </w:r>
    </w:p>
    <w:p>
      <w:pPr>
        <w:pStyle w:val="2"/>
        <w:keepNext/>
        <w:spacing w:line="240" w:lineRule="auto" w:before="120" w:after="0"/>
        <w:ind w:firstLine="0"/>
        <w:jc w:val="center"/>
      </w:pPr>
      <w:r>
        <w:drawing>
          <wp:inline>
            <wp:extent cx="5120640" cy="2790882"/>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2深化修订/annual_load.png" id="0" name="Picture"/>
                    <pic:cNvPicPr>
                      <a:picLocks noChangeArrowheads="1" noChangeAspect="1"/>
                    </pic:cNvPicPr>
                  </pic:nvPicPr>
                  <pic:blipFill>
                    <a:blip r:embed="rId92"/>
                    <a:stretch>
                      <a:fillRect/>
                    </a:stretch>
                  </pic:blipFill>
                  <pic:spPr bwMode="auto">
                    <a:xfrm>
                      <a:off x="0" y="0"/>
                      <a:ext cx="5120640" cy="2790882"/>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图3-1 邳州和市区年网供最大负荷</w:t>
      </w:r>
    </w:p>
    <w:p>
      <w:pPr>
        <w:pStyle w:val="5"/>
        <w:keepNext/>
        <w:numPr>
          <w:numId w:val="0"/>
        </w:numPr>
        <w:spacing w:line="360" w:lineRule="auto" w:before="160" w:after="120"/>
        <w:ind w:firstLine="0"/>
      </w:pPr>
      <w:bookmarkStart w:id="93" w:name="年负荷平均增长率"/>
      <w:r>
        <w:rPr>
          <w:rFonts w:ascii="Times New Roman" w:hAnsi="Times New Roman" w:eastAsia="方正仿宋_GBK"/>
          <w:b/>
          <w:sz w:val="26"/>
        </w:rPr>
        <w:t xml:space="preserve">3.2.3 年负荷平均增长率</w:t>
      </w:r>
      <w:bookmarkEnd w:id="93"/>
    </w:p>
    <w:p>
      <w:pPr>
        <w:pStyle w:val="FirstParagraph"/>
        <w:widowControl/>
        <w:spacing w:line="300" w:lineRule="auto" w:before="0" w:after="0"/>
        <w:ind w:firstLine="480"/>
        <w:jc w:val="both"/>
      </w:pPr>
      <w:r>
        <w:rPr>
          <w:rFonts w:ascii="Times New Roman" w:hAnsi="Times New Roman" w:eastAsia="方正仿宋_GBK"/>
          <w:b w:val="0"/>
          <w:sz w:val="24"/>
        </w:rPr>
        <w:t xml:space="preserve">年度增长率按相邻年度原表负荷计算。对2022—2025年赋予1、2、3、4的权重，得到本研究平滑参数。式（3-1）为项目采用的统计方法；导则规定的年负荷平均增长率分档见表6.3.4，未规定上述权重[5]。</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
                  <m:e>
                    <m:r>
                      <m:t>g</m:t>
                    </m:r>
                  </m:e>
                  <m:sub>
                    <m:r>
                      <m:t>y</m:t>
                    </m:r>
                  </m:sub>
                </m:sSub>
                <m:r>
                  <m:t>=</m:t>
                </m:r>
                <m:sSub>
                  <m:e>
                    <m:r>
                      <m:t>P</m:t>
                    </m:r>
                  </m:e>
                  <m:sub>
                    <m:r>
                      <m:t>y</m:t>
                    </m:r>
                  </m:sub>
                </m:sSub>
                <m:r>
                  <m:t>/</m:t>
                </m:r>
                <m:sSub>
                  <m:e>
                    <m:r>
                      <m:t>P</m:t>
                    </m:r>
                  </m:e>
                  <m:sub>
                    <m:r>
                      <m:t>y</m:t>
                    </m:r>
                    <m:r>
                      <m:t>−</m:t>
                    </m:r>
                    <m:r>
                      <m:t>1</m:t>
                    </m:r>
                  </m:sub>
                </m:sSub>
                <m:r>
                  <m:t>−</m:t>
                </m:r>
                <m:r>
                  <m:t>1</m:t>
                </m:r>
                <m:r>
                  <m:t>,</m:t>
                </m:r>
                <m:r>
                  <m:t>  </m:t>
                </m:r>
                <m:acc>
                  <m:accPr>
                    <m:chr m:val="‾"/>
                  </m:accPr>
                  <m:e>
                    <m:r>
                      <m:t>g</m:t>
                    </m:r>
                  </m:e>
                </m:acc>
                <m:r>
                  <m:t>=</m:t>
                </m:r>
                <m:f>
                  <m:fPr>
                    <m:type m:val="bar"/>
                  </m:fPr>
                  <m:num>
                    <m:sSub>
                      <m:e>
                        <m:r>
                          <m:t>g</m:t>
                        </m:r>
                      </m:e>
                      <m:sub>
                        <m:r>
                          <m:t>2022</m:t>
                        </m:r>
                      </m:sub>
                    </m:sSub>
                    <m:r>
                      <m:t>+</m:t>
                    </m:r>
                    <m:r>
                      <m:t>2</m:t>
                    </m:r>
                    <m:sSub>
                      <m:e>
                        <m:r>
                          <m:t>g</m:t>
                        </m:r>
                      </m:e>
                      <m:sub>
                        <m:r>
                          <m:t>2023</m:t>
                        </m:r>
                      </m:sub>
                    </m:sSub>
                    <m:r>
                      <m:t>+</m:t>
                    </m:r>
                    <m:r>
                      <m:t>3</m:t>
                    </m:r>
                    <m:sSub>
                      <m:e>
                        <m:r>
                          <m:t>g</m:t>
                        </m:r>
                      </m:e>
                      <m:sub>
                        <m:r>
                          <m:t>2024</m:t>
                        </m:r>
                      </m:sub>
                    </m:sSub>
                    <m:r>
                      <m:t>+</m:t>
                    </m:r>
                    <m:r>
                      <m:t>4</m:t>
                    </m:r>
                    <m:sSub>
                      <m:e>
                        <m:r>
                          <m:t>g</m:t>
                        </m:r>
                      </m:e>
                      <m:sub>
                        <m:r>
                          <m:t>2025</m:t>
                        </m:r>
                      </m:sub>
                    </m:sSub>
                  </m:num>
                  <m:den>
                    <m:r>
                      <m:t>10</m:t>
                    </m:r>
                  </m:den>
                </m:f>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（3-1）</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P</m:t>
            </m:r>
          </m:e>
          <m:sub>
            <m:r>
              <m:t>y</m:t>
            </m:r>
          </m:sub>
        </m:sSub>
      </m:oMath>
      <w:r>
        <w:rPr>
          <w:rFonts w:ascii="Times New Roman" w:hAnsi="Times New Roman" w:eastAsia="方正仿宋_GBK"/>
          <w:b w:val="0"/>
          <w:sz w:val="24"/>
        </w:rPr>
        <w:t xml:space="preserve">为第</w:t>
      </w:r>
      <m:oMath>
        <m:r>
          <m:t>y</m:t>
        </m:r>
      </m:oMath>
      <w:r>
        <w:rPr>
          <w:rFonts w:ascii="Times New Roman" w:hAnsi="Times New Roman" w:eastAsia="方正仿宋_GBK"/>
          <w:b w:val="0"/>
          <w:sz w:val="24"/>
        </w:rPr>
        <w:t xml:space="preserve">年网供最大负荷，单位MW，采用降压负荷估计；</w:t>
      </w:r>
      <m:oMath>
        <m:sSub>
          <m:e>
            <m:r>
              <m:t>g</m:t>
            </m:r>
          </m:e>
          <m:sub>
            <m:r>
              <m:t>y</m:t>
            </m:r>
          </m:sub>
        </m:sSub>
      </m:oMath>
      <w:r>
        <w:rPr>
          <w:rFonts w:ascii="Times New Roman" w:hAnsi="Times New Roman" w:eastAsia="方正仿宋_GBK"/>
          <w:b w:val="0"/>
          <w:sz w:val="24"/>
        </w:rPr>
        <w:t xml:space="preserve">为该年同比增长率，</w:t>
      </w:r>
      <m:oMath>
        <m:acc>
          <m:accPr>
            <m:chr m:val="‾"/>
          </m:accPr>
          <m:e>
            <m:r>
              <m:t>g</m:t>
            </m:r>
          </m:e>
        </m:acc>
      </m:oMath>
      <w:r>
        <w:rPr>
          <w:rFonts w:ascii="Times New Roman" w:hAnsi="Times New Roman" w:eastAsia="方正仿宋_GBK"/>
          <w:b w:val="0"/>
          <w:sz w:val="24"/>
        </w:rPr>
        <w:t xml:space="preserve">为年负荷平均增长率，均为无量纲量。本研究采用递增权重估计该参数。邳州加权平均为8.07%，市区为1.80%。按导则建议分档，邳州对应1.80～2.00，市区对应1.50～1.70。该分档用于解释一般规划参考值，本研究刚性统一上限2.00仍为项目方案设定。</w:t>
      </w:r>
    </w:p>
    <w:p>
      <w:pPr>
        <w:pStyle w:val="2"/>
        <w:keepNext/>
        <w:spacing w:line="300" w:lineRule="auto" w:before="120" w:after="80"/>
        <w:ind w:firstLine="0"/>
        <w:jc w:val="center"/>
      </w:pPr>
      <w:r>
        <w:rPr>
          <w:rFonts w:ascii="Times New Roman" w:hAnsi="Times New Roman" w:eastAsia="宋体"/>
          <w:b w:val="0"/>
          <w:sz w:val="21"/>
        </w:rPr>
        <w:t xml:space="preserve">表3-2 年负荷平均增长率计算（式3-1）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地区</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年份</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同比增长率</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权重</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2022</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12.74%</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2023</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-7.73%</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2024</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13.32%</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10.87%</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年负荷平均增长率</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8.07%</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Σ权重=10</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2022</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-1.20%</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2023</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7.67%</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2024</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-6.02%</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5.48%</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年负荷平均增长率</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1.80%</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Σ权重=10</w:t>
            </w:r>
          </w:p>
        </w:tc>
      </w:tr>
    </w:tbl>
    <w:p>
      <w:pPr>
        <w:pStyle w:val="2"/>
        <w:widowControl/>
        <w:spacing w:line="300" w:lineRule="auto" w:before="0" w:after="0"/>
        <w:ind w:firstLine="480"/>
        <w:jc w:val="both"/>
      </w:pPr>
      <w:r>
        <w:rPr>
          <w:rFonts w:ascii="Times New Roman" w:hAnsi="Times New Roman" w:eastAsia="方正仿宋_GBK"/>
          <w:b w:val="0"/>
          <w:sz w:val="24"/>
        </w:rPr>
        <w:t xml:space="preserve">四年加权参数依据全部历史信息形成，用于仿真起点后的条件规划。未来应用可按相同方法使用最近4至5个同比率，权重采用递增序列并固定计算窗口；原始峰值存在统计范围变化时，应先统一范围再计算增长率。</w:t>
      </w:r>
    </w:p>
    <w:p>
      <w:pPr>
        <w:pStyle w:val="5"/>
        <w:keepNext/>
        <w:numPr>
          <w:numId w:val="0"/>
        </w:numPr>
        <w:spacing w:line="360" w:lineRule="auto" w:before="160" w:after="120"/>
        <w:ind w:firstLine="0"/>
      </w:pPr>
      <w:bookmarkStart w:id="94" w:name="历史统计与规划仿真的衔接"/>
      <w:r>
        <w:rPr>
          <w:rFonts w:ascii="Times New Roman" w:hAnsi="Times New Roman" w:eastAsia="方正仿宋_GBK"/>
          <w:b/>
          <w:sz w:val="26"/>
        </w:rPr>
        <w:t xml:space="preserve">3.2.4 历史统计与规划仿真的衔接</w:t>
      </w:r>
      <w:bookmarkEnd w:id="94"/>
    </w:p>
    <w:p>
      <w:pPr>
        <w:pStyle w:val="FirstParagraph"/>
        <w:widowControl/>
        <w:spacing w:line="300" w:lineRule="auto" w:before="0" w:after="0"/>
        <w:ind w:firstLine="480"/>
        <w:jc w:val="both"/>
      </w:pPr>
      <w:r>
        <w:rPr>
          <w:rFonts w:ascii="Times New Roman" w:hAnsi="Times New Roman" w:eastAsia="方正仿宋_GBK"/>
          <w:b w:val="0"/>
          <w:sz w:val="24"/>
        </w:rPr>
        <w:t xml:space="preserve">2021—2025年实际容量和负荷用于描述年度变化、估计年负荷平均增长率。规划仿真保留两地区各自的离散设备结构，将基期年网供最大负荷标定为主变总容量的二分之一，再按平均增长率推演后续四年需求。站级正向、反向净负荷采用2025年空间分布同步缩放，峰段持续时间采用2025年模板。第五章列出仿真起点及年度负荷，便于将历史分析与规划结果对应。</w:t>
      </w:r>
    </w:p>
    <w:p>
      <w:bookmarkStart w:id="1243" w:name="h243"/>
      <w:pPr>
        <w:pStyle w:val="4"/>
        <w:keepNext/>
        <w:numPr>
          <w:numId w:val="0"/>
        </w:numPr>
        <w:spacing w:line="360" w:lineRule="auto" w:before="160" w:after="120"/>
        <w:ind w:firstLine="0"/>
      </w:pPr>
      <w:bookmarkStart w:id="95" w:name="分布式光伏装机与电量"/>
      <w:r>
        <w:rPr>
          <w:rFonts w:ascii="Times New Roman" w:hAnsi="Times New Roman" w:eastAsia="方正仿宋_GBK"/>
          <w:b/>
          <w:sz w:val="32"/>
        </w:rPr>
        <w:t xml:space="preserve">3.3 分布式光伏装机与电量</w:t>
      </w:r>
      <w:bookmarkEnd w:id="95"/>
      <w:bookmarkEnd w:id="1243"/>
    </w:p>
    <w:p>
      <w:pPr>
        <w:pStyle w:val="5"/>
        <w:keepNext/>
        <w:numPr>
          <w:numId w:val="0"/>
        </w:numPr>
        <w:spacing w:line="360" w:lineRule="auto" w:before="160" w:after="120"/>
        <w:ind w:firstLine="0"/>
      </w:pPr>
      <w:bookmarkStart w:id="96" w:name="装机规模与月度变化"/>
      <w:r>
        <w:rPr>
          <w:rFonts w:ascii="Times New Roman" w:hAnsi="Times New Roman" w:eastAsia="方正仿宋_GBK"/>
          <w:b/>
          <w:sz w:val="26"/>
        </w:rPr>
        <w:t xml:space="preserve">3.3.1 装机规模与月度变化</w:t>
      </w:r>
      <w:bookmarkEnd w:id="96"/>
    </w:p>
    <w:p>
      <w:pPr>
        <w:pStyle w:val="FirstParagraph"/>
        <w:widowControl/>
        <w:spacing w:line="300" w:lineRule="auto" w:before="0" w:after="0"/>
        <w:ind w:firstLine="480"/>
        <w:jc w:val="both"/>
      </w:pPr>
      <w:r>
        <w:rPr>
          <w:rFonts w:ascii="Times New Roman" w:hAnsi="Times New Roman" w:eastAsia="方正仿宋_GBK"/>
          <w:b w:val="0"/>
          <w:sz w:val="24"/>
        </w:rPr>
        <w:t xml:space="preserve">按项目统一单位口径，邳州年末分布式光伏装机容量由2023年564.70 MW增加到2024年1126.58 MW、2025年1559.64 MW；市区同期为253.68、362.44和491.18 MW。光伏原表未注明数值单位，本研究采用原值乘10换算为MW的建模假定；原格定位与单位核定事项见独立数据来源说明。月度原表从2023年开始，2021—2022年没有相同来源装机记录，图中前两年保留回推标记。</w:t>
      </w:r>
    </w:p>
    <w:p>
      <w:pPr>
        <w:pStyle w:val="2"/>
        <w:widowControl/>
        <w:spacing w:line="300" w:lineRule="auto"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00" w:lineRule="auto" w:before="0" w:after="0"/>
        <w:ind w:firstLine="480"/>
        <w:jc w:val="both"/>
      </w:pPr>
      <w:r>
        <w:rPr>
          <w:rFonts w:ascii="Times New Roman" w:hAnsi="Times New Roman" w:eastAsia="方正仿宋_GBK"/>
          <w:b w:val="0"/>
          <w:sz w:val="24"/>
        </w:rPr>
        <w:t xml:space="preserve">2021—2022年没有同口径月末装机记录，模型按同月2023、2024年的规模关系几何回推。先固定月份，再沿年份回推，可以保留年内季节性投运差异。月末装机回推按式（3-2）计算，结果用于分析装机发展条件。</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sSub>
                        <m:e>
                          <m:acc>
                            <m:accPr>
                              <m:chr m:val="̂"/>
                            </m:accPr>
                            <m:e>
                              <m:r>
                                <m:t>C</m:t>
                              </m:r>
                            </m:e>
                          </m:acc>
                        </m:e>
                        <m:sub>
                          <m:r>
                            <m:t>y</m:t>
                          </m:r>
                          <m:r>
                            <m:t>,</m:t>
                          </m:r>
                          <m:r>
                            <m:t>m</m:t>
                          </m:r>
                        </m:sub>
                      </m:sSub>
                    </m:e>
                    <m:e>
                      <m:r>
                        <m:t>=</m:t>
                      </m:r>
                      <m:sSub>
                        <m:e>
                          <m:r>
                            <m:t>C</m:t>
                          </m:r>
                        </m:e>
                        <m:sub>
                          <m:r>
                            <m:t>2023</m:t>
                          </m:r>
                          <m:r>
                            <m:t>,</m:t>
                          </m:r>
                          <m:r>
                            <m:t>m</m:t>
                          </m:r>
                        </m:sub>
                      </m:sSub>
                      <m:sSup>
                        <m:e>
                          <m:d>
                            <m:dPr>
                              <m:begChr m:val="("/>
                              <m:endChr m:val=")"/>
                              <m:grow/>
                            </m:dPr>
                            <m:e>
                              <m:f>
                                <m:fPr>
                                  <m:type m:val="bar"/>
                                </m:fPr>
                                <m:num>
                                  <m:sSub>
                                    <m:e>
                                      <m:r>
                                        <m:t>C</m:t>
                                      </m:r>
                                    </m:e>
                                    <m:sub>
                                      <m:r>
                                        <m:t>2023</m:t>
                                      </m:r>
                                      <m:r>
                                        <m:t>,</m:t>
                                      </m:r>
                                      <m:r>
                                        <m:t>m</m:t>
                                      </m:r>
                                    </m:sub>
                                  </m:sSub>
                                </m:num>
                                <m:den>
                                  <m:sSub>
                                    <m:e>
                                      <m:r>
                                        <m:t>C</m:t>
                                      </m:r>
                                    </m:e>
                                    <m:sub>
                                      <m:r>
                                        <m:t>2024</m:t>
                                      </m:r>
                                      <m:r>
                                        <m:t>,</m:t>
                                      </m:r>
                                      <m:r>
                                        <m:t>m</m:t>
                                      </m:r>
                                    </m:sub>
                                  </m:sSub>
                                </m:den>
                              </m:f>
                            </m:e>
                          </m:d>
                        </m:e>
                        <m:sup>
                          <m:r>
                            <m:t>2023</m:t>
                          </m:r>
                          <m:r>
                            <m:t>−</m:t>
                          </m:r>
                          <m:r>
                            <m:t>y</m:t>
                          </m:r>
                        </m:sup>
                      </m:sSup>
                    </m:e>
                  </m:mr>
                  <m:mr>
                    <m:e>
                      <m:r>
                        <m:t>y</m:t>
                      </m:r>
                    </m:e>
                    <m:e>
                      <m:r>
                        <m:t>=</m:t>
                      </m:r>
                      <m:r>
                        <m:t>2021</m:t>
                      </m:r>
                      <m:r>
                        <m:t>,</m:t>
                      </m:r>
                      <m:r>
                        <m:t>2022</m:t>
                      </m:r>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（3-2）</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acc>
              <m:accPr>
                <m:chr m:val="̂"/>
              </m:accPr>
              <m:e>
                <m:r>
                  <m:t>C</m:t>
                </m:r>
              </m:e>
            </m:acc>
          </m:e>
          <m:sub>
            <m:r>
              <m:t>y</m:t>
            </m:r>
            <m:r>
              <m:t>,</m:t>
            </m:r>
            <m:r>
              <m:t>m</m:t>
            </m:r>
          </m:sub>
        </m:sSub>
      </m:oMath>
      <w:r>
        <w:rPr>
          <w:rFonts w:ascii="Times New Roman" w:hAnsi="Times New Roman" w:eastAsia="方正仿宋_GBK"/>
          <w:b w:val="0"/>
          <w:sz w:val="24"/>
        </w:rPr>
        <w:t xml:space="preserve">为第</w:t>
      </w:r>
      <m:oMath>
        <m:r>
          <m:t>y</m:t>
        </m:r>
      </m:oMath>
      <w:r>
        <w:rPr>
          <w:rFonts w:ascii="Times New Roman" w:hAnsi="Times New Roman" w:eastAsia="方正仿宋_GBK"/>
          <w:b w:val="0"/>
          <w:sz w:val="24"/>
        </w:rPr>
        <w:t xml:space="preserve">年第</w:t>
      </w:r>
      <m:oMath>
        <m:r>
          <m:t>m</m:t>
        </m:r>
      </m:oMath>
      <w:r>
        <w:rPr>
          <w:rFonts w:ascii="Times New Roman" w:hAnsi="Times New Roman" w:eastAsia="方正仿宋_GBK"/>
          <w:b w:val="0"/>
          <w:sz w:val="24"/>
        </w:rPr>
        <w:t xml:space="preserve">月末光伏装机容量估计值，</w:t>
      </w:r>
      <m:oMath>
        <m:sSub>
          <m:e>
            <m:r>
              <m:t>C</m:t>
            </m:r>
          </m:e>
          <m:sub>
            <m:r>
              <m:t>2023</m:t>
            </m:r>
            <m:r>
              <m:t>,</m:t>
            </m:r>
            <m:r>
              <m:t>m</m:t>
            </m:r>
          </m:sub>
        </m:sSub>
      </m:oMath>
      <w:r>
        <w:rPr>
          <w:rFonts w:ascii="Times New Roman" w:hAnsi="Times New Roman" w:eastAsia="方正仿宋_GBK"/>
          <w:b w:val="0"/>
          <w:sz w:val="24"/>
        </w:rPr>
        <w:t xml:space="preserve">、</w:t>
      </w:r>
      <m:oMath>
        <m:sSub>
          <m:e>
            <m:r>
              <m:t>C</m:t>
            </m:r>
          </m:e>
          <m:sub>
            <m:r>
              <m:t>2024</m:t>
            </m:r>
            <m:r>
              <m:t>,</m:t>
            </m:r>
            <m:r>
              <m:t>m</m:t>
            </m:r>
          </m:sub>
        </m:sSub>
      </m:oMath>
      <w:r>
        <w:rPr>
          <w:rFonts w:ascii="Times New Roman" w:hAnsi="Times New Roman" w:eastAsia="方正仿宋_GBK"/>
          <w:b w:val="0"/>
          <w:sz w:val="24"/>
        </w:rPr>
        <w:t xml:space="preserve">为对应月份记录，单位MW；</w:t>
      </w:r>
      <m:oMath>
        <m:r>
          <m:t>y</m:t>
        </m:r>
      </m:oMath>
      <w:r>
        <w:rPr>
          <w:rFonts w:ascii="Times New Roman" w:hAnsi="Times New Roman" w:eastAsia="方正仿宋_GBK"/>
          <w:b w:val="0"/>
          <w:sz w:val="24"/>
        </w:rPr>
        <w:t xml:space="preserve">为年份，</w:t>
      </w:r>
      <m:oMath>
        <m:r>
          <m:t>m</m:t>
        </m:r>
      </m:oMath>
      <w:r>
        <w:rPr>
          <w:rFonts w:ascii="Times New Roman" w:hAnsi="Times New Roman" w:eastAsia="方正仿宋_GBK"/>
          <w:b w:val="0"/>
          <w:sz w:val="24"/>
        </w:rPr>
        <w:t xml:space="preserve">为月份。</w:t>
      </w:r>
    </w:p>
    <w:p>
      <w:pPr>
        <w:pStyle w:val="2"/>
        <w:keepNext/>
        <w:spacing w:line="300" w:lineRule="auto" w:before="120" w:after="80"/>
        <w:ind w:firstLine="0"/>
        <w:jc w:val="center"/>
      </w:pPr>
      <w:r>
        <w:rPr>
          <w:rFonts w:ascii="Times New Roman" w:hAnsi="Times New Roman" w:eastAsia="宋体"/>
          <w:b w:val="0"/>
          <w:sz w:val="21"/>
        </w:rPr>
        <w:t xml:space="preserve">表3-3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2021年/MW</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2022年/MW</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2023年/MW</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2024年/MW</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141.89</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283.06</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564.70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1126.58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491.18</w:t>
            </w:r>
          </w:p>
        </w:tc>
      </w:tr>
    </w:tbl>
    <w:p>
      <w:pPr>
        <w:pStyle w:val="2"/>
        <w:keepNext/>
        <w:spacing w:line="240" w:lineRule="auto" w:before="120" w:after="0"/>
        <w:ind w:firstLine="0"/>
        <w:jc w:val="center"/>
      </w:pPr>
      <w:r>
        <w:drawing>
          <wp:inline>
            <wp:extent cx="5120640" cy="3648293"/>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2深化修订/pv_monthly.png" id="0" name="Picture"/>
                    <pic:cNvPicPr>
                      <a:picLocks noChangeArrowheads="1" noChangeAspect="1"/>
                    </pic:cNvPicPr>
                  </pic:nvPicPr>
                  <pic:blipFill>
                    <a:blip r:embed="rId97"/>
                    <a:stretch>
                      <a:fillRect/>
                    </a:stretch>
                  </pic:blipFill>
                  <pic:spPr bwMode="auto">
                    <a:xfrm>
                      <a:off x="0" y="0"/>
                      <a:ext cx="5120640" cy="3648293"/>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图3-2 2021—2025年月末分布式光伏装机容量</w:t>
      </w:r>
    </w:p>
    <w:p>
      <w:pPr>
        <w:pStyle w:val="5"/>
        <w:keepNext/>
        <w:numPr>
          <w:numId w:val="0"/>
        </w:numPr>
        <w:spacing w:line="360" w:lineRule="auto" w:before="160" w:after="120"/>
        <w:ind w:firstLine="0"/>
      </w:pPr>
      <w:bookmarkStart w:id="98" w:name="年发电量估计方法"/>
      <w:r>
        <w:rPr>
          <w:rFonts w:ascii="Times New Roman" w:hAnsi="Times New Roman" w:eastAsia="方正仿宋_GBK"/>
          <w:b/>
          <w:sz w:val="26"/>
        </w:rPr>
        <w:t xml:space="preserve">3.3.2 年发电量估计方法</w:t>
      </w:r>
      <w:bookmarkEnd w:id="98"/>
    </w:p>
    <w:p>
      <w:pPr>
        <w:pStyle w:val="FirstParagraph"/>
        <w:widowControl/>
        <w:spacing w:line="300" w:lineRule="auto" w:before="0" w:after="0"/>
        <w:ind w:firstLine="480"/>
        <w:jc w:val="both"/>
      </w:pPr>
      <w:r>
        <w:rPr>
          <w:rFonts w:ascii="Times New Roman" w:hAnsi="Times New Roman" w:eastAsia="方正仿宋_GBK"/>
          <w:b w:val="0"/>
          <w:sz w:val="24"/>
        </w:rPr>
        <w:t xml:space="preserve">光伏发电量由月度装机与统一典型出力曲线估计。对月份</w:t>
      </w:r>
      <m:oMath>
        <m:r>
          <m:t>m</m:t>
        </m:r>
      </m:oMath>
      <w:r>
        <w:rPr>
          <w:rFonts w:ascii="Times New Roman" w:hAnsi="Times New Roman" w:eastAsia="方正仿宋_GBK"/>
          <w:b w:val="0"/>
          <w:sz w:val="24"/>
        </w:rPr>
        <w:t xml:space="preserve">，使用本月末和前月末容量均值；1月前月取2024年12月。式（3-3）为本研究积分估计方法，典型出力系数来自原始光伏曲线。</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
                  <m:e>
                    <m:acc>
                      <m:accPr>
                        <m:chr m:val="̂"/>
                      </m:accPr>
                      <m:e>
                        <m:r>
                          <m:t>E</m:t>
                        </m:r>
                      </m:e>
                    </m:acc>
                  </m:e>
                  <m:sub>
                    <m:r>
                      <m:rPr>
                        <m:sty m:val="p"/>
                      </m:rPr>
                      <m:t>P</m:t>
                    </m:r>
                    <m:r>
                      <m:rPr>
                        <m:sty m:val="p"/>
                      </m:rPr>
                      <m:t>V</m:t>
                    </m:r>
                  </m:sub>
                </m:sSub>
                <m:r>
                  <m:t>=</m:t>
                </m:r>
                <m:nary>
                  <m:naryPr>
                    <m:chr m:val="∑"/>
                    <m:limLoc m:val="undOvr"/>
                    <m:subHide m:val="0"/>
                    <m:supHide m:val="0"/>
                  </m:naryPr>
                  <m:sub>
                    <m:r>
                      <m:t>m</m:t>
                    </m:r>
                    <m:r>
                      <m:t>=</m:t>
                    </m:r>
                    <m:r>
                      <m:t>1</m:t>
                    </m:r>
                  </m:sub>
                  <m:sup>
                    <m:r>
                      <m:t>12</m:t>
                    </m:r>
                  </m:sup>
                  <m:e>
                    <m:nary>
                      <m:naryPr>
                        <m:chr m:val="∑"/>
                        <m:limLoc m:val="undOvr"/>
                        <m:subHide m:val="0"/>
                        <m:supHide m:val="1"/>
                      </m:naryPr>
                      <m:sub>
                        <m:r>
                          <m:t>t</m:t>
                        </m:r>
                        <m:r>
                          <m:t>∈</m:t>
                        </m:r>
                        <m:r>
                          <m:t>m</m:t>
                        </m:r>
                      </m:sub>
                      <m:sup>
                        <m:r>
                          <m:t>​</m:t>
                        </m:r>
                      </m:sup>
                      <m:e>
                        <m:sSub>
                          <m:e>
                            <m:r>
                              <m:t>ϕ</m:t>
                            </m:r>
                          </m:e>
                          <m:sub>
                            <m:r>
                              <m:t>t</m:t>
                            </m:r>
                          </m:sub>
                        </m:sSub>
                      </m:e>
                    </m:nary>
                  </m:e>
                </m:nary>
                <m:f>
                  <m:fPr>
                    <m:type m:val="bar"/>
                  </m:fPr>
                  <m:num>
                    <m:sSub>
                      <m:e>
                        <m:r>
                          <m:t>C</m:t>
                        </m:r>
                      </m:e>
                      <m:sub>
                        <m:r>
                          <m:t>m</m:t>
                        </m:r>
                      </m:sub>
                    </m:sSub>
                    <m:r>
                      <m:t>+</m:t>
                    </m:r>
                    <m:sSub>
                      <m:e>
                        <m:r>
                          <m:t>C</m:t>
                        </m:r>
                      </m:e>
                      <m:sub>
                        <m:r>
                          <m:t>m</m:t>
                        </m:r>
                        <m:r>
                          <m:t>−</m:t>
                        </m:r>
                        <m:r>
                          <m:t>1</m:t>
                        </m:r>
                      </m:sub>
                    </m:sSub>
                  </m:num>
                  <m:den>
                    <m:r>
                      <m:t>2</m:t>
                    </m:r>
                  </m:den>
                </m:f>
                <m:r>
                  <m:t>Δ</m:t>
                </m:r>
                <m:r>
                  <m:t>t</m:t>
                </m:r>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（3-3）</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acc>
              <m:accPr>
                <m:chr m:val="̂"/>
              </m:accPr>
              <m:e>
                <m:r>
                  <m:t>E</m:t>
                </m:r>
              </m:e>
            </m:acc>
          </m:e>
          <m:sub>
            <m:r>
              <m:rPr>
                <m:sty m:val="p"/>
              </m:rPr>
              <m:t>P</m:t>
            </m:r>
            <m:r>
              <m:rPr>
                <m:sty m:val="p"/>
              </m:rPr>
              <m:t>V</m:t>
            </m:r>
          </m:sub>
        </m:sSub>
      </m:oMath>
      <w:r>
        <w:rPr>
          <w:rFonts w:ascii="Times New Roman" w:hAnsi="Times New Roman" w:eastAsia="方正仿宋_GBK"/>
          <w:b w:val="0"/>
          <w:sz w:val="24"/>
        </w:rPr>
        <w:t xml:space="preserve">为估计光伏年发电量，单位MWh；</w:t>
      </w:r>
      <m:oMath>
        <m:sSub>
          <m:e>
            <m:r>
              <m:t>C</m:t>
            </m:r>
          </m:e>
          <m:sub>
            <m:r>
              <m:t>m</m:t>
            </m:r>
          </m:sub>
        </m:sSub>
      </m:oMath>
      <w:r>
        <w:rPr>
          <w:rFonts w:ascii="Times New Roman" w:hAnsi="Times New Roman" w:eastAsia="方正仿宋_GBK"/>
          <w:b w:val="0"/>
          <w:sz w:val="24"/>
        </w:rPr>
        <w:t xml:space="preserve">和</w:t>
      </w:r>
      <m:oMath>
        <m:sSub>
          <m:e>
            <m:r>
              <m:t>C</m:t>
            </m:r>
          </m:e>
          <m:sub>
            <m:r>
              <m:t>m</m:t>
            </m:r>
            <m:r>
              <m:t>−</m:t>
            </m:r>
            <m:r>
              <m:t>1</m:t>
            </m:r>
          </m:sub>
        </m:sSub>
      </m:oMath>
      <w:r>
        <w:rPr>
          <w:rFonts w:ascii="Times New Roman" w:hAnsi="Times New Roman" w:eastAsia="方正仿宋_GBK"/>
          <w:b w:val="0"/>
          <w:sz w:val="24"/>
        </w:rPr>
        <w:t xml:space="preserve">分别为本月及前月末光伏装机，单位MW；</w:t>
      </w:r>
      <m:oMath>
        <m:sSub>
          <m:e>
            <m:r>
              <m:t>ϕ</m:t>
            </m:r>
          </m:e>
          <m:sub>
            <m:r>
              <m:t>t</m:t>
            </m:r>
          </m:sub>
        </m:sSub>
      </m:oMath>
      <w:r>
        <w:rPr>
          <w:rFonts w:ascii="Times New Roman" w:hAnsi="Times New Roman" w:eastAsia="方正仿宋_GBK"/>
          <w:b w:val="0"/>
          <w:sz w:val="24"/>
        </w:rPr>
        <w:t xml:space="preserve">为时刻</w:t>
      </w:r>
      <m:oMath>
        <m:r>
          <m:t>t</m:t>
        </m:r>
      </m:oMath>
      <w:r>
        <w:rPr>
          <w:rFonts w:ascii="Times New Roman" w:hAnsi="Times New Roman" w:eastAsia="方正仿宋_GBK"/>
          <w:b w:val="0"/>
          <w:sz w:val="24"/>
        </w:rPr>
        <w:t xml:space="preserve">的典型光伏出力系数，</w:t>
      </w:r>
      <m:oMath>
        <m:r>
          <m:t>Δ</m:t>
        </m:r>
        <m: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t>h</m:t>
        </m:r>
      </m:oMath>
      <w:r>
        <w:rPr>
          <w:rFonts w:ascii="Times New Roman" w:hAnsi="Times New Roman" w:eastAsia="方正仿宋_GBK"/>
          <w:b w:val="0"/>
          <w:sz w:val="24"/>
        </w:rPr>
        <w:t xml:space="preserve">，</w:t>
      </w:r>
      <m:oMath>
        <m: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00" w:lineRule="auto" w:before="0" w:after="0"/>
        <w:ind w:firstLine="480"/>
        <w:jc w:val="both"/>
      </w:pPr>
      <w:r>
        <w:rPr>
          <w:rFonts w:ascii="Times New Roman" w:hAnsi="Times New Roman" w:eastAsia="方正仿宋_GBK"/>
          <w:b w:val="0"/>
          <w:sz w:val="24"/>
        </w:rPr>
        <w:t xml:space="preserve">按该方法，邳州2025年发电量估计为1698270.73 MWh，市区为590451.12 MWh。数值的小数位用于复算，规划文字采用适当精度。不同地区的年内投运速度和月末装机差异均进入计算，未把年末规模直接应用于全年。</w:t>
      </w:r>
    </w:p>
    <w:p>
      <w:pPr>
        <w:pStyle w:val="5"/>
        <w:keepNext/>
        <w:numPr>
          <w:numId w:val="0"/>
        </w:numPr>
        <w:spacing w:line="360" w:lineRule="auto" w:before="160" w:after="120"/>
        <w:ind w:firstLine="0"/>
      </w:pPr>
      <w:bookmarkStart w:id="99" w:name="用户最大负荷与分布式电源装机渗透率"/>
      <w:r>
        <w:rPr>
          <w:rFonts w:ascii="Times New Roman" w:hAnsi="Times New Roman" w:eastAsia="方正仿宋_GBK"/>
          <w:b/>
          <w:sz w:val="26"/>
        </w:rPr>
        <w:t xml:space="preserve">3.3.3 用户最大负荷与分布式电源装机渗透率</w:t>
      </w:r>
      <w:bookmarkEnd w:id="99"/>
    </w:p>
    <w:p>
      <w:pPr>
        <w:pStyle w:val="FirstParagraph"/>
        <w:widowControl/>
        <w:spacing w:line="300" w:lineRule="auto" w:before="0" w:after="0"/>
        <w:ind w:firstLine="480"/>
        <w:jc w:val="both"/>
      </w:pPr>
      <w:r>
        <w:rPr>
          <w:rFonts w:ascii="Times New Roman" w:hAnsi="Times New Roman" w:eastAsia="方正仿宋_GBK"/>
          <w:b w:val="0"/>
          <w:sz w:val="24"/>
        </w:rPr>
        <w:t xml:space="preserve">分布式电源装机渗透率采用《配电网规划设计技术导则（修订稿，2025年4月）》的指标定义，作为描述源荷条件的研究参数[19]。</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
                  <m:e>
                    <m:r>
                      <m:t>η</m:t>
                    </m:r>
                  </m:e>
                  <m:sub>
                    <m:r>
                      <m:t>C</m:t>
                    </m:r>
                  </m:sub>
                </m:sSub>
                <m:r>
                  <m:t>=</m:t>
                </m:r>
                <m:f>
                  <m:fPr>
                    <m:type m:val="bar"/>
                  </m:fPr>
                  <m:num>
                    <m:sSub>
                      <m:e>
                        <m:r>
                          <m:t>C</m:t>
                        </m:r>
                      </m:e>
                      <m:sub>
                        <m:r>
                          <m:rPr>
                            <m:sty m:val="p"/>
                          </m:rPr>
                          <m:t>D</m:t>
                        </m:r>
                        <m:r>
                          <m:rPr>
                            <m:sty m:val="p"/>
                          </m:rPr>
                          <m:t>G</m:t>
                        </m:r>
                      </m:sub>
                    </m:sSub>
                  </m:num>
                  <m:den>
                    <m:sSub>
                      <m:e>
                        <m:r>
                          <m:t>P</m:t>
                        </m:r>
                      </m:e>
                      <m:sub>
                        <m:r>
                          <m:rPr>
                            <m:sty m:val="p"/>
                          </m:rPr>
                          <m:t>u</m:t>
                        </m:r>
                        <m:r>
                          <m:rPr>
                            <m:sty m:val="p"/>
                          </m:rPr>
                          <m:t>s</m:t>
                        </m:r>
                        <m:r>
                          <m:rPr>
                            <m:sty m:val="p"/>
                          </m:rPr>
                          <m:t>e</m:t>
                        </m:r>
                        <m:r>
                          <m:rPr>
                            <m:sty m:val="p"/>
                          </m:rPr>
                          <m:t>r</m:t>
                        </m:r>
                        <m:r>
                          <m:rPr>
                            <m:sty m:val="p"/>
                          </m:rPr>
                          <m:t>,</m:t>
                        </m:r>
                        <m:r>
                          <m:rPr>
                            <m:sty m:val="p"/>
                          </m:rPr>
                          <m:t>m</m:t>
                        </m:r>
                        <m:r>
                          <m:rPr>
                            <m:sty m:val="p"/>
                          </m:rPr>
                          <m:t>a</m:t>
                        </m:r>
                        <m:r>
                          <m:rPr>
                            <m:sty m:val="p"/>
                          </m:rPr>
                          <m:t>x</m:t>
                        </m:r>
                      </m:sub>
                    </m:sSub>
                  </m:den>
                </m:f>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（3-4）</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η</m:t>
            </m:r>
          </m:e>
          <m:sub>
            <m:r>
              <m:t>C</m:t>
            </m:r>
          </m:sub>
        </m:sSub>
      </m:oMath>
      <w:r>
        <w:rPr>
          <w:rFonts w:ascii="Times New Roman" w:hAnsi="Times New Roman" w:eastAsia="方正仿宋_GBK"/>
          <w:b w:val="0"/>
          <w:sz w:val="24"/>
        </w:rPr>
        <w:t xml:space="preserve">为分布式电源装机渗透率，无量纲；</w:t>
      </w:r>
      <m:oMath>
        <m:sSub>
          <m:e>
            <m:r>
              <m:t>C</m:t>
            </m:r>
          </m:e>
          <m:sub>
            <m:r>
              <m:rPr>
                <m:sty m:val="p"/>
              </m:rPr>
              <m:t>D</m:t>
            </m:r>
            <m:r>
              <m:rPr>
                <m:sty m:val="p"/>
              </m:rPr>
              <m:t>G</m:t>
            </m:r>
          </m:sub>
        </m:sSub>
      </m:oMath>
      <w:r>
        <w:rPr>
          <w:rFonts w:ascii="Times New Roman" w:hAnsi="Times New Roman" w:eastAsia="方正仿宋_GBK"/>
          <w:b w:val="0"/>
          <w:sz w:val="24"/>
        </w:rPr>
        <w:t xml:space="preserve">为同范围分布式电源并网装机容量，单位MW；</w:t>
      </w:r>
      <m:oMath>
        <m:sSub>
          <m:e>
            <m:r>
              <m:t>P</m:t>
            </m:r>
          </m:e>
          <m:sub>
            <m:r>
              <m:rPr>
                <m:sty m:val="p"/>
              </m:rPr>
              <m:t>u</m:t>
            </m:r>
            <m:r>
              <m:rPr>
                <m:sty m:val="p"/>
              </m:rPr>
              <m:t>s</m:t>
            </m:r>
            <m:r>
              <m:rPr>
                <m:sty m:val="p"/>
              </m:rPr>
              <m:t>e</m:t>
            </m:r>
            <m:r>
              <m:rPr>
                <m:sty m:val="p"/>
              </m:rPr>
              <m:t>r</m:t>
            </m:r>
            <m:r>
              <m:rPr>
                <m:sty m:val="p"/>
              </m:rPr>
              <m:t>,</m:t>
            </m:r>
            <m:r>
              <m:rPr>
                <m:sty m:val="p"/>
              </m:rPr>
              <m:t>m</m:t>
            </m:r>
            <m:r>
              <m:rPr>
                <m:sty m:val="p"/>
              </m:rPr>
              <m:t>a</m:t>
            </m:r>
            <m:r>
              <m:rPr>
                <m:sty m:val="p"/>
              </m:rPr>
              <m:t>x</m:t>
            </m:r>
          </m:sub>
        </m:sSub>
      </m:oMath>
      <w:r>
        <w:rPr>
          <w:rFonts w:ascii="Times New Roman" w:hAnsi="Times New Roman" w:eastAsia="方正仿宋_GBK"/>
          <w:b w:val="0"/>
          <w:sz w:val="24"/>
        </w:rPr>
        <w:t xml:space="preserve">为用户最大用电负荷，单位MW。DG为分布式电源的英文缩写[19]。用户日间负荷由设备典型时刻净功率加回相应光伏出力估计，夜间候选负荷由设备夜间统计得到，再取两者较大值。该候选法未检索全年全部用户负荷时刻，其分母仍为典型场景估计。</w:t>
      </w:r>
    </w:p>
    <w:p>
      <w:pPr>
        <w:pStyle w:val="2"/>
        <w:widowControl/>
        <w:spacing w:line="300" w:lineRule="auto"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60" w:lineRule="auto" w:before="160" w:after="120"/>
        <w:ind w:firstLine="0"/>
      </w:pPr>
      <w:bookmarkStart w:id="100" w:name="用户电量与分布式电源电量渗透率"/>
      <w:r>
        <w:rPr>
          <w:rFonts w:ascii="Times New Roman" w:hAnsi="Times New Roman" w:eastAsia="方正仿宋_GBK"/>
          <w:b/>
          <w:sz w:val="26"/>
        </w:rPr>
        <w:t xml:space="preserve">3.3.4 用户电量与分布式电源电量渗透率</w:t>
      </w:r>
      <w:bookmarkEnd w:id="100"/>
    </w:p>
    <w:p>
      <w:pPr>
        <w:pStyle w:val="FirstParagraph"/>
        <w:widowControl/>
        <w:spacing w:line="300" w:lineRule="auto"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在同范围、忽略损耗且其他电源已单独处理的条件下，用户电量可由净交换电量加本地发电量重建。现有样本站级净电量先按区县覆盖系数外推，再加光伏年发电量。用户电量按式（3-5）估计。</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sSub>
                        <m:e>
                          <m:acc>
                            <m:accPr>
                              <m:chr m:val="̂"/>
                            </m:accPr>
                            <m:e>
                              <m:r>
                                <m:t>E</m:t>
                              </m:r>
                            </m:e>
                          </m:acc>
                        </m:e>
                        <m:sub>
                          <m:r>
                            <m:rPr>
                              <m:sty m:val="p"/>
                            </m:rPr>
                            <m:t>u</m:t>
                          </m:r>
                          <m:r>
                            <m:rPr>
                              <m:sty m:val="p"/>
                            </m:rPr>
                            <m:t>s</m:t>
                          </m:r>
                          <m:r>
                            <m:rPr>
                              <m:sty m:val="p"/>
                            </m:rPr>
                            <m:t>e</m:t>
                          </m:r>
                          <m:r>
                            <m:rPr>
                              <m:sty m:val="p"/>
                            </m:rPr>
                            <m:t>r</m:t>
                          </m:r>
                        </m:sub>
                      </m:sSub>
                    </m:e>
                    <m:e>
                      <m:r>
                        <m:t>=</m:t>
                      </m:r>
                      <m:r>
                        <m:t>a</m:t>
                      </m:r>
                      <m:nary>
                        <m:naryPr>
                          <m:chr m:val="∑"/>
                          <m:limLoc m:val="undOvr"/>
                          <m:subHide m:val="0"/>
                          <m:supHide m:val="1"/>
                        </m:naryPr>
                        <m:sub>
                          <m:r>
                            <m:t>t</m:t>
                          </m:r>
                        </m:sub>
                        <m:sup>
                          <m:r>
                            <m:t>​</m:t>
                          </m:r>
                        </m:sup>
                        <m:e>
                          <m:sSub>
                            <m:e>
                              <m:r>
                                <m:t>P</m:t>
                              </m:r>
                            </m:e>
                            <m:sub>
                              <m:r>
                                <m:rPr>
                                  <m:sty m:val="p"/>
                                </m:rPr>
                                <m:t>n</m:t>
                              </m:r>
                              <m:r>
                                <m:rPr>
                                  <m:sty m:val="p"/>
                                </m:rPr>
                                <m:t>e</m:t>
                              </m:r>
                              <m:r>
                                <m:rPr>
                                  <m:sty m:val="p"/>
                                </m:rPr>
                                <m:t>t</m:t>
                              </m:r>
                              <m:r>
                                <m:t>,</m:t>
                              </m:r>
                              <m:r>
                                <m:t>t</m:t>
                              </m:r>
                            </m:sub>
                          </m:sSub>
                        </m:e>
                      </m:nary>
                      <m:r>
                        <m:t>Δ</m:t>
                      </m:r>
                      <m:r>
                        <m:t>t</m:t>
                      </m:r>
                      <m:r>
                        <m:t>+</m:t>
                      </m:r>
                      <m:sSub>
                        <m:e>
                          <m:acc>
                            <m:accPr>
                              <m:chr m:val="̂"/>
                            </m:accPr>
                            <m:e>
                              <m:r>
                                <m:t>E</m:t>
                              </m:r>
                            </m:e>
                          </m:acc>
                        </m:e>
                        <m:sub>
                          <m:r>
                            <m:rPr>
                              <m:sty m:val="p"/>
                            </m:rPr>
                            <m:t>P</m:t>
                          </m:r>
                          <m:r>
                            <m:rPr>
                              <m:sty m:val="p"/>
                            </m:rPr>
                            <m:t>V</m:t>
                          </m:r>
                        </m:sub>
                      </m:sSub>
                    </m:e>
                  </m:mr>
                  <m:mr>
                    <m:e>
                      <m:sSub>
                        <m:e>
                          <m:r>
                            <m:t>η</m:t>
                          </m:r>
                        </m:e>
                        <m:sub>
                          <m:r>
                            <m:t>E</m:t>
                          </m:r>
                        </m:sub>
                      </m:sSub>
                    </m:e>
                    <m:e>
                      <m:r>
                        <m:t>=</m:t>
                      </m:r>
                      <m:f>
                        <m:fPr>
                          <m:type m:val="bar"/>
                        </m:fPr>
                        <m:num>
                          <m:sSub>
                            <m:e>
                              <m:acc>
                                <m:accPr>
                                  <m:chr m:val="̂"/>
                                </m:accPr>
                                <m:e>
                                  <m:r>
                                    <m:t>E</m:t>
                                  </m:r>
                                </m:e>
                              </m:acc>
                            </m:e>
                            <m:sub>
                              <m:r>
                                <m:rPr>
                                  <m:sty m:val="p"/>
                                </m:rPr>
                                <m:t>P</m:t>
                              </m:r>
                              <m:r>
                                <m:rPr>
                                  <m:sty m:val="p"/>
                                </m:rPr>
                                <m:t>V</m:t>
                              </m:r>
                            </m:sub>
                          </m:sSub>
                        </m:num>
                        <m:den>
                          <m:sSub>
                            <m:e>
                              <m:acc>
                                <m:accPr>
                                  <m:chr m:val="̂"/>
                                </m:accPr>
                                <m:e>
                                  <m:r>
                                    <m:t>E</m:t>
                                  </m:r>
                                </m:e>
                              </m:acc>
                            </m:e>
                            <m:sub>
                              <m:r>
                                <m:rPr>
                                  <m:sty m:val="p"/>
                                </m:rPr>
                                <m:t>u</m:t>
                              </m:r>
                              <m:r>
                                <m:rPr>
                                  <m:sty m:val="p"/>
                                </m:rPr>
                                <m:t>s</m:t>
                              </m:r>
                              <m:r>
                                <m:rPr>
                                  <m:sty m:val="p"/>
                                </m:rPr>
                                <m:t>e</m:t>
                              </m:r>
                              <m:r>
                                <m:rPr>
                                  <m:sty m:val="p"/>
                                </m:rPr>
                                <m:t>r</m:t>
                              </m:r>
                            </m:sub>
                          </m:sSub>
                        </m:den>
                      </m:f>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（3-5）</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acc>
              <m:accPr>
                <m:chr m:val="̂"/>
              </m:accPr>
              <m:e>
                <m:r>
                  <m:t>E</m:t>
                </m:r>
              </m:e>
            </m:acc>
          </m:e>
          <m:sub>
            <m:r>
              <m:rPr>
                <m:sty m:val="p"/>
              </m:rPr>
              <m:t>u</m:t>
            </m:r>
            <m:r>
              <m:rPr>
                <m:sty m:val="p"/>
              </m:rPr>
              <m:t>s</m:t>
            </m:r>
            <m:r>
              <m:rPr>
                <m:sty m:val="p"/>
              </m:rPr>
              <m:t>e</m:t>
            </m:r>
            <m:r>
              <m:rPr>
                <m:sty m:val="p"/>
              </m:rPr>
              <m:t>r</m:t>
            </m:r>
          </m:sub>
        </m:sSub>
      </m:oMath>
      <w:r>
        <w:rPr>
          <w:rFonts w:ascii="Times New Roman" w:hAnsi="Times New Roman" w:eastAsia="方正仿宋_GBK"/>
          <w:b w:val="0"/>
          <w:sz w:val="24"/>
        </w:rPr>
        <w:t xml:space="preserve">为用户年用电量估计值，</w:t>
      </w:r>
      <m:oMath>
        <m:sSub>
          <m:e>
            <m:acc>
              <m:accPr>
                <m:chr m:val="̂"/>
              </m:accPr>
              <m:e>
                <m:r>
                  <m:t>E</m:t>
                </m:r>
              </m:e>
            </m:acc>
          </m:e>
          <m:sub>
            <m:r>
              <m:rPr>
                <m:sty m:val="p"/>
              </m:rPr>
              <m:t>P</m:t>
            </m:r>
            <m:r>
              <m:rPr>
                <m:sty m:val="p"/>
              </m:rPr>
              <m:t>V</m:t>
            </m:r>
          </m:sub>
        </m:sSub>
      </m:oMath>
      <w:r>
        <w:rPr>
          <w:rFonts w:ascii="Times New Roman" w:hAnsi="Times New Roman" w:eastAsia="方正仿宋_GBK"/>
          <w:b w:val="0"/>
          <w:sz w:val="24"/>
        </w:rPr>
        <w:t xml:space="preserve">为光伏年发电量估计值，单位MWh；</w:t>
      </w:r>
      <m:oMath>
        <m:sSub>
          <m:e>
            <m:r>
              <m:t>η</m:t>
            </m:r>
          </m:e>
          <m:sub>
            <m:r>
              <m:t>E</m:t>
            </m:r>
          </m:sub>
        </m:sSub>
      </m:oMath>
      <w:r>
        <w:rPr>
          <w:rFonts w:ascii="Times New Roman" w:hAnsi="Times New Roman" w:eastAsia="方正仿宋_GBK"/>
          <w:b w:val="0"/>
          <w:sz w:val="24"/>
        </w:rPr>
        <w:t xml:space="preserve">为分布式电源电量渗透率；</w:t>
      </w:r>
      <m:oMath>
        <m:sSub>
          <m:e>
            <m:r>
              <m:t>P</m:t>
            </m:r>
          </m:e>
          <m:sub>
            <m:r>
              <m:rPr>
                <m:sty m:val="p"/>
              </m:rPr>
              <m:t>n</m:t>
            </m:r>
            <m:r>
              <m:rPr>
                <m:sty m:val="p"/>
              </m:rPr>
              <m:t>e</m:t>
            </m:r>
            <m:r>
              <m:rPr>
                <m:sty m:val="p"/>
              </m:rPr>
              <m:t>t</m:t>
            </m:r>
            <m:r>
              <m:t>,</m:t>
            </m:r>
            <m:r>
              <m:t>t</m:t>
            </m:r>
          </m:sub>
        </m:sSub>
      </m:oMath>
      <w:r>
        <w:rPr>
          <w:rFonts w:ascii="Times New Roman" w:hAnsi="Times New Roman" w:eastAsia="方正仿宋_GBK"/>
          <w:b w:val="0"/>
          <w:sz w:val="24"/>
        </w:rPr>
        <w:t xml:space="preserve">为时刻</w:t>
      </w:r>
      <m:oMath>
        <m:r>
          <m:t>t</m:t>
        </m:r>
      </m:oMath>
      <w:r>
        <w:rPr>
          <w:rFonts w:ascii="Times New Roman" w:hAnsi="Times New Roman" w:eastAsia="方正仿宋_GBK"/>
          <w:b w:val="0"/>
          <w:sz w:val="24"/>
        </w:rPr>
        <w:t xml:space="preserve">的样本净交换功率，单位MW，</w:t>
      </w:r>
      <m:oMath>
        <m:r>
          <m:t>Δ</m:t>
        </m:r>
        <m:r>
          <m:t>t</m:t>
        </m:r>
      </m:oMath>
      <w:r>
        <w:rPr>
          <w:rFonts w:ascii="Times New Roman" w:hAnsi="Times New Roman" w:eastAsia="方正仿宋_GBK"/>
          <w:b w:val="0"/>
          <w:sz w:val="24"/>
        </w:rPr>
        <w:t xml:space="preserve">为1 h。</w:t>
      </w:r>
      <m:oMath>
        <m: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00" w:lineRule="auto" w:before="0" w:after="0"/>
        <w:ind w:firstLine="480"/>
        <w:jc w:val="both"/>
      </w:pPr>
      <w:r>
        <w:rPr>
          <w:rFonts w:ascii="Times New Roman" w:hAnsi="Times New Roman" w:eastAsia="方正仿宋_GBK"/>
          <w:b w:val="0"/>
          <w:sz w:val="24"/>
        </w:rPr>
        <w:t xml:space="preserve">邳州估计用户年电量为4216392.40 MWh，分布式电源电量渗透率为40.28%；市区为6791485.10 MWh和8.69%。上述估计值用于源荷背景分析，费用目标采用第四章规定的新增措施支出。</w:t>
      </w:r>
    </w:p>
    <w:p>
      <w:bookmarkStart w:id="1264" w:name="h264"/>
      <w:pPr>
        <w:pStyle w:val="4"/>
        <w:keepNext/>
        <w:numPr>
          <w:numId w:val="0"/>
        </w:numPr>
        <w:spacing w:line="360" w:lineRule="auto" w:before="160" w:after="120"/>
        <w:ind w:firstLine="0"/>
      </w:pPr>
      <w:bookmarkStart w:id="101" w:name="主变负载率与双向净负荷"/>
      <w:r>
        <w:rPr>
          <w:rFonts w:ascii="Times New Roman" w:hAnsi="Times New Roman" w:eastAsia="方正仿宋_GBK"/>
          <w:b/>
          <w:sz w:val="32"/>
        </w:rPr>
        <w:t xml:space="preserve">3.4 主变负载率与双向净负荷</w:t>
      </w:r>
      <w:bookmarkEnd w:id="101"/>
      <w:bookmarkEnd w:id="1264"/>
    </w:p>
    <w:p>
      <w:pPr>
        <w:pStyle w:val="5"/>
        <w:keepNext/>
        <w:numPr>
          <w:numId w:val="0"/>
        </w:numPr>
        <w:spacing w:line="360" w:lineRule="auto" w:before="160" w:after="120"/>
        <w:ind w:firstLine="0"/>
      </w:pPr>
      <w:bookmarkStart w:id="102" w:name="原表负载率统计"/>
      <w:r>
        <w:rPr>
          <w:rFonts w:ascii="Times New Roman" w:hAnsi="Times New Roman" w:eastAsia="方正仿宋_GBK"/>
          <w:b/>
          <w:sz w:val="26"/>
        </w:rPr>
        <w:t xml:space="preserve">3.4.1 原表负载率统计</w:t>
      </w:r>
      <w:bookmarkEnd w:id="102"/>
    </w:p>
    <w:p>
      <w:pPr>
        <w:pStyle w:val="FirstParagraph"/>
        <w:widowControl/>
        <w:spacing w:line="300" w:lineRule="auto" w:before="0" w:after="0"/>
        <w:ind w:firstLine="480"/>
        <w:jc w:val="both"/>
      </w:pPr>
      <w:r>
        <w:rPr>
          <w:rFonts w:ascii="Times New Roman" w:hAnsi="Times New Roman" w:eastAsia="方正仿宋_GBK"/>
          <w:b w:val="0"/>
          <w:sz w:val="24"/>
        </w:rPr>
        <w:t xml:space="preserve">设备统计表P列记录逐台主变年最大负载率。按110 kV及区县筛选，计算样本均值、中位数及较高负载设备数量。分布统计采用各台设备的年度极值，各自最大时刻可能不同。</w:t>
      </w:r>
    </w:p>
    <w:p>
      <w:pPr>
        <w:pStyle w:val="2"/>
        <w:keepNext/>
        <w:spacing w:line="300" w:lineRule="auto" w:before="120" w:after="80"/>
        <w:ind w:firstLine="0"/>
        <w:jc w:val="center"/>
      </w:pPr>
      <w:r>
        <w:rPr>
          <w:rFonts w:ascii="Times New Roman" w:hAnsi="Times New Roman" w:eastAsia="宋体"/>
          <w:b w:val="0"/>
          <w:sz w:val="21"/>
        </w:rPr>
        <w:t xml:space="preserve">表3-4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样本台数</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均值/%</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中位数/%</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≥80%台数</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54.82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52.55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92.40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52.68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54.62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97.44</w:t>
            </w:r>
          </w:p>
        </w:tc>
      </w:tr>
    </w:tbl>
    <w:p>
      <w:pPr>
        <w:pStyle w:val="2"/>
        <w:widowControl/>
        <w:spacing w:line="300" w:lineRule="auto" w:before="0" w:after="0"/>
        <w:ind w:firstLine="480"/>
        <w:jc w:val="both"/>
      </w:pPr>
      <w:r>
        <w:rPr>
          <w:rFonts w:ascii="Times New Roman" w:hAnsi="Times New Roman" w:eastAsia="方正仿宋_GBK"/>
          <w:b w:val="0"/>
          <w:sz w:val="24"/>
        </w:rPr>
        <w:t xml:space="preserve">邳州逐台主变年最大负载率中位数为52.55%，市区为54.62%。均值与中位数的差异说明设备分布需要单独观察。区域比值较高仍可能同时存在个别设备较高负载，建设措施应落实到站级。</w:t>
      </w:r>
    </w:p>
    <w:p>
      <w:pPr>
        <w:pStyle w:val="2"/>
        <w:keepNext/>
        <w:spacing w:line="240" w:lineRule="auto" w:before="120" w:after="0"/>
        <w:ind w:firstLine="0"/>
        <w:jc w:val="center"/>
      </w:pPr>
      <w:r>
        <w:drawing>
          <wp:inline>
            <wp:extent cx="5120640" cy="3028742"/>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2深化修订/loading_distribution.png" id="0" name="Picture"/>
                    <pic:cNvPicPr>
                      <a:picLocks noChangeArrowheads="1" noChangeAspect="1"/>
                    </pic:cNvPicPr>
                  </pic:nvPicPr>
                  <pic:blipFill>
                    <a:blip r:embed="rId103"/>
                    <a:stretch>
                      <a:fillRect/>
                    </a:stretch>
                  </pic:blipFill>
                  <pic:spPr bwMode="auto">
                    <a:xfrm>
                      <a:off x="0" y="0"/>
                      <a:ext cx="5120640" cy="3028742"/>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图3-3 邳州和市区逐台主变最大负载率分布</w:t>
      </w:r>
    </w:p>
    <w:p>
      <w:pPr>
        <w:pStyle w:val="5"/>
        <w:keepNext/>
        <w:numPr>
          <w:numId w:val="0"/>
        </w:numPr>
        <w:spacing w:line="360" w:lineRule="auto" w:before="160" w:after="120"/>
        <w:ind w:firstLine="0"/>
      </w:pPr>
      <w:bookmarkStart w:id="104" w:name="最大正向反向净负荷"/>
      <w:r>
        <w:rPr>
          <w:rFonts w:ascii="Times New Roman" w:hAnsi="Times New Roman" w:eastAsia="方正仿宋_GBK"/>
          <w:b/>
          <w:sz w:val="26"/>
        </w:rPr>
        <w:t xml:space="preserve">3.4.2 最大正向、反向净负荷</w:t>
      </w:r>
      <w:bookmarkEnd w:id="104"/>
    </w:p>
    <w:p>
      <w:pPr>
        <w:pStyle w:val="FirstParagraph"/>
        <w:widowControl/>
        <w:spacing w:line="300" w:lineRule="auto" w:before="0" w:after="0"/>
        <w:ind w:firstLine="480"/>
        <w:jc w:val="both"/>
      </w:pPr>
      <w:r>
        <w:rPr>
          <w:rFonts w:ascii="Times New Roman" w:hAnsi="Times New Roman" w:eastAsia="方正仿宋_GBK"/>
          <w:b w:val="0"/>
          <w:sz w:val="24"/>
        </w:rPr>
        <w:t xml:space="preserve">净负荷序列以受电为正、反送为负。容量压力采用最大绝对值，同时保存正向和反向极值用于容量校核。由带符号序列分别提取方向峰值：</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p>
                  <m:e>
                    <m:r>
                      <m:t>P</m:t>
                    </m:r>
                  </m:e>
                  <m:sup>
                    <m:r>
                      <m:t>+</m:t>
                    </m:r>
                  </m:sup>
                </m:sSup>
                <m:r>
                  <m:t>=</m:t>
                </m:r>
                <m:limLow>
                  <m:e>
                    <m:r>
                      <m:rPr>
                        <m:nor/>
                        <m:sty m:val="p"/>
                      </m:rPr>
                      <m:t>max</m:t>
                    </m:r>
                  </m:e>
                  <m:lim>
                    <m:r>
                      <m:t>t</m:t>
                    </m:r>
                  </m:lim>
                </m:limLow>
                <m:r>
                  <m:t>(</m:t>
                </m:r>
                <m:sSub>
                  <m:e>
                    <m:r>
                      <m:t>P</m:t>
                    </m:r>
                  </m:e>
                  <m:sub>
                    <m:r>
                      <m:t>t</m:t>
                    </m:r>
                  </m:sub>
                </m:sSub>
                <m:r>
                  <m:t>,</m:t>
                </m:r>
                <m:r>
                  <m:t>0</m:t>
                </m:r>
                <m:r>
                  <m:t>)</m:t>
                </m:r>
                <m:r>
                  <m:t>,</m:t>
                </m:r>
                <m:r>
                  <m:t> </m:t>
                </m:r>
                <m:sSup>
                  <m:e>
                    <m:r>
                      <m:t>P</m:t>
                    </m:r>
                  </m:e>
                  <m:sup>
                    <m:r>
                      <m:t>−</m:t>
                    </m:r>
                  </m:sup>
                </m:sSup>
                <m:r>
                  <m:t>=</m:t>
                </m:r>
                <m:limLow>
                  <m:e>
                    <m:r>
                      <m:rPr>
                        <m:nor/>
                        <m:sty m:val="p"/>
                      </m:rPr>
                      <m:t>max</m:t>
                    </m:r>
                  </m:e>
                  <m:lim>
                    <m:r>
                      <m:t>t</m:t>
                    </m:r>
                  </m:lim>
                </m:limLow>
                <m:r>
                  <m:t>(</m:t>
                </m:r>
                <m:r>
                  <m:t>−</m:t>
                </m:r>
                <m:sSub>
                  <m:e>
                    <m:r>
                      <m:t>P</m:t>
                    </m:r>
                  </m:e>
                  <m:sub>
                    <m:r>
                      <m:t>t</m:t>
                    </m:r>
                  </m:sub>
                </m:sSub>
                <m:r>
                  <m:t>,</m:t>
                </m:r>
                <m:r>
                  <m:t>0</m:t>
                </m:r>
                <m:r>
                  <m:t>)</m:t>
                </m:r>
                <m:r>
                  <m:t>,</m:t>
                </m:r>
                <m:r>
                  <m:t> </m:t>
                </m:r>
                <m:sSup>
                  <m:e>
                    <m:r>
                      <m:t>P</m:t>
                    </m:r>
                  </m:e>
                  <m:sup>
                    <m:r>
                      <m:rPr>
                        <m:sty m:val="p"/>
                      </m:rPr>
                      <m:t>a</m:t>
                    </m:r>
                    <m:r>
                      <m:rPr>
                        <m:sty m:val="p"/>
                      </m:rPr>
                      <m:t>b</m:t>
                    </m:r>
                    <m:r>
                      <m:rPr>
                        <m:sty m:val="p"/>
                      </m:rPr>
                      <m:t>s</m:t>
                    </m:r>
                  </m:sup>
                </m:sSup>
                <m:r>
                  <m:t>=</m:t>
                </m:r>
                <m:r>
                  <m:rPr>
                    <m:nor/>
                    <m:sty m:val="p"/>
                  </m:rPr>
                  <m:t>max</m:t>
                </m:r>
                <m:r>
                  <m:t>(</m:t>
                </m:r>
                <m:sSup>
                  <m:e>
                    <m:r>
                      <m:t>P</m:t>
                    </m:r>
                  </m:e>
                  <m:sup>
                    <m:r>
                      <m:t>+</m:t>
                    </m:r>
                  </m:sup>
                </m:sSup>
                <m:r>
                  <m:t>,</m:t>
                </m:r>
                <m:sSup>
                  <m:e>
                    <m:r>
                      <m:t>P</m:t>
                    </m:r>
                  </m:e>
                  <m:sup>
                    <m:r>
                      <m:t>−</m:t>
                    </m:r>
                  </m:sup>
                </m:sSup>
                <m:r>
                  <m:t>)</m:t>
                </m:r>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（3-6）</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P</m:t>
            </m:r>
          </m:e>
          <m:sub>
            <m:r>
              <m:t>t</m:t>
            </m:r>
          </m:sub>
        </m:sSub>
      </m:oMath>
      <w:r>
        <w:rPr>
          <w:rFonts w:ascii="Times New Roman" w:hAnsi="Times New Roman" w:eastAsia="方正仿宋_GBK"/>
          <w:b w:val="0"/>
          <w:sz w:val="24"/>
        </w:rPr>
        <w:t xml:space="preserve">为时刻</w:t>
      </w:r>
      <m:oMath>
        <m:r>
          <m:t>t</m:t>
        </m:r>
      </m:oMath>
      <w:r>
        <w:rPr>
          <w:rFonts w:ascii="Times New Roman" w:hAnsi="Times New Roman" w:eastAsia="方正仿宋_GBK"/>
          <w:b w:val="0"/>
          <w:sz w:val="24"/>
        </w:rPr>
        <w:t xml:space="preserve">的净负荷，受电为正、反送为负；</w:t>
      </w:r>
      <m:oMath>
        <m:sSup>
          <m:e>
            <m:r>
              <m:t>P</m:t>
            </m:r>
          </m:e>
          <m:sup>
            <m:r>
              <m:t>+</m:t>
            </m:r>
          </m:sup>
        </m:sSup>
      </m:oMath>
      <w:r>
        <w:rPr>
          <w:rFonts w:ascii="Times New Roman" w:hAnsi="Times New Roman" w:eastAsia="方正仿宋_GBK"/>
          <w:b w:val="0"/>
          <w:sz w:val="24"/>
        </w:rPr>
        <w:t xml:space="preserve">和</w:t>
      </w:r>
      <m:oMath>
        <m:sSup>
          <m:e>
            <m:r>
              <m:t>P</m:t>
            </m:r>
          </m:e>
          <m:sup>
            <m:r>
              <m:t>−</m:t>
            </m:r>
          </m:sup>
        </m:sSup>
      </m:oMath>
      <w:r>
        <w:rPr>
          <w:rFonts w:ascii="Times New Roman" w:hAnsi="Times New Roman" w:eastAsia="方正仿宋_GBK"/>
          <w:b w:val="0"/>
          <w:sz w:val="24"/>
        </w:rPr>
        <w:t xml:space="preserve">分别为最大正向、反向净负荷，</w:t>
      </w:r>
      <m:oMath>
        <m:sSup>
          <m:e>
            <m:r>
              <m:t>P</m:t>
            </m:r>
          </m:e>
          <m:sup>
            <m:r>
              <m:rPr>
                <m:sty m:val="p"/>
              </m:rPr>
              <m:t>a</m:t>
            </m:r>
            <m:r>
              <m:rPr>
                <m:sty m:val="p"/>
              </m:rPr>
              <m:t>b</m:t>
            </m:r>
            <m:r>
              <m:rPr>
                <m:sty m:val="p"/>
              </m:rPr>
              <m:t>s</m:t>
            </m:r>
          </m:sup>
        </m:sSup>
      </m:oMath>
      <w:r>
        <w:rPr>
          <w:rFonts w:ascii="Times New Roman" w:hAnsi="Times New Roman" w:eastAsia="方正仿宋_GBK"/>
          <w:b w:val="0"/>
          <w:sz w:val="24"/>
        </w:rPr>
        <w:t xml:space="preserve">为净负荷最大绝对值，单位均为MW。净负荷最大绝对值反映有功压力量级。与主变MVA比较时按功率因数折算，若要得到实际设备负载率，应使用同一时刻无功或电流资料。正反向压力相近时，主变容量需求相近，网络接入、电压和保护条件分别校核[4][5]。</w:t>
      </w:r>
    </w:p>
    <w:p>
      <w:pPr>
        <w:pStyle w:val="2"/>
        <w:keepNext/>
        <w:spacing w:line="300" w:lineRule="auto" w:before="120" w:after="80"/>
        <w:ind w:firstLine="0"/>
        <w:jc w:val="center"/>
      </w:pPr>
      <w:r>
        <w:rPr>
          <w:rFonts w:ascii="Times New Roman" w:hAnsi="Times New Roman" w:eastAsia="宋体"/>
          <w:b w:val="0"/>
          <w:sz w:val="21"/>
        </w:rPr>
        <w:t xml:space="preserve">表3-5 2025年站级正反向净负荷与持续时间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地区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变电站编号</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正向/MW</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反向/MW</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净负荷最大绝对值/MW</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正向H95/h</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反向H95/h</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BDZ-00005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37.23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19.02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37.23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BDZ-00016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69.44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31.61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69.44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BDZ-00021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24.34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BDZ-00022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47.23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47.23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BDZ-00026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18.04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BDZ-00027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35.27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BDZ-00028</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BDZ-00031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39.89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29.53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39.89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BDZ-00037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27.54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26.86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27.54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BDZ-00048</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73.11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4.56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73.11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BDZ-00095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22.91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30.81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30.81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BDZ-00096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69.39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69.39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BDZ-00124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30.65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BDZ-00135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84.83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56.92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84.83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BDZ-00141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39.87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37.46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39.87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BDZ-00146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25.93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28.80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28.80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BDZ-00147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50.21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50.21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BDZ-00162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35.20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35.20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BDZ-00164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30.51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BDZ-00172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34.43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22.78</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34.43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BDZ-00012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32.29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35.73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35.73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BDZ-00013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70.32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8.70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70.32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BDZ-00023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BDZ-00024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BDZ-00042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84.10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84.10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BDZ-00051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63.58</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63.58</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BDZ-00053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BDZ-00055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46.06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6.81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46.06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BDZ-00062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56.24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56.24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BDZ-00065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83.74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83.74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BDZ-00074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71.22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13.31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71.22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BDZ-00076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31.83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31.83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BDZ-00092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7.08</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BDZ-00094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64.92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64.92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BDZ-00103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BDZ-00106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5.80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5.80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BDZ-00110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38.35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38.35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BDZ-00114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110.02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10.95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110.02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BDZ-00115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BDZ-00139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92.95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92.95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BDZ-00148</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BDZ-00151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BDZ-00154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19.37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19.37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BDZ-00155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53.11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53.11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BDZ-00175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45.03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45.03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BDZ-00183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16.47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5.61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16.47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SIM-CITY-KL</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16.09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4.76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16.09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SIM-CITY-XSZ</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13.62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3.35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13.62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SIM-CITY-YQ</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21.00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bl>
    <w:p>
      <w:pPr>
        <w:pStyle w:val="2"/>
        <w:keepNext/>
        <w:spacing w:line="300" w:lineRule="auto" w:before="120" w:after="80"/>
        <w:ind w:firstLine="0"/>
        <w:jc w:val="center"/>
      </w:pPr>
      <w:r>
        <w:rPr>
          <w:rFonts w:ascii="Times New Roman" w:hAnsi="Times New Roman" w:eastAsia="宋体"/>
          <w:b w:val="0"/>
          <w:sz w:val="21"/>
        </w:rPr>
        <w:t xml:space="preserve">表3-6 仿真各年站级正反向净负荷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地区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仿真年</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各站最大正向净负荷合计/MW</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各站最大反向净负荷合计/MW</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反向站数</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站级最大绝对值/MW</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变电站数量</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835.57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421.35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85.63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903.04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455.37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92.54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975.95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492.14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100.01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1054.76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531.88</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108.09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1394.82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78.93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105.14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1419.92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80.35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107.03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1445.48</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81.80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108.96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1471.50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83.27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110.92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w:t>
            </w:r>
          </w:p>
        </w:tc>
      </w:tr>
    </w:tbl>
    <w:p>
      <w:pPr>
        <w:pStyle w:val="2"/>
        <w:keepNext/>
        <w:spacing w:line="240" w:lineRule="auto" w:before="120" w:after="0"/>
        <w:ind w:firstLine="0"/>
        <w:jc w:val="center"/>
      </w:pPr>
      <w:r>
        <w:drawing>
          <wp:inline>
            <wp:extent cx="5120640" cy="2506850"/>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2深化修订/annual_model_pressure.png" id="0" name="Picture"/>
                    <pic:cNvPicPr>
                      <a:picLocks noChangeArrowheads="1" noChangeAspect="1"/>
                    </pic:cNvPicPr>
                  </pic:nvPicPr>
                  <pic:blipFill>
                    <a:blip r:embed="rId105"/>
                    <a:stretch>
                      <a:fillRect/>
                    </a:stretch>
                  </pic:blipFill>
                  <pic:spPr bwMode="auto">
                    <a:xfrm>
                      <a:off x="0" y="0"/>
                      <a:ext cx="5120640" cy="2506850"/>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图3-4 两地区仿真年度站级正反向净负荷</w:t>
      </w:r>
    </w:p>
    <w:p>
      <w:pPr>
        <w:pStyle w:val="5"/>
        <w:keepNext/>
        <w:numPr>
          <w:numId w:val="0"/>
        </w:numPr>
        <w:spacing w:line="360" w:lineRule="auto" w:before="160" w:after="120"/>
        <w:ind w:firstLine="0"/>
      </w:pPr>
      <w:bookmarkStart w:id="106" w:name="同步区域峰与独立站峰"/>
      <w:r>
        <w:rPr>
          <w:rFonts w:ascii="Times New Roman" w:hAnsi="Times New Roman" w:eastAsia="方正仿宋_GBK"/>
          <w:b/>
          <w:sz w:val="26"/>
        </w:rPr>
        <w:t xml:space="preserve">3.4.3 同步区域峰与独立站峰</w:t>
      </w:r>
      <w:bookmarkEnd w:id="106"/>
    </w:p>
    <w:p>
      <w:pPr>
        <w:pStyle w:val="FirstParagraph"/>
        <w:widowControl/>
        <w:spacing w:line="300" w:lineRule="auto" w:before="0" w:after="0"/>
        <w:ind w:firstLine="480"/>
        <w:jc w:val="both"/>
      </w:pPr>
      <w:r>
        <w:rPr>
          <w:rFonts w:ascii="Times New Roman" w:hAnsi="Times New Roman" w:eastAsia="方正仿宋_GBK"/>
          <w:b w:val="0"/>
          <w:sz w:val="24"/>
        </w:rPr>
        <w:t xml:space="preserve">形成区域峰值时，应先在同一时间轴汇总各站功率，再取年度最大值。站级各自最大值可能出现在不同日期，相加会产生上侧量。本项目年网供最大负荷采用年度降压负荷估计，站级容量校核使用站级独立峰值，两类量按各自统计范围使用。</w:t>
      </w:r>
    </w:p>
    <w:p>
      <w:pPr>
        <w:pStyle w:val="2"/>
        <w:widowControl/>
        <w:spacing w:line="300" w:lineRule="auto" w:before="0" w:after="0"/>
        <w:ind w:firstLine="480"/>
        <w:jc w:val="both"/>
      </w:pPr>
      <w:r>
        <w:rPr>
          <w:rFonts w:ascii="Times New Roman" w:hAnsi="Times New Roman" w:eastAsia="方正仿宋_GBK"/>
          <w:b w:val="0"/>
          <w:sz w:val="24"/>
        </w:rPr>
        <w:t xml:space="preserve">独立峰值任务的总和高于区域同期峰值，反映各站峰值时刻差异及区域同期性。为使联络调整保持任务一致，模型在站级独立峰值层面执行转出、转入守恒，同时固定区县容载比分母。站级独立峰值用于局部容量校核。</w:t>
      </w:r>
    </w:p>
    <w:p>
      <w:pPr>
        <w:pStyle w:val="5"/>
        <w:keepNext/>
        <w:numPr>
          <w:numId w:val="0"/>
        </w:numPr>
        <w:spacing w:line="360" w:lineRule="auto" w:before="160" w:after="120"/>
        <w:ind w:firstLine="0"/>
      </w:pPr>
      <w:bookmarkStart w:id="107" w:name="峰值持续时间"/>
      <w:r>
        <w:rPr>
          <w:rFonts w:ascii="Times New Roman" w:hAnsi="Times New Roman" w:eastAsia="方正仿宋_GBK"/>
          <w:b/>
          <w:sz w:val="26"/>
        </w:rPr>
        <w:t xml:space="preserve">3.4.4 95%峰值持续时间</w:t>
      </w:r>
      <w:bookmarkEnd w:id="107"/>
    </w:p>
    <w:p>
      <w:pPr>
        <w:pStyle w:val="FirstParagraph"/>
        <w:widowControl/>
        <w:spacing w:line="300" w:lineRule="auto" w:before="0" w:after="0"/>
        <w:ind w:firstLine="480"/>
        <w:jc w:val="both"/>
      </w:pPr>
      <w:r>
        <w:rPr>
          <w:rFonts w:ascii="Times New Roman" w:hAnsi="Times New Roman" w:eastAsia="方正仿宋_GBK"/>
          <w:b w:val="0"/>
          <w:sz w:val="24"/>
        </w:rPr>
        <w:t xml:space="preserve">对每个方向，以对应峰值的95%构造幅值门槛，统计连续达到门槛的最长时段和全年累计时数。用于储能静态定容的是最长连续段，单位h；全年累计时数用于描述发生频度。</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sSubSup>
                        <m:e>
                          <m:r>
                            <m:t>H</m:t>
                          </m:r>
                        </m:e>
                        <m:sub>
                          <m:r>
                            <m:t>95</m:t>
                          </m:r>
                        </m:sub>
                        <m:sup>
                          <m:r>
                            <m:t>+</m:t>
                          </m:r>
                        </m:sup>
                      </m:sSubSup>
                    </m:e>
                    <m:e>
                      <m:r>
                        <m:t>=</m:t>
                      </m:r>
                      <m:r>
                        <m:rPr>
                          <m:nor/>
                          <m:sty m:val="p"/>
                        </m:rPr>
                        <m:t>max</m:t>
                      </m:r>
                      <m:r>
                        <m:t>{</m:t>
                      </m:r>
                      <m:r>
                        <m:rPr>
                          <m:nor/>
                          <m:sty m:val="p"/>
                        </m:rPr>
                        <m:t>连续时段长度</m:t>
                      </m:r>
                      <m:r>
                        <m:t>:</m:t>
                      </m:r>
                      <m:sSub>
                        <m:e>
                          <m:r>
                            <m:t>P</m:t>
                          </m:r>
                        </m:e>
                        <m:sub>
                          <m:r>
                            <m:t>t</m:t>
                          </m:r>
                        </m:sub>
                      </m:sSub>
                      <m:r>
                        <m:t>≥</m:t>
                      </m:r>
                      <m:r>
                        <m:t>0.95</m:t>
                      </m:r>
                      <m:sSup>
                        <m:e>
                          <m:r>
                            <m:t>P</m:t>
                          </m:r>
                        </m:e>
                        <m:sup>
                          <m:r>
                            <m:t>+</m:t>
                          </m:r>
                        </m:sup>
                      </m:sSup>
                      <m:r>
                        <m:t>}</m:t>
                      </m:r>
                      <m:r>
                        <m:t>,</m:t>
                      </m:r>
                    </m:e>
                  </m:mr>
                  <m:mr>
                    <m:e>
                      <m:sSubSup>
                        <m:e>
                          <m:r>
                            <m:t>H</m:t>
                          </m:r>
                        </m:e>
                        <m:sub>
                          <m:r>
                            <m:t>95</m:t>
                          </m:r>
                        </m:sub>
                        <m:sup>
                          <m:r>
                            <m:t>−</m:t>
                          </m:r>
                        </m:sup>
                      </m:sSubSup>
                    </m:e>
                    <m:e>
                      <m:r>
                        <m:t>=</m:t>
                      </m:r>
                      <m:r>
                        <m:rPr>
                          <m:nor/>
                          <m:sty m:val="p"/>
                        </m:rPr>
                        <m:t>max</m:t>
                      </m:r>
                      <m:r>
                        <m:t>{</m:t>
                      </m:r>
                      <m:r>
                        <m:rPr>
                          <m:nor/>
                          <m:sty m:val="p"/>
                        </m:rPr>
                        <m:t>连续时段长度</m:t>
                      </m:r>
                      <m:r>
                        <m:t>:</m:t>
                      </m:r>
                      <m:r>
                        <m:t>−</m:t>
                      </m:r>
                      <m:sSub>
                        <m:e>
                          <m:r>
                            <m:t>P</m:t>
                          </m:r>
                        </m:e>
                        <m:sub>
                          <m:r>
                            <m:t>t</m:t>
                          </m:r>
                        </m:sub>
                      </m:sSub>
                      <m:r>
                        <m:t>≥</m:t>
                      </m:r>
                      <m:r>
                        <m:t>0.95</m:t>
                      </m:r>
                      <m:sSup>
                        <m:e>
                          <m:r>
                            <m:t>P</m:t>
                          </m:r>
                        </m:e>
                        <m:sup>
                          <m:r>
                            <m:t>−</m:t>
                          </m:r>
                        </m:sup>
                      </m:sSup>
                      <m:r>
                        <m:t>}</m:t>
                      </m:r>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（3-7）</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Sup>
          <m:e>
            <m:r>
              <m:t>H</m:t>
            </m:r>
          </m:e>
          <m:sub>
            <m:r>
              <m:t>95</m:t>
            </m:r>
          </m:sub>
          <m:sup>
            <m:r>
              <m:t>+</m:t>
            </m:r>
          </m:sup>
        </m:sSubSup>
      </m:oMath>
      <w:r>
        <w:rPr>
          <w:rFonts w:ascii="Times New Roman" w:hAnsi="Times New Roman" w:eastAsia="方正仿宋_GBK"/>
          <w:b w:val="0"/>
          <w:sz w:val="24"/>
        </w:rPr>
        <w:t xml:space="preserve">和</w:t>
      </w:r>
      <m:oMath>
        <m:sSubSup>
          <m:e>
            <m:r>
              <m:t>H</m:t>
            </m:r>
          </m:e>
          <m:sub>
            <m:r>
              <m:t>95</m:t>
            </m:r>
          </m:sub>
          <m:sup>
            <m:r>
              <m:t>−</m:t>
            </m:r>
          </m:sup>
        </m:sSubSup>
      </m:oMath>
      <w:r>
        <w:rPr>
          <w:rFonts w:ascii="Times New Roman" w:hAnsi="Times New Roman" w:eastAsia="方正仿宋_GBK"/>
          <w:b w:val="0"/>
          <w:sz w:val="24"/>
        </w:rPr>
        <w:t xml:space="preserve">分别为正向、反向95%峰值持续时间，</w:t>
      </w:r>
      <m:oMath>
        <m:r>
          <m:t>t</m:t>
        </m:r>
      </m:oMath>
      <w:r>
        <w:rPr>
          <w:rFonts w:ascii="Times New Roman" w:hAnsi="Times New Roman" w:eastAsia="方正仿宋_GBK"/>
          <w:b w:val="0"/>
          <w:sz w:val="24"/>
        </w:rPr>
        <w:t xml:space="preserve">为小时序号，</w:t>
      </w:r>
      <m:oMath>
        <m:sSub>
          <m:e>
            <m:r>
              <m:t>P</m:t>
            </m:r>
          </m:e>
          <m:sub>
            <m:r>
              <m:t>t</m:t>
            </m:r>
          </m:sub>
        </m:sSub>
      </m:oMath>
      <w:r>
        <w:rPr>
          <w:rFonts w:ascii="Times New Roman" w:hAnsi="Times New Roman" w:eastAsia="方正仿宋_GBK"/>
          <w:b w:val="0"/>
          <w:sz w:val="24"/>
        </w:rPr>
        <w:t xml:space="preserve">为对应净负荷；持续时间单位为h。仅对本方向峰值大于零的序列提取连续事件；峰值为零时，该方向持续时间记为0。参数情景采用至少1 h的数值下限，储能最终折算分母不小于2.15 h。缺失小时打断连续事件，补值序列的事件须保留估计状态。后续四个仿真年均使用2025年模板持续时间。</w:t>
      </w:r>
    </w:p>
    <w:p>
      <w:pPr>
        <w:pStyle w:val="2"/>
        <w:keepNext/>
        <w:spacing w:line="240" w:lineRule="auto" w:before="120" w:after="0"/>
        <w:ind w:firstLine="0"/>
        <w:jc w:val="center"/>
      </w:pPr>
      <w:r>
        <w:drawing>
          <wp:inline>
            <wp:extent cx="5120640" cy="2952875"/>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2深化修订/duration_distribution.png" id="0" name="Picture"/>
                    <pic:cNvPicPr>
                      <a:picLocks noChangeArrowheads="1" noChangeAspect="1"/>
                    </pic:cNvPicPr>
                  </pic:nvPicPr>
                  <pic:blipFill>
                    <a:blip r:embed="rId108"/>
                    <a:stretch>
                      <a:fillRect/>
                    </a:stretch>
                  </pic:blipFill>
                  <pic:spPr bwMode="auto">
                    <a:xfrm>
                      <a:off x="0" y="0"/>
                      <a:ext cx="5120640" cy="2952875"/>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图3-5 两地区站级正反向95%峰值持续时间</w:t>
      </w:r>
    </w:p>
    <w:p>
      <w:pPr>
        <w:pStyle w:val="5"/>
        <w:keepNext/>
        <w:numPr>
          <w:numId w:val="0"/>
        </w:numPr>
        <w:spacing w:line="360" w:lineRule="auto" w:before="160" w:after="120"/>
        <w:ind w:firstLine="0"/>
      </w:pPr>
      <w:bookmarkStart w:id="109" w:name="峰段与储能容量的联系"/>
      <w:r>
        <w:rPr>
          <w:rFonts w:ascii="Times New Roman" w:hAnsi="Times New Roman" w:eastAsia="方正仿宋_GBK"/>
          <w:b/>
          <w:sz w:val="26"/>
        </w:rPr>
        <w:t xml:space="preserve">3.4.5 峰段与储能容量的联系</w:t>
      </w:r>
      <w:bookmarkEnd w:id="109"/>
    </w:p>
    <w:p>
      <w:pPr>
        <w:pStyle w:val="FirstParagraph"/>
        <w:widowControl/>
        <w:spacing w:line="300" w:lineRule="auto" w:before="0" w:after="0"/>
        <w:ind w:firstLine="480"/>
        <w:jc w:val="both"/>
      </w:pPr>
      <w:r>
        <w:rPr>
          <w:rFonts w:ascii="Times New Roman" w:hAnsi="Times New Roman" w:eastAsia="方正仿宋_GBK"/>
          <w:b w:val="0"/>
          <w:sz w:val="24"/>
        </w:rPr>
        <w:t xml:space="preserve">峰值幅度和持续时间共同决定静态支撑需求。储能额定功率充足而可用能量不足时，不能覆盖整个连续尖峰；额定能量充足而变流器功率不足时，也不能提供所需瞬时支撑。模型使用铭牌功率与峰段可持续能量的较小值确定有效支撑功率。</w:t>
      </w:r>
    </w:p>
    <w:p>
      <w:pPr>
        <w:pStyle w:val="2"/>
        <w:widowControl/>
        <w:spacing w:line="300" w:lineRule="auto" w:before="0" w:after="0"/>
        <w:ind w:firstLine="480"/>
        <w:jc w:val="both"/>
      </w:pPr>
      <w:r>
        <w:rPr>
          <w:rFonts w:ascii="Times New Roman" w:hAnsi="Times New Roman" w:eastAsia="方正仿宋_GBK"/>
          <w:b w:val="0"/>
          <w:sz w:val="24"/>
        </w:rPr>
        <w:t xml:space="preserve">峰段静态支撑用于规划容量比选。工程阶段进一步校核连续多日运行、充电条件、充放电效率及荷电状态，核定储能保证可用能力[9][10]。</w:t>
      </w:r>
    </w:p>
    <w:p>
      <w:bookmarkStart w:id="1289" w:name="h289"/>
      <w:pPr>
        <w:pStyle w:val="4"/>
        <w:keepNext/>
        <w:numPr>
          <w:numId w:val="0"/>
        </w:numPr>
        <w:spacing w:line="360" w:lineRule="auto" w:before="160" w:after="120"/>
        <w:ind w:firstLine="0"/>
      </w:pPr>
      <w:bookmarkStart w:id="110" w:name="源荷与容量指标的关联分析"/>
      <w:r>
        <w:rPr>
          <w:rFonts w:ascii="Times New Roman" w:hAnsi="Times New Roman" w:eastAsia="方正仿宋_GBK"/>
          <w:b/>
          <w:sz w:val="32"/>
        </w:rPr>
        <w:t xml:space="preserve">3.5 源荷与容量指标的关联分析</w:t>
      </w:r>
      <w:bookmarkEnd w:id="110"/>
      <w:bookmarkEnd w:id="1289"/>
    </w:p>
    <w:p>
      <w:pPr>
        <w:pStyle w:val="5"/>
        <w:keepNext/>
        <w:numPr>
          <w:numId w:val="0"/>
        </w:numPr>
        <w:spacing w:line="360" w:lineRule="auto" w:before="160" w:after="120"/>
        <w:ind w:firstLine="0"/>
      </w:pPr>
      <w:bookmarkStart w:id="111" w:name="邳州和市区的横向对照"/>
      <w:r>
        <w:rPr>
          <w:rFonts w:ascii="Times New Roman" w:hAnsi="Times New Roman" w:eastAsia="方正仿宋_GBK"/>
          <w:b/>
          <w:sz w:val="26"/>
        </w:rPr>
        <w:t xml:space="preserve">3.5.1 邳州和市区的横向对照</w:t>
      </w:r>
      <w:bookmarkEnd w:id="111"/>
    </w:p>
    <w:p>
      <w:pPr>
        <w:pStyle w:val="FirstParagraph"/>
        <w:widowControl/>
        <w:spacing w:line="300" w:lineRule="auto" w:before="0" w:after="0"/>
        <w:ind w:firstLine="480"/>
        <w:jc w:val="both"/>
      </w:pPr>
      <w:r>
        <w:rPr>
          <w:rFonts w:ascii="Times New Roman" w:hAnsi="Times New Roman" w:eastAsia="方正仿宋_GBK"/>
          <w:b w:val="0"/>
          <w:sz w:val="24"/>
        </w:rPr>
        <w:t xml:space="preserve">邳州分布式电源装机渗透率估计为1.63，分布式电源电量渗透率为40.28%；市区分别为0.32和8.69%。两地区2025年主变总容量分别为2139.50和3701.00 MVA，年网供最大负荷分别为956.45和1528.82 MW，对应容载比约2.24和2.42。</w:t>
      </w:r>
    </w:p>
    <w:p>
      <w:pPr>
        <w:pStyle w:val="2"/>
        <w:widowControl/>
        <w:spacing w:line="300" w:lineRule="auto" w:before="0" w:after="0"/>
        <w:ind w:firstLine="480"/>
        <w:jc w:val="both"/>
      </w:pPr>
      <w:r>
        <w:rPr>
          <w:rFonts w:ascii="Times New Roman" w:hAnsi="Times New Roman" w:eastAsia="方正仿宋_GBK"/>
          <w:b w:val="0"/>
          <w:sz w:val="24"/>
        </w:rPr>
        <w:t xml:space="preserve">邳州光伏规模相对较大，设备容量分析需要同时关注正向供电和日间反向净负荷；市区侧重负荷分布及供电安全条件。上述对照为后续选择源荷情景提供依据。</w:t>
      </w:r>
    </w:p>
    <w:p>
      <w:pPr>
        <w:pStyle w:val="2"/>
        <w:keepNext/>
        <w:spacing w:line="300" w:lineRule="auto" w:before="120" w:after="80"/>
        <w:ind w:firstLine="0"/>
        <w:jc w:val="center"/>
      </w:pPr>
      <w:r>
        <w:rPr>
          <w:rFonts w:ascii="Times New Roman" w:hAnsi="Times New Roman" w:eastAsia="宋体"/>
          <w:b w:val="0"/>
          <w:sz w:val="21"/>
        </w:rPr>
        <w:t xml:space="preserve">表3-7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装机渗透率估计</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电量渗透率估计</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容载比</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负载率中位数</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电量性质</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1.63</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40.28%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2.24</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52.55%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典型场景及样本外推</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8.69%</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2.42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54.62%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典型场景及样本外推</w:t>
            </w:r>
          </w:p>
        </w:tc>
      </w:tr>
    </w:tbl>
    <w:p>
      <w:pPr>
        <w:pStyle w:val="5"/>
        <w:keepNext/>
        <w:numPr>
          <w:numId w:val="0"/>
        </w:numPr>
        <w:spacing w:line="360" w:lineRule="auto" w:before="160" w:after="120"/>
        <w:ind w:firstLine="0"/>
      </w:pPr>
      <w:bookmarkStart w:id="112" w:name="邳州月度同样本关联"/>
      <w:r>
        <w:rPr>
          <w:rFonts w:ascii="Times New Roman" w:hAnsi="Times New Roman" w:eastAsia="方正仿宋_GBK"/>
          <w:b/>
          <w:sz w:val="26"/>
        </w:rPr>
        <w:t xml:space="preserve">3.5.2 邳州月度同样本关联</w:t>
      </w:r>
      <w:bookmarkEnd w:id="112"/>
    </w:p>
    <w:p>
      <w:pPr>
        <w:pStyle w:val="FirstParagraph"/>
        <w:widowControl/>
        <w:spacing w:line="300" w:lineRule="auto" w:before="0" w:after="0"/>
        <w:ind w:firstLine="480"/>
        <w:jc w:val="both"/>
      </w:pPr>
      <w:r>
        <w:rPr>
          <w:rFonts w:ascii="Times New Roman" w:hAnsi="Times New Roman" w:eastAsia="方正仿宋_GBK"/>
          <w:b w:val="0"/>
          <w:sz w:val="24"/>
        </w:rPr>
        <w:t xml:space="preserve">利用邳州2025年110 kV样本时序和月度光伏装机，可以构造12个月的同样本净电量、光伏电量及月度峰值。为保持容量分母一致，月度容量指标以2025年末容量固定计算，采用同容量条件下的月度分析量。</w:t>
      </w:r>
    </w:p>
    <w:p>
      <w:pPr>
        <w:pStyle w:val="2"/>
        <w:widowControl/>
        <w:spacing w:line="300" w:lineRule="auto" w:before="0" w:after="0"/>
        <w:ind w:firstLine="480"/>
        <w:jc w:val="both"/>
      </w:pPr>
      <w:r>
        <w:rPr>
          <w:rFonts w:ascii="Times New Roman" w:hAnsi="Times New Roman" w:eastAsia="方正仿宋_GBK"/>
          <w:b w:val="0"/>
          <w:sz w:val="24"/>
        </w:rPr>
        <w:t xml:space="preserve">月度分布式电源电量渗透率由该月估计光伏发电量除以重建用户电量得到；容载比（月度分析）和主变负载率估计值由同期净负荷序列得到。主变负载率按净负荷最大绝对值除以0.95倍同范围主变容量估计，0.95为功率因数假定。相关系数采用12个月的样本计算，原式及用途见式（3-8）。季节共同变化及指标共享分母可能形成相关，系数不作因果解释。</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
                  <m:e>
                    <m:r>
                      <m:t>r</m:t>
                    </m:r>
                  </m:e>
                  <m:sub>
                    <m:r>
                      <m:t>X</m:t>
                    </m:r>
                    <m:r>
                      <m:t>Y</m:t>
                    </m:r>
                  </m:sub>
                </m:sSub>
                <m:r>
                  <m:t>=</m:t>
                </m:r>
                <m:f>
                  <m:fPr>
                    <m:type m:val="bar"/>
                  </m:fPr>
                  <m:num>
                    <m:nary>
                      <m:naryPr>
                        <m:chr m:val="∑"/>
                        <m:limLoc m:val="undOvr"/>
                        <m:subHide m:val="0"/>
                        <m:supHide m:val="0"/>
                      </m:naryPr>
                      <m:sub>
                        <m:r>
                          <m:t>m</m:t>
                        </m:r>
                        <m:r>
                          <m:t>=</m:t>
                        </m:r>
                        <m:r>
                          <m:t>1</m:t>
                        </m:r>
                      </m:sub>
                      <m:sup>
                        <m:r>
                          <m:t>12</m:t>
                        </m:r>
                      </m:sup>
                      <m:e>
                        <m:r>
                          <m:t>(</m:t>
                        </m:r>
                      </m:e>
                    </m:nary>
                    <m:sSub>
                      <m:e>
                        <m:r>
                          <m:t>X</m:t>
                        </m:r>
                      </m:e>
                      <m:sub>
                        <m:r>
                          <m:t>m</m:t>
                        </m:r>
                      </m:sub>
                    </m:sSub>
                    <m:r>
                      <m:t>−</m:t>
                    </m:r>
                    <m:acc>
                      <m:accPr>
                        <m:chr m:val="‾"/>
                      </m:accPr>
                      <m:e>
                        <m:r>
                          <m:t>X</m:t>
                        </m:r>
                      </m:e>
                    </m:acc>
                    <m:r>
                      <m:t>)</m:t>
                    </m:r>
                    <m:r>
                      <m:t>(</m:t>
                    </m:r>
                    <m:sSub>
                      <m:e>
                        <m:r>
                          <m:t>Y</m:t>
                        </m:r>
                      </m:e>
                      <m:sub>
                        <m:r>
                          <m:t>m</m:t>
                        </m:r>
                      </m:sub>
                    </m:sSub>
                    <m:r>
                      <m:t>−</m:t>
                    </m:r>
                    <m:acc>
                      <m:accPr>
                        <m:chr m:val="‾"/>
                      </m:accPr>
                      <m:e>
                        <m:r>
                          <m:t>Y</m:t>
                        </m:r>
                      </m:e>
                    </m:acc>
                    <m:r>
                      <m:t>)</m:t>
                    </m:r>
                  </m:num>
                  <m:den>
                    <m:rad>
                      <m:radPr>
                        <m:degHide m:val="1"/>
                      </m:radPr>
                      <m:deg/>
                      <m:e>
                        <m:nary>
                          <m:naryPr>
                            <m:chr m:val="∑"/>
                            <m:limLoc m:val="undOvr"/>
                            <m:subHide m:val="0"/>
                            <m:supHide m:val="0"/>
                          </m:naryPr>
                          <m:sub>
                            <m:r>
                              <m:t>m</m:t>
                            </m:r>
                            <m:r>
                              <m:t>=</m:t>
                            </m:r>
                            <m:r>
                              <m:t>1</m:t>
                            </m:r>
                          </m:sub>
                          <m:sup>
                            <m:r>
                              <m:t>12</m:t>
                            </m:r>
                          </m:sup>
                          <m:e>
                            <m:r>
                              <m:t>(</m:t>
                            </m:r>
                          </m:e>
                        </m:nary>
                        <m:sSub>
                          <m:e>
                            <m:r>
                              <m:t>X</m:t>
                            </m:r>
                          </m:e>
                          <m:sub>
                            <m:r>
                              <m:t>m</m:t>
                            </m:r>
                          </m:sub>
                        </m:sSub>
                        <m:r>
                          <m:t>−</m:t>
                        </m:r>
                        <m:acc>
                          <m:accPr>
                            <m:chr m:val="‾"/>
                          </m:accPr>
                          <m:e>
                            <m:r>
                              <m:t>X</m:t>
                            </m:r>
                          </m:e>
                        </m:acc>
                        <m:sSup>
                          <m:e>
                            <m:r>
                              <m:t>)</m:t>
                            </m:r>
                          </m:e>
                          <m:sup>
                            <m:r>
                              <m:t>2</m:t>
                            </m:r>
                          </m:sup>
                        </m:sSup>
                        <m:nary>
                          <m:naryPr>
                            <m:chr m:val="∑"/>
                            <m:limLoc m:val="undOvr"/>
                            <m:subHide m:val="0"/>
                            <m:supHide m:val="0"/>
                          </m:naryPr>
                          <m:sub>
                            <m:r>
                              <m:t>m</m:t>
                            </m:r>
                            <m:r>
                              <m:t>=</m:t>
                            </m:r>
                            <m:r>
                              <m:t>1</m:t>
                            </m:r>
                          </m:sub>
                          <m:sup>
                            <m:r>
                              <m:t>12</m:t>
                            </m:r>
                          </m:sup>
                          <m:e>
                            <m:r>
                              <m:t>(</m:t>
                            </m:r>
                          </m:e>
                        </m:nary>
                        <m:sSub>
                          <m:e>
                            <m:r>
                              <m:t>Y</m:t>
                            </m:r>
                          </m:e>
                          <m:sub>
                            <m:r>
                              <m:t>m</m:t>
                            </m:r>
                          </m:sub>
                        </m:sSub>
                        <m:r>
                          <m:t>−</m:t>
                        </m:r>
                        <m:acc>
                          <m:accPr>
                            <m:chr m:val="‾"/>
                          </m:accPr>
                          <m:e>
                            <m:r>
                              <m:t>Y</m:t>
                            </m:r>
                          </m:e>
                        </m:acc>
                        <m:sSup>
                          <m:e>
                            <m:r>
                              <m:t>)</m:t>
                            </m:r>
                          </m:e>
                          <m:sup>
                            <m:r>
                              <m:t>2</m:t>
                            </m:r>
                          </m:sup>
                        </m:sSup>
                      </m:e>
                    </m:rad>
                  </m:den>
                </m:f>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（3-8）</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X</m:t>
            </m:r>
          </m:e>
          <m:sub>
            <m:r>
              <m:t>m</m:t>
            </m:r>
          </m:sub>
        </m:sSub>
      </m:oMath>
      <w:r>
        <w:rPr>
          <w:rFonts w:ascii="Times New Roman" w:hAnsi="Times New Roman" w:eastAsia="方正仿宋_GBK"/>
          <w:b w:val="0"/>
          <w:sz w:val="24"/>
        </w:rPr>
        <w:t xml:space="preserve">和</w:t>
      </w:r>
      <m:oMath>
        <m:sSub>
          <m:e>
            <m:r>
              <m:t>Y</m:t>
            </m:r>
          </m:e>
          <m:sub>
            <m:r>
              <m:t>m</m:t>
            </m:r>
          </m:sub>
        </m:sSub>
      </m:oMath>
      <w:r>
        <w:rPr>
          <w:rFonts w:ascii="Times New Roman" w:hAnsi="Times New Roman" w:eastAsia="方正仿宋_GBK"/>
          <w:b w:val="0"/>
          <w:sz w:val="24"/>
        </w:rPr>
        <w:t xml:space="preserve">为第</w:t>
      </w:r>
      <m:oMath>
        <m:r>
          <m:t>m</m:t>
        </m:r>
      </m:oMath>
      <w:r>
        <w:rPr>
          <w:rFonts w:ascii="Times New Roman" w:hAnsi="Times New Roman" w:eastAsia="方正仿宋_GBK"/>
          <w:b w:val="0"/>
          <w:sz w:val="24"/>
        </w:rPr>
        <w:t xml:space="preserve">月的两个分析指标，</w:t>
      </w:r>
      <m:oMath>
        <m:acc>
          <m:accPr>
            <m:chr m:val="‾"/>
          </m:accPr>
          <m:e>
            <m:r>
              <m:t>X</m:t>
            </m:r>
          </m:e>
        </m:acc>
      </m:oMath>
      <w:r>
        <w:rPr>
          <w:rFonts w:ascii="Times New Roman" w:hAnsi="Times New Roman" w:eastAsia="方正仿宋_GBK"/>
          <w:b w:val="0"/>
          <w:sz w:val="24"/>
        </w:rPr>
        <w:t xml:space="preserve">和</w:t>
      </w:r>
      <m:oMath>
        <m:acc>
          <m:accPr>
            <m:chr m:val="‾"/>
          </m:accPr>
          <m:e>
            <m:r>
              <m:t>Y</m:t>
            </m:r>
          </m:e>
        </m:acc>
      </m:oMath>
      <w:r>
        <w:rPr>
          <w:rFonts w:ascii="Times New Roman" w:hAnsi="Times New Roman" w:eastAsia="方正仿宋_GBK"/>
          <w:b w:val="0"/>
          <w:sz w:val="24"/>
        </w:rPr>
        <w:t xml:space="preserve">分别为12个月指标的算术平均值，</w:t>
      </w:r>
      <m:oMath>
        <m:sSub>
          <m:e>
            <m:r>
              <m:t>r</m:t>
            </m:r>
          </m:e>
          <m:sub>
            <m:r>
              <m:t>X</m:t>
            </m:r>
            <m:r>
              <m:t>Y</m:t>
            </m:r>
          </m:sub>
        </m:sSub>
      </m:oMath>
      <w:r>
        <w:rPr>
          <w:rFonts w:ascii="Times New Roman" w:hAnsi="Times New Roman" w:eastAsia="方正仿宋_GBK"/>
          <w:b w:val="0"/>
          <w:sz w:val="24"/>
        </w:rPr>
        <w:t xml:space="preserve">为Pearson相关系数；</w:t>
      </w:r>
      <m:oMath>
        <m:r>
          <m:t>m</m:t>
        </m:r>
      </m:oMath>
      <w:r>
        <w:rPr>
          <w:rFonts w:ascii="Times New Roman" w:hAnsi="Times New Roman" w:eastAsia="方正仿宋_GBK"/>
          <w:b w:val="0"/>
          <w:sz w:val="24"/>
        </w:rPr>
        <w:t xml:space="preserve">为月份序号。</w:t>
      </w:r>
    </w:p>
    <w:p>
      <w:pPr>
        <w:pStyle w:val="2"/>
        <w:keepNext/>
        <w:spacing w:line="300" w:lineRule="auto" w:before="120" w:after="80"/>
        <w:ind w:firstLine="0"/>
        <w:jc w:val="center"/>
      </w:pPr>
      <w:r>
        <w:rPr>
          <w:rFonts w:ascii="Times New Roman" w:hAnsi="Times New Roman" w:eastAsia="宋体"/>
          <w:b w:val="0"/>
          <w:sz w:val="21"/>
        </w:rPr>
        <w:t xml:space="preserve">表3-8 邳州12个月的描述性相关系数（式3-8）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关联对象</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Pearson系数</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样本量</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解释范围</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电量渗透率—容载比（月度分析）</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0.66</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固定容量、月度估计、样本内</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电量渗透率—主变负载率估计值</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-0.66</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功率因数假定、非逐台实测</w:t>
            </w:r>
          </w:p>
        </w:tc>
      </w:tr>
    </w:tbl>
    <w:p>
      <w:pPr>
        <w:pStyle w:val="2"/>
        <w:keepNext/>
        <w:spacing w:line="300" w:lineRule="auto" w:before="120" w:after="80"/>
        <w:ind w:firstLine="0"/>
        <w:jc w:val="center"/>
      </w:pPr>
      <w:r>
        <w:rPr>
          <w:rFonts w:ascii="Times New Roman" w:hAnsi="Times New Roman" w:eastAsia="宋体"/>
          <w:b w:val="0"/>
          <w:sz w:val="21"/>
        </w:rPr>
        <w:t xml:space="preserve">表3-9 邳州月度指标计算明细</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月份</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电量渗透率/%</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容载比（月度分析）</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主变负载率估计/%</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光伏电量/MWh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用户电量/MWh</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27.92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2.97</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35.40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104963</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375895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30.79</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2.83</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37.19</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96779</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314368</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41.91</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4.25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24.77</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119612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285414</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57.57</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5.60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18.81</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130368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226436</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60.26</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3.91</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26.92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163852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271920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50.13</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34.48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191575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382125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37.85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2.24</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47.06</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212845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562355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24.77</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2.30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45.82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109046</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440252</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36.79</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3.55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29.69</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113324</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308070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43.36</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5.27</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19.98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131956</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304320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48.48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4.71</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22.34</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162290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334722</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39.38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3.63</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28.99</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161660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410515</w:t>
            </w:r>
          </w:p>
        </w:tc>
      </w:tr>
    </w:tbl>
    <w:p>
      <w:pPr>
        <w:pStyle w:val="2"/>
        <w:widowControl/>
        <w:spacing w:line="300" w:lineRule="auto" w:before="0" w:after="0"/>
        <w:ind w:firstLine="480"/>
        <w:jc w:val="both"/>
      </w:pPr>
      <w:r>
        <w:rPr>
          <w:rFonts w:ascii="Times New Roman" w:hAnsi="Times New Roman" w:eastAsia="方正仿宋_GBK"/>
          <w:b w:val="0"/>
          <w:sz w:val="24"/>
        </w:rPr>
        <w:t xml:space="preserve">邳州12个月的分布式电源电量渗透率与固定主变容量下的容载比（月度分析）呈正相关，与主变负载率估计值呈负相关。该方向与两个区县年度对照并不相同，月度关系包含季节性与固定容量条件，用于同片区季节分析。</w:t>
      </w:r>
    </w:p>
    <w:p>
      <w:pPr>
        <w:pStyle w:val="2"/>
        <w:keepNext/>
        <w:spacing w:line="240" w:lineRule="auto" w:before="120" w:after="0"/>
        <w:ind w:firstLine="0"/>
        <w:jc w:val="center"/>
      </w:pPr>
      <w:r>
        <w:drawing>
          <wp:inline>
            <wp:extent cx="5120640" cy="2365283"/>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2深化修订/monthly_correlation.png" id="0" name="Picture"/>
                    <pic:cNvPicPr>
                      <a:picLocks noChangeArrowheads="1" noChangeAspect="1"/>
                    </pic:cNvPicPr>
                  </pic:nvPicPr>
                  <pic:blipFill>
                    <a:blip r:embed="rId113"/>
                    <a:stretch>
                      <a:fillRect/>
                    </a:stretch>
                  </pic:blipFill>
                  <pic:spPr bwMode="auto">
                    <a:xfrm>
                      <a:off x="0" y="0"/>
                      <a:ext cx="5120640" cy="2365283"/>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图3-6 邳州月度分布式电源电量渗透率与容量压力关联</w:t>
      </w:r>
    </w:p>
    <w:p>
      <w:pPr>
        <w:pStyle w:val="5"/>
        <w:keepNext/>
        <w:numPr>
          <w:numId w:val="0"/>
        </w:numPr>
        <w:spacing w:line="360" w:lineRule="auto" w:before="160" w:after="120"/>
        <w:ind w:firstLine="0"/>
      </w:pPr>
      <w:bookmarkStart w:id="114" w:name="相关性结果的使用"/>
      <w:r>
        <w:rPr>
          <w:rFonts w:ascii="Times New Roman" w:hAnsi="Times New Roman" w:eastAsia="方正仿宋_GBK"/>
          <w:b/>
          <w:sz w:val="26"/>
        </w:rPr>
        <w:t xml:space="preserve">3.5.3 相关性结果的使用</w:t>
      </w:r>
      <w:bookmarkEnd w:id="114"/>
    </w:p>
    <w:p>
      <w:pPr>
        <w:pStyle w:val="FirstParagraph"/>
        <w:widowControl/>
        <w:spacing w:line="300" w:lineRule="auto" w:before="0" w:after="0"/>
        <w:ind w:firstLine="480"/>
        <w:jc w:val="both"/>
      </w:pPr>
      <w:r>
        <w:rPr>
          <w:rFonts w:ascii="Times New Roman" w:hAnsi="Times New Roman" w:eastAsia="方正仿宋_GBK"/>
          <w:b w:val="0"/>
          <w:sz w:val="24"/>
        </w:rPr>
        <w:t xml:space="preserve">月度统计用于识别光伏高发月份与容量压力的共同变化，为峰段情景选择提供参考。月度结果解释邳州同样本的季节变化，跨地区推荐采用一般站群的多参数计算。</w:t>
      </w:r>
    </w:p>
    <w:p>
      <w:pPr>
        <w:pStyle w:val="2"/>
        <w:widowControl/>
        <w:spacing w:line="300" w:lineRule="auto" w:before="0" w:after="0"/>
        <w:ind w:firstLine="480"/>
        <w:jc w:val="both"/>
      </w:pPr>
      <w:r>
        <w:rPr>
          <w:rFonts w:ascii="Times New Roman" w:hAnsi="Times New Roman" w:eastAsia="方正仿宋_GBK"/>
          <w:b w:val="0"/>
          <w:sz w:val="24"/>
        </w:rPr>
        <w:t xml:space="preserve">通用矩阵以装机渗透率划分源荷条件，电量渗透率按统一利用小时和用户年负荷率换算。当前静态技术模型约束的是峰值和持续时间，未求解全年发电消纳目标。电量指标通过源荷条件与容量需求衔接，设备选择由相应峰值和持续时间约束确定。</w:t>
      </w:r>
    </w:p>
    <w:p>
      <w:bookmarkStart w:id="1306" w:name="h306"/>
      <w:pPr>
        <w:pStyle w:val="4"/>
        <w:keepNext/>
        <w:numPr>
          <w:numId w:val="0"/>
        </w:numPr>
        <w:spacing w:line="360" w:lineRule="auto" w:before="160" w:after="120"/>
        <w:ind w:firstLine="0"/>
      </w:pPr>
      <w:bookmarkStart w:id="115" w:name="kv负荷转接资料与仿真条件"/>
      <w:r>
        <w:rPr>
          <w:rFonts w:ascii="Times New Roman" w:hAnsi="Times New Roman" w:eastAsia="方正仿宋_GBK"/>
          <w:b/>
          <w:sz w:val="32"/>
        </w:rPr>
        <w:t xml:space="preserve">3.6 10 kV负荷转接资料与仿真条件</w:t>
      </w:r>
      <w:bookmarkEnd w:id="115"/>
      <w:bookmarkEnd w:id="1306"/>
    </w:p>
    <w:p>
      <w:pPr>
        <w:pStyle w:val="5"/>
        <w:keepNext/>
        <w:numPr>
          <w:numId w:val="0"/>
        </w:numPr>
        <w:spacing w:line="360" w:lineRule="auto" w:before="160" w:after="120"/>
        <w:ind w:firstLine="0"/>
      </w:pPr>
      <w:bookmarkStart w:id="116" w:name="现有馈线资料"/>
      <w:r>
        <w:rPr>
          <w:rFonts w:ascii="Times New Roman" w:hAnsi="Times New Roman" w:eastAsia="方正仿宋_GBK"/>
          <w:b/>
          <w:sz w:val="26"/>
        </w:rPr>
        <w:t xml:space="preserve">3.6.1 现有馈线资料</w:t>
      </w:r>
      <w:bookmarkEnd w:id="116"/>
    </w:p>
    <w:p>
      <w:pPr>
        <w:pStyle w:val="FirstParagraph"/>
        <w:widowControl/>
        <w:spacing w:line="300" w:lineRule="auto" w:before="0" w:after="0"/>
        <w:ind w:firstLine="480"/>
        <w:jc w:val="both"/>
      </w:pPr>
      <w:r>
        <w:rPr>
          <w:rFonts w:ascii="Times New Roman" w:hAnsi="Times New Roman" w:eastAsia="方正仿宋_GBK"/>
          <w:b w:val="0"/>
          <w:sz w:val="24"/>
        </w:rPr>
        <w:t xml:space="preserve">邳州局部样本包含六条馈线及跨站联络关系。根据源端负荷、分段位置和接收余量，原样本静态可转移上界为9.98 MW，六馈线源端负荷为35.29 MW，比值28.29%。本研究将该局部样本比例作为邳州各仿真站的初始转供率。</w:t>
      </w:r>
    </w:p>
    <w:p>
      <w:pPr>
        <w:pStyle w:val="2"/>
        <w:widowControl/>
        <w:spacing w:line="300" w:lineRule="auto" w:before="0" w:after="0"/>
        <w:ind w:firstLine="480"/>
        <w:jc w:val="both"/>
      </w:pPr>
      <w:r>
        <w:rPr>
          <w:rFonts w:ascii="Times New Roman" w:hAnsi="Times New Roman" w:eastAsia="方正仿宋_GBK"/>
          <w:b w:val="0"/>
          <w:sz w:val="24"/>
        </w:rPr>
        <w:t xml:space="preserve">具体新线候选区段的原重建负荷为7.49 MW，规划筛查取7.49 MW；按允许电流折算的线路有功容量为9.05 MW。候选有效转供负荷取区段负荷与线路允许容量较小值。线路参考长度为3 km，架空与电缆比例为90%与10%。</w:t>
      </w:r>
    </w:p>
    <w:p>
      <w:pPr>
        <w:pStyle w:val="5"/>
        <w:keepNext/>
        <w:numPr>
          <w:numId w:val="0"/>
        </w:numPr>
        <w:spacing w:line="360" w:lineRule="auto" w:before="160" w:after="120"/>
        <w:ind w:firstLine="0"/>
      </w:pPr>
      <w:bookmarkStart w:id="117" w:name="区县站间转供率的设定"/>
      <w:r>
        <w:rPr>
          <w:rFonts w:ascii="Times New Roman" w:hAnsi="Times New Roman" w:eastAsia="方正仿宋_GBK"/>
          <w:b/>
          <w:sz w:val="26"/>
        </w:rPr>
        <w:t xml:space="preserve">3.6.2 区县站间转供率的设定</w:t>
      </w:r>
      <w:bookmarkEnd w:id="117"/>
    </w:p>
    <w:p>
      <w:pPr>
        <w:pStyle w:val="FirstParagraph"/>
        <w:widowControl/>
        <w:spacing w:line="300" w:lineRule="auto" w:before="0" w:after="0"/>
        <w:ind w:firstLine="480"/>
        <w:jc w:val="both"/>
      </w:pPr>
      <w:r>
        <w:rPr>
          <w:rFonts w:ascii="Times New Roman" w:hAnsi="Times New Roman" w:eastAsia="方正仿宋_GBK"/>
          <w:b w:val="0"/>
          <w:sz w:val="24"/>
        </w:rPr>
        <w:t xml:space="preserve">市区分布式光伏装机渗透率较低，按A类供电区域假定初始站间转供率为50%。邳州依据六条馈线负荷和跨站联络资料计算得到28.29%，将该样本比例作为县域各站统一的初始转供率。</w:t>
      </w:r>
    </w:p>
    <w:p>
      <w:pPr>
        <w:pStyle w:val="2"/>
        <w:widowControl/>
        <w:spacing w:line="300" w:lineRule="auto" w:before="0" w:after="0"/>
        <w:ind w:firstLine="480"/>
        <w:jc w:val="both"/>
      </w:pPr>
      <w:r>
        <w:rPr>
          <w:rFonts w:ascii="Times New Roman" w:hAnsi="Times New Roman" w:eastAsia="方正仿宋_GBK"/>
          <w:b w:val="0"/>
          <w:sz w:val="24"/>
        </w:rPr>
        <w:t xml:space="preserve">邳州以30%、市区以50%作为转供能力规划目标，分别以50%和70%作为研究上限。利用既有能力进行负荷转接的新增建设投资为零；能力不足时，通过新建10 kV联络线补充。两区县均允许内部任意两个不同站之间设置新增等效联络项目。第五章列明能力预算、项目计费和送受端校核方法[5]。</w:t>
      </w:r>
    </w:p>
    <w:p>
      <w:pPr>
        <w:pStyle w:val="5"/>
        <w:keepNext/>
        <w:numPr>
          <w:numId w:val="0"/>
        </w:numPr>
        <w:spacing w:line="360" w:lineRule="auto" w:before="160" w:after="120"/>
        <w:ind w:firstLine="0"/>
      </w:pPr>
      <w:bookmarkStart w:id="118" w:name="电源归属及反送处理"/>
      <w:r>
        <w:rPr>
          <w:rFonts w:ascii="Times New Roman" w:hAnsi="Times New Roman" w:eastAsia="方正仿宋_GBK"/>
          <w:b/>
          <w:sz w:val="26"/>
        </w:rPr>
        <w:t xml:space="preserve">3.6.3 电源归属及反送处理</w:t>
      </w:r>
      <w:bookmarkEnd w:id="118"/>
    </w:p>
    <w:p>
      <w:pPr>
        <w:pStyle w:val="FirstParagraph"/>
        <w:widowControl/>
        <w:spacing w:line="300" w:lineRule="auto" w:before="0" w:after="0"/>
        <w:ind w:firstLine="480"/>
        <w:jc w:val="both"/>
      </w:pPr>
      <w:r>
        <w:rPr>
          <w:rFonts w:ascii="Times New Roman" w:hAnsi="Times New Roman" w:eastAsia="方正仿宋_GBK"/>
          <w:b w:val="0"/>
          <w:sz w:val="24"/>
        </w:rPr>
        <w:t xml:space="preserve">正常转接的是用电负荷，电源仍保留在原站。转出负荷后，本地消纳减少，原站反送压力可能增加。缺少转接块逐时曲线时，模型以原反送峰值加转出峰值作为保守上界，不抵扣受端增加消纳的收益。该规则使正向减压与潜在反向增压同步进入筛查。</w:t>
      </w:r>
    </w:p>
    <w:p>
      <w:pPr>
        <w:pStyle w:val="2"/>
        <w:widowControl/>
        <w:spacing w:line="300" w:lineRule="auto" w:before="0" w:after="0"/>
        <w:ind w:firstLine="480"/>
        <w:jc w:val="both"/>
      </w:pPr>
      <w:r>
        <w:rPr>
          <w:rFonts w:ascii="Times New Roman" w:hAnsi="Times New Roman" w:eastAsia="方正仿宋_GBK"/>
          <w:b w:val="0"/>
          <w:sz w:val="24"/>
        </w:rPr>
        <w:t xml:space="preserve">该上界按峰值包络处理反向容量需求。取得转接负荷块的同步负荷与光伏时序后，可按同一时刻重新计算两端净负荷，并同步修正正向与反向约束。</w:t>
      </w:r>
    </w:p>
    <w:p>
      <w:bookmarkStart w:id="1316" w:name="h316"/>
      <w:pPr>
        <w:pStyle w:val="4"/>
        <w:keepNext/>
        <w:numPr>
          <w:numId w:val="0"/>
        </w:numPr>
        <w:spacing w:line="360" w:lineRule="auto" w:before="160" w:after="120"/>
        <w:ind w:firstLine="0"/>
      </w:pPr>
      <w:bookmarkStart w:id="119" w:name="站级净负荷分布与配置需求"/>
      <w:r>
        <w:rPr>
          <w:rFonts w:ascii="Times New Roman" w:hAnsi="Times New Roman" w:eastAsia="方正仿宋_GBK"/>
          <w:b/>
          <w:sz w:val="32"/>
        </w:rPr>
        <w:t xml:space="preserve">3.7 站级净负荷分布与配置需求</w:t>
      </w:r>
      <w:bookmarkEnd w:id="119"/>
      <w:bookmarkEnd w:id="1316"/>
    </w:p>
    <w:p>
      <w:pPr>
        <w:pStyle w:val="5"/>
        <w:keepNext/>
        <w:numPr>
          <w:numId w:val="0"/>
        </w:numPr>
        <w:spacing w:line="360" w:lineRule="auto" w:before="160" w:after="120"/>
        <w:ind w:firstLine="0"/>
      </w:pPr>
      <w:bookmarkStart w:id="120" w:name="邳州仿真净负荷"/>
      <w:r>
        <w:rPr>
          <w:rFonts w:ascii="Times New Roman" w:hAnsi="Times New Roman" w:eastAsia="方正仿宋_GBK"/>
          <w:b/>
          <w:sz w:val="26"/>
        </w:rPr>
        <w:t xml:space="preserve">3.7.1 邳州仿真净负荷</w:t>
      </w:r>
      <w:bookmarkEnd w:id="120"/>
    </w:p>
    <w:p>
      <w:pPr>
        <w:pStyle w:val="FirstParagraph"/>
        <w:widowControl/>
        <w:spacing w:line="300" w:lineRule="auto" w:before="0" w:after="0"/>
        <w:ind w:firstLine="480"/>
        <w:jc w:val="both"/>
      </w:pPr>
      <w:r>
        <w:rPr>
          <w:rFonts w:ascii="Times New Roman" w:hAnsi="Times New Roman" w:eastAsia="方正仿宋_GBK"/>
          <w:b w:val="0"/>
          <w:sz w:val="24"/>
        </w:rPr>
        <w:t xml:space="preserve">邳州将2025年站级正向、反向净负荷分布标定到容载比2.00的基期，后续按年负荷平均增长率推演。各站采用相同年度规模系数，保留站级源荷结构和峰段持续时间。</w:t>
      </w:r>
    </w:p>
    <w:p>
      <w:pPr>
        <w:pStyle w:val="2"/>
        <w:keepNext/>
        <w:spacing w:line="240" w:lineRule="auto" w:before="120" w:after="0"/>
        <w:ind w:firstLine="0"/>
        <w:jc w:val="center"/>
      </w:pPr>
      <w:r>
        <w:drawing>
          <wp:inline>
            <wp:extent cx="5120640" cy="4660111"/>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2深化修订/pizhou_modeled_peaks.png" id="0" name="Picture"/>
                    <pic:cNvPicPr>
                      <a:picLocks noChangeArrowheads="1" noChangeAspect="1"/>
                    </pic:cNvPicPr>
                  </pic:nvPicPr>
                  <pic:blipFill>
                    <a:blip r:embed="rId121"/>
                    <a:stretch>
                      <a:fillRect/>
                    </a:stretch>
                  </pic:blipFill>
                  <pic:spPr bwMode="auto">
                    <a:xfrm>
                      <a:off x="0" y="0"/>
                      <a:ext cx="5120640" cy="4660111"/>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图3-7 邳州逐站仿真年度净负荷最大绝对值</w:t>
      </w:r>
    </w:p>
    <w:p>
      <w:pPr>
        <w:pStyle w:val="2"/>
        <w:widowControl/>
        <w:spacing w:line="300" w:lineRule="auto" w:before="0" w:after="0"/>
        <w:ind w:firstLine="480"/>
        <w:jc w:val="both"/>
      </w:pPr>
      <w:r>
        <w:rPr>
          <w:rFonts w:ascii="Times New Roman" w:hAnsi="Times New Roman" w:eastAsia="方正仿宋_GBK"/>
          <w:b w:val="0"/>
          <w:sz w:val="24"/>
        </w:rPr>
        <w:t xml:space="preserve">图中同一站的四年数值保持对应，颜色反映正反向峰值较大者。各站独立峰值用于局部容量校核，区域年网供最大负荷用于计算容载比。</w:t>
      </w:r>
    </w:p>
    <w:p>
      <w:pPr>
        <w:pStyle w:val="5"/>
        <w:keepNext/>
        <w:numPr>
          <w:numId w:val="0"/>
        </w:numPr>
        <w:spacing w:line="360" w:lineRule="auto" w:before="160" w:after="120"/>
        <w:ind w:firstLine="0"/>
      </w:pPr>
      <w:bookmarkStart w:id="122" w:name="市区仿真净负荷"/>
      <w:r>
        <w:rPr>
          <w:rFonts w:ascii="Times New Roman" w:hAnsi="Times New Roman" w:eastAsia="方正仿宋_GBK"/>
          <w:b/>
          <w:sz w:val="26"/>
        </w:rPr>
        <w:t xml:space="preserve">3.7.2 市区仿真净负荷</w:t>
      </w:r>
      <w:bookmarkEnd w:id="122"/>
    </w:p>
    <w:p>
      <w:pPr>
        <w:pStyle w:val="FirstParagraph"/>
        <w:widowControl/>
        <w:spacing w:line="300" w:lineRule="auto" w:before="0" w:after="0"/>
        <w:ind w:firstLine="480"/>
        <w:jc w:val="both"/>
      </w:pPr>
      <w:r>
        <w:rPr>
          <w:rFonts w:ascii="Times New Roman" w:hAnsi="Times New Roman" w:eastAsia="方正仿宋_GBK"/>
          <w:b w:val="0"/>
          <w:sz w:val="24"/>
        </w:rPr>
        <w:t xml:space="preserve">市区29站同样按2025年空间分布与仿真年度规模标定。初始转供率50%用于内部负荷调整，A类供电区域的设备选择与转供能力范围进入规划条件。</w:t>
      </w:r>
    </w:p>
    <w:p>
      <w:pPr>
        <w:pStyle w:val="2"/>
        <w:keepNext/>
        <w:spacing w:line="240" w:lineRule="auto" w:before="120" w:after="0"/>
        <w:ind w:firstLine="0"/>
        <w:jc w:val="center"/>
      </w:pPr>
      <w:r>
        <w:drawing>
          <wp:inline>
            <wp:extent cx="5120640" cy="6110939"/>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2深化修订/city_modeled_peaks.png" id="0" name="Picture"/>
                    <pic:cNvPicPr>
                      <a:picLocks noChangeArrowheads="1" noChangeAspect="1"/>
                    </pic:cNvPicPr>
                  </pic:nvPicPr>
                  <pic:blipFill>
                    <a:blip r:embed="rId123"/>
                    <a:stretch>
                      <a:fillRect/>
                    </a:stretch>
                  </pic:blipFill>
                  <pic:spPr bwMode="auto">
                    <a:xfrm>
                      <a:off x="0" y="0"/>
                      <a:ext cx="5120640" cy="6110939"/>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图3-8 市区逐站仿真年度净负荷最大绝对值</w:t>
      </w:r>
    </w:p>
    <w:p>
      <w:pPr>
        <w:pStyle w:val="2"/>
        <w:widowControl/>
        <w:spacing w:line="300" w:lineRule="auto" w:before="0" w:after="0"/>
        <w:ind w:firstLine="480"/>
        <w:jc w:val="both"/>
      </w:pPr>
      <w:r>
        <w:rPr>
          <w:rFonts w:ascii="Times New Roman" w:hAnsi="Times New Roman" w:eastAsia="方正仿宋_GBK"/>
          <w:b w:val="0"/>
          <w:sz w:val="24"/>
        </w:rPr>
        <w:t xml:space="preserve">市区最大反向净负荷相对较小，主要容量需求来自正向负荷及单台主变退出后的供电缺口。局部负荷分布、设备台数和承接站余量共同影响增容、配储和联络选择。</w:t>
      </w:r>
    </w:p>
    <w:p>
      <w:pPr>
        <w:pStyle w:val="5"/>
        <w:keepNext/>
        <w:numPr>
          <w:numId w:val="0"/>
        </w:numPr>
        <w:spacing w:line="360" w:lineRule="auto" w:before="160" w:after="120"/>
        <w:ind w:firstLine="0"/>
      </w:pPr>
      <w:bookmarkStart w:id="124" w:name="较高净负荷站的方向与时间"/>
      <w:r>
        <w:rPr>
          <w:rFonts w:ascii="Times New Roman" w:hAnsi="Times New Roman" w:eastAsia="方正仿宋_GBK"/>
          <w:b/>
          <w:sz w:val="26"/>
        </w:rPr>
        <w:t xml:space="preserve">3.7.3 较高净负荷站的方向与时间</w:t>
      </w:r>
      <w:bookmarkEnd w:id="124"/>
    </w:p>
    <w:p>
      <w:pPr>
        <w:pStyle w:val="FirstParagraph"/>
        <w:keepNext/>
        <w:spacing w:line="300" w:lineRule="auto" w:before="120" w:after="80"/>
        <w:ind w:firstLine="0"/>
        <w:jc w:val="center"/>
      </w:pPr>
      <w:r>
        <w:rPr>
          <w:rFonts w:ascii="Times New Roman" w:hAnsi="Times New Roman" w:eastAsia="宋体"/>
          <w:b w:val="0"/>
          <w:sz w:val="21"/>
        </w:rPr>
        <w:t xml:space="preserve">表3-10 第4年净负荷较大站的运行特征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41"/>
        <w:gridCol w:w="1609"/>
        <w:gridCol w:w="1341"/>
        <w:gridCol w:w="1341"/>
        <w:gridCol w:w="1341"/>
        <w:gridCol w:w="1341"/>
      </w:tblGrid>
      <w:tr>
        <w:trPr>
          <w:cantSplit/>
          <w:tblHeader/>
        </w:trPr>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地区</w:t>
            </w:r>
          </w:p>
        </w:tc>
        <w:tc>
          <w:tcPr>
            <w:tcW w:type="dxa" w:w="160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站号</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正向/MW</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反向/MW</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正向持续/h</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反向持续/h</w:t>
            </w:r>
          </w:p>
        </w:tc>
      </w:tr>
      <w:tr>
        <w:trPr>
          <w:cantSplit/>
        </w:trPr>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60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BDZ-00028</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108.09</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60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BDZ-00026</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96.09</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18.83</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60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BDZ-00135</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88.53</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59.41</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r>
      <w:tr>
        <w:trPr>
          <w:cantSplit/>
        </w:trPr>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60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BDZ-00048</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76.30</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4.76</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60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BDZ-00016</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72.47</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32.99</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r>
      <w:tr>
        <w:trPr>
          <w:cantSplit/>
        </w:trPr>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60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BDZ-00151</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110.92</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60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BDZ-00114</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95.14</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9.47</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60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BDZ-00148</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89.09</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60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BDZ-00023</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89.01</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r>
        <w:trPr>
          <w:cantSplit/>
        </w:trPr>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60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BDZ-00024</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82.69</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34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r>
    </w:tbl>
    <w:p>
      <w:pPr>
        <w:pStyle w:val="2"/>
        <w:widowControl/>
        <w:spacing w:line="300" w:lineRule="auto" w:before="0" w:after="0"/>
        <w:ind w:firstLine="480"/>
        <w:jc w:val="both"/>
      </w:pPr>
      <w:r>
        <w:rPr>
          <w:rFonts w:ascii="Times New Roman" w:hAnsi="Times New Roman" w:eastAsia="方正仿宋_GBK"/>
          <w:b w:val="0"/>
          <w:sz w:val="24"/>
        </w:rPr>
        <w:t xml:space="preserve">表中分别选取两地区仿真第4年净负荷最大绝对值较大的5座站。方向峰值与持续时间成对使用，用于识别主变有功容量和储能能量需求。</w:t>
      </w:r>
    </w:p>
    <w:p>
      <w:pPr>
        <w:pStyle w:val="5"/>
        <w:keepNext/>
        <w:numPr>
          <w:numId w:val="0"/>
        </w:numPr>
        <w:spacing w:line="360" w:lineRule="auto" w:before="160" w:after="120"/>
        <w:ind w:firstLine="0"/>
      </w:pPr>
      <w:bookmarkStart w:id="125" w:name="运行分析与寻优输入的衔接"/>
      <w:r>
        <w:rPr>
          <w:rFonts w:ascii="Times New Roman" w:hAnsi="Times New Roman" w:eastAsia="方正仿宋_GBK"/>
          <w:b/>
          <w:sz w:val="26"/>
        </w:rPr>
        <w:t xml:space="preserve">3.7.4 运行分析与寻优输入的衔接</w:t>
      </w:r>
      <w:bookmarkEnd w:id="125"/>
    </w:p>
    <w:p>
      <w:pPr>
        <w:pStyle w:val="FirstParagraph"/>
        <w:widowControl/>
        <w:spacing w:line="300" w:lineRule="auto" w:before="0" w:after="0"/>
        <w:ind w:firstLine="480"/>
        <w:jc w:val="both"/>
      </w:pPr>
      <w:r>
        <w:rPr>
          <w:rFonts w:ascii="Times New Roman" w:hAnsi="Times New Roman" w:eastAsia="方正仿宋_GBK"/>
          <w:b w:val="0"/>
          <w:sz w:val="24"/>
        </w:rPr>
        <w:t xml:space="preserve">两地区采用相同三类措施，负荷和设备结构不同，各约束的作用也不同。站级正向负荷转出后，原站电源保持归属，反向校核上界相应增加；承接站按转接后的正向负荷校核正常与退出容量。</w:t>
      </w:r>
    </w:p>
    <w:p>
      <w:pPr>
        <w:pStyle w:val="2"/>
        <w:widowControl/>
        <w:spacing w:line="300" w:lineRule="auto" w:before="0" w:after="0"/>
        <w:ind w:firstLine="480"/>
        <w:jc w:val="both"/>
      </w:pPr>
      <w:r>
        <w:rPr>
          <w:rFonts w:ascii="Times New Roman" w:hAnsi="Times New Roman" w:eastAsia="方正仿宋_GBK"/>
          <w:b w:val="0"/>
          <w:sz w:val="24"/>
        </w:rPr>
        <w:t xml:space="preserve">区域年网供最大负荷按仿真增长条件确定，区县内部转接保持站级负荷总量。第五章按逐站约束求得设备容量，再计算年度容载比。</w:t>
      </w:r>
    </w:p>
    <w:p>
      <w:pPr>
        <w:pStyle w:val="5"/>
        <w:keepNext/>
        <w:numPr>
          <w:numId w:val="0"/>
        </w:numPr>
        <w:spacing w:line="360" w:lineRule="auto" w:before="160" w:after="120"/>
        <w:ind w:firstLine="0"/>
      </w:pPr>
      <w:bookmarkStart w:id="126" w:name="站级净负荷的主导方向"/>
      <w:r>
        <w:rPr>
          <w:rFonts w:ascii="Times New Roman" w:hAnsi="Times New Roman" w:eastAsia="方正仿宋_GBK"/>
          <w:b/>
          <w:sz w:val="26"/>
        </w:rPr>
        <w:t xml:space="preserve">3.7.5 站级净负荷的主导方向</w:t>
      </w:r>
      <w:bookmarkEnd w:id="126"/>
    </w:p>
    <w:p>
      <w:pPr>
        <w:pStyle w:val="FirstParagraph"/>
        <w:keepNext/>
        <w:spacing w:line="300" w:lineRule="auto" w:before="120" w:after="80"/>
        <w:ind w:firstLine="0"/>
        <w:jc w:val="center"/>
      </w:pPr>
      <w:r>
        <w:rPr>
          <w:rFonts w:ascii="Times New Roman" w:hAnsi="Times New Roman" w:eastAsia="宋体"/>
          <w:b w:val="0"/>
          <w:sz w:val="21"/>
        </w:rPr>
        <w:t xml:space="preserve">表3-11 第4年站级净负荷方向统计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地区</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变电站数量</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反向较大站数</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存在反向净负荷站数</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17</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w:t>
            </w:r>
          </w:p>
        </w:tc>
      </w:tr>
    </w:tbl>
    <w:p>
      <w:pPr>
        <w:pStyle w:val="2"/>
        <w:widowControl/>
        <w:spacing w:line="300" w:lineRule="auto" w:before="0" w:after="0"/>
        <w:ind w:firstLine="480"/>
        <w:jc w:val="both"/>
      </w:pPr>
      <w:r>
        <w:rPr>
          <w:rFonts w:ascii="Times New Roman" w:hAnsi="Times New Roman" w:eastAsia="方正仿宋_GBK"/>
          <w:b w:val="0"/>
          <w:sz w:val="24"/>
        </w:rPr>
        <w:t xml:space="preserve">方向统计以转接前最大正向、反向净负荷比较得到。存在反向净负荷的站点中，部分站仍以正向峰值为主；最大绝对值所在站与反向较大的站也可能不同。规划中分别保留两个方向，供电和反向承载使用对应容量约束。</w:t>
      </w:r>
    </w:p>
    <w:p>
      <w:bookmarkStart w:id="1336" w:name="h336"/>
      <w:pPr>
        <w:pStyle w:val="4"/>
        <w:keepNext/>
        <w:numPr>
          <w:numId w:val="0"/>
        </w:numPr>
        <w:spacing w:line="360" w:lineRule="auto" w:before="160" w:after="120"/>
        <w:ind w:firstLine="0"/>
      </w:pPr>
      <w:bookmarkStart w:id="127" w:name="数据基础的适用范围"/>
      <w:r>
        <w:rPr>
          <w:rFonts w:ascii="Times New Roman" w:hAnsi="Times New Roman" w:eastAsia="方正仿宋_GBK"/>
          <w:b/>
          <w:sz w:val="32"/>
        </w:rPr>
        <w:t xml:space="preserve">3.8 数据基础的适用范围</w:t>
      </w:r>
      <w:bookmarkEnd w:id="127"/>
      <w:bookmarkEnd w:id="1336"/>
    </w:p>
    <w:p>
      <w:pPr>
        <w:pStyle w:val="FirstParagraph"/>
        <w:widowControl/>
        <w:spacing w:line="300" w:lineRule="auto" w:before="0" w:after="0"/>
        <w:ind w:firstLine="480"/>
        <w:jc w:val="both"/>
      </w:pPr>
      <w:r>
        <w:rPr>
          <w:rFonts w:ascii="Times New Roman" w:hAnsi="Times New Roman" w:eastAsia="方正仿宋_GBK"/>
          <w:b w:val="0"/>
          <w:sz w:val="24"/>
        </w:rPr>
        <w:t xml:space="preserve">现有收资能够支持年度区县容量对照、站级静态压力筛查和统一费用比较。分布式电源装机渗透率、分布式电源电量渗透率及站级仿真净负荷含估计成分，报告以算式和条件说明其用途。月度相关性用于样本分析，2025年持续时间模板用于规划仿真。</w:t>
      </w:r>
    </w:p>
    <w:p>
      <w:pPr>
        <w:pStyle w:val="2"/>
        <w:widowControl/>
        <w:spacing w:line="300" w:lineRule="auto" w:before="0" w:after="0"/>
        <w:ind w:firstLine="480"/>
        <w:jc w:val="both"/>
      </w:pPr>
      <w:r>
        <w:rPr>
          <w:rFonts w:ascii="Times New Roman" w:hAnsi="Times New Roman" w:eastAsia="方正仿宋_GBK"/>
          <w:b w:val="0"/>
          <w:sz w:val="24"/>
        </w:rPr>
        <w:t xml:space="preserve">后续工程应用应优先核定年网供最大负荷形成记录、同范围用户年电量、市区完整设备映射及馈线实际约束。取得核定数据后，应重新计算指标和方案费用。负荷增长情景用于确定规划需求。</w:t>
      </w:r>
    </w:p>
    <w:p>
      <w:bookmarkStart w:id="1339" w:name="h339"/>
      <w:pPr>
        <w:pStyle w:val="3"/>
        <w:keepNext/>
        <w:pageBreakBefore/>
        <w:numPr>
          <w:numId w:val="0"/>
        </w:numPr>
        <w:spacing w:line="360" w:lineRule="auto" w:before="0" w:after="120"/>
        <w:ind w:firstLine="0"/>
      </w:pPr>
      <w:bookmarkStart w:id="128" w:name="第四章-基于实际工程的建设成本模型"/>
      <w:r>
        <w:rPr>
          <w:rFonts w:ascii="Times New Roman" w:hAnsi="Times New Roman" w:eastAsia="方正仿宋_GBK"/>
          <w:b/>
          <w:sz w:val="36"/>
        </w:rPr>
        <w:t xml:space="preserve">第四章 基于实际工程的建设成本模型</w:t>
      </w:r>
      <w:bookmarkEnd w:id="128"/>
      <w:bookmarkEnd w:id="1339"/>
    </w:p>
    <w:p>
      <w:bookmarkStart w:id="1340" w:name="h340"/>
      <w:pPr>
        <w:pStyle w:val="4"/>
        <w:keepNext/>
        <w:numPr>
          <w:numId w:val="0"/>
        </w:numPr>
        <w:spacing w:line="360" w:lineRule="auto" w:before="160" w:after="120"/>
        <w:ind w:firstLine="0"/>
      </w:pPr>
      <w:bookmarkStart w:id="129" w:name="成本模型的范围与建立原则"/>
      <w:r>
        <w:rPr>
          <w:rFonts w:ascii="Times New Roman" w:hAnsi="Times New Roman" w:eastAsia="方正仿宋_GBK"/>
          <w:b/>
          <w:sz w:val="32"/>
        </w:rPr>
        <w:t xml:space="preserve">4.1 成本模型的范围与建立原则</w:t>
      </w:r>
      <w:bookmarkEnd w:id="129"/>
      <w:bookmarkEnd w:id="1340"/>
    </w:p>
    <w:p>
      <w:pPr>
        <w:pStyle w:val="5"/>
        <w:keepNext/>
        <w:numPr>
          <w:numId w:val="0"/>
        </w:numPr>
        <w:spacing w:line="360" w:lineRule="auto" w:before="160" w:after="120"/>
        <w:ind w:firstLine="0"/>
      </w:pPr>
      <w:bookmarkStart w:id="130" w:name="工程事件与计价依据"/>
      <w:r>
        <w:rPr>
          <w:rFonts w:ascii="Times New Roman" w:hAnsi="Times New Roman" w:eastAsia="方正仿宋_GBK"/>
          <w:b/>
          <w:sz w:val="26"/>
        </w:rPr>
        <w:t xml:space="preserve">4.1.1 工程事件与计价依据</w:t>
      </w:r>
      <w:bookmarkEnd w:id="130"/>
    </w:p>
    <w:p>
      <w:pPr>
        <w:pStyle w:val="FirstParagraph"/>
        <w:widowControl/>
        <w:spacing w:line="300" w:lineRule="auto" w:before="0" w:after="0"/>
        <w:ind w:firstLine="480"/>
        <w:jc w:val="both"/>
      </w:pPr>
      <w:r>
        <w:rPr>
          <w:rFonts w:ascii="Times New Roman" w:hAnsi="Times New Roman" w:eastAsia="方正仿宋_GBK"/>
          <w:b w:val="0"/>
          <w:sz w:val="24"/>
        </w:rPr>
        <w:t xml:space="preserve">本研究比较新增主变、储能与10 kV联络措施的增量费用。先识别每年发生的工程事件，再按工程规模和统一价格计算投资。主变更换以整台新购铭牌容量计价，扩建主变按独立扩建项目计价，储能按新增柜数计价，线路按当年新投运条数计价。既有资产只影响技术条件，其原建设费用不重复计入。</w:t>
      </w:r>
    </w:p>
    <w:p>
      <w:pPr>
        <w:pStyle w:val="2"/>
        <w:widowControl/>
        <w:spacing w:line="300" w:lineRule="auto" w:before="0" w:after="0"/>
        <w:ind w:firstLine="480"/>
        <w:jc w:val="both"/>
      </w:pPr>
      <w:r>
        <w:rPr>
          <w:rFonts w:ascii="Times New Roman" w:hAnsi="Times New Roman" w:eastAsia="方正仿宋_GBK"/>
          <w:b w:val="0"/>
          <w:sz w:val="24"/>
        </w:rPr>
        <w:t xml:space="preserve">主变、储能与线路均按项目范围使用价格。徐州主变投资表的静态总投资包括工程配套内容；储能成交公告包括设备采购及安装等范围；线路参考价来自公开规划造价。参考价格按各案例工程范围折算，通过主变与线路、主变与储能两个成本比检查价格变化对措施选择的影响[7][86][85]。</w:t>
      </w:r>
    </w:p>
    <w:p>
      <w:pPr>
        <w:pStyle w:val="5"/>
        <w:keepNext/>
        <w:numPr>
          <w:numId w:val="0"/>
        </w:numPr>
        <w:spacing w:line="360" w:lineRule="auto" w:before="160" w:after="120"/>
        <w:ind w:firstLine="0"/>
      </w:pPr>
      <w:bookmarkStart w:id="131" w:name="投资运维与更新"/>
      <w:r>
        <w:rPr>
          <w:rFonts w:ascii="Times New Roman" w:hAnsi="Times New Roman" w:eastAsia="方正仿宋_GBK"/>
          <w:b/>
          <w:sz w:val="26"/>
        </w:rPr>
        <w:t xml:space="preserve">4.1.2 投资、运维与更新</w:t>
      </w:r>
      <w:bookmarkEnd w:id="131"/>
    </w:p>
    <w:p>
      <w:pPr>
        <w:pStyle w:val="FirstParagraph"/>
        <w:widowControl/>
        <w:spacing w:line="300" w:lineRule="auto" w:before="0" w:after="0"/>
        <w:ind w:firstLine="480"/>
        <w:jc w:val="both"/>
      </w:pPr>
      <w:r>
        <w:rPr>
          <w:rFonts w:ascii="Times New Roman" w:hAnsi="Times New Roman" w:eastAsia="方正仿宋_GBK"/>
          <w:b w:val="0"/>
          <w:sz w:val="24"/>
        </w:rPr>
        <w:t xml:space="preserve">全寿命费用以2021年末为评价基准，截止于2041年。新增工程在投运年发生初始投资，次年起计固定运维；设备达到设定寿命且评价期尚需服务时，按同等实价更新。不同寿命的措施以同一现金流边界比较[10][12][13]。</w:t>
      </w:r>
    </w:p>
    <w:p>
      <w:pPr>
        <w:pStyle w:val="2"/>
        <w:widowControl/>
        <w:spacing w:line="300" w:lineRule="auto" w:before="0" w:after="0"/>
        <w:ind w:firstLine="480"/>
        <w:jc w:val="both"/>
      </w:pPr>
      <w:r>
        <w:rPr>
          <w:rFonts w:ascii="Times New Roman" w:hAnsi="Times New Roman" w:eastAsia="方正仿宋_GBK"/>
          <w:b w:val="0"/>
          <w:sz w:val="24"/>
        </w:rPr>
        <w:t xml:space="preserve">模型寿命参数为主变20年、线路20年、储能10年，固定运维比例为主变和线路1%、储能3%，折现率6%。这些参数为本研究统一评价假定，现值计算采用相关文献的全寿命费用方法。参数选择使储能更新费用在长期比较中明确出现，同时保持两方案完全一致。</w:t>
      </w:r>
    </w:p>
    <w:p>
      <w:pPr>
        <w:pStyle w:val="2"/>
        <w:keepNext/>
        <w:spacing w:line="300" w:lineRule="auto" w:before="120" w:after="80"/>
        <w:ind w:firstLine="0"/>
        <w:jc w:val="center"/>
      </w:pPr>
      <w:r>
        <w:rPr>
          <w:rFonts w:ascii="Times New Roman" w:hAnsi="Times New Roman" w:eastAsia="宋体"/>
          <w:b w:val="0"/>
          <w:sz w:val="21"/>
        </w:rPr>
        <w:t xml:space="preserve">表4-1 统一经济评价假定</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参数</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取值</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依据性质</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基准年／截止年</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2021／2041</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研究评价边界</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折现率</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统一实价评价假定</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主变／线路寿命</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20／20年</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研究寿命假定</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储能寿命</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10年</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更新周期假定</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主变／线路固定运维</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初始投资1%/年</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统一研究参数</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储能固定运维</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初始投资3%/年</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统一研究参数</w:t>
            </w:r>
          </w:p>
        </w:tc>
      </w:tr>
    </w:tbl>
    <w:p>
      <w:pPr>
        <w:pStyle w:val="5"/>
        <w:keepNext/>
        <w:numPr>
          <w:numId w:val="0"/>
        </w:numPr>
        <w:spacing w:line="360" w:lineRule="auto" w:before="160" w:after="120"/>
        <w:ind w:firstLine="0"/>
      </w:pPr>
      <w:bookmarkStart w:id="132" w:name="增量比较的适用范围"/>
      <w:r>
        <w:rPr>
          <w:rFonts w:ascii="Times New Roman" w:hAnsi="Times New Roman" w:eastAsia="方正仿宋_GBK"/>
          <w:b/>
          <w:sz w:val="26"/>
        </w:rPr>
        <w:t xml:space="preserve">4.1.3 增量比较的适用范围</w:t>
      </w:r>
      <w:bookmarkEnd w:id="132"/>
    </w:p>
    <w:p>
      <w:pPr>
        <w:pStyle w:val="FirstParagraph"/>
        <w:widowControl/>
        <w:spacing w:line="300" w:lineRule="auto" w:before="0" w:after="0"/>
        <w:ind w:firstLine="480"/>
        <w:jc w:val="both"/>
      </w:pPr>
      <w:r>
        <w:rPr>
          <w:rFonts w:ascii="Times New Roman" w:hAnsi="Times New Roman" w:eastAsia="方正仿宋_GBK"/>
          <w:b w:val="0"/>
          <w:sz w:val="24"/>
        </w:rPr>
        <w:t xml:space="preserve">2021年存量投资是两方案共有历史费用，不进入增量目标。基期按仿真设备结构确定容量，年网供最大负荷统一标定到容载比2.00。2022年以后增加的措施按明确的购置和投运量计取，后续在役容量非减。该边界使费用差主要来自规划期新增措施及其投运时点。</w:t>
      </w:r>
    </w:p>
    <w:p>
      <w:pPr>
        <w:pStyle w:val="2"/>
        <w:widowControl/>
        <w:spacing w:line="300" w:lineRule="auto" w:before="0" w:after="0"/>
        <w:ind w:firstLine="480"/>
        <w:jc w:val="both"/>
      </w:pPr>
      <w:r>
        <w:rPr>
          <w:rFonts w:ascii="Times New Roman" w:hAnsi="Times New Roman" w:eastAsia="方正仿宋_GBK"/>
          <w:b w:val="0"/>
          <w:sz w:val="24"/>
        </w:rPr>
        <w:t xml:space="preserve">费用目标采用新增建设、固定运维和寿命更新支出，工程审定时以项目概算及运行资料更新对应现金流。</w:t>
      </w:r>
    </w:p>
    <w:p>
      <w:bookmarkStart w:id="1351" w:name="h351"/>
      <w:pPr>
        <w:pStyle w:val="4"/>
        <w:keepNext/>
        <w:numPr>
          <w:numId w:val="0"/>
        </w:numPr>
        <w:spacing w:line="360" w:lineRule="auto" w:before="160" w:after="120"/>
        <w:ind w:firstLine="0"/>
      </w:pPr>
      <w:bookmarkStart w:id="133" w:name="主变工程成本系数"/>
      <w:r>
        <w:rPr>
          <w:rFonts w:ascii="Times New Roman" w:hAnsi="Times New Roman" w:eastAsia="方正仿宋_GBK"/>
          <w:b/>
          <w:sz w:val="32"/>
        </w:rPr>
        <w:t xml:space="preserve">4.2 主变工程成本系数</w:t>
      </w:r>
      <w:bookmarkEnd w:id="133"/>
      <w:bookmarkEnd w:id="1351"/>
    </w:p>
    <w:p>
      <w:pPr>
        <w:pStyle w:val="5"/>
        <w:keepNext/>
        <w:numPr>
          <w:numId w:val="0"/>
        </w:numPr>
        <w:spacing w:line="360" w:lineRule="auto" w:before="160" w:after="120"/>
        <w:ind w:firstLine="0"/>
      </w:pPr>
      <w:bookmarkStart w:id="134" w:name="替换工程案例"/>
      <w:r>
        <w:rPr>
          <w:rFonts w:ascii="Times New Roman" w:hAnsi="Times New Roman" w:eastAsia="方正仿宋_GBK"/>
          <w:b/>
          <w:sz w:val="26"/>
        </w:rPr>
        <w:t xml:space="preserve">4.2.1 替换工程案例</w:t>
      </w:r>
      <w:bookmarkEnd w:id="134"/>
    </w:p>
    <w:p>
      <w:pPr>
        <w:pStyle w:val="FirstParagraph"/>
        <w:widowControl/>
        <w:spacing w:line="300" w:lineRule="auto" w:before="0" w:after="0"/>
        <w:ind w:firstLine="480"/>
        <w:jc w:val="both"/>
      </w:pPr>
      <w:r>
        <w:rPr>
          <w:rFonts w:ascii="Times New Roman" w:hAnsi="Times New Roman" w:eastAsia="方正仿宋_GBK"/>
          <w:b w:val="0"/>
          <w:sz w:val="24"/>
        </w:rPr>
        <w:t xml:space="preserve">徐州投资汇总表中，王庄110 kV变电站2号主变由20 MVA更换为50 MVA，静态投资1151万元；鲁庙110 kV变电站两台主变由2×31.50 MVA更换为2×50 MVA，静态投资1335万元。</w:t>
      </w:r>
    </w:p>
    <w:p>
      <w:pPr>
        <w:pStyle w:val="2"/>
        <w:widowControl/>
        <w:spacing w:line="300" w:lineRule="auto" w:before="0" w:after="0"/>
        <w:ind w:firstLine="480"/>
        <w:jc w:val="both"/>
      </w:pPr>
      <w:r>
        <w:rPr>
          <w:rFonts w:ascii="Times New Roman" w:hAnsi="Times New Roman" w:eastAsia="方正仿宋_GBK"/>
          <w:b w:val="0"/>
          <w:sz w:val="24"/>
        </w:rPr>
        <w:t xml:space="preserve">两个案例采购容量分别为50 MVA和100 MVA，容量净增分别为30 MVA和37 MVA。王庄包含新增9回10 kV出线，鲁庙包含新增1回10 kV出线。模型按两项目静态总投资形成含配套工程的主变更换参考系数。</w:t>
      </w:r>
    </w:p>
    <w:p>
      <w:pPr>
        <w:pStyle w:val="2"/>
        <w:keepNext/>
        <w:spacing w:line="300" w:lineRule="auto" w:before="120" w:after="80"/>
        <w:ind w:firstLine="0"/>
        <w:jc w:val="center"/>
      </w:pPr>
      <w:r>
        <w:rPr>
          <w:rFonts w:ascii="Times New Roman" w:hAnsi="Times New Roman" w:eastAsia="宋体"/>
          <w:b w:val="0"/>
          <w:sz w:val="21"/>
        </w:rPr>
        <w:t xml:space="preserve">表4-2 徐州110 kV主变工程价格依据[7]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项目</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新购/MVA</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退出/MVA</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净增/MVA</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1335</w:t>
            </w:r>
          </w:p>
        </w:tc>
      </w:tr>
    </w:tbl>
    <w:p>
      <w:pPr>
        <w:pStyle w:val="5"/>
        <w:keepNext/>
        <w:numPr>
          <w:numId w:val="0"/>
        </w:numPr>
        <w:spacing w:line="360" w:lineRule="auto" w:before="160" w:after="120"/>
        <w:ind w:firstLine="0"/>
      </w:pPr>
      <w:bookmarkStart w:id="135" w:name="采购容量加权系数"/>
      <w:r>
        <w:rPr>
          <w:rFonts w:ascii="Times New Roman" w:hAnsi="Times New Roman" w:eastAsia="方正仿宋_GBK"/>
          <w:b/>
          <w:sz w:val="26"/>
        </w:rPr>
        <w:t xml:space="preserve">4.2.2 采购容量加权系数</w:t>
      </w:r>
      <w:bookmarkEnd w:id="135"/>
    </w:p>
    <w:p>
      <w:pPr>
        <w:pStyle w:val="FirstParagraph"/>
        <w:widowControl/>
        <w:spacing w:line="300" w:lineRule="auto" w:before="0" w:after="0"/>
        <w:ind w:firstLine="480"/>
        <w:jc w:val="both"/>
      </w:pPr>
      <w:r>
        <w:rPr>
          <w:rFonts w:ascii="Times New Roman" w:hAnsi="Times New Roman" w:eastAsia="方正仿宋_GBK"/>
          <w:b w:val="0"/>
          <w:sz w:val="24"/>
        </w:rPr>
        <w:t xml:space="preserve">替换工程系数按两个案例静态投资之和除以新购铭牌容量之和计算，使用采购容量加权。参考系数按式（4-1）计算。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
                  <m:e>
                    <m:r>
                      <m:t>c</m:t>
                    </m:r>
                  </m:e>
                  <m:sub>
                    <m:r>
                      <m:t>T</m:t>
                    </m:r>
                  </m:sub>
                </m:sSub>
                <m:r>
                  <m:t>=</m:t>
                </m:r>
                <m:f>
                  <m:fPr>
                    <m:type m:val="bar"/>
                  </m:fPr>
                  <m:num>
                    <m:r>
                      <m:t>1151</m:t>
                    </m:r>
                    <m:r>
                      <m:t>+</m:t>
                    </m:r>
                    <m:r>
                      <m:t>1335</m:t>
                    </m:r>
                  </m:num>
                  <m:den>
                    <m:r>
                      <m:t>50</m:t>
                    </m:r>
                    <m:r>
                      <m:t>+</m:t>
                    </m:r>
                    <m:r>
                      <m:t>100</m:t>
                    </m:r>
                  </m:den>
                </m:f>
                <m:r>
                  <m:t>≈</m:t>
                </m:r>
                <m:r>
                  <m:t>16.57</m:t>
                </m:r>
                <m:r>
                  <m:t> </m:t>
                </m:r>
                <m:r>
                  <m:rPr>
                    <m:nor/>
                    <m:sty m:val="p"/>
                  </m:rPr>
                  <m:t>万元/MVA</m:t>
                </m:r>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（4-1）</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c</m:t>
            </m:r>
          </m:e>
          <m:sub>
            <m: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00" w:lineRule="auto"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00" w:lineRule="auto" w:before="0" w:after="0"/>
        <w:ind w:firstLine="480"/>
        <w:jc w:val="both"/>
      </w:pPr>
      <w:r>
        <w:rPr>
          <w:rFonts w:ascii="Times New Roman" w:hAnsi="Times New Roman" w:eastAsia="方正仿宋_GBK"/>
          <w:b w:val="0"/>
          <w:sz w:val="24"/>
        </w:rPr>
        <w:t xml:space="preserve">主变容量按功率因数0.95折算为有功供电能力，单位费用约17.45万元/有效MW。该分母是新购容量对应的有效功率，用于与其他措施单位服务功率投资比较。</w:t>
      </w:r>
    </w:p>
    <w:p>
      <w:pPr>
        <w:pStyle w:val="5"/>
        <w:keepNext/>
        <w:numPr>
          <w:numId w:val="0"/>
        </w:numPr>
        <w:spacing w:line="360" w:lineRule="auto" w:before="160" w:after="120"/>
        <w:ind w:firstLine="0"/>
      </w:pPr>
      <w:bookmarkStart w:id="136" w:name="净增容量与工程费用"/>
      <w:r>
        <w:rPr>
          <w:rFonts w:ascii="Times New Roman" w:hAnsi="Times New Roman" w:eastAsia="方正仿宋_GBK"/>
          <w:b/>
          <w:sz w:val="26"/>
        </w:rPr>
        <w:t xml:space="preserve">4.2.3 净增容量与工程费用</w:t>
      </w:r>
      <w:bookmarkEnd w:id="136"/>
    </w:p>
    <w:p>
      <w:pPr>
        <w:pStyle w:val="FirstParagraph"/>
        <w:widowControl/>
        <w:spacing w:line="300" w:lineRule="auto" w:before="0" w:after="0"/>
        <w:ind w:firstLine="480"/>
        <w:jc w:val="both"/>
      </w:pPr>
      <w:r>
        <w:rPr>
          <w:rFonts w:ascii="Times New Roman" w:hAnsi="Times New Roman" w:eastAsia="方正仿宋_GBK"/>
          <w:b w:val="0"/>
          <w:sz w:val="24"/>
        </w:rPr>
        <w:t xml:space="preserve">王庄净增30 MVA，按净增有效MW摊价为1151/[30×0.95]=40.39万元/MW。该价格高于按新购50 MVA摊价，原因是新购设备需要替换原有20 MVA供电能力。鲁庙的净增比例不同，替换投资分别按实际采购容量计算。</w:t>
      </w:r>
    </w:p>
    <w:p>
      <w:pPr>
        <w:pStyle w:val="2"/>
        <w:widowControl/>
        <w:spacing w:line="300" w:lineRule="auto" w:before="0" w:after="0"/>
        <w:ind w:firstLine="480"/>
        <w:jc w:val="both"/>
      </w:pPr>
      <w:r>
        <w:rPr>
          <w:rFonts w:ascii="Times New Roman" w:hAnsi="Times New Roman" w:eastAsia="方正仿宋_GBK"/>
          <w:b w:val="0"/>
          <w:sz w:val="24"/>
        </w:rPr>
        <w:t xml:space="preserve">对站</w:t>
      </w:r>
      <m:oMath>
        <m:r>
          <m:t>i</m:t>
        </m:r>
      </m:oMath>
      <w:r>
        <w:rPr>
          <w:rFonts w:ascii="Times New Roman" w:hAnsi="Times New Roman" w:eastAsia="方正仿宋_GBK"/>
          <w:b w:val="0"/>
          <w:sz w:val="24"/>
        </w:rPr>
        <w:t xml:space="preserve">、主变槽位</w:t>
      </w:r>
      <m:oMath>
        <m:r>
          <m:t>k</m:t>
        </m:r>
      </m:oMath>
      <w:r>
        <w:rPr>
          <w:rFonts w:ascii="Times New Roman" w:hAnsi="Times New Roman" w:eastAsia="方正仿宋_GBK"/>
          <w:b w:val="0"/>
          <w:sz w:val="24"/>
        </w:rPr>
        <w:t xml:space="preserve">、投运年份</w:t>
      </w:r>
      <m:oMath>
        <m:r>
          <m:t>y</m:t>
        </m:r>
      </m:oMath>
      <w:r>
        <w:rPr>
          <w:rFonts w:ascii="Times New Roman" w:hAnsi="Times New Roman" w:eastAsia="方正仿宋_GBK"/>
          <w:b w:val="0"/>
          <w:sz w:val="24"/>
        </w:rPr>
        <w:t xml:space="preserve">，若容量由</w:t>
      </w:r>
      <m:oMath>
        <m:sSup>
          <m:e>
            <m:r>
              <m:t>S</m:t>
            </m:r>
          </m:e>
          <m:sup>
            <m:r>
              <m:rPr>
                <m:sty m:val="p"/>
              </m:rPr>
              <m:t>o</m:t>
            </m:r>
            <m:r>
              <m:rPr>
                <m:sty m:val="p"/>
              </m:rPr>
              <m:t>l</m:t>
            </m:r>
            <m:r>
              <m:rPr>
                <m:sty m:val="p"/>
              </m:rPr>
              <m:t>d</m:t>
            </m:r>
          </m:sup>
        </m:sSup>
      </m:oMath>
      <w:r>
        <w:rPr>
          <w:rFonts w:ascii="Times New Roman" w:hAnsi="Times New Roman" w:eastAsia="方正仿宋_GBK"/>
          <w:b w:val="0"/>
          <w:sz w:val="24"/>
        </w:rPr>
        <w:t xml:space="preserve">更换为</w:t>
      </w:r>
      <m:oMath>
        <m:sSup>
          <m:e>
            <m:r>
              <m:t>S</m:t>
            </m:r>
          </m:e>
          <m:sup>
            <m:r>
              <m:rPr>
                <m:sty m:val="p"/>
              </m:rPr>
              <m:t>n</m:t>
            </m:r>
            <m:r>
              <m:rPr>
                <m:sty m:val="p"/>
              </m:rPr>
              <m:t>e</m:t>
            </m:r>
            <m:r>
              <m:rPr>
                <m:sty m:val="p"/>
              </m:rPr>
              <m:t>w</m:t>
            </m:r>
          </m:sup>
        </m:sSup>
      </m:oMath>
      <w:r>
        <w:rPr>
          <w:rFonts w:ascii="Times New Roman" w:hAnsi="Times New Roman" w:eastAsia="方正仿宋_GBK"/>
          <w:b w:val="0"/>
          <w:sz w:val="24"/>
        </w:rPr>
        <w:t xml:space="preserve">，工程投资按</w:t>
      </w:r>
      <m:oMath>
        <m:sSub>
          <m:e>
            <m:r>
              <m:t>c</m:t>
            </m:r>
          </m:e>
          <m:sub>
            <m:r>
              <m:t>T</m:t>
            </m:r>
          </m:sub>
        </m:sSub>
        <m:sSup>
          <m:e>
            <m:r>
              <m:t>S</m:t>
            </m:r>
          </m:e>
          <m:sup>
            <m:r>
              <m:rPr>
                <m:sty m:val="p"/>
              </m:rPr>
              <m:t>n</m:t>
            </m:r>
            <m:r>
              <m:rPr>
                <m:sty m:val="p"/>
              </m:rPr>
              <m:t>e</m:t>
            </m:r>
            <m:r>
              <m:rPr>
                <m:sty m:val="p"/>
              </m:rPr>
              <m:t>w</m:t>
            </m:r>
          </m:sup>
        </m:sSup>
      </m:oMath>
      <w:r>
        <w:rPr>
          <w:rFonts w:ascii="Times New Roman" w:hAnsi="Times New Roman" w:eastAsia="方正仿宋_GBK"/>
          <w:b w:val="0"/>
          <w:sz w:val="24"/>
        </w:rPr>
        <w:t xml:space="preserve">计取。设备容量增加</w:t>
      </w:r>
      <m:oMath>
        <m:sSup>
          <m:e>
            <m:r>
              <m:t>S</m:t>
            </m:r>
          </m:e>
          <m:sup>
            <m:r>
              <m:rPr>
                <m:sty m:val="p"/>
              </m:rPr>
              <m:t>n</m:t>
            </m:r>
            <m:r>
              <m:rPr>
                <m:sty m:val="p"/>
              </m:rPr>
              <m:t>e</m:t>
            </m:r>
            <m:r>
              <m:rPr>
                <m:sty m:val="p"/>
              </m:rPr>
              <m:t>w</m:t>
            </m:r>
          </m:sup>
        </m:sSup>
        <m:r>
          <m:t>−</m:t>
        </m:r>
        <m:sSup>
          <m:e>
            <m:r>
              <m:t>S</m:t>
            </m:r>
          </m:e>
          <m:sup>
            <m:r>
              <m:rPr>
                <m:sty m:val="p"/>
              </m:rPr>
              <m:t>o</m:t>
            </m:r>
            <m:r>
              <m:rPr>
                <m:sty m:val="p"/>
              </m:rPr>
              <m:t>l</m:t>
            </m:r>
            <m:r>
              <m:rPr>
                <m:sty m:val="p"/>
              </m: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sSub>
                        <m:e>
                          <m:r>
                            <m:t>I</m:t>
                          </m:r>
                        </m:e>
                        <m:sub>
                          <m:r>
                            <m:t>T</m:t>
                          </m:r>
                          <m:r>
                            <m:t>,</m:t>
                          </m:r>
                          <m:r>
                            <m:t>i</m:t>
                          </m:r>
                          <m:r>
                            <m:t>k</m:t>
                          </m:r>
                          <m:r>
                            <m:t>y</m:t>
                          </m:r>
                        </m:sub>
                      </m:sSub>
                    </m:e>
                    <m:e>
                      <m:r>
                        <m:t>=</m:t>
                      </m:r>
                      <m:sSub>
                        <m:e>
                          <m:r>
                            <m:t>c</m:t>
                          </m:r>
                        </m:e>
                        <m:sub>
                          <m:r>
                            <m:t>T</m:t>
                          </m:r>
                        </m:sub>
                      </m:sSub>
                      <m:sSubSup>
                        <m:e>
                          <m:r>
                            <m:t>S</m:t>
                          </m:r>
                        </m:e>
                        <m:sub>
                          <m:r>
                            <m:t>i</m:t>
                          </m:r>
                          <m:r>
                            <m:t>k</m:t>
                          </m:r>
                          <m:r>
                            <m:t>y</m:t>
                          </m:r>
                        </m:sub>
                        <m:sup>
                          <m:r>
                            <m:rPr>
                              <m:sty m:val="p"/>
                            </m:rPr>
                            <m:t>n</m:t>
                          </m:r>
                          <m:r>
                            <m:rPr>
                              <m:sty m:val="p"/>
                            </m:rPr>
                            <m:t>e</m:t>
                          </m:r>
                          <m:r>
                            <m:rPr>
                              <m:sty m:val="p"/>
                            </m:rPr>
                            <m:t>w</m:t>
                          </m:r>
                        </m:sup>
                      </m:sSubSup>
                      <m:r>
                        <m:t> </m:t>
                      </m:r>
                      <m:sSub>
                        <m:e>
                          <m:r>
                            <m:t>z</m:t>
                          </m:r>
                        </m:e>
                        <m:sub>
                          <m:r>
                            <m:t>i</m:t>
                          </m:r>
                          <m:r>
                            <m:t>k</m:t>
                          </m:r>
                          <m:r>
                            <m:t>y</m:t>
                          </m:r>
                        </m:sub>
                      </m:sSub>
                    </m:e>
                  </m:mr>
                  <m:mr>
                    <m:e>
                      <m:r>
                        <m:t>Δ</m:t>
                      </m:r>
                      <m:sSub>
                        <m:e>
                          <m:r>
                            <m:t>S</m:t>
                          </m:r>
                        </m:e>
                        <m:sub>
                          <m:r>
                            <m:t>i</m:t>
                          </m:r>
                          <m:r>
                            <m:t>k</m:t>
                          </m:r>
                          <m:r>
                            <m:t>y</m:t>
                          </m:r>
                        </m:sub>
                      </m:sSub>
                    </m:e>
                    <m:e>
                      <m:r>
                        <m:t>=</m:t>
                      </m:r>
                      <m:d>
                        <m:dPr>
                          <m:begChr m:val="("/>
                          <m:endChr m:val=")"/>
                          <m:grow/>
                        </m:dPr>
                        <m:e>
                          <m:sSubSup>
                            <m:e>
                              <m:r>
                                <m:t>S</m:t>
                              </m:r>
                            </m:e>
                            <m:sub>
                              <m:r>
                                <m:t>i</m:t>
                              </m:r>
                              <m:r>
                                <m:t>k</m:t>
                              </m:r>
                              <m:r>
                                <m:t>y</m:t>
                              </m:r>
                            </m:sub>
                            <m:sup>
                              <m:r>
                                <m:rPr>
                                  <m:sty m:val="p"/>
                                </m:rPr>
                                <m:t>n</m:t>
                              </m:r>
                              <m:r>
                                <m:rPr>
                                  <m:sty m:val="p"/>
                                </m:rPr>
                                <m:t>e</m:t>
                              </m:r>
                              <m:r>
                                <m:rPr>
                                  <m:sty m:val="p"/>
                                </m:rPr>
                                <m:t>w</m:t>
                              </m:r>
                            </m:sup>
                          </m:sSubSup>
                          <m:r>
                            <m:t>−</m:t>
                          </m:r>
                          <m:sSubSup>
                            <m:e>
                              <m:r>
                                <m:t>S</m:t>
                              </m:r>
                            </m:e>
                            <m:sub>
                              <m:r>
                                <m:t>i</m:t>
                              </m:r>
                              <m:r>
                                <m:t>k</m:t>
                              </m:r>
                              <m:r>
                                <m:t>,</m:t>
                              </m:r>
                              <m:r>
                                <m:t>y</m:t>
                              </m:r>
                              <m:r>
                                <m:t>−</m:t>
                              </m:r>
                              <m:r>
                                <m:t>1</m:t>
                              </m:r>
                            </m:sub>
                            <m:sup>
                              <m:r>
                                <m:rPr>
                                  <m:sty m:val="p"/>
                                </m:rPr>
                                <m:t>o</m:t>
                              </m:r>
                              <m:r>
                                <m:rPr>
                                  <m:sty m:val="p"/>
                                </m:rPr>
                                <m:t>l</m:t>
                              </m:r>
                              <m:r>
                                <m:rPr>
                                  <m:sty m:val="p"/>
                                </m:rPr>
                                <m:t>d</m:t>
                              </m:r>
                            </m:sup>
                          </m:sSubSup>
                        </m:e>
                      </m:d>
                      <m:sSub>
                        <m:e>
                          <m:r>
                            <m:t>z</m:t>
                          </m:r>
                        </m:e>
                        <m:sub>
                          <m:r>
                            <m:t>i</m:t>
                          </m:r>
                          <m:r>
                            <m:t>k</m:t>
                          </m:r>
                          <m:r>
                            <m:t>y</m:t>
                          </m:r>
                        </m:sub>
                      </m:sSub>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（4-2）</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i</m:t>
        </m:r>
      </m:oMath>
      <w:r>
        <w:rPr>
          <w:rFonts w:ascii="Times New Roman" w:hAnsi="Times New Roman" w:eastAsia="方正仿宋_GBK"/>
          <w:b w:val="0"/>
          <w:sz w:val="24"/>
        </w:rPr>
        <w:t xml:space="preserve">为站号，</w:t>
      </w:r>
      <m:oMath>
        <m:r>
          <m:t>k</m:t>
        </m:r>
      </m:oMath>
      <w:r>
        <w:rPr>
          <w:rFonts w:ascii="Times New Roman" w:hAnsi="Times New Roman" w:eastAsia="方正仿宋_GBK"/>
          <w:b w:val="0"/>
          <w:sz w:val="24"/>
        </w:rPr>
        <w:t xml:space="preserve">为主变槽位，</w:t>
      </w:r>
      <m:oMath>
        <m:r>
          <m:t>y</m:t>
        </m:r>
      </m:oMath>
      <w:r>
        <w:rPr>
          <w:rFonts w:ascii="Times New Roman" w:hAnsi="Times New Roman" w:eastAsia="方正仿宋_GBK"/>
          <w:b w:val="0"/>
          <w:sz w:val="24"/>
        </w:rPr>
        <w:t xml:space="preserve">为投运年份；</w:t>
      </w:r>
      <m:oMath>
        <m:sSub>
          <m:e>
            <m:r>
              <m:t>I</m:t>
            </m:r>
          </m:e>
          <m:sub>
            <m:r>
              <m:t>T</m:t>
            </m:r>
            <m:r>
              <m:t>,</m:t>
            </m:r>
            <m:r>
              <m:t>i</m:t>
            </m:r>
            <m:r>
              <m:t>k</m:t>
            </m:r>
            <m:r>
              <m:t>y</m:t>
            </m:r>
          </m:sub>
        </m:sSub>
      </m:oMath>
      <w:r>
        <w:rPr>
          <w:rFonts w:ascii="Times New Roman" w:hAnsi="Times New Roman" w:eastAsia="方正仿宋_GBK"/>
          <w:b w:val="0"/>
          <w:sz w:val="24"/>
        </w:rPr>
        <w:t xml:space="preserve">为更换投资，单位万元；</w:t>
      </w:r>
      <m:oMath>
        <m:sSub>
          <m:e>
            <m:r>
              <m:t>c</m:t>
            </m:r>
          </m:e>
          <m:sub>
            <m:r>
              <m:t>T</m:t>
            </m:r>
          </m:sub>
        </m:sSub>
      </m:oMath>
      <w:r>
        <w:rPr>
          <w:rFonts w:ascii="Times New Roman" w:hAnsi="Times New Roman" w:eastAsia="方正仿宋_GBK"/>
          <w:b w:val="0"/>
          <w:sz w:val="24"/>
        </w:rPr>
        <w:t xml:space="preserve">为单位采购容量工程投资，单位万元/MVA；</w:t>
      </w:r>
      <m:oMath>
        <m:sSubSup>
          <m:e>
            <m:r>
              <m:t>S</m:t>
            </m:r>
          </m:e>
          <m:sub>
            <m:r>
              <m:t>i</m:t>
            </m:r>
            <m:r>
              <m:t>k</m:t>
            </m:r>
            <m:r>
              <m:t>y</m:t>
            </m:r>
          </m:sub>
          <m:sup>
            <m:r>
              <m:rPr>
                <m:sty m:val="p"/>
              </m:rPr>
              <m:t>n</m:t>
            </m:r>
            <m:r>
              <m:rPr>
                <m:sty m:val="p"/>
              </m:rPr>
              <m:t>e</m:t>
            </m:r>
            <m:r>
              <m:rPr>
                <m:sty m:val="p"/>
              </m:rPr>
              <m:t>w</m:t>
            </m:r>
          </m:sup>
        </m:sSubSup>
      </m:oMath>
      <w:r>
        <w:rPr>
          <w:rFonts w:ascii="Times New Roman" w:hAnsi="Times New Roman" w:eastAsia="方正仿宋_GBK"/>
          <w:b w:val="0"/>
          <w:sz w:val="24"/>
        </w:rPr>
        <w:t xml:space="preserve">和</w:t>
      </w:r>
      <m:oMath>
        <m:sSubSup>
          <m:e>
            <m:r>
              <m:t>S</m:t>
            </m:r>
          </m:e>
          <m:sub>
            <m:r>
              <m:t>i</m:t>
            </m:r>
            <m:r>
              <m:t>k</m:t>
            </m:r>
            <m:r>
              <m:t>,</m:t>
            </m:r>
            <m:r>
              <m:t>y</m:t>
            </m:r>
            <m:r>
              <m:t>−</m:t>
            </m:r>
            <m:r>
              <m:t>1</m:t>
            </m:r>
          </m:sub>
          <m:sup>
            <m:r>
              <m:rPr>
                <m:sty m:val="p"/>
              </m:rPr>
              <m:t>o</m:t>
            </m:r>
            <m:r>
              <m:rPr>
                <m:sty m:val="p"/>
              </m:rPr>
              <m:t>l</m:t>
            </m:r>
            <m:r>
              <m:rPr>
                <m:sty m:val="p"/>
              </m:rPr>
              <m:t>d</m:t>
            </m:r>
          </m:sup>
        </m:sSubSup>
      </m:oMath>
      <w:r>
        <w:rPr>
          <w:rFonts w:ascii="Times New Roman" w:hAnsi="Times New Roman" w:eastAsia="方正仿宋_GBK"/>
          <w:b w:val="0"/>
          <w:sz w:val="24"/>
        </w:rPr>
        <w:t xml:space="preserve">为更换前后容量，</w:t>
      </w:r>
      <m:oMath>
        <m:r>
          <m:t>Δ</m:t>
        </m:r>
        <m:sSub>
          <m:e>
            <m:r>
              <m:t>S</m:t>
            </m:r>
          </m:e>
          <m:sub>
            <m:r>
              <m:t>i</m:t>
            </m:r>
            <m:r>
              <m:t>k</m:t>
            </m:r>
            <m:r>
              <m:t>y</m:t>
            </m:r>
          </m:sub>
        </m:sSub>
      </m:oMath>
      <w:r>
        <w:rPr>
          <w:rFonts w:ascii="Times New Roman" w:hAnsi="Times New Roman" w:eastAsia="方正仿宋_GBK"/>
          <w:b w:val="0"/>
          <w:sz w:val="24"/>
        </w:rPr>
        <w:t xml:space="preserve">为容量净增，单位MVA；</w:t>
      </w:r>
      <m:oMath>
        <m:sSub>
          <m:e>
            <m:r>
              <m:t>z</m:t>
            </m:r>
          </m:e>
          <m:sub>
            <m:r>
              <m:t>i</m:t>
            </m:r>
            <m:r>
              <m:t>k</m:t>
            </m:r>
            <m:r>
              <m:t>y</m:t>
            </m:r>
          </m:sub>
        </m:sSub>
      </m:oMath>
      <w:r>
        <w:rPr>
          <w:rFonts w:ascii="Times New Roman" w:hAnsi="Times New Roman" w:eastAsia="方正仿宋_GBK"/>
          <w:b w:val="0"/>
          <w:sz w:val="24"/>
        </w:rPr>
        <w:t xml:space="preserve">为更换状态，发生更换取1，否则取0。未更换时投资为零；更换同一槽位后，新容量在后续年份持续在役。</w:t>
      </w:r>
    </w:p>
    <w:p>
      <w:pPr>
        <w:pStyle w:val="5"/>
        <w:keepNext/>
        <w:numPr>
          <w:numId w:val="0"/>
        </w:numPr>
        <w:spacing w:line="360" w:lineRule="auto" w:before="160" w:after="120"/>
        <w:ind w:firstLine="0"/>
      </w:pPr>
      <w:bookmarkStart w:id="137" w:name="主变扩建"/>
      <w:r>
        <w:rPr>
          <w:rFonts w:ascii="Times New Roman" w:hAnsi="Times New Roman" w:eastAsia="方正仿宋_GBK"/>
          <w:b/>
          <w:sz w:val="26"/>
        </w:rPr>
        <w:t xml:space="preserve">4.2.4 主变扩建</w:t>
      </w:r>
      <w:bookmarkEnd w:id="137"/>
    </w:p>
    <w:p>
      <w:pPr>
        <w:pStyle w:val="FirstParagraph"/>
        <w:widowControl/>
        <w:spacing w:line="300" w:lineRule="auto"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kV出线，静态总投资分别为1206万元和1240万元[7]。同规模案例均值为1223万元，作为50 MVA主变扩建仿真费用。</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
                  <m:e>
                    <m:r>
                      <m:t>I</m:t>
                    </m:r>
                  </m:e>
                  <m:sub>
                    <m:r>
                      <m:t>T</m:t>
                    </m:r>
                    <m:r>
                      <m:t>,</m:t>
                    </m:r>
                    <m:r>
                      <m:rPr>
                        <m:sty m:val="p"/>
                      </m:rPr>
                      <m:t>e</m:t>
                    </m:r>
                    <m:r>
                      <m:rPr>
                        <m:sty m:val="p"/>
                      </m:rPr>
                      <m:t>x</m:t>
                    </m:r>
                    <m:r>
                      <m:rPr>
                        <m:sty m:val="p"/>
                      </m:rPr>
                      <m:t>p</m:t>
                    </m:r>
                  </m:sub>
                </m:sSub>
                <m:r>
                  <m:t>=</m:t>
                </m:r>
                <m:f>
                  <m:fPr>
                    <m:type m:val="bar"/>
                  </m:fPr>
                  <m:num>
                    <m:r>
                      <m:t>1206</m:t>
                    </m:r>
                    <m:r>
                      <m:t>+</m:t>
                    </m:r>
                    <m:r>
                      <m:t>1240</m:t>
                    </m:r>
                  </m:num>
                  <m:den>
                    <m:r>
                      <m:t>2</m:t>
                    </m:r>
                  </m:den>
                </m:f>
                <m:r>
                  <m:t>=</m:t>
                </m:r>
                <m:r>
                  <m:t>1223</m:t>
                </m:r>
                <m:r>
                  <m:t> </m:t>
                </m:r>
                <m:r>
                  <m:rPr>
                    <m:nor/>
                    <m:sty m:val="p"/>
                  </m:rPr>
                  <m:t>万元/项</m:t>
                </m:r>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（4-3）</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I</m:t>
            </m:r>
          </m:e>
          <m:sub>
            <m:r>
              <m:t>T</m:t>
            </m:r>
            <m:r>
              <m:t>,</m:t>
            </m:r>
            <m:r>
              <m:rPr>
                <m:sty m:val="p"/>
              </m:rPr>
              <m:t>e</m:t>
            </m:r>
            <m:r>
              <m:rPr>
                <m:sty m:val="p"/>
              </m:rPr>
              <m:t>x</m:t>
            </m:r>
            <m:r>
              <m:rPr>
                <m:sty m:val="p"/>
              </m:rPr>
              <m:t>p</m:t>
            </m:r>
          </m:sub>
        </m:sSub>
      </m:oMath>
      <w:r>
        <w:rPr>
          <w:rFonts w:ascii="Times New Roman" w:hAnsi="Times New Roman" w:eastAsia="方正仿宋_GBK"/>
          <w:b w:val="0"/>
          <w:sz w:val="24"/>
        </w:rPr>
        <w:t xml:space="preserve">为50 MVA主变扩建项目参考投资，单位万元/项。</w:t>
      </w:r>
    </w:p>
    <w:p>
      <w:pPr>
        <w:pStyle w:val="2"/>
        <w:widowControl/>
        <w:spacing w:line="300" w:lineRule="auto" w:before="0" w:after="0"/>
        <w:ind w:firstLine="480"/>
        <w:jc w:val="both"/>
      </w:pPr>
      <w:r>
        <w:rPr>
          <w:rFonts w:ascii="Times New Roman" w:hAnsi="Times New Roman" w:eastAsia="方正仿宋_GBK"/>
          <w:b w:val="0"/>
          <w:sz w:val="24"/>
        </w:rPr>
        <w:t xml:space="preserve">主变扩建按1223万元/项计费，包含增加台数及相应配套工程。模型要求原表预留位置满足主变扩建条件，未预留站不因容量不足而自动获得新台位。</w:t>
      </w:r>
    </w:p>
    <w:p>
      <w:pPr>
        <w:pStyle w:val="2"/>
        <w:widowControl/>
        <w:spacing w:line="300" w:lineRule="auto" w:before="0" w:after="0"/>
        <w:ind w:firstLine="480"/>
        <w:jc w:val="both"/>
      </w:pPr>
      <w:r>
        <w:rPr>
          <w:rFonts w:ascii="Times New Roman" w:hAnsi="Times New Roman" w:eastAsia="方正仿宋_GBK"/>
          <w:b w:val="0"/>
          <w:sz w:val="24"/>
        </w:rPr>
        <w:t xml:space="preserve">主变扩建提高主变总容量与单台退出后剩余容量，按第五章的容量约束和费用目标评价。既有两台规格、正向需求及供电安全任务不同，会使同样的扩建费用对应不同替代储能规模。</w:t>
      </w:r>
    </w:p>
    <w:p>
      <w:bookmarkStart w:id="1370" w:name="h370"/>
      <w:pPr>
        <w:pStyle w:val="4"/>
        <w:keepNext/>
        <w:numPr>
          <w:numId w:val="0"/>
        </w:numPr>
        <w:spacing w:line="360" w:lineRule="auto" w:before="160" w:after="120"/>
        <w:ind w:firstLine="0"/>
      </w:pPr>
      <w:bookmarkStart w:id="138" w:name="kv联络工程费用"/>
      <w:r>
        <w:rPr>
          <w:rFonts w:ascii="Times New Roman" w:hAnsi="Times New Roman" w:eastAsia="方正仿宋_GBK"/>
          <w:b/>
          <w:sz w:val="32"/>
        </w:rPr>
        <w:t xml:space="preserve">4.3 10 kV联络工程费用</w:t>
      </w:r>
      <w:bookmarkEnd w:id="138"/>
      <w:bookmarkEnd w:id="1370"/>
    </w:p>
    <w:p>
      <w:pPr>
        <w:pStyle w:val="5"/>
        <w:keepNext/>
        <w:numPr>
          <w:numId w:val="0"/>
        </w:numPr>
        <w:spacing w:line="360" w:lineRule="auto" w:before="160" w:after="120"/>
        <w:ind w:firstLine="0"/>
      </w:pPr>
      <w:bookmarkStart w:id="139" w:name="参考工程及单位造价"/>
      <w:r>
        <w:rPr>
          <w:rFonts w:ascii="Times New Roman" w:hAnsi="Times New Roman" w:eastAsia="方正仿宋_GBK"/>
          <w:b/>
          <w:sz w:val="26"/>
        </w:rPr>
        <w:t xml:space="preserve">4.3.1 参考工程及单位造价</w:t>
      </w:r>
      <w:bookmarkEnd w:id="139"/>
    </w:p>
    <w:p>
      <w:pPr>
        <w:pStyle w:val="FirstParagraph"/>
        <w:widowControl/>
        <w:spacing w:line="300" w:lineRule="auto" w:before="0" w:after="0"/>
        <w:ind w:firstLine="480"/>
        <w:jc w:val="both"/>
      </w:pPr>
      <w:r>
        <w:rPr>
          <w:rFonts w:ascii="Times New Roman" w:hAnsi="Times New Roman" w:eastAsia="方正仿宋_GBK"/>
          <w:b w:val="0"/>
          <w:sz w:val="24"/>
        </w:rPr>
        <w:t xml:space="preserve">10 kV联络工程采用华容县配电网规划报告表7-1的单位造价作为价格参考，架空线路24万元/km、电缆电气部分120万元/km、柱上智能开关3万元/台[86]。徐州线路迁改工程公告用于核对线路改造涉及的工程内容[87]。模型按统一长度、敷设比例和开关数量形成新增联络项目投资。</w:t>
      </w:r>
    </w:p>
    <w:p>
      <w:pPr>
        <w:pStyle w:val="5"/>
        <w:keepNext/>
        <w:numPr>
          <w:numId w:val="0"/>
        </w:numPr>
        <w:spacing w:line="360" w:lineRule="auto" w:before="160" w:after="120"/>
        <w:ind w:firstLine="0"/>
      </w:pPr>
      <w:bookmarkStart w:id="140" w:name="长度与敷设比例"/>
      <w:r>
        <w:rPr>
          <w:rFonts w:ascii="Times New Roman" w:hAnsi="Times New Roman" w:eastAsia="方正仿宋_GBK"/>
          <w:b/>
          <w:sz w:val="26"/>
        </w:rPr>
        <w:t xml:space="preserve">4.3.2 长度与敷设比例</w:t>
      </w:r>
      <w:bookmarkEnd w:id="140"/>
    </w:p>
    <w:p>
      <w:pPr>
        <w:pStyle w:val="FirstParagraph"/>
        <w:widowControl/>
        <w:spacing w:line="300" w:lineRule="auto" w:before="0" w:after="0"/>
        <w:ind w:firstLine="480"/>
        <w:jc w:val="both"/>
      </w:pPr>
      <w:r>
        <w:rPr>
          <w:rFonts w:ascii="Times New Roman" w:hAnsi="Times New Roman" w:eastAsia="方正仿宋_GBK"/>
          <w:b w:val="0"/>
          <w:sz w:val="24"/>
        </w:rPr>
        <w:t xml:space="preserve">本研究等效候选新线长3 km，按90%架空和10%电缆，配置两台柱上智能开关。初始投资按式（4-4）计算。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
                  <m:e>
                    <m:r>
                      <m:t>I</m:t>
                    </m:r>
                  </m:e>
                  <m:sub>
                    <m:r>
                      <m:t>L</m:t>
                    </m:r>
                  </m:sub>
                </m:sSub>
                <m:r>
                  <m:t>=</m:t>
                </m:r>
                <m:r>
                  <m:t>3</m:t>
                </m:r>
                <m:d>
                  <m:dPr>
                    <m:begChr m:val="("/>
                    <m:endChr m:val=")"/>
                    <m:grow/>
                  </m:dPr>
                  <m:e>
                    <m:r>
                      <m:t>0.90</m:t>
                    </m:r>
                    <m:r>
                      <m:t>×</m:t>
                    </m:r>
                    <m:r>
                      <m:t>24</m:t>
                    </m:r>
                    <m:r>
                      <m:t>+</m:t>
                    </m:r>
                    <m:r>
                      <m:t>0.10</m:t>
                    </m:r>
                    <m:r>
                      <m:t>×</m:t>
                    </m:r>
                    <m:r>
                      <m:t>120</m:t>
                    </m:r>
                  </m:e>
                </m:d>
                <m:r>
                  <m:t>+</m:t>
                </m:r>
                <m:r>
                  <m:t>2</m:t>
                </m:r>
                <m:r>
                  <m:t>×</m:t>
                </m:r>
                <m:r>
                  <m:t>3</m:t>
                </m:r>
                <m:r>
                  <m:t>=</m:t>
                </m:r>
                <m:r>
                  <m:t>106.80</m:t>
                </m:r>
                <m:r>
                  <m:t> </m:t>
                </m:r>
                <m:r>
                  <m:rPr>
                    <m:nor/>
                    <m:sty m:val="p"/>
                  </m:rPr>
                  <m:t>万元/条</m:t>
                </m:r>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（4-4）</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I</m:t>
            </m:r>
          </m:e>
          <m:sub>
            <m:r>
              <m:t>L</m:t>
            </m:r>
          </m:sub>
        </m:sSub>
      </m:oMath>
      <w:r>
        <w:rPr>
          <w:rFonts w:ascii="Times New Roman" w:hAnsi="Times New Roman" w:eastAsia="方正仿宋_GBK"/>
          <w:b w:val="0"/>
          <w:sz w:val="24"/>
        </w:rPr>
        <w:t xml:space="preserve">为单项目初始投资，单位万元；3为线路长度，单位km；0.90和0.10分别为架空与电缆长度占比；24和120为相应单位造价，单位万元/km；末项按2台开关、3万元/台计算。</w:t>
      </w:r>
    </w:p>
    <w:p>
      <w:pPr>
        <w:pStyle w:val="2"/>
        <w:widowControl/>
        <w:spacing w:line="300" w:lineRule="auto" w:before="0" w:after="0"/>
        <w:ind w:firstLine="480"/>
        <w:jc w:val="both"/>
      </w:pPr>
      <w:r>
        <w:rPr>
          <w:rFonts w:ascii="Times New Roman" w:hAnsi="Times New Roman" w:eastAsia="方正仿宋_GBK"/>
          <w:b w:val="0"/>
          <w:sz w:val="24"/>
        </w:rPr>
        <w:t xml:space="preserve">106.80万元按架空线路、电缆电气部分和两台智能开关计取。矩阵改变线路价格倍数时，统一作用于该工程投资和后续固定运维。新增项目按区县内候选站对配置，实施阶段落实实际线路走向。</w:t>
      </w:r>
    </w:p>
    <w:p>
      <w:pPr>
        <w:pStyle w:val="2"/>
        <w:keepNext/>
        <w:spacing w:line="300" w:lineRule="auto" w:before="120" w:after="80"/>
        <w:ind w:firstLine="0"/>
        <w:jc w:val="center"/>
      </w:pPr>
      <w:r>
        <w:rPr>
          <w:rFonts w:ascii="Times New Roman" w:hAnsi="Times New Roman" w:eastAsia="宋体"/>
          <w:b w:val="0"/>
          <w:sz w:val="21"/>
        </w:rPr>
        <w:t xml:space="preserve">表4-3 等效联络线参考投资构成[86]</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项目</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工程量</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参考单价</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费用/万元</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架空</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2.70 km</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24万元/km</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64.80</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电缆电气</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0.30 km</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120万元/km</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36.00</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智能开关</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2台</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3万元/台</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6.00</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合计</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 km及2台开关</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线路电气与开关费用</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106.80</w:t>
            </w:r>
          </w:p>
        </w:tc>
      </w:tr>
    </w:tbl>
    <w:p>
      <w:pPr>
        <w:pStyle w:val="5"/>
        <w:keepNext/>
        <w:numPr>
          <w:numId w:val="0"/>
        </w:numPr>
        <w:spacing w:line="360" w:lineRule="auto" w:before="160" w:after="120"/>
        <w:ind w:firstLine="0"/>
      </w:pPr>
      <w:bookmarkStart w:id="141" w:name="有效转接任务及价格比"/>
      <w:r>
        <w:rPr>
          <w:rFonts w:ascii="Times New Roman" w:hAnsi="Times New Roman" w:eastAsia="方正仿宋_GBK"/>
          <w:b/>
          <w:sz w:val="26"/>
        </w:rPr>
        <w:t xml:space="preserve">4.3.3 有效转接任务及价格比</w:t>
      </w:r>
      <w:bookmarkEnd w:id="141"/>
    </w:p>
    <w:p>
      <w:pPr>
        <w:pStyle w:val="FirstParagraph"/>
        <w:widowControl/>
        <w:spacing w:line="300" w:lineRule="auto" w:before="0" w:after="0"/>
        <w:ind w:firstLine="480"/>
        <w:jc w:val="both"/>
      </w:pPr>
      <w:r>
        <w:rPr>
          <w:rFonts w:ascii="Times New Roman" w:hAnsi="Times New Roman" w:eastAsia="方正仿宋_GBK"/>
          <w:b w:val="0"/>
          <w:sz w:val="24"/>
        </w:rPr>
        <w:t xml:space="preserve">候选线2025年区段负荷筛查取7.49 MW，低于按允许电流折算的线路有功容量9.05 MW，因此单位可转负荷的初始投资约为14.26万元/MW。实际线路的有效可转负荷依据区段负荷、热限及受端余量核定。</w:t>
      </w:r>
    </w:p>
    <w:p>
      <w:pPr>
        <w:pStyle w:val="2"/>
        <w:widowControl/>
        <w:spacing w:line="300" w:lineRule="auto" w:before="0" w:after="0"/>
        <w:ind w:firstLine="480"/>
        <w:jc w:val="both"/>
      </w:pPr>
      <w:r>
        <w:rPr>
          <w:rFonts w:ascii="Times New Roman" w:hAnsi="Times New Roman" w:eastAsia="方正仿宋_GBK"/>
          <w:b w:val="0"/>
          <w:sz w:val="24"/>
        </w:rPr>
        <w:t xml:space="preserve">新增等效联络项目按邳州局部可切换负荷区段提供7.49 MW的能力增量，作用于站级转供能力预算。既有能力利用与新建工程分别进入寻优，项目投资按一次建设计取。</w:t>
      </w:r>
    </w:p>
    <w:p>
      <w:bookmarkStart w:id="1381" w:name="h381"/>
      <w:pPr>
        <w:pStyle w:val="4"/>
        <w:keepNext/>
        <w:numPr>
          <w:numId w:val="0"/>
        </w:numPr>
        <w:spacing w:line="360" w:lineRule="auto" w:before="160" w:after="120"/>
        <w:ind w:firstLine="0"/>
      </w:pPr>
      <w:bookmarkStart w:id="142" w:name="储能投资模型"/>
      <w:r>
        <w:rPr>
          <w:rFonts w:ascii="Times New Roman" w:hAnsi="Times New Roman" w:eastAsia="方正仿宋_GBK"/>
          <w:b/>
          <w:sz w:val="32"/>
        </w:rPr>
        <w:t xml:space="preserve">4.4 储能投资模型</w:t>
      </w:r>
      <w:bookmarkEnd w:id="142"/>
      <w:bookmarkEnd w:id="1381"/>
    </w:p>
    <w:p>
      <w:pPr>
        <w:pStyle w:val="5"/>
        <w:keepNext/>
        <w:numPr>
          <w:numId w:val="0"/>
        </w:numPr>
        <w:spacing w:line="360" w:lineRule="auto" w:before="160" w:after="120"/>
        <w:ind w:firstLine="0"/>
      </w:pPr>
      <w:bookmarkStart w:id="143" w:name="储能规格与采购价格依据"/>
      <w:r>
        <w:rPr>
          <w:rFonts w:ascii="Times New Roman" w:hAnsi="Times New Roman" w:eastAsia="方正仿宋_GBK"/>
          <w:b/>
          <w:sz w:val="26"/>
        </w:rPr>
        <w:t xml:space="preserve">4.4.1 储能规格与采购价格依据</w:t>
      </w:r>
      <w:bookmarkEnd w:id="143"/>
    </w:p>
    <w:p>
      <w:pPr>
        <w:pStyle w:val="FirstParagraph"/>
        <w:widowControl/>
        <w:spacing w:line="300" w:lineRule="auto"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kWh柜规格。苏州采购公告的储能柜子项最高限价为27.20万元，作为单柜价格参考[88]。模型投资采用浏阳用户侧储能项目的成套中标价210.46万元，保证交付规模为1 MW/2.15 MWh，折合10柜[85]。</w:t>
      </w:r>
    </w:p>
    <w:p>
      <w:pPr>
        <w:pStyle w:val="2"/>
        <w:widowControl/>
        <w:spacing w:line="300" w:lineRule="auto"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300" w:lineRule="auto" w:before="120" w:after="80"/>
        <w:ind w:firstLine="0"/>
        <w:jc w:val="center"/>
      </w:pPr>
      <w:r>
        <w:rPr>
          <w:rFonts w:ascii="Times New Roman" w:hAnsi="Times New Roman" w:eastAsia="宋体"/>
          <w:b w:val="0"/>
          <w:sz w:val="21"/>
        </w:rPr>
        <w:t xml:space="preserve">表4-4 储能采购价格依据[88][85]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案例</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公告规模</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保证规模</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价格/万元</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苏州</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27.20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储能项目中标总价</w:t>
            </w:r>
          </w:p>
        </w:tc>
      </w:tr>
    </w:tbl>
    <w:p>
      <w:pPr>
        <w:pStyle w:val="5"/>
        <w:keepNext/>
        <w:numPr>
          <w:numId w:val="0"/>
        </w:numPr>
        <w:spacing w:line="360" w:lineRule="auto" w:before="160" w:after="120"/>
        <w:ind w:firstLine="0"/>
      </w:pPr>
      <w:bookmarkStart w:id="144" w:name="成套柜单位价格"/>
      <w:r>
        <w:rPr>
          <w:rFonts w:ascii="Times New Roman" w:hAnsi="Times New Roman" w:eastAsia="方正仿宋_GBK"/>
          <w:b/>
          <w:sz w:val="26"/>
        </w:rPr>
        <w:t xml:space="preserve">4.4.2 成套柜单位价格</w:t>
      </w:r>
      <w:bookmarkEnd w:id="144"/>
    </w:p>
    <w:p>
      <w:pPr>
        <w:pStyle w:val="FirstParagraph"/>
        <w:widowControl/>
        <w:spacing w:line="300" w:lineRule="auto" w:before="0" w:after="0"/>
        <w:ind w:firstLine="480"/>
        <w:jc w:val="both"/>
      </w:pPr>
      <w:r>
        <w:rPr>
          <w:rFonts w:ascii="Times New Roman" w:hAnsi="Times New Roman" w:eastAsia="方正仿宋_GBK"/>
          <w:b w:val="0"/>
          <w:sz w:val="24"/>
        </w:rPr>
        <w:t xml:space="preserve">模型以10柜成套项目成交总投资线性折算为单柜，得到21.05万元/柜。后续按相同柜型和单位价格进行规模外推；苏州单柜最高限价用于价格对照。</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sSub>
                        <m:e>
                          <m:r>
                            <m:t>c</m:t>
                          </m:r>
                        </m:e>
                        <m:sub>
                          <m:r>
                            <m:t>B</m:t>
                          </m:r>
                        </m:sub>
                      </m:sSub>
                    </m:e>
                    <m:e>
                      <m:r>
                        <m:t>=</m:t>
                      </m:r>
                      <m:f>
                        <m:fPr>
                          <m:type m:val="bar"/>
                        </m:fPr>
                        <m:num>
                          <m:r>
                            <m:t>2104562.62</m:t>
                          </m:r>
                        </m:num>
                        <m:den>
                          <m:r>
                            <m:t>10000</m:t>
                          </m:r>
                          <m:r>
                            <m:t>×</m:t>
                          </m:r>
                          <m:r>
                            <m:t>10</m:t>
                          </m:r>
                        </m:den>
                      </m:f>
                      <m:r>
                        <m:t>≈</m:t>
                      </m:r>
                      <m:r>
                        <m:t>21.05</m:t>
                      </m:r>
                      <m:r>
                        <m:t> </m:t>
                      </m:r>
                      <m:r>
                        <m:rPr>
                          <m:nor/>
                          <m:sty m:val="p"/>
                        </m:rPr>
                        <m:t>万元/柜</m:t>
                      </m:r>
                    </m:e>
                  </m:mr>
                  <m:mr>
                    <m:e>
                      <m:sSub>
                        <m:e>
                          <m:r>
                            <m:t>I</m:t>
                          </m:r>
                        </m:e>
                        <m:sub>
                          <m:r>
                            <m:t>B</m:t>
                          </m:r>
                          <m:r>
                            <m:t>,</m:t>
                          </m:r>
                          <m:r>
                            <m:t>i</m:t>
                          </m:r>
                          <m:r>
                            <m:t>y</m:t>
                          </m:r>
                        </m:sub>
                      </m:sSub>
                    </m:e>
                    <m:e>
                      <m:r>
                        <m:t>=</m:t>
                      </m:r>
                      <m:sSub>
                        <m:e>
                          <m:r>
                            <m:t>c</m:t>
                          </m:r>
                        </m:e>
                        <m:sub>
                          <m:r>
                            <m:t>B</m:t>
                          </m:r>
                        </m:sub>
                      </m:sSub>
                      <m:r>
                        <m:t>Δ</m:t>
                      </m:r>
                      <m:sSub>
                        <m:e>
                          <m:r>
                            <m:t>n</m:t>
                          </m:r>
                        </m:e>
                        <m:sub>
                          <m:r>
                            <m:t>i</m:t>
                          </m:r>
                          <m:r>
                            <m:t>y</m:t>
                          </m:r>
                        </m:sub>
                      </m:sSub>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（4-5）</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c</m:t>
            </m:r>
          </m:e>
          <m:sub>
            <m:r>
              <m:t>B</m:t>
            </m:r>
          </m:sub>
        </m:sSub>
      </m:oMath>
      <w:r>
        <w:rPr>
          <w:rFonts w:ascii="Times New Roman" w:hAnsi="Times New Roman" w:eastAsia="方正仿宋_GBK"/>
          <w:b w:val="0"/>
          <w:sz w:val="24"/>
        </w:rPr>
        <w:t xml:space="preserve">为单柜参考投资，</w:t>
      </w:r>
      <m:oMath>
        <m:sSub>
          <m:e>
            <m:r>
              <m:t>I</m:t>
            </m:r>
          </m:e>
          <m:sub>
            <m:r>
              <m:t>B</m:t>
            </m:r>
            <m:r>
              <m:t>,</m:t>
            </m:r>
            <m:r>
              <m:t>i</m:t>
            </m:r>
            <m:r>
              <m:t>y</m:t>
            </m:r>
          </m:sub>
        </m:sSub>
      </m:oMath>
      <w:r>
        <w:rPr>
          <w:rFonts w:ascii="Times New Roman" w:hAnsi="Times New Roman" w:eastAsia="方正仿宋_GBK"/>
          <w:b w:val="0"/>
          <w:sz w:val="24"/>
        </w:rPr>
        <w:t xml:space="preserve">为站</w:t>
      </w:r>
      <m:oMath>
        <m:r>
          <m:t>i</m:t>
        </m:r>
      </m:oMath>
      <w:r>
        <w:rPr>
          <w:rFonts w:ascii="Times New Roman" w:hAnsi="Times New Roman" w:eastAsia="方正仿宋_GBK"/>
          <w:b w:val="0"/>
          <w:sz w:val="24"/>
        </w:rPr>
        <w:t xml:space="preserve">第</w:t>
      </w:r>
      <m:oMath>
        <m:r>
          <m:t>y</m:t>
        </m:r>
      </m:oMath>
      <w:r>
        <w:rPr>
          <w:rFonts w:ascii="Times New Roman" w:hAnsi="Times New Roman" w:eastAsia="方正仿宋_GBK"/>
          <w:b w:val="0"/>
          <w:sz w:val="24"/>
        </w:rPr>
        <w:t xml:space="preserve">年新增储能投资，单位万元；新增柜数</w:t>
      </w:r>
      <m:oMath>
        <m:r>
          <m:t>Δ</m:t>
        </m:r>
        <m: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t>0.10</m:t>
        </m:r>
        <m:r>
          <m:t>Δ</m:t>
        </m:r>
        <m: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t>215</m:t>
            </m:r>
            <m:r>
              <m:t>Δ</m:t>
            </m:r>
            <m:r>
              <m:t>n</m:t>
            </m:r>
          </m:num>
          <m:den>
            <m: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60" w:lineRule="auto" w:before="160" w:after="120"/>
        <w:ind w:firstLine="0"/>
      </w:pPr>
      <w:bookmarkStart w:id="145" w:name="峰段持续功率"/>
      <w:r>
        <w:rPr>
          <w:rFonts w:ascii="Times New Roman" w:hAnsi="Times New Roman" w:eastAsia="方正仿宋_GBK"/>
          <w:b/>
          <w:sz w:val="26"/>
        </w:rPr>
        <w:t xml:space="preserve">4.4.3 峰段持续功率</w:t>
      </w:r>
      <w:bookmarkEnd w:id="145"/>
    </w:p>
    <w:p>
      <w:pPr>
        <w:pStyle w:val="FirstParagraph"/>
        <w:widowControl/>
        <w:spacing w:line="300" w:lineRule="auto" w:before="0" w:after="0"/>
        <w:ind w:firstLine="480"/>
        <w:jc w:val="both"/>
      </w:pPr>
      <w:r>
        <w:rPr>
          <w:rFonts w:ascii="Times New Roman" w:hAnsi="Times New Roman" w:eastAsia="方正仿宋_GBK"/>
          <w:b w:val="0"/>
          <w:sz w:val="24"/>
        </w:rPr>
        <w:t xml:space="preserve">对持续</w:t>
      </w:r>
      <m:oMath>
        <m:r>
          <m:t>d</m:t>
        </m:r>
      </m:oMath>
      <w:r>
        <w:rPr>
          <w:rFonts w:ascii="Times New Roman" w:hAnsi="Times New Roman" w:eastAsia="方正仿宋_GBK"/>
          <w:b w:val="0"/>
          <w:sz w:val="24"/>
        </w:rPr>
        <w:t xml:space="preserve">小时的峰段，</w:t>
      </w:r>
      <m:oMath>
        <m:r>
          <m:t>n</m:t>
        </m:r>
      </m:oMath>
      <w:r>
        <w:rPr>
          <w:rFonts w:ascii="Times New Roman" w:hAnsi="Times New Roman" w:eastAsia="方正仿宋_GBK"/>
          <w:b w:val="0"/>
          <w:sz w:val="24"/>
        </w:rPr>
        <w:t xml:space="preserve">柜储能的理想有效功率取铭牌功率与能量持续功率较小者。为保持模型能量系数统一，表达为式（4-6）。有效支撑功率按额定功率及峰段持续放电能量共同核定。</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r>
                  <m:t>B</m:t>
                </m:r>
                <m:r>
                  <m:t>(</m:t>
                </m:r>
                <m:r>
                  <m:t>n</m:t>
                </m:r>
                <m:r>
                  <m:t>,</m:t>
                </m:r>
                <m:r>
                  <m:t>d</m:t>
                </m:r>
                <m:r>
                  <m:t>)</m:t>
                </m:r>
                <m:r>
                  <m:t>=</m:t>
                </m:r>
                <m:f>
                  <m:fPr>
                    <m:type m:val="bar"/>
                  </m:fPr>
                  <m:num>
                    <m:r>
                      <m:t>215</m:t>
                    </m:r>
                    <m:r>
                      <m:t>n</m:t>
                    </m:r>
                  </m:num>
                  <m:den>
                    <m:r>
                      <m:t>1000</m:t>
                    </m:r>
                    <m:r>
                      <m:rPr>
                        <m:nor/>
                        <m:sty m:val="p"/>
                      </m:rPr>
                      <m:t>max</m:t>
                    </m:r>
                    <m:r>
                      <m:t>(</m:t>
                    </m:r>
                    <m:r>
                      <m:t>2.15</m:t>
                    </m:r>
                    <m:r>
                      <m:t>,</m:t>
                    </m:r>
                    <m:r>
                      <m:t>d</m:t>
                    </m:r>
                    <m:r>
                      <m:t>)</m:t>
                    </m:r>
                  </m:den>
                </m:f>
                <m:r>
                  <m:t>,</m:t>
                </m:r>
                <m:r>
                  <m:t>  </m:t>
                </m:r>
                <m:r>
                  <m:t>d</m:t>
                </m:r>
                <m:r>
                  <m:t>≥</m:t>
                </m:r>
                <m:r>
                  <m:t>0</m:t>
                </m:r>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（4-6）</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B</m:t>
        </m:r>
        <m:r>
          <m:t>(</m:t>
        </m:r>
        <m:r>
          <m:t>n</m:t>
        </m:r>
        <m:r>
          <m:t>,</m:t>
        </m:r>
        <m:r>
          <m:t>d</m:t>
        </m:r>
        <m:r>
          <m:t>)</m:t>
        </m:r>
      </m:oMath>
      <w:r>
        <w:rPr>
          <w:rFonts w:ascii="Times New Roman" w:hAnsi="Times New Roman" w:eastAsia="方正仿宋_GBK"/>
          <w:b w:val="0"/>
          <w:sz w:val="24"/>
        </w:rPr>
        <w:t xml:space="preserve">为</w:t>
      </w:r>
      <m:oMath>
        <m:r>
          <m:t>n</m:t>
        </m:r>
      </m:oMath>
      <w:r>
        <w:rPr>
          <w:rFonts w:ascii="Times New Roman" w:hAnsi="Times New Roman" w:eastAsia="方正仿宋_GBK"/>
          <w:b w:val="0"/>
          <w:sz w:val="24"/>
        </w:rPr>
        <w:t xml:space="preserve">柜储能在持续</w:t>
      </w:r>
      <m:oMath>
        <m:r>
          <m:t>d</m:t>
        </m:r>
      </m:oMath>
      <w:r>
        <w:rPr>
          <w:rFonts w:ascii="Times New Roman" w:hAnsi="Times New Roman" w:eastAsia="方正仿宋_GBK"/>
          <w:b w:val="0"/>
          <w:sz w:val="24"/>
        </w:rPr>
        <w:t xml:space="preserve">小时峰段中的有效支撑功率，单位MW；</w:t>
      </w:r>
      <m:oMath>
        <m:r>
          <m:t>n</m:t>
        </m:r>
      </m:oMath>
      <w:r>
        <w:rPr>
          <w:rFonts w:ascii="Times New Roman" w:hAnsi="Times New Roman" w:eastAsia="方正仿宋_GBK"/>
          <w:b w:val="0"/>
          <w:sz w:val="24"/>
        </w:rPr>
        <w:t xml:space="preserve">为非负整数柜数，</w:t>
      </w:r>
      <m:oMath>
        <m:r>
          <m:t>d</m:t>
        </m:r>
      </m:oMath>
      <w:r>
        <w:rPr>
          <w:rFonts w:ascii="Times New Roman" w:hAnsi="Times New Roman" w:eastAsia="方正仿宋_GBK"/>
          <w:b w:val="0"/>
          <w:sz w:val="24"/>
        </w:rPr>
        <w:t xml:space="preserve">为峰段持续时间，单位h；215为单柜能量，单位kWh，2.15 h为额定能量与功率之比。</w:t>
      </w:r>
    </w:p>
    <w:p>
      <w:pPr>
        <w:pStyle w:val="2"/>
        <w:widowControl/>
        <w:spacing w:line="300" w:lineRule="auto" w:before="0" w:after="0"/>
        <w:ind w:firstLine="480"/>
        <w:jc w:val="both"/>
      </w:pPr>
      <w:r>
        <w:rPr>
          <w:rFonts w:ascii="Times New Roman" w:hAnsi="Times New Roman" w:eastAsia="方正仿宋_GBK"/>
          <w:b w:val="0"/>
          <w:sz w:val="24"/>
        </w:rPr>
        <w:t xml:space="preserve">10柜包在1 h和2 h场景可以提供1 MW，3 h时为0.72 MW，4 h时为0.54 MW。单位有效MW费用按对应持续时间分别计算。</w:t>
      </w:r>
    </w:p>
    <w:p>
      <w:pPr>
        <w:pStyle w:val="2"/>
        <w:keepNext/>
        <w:spacing w:line="300" w:lineRule="auto" w:before="120" w:after="80"/>
        <w:ind w:firstLine="0"/>
        <w:jc w:val="center"/>
      </w:pPr>
      <w:r>
        <w:rPr>
          <w:rFonts w:ascii="Times New Roman" w:hAnsi="Times New Roman" w:eastAsia="宋体"/>
          <w:b w:val="0"/>
          <w:sz w:val="21"/>
        </w:rPr>
        <w:t xml:space="preserve">表4-5 10柜包理想持续支撑与初始费用（式4-6）</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持续时间/h</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有效功率/MW</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单位有效MW费用/万元</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主变／储能成本比</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210.46</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210.46</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2.15</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210.46</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0.72</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293.66</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0.06</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0.54</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391.55</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0.36</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587.32</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0.03</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0.27</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783.09</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0.02</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0.18</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1174.64</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0.01</w:t>
            </w:r>
          </w:p>
        </w:tc>
      </w:tr>
    </w:tbl>
    <w:p>
      <w:pPr>
        <w:pStyle w:val="2"/>
        <w:keepNext/>
        <w:spacing w:line="240" w:lineRule="auto" w:before="120" w:after="0"/>
        <w:ind w:firstLine="0"/>
        <w:jc w:val="center"/>
      </w:pPr>
      <w:r>
        <w:drawing>
          <wp:inline>
            <wp:extent cx="5120640" cy="2711715"/>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2深化修订/storage_effective_cost.png" id="0" name="Picture"/>
                    <pic:cNvPicPr>
                      <a:picLocks noChangeArrowheads="1" noChangeAspect="1"/>
                    </pic:cNvPicPr>
                  </pic:nvPicPr>
                  <pic:blipFill>
                    <a:blip r:embed="rId146"/>
                    <a:stretch>
                      <a:fillRect/>
                    </a:stretch>
                  </pic:blipFill>
                  <pic:spPr bwMode="auto">
                    <a:xfrm>
                      <a:off x="0" y="0"/>
                      <a:ext cx="5120640" cy="2711715"/>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图4-1 储能单位有效支撑功率费用与持续时间</w:t>
      </w:r>
    </w:p>
    <w:p>
      <w:pPr>
        <w:pStyle w:val="5"/>
        <w:keepNext/>
        <w:numPr>
          <w:numId w:val="0"/>
        </w:numPr>
        <w:spacing w:line="360" w:lineRule="auto" w:before="160" w:after="120"/>
        <w:ind w:firstLine="0"/>
      </w:pPr>
      <w:bookmarkStart w:id="147" w:name="可用能力与工程适用性"/>
      <w:r>
        <w:rPr>
          <w:rFonts w:ascii="Times New Roman" w:hAnsi="Times New Roman" w:eastAsia="方正仿宋_GBK"/>
          <w:b/>
          <w:sz w:val="26"/>
        </w:rPr>
        <w:t xml:space="preserve">4.4.4 可用能力与工程适用性</w:t>
      </w:r>
      <w:bookmarkEnd w:id="147"/>
    </w:p>
    <w:p>
      <w:pPr>
        <w:pStyle w:val="FirstParagraph"/>
        <w:widowControl/>
        <w:spacing w:line="300" w:lineRule="auto" w:before="0" w:after="0"/>
        <w:ind w:firstLine="480"/>
        <w:jc w:val="both"/>
      </w:pPr>
      <w:r>
        <w:rPr>
          <w:rFonts w:ascii="Times New Roman" w:hAnsi="Times New Roman" w:eastAsia="方正仿宋_GBK"/>
          <w:b w:val="0"/>
          <w:sz w:val="24"/>
        </w:rPr>
        <w:t xml:space="preserve">本研究按铭牌功率与能量进行峰段静态折算。工程设计采用保证可用功率、能量和充放电效率，并通过连续时序校核荷电状态及充电条件，核定实际可持续支撑能力。</w:t>
      </w:r>
    </w:p>
    <w:p>
      <w:bookmarkStart w:id="1398" w:name="h398"/>
      <w:pPr>
        <w:pStyle w:val="4"/>
        <w:keepNext/>
        <w:numPr>
          <w:numId w:val="0"/>
        </w:numPr>
        <w:spacing w:line="360" w:lineRule="auto" w:before="160" w:after="120"/>
        <w:ind w:firstLine="0"/>
      </w:pPr>
      <w:bookmarkStart w:id="148" w:name="两个成本比例及敏感性方法"/>
      <w:r>
        <w:rPr>
          <w:rFonts w:ascii="Times New Roman" w:hAnsi="Times New Roman" w:eastAsia="方正仿宋_GBK"/>
          <w:b/>
          <w:sz w:val="32"/>
        </w:rPr>
        <w:t xml:space="preserve">4.5 两个成本比例及敏感性方法</w:t>
      </w:r>
      <w:bookmarkEnd w:id="148"/>
      <w:bookmarkEnd w:id="1398"/>
    </w:p>
    <w:p>
      <w:pPr>
        <w:pStyle w:val="5"/>
        <w:keepNext/>
        <w:numPr>
          <w:numId w:val="0"/>
        </w:numPr>
        <w:spacing w:line="360" w:lineRule="auto" w:before="160" w:after="120"/>
        <w:ind w:firstLine="0"/>
      </w:pPr>
      <w:bookmarkStart w:id="149" w:name="主变与线路成本比例"/>
      <w:r>
        <w:rPr>
          <w:rFonts w:ascii="Times New Roman" w:hAnsi="Times New Roman" w:eastAsia="方正仿宋_GBK"/>
          <w:b/>
          <w:sz w:val="26"/>
        </w:rPr>
        <w:t xml:space="preserve">4.5.1 主变与线路成本比例</w:t>
      </w:r>
      <w:bookmarkEnd w:id="149"/>
    </w:p>
    <w:p>
      <w:pPr>
        <w:pStyle w:val="FirstParagraph"/>
        <w:widowControl/>
        <w:spacing w:line="300" w:lineRule="auto" w:before="0" w:after="0"/>
        <w:ind w:firstLine="480"/>
        <w:jc w:val="both"/>
      </w:pPr>
      <w:r>
        <w:rPr>
          <w:rFonts w:ascii="Times New Roman" w:hAnsi="Times New Roman" w:eastAsia="方正仿宋_GBK"/>
          <w:b w:val="0"/>
          <w:sz w:val="24"/>
        </w:rPr>
        <w:t xml:space="preserve">采用相同单位的初始投资尺度，主变采购有效MW费用与线路可转任务MW费用之比记为</w:t>
      </w:r>
      <m:oMath>
        <m:sSub>
          <m:e>
            <m:r>
              <m:t>k</m:t>
            </m:r>
          </m:e>
          <m:sub>
            <m:r>
              <m:t>T</m:t>
            </m:r>
            <m:r>
              <m:t>L</m:t>
            </m:r>
          </m:sub>
        </m:sSub>
      </m:oMath>
      <w:r>
        <w:rPr>
          <w:rFonts w:ascii="Times New Roman" w:hAnsi="Times New Roman" w:eastAsia="方正仿宋_GBK"/>
          <w:b w:val="0"/>
          <w:sz w:val="24"/>
        </w:rPr>
        <w:t xml:space="preserve">。式（4-7）对应本研究参考规模，主变系数来自实际替换工程，线路价格及有效任务取前述情景[7][86]。</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
                  <m:e>
                    <m:r>
                      <m:t>k</m:t>
                    </m:r>
                  </m:e>
                  <m:sub>
                    <m:r>
                      <m:t>T</m:t>
                    </m:r>
                    <m:r>
                      <m:t>L</m:t>
                    </m:r>
                  </m:sub>
                </m:sSub>
                <m:r>
                  <m:t>=</m:t>
                </m:r>
                <m:f>
                  <m:fPr>
                    <m:type m:val="bar"/>
                  </m:fPr>
                  <m:num>
                    <m:sSub>
                      <m:e>
                        <m:r>
                          <m:t>c</m:t>
                        </m:r>
                      </m:e>
                      <m:sub>
                        <m:r>
                          <m:t>T</m:t>
                        </m:r>
                      </m:sub>
                    </m:sSub>
                    <m:r>
                      <m:t>/</m:t>
                    </m:r>
                    <m:r>
                      <m:t>0.95</m:t>
                    </m:r>
                  </m:num>
                  <m:den>
                    <m:sSub>
                      <m:e>
                        <m:r>
                          <m:t>I</m:t>
                        </m:r>
                      </m:e>
                      <m:sub>
                        <m:r>
                          <m:t>L</m:t>
                        </m:r>
                      </m:sub>
                    </m:sSub>
                    <m:r>
                      <m:t>/</m:t>
                    </m:r>
                    <m:sSub>
                      <m:e>
                        <m:r>
                          <m:t>F</m:t>
                        </m:r>
                      </m:e>
                      <m:sub>
                        <m:r>
                          <m:t>L</m:t>
                        </m:r>
                      </m:sub>
                    </m:sSub>
                  </m:den>
                </m:f>
                <m:r>
                  <m:t>=</m:t>
                </m:r>
                <m:f>
                  <m:fPr>
                    <m:type m:val="bar"/>
                  </m:fPr>
                  <m:num>
                    <m:r>
                      <m:t>16.57</m:t>
                    </m:r>
                    <m:r>
                      <m:t>/</m:t>
                    </m:r>
                    <m:r>
                      <m:t>0.95</m:t>
                    </m:r>
                  </m:num>
                  <m:den>
                    <m:r>
                      <m:t>106.80</m:t>
                    </m:r>
                    <m:r>
                      <m:t>/</m:t>
                    </m:r>
                    <m:r>
                      <m:t>7.49</m:t>
                    </m:r>
                  </m:den>
                </m:f>
                <m:r>
                  <m:t>≈</m:t>
                </m:r>
                <m:r>
                  <m:t>1.22</m:t>
                </m:r>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（4-7）</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k</m:t>
            </m:r>
          </m:e>
          <m:sub>
            <m:r>
              <m:t>T</m:t>
            </m:r>
            <m:r>
              <m:t>L</m:t>
            </m:r>
          </m:sub>
        </m:sSub>
      </m:oMath>
      <w:r>
        <w:rPr>
          <w:rFonts w:ascii="Times New Roman" w:hAnsi="Times New Roman" w:eastAsia="方正仿宋_GBK"/>
          <w:b w:val="0"/>
          <w:sz w:val="24"/>
        </w:rPr>
        <w:t xml:space="preserve">为主变与线路成本比，无量纲；</w:t>
      </w:r>
      <m:oMath>
        <m:sSub>
          <m:e>
            <m:r>
              <m:t>F</m:t>
            </m:r>
          </m:e>
          <m:sub>
            <m:r>
              <m:t>L</m:t>
            </m:r>
          </m:sub>
        </m:sSub>
      </m:oMath>
      <w:r>
        <w:rPr>
          <w:rFonts w:ascii="Times New Roman" w:hAnsi="Times New Roman" w:eastAsia="方正仿宋_GBK"/>
          <w:b w:val="0"/>
          <w:sz w:val="24"/>
        </w:rPr>
        <w:t xml:space="preserve">为单项目可转负荷，取7.49 MW；</w:t>
      </w:r>
      <m:oMath>
        <m:sSub>
          <m:e>
            <m:r>
              <m:t>I</m:t>
            </m:r>
          </m:e>
          <m:sub>
            <m:r>
              <m:t>L</m:t>
            </m:r>
          </m:sub>
        </m:sSub>
      </m:oMath>
      <w:r>
        <w:rPr>
          <w:rFonts w:ascii="Times New Roman" w:hAnsi="Times New Roman" w:eastAsia="方正仿宋_GBK"/>
          <w:b w:val="0"/>
          <w:sz w:val="24"/>
        </w:rPr>
        <w:t xml:space="preserve">为单项目投资，单位万元；</w:t>
      </w:r>
      <m:oMath>
        <m:sSub>
          <m:e>
            <m:r>
              <m:t>c</m:t>
            </m:r>
          </m:e>
          <m:sub>
            <m:r>
              <m:t>T</m:t>
            </m:r>
          </m:sub>
        </m:sSub>
      </m:oMath>
      <w:r>
        <w:rPr>
          <w:rFonts w:ascii="Times New Roman" w:hAnsi="Times New Roman" w:eastAsia="方正仿宋_GBK"/>
          <w:b w:val="0"/>
          <w:sz w:val="24"/>
        </w:rPr>
        <w:t xml:space="preserve">为主变采购容量投资系数，0.95为功率因数。</w:t>
      </w:r>
    </w:p>
    <w:p>
      <w:pPr>
        <w:pStyle w:val="2"/>
        <w:widowControl/>
        <w:spacing w:line="300" w:lineRule="auto" w:before="0" w:after="0"/>
        <w:ind w:firstLine="480"/>
        <w:jc w:val="both"/>
      </w:pPr>
      <w:r>
        <w:rPr>
          <w:rFonts w:ascii="Times New Roman" w:hAnsi="Times New Roman" w:eastAsia="方正仿宋_GBK"/>
          <w:b w:val="0"/>
          <w:sz w:val="24"/>
        </w:rPr>
        <w:t xml:space="preserve">主变分母表达采购容量，线路分母表达可转负荷，二者的服务机制不同。该比例作为相对价格参数，不可直接写成主变与联络的等效效率，也不用于代数推导容载比上限。实际站级约束决定这些措施能否替代。</w:t>
      </w:r>
    </w:p>
    <w:p>
      <w:pPr>
        <w:pStyle w:val="2"/>
        <w:widowControl/>
        <w:spacing w:line="300" w:lineRule="auto" w:before="0" w:after="0"/>
        <w:ind w:firstLine="480"/>
        <w:jc w:val="both"/>
      </w:pPr>
      <w:r>
        <w:rPr>
          <w:rFonts w:ascii="Times New Roman" w:hAnsi="Times New Roman" w:eastAsia="方正仿宋_GBK"/>
          <w:b w:val="0"/>
          <w:sz w:val="24"/>
        </w:rPr>
        <w:t xml:space="preserve">线路价格乘以0.75或1.25时，主变价格保持，比例相对于基准分别变为1/0.75与1/1.25。联络容量、负荷和候选集合不因改变价格而变化。这样可以将价格影响与技术能力影响分开观察。</w:t>
      </w:r>
    </w:p>
    <w:p>
      <w:pPr>
        <w:pStyle w:val="5"/>
        <w:keepNext/>
        <w:numPr>
          <w:numId w:val="0"/>
        </w:numPr>
        <w:spacing w:line="360" w:lineRule="auto" w:before="160" w:after="120"/>
        <w:ind w:firstLine="0"/>
      </w:pPr>
      <w:bookmarkStart w:id="150" w:name="主变与储能成本比例"/>
      <w:r>
        <w:rPr>
          <w:rFonts w:ascii="Times New Roman" w:hAnsi="Times New Roman" w:eastAsia="方正仿宋_GBK"/>
          <w:b/>
          <w:sz w:val="26"/>
        </w:rPr>
        <w:t xml:space="preserve">4.5.2 主变与储能成本比例</w:t>
      </w:r>
      <w:bookmarkEnd w:id="150"/>
    </w:p>
    <w:p>
      <w:pPr>
        <w:pStyle w:val="FirstParagraph"/>
        <w:widowControl/>
        <w:spacing w:line="300" w:lineRule="auto" w:before="0" w:after="0"/>
        <w:ind w:firstLine="480"/>
        <w:jc w:val="both"/>
      </w:pPr>
      <w:r>
        <w:rPr>
          <w:rFonts w:ascii="Times New Roman" w:hAnsi="Times New Roman" w:eastAsia="方正仿宋_GBK"/>
          <w:b w:val="0"/>
          <w:sz w:val="24"/>
        </w:rPr>
        <w:t xml:space="preserve">主变采购有效MW费用与</w:t>
      </w:r>
      <m:oMath>
        <m:r>
          <m:t>d</m:t>
        </m:r>
      </m:oMath>
      <w:r>
        <w:rPr>
          <w:rFonts w:ascii="Times New Roman" w:hAnsi="Times New Roman" w:eastAsia="方正仿宋_GBK"/>
          <w:b w:val="0"/>
          <w:sz w:val="24"/>
        </w:rPr>
        <w:t xml:space="preserve">小时储能有效MW费用之比记为</w:t>
      </w:r>
      <m:oMath>
        <m:sSub>
          <m:e>
            <m:r>
              <m:t>k</m:t>
            </m:r>
          </m:e>
          <m:sub>
            <m:r>
              <m:t>T</m:t>
            </m:r>
            <m:r>
              <m:t>B</m:t>
            </m:r>
          </m:sub>
        </m:sSub>
        <m:r>
          <m:t>(</m:t>
        </m:r>
        <m:r>
          <m:t>d</m:t>
        </m:r>
        <m:r>
          <m:t>)</m:t>
        </m:r>
      </m:oMath>
      <w:r>
        <w:rPr>
          <w:rFonts w:ascii="Times New Roman" w:hAnsi="Times New Roman" w:eastAsia="方正仿宋_GBK"/>
          <w:b w:val="0"/>
          <w:sz w:val="24"/>
        </w:rPr>
        <w:t xml:space="preserve">。式（4-8）以10柜包为尺度，使持续时间明确进入比例。</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
                  <m:e>
                    <m:r>
                      <m:t>k</m:t>
                    </m:r>
                  </m:e>
                  <m:sub>
                    <m:r>
                      <m:t>T</m:t>
                    </m:r>
                    <m:r>
                      <m:t>B</m:t>
                    </m:r>
                  </m:sub>
                </m:sSub>
                <m:r>
                  <m:t>(</m:t>
                </m:r>
                <m:r>
                  <m:t>d</m:t>
                </m:r>
                <m:r>
                  <m:t>)</m:t>
                </m:r>
                <m:r>
                  <m:t>=</m:t>
                </m:r>
                <m:f>
                  <m:fPr>
                    <m:type m:val="bar"/>
                  </m:fPr>
                  <m:num>
                    <m:sSub>
                      <m:e>
                        <m:r>
                          <m:t>c</m:t>
                        </m:r>
                      </m:e>
                      <m:sub>
                        <m:r>
                          <m:t>T</m:t>
                        </m:r>
                      </m:sub>
                    </m:sSub>
                    <m:r>
                      <m:t>/</m:t>
                    </m:r>
                    <m:r>
                      <m:t>0.95</m:t>
                    </m:r>
                  </m:num>
                  <m:den>
                    <m:r>
                      <m:t>210.46</m:t>
                    </m:r>
                    <m:r>
                      <m:t>/</m:t>
                    </m:r>
                    <m:r>
                      <m:t>B</m:t>
                    </m:r>
                    <m:r>
                      <m:t>(</m:t>
                    </m:r>
                    <m:r>
                      <m:t>10</m:t>
                    </m:r>
                    <m:r>
                      <m:t>,</m:t>
                    </m:r>
                    <m:r>
                      <m:t>d</m:t>
                    </m:r>
                    <m:r>
                      <m:t>)</m:t>
                    </m:r>
                  </m:den>
                </m:f>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（4-8）</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k</m:t>
            </m:r>
          </m:e>
          <m:sub>
            <m:r>
              <m:t>T</m:t>
            </m:r>
            <m:r>
              <m:t>B</m:t>
            </m:r>
          </m:sub>
        </m:sSub>
        <m:r>
          <m:t>(</m:t>
        </m:r>
        <m:r>
          <m:t>d</m:t>
        </m:r>
        <m:r>
          <m:t>)</m:t>
        </m:r>
      </m:oMath>
      <w:r>
        <w:rPr>
          <w:rFonts w:ascii="Times New Roman" w:hAnsi="Times New Roman" w:eastAsia="方正仿宋_GBK"/>
          <w:b w:val="0"/>
          <w:sz w:val="24"/>
        </w:rPr>
        <w:t xml:space="preserve">为持续</w:t>
      </w:r>
      <m:oMath>
        <m:r>
          <m:t>d</m:t>
        </m:r>
      </m:oMath>
      <w:r>
        <w:rPr>
          <w:rFonts w:ascii="Times New Roman" w:hAnsi="Times New Roman" w:eastAsia="方正仿宋_GBK"/>
          <w:b w:val="0"/>
          <w:sz w:val="24"/>
        </w:rPr>
        <w:t xml:space="preserve">小时的主变与储能成本比，无量纲；</w:t>
      </w:r>
      <m:oMath>
        <m:r>
          <m:t>B</m:t>
        </m:r>
        <m:r>
          <m:t>(</m:t>
        </m:r>
        <m:r>
          <m:t>10</m:t>
        </m:r>
        <m:r>
          <m:t>,</m:t>
        </m:r>
        <m:r>
          <m:t>d</m:t>
        </m:r>
        <m:r>
          <m:t>)</m:t>
        </m:r>
      </m:oMath>
      <w:r>
        <w:rPr>
          <w:rFonts w:ascii="Times New Roman" w:hAnsi="Times New Roman" w:eastAsia="方正仿宋_GBK"/>
          <w:b w:val="0"/>
          <w:sz w:val="24"/>
        </w:rPr>
        <w:t xml:space="preserve">为10柜包有效支撑功率，单位MW；210.46为该包参考投资，单位万元。</w:t>
      </w:r>
    </w:p>
    <w:p>
      <w:pPr>
        <w:pStyle w:val="2"/>
        <w:widowControl/>
        <w:spacing w:line="300" w:lineRule="auto" w:before="0" w:after="0"/>
        <w:ind w:firstLine="480"/>
        <w:jc w:val="both"/>
      </w:pPr>
      <w:r>
        <w:rPr>
          <w:rFonts w:ascii="Times New Roman" w:hAnsi="Times New Roman" w:eastAsia="方正仿宋_GBK"/>
          <w:b w:val="0"/>
          <w:sz w:val="24"/>
        </w:rPr>
        <w:t xml:space="preserve">3</w:t>
      </w:r>
      <w:r>
        <w:rPr>
          <w:rFonts w:ascii="Times New Roman" w:hAnsi="Times New Roman" w:eastAsia="方正仿宋_GBK"/>
          <w:b w:val="0"/>
          <w:sz w:val="24"/>
        </w:rPr>
        <w:t xml:space="preserve"> </w:t>
      </w:r>
      <m:oMath>
        <m:r>
          <m:t>h</m:t>
        </m:r>
      </m:oMath>
      <w:r>
        <w:rPr>
          <w:rFonts w:ascii="Times New Roman" w:hAnsi="Times New Roman" w:eastAsia="方正仿宋_GBK"/>
          <w:b w:val="0"/>
          <w:sz w:val="24"/>
        </w:rPr>
        <w:t xml:space="preserve">时，主变与储能成本比</w:t>
      </w:r>
      <m:oMath>
        <m:sSub>
          <m:e>
            <m:r>
              <m:t>k</m:t>
            </m:r>
          </m:e>
          <m:sub>
            <m:r>
              <m:t>T</m:t>
            </m:r>
            <m:r>
              <m:t>B</m:t>
            </m:r>
          </m:sub>
        </m:sSub>
      </m:oMath>
      <w:r>
        <w:rPr>
          <w:rFonts w:ascii="Times New Roman" w:hAnsi="Times New Roman" w:eastAsia="方正仿宋_GBK"/>
          <w:b w:val="0"/>
          <w:sz w:val="24"/>
        </w:rPr>
        <w:t xml:space="preserve">约0.06；2 h及以内约0.08，4</w:t>
      </w:r>
      <w:r>
        <w:rPr>
          <w:rFonts w:ascii="Times New Roman" w:hAnsi="Times New Roman" w:eastAsia="方正仿宋_GBK"/>
          <w:b w:val="0"/>
          <w:sz w:val="24"/>
        </w:rPr>
        <w:t xml:space="preserve"> </w:t>
      </w:r>
      <m:oMath>
        <m:r>
          <m:t>h</m:t>
        </m:r>
      </m:oMath>
      <w:r>
        <w:rPr>
          <w:rFonts w:ascii="Times New Roman" w:hAnsi="Times New Roman" w:eastAsia="方正仿宋_GBK"/>
          <w:b w:val="0"/>
          <w:sz w:val="24"/>
        </w:rPr>
        <w:t xml:space="preserve">时约0.04。报告用3 h参考比例展示价格条件，实际寻优仍对每站正反向持续时间分别计算支撑系数。各站能量约束按本方向持续时间计算。</w:t>
      </w:r>
    </w:p>
    <w:p>
      <w:pPr>
        <w:pStyle w:val="2"/>
        <w:widowControl/>
        <w:spacing w:line="300" w:lineRule="auto" w:before="0" w:after="0"/>
        <w:ind w:firstLine="480"/>
        <w:jc w:val="both"/>
      </w:pPr>
      <w:r>
        <w:rPr>
          <w:rFonts w:ascii="Times New Roman" w:hAnsi="Times New Roman" w:eastAsia="方正仿宋_GBK"/>
          <w:b w:val="0"/>
          <w:sz w:val="24"/>
        </w:rPr>
        <w:t xml:space="preserve">储能价格降低25%或50%时，主变与储能成本比</w:t>
      </w:r>
      <m:oMath>
        <m:sSub>
          <m:e>
            <m:r>
              <m:t>k</m:t>
            </m:r>
          </m:e>
          <m:sub>
            <m:r>
              <m:t>T</m:t>
            </m:r>
            <m:r>
              <m:t>B</m:t>
            </m:r>
          </m:sub>
        </m:sSub>
      </m:oMath>
      <w:r>
        <w:rPr>
          <w:rFonts w:ascii="Times New Roman" w:hAnsi="Times New Roman" w:eastAsia="方正仿宋_GBK"/>
          <w:b w:val="0"/>
          <w:sz w:val="24"/>
        </w:rPr>
        <w:t xml:space="preserve">相对于同持续时间基准分别增加到1.33倍或2倍；提高25%时降为0.80倍。初始投资与未来更新投资共同采用相同价格倍数，避免只降低首次购置而保留原更新成本，造成情景定义不一致。</w:t>
      </w:r>
    </w:p>
    <w:p>
      <w:pPr>
        <w:pStyle w:val="5"/>
        <w:keepNext/>
        <w:numPr>
          <w:numId w:val="0"/>
        </w:numPr>
        <w:spacing w:line="360" w:lineRule="auto" w:before="160" w:after="120"/>
        <w:ind w:firstLine="0"/>
      </w:pPr>
      <w:bookmarkStart w:id="151" w:name="初始投资比与全寿命比"/>
      <w:r>
        <w:rPr>
          <w:rFonts w:ascii="Times New Roman" w:hAnsi="Times New Roman" w:eastAsia="方正仿宋_GBK"/>
          <w:b/>
          <w:sz w:val="26"/>
        </w:rPr>
        <w:t xml:space="preserve">4.5.3 初始投资比与全寿命比</w:t>
      </w:r>
      <w:bookmarkEnd w:id="151"/>
    </w:p>
    <w:p>
      <w:pPr>
        <w:pStyle w:val="FirstParagraph"/>
        <w:widowControl/>
        <w:spacing w:line="300" w:lineRule="auto" w:before="0" w:after="0"/>
        <w:ind w:firstLine="480"/>
        <w:jc w:val="both"/>
      </w:pPr>
      <w:r>
        <w:rPr>
          <w:rFonts w:ascii="Times New Roman" w:hAnsi="Times New Roman" w:eastAsia="方正仿宋_GBK"/>
          <w:b w:val="0"/>
          <w:sz w:val="24"/>
        </w:rPr>
        <w:t xml:space="preserve">初始投资比适于说明工程规模和价格出处，全寿命比还受投运年份、运维及更新影响。对同一年投入的措施，可将各初始费用分别乘以相应现值因子，形成全寿命单位服务能力费用比。储能需要更新时，后者与初始比明显不同。</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sSubSup>
                        <m:e>
                          <m:r>
                            <m:t>k</m:t>
                          </m:r>
                        </m:e>
                        <m:sub>
                          <m:r>
                            <m:t>T</m:t>
                          </m:r>
                          <m:r>
                            <m:t>B</m:t>
                          </m:r>
                        </m:sub>
                        <m:sup>
                          <m:r>
                            <m:rPr>
                              <m:sty m:val="p"/>
                            </m:rPr>
                            <m:t>l</m:t>
                          </m:r>
                          <m:r>
                            <m:rPr>
                              <m:sty m:val="p"/>
                            </m:rPr>
                            <m:t>i</m:t>
                          </m:r>
                          <m:r>
                            <m:rPr>
                              <m:sty m:val="p"/>
                            </m:rPr>
                            <m:t>f</m:t>
                          </m:r>
                          <m:r>
                            <m:rPr>
                              <m:sty m:val="p"/>
                            </m:rPr>
                            <m:t>e</m:t>
                          </m:r>
                        </m:sup>
                      </m:sSubSup>
                      <m:r>
                        <m:t>(</m:t>
                      </m:r>
                      <m:r>
                        <m:t>y</m:t>
                      </m:r>
                      <m:r>
                        <m:t>,</m:t>
                      </m:r>
                      <m:r>
                        <m:t>d</m:t>
                      </m:r>
                      <m:r>
                        <m:t>)</m:t>
                      </m:r>
                    </m:e>
                    <m:e>
                      <m:r>
                        <m:t>=</m:t>
                      </m:r>
                      <m:sSub>
                        <m:e>
                          <m:r>
                            <m:t>k</m:t>
                          </m:r>
                        </m:e>
                        <m:sub>
                          <m:r>
                            <m:t>T</m:t>
                          </m:r>
                          <m:r>
                            <m:t>B</m:t>
                          </m:r>
                        </m:sub>
                      </m:sSub>
                      <m:r>
                        <m:t>(</m:t>
                      </m:r>
                      <m:r>
                        <m:t>d</m:t>
                      </m:r>
                      <m:r>
                        <m:t>)</m:t>
                      </m:r>
                      <m:f>
                        <m:fPr>
                          <m:type m:val="bar"/>
                        </m:fPr>
                        <m:num>
                          <m:sSub>
                            <m:e>
                              <m:r>
                                <m:t>A</m:t>
                              </m:r>
                            </m:e>
                            <m:sub>
                              <m:r>
                                <m:t>T</m:t>
                              </m:r>
                            </m:sub>
                          </m:sSub>
                          <m:r>
                            <m:t>(</m:t>
                          </m:r>
                          <m:r>
                            <m:t>y</m:t>
                          </m:r>
                          <m:r>
                            <m:t>)</m:t>
                          </m:r>
                        </m:num>
                        <m:den>
                          <m:sSub>
                            <m:e>
                              <m:r>
                                <m:t>A</m:t>
                              </m:r>
                            </m:e>
                            <m:sub>
                              <m:r>
                                <m:t>B</m:t>
                              </m:r>
                            </m:sub>
                          </m:sSub>
                          <m:r>
                            <m:t>(</m:t>
                          </m:r>
                          <m:r>
                            <m:t>y</m:t>
                          </m:r>
                          <m:r>
                            <m:t>)</m:t>
                          </m:r>
                        </m:den>
                      </m:f>
                    </m:e>
                  </m:mr>
                  <m:mr>
                    <m:e>
                      <m:sSubSup>
                        <m:e>
                          <m:r>
                            <m:t>k</m:t>
                          </m:r>
                        </m:e>
                        <m:sub>
                          <m:r>
                            <m:t>T</m:t>
                          </m:r>
                          <m:r>
                            <m:t>L</m:t>
                          </m:r>
                        </m:sub>
                        <m:sup>
                          <m:r>
                            <m:rPr>
                              <m:sty m:val="p"/>
                            </m:rPr>
                            <m:t>l</m:t>
                          </m:r>
                          <m:r>
                            <m:rPr>
                              <m:sty m:val="p"/>
                            </m:rPr>
                            <m:t>i</m:t>
                          </m:r>
                          <m:r>
                            <m:rPr>
                              <m:sty m:val="p"/>
                            </m:rPr>
                            <m:t>f</m:t>
                          </m:r>
                          <m:r>
                            <m:rPr>
                              <m:sty m:val="p"/>
                            </m:rPr>
                            <m:t>e</m:t>
                          </m:r>
                        </m:sup>
                      </m:sSubSup>
                      <m:r>
                        <m:t>(</m:t>
                      </m:r>
                      <m:r>
                        <m:t>y</m:t>
                      </m:r>
                      <m:r>
                        <m:t>)</m:t>
                      </m:r>
                    </m:e>
                    <m:e>
                      <m:r>
                        <m:t>=</m:t>
                      </m:r>
                      <m:sSub>
                        <m:e>
                          <m:r>
                            <m:t>k</m:t>
                          </m:r>
                        </m:e>
                        <m:sub>
                          <m:r>
                            <m:t>T</m:t>
                          </m:r>
                          <m:r>
                            <m:t>L</m:t>
                          </m:r>
                        </m:sub>
                      </m:sSub>
                      <m:f>
                        <m:fPr>
                          <m:type m:val="bar"/>
                        </m:fPr>
                        <m:num>
                          <m:sSub>
                            <m:e>
                              <m:r>
                                <m:t>A</m:t>
                              </m:r>
                            </m:e>
                            <m:sub>
                              <m:r>
                                <m:t>T</m:t>
                              </m:r>
                            </m:sub>
                          </m:sSub>
                          <m:r>
                            <m:t>(</m:t>
                          </m:r>
                          <m:r>
                            <m:t>y</m:t>
                          </m:r>
                          <m:r>
                            <m:t>)</m:t>
                          </m:r>
                        </m:num>
                        <m:den>
                          <m:sSub>
                            <m:e>
                              <m:r>
                                <m:t>A</m:t>
                              </m:r>
                            </m:e>
                            <m:sub>
                              <m:r>
                                <m:t>L</m:t>
                              </m:r>
                            </m:sub>
                          </m:sSub>
                          <m:r>
                            <m:t>(</m:t>
                          </m:r>
                          <m:r>
                            <m:t>y</m:t>
                          </m:r>
                          <m:r>
                            <m:t>)</m:t>
                          </m:r>
                        </m:den>
                      </m:f>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（4-9）</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Sup>
          <m:e>
            <m:r>
              <m:t>k</m:t>
            </m:r>
          </m:e>
          <m:sub>
            <m:r>
              <m:t>T</m:t>
            </m:r>
            <m:r>
              <m:t>B</m:t>
            </m:r>
          </m:sub>
          <m:sup>
            <m:r>
              <m:rPr>
                <m:sty m:val="p"/>
              </m:rPr>
              <m:t>l</m:t>
            </m:r>
            <m:r>
              <m:rPr>
                <m:sty m:val="p"/>
              </m:rPr>
              <m:t>i</m:t>
            </m:r>
            <m:r>
              <m:rPr>
                <m:sty m:val="p"/>
              </m:rPr>
              <m:t>f</m:t>
            </m:r>
            <m:r>
              <m:rPr>
                <m:sty m:val="p"/>
              </m:rPr>
              <m:t>e</m:t>
            </m:r>
          </m:sup>
        </m:sSubSup>
      </m:oMath>
      <w:r>
        <w:rPr>
          <w:rFonts w:ascii="Times New Roman" w:hAnsi="Times New Roman" w:eastAsia="方正仿宋_GBK"/>
          <w:b w:val="0"/>
          <w:sz w:val="24"/>
        </w:rPr>
        <w:t xml:space="preserve">、</w:t>
      </w:r>
      <m:oMath>
        <m:sSubSup>
          <m:e>
            <m:r>
              <m:t>k</m:t>
            </m:r>
          </m:e>
          <m:sub>
            <m:r>
              <m:t>T</m:t>
            </m:r>
            <m:r>
              <m:t>L</m:t>
            </m:r>
          </m:sub>
          <m:sup>
            <m:r>
              <m:rPr>
                <m:sty m:val="p"/>
              </m:rPr>
              <m:t>l</m:t>
            </m:r>
            <m:r>
              <m:rPr>
                <m:sty m:val="p"/>
              </m:rPr>
              <m:t>i</m:t>
            </m:r>
            <m:r>
              <m:rPr>
                <m:sty m:val="p"/>
              </m:rPr>
              <m:t>f</m:t>
            </m:r>
            <m:r>
              <m:rPr>
                <m:sty m:val="p"/>
              </m:rPr>
              <m:t>e</m:t>
            </m:r>
          </m:sup>
        </m:sSubSup>
      </m:oMath>
      <w:r>
        <w:rPr>
          <w:rFonts w:ascii="Times New Roman" w:hAnsi="Times New Roman" w:eastAsia="方正仿宋_GBK"/>
          <w:b w:val="0"/>
          <w:sz w:val="24"/>
        </w:rPr>
        <w:t xml:space="preserve">分别为全寿命主变与储能、主变与线路单位能力费用比，无量纲；</w:t>
      </w:r>
      <m:oMath>
        <m:sSub>
          <m:e>
            <m:r>
              <m:t>A</m:t>
            </m:r>
          </m:e>
          <m:sub>
            <m:r>
              <m:t>T</m:t>
            </m:r>
          </m:sub>
        </m:sSub>
        <m:r>
          <m:t>(</m:t>
        </m:r>
        <m:r>
          <m:t>y</m:t>
        </m:r>
        <m:r>
          <m:t>)</m:t>
        </m:r>
      </m:oMath>
      <w:r>
        <w:rPr>
          <w:rFonts w:ascii="Times New Roman" w:hAnsi="Times New Roman" w:eastAsia="方正仿宋_GBK"/>
          <w:b w:val="0"/>
          <w:sz w:val="24"/>
        </w:rPr>
        <w:t xml:space="preserve">、</w:t>
      </w:r>
      <m:oMath>
        <m:sSub>
          <m:e>
            <m:r>
              <m:t>A</m:t>
            </m:r>
          </m:e>
          <m:sub>
            <m:r>
              <m:t>B</m:t>
            </m:r>
          </m:sub>
        </m:sSub>
        <m:r>
          <m:t>(</m:t>
        </m:r>
        <m:r>
          <m:t>y</m:t>
        </m:r>
        <m:r>
          <m:t>)</m:t>
        </m:r>
      </m:oMath>
      <w:r>
        <w:rPr>
          <w:rFonts w:ascii="Times New Roman" w:hAnsi="Times New Roman" w:eastAsia="方正仿宋_GBK"/>
          <w:b w:val="0"/>
          <w:sz w:val="24"/>
        </w:rPr>
        <w:t xml:space="preserve">、</w:t>
      </w:r>
      <m:oMath>
        <m:sSub>
          <m:e>
            <m:r>
              <m:t>A</m:t>
            </m:r>
          </m:e>
          <m:sub>
            <m:r>
              <m:t>L</m:t>
            </m:r>
          </m:sub>
        </m:sSub>
        <m:r>
          <m:t>(</m:t>
        </m:r>
        <m:r>
          <m:t>y</m:t>
        </m:r>
        <m:r>
          <m:t>)</m:t>
        </m:r>
      </m:oMath>
      <w:r>
        <w:rPr>
          <w:rFonts w:ascii="Times New Roman" w:hAnsi="Times New Roman" w:eastAsia="方正仿宋_GBK"/>
          <w:b w:val="0"/>
          <w:sz w:val="24"/>
        </w:rPr>
        <w:t xml:space="preserve">分别为主变、储能和线路的现金流现值因子，按下一节计算。矩阵以两个价格倍数作为敏感性输入，费用目标由全寿命现金流决定；初始比例用于列示参数。</w:t>
      </w:r>
    </w:p>
    <w:p>
      <w:pPr>
        <w:pStyle w:val="5"/>
        <w:keepNext/>
        <w:numPr>
          <w:numId w:val="0"/>
        </w:numPr>
        <w:spacing w:line="360" w:lineRule="auto" w:before="160" w:after="120"/>
        <w:ind w:firstLine="0"/>
      </w:pPr>
      <w:bookmarkStart w:id="152" w:name="参数范围与控制方式"/>
      <w:r>
        <w:rPr>
          <w:rFonts w:ascii="Times New Roman" w:hAnsi="Times New Roman" w:eastAsia="方正仿宋_GBK"/>
          <w:b/>
          <w:sz w:val="26"/>
        </w:rPr>
        <w:t xml:space="preserve">4.5.4 参数范围与控制方式</w:t>
      </w:r>
      <w:bookmarkEnd w:id="152"/>
    </w:p>
    <w:p>
      <w:pPr>
        <w:pStyle w:val="FirstParagraph"/>
        <w:widowControl/>
        <w:spacing w:line="300" w:lineRule="auto" w:before="0" w:after="0"/>
        <w:ind w:firstLine="480"/>
        <w:jc w:val="both"/>
      </w:pPr>
      <w:r>
        <w:rPr>
          <w:rFonts w:ascii="Times New Roman" w:hAnsi="Times New Roman" w:eastAsia="方正仿宋_GBK"/>
          <w:b w:val="0"/>
          <w:sz w:val="24"/>
        </w:rPr>
        <w:t xml:space="preserve">成本敏感性改变主变与线路、主变与储能两个比例。主变价格保持基准，线路采用0.75～1.25倍，储能采用0.50～1.25倍。通用外推取三档线路与三档储能价格的九组交叉组合，与装机渗透率、年负荷平均增长率和峰段持续时间共同形成计算组合。</w:t>
      </w:r>
    </w:p>
    <w:p>
      <w:pPr>
        <w:pStyle w:val="2"/>
        <w:widowControl/>
        <w:spacing w:line="300" w:lineRule="auto" w:before="0" w:after="0"/>
        <w:ind w:firstLine="480"/>
        <w:jc w:val="both"/>
      </w:pPr>
      <w:r>
        <w:rPr>
          <w:rFonts w:ascii="Times New Roman" w:hAnsi="Times New Roman" w:eastAsia="方正仿宋_GBK"/>
          <w:b w:val="0"/>
          <w:sz w:val="24"/>
        </w:rPr>
        <w:t xml:space="preserve">价格范围用于检验相对费用变化对配置的影响。新增线路提高站级转供能力，线路价格变化据此参与主变、储能和联络的费用比较。</w:t>
      </w:r>
    </w:p>
    <w:p>
      <w:bookmarkStart w:id="1415" w:name="h415"/>
      <w:pPr>
        <w:pStyle w:val="4"/>
        <w:keepNext/>
        <w:numPr>
          <w:numId w:val="0"/>
        </w:numPr>
        <w:spacing w:line="360" w:lineRule="auto" w:before="160" w:after="120"/>
        <w:ind w:firstLine="0"/>
      </w:pPr>
      <w:bookmarkStart w:id="153" w:name="现金流现值计算"/>
      <w:r>
        <w:rPr>
          <w:rFonts w:ascii="Times New Roman" w:hAnsi="Times New Roman" w:eastAsia="方正仿宋_GBK"/>
          <w:b/>
          <w:sz w:val="32"/>
        </w:rPr>
        <w:t xml:space="preserve">4.6 现金流现值计算</w:t>
      </w:r>
      <w:bookmarkEnd w:id="153"/>
      <w:bookmarkEnd w:id="1415"/>
    </w:p>
    <w:p>
      <w:pPr>
        <w:pStyle w:val="5"/>
        <w:keepNext/>
        <w:numPr>
          <w:numId w:val="0"/>
        </w:numPr>
        <w:spacing w:line="360" w:lineRule="auto" w:before="160" w:after="120"/>
        <w:ind w:firstLine="0"/>
      </w:pPr>
      <w:bookmarkStart w:id="154" w:name="单项工程现值因子"/>
      <w:r>
        <w:rPr>
          <w:rFonts w:ascii="Times New Roman" w:hAnsi="Times New Roman" w:eastAsia="方正仿宋_GBK"/>
          <w:b/>
          <w:sz w:val="26"/>
        </w:rPr>
        <w:t xml:space="preserve">4.6.1 单项工程现值因子</w:t>
      </w:r>
      <w:bookmarkEnd w:id="154"/>
    </w:p>
    <w:p>
      <w:pPr>
        <w:pStyle w:val="FirstParagraph"/>
        <w:widowControl/>
        <w:spacing w:line="300" w:lineRule="auto" w:before="0" w:after="0"/>
        <w:ind w:firstLine="480"/>
        <w:jc w:val="both"/>
      </w:pPr>
      <w:r>
        <w:rPr>
          <w:rFonts w:ascii="Times New Roman" w:hAnsi="Times New Roman" w:eastAsia="方正仿宋_GBK"/>
          <w:b w:val="0"/>
          <w:sz w:val="24"/>
        </w:rPr>
        <w:t xml:space="preserve">设工程于</w:t>
      </w:r>
      <m:oMath>
        <m:r>
          <m:t>y</m:t>
        </m:r>
      </m:oMath>
      <w:r>
        <w:rPr>
          <w:rFonts w:ascii="Times New Roman" w:hAnsi="Times New Roman" w:eastAsia="方正仿宋_GBK"/>
          <w:b w:val="0"/>
          <w:sz w:val="24"/>
        </w:rPr>
        <w:t xml:space="preserve">年投运，初始投资</w:t>
      </w:r>
      <m:oMath>
        <m:r>
          <m:t>I</m:t>
        </m:r>
      </m:oMath>
      <w:r>
        <w:rPr>
          <w:rFonts w:ascii="Times New Roman" w:hAnsi="Times New Roman" w:eastAsia="方正仿宋_GBK"/>
          <w:b w:val="0"/>
          <w:sz w:val="24"/>
        </w:rPr>
        <w:t xml:space="preserve">，寿命</w:t>
      </w:r>
      <m:oMath>
        <m:r>
          <m:t>L</m:t>
        </m:r>
      </m:oMath>
      <w:r>
        <w:rPr>
          <w:rFonts w:ascii="Times New Roman" w:hAnsi="Times New Roman" w:eastAsia="方正仿宋_GBK"/>
          <w:b w:val="0"/>
          <w:sz w:val="24"/>
        </w:rPr>
        <w:t xml:space="preserve">，固定运维率</w:t>
      </w:r>
      <m:oMath>
        <m:r>
          <m:t>q</m:t>
        </m:r>
      </m:oMath>
      <w:r>
        <w:rPr>
          <w:rFonts w:ascii="Times New Roman" w:hAnsi="Times New Roman" w:eastAsia="方正仿宋_GBK"/>
          <w:b w:val="0"/>
          <w:sz w:val="24"/>
        </w:rPr>
        <w:t xml:space="preserve">，评价截止年</w:t>
      </w:r>
      <m:oMath>
        <m:r>
          <m:t>T</m:t>
        </m:r>
      </m:oMath>
      <w:r>
        <w:rPr>
          <w:rFonts w:ascii="Times New Roman" w:hAnsi="Times New Roman" w:eastAsia="方正仿宋_GBK"/>
          <w:b w:val="0"/>
          <w:sz w:val="24"/>
        </w:rPr>
        <w:t xml:space="preserve">=2041，基准年2021，折现率</w:t>
      </w:r>
      <m:oMath>
        <m:r>
          <m:t>r</m:t>
        </m:r>
      </m:oMath>
      <w:r>
        <w:rPr>
          <w:rFonts w:ascii="Times New Roman" w:hAnsi="Times New Roman" w:eastAsia="方正仿宋_GBK"/>
          <w:b w:val="0"/>
          <w:sz w:val="24"/>
        </w:rPr>
        <w:t xml:space="preserve">=6%。单项工程现值由投运投资、评价期内更新和投运次年起固定运维构成[10][12][13]。</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r>
                        <m:t>C</m:t>
                      </m:r>
                      <m:r>
                        <m:t>(</m:t>
                      </m:r>
                      <m:r>
                        <m:t>I</m:t>
                      </m:r>
                      <m:r>
                        <m:t>,</m:t>
                      </m:r>
                      <m:r>
                        <m:t>y</m:t>
                      </m:r>
                      <m:r>
                        <m:t>,</m:t>
                      </m:r>
                      <m:r>
                        <m:t>L</m:t>
                      </m:r>
                      <m:r>
                        <m:t>,</m:t>
                      </m:r>
                      <m:r>
                        <m:t>q</m:t>
                      </m:r>
                      <m:r>
                        <m:t>)</m:t>
                      </m:r>
                      <m:r>
                        <m:t>=</m:t>
                      </m:r>
                      <m:r>
                        <m:t>​</m:t>
                      </m:r>
                    </m:e>
                    <m:e>
                      <m:f>
                        <m:fPr>
                          <m:type m:val="bar"/>
                        </m:fPr>
                        <m:num>
                          <m:r>
                            <m:t>I</m:t>
                          </m:r>
                        </m:num>
                        <m:den>
                          <m:r>
                            <m:t>(</m:t>
                          </m:r>
                          <m:r>
                            <m:t>1</m:t>
                          </m:r>
                          <m:r>
                            <m:t>+</m:t>
                          </m:r>
                          <m:r>
                            <m:t>r</m:t>
                          </m:r>
                          <m:sSup>
                            <m:e>
                              <m:r>
                                <m:t>)</m:t>
                              </m:r>
                            </m:e>
                            <m:sup>
                              <m:r>
                                <m:t>y</m:t>
                              </m:r>
                              <m:r>
                                <m:t>−</m:t>
                              </m:r>
                              <m:r>
                                <m:t>2021</m:t>
                              </m:r>
                            </m:sup>
                          </m:sSup>
                        </m:den>
                      </m:f>
                      <m:r>
                        <m:t>+</m:t>
                      </m:r>
                      <m:nary>
                        <m:naryPr>
                          <m:chr m:val="∑"/>
                          <m:limLoc m:val="undOvr"/>
                          <m:subHide m:val="0"/>
                          <m:supHide m:val="1"/>
                        </m:naryPr>
                        <m:sub>
                          <m:r>
                            <m:t>k</m:t>
                          </m:r>
                          <m:r>
                            <m:t>≥</m:t>
                          </m:r>
                          <m:r>
                            <m:t>1</m:t>
                          </m:r>
                          <m:r>
                            <m:t>,</m:t>
                          </m:r>
                          <m:r>
                            <m:t> </m:t>
                          </m:r>
                          <m:r>
                            <m:t>y</m:t>
                          </m:r>
                          <m:r>
                            <m:t>+</m:t>
                          </m:r>
                          <m:r>
                            <m:t>k</m:t>
                          </m:r>
                          <m:r>
                            <m:t>L</m:t>
                          </m:r>
                          <m:r>
                            <m:t>&lt;</m:t>
                          </m:r>
                          <m:r>
                            <m:t>T</m:t>
                          </m:r>
                        </m:sub>
                        <m:sup>
                          <m:r>
                            <m:t>​</m:t>
                          </m:r>
                        </m:sup>
                        <m:e>
                          <m:f>
                            <m:fPr>
                              <m:type m:val="bar"/>
                            </m:fPr>
                            <m:num>
                              <m:r>
                                <m:t>I</m:t>
                              </m:r>
                            </m:num>
                            <m:den>
                              <m:r>
                                <m:t>(</m:t>
                              </m:r>
                              <m:r>
                                <m:t>1</m:t>
                              </m:r>
                              <m:r>
                                <m:t>+</m:t>
                              </m:r>
                              <m:r>
                                <m:t>r</m:t>
                              </m:r>
                              <m:sSup>
                                <m:e>
                                  <m:r>
                                    <m:t>)</m:t>
                                  </m:r>
                                </m:e>
                                <m:sup>
                                  <m:r>
                                    <m:t>y</m:t>
                                  </m:r>
                                  <m:r>
                                    <m:t>+</m:t>
                                  </m:r>
                                  <m:r>
                                    <m:t>k</m:t>
                                  </m:r>
                                  <m:r>
                                    <m:t>L</m:t>
                                  </m:r>
                                  <m:r>
                                    <m:t>−</m:t>
                                  </m:r>
                                  <m:r>
                                    <m:t>2021</m:t>
                                  </m:r>
                                </m:sup>
                              </m:sSup>
                            </m:den>
                          </m:f>
                        </m:e>
                      </m:nary>
                    </m:e>
                  </m:mr>
                  <m:mr>
                    <m:e/>
                    <m:e>
                      <m:r>
                        <m:t>+</m:t>
                      </m:r>
                      <m:nary>
                        <m:naryPr>
                          <m:chr m:val="∑"/>
                          <m:limLoc m:val="undOvr"/>
                          <m:subHide m:val="0"/>
                          <m:supHide m:val="0"/>
                        </m:naryPr>
                        <m:sub>
                          <m:r>
                            <m:t>t</m:t>
                          </m:r>
                          <m:r>
                            <m:t>=</m:t>
                          </m:r>
                          <m:r>
                            <m:t>y</m:t>
                          </m:r>
                          <m:r>
                            <m:t>+</m:t>
                          </m:r>
                          <m:r>
                            <m:t>1</m:t>
                          </m:r>
                        </m:sub>
                        <m:sup>
                          <m:r>
                            <m:t>T</m:t>
                          </m:r>
                        </m:sup>
                        <m:e>
                          <m:f>
                            <m:fPr>
                              <m:type m:val="bar"/>
                            </m:fPr>
                            <m:num>
                              <m:r>
                                <m:t>q</m:t>
                              </m:r>
                              <m:r>
                                <m:t>I</m:t>
                              </m:r>
                            </m:num>
                            <m:den>
                              <m:r>
                                <m:t>(</m:t>
                              </m:r>
                              <m:r>
                                <m:t>1</m:t>
                              </m:r>
                              <m:r>
                                <m:t>+</m:t>
                              </m:r>
                              <m:r>
                                <m:t>r</m:t>
                              </m:r>
                              <m:sSup>
                                <m:e>
                                  <m:r>
                                    <m:t>)</m:t>
                                  </m:r>
                                </m:e>
                                <m:sup>
                                  <m:r>
                                    <m:t>t</m:t>
                                  </m:r>
                                  <m:r>
                                    <m:t>−</m:t>
                                  </m:r>
                                  <m:r>
                                    <m:t>2021</m:t>
                                  </m:r>
                                </m:sup>
                              </m:sSup>
                            </m:den>
                          </m:f>
                        </m:e>
                      </m:nary>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（4-10）</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C</m:t>
        </m:r>
        <m:r>
          <m:t>(</m:t>
        </m:r>
        <m:r>
          <m:t>I</m:t>
        </m:r>
        <m:r>
          <m:t>,</m:t>
        </m:r>
        <m:r>
          <m:t>y</m:t>
        </m:r>
        <m:r>
          <m:t>,</m:t>
        </m:r>
        <m:r>
          <m:t>L</m:t>
        </m:r>
        <m:r>
          <m:t>,</m:t>
        </m:r>
        <m:r>
          <m:t>q</m:t>
        </m:r>
        <m:r>
          <m:t>)</m:t>
        </m:r>
      </m:oMath>
      <w:r>
        <w:rPr>
          <w:rFonts w:ascii="Times New Roman" w:hAnsi="Times New Roman" w:eastAsia="方正仿宋_GBK"/>
          <w:b w:val="0"/>
          <w:sz w:val="24"/>
        </w:rPr>
        <w:t xml:space="preserve">为单项工程费用现值，单位万元；</w:t>
      </w:r>
      <m:oMath>
        <m:r>
          <m:t>I</m:t>
        </m:r>
      </m:oMath>
      <w:r>
        <w:rPr>
          <w:rFonts w:ascii="Times New Roman" w:hAnsi="Times New Roman" w:eastAsia="方正仿宋_GBK"/>
          <w:b w:val="0"/>
          <w:sz w:val="24"/>
        </w:rPr>
        <w:t xml:space="preserve">为初始投资，单位万元；</w:t>
      </w:r>
      <m:oMath>
        <m:r>
          <m:t>y</m:t>
        </m:r>
      </m:oMath>
      <w:r>
        <w:rPr>
          <w:rFonts w:ascii="Times New Roman" w:hAnsi="Times New Roman" w:eastAsia="方正仿宋_GBK"/>
          <w:b w:val="0"/>
          <w:sz w:val="24"/>
        </w:rPr>
        <w:t xml:space="preserve">为投运年份，</w:t>
      </w:r>
      <m:oMath>
        <m:r>
          <m:t>L</m:t>
        </m:r>
      </m:oMath>
      <w:r>
        <w:rPr>
          <w:rFonts w:ascii="Times New Roman" w:hAnsi="Times New Roman" w:eastAsia="方正仿宋_GBK"/>
          <w:b w:val="0"/>
          <w:sz w:val="24"/>
        </w:rPr>
        <w:t xml:space="preserve">为寿命，单位年；</w:t>
      </w:r>
      <m:oMath>
        <m:r>
          <m:t>q</m:t>
        </m:r>
      </m:oMath>
      <w:r>
        <w:rPr>
          <w:rFonts w:ascii="Times New Roman" w:hAnsi="Times New Roman" w:eastAsia="方正仿宋_GBK"/>
          <w:b w:val="0"/>
          <w:sz w:val="24"/>
        </w:rPr>
        <w:t xml:space="preserve">为年度固定运维占初始投资的比例，</w:t>
      </w:r>
      <m:oMath>
        <m:r>
          <m:t>r</m:t>
        </m:r>
      </m:oMath>
      <w:r>
        <w:rPr>
          <w:rFonts w:ascii="Times New Roman" w:hAnsi="Times New Roman" w:eastAsia="方正仿宋_GBK"/>
          <w:b w:val="0"/>
          <w:sz w:val="24"/>
        </w:rPr>
        <w:t xml:space="preserve">为折现率；</w:t>
      </w:r>
      <m:oMath>
        <m:r>
          <m:t>k</m:t>
        </m:r>
      </m:oMath>
      <w:r>
        <w:rPr>
          <w:rFonts w:ascii="Times New Roman" w:hAnsi="Times New Roman" w:eastAsia="方正仿宋_GBK"/>
          <w:b w:val="0"/>
          <w:sz w:val="24"/>
        </w:rPr>
        <w:t xml:space="preserve">为更新次数序号，</w:t>
      </w:r>
      <m:oMath>
        <m:r>
          <m:t>t</m:t>
        </m:r>
      </m:oMath>
      <w:r>
        <w:rPr>
          <w:rFonts w:ascii="Times New Roman" w:hAnsi="Times New Roman" w:eastAsia="方正仿宋_GBK"/>
          <w:b w:val="0"/>
          <w:sz w:val="24"/>
        </w:rPr>
        <w:t xml:space="preserve">为运维年份，</w:t>
      </w:r>
      <m:oMath>
        <m:r>
          <m:t>T</m:t>
        </m:r>
      </m:oMath>
      <w:r>
        <w:rPr>
          <w:rFonts w:ascii="Times New Roman" w:hAnsi="Times New Roman" w:eastAsia="方正仿宋_GBK"/>
          <w:b w:val="0"/>
          <w:sz w:val="24"/>
        </w:rPr>
        <w:t xml:space="preserve">为评价截止年。</w:t>
      </w:r>
    </w:p>
    <w:p>
      <w:pPr>
        <w:pStyle w:val="2"/>
        <w:widowControl/>
        <w:spacing w:line="300" w:lineRule="auto" w:before="0" w:after="0"/>
        <w:ind w:firstLine="480"/>
        <w:jc w:val="both"/>
      </w:pPr>
      <w:r>
        <w:rPr>
          <w:rFonts w:ascii="Times New Roman" w:hAnsi="Times New Roman" w:eastAsia="方正仿宋_GBK"/>
          <w:b w:val="0"/>
          <w:sz w:val="24"/>
        </w:rPr>
        <w:t xml:space="preserve">更新发生在</w:t>
      </w:r>
      <m:oMath>
        <m:r>
          <m:t>y</m:t>
        </m:r>
        <m:r>
          <m:t>+</m:t>
        </m:r>
        <m:r>
          <m:t>k</m:t>
        </m:r>
        <m:r>
          <m:t>L</m:t>
        </m:r>
      </m:oMath>
      <w:r>
        <w:rPr>
          <w:rFonts w:ascii="Times New Roman" w:hAnsi="Times New Roman" w:eastAsia="方正仿宋_GBK"/>
          <w:b w:val="0"/>
          <w:sz w:val="24"/>
        </w:rPr>
        <w:t xml:space="preserve">严格小于2041时，截止年达到寿命不另购一套设备。固定运维一直计至2041年。</w:t>
      </w:r>
    </w:p>
    <w:p>
      <w:pPr>
        <w:pStyle w:val="2"/>
        <w:widowControl/>
        <w:spacing w:line="300" w:lineRule="auto" w:before="0" w:after="0"/>
        <w:ind w:firstLine="480"/>
        <w:jc w:val="both"/>
      </w:pPr>
      <w:r>
        <w:rPr>
          <w:rFonts w:ascii="Times New Roman" w:hAnsi="Times New Roman" w:eastAsia="方正仿宋_GBK"/>
          <w:b w:val="0"/>
          <w:sz w:val="24"/>
        </w:rPr>
        <w:t xml:space="preserve">令</w:t>
      </w:r>
      <m:oMath>
        <m:r>
          <m:t>I</m:t>
        </m:r>
        <m:r>
          <m:t>=</m:t>
        </m:r>
        <m:r>
          <m:t>1</m:t>
        </m:r>
      </m:oMath>
      <w:r>
        <w:rPr>
          <w:rFonts w:ascii="Times New Roman" w:hAnsi="Times New Roman" w:eastAsia="方正仿宋_GBK"/>
          <w:b w:val="0"/>
          <w:sz w:val="24"/>
        </w:rPr>
        <w:t xml:space="preserve">，得到现值因子</w:t>
      </w:r>
      <m:oMath>
        <m:r>
          <m:t>A</m:t>
        </m:r>
        <m:r>
          <m:t>(</m:t>
        </m:r>
        <m:r>
          <m:t>y</m:t>
        </m:r>
        <m:r>
          <m:t>,</m:t>
        </m:r>
        <m:r>
          <m:t>L</m:t>
        </m:r>
        <m:r>
          <m:t>,</m:t>
        </m:r>
        <m:r>
          <m:t>q</m:t>
        </m:r>
        <m:r>
          <m:t>)</m:t>
        </m:r>
      </m:oMath>
      <w:r>
        <w:rPr>
          <w:rFonts w:ascii="Times New Roman" w:hAnsi="Times New Roman" w:eastAsia="方正仿宋_GBK"/>
          <w:b w:val="0"/>
          <w:sz w:val="24"/>
        </w:rPr>
        <w:t xml:space="preserve">。主变和线路按</w:t>
      </w:r>
      <m:oMath>
        <m:r>
          <m:t>L</m:t>
        </m:r>
        <m:r>
          <m:t>=</m:t>
        </m:r>
        <m:r>
          <m:t>20</m:t>
        </m:r>
      </m:oMath>
      <w:r>
        <w:rPr>
          <w:rFonts w:ascii="Times New Roman" w:hAnsi="Times New Roman" w:eastAsia="方正仿宋_GBK"/>
          <w:b w:val="0"/>
          <w:sz w:val="24"/>
        </w:rPr>
        <w:t xml:space="preserve">、</w:t>
      </w:r>
      <m:oMath>
        <m:r>
          <m:t>q</m:t>
        </m:r>
        <m:r>
          <m:t>=</m:t>
        </m:r>
        <m:r>
          <m:t>0.01</m:t>
        </m:r>
      </m:oMath>
      <w:r>
        <w:rPr>
          <w:rFonts w:ascii="Times New Roman" w:hAnsi="Times New Roman" w:eastAsia="方正仿宋_GBK"/>
          <w:b w:val="0"/>
          <w:sz w:val="24"/>
        </w:rPr>
        <w:t xml:space="preserve">计算，储能按</w:t>
      </w:r>
      <m:oMath>
        <m:r>
          <m:t>L</m:t>
        </m:r>
        <m:r>
          <m:t>=</m:t>
        </m:r>
        <m:r>
          <m:t>10</m:t>
        </m:r>
      </m:oMath>
      <w:r>
        <w:rPr>
          <w:rFonts w:ascii="Times New Roman" w:hAnsi="Times New Roman" w:eastAsia="方正仿宋_GBK"/>
          <w:b w:val="0"/>
          <w:sz w:val="24"/>
        </w:rPr>
        <w:t xml:space="preserve">、</w:t>
      </w:r>
      <m:oMath>
        <m:r>
          <m:t>q</m:t>
        </m:r>
        <m:r>
          <m:t>=</m:t>
        </m:r>
        <m:r>
          <m:t>0.03</m:t>
        </m:r>
      </m:oMath>
      <w:r>
        <w:rPr>
          <w:rFonts w:ascii="Times New Roman" w:hAnsi="Times New Roman" w:eastAsia="方正仿宋_GBK"/>
          <w:b w:val="0"/>
          <w:sz w:val="24"/>
        </w:rPr>
        <w:t xml:space="preserve">计算。2022—2025年主变在评价期内没有寿命更新，储能分别在2032—2035年更新一次。</w:t>
      </w:r>
    </w:p>
    <w:p>
      <w:pPr>
        <w:pStyle w:val="2"/>
        <w:keepNext/>
        <w:spacing w:line="300" w:lineRule="auto" w:before="120" w:after="80"/>
        <w:ind w:firstLine="0"/>
        <w:jc w:val="center"/>
      </w:pPr>
      <w:r>
        <w:rPr>
          <w:rFonts w:ascii="Times New Roman" w:hAnsi="Times New Roman" w:eastAsia="宋体"/>
          <w:b w:val="0"/>
          <w:sz w:val="21"/>
        </w:rPr>
        <w:t xml:space="preserve">表4-6 单位初始投资的2021年末现值因子（式4-10）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投运年</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线路</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2022</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1.05</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1.05</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1.79</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2023</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0.99</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0.99</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1.68</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2024</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0.93</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0.93</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1.57</w:t>
            </w:r>
          </w:p>
        </w:tc>
      </w:tr>
      <w:tr>
        <w:trPr>
          <w:cantSplit/>
        </w:trPr>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0.87</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0.87</w:t>
            </w:r>
          </w:p>
        </w:tc>
        <w:tc>
          <w:tcPr>
            <w:tcW w:type="dxa" w:w="207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1.47</w:t>
            </w:r>
          </w:p>
        </w:tc>
      </w:tr>
    </w:tbl>
    <w:p>
      <w:pPr>
        <w:pStyle w:val="5"/>
        <w:keepNext/>
        <w:numPr>
          <w:numId w:val="0"/>
        </w:numPr>
        <w:spacing w:line="360" w:lineRule="auto" w:before="160" w:after="120"/>
        <w:ind w:firstLine="0"/>
      </w:pPr>
      <w:bookmarkStart w:id="155" w:name="年度投运对现值的影响"/>
      <w:r>
        <w:rPr>
          <w:rFonts w:ascii="Times New Roman" w:hAnsi="Times New Roman" w:eastAsia="方正仿宋_GBK"/>
          <w:b/>
          <w:sz w:val="26"/>
        </w:rPr>
        <w:t xml:space="preserve">4.6.2 年度投运对现值的影响</w:t>
      </w:r>
      <w:bookmarkEnd w:id="155"/>
    </w:p>
    <w:p>
      <w:pPr>
        <w:pStyle w:val="FirstParagraph"/>
        <w:widowControl/>
        <w:spacing w:line="300" w:lineRule="auto" w:before="0" w:after="0"/>
        <w:ind w:firstLine="480"/>
        <w:jc w:val="both"/>
      </w:pPr>
      <w:r>
        <w:rPr>
          <w:rFonts w:ascii="Times New Roman" w:hAnsi="Times New Roman" w:eastAsia="方正仿宋_GBK"/>
          <w:b w:val="0"/>
          <w:sz w:val="24"/>
        </w:rPr>
        <w:t xml:space="preserve">相同工程晚一年投运，初始投资折现减少，计入的运维年数也减少；更新年份相应后移。这使年度建设安排进入经济目标。建设时点在各年技术可行条件下选取。</w:t>
      </w:r>
    </w:p>
    <w:p>
      <w:pPr>
        <w:pStyle w:val="2"/>
        <w:widowControl/>
        <w:spacing w:line="300" w:lineRule="auto" w:before="0" w:after="0"/>
        <w:ind w:firstLine="480"/>
        <w:jc w:val="both"/>
      </w:pPr>
      <w:r>
        <w:rPr>
          <w:rFonts w:ascii="Times New Roman" w:hAnsi="Times New Roman" w:eastAsia="方正仿宋_GBK"/>
          <w:b w:val="0"/>
          <w:sz w:val="24"/>
        </w:rPr>
        <w:t xml:space="preserve">对于2022年已投运储能，后续新增柜按各自投运批次计算，不对全部2025年在役柜再次计首次投资。主变槽位在不同年份先后升档，每一次更换分别计当年新购整台容量；采购事件合计用于费用，容量净增用于设备状态及容载比。</w:t>
      </w:r>
    </w:p>
    <w:p>
      <w:pPr>
        <w:pStyle w:val="5"/>
        <w:keepNext/>
        <w:numPr>
          <w:numId w:val="0"/>
        </w:numPr>
        <w:spacing w:line="360" w:lineRule="auto" w:before="160" w:after="120"/>
        <w:ind w:firstLine="0"/>
      </w:pPr>
      <w:bookmarkStart w:id="156" w:name="费用构成与结果复算"/>
      <w:r>
        <w:rPr>
          <w:rFonts w:ascii="Times New Roman" w:hAnsi="Times New Roman" w:eastAsia="方正仿宋_GBK"/>
          <w:b/>
          <w:sz w:val="26"/>
        </w:rPr>
        <w:t xml:space="preserve">4.6.3 费用构成与结果复算</w:t>
      </w:r>
      <w:bookmarkEnd w:id="156"/>
    </w:p>
    <w:p>
      <w:pPr>
        <w:pStyle w:val="FirstParagraph"/>
        <w:widowControl/>
        <w:spacing w:line="300" w:lineRule="auto" w:before="0" w:after="0"/>
        <w:ind w:firstLine="480"/>
        <w:jc w:val="both"/>
      </w:pPr>
      <w:r>
        <w:rPr>
          <w:rFonts w:ascii="Times New Roman" w:hAnsi="Times New Roman" w:eastAsia="方正仿宋_GBK"/>
          <w:b w:val="0"/>
          <w:sz w:val="24"/>
        </w:rPr>
        <w:t xml:space="preserve">全方案现值为全部工程事件现值之和。主变、储能和线路分别汇总后相加，应等于求解目标在所选布局中的实际费用。费用表分别列出初始建设投资和全寿命费用现值。</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
                  <m:e>
                    <m:r>
                      <m:t>C</m:t>
                    </m:r>
                  </m:e>
                  <m:sub>
                    <m:r>
                      <m:rPr>
                        <m:sty m:val="p"/>
                      </m:rPr>
                      <m:t>p</m:t>
                    </m:r>
                    <m:r>
                      <m:rPr>
                        <m:sty m:val="p"/>
                      </m:rPr>
                      <m:t>l</m:t>
                    </m:r>
                    <m:r>
                      <m:rPr>
                        <m:sty m:val="p"/>
                      </m:rPr>
                      <m:t>a</m:t>
                    </m:r>
                    <m:r>
                      <m:rPr>
                        <m:sty m:val="p"/>
                      </m:rPr>
                      <m:t>n</m:t>
                    </m:r>
                  </m:sub>
                </m:sSub>
                <m:r>
                  <m:t>=</m:t>
                </m:r>
                <m:nary>
                  <m:naryPr>
                    <m:chr m:val="∑"/>
                    <m:limLoc m:val="undOvr"/>
                    <m:subHide m:val="0"/>
                    <m:supHide m:val="1"/>
                  </m:naryPr>
                  <m:sub>
                    <m:r>
                      <m:t>e</m:t>
                    </m:r>
                    <m:r>
                      <m:t>∈</m:t>
                    </m:r>
                    <m:sSub>
                      <m:e>
                        <m:r>
                          <m:rPr>
                            <m:sty m:val="p"/>
                            <m:scr m:val="script"/>
                          </m:rPr>
                          <m:t>E</m:t>
                        </m:r>
                      </m:e>
                      <m:sub>
                        <m:r>
                          <m:t>T</m:t>
                        </m:r>
                      </m:sub>
                    </m:sSub>
                  </m:sub>
                  <m:sup>
                    <m:r>
                      <m:t>​</m:t>
                    </m:r>
                  </m:sup>
                  <m:e>
                    <m:sSub>
                      <m:e>
                        <m:r>
                          <m:t>C</m:t>
                        </m:r>
                      </m:e>
                      <m:sub>
                        <m:r>
                          <m:t>e</m:t>
                        </m:r>
                      </m:sub>
                    </m:sSub>
                  </m:e>
                </m:nary>
                <m:r>
                  <m:t>+</m:t>
                </m:r>
                <m:nary>
                  <m:naryPr>
                    <m:chr m:val="∑"/>
                    <m:limLoc m:val="undOvr"/>
                    <m:subHide m:val="0"/>
                    <m:supHide m:val="1"/>
                  </m:naryPr>
                  <m:sub>
                    <m:r>
                      <m:t>e</m:t>
                    </m:r>
                    <m:r>
                      <m:t>∈</m:t>
                    </m:r>
                    <m:sSub>
                      <m:e>
                        <m:r>
                          <m:rPr>
                            <m:sty m:val="p"/>
                            <m:scr m:val="script"/>
                          </m:rPr>
                          <m:t>E</m:t>
                        </m:r>
                      </m:e>
                      <m:sub>
                        <m:r>
                          <m:t>B</m:t>
                        </m:r>
                      </m:sub>
                    </m:sSub>
                  </m:sub>
                  <m:sup>
                    <m:r>
                      <m:t>​</m:t>
                    </m:r>
                  </m:sup>
                  <m:e>
                    <m:sSub>
                      <m:e>
                        <m:r>
                          <m:t>C</m:t>
                        </m:r>
                      </m:e>
                      <m:sub>
                        <m:r>
                          <m:t>e</m:t>
                        </m:r>
                      </m:sub>
                    </m:sSub>
                  </m:e>
                </m:nary>
                <m:r>
                  <m:t>+</m:t>
                </m:r>
                <m:nary>
                  <m:naryPr>
                    <m:chr m:val="∑"/>
                    <m:limLoc m:val="undOvr"/>
                    <m:subHide m:val="0"/>
                    <m:supHide m:val="1"/>
                  </m:naryPr>
                  <m:sub>
                    <m:r>
                      <m:t>e</m:t>
                    </m:r>
                    <m:r>
                      <m:t>∈</m:t>
                    </m:r>
                    <m:sSub>
                      <m:e>
                        <m:r>
                          <m:rPr>
                            <m:sty m:val="p"/>
                            <m:scr m:val="script"/>
                          </m:rPr>
                          <m:t>E</m:t>
                        </m:r>
                      </m:e>
                      <m:sub>
                        <m:r>
                          <m:t>L</m:t>
                        </m:r>
                      </m:sub>
                    </m:sSub>
                  </m:sub>
                  <m:sup>
                    <m:r>
                      <m:t>​</m:t>
                    </m:r>
                  </m:sup>
                  <m:e>
                    <m:sSub>
                      <m:e>
                        <m:r>
                          <m:t>C</m:t>
                        </m:r>
                      </m:e>
                      <m:sub>
                        <m:r>
                          <m:t>e</m:t>
                        </m:r>
                      </m:sub>
                    </m:sSub>
                  </m:e>
                </m:nary>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（4-11）</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C</m:t>
            </m:r>
          </m:e>
          <m:sub>
            <m:r>
              <m:rPr>
                <m:sty m:val="p"/>
              </m:rPr>
              <m:t>p</m:t>
            </m:r>
            <m:r>
              <m:rPr>
                <m:sty m:val="p"/>
              </m:rPr>
              <m:t>l</m:t>
            </m:r>
            <m:r>
              <m:rPr>
                <m:sty m:val="p"/>
              </m:rPr>
              <m:t>a</m:t>
            </m:r>
            <m:r>
              <m:rPr>
                <m:sty m:val="p"/>
              </m:rPr>
              <m:t>n</m:t>
            </m:r>
          </m:sub>
        </m:sSub>
      </m:oMath>
      <w:r>
        <w:rPr>
          <w:rFonts w:ascii="Times New Roman" w:hAnsi="Times New Roman" w:eastAsia="方正仿宋_GBK"/>
          <w:b w:val="0"/>
          <w:sz w:val="24"/>
        </w:rPr>
        <w:t xml:space="preserve">为方案费用现值，</w:t>
      </w:r>
      <m:oMath>
        <m:sSub>
          <m:e>
            <m:r>
              <m:t>C</m:t>
            </m:r>
          </m:e>
          <m:sub>
            <m:r>
              <m:t>e</m:t>
            </m:r>
          </m:sub>
        </m:sSub>
      </m:oMath>
      <w:r>
        <w:rPr>
          <w:rFonts w:ascii="Times New Roman" w:hAnsi="Times New Roman" w:eastAsia="方正仿宋_GBK"/>
          <w:b w:val="0"/>
          <w:sz w:val="24"/>
        </w:rPr>
        <w:t xml:space="preserve">为工程事件</w:t>
      </w:r>
      <m:oMath>
        <m:r>
          <m:t>e</m:t>
        </m:r>
      </m:oMath>
      <w:r>
        <w:rPr>
          <w:rFonts w:ascii="Times New Roman" w:hAnsi="Times New Roman" w:eastAsia="方正仿宋_GBK"/>
          <w:b w:val="0"/>
          <w:sz w:val="24"/>
        </w:rPr>
        <w:t xml:space="preserve">的费用现值，单位万元；</w:t>
      </w:r>
      <m:oMath>
        <m:sSub>
          <m:e>
            <m:r>
              <m:rPr>
                <m:sty m:val="p"/>
                <m:scr m:val="script"/>
              </m:rPr>
              <m:t>E</m:t>
            </m:r>
          </m:e>
          <m:sub>
            <m:r>
              <m:t>T</m:t>
            </m:r>
          </m:sub>
        </m:sSub>
      </m:oMath>
      <w:r>
        <w:rPr>
          <w:rFonts w:ascii="Times New Roman" w:hAnsi="Times New Roman" w:eastAsia="方正仿宋_GBK"/>
          <w:b w:val="0"/>
          <w:sz w:val="24"/>
        </w:rPr>
        <w:t xml:space="preserve">、</w:t>
      </w:r>
      <m:oMath>
        <m:sSub>
          <m:e>
            <m:r>
              <m:rPr>
                <m:sty m:val="p"/>
                <m:scr m:val="script"/>
              </m:rPr>
              <m:t>E</m:t>
            </m:r>
          </m:e>
          <m:sub>
            <m:r>
              <m:t>B</m:t>
            </m:r>
          </m:sub>
        </m:sSub>
      </m:oMath>
      <w:r>
        <w:rPr>
          <w:rFonts w:ascii="Times New Roman" w:hAnsi="Times New Roman" w:eastAsia="方正仿宋_GBK"/>
          <w:b w:val="0"/>
          <w:sz w:val="24"/>
        </w:rPr>
        <w:t xml:space="preserve">、</w:t>
      </w:r>
      <m:oMath>
        <m:sSub>
          <m:e>
            <m:r>
              <m:rPr>
                <m:sty m:val="p"/>
                <m:scr m:val="script"/>
              </m:rPr>
              <m:t>E</m:t>
            </m:r>
          </m:e>
          <m:sub>
            <m:r>
              <m:t>L</m:t>
            </m:r>
          </m:sub>
        </m:sSub>
      </m:oMath>
      <w:r>
        <w:rPr>
          <w:rFonts w:ascii="Times New Roman" w:hAnsi="Times New Roman" w:eastAsia="方正仿宋_GBK"/>
          <w:b w:val="0"/>
          <w:sz w:val="24"/>
        </w:rPr>
        <w:t xml:space="preserve">分别为主变、储能和线路投运事件集合。年度采购量、柜数与新线条数来自方案状态变化，费用复算按工程类型和投运年建立现金流。费用以万元计量。</w:t>
      </w:r>
    </w:p>
    <w:p>
      <w:pPr>
        <w:pStyle w:val="5"/>
        <w:keepNext/>
        <w:numPr>
          <w:numId w:val="0"/>
        </w:numPr>
        <w:spacing w:line="360" w:lineRule="auto" w:before="160" w:after="120"/>
        <w:ind w:firstLine="0"/>
      </w:pPr>
      <w:bookmarkStart w:id="157" w:name="评价期边界与费用解释"/>
      <w:r>
        <w:rPr>
          <w:rFonts w:ascii="Times New Roman" w:hAnsi="Times New Roman" w:eastAsia="方正仿宋_GBK"/>
          <w:b/>
          <w:sz w:val="26"/>
        </w:rPr>
        <w:t xml:space="preserve">4.6.4 评价期边界与费用解释</w:t>
      </w:r>
      <w:bookmarkEnd w:id="157"/>
    </w:p>
    <w:p>
      <w:pPr>
        <w:pStyle w:val="FirstParagraph"/>
        <w:widowControl/>
        <w:spacing w:line="300" w:lineRule="auto" w:before="0" w:after="0"/>
        <w:ind w:firstLine="480"/>
        <w:jc w:val="both"/>
      </w:pPr>
      <w:r>
        <w:rPr>
          <w:rFonts w:ascii="Times New Roman" w:hAnsi="Times New Roman" w:eastAsia="方正仿宋_GBK"/>
          <w:b w:val="0"/>
          <w:sz w:val="24"/>
        </w:rPr>
        <w:t xml:space="preserve">折现率6%、主变和线路寿命20年、储能寿命10年及固定运维率，均为统一研究评价参数。更新采用与首次购置相同实价，价格情景对首次购置和更新使用相同倍数。评价截止于2041年，计算新增建设、固定运维和更新支出。工程应用可取得资产处理、充电购电与损耗资料后增加相应现金流，再统一比较方案。</w:t>
      </w:r>
    </w:p>
    <w:p>
      <w:pPr>
        <w:pStyle w:val="2"/>
        <w:widowControl/>
        <w:spacing w:line="300" w:lineRule="auto" w:before="0" w:after="0"/>
        <w:ind w:firstLine="480"/>
        <w:jc w:val="both"/>
      </w:pPr>
      <w:r>
        <w:rPr>
          <w:rFonts w:ascii="Times New Roman" w:hAnsi="Times New Roman" w:eastAsia="方正仿宋_GBK"/>
          <w:b w:val="0"/>
          <w:sz w:val="24"/>
        </w:rPr>
        <w:t xml:space="preserve">年度工程规模与投运时点共同确定费用。</w:t>
      </w:r>
    </w:p>
    <w:p>
      <w:bookmarkStart w:id="1431" w:name="h431"/>
      <w:pPr>
        <w:pStyle w:val="3"/>
        <w:keepNext/>
        <w:pageBreakBefore/>
        <w:numPr>
          <w:numId w:val="0"/>
        </w:numPr>
        <w:spacing w:line="360" w:lineRule="auto" w:before="0" w:after="120"/>
        <w:ind w:firstLine="0"/>
      </w:pPr>
      <w:bookmarkStart w:id="158"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58"/>
      <w:bookmarkEnd w:id="1431"/>
    </w:p>
    <w:p>
      <w:pPr>
        <w:pStyle w:val="FirstParagraph"/>
        <w:widowControl/>
        <w:spacing w:line="300" w:lineRule="auto" w:before="0" w:after="0"/>
        <w:ind w:firstLine="480"/>
        <w:jc w:val="both"/>
      </w:pPr>
      <w:r>
        <w:rPr>
          <w:rFonts w:ascii="Times New Roman" w:hAnsi="Times New Roman" w:eastAsia="方正仿宋_GBK"/>
          <w:b w:val="0"/>
          <w:sz w:val="24"/>
        </w:rPr>
        <w:t xml:space="preserve">第四章形成了主变增容、储能和10 kV联络工程的投资及全寿命费用系数。本章将这些系数与站级负荷、设备容量和转供能力结合，先说明三类方案在技术约束下的寻优方法，再分析邳州和市区的计算结果，最后通过参数外推建立通用容载比推荐矩阵。主变按整台设备选择，储能按整数柜配置，新建联络按独立项目计费；利用既有联络能力调整负荷归属，新增建设投资计为零。</w:t>
      </w:r>
    </w:p>
    <w:p>
      <w:bookmarkStart w:id="1433" w:name="h433"/>
      <w:pPr>
        <w:pStyle w:val="4"/>
        <w:keepNext/>
        <w:numPr>
          <w:numId w:val="0"/>
        </w:numPr>
        <w:spacing w:line="360" w:lineRule="auto" w:before="160" w:after="120"/>
        <w:ind w:firstLine="0"/>
      </w:pPr>
      <w:bookmarkStart w:id="159" w:name="寻优问题与共同起点"/>
      <w:r>
        <w:rPr>
          <w:rFonts w:ascii="Times New Roman" w:hAnsi="Times New Roman" w:eastAsia="方正仿宋_GBK"/>
          <w:b/>
          <w:sz w:val="32"/>
        </w:rPr>
        <w:t xml:space="preserve">5.1 寻优问题与共同起点</w:t>
      </w:r>
      <w:bookmarkEnd w:id="159"/>
      <w:bookmarkEnd w:id="1433"/>
    </w:p>
    <w:p>
      <w:pPr>
        <w:pStyle w:val="5"/>
        <w:keepNext/>
        <w:numPr>
          <w:numId w:val="0"/>
        </w:numPr>
        <w:spacing w:line="360" w:lineRule="auto" w:before="160" w:after="120"/>
        <w:ind w:firstLine="0"/>
      </w:pPr>
      <w:bookmarkStart w:id="160" w:name="容载比2.0的仿真起点"/>
      <w:r>
        <w:rPr>
          <w:rFonts w:ascii="Times New Roman" w:hAnsi="Times New Roman" w:eastAsia="方正仿宋_GBK"/>
          <w:b/>
          <w:sz w:val="26"/>
        </w:rPr>
        <w:t xml:space="preserve">5.1.1 容载比2.0的仿真起点</w:t>
      </w:r>
      <w:bookmarkEnd w:id="160"/>
    </w:p>
    <w:p>
      <w:pPr>
        <w:pStyle w:val="FirstParagraph"/>
        <w:widowControl/>
        <w:spacing w:line="300" w:lineRule="auto" w:before="0" w:after="0"/>
        <w:ind w:firstLine="480"/>
        <w:jc w:val="both"/>
      </w:pPr>
      <w:r>
        <w:rPr>
          <w:rFonts w:ascii="Times New Roman" w:hAnsi="Times New Roman" w:eastAsia="方正仿宋_GBK"/>
          <w:b w:val="0"/>
          <w:sz w:val="24"/>
        </w:rPr>
        <w:t xml:space="preserve">刚性、弹性方案在同一区县共用初始设备、负荷和工程价格。为比较后续措施的作用，将基期容载比统一设为2.00，基期年网供最大负荷取离散主变总容量的二分之一。该起点用于规划仿真，现状容量与历史负荷仍按第三章列示。</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
                  <m:e>
                    <m:r>
                      <m:t>P</m:t>
                    </m:r>
                  </m:e>
                  <m:sub>
                    <m:r>
                      <m:t>c</m:t>
                    </m:r>
                    <m:r>
                      <m:t>,</m:t>
                    </m:r>
                    <m:r>
                      <m:t>0</m:t>
                    </m:r>
                  </m:sub>
                </m:sSub>
                <m:r>
                  <m:t>=</m:t>
                </m:r>
                <m:f>
                  <m:fPr>
                    <m:type m:val="bar"/>
                  </m:fPr>
                  <m:num>
                    <m:sSub>
                      <m:e>
                        <m:r>
                          <m:t>S</m:t>
                        </m:r>
                      </m:e>
                      <m:sub>
                        <m:r>
                          <m:t>c</m:t>
                        </m:r>
                        <m:r>
                          <m:t>,</m:t>
                        </m:r>
                        <m:r>
                          <m:t>0</m:t>
                        </m:r>
                      </m:sub>
                    </m:sSub>
                  </m:num>
                  <m:den>
                    <m:r>
                      <m:t>2</m:t>
                    </m:r>
                  </m:den>
                </m:f>
                <m:r>
                  <m:t>,</m:t>
                </m:r>
                <m:r>
                  <m:t>  </m:t>
                </m:r>
                <m:sSub>
                  <m:e>
                    <m:r>
                      <m:t>P</m:t>
                    </m:r>
                  </m:e>
                  <m:sub>
                    <m:r>
                      <m:t>c</m:t>
                    </m:r>
                    <m:r>
                      <m:t>,</m:t>
                    </m:r>
                    <m:r>
                      <m:t>y</m:t>
                    </m:r>
                  </m:sub>
                </m:sSub>
                <m:r>
                  <m:t>=</m:t>
                </m:r>
                <m:sSub>
                  <m:e>
                    <m:r>
                      <m:t>P</m:t>
                    </m:r>
                  </m:e>
                  <m:sub>
                    <m:r>
                      <m:t>c</m:t>
                    </m:r>
                    <m:r>
                      <m:t>,</m:t>
                    </m:r>
                    <m:r>
                      <m:t>0</m:t>
                    </m:r>
                  </m:sub>
                </m:sSub>
                <m:r>
                  <m:t>(</m:t>
                </m:r>
                <m:r>
                  <m:t>1</m:t>
                </m:r>
                <m:r>
                  <m:t>+</m:t>
                </m:r>
                <m:sSub>
                  <m:e>
                    <m:acc>
                      <m:accPr>
                        <m:chr m:val="‾"/>
                      </m:accPr>
                      <m:e>
                        <m:r>
                          <m:t>g</m:t>
                        </m:r>
                      </m:e>
                    </m:acc>
                  </m:e>
                  <m:sub>
                    <m:r>
                      <m:t>c</m:t>
                    </m:r>
                  </m:sub>
                </m:sSub>
                <m:sSup>
                  <m:e>
                    <m:r>
                      <m:t>)</m:t>
                    </m:r>
                  </m:e>
                  <m:sup>
                    <m:r>
                      <m:t>y</m:t>
                    </m:r>
                  </m:sup>
                </m:sSup>
                <m:r>
                  <m:t>,</m:t>
                </m:r>
                <m:r>
                  <m:t> </m:t>
                </m:r>
                <m:r>
                  <m:t>y</m:t>
                </m:r>
                <m:r>
                  <m:t>=</m:t>
                </m:r>
                <m:r>
                  <m:t>1</m:t>
                </m:r>
                <m:r>
                  <m:t>,</m:t>
                </m:r>
                <m:r>
                  <m:t>2</m:t>
                </m:r>
                <m:r>
                  <m:t>,</m:t>
                </m:r>
                <m:r>
                  <m:t>3</m:t>
                </m:r>
                <m:r>
                  <m:t>,</m:t>
                </m:r>
                <m:r>
                  <m:t>4</m:t>
                </m:r>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（5-1）</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c</m:t>
        </m:r>
      </m:oMath>
      <w:r>
        <w:rPr>
          <w:rFonts w:ascii="Times New Roman" w:hAnsi="Times New Roman" w:eastAsia="方正仿宋_GBK"/>
          <w:b w:val="0"/>
          <w:sz w:val="24"/>
        </w:rPr>
        <w:t xml:space="preserve">为区县标识，</w:t>
      </w:r>
      <m:oMath>
        <m:sSub>
          <m:e>
            <m:r>
              <m:t>S</m:t>
            </m:r>
          </m:e>
          <m:sub>
            <m:r>
              <m:t>c</m:t>
            </m:r>
            <m:r>
              <m:t>,</m:t>
            </m:r>
            <m:r>
              <m:t>0</m:t>
            </m:r>
          </m:sub>
        </m:sSub>
      </m:oMath>
      <w:r>
        <w:rPr>
          <w:rFonts w:ascii="Times New Roman" w:hAnsi="Times New Roman" w:eastAsia="方正仿宋_GBK"/>
          <w:b w:val="0"/>
          <w:sz w:val="24"/>
        </w:rPr>
        <w:t xml:space="preserve">为基期公用主变总容量，单位MVA；</w:t>
      </w:r>
      <m:oMath>
        <m:sSub>
          <m:e>
            <m:r>
              <m:t>P</m:t>
            </m:r>
          </m:e>
          <m:sub>
            <m:r>
              <m:t>c</m:t>
            </m:r>
            <m:r>
              <m:t>,</m:t>
            </m:r>
            <m:r>
              <m:t>0</m:t>
            </m:r>
          </m:sub>
        </m:sSub>
      </m:oMath>
      <w:r>
        <w:rPr>
          <w:rFonts w:ascii="Times New Roman" w:hAnsi="Times New Roman" w:eastAsia="方正仿宋_GBK"/>
          <w:b w:val="0"/>
          <w:sz w:val="24"/>
        </w:rPr>
        <w:t xml:space="preserve">和</w:t>
      </w:r>
      <m:oMath>
        <m:sSub>
          <m:e>
            <m:r>
              <m:t>P</m:t>
            </m:r>
          </m:e>
          <m:sub>
            <m:r>
              <m:t>c</m:t>
            </m:r>
            <m:r>
              <m:t>,</m:t>
            </m:r>
            <m:r>
              <m:t>y</m:t>
            </m:r>
          </m:sub>
        </m:sSub>
      </m:oMath>
      <w:r>
        <w:rPr>
          <w:rFonts w:ascii="Times New Roman" w:hAnsi="Times New Roman" w:eastAsia="方正仿宋_GBK"/>
          <w:b w:val="0"/>
          <w:sz w:val="24"/>
        </w:rPr>
        <w:t xml:space="preserve">分别为基期及第</w:t>
      </w:r>
      <m:oMath>
        <m:r>
          <m:t>y</m:t>
        </m:r>
      </m:oMath>
      <w:r>
        <w:rPr>
          <w:rFonts w:ascii="Times New Roman" w:hAnsi="Times New Roman" w:eastAsia="方正仿宋_GBK"/>
          <w:b w:val="0"/>
          <w:sz w:val="24"/>
        </w:rPr>
        <w:t xml:space="preserve">年网供最大负荷，单位MW；</w:t>
      </w:r>
      <m:oMath>
        <m:sSub>
          <m:e>
            <m:acc>
              <m:accPr>
                <m:chr m:val="‾"/>
              </m:accPr>
              <m:e>
                <m:r>
                  <m:t>g</m:t>
                </m:r>
              </m:e>
            </m:acc>
          </m:e>
          <m:sub>
            <m:r>
              <m:t>c</m:t>
            </m:r>
          </m:sub>
        </m:sSub>
      </m:oMath>
      <w:r>
        <w:rPr>
          <w:rFonts w:ascii="Times New Roman" w:hAnsi="Times New Roman" w:eastAsia="方正仿宋_GBK"/>
          <w:b w:val="0"/>
          <w:sz w:val="24"/>
        </w:rPr>
        <w:t xml:space="preserve">为该区县年负荷平均增长率，按第三章所列递增权重方法估计。</w:t>
      </w:r>
      <m:oMath>
        <m:r>
          <m:t>y</m:t>
        </m:r>
      </m:oMath>
      <w:r>
        <w:rPr>
          <w:rFonts w:ascii="Times New Roman" w:hAnsi="Times New Roman" w:eastAsia="方正仿宋_GBK"/>
          <w:b w:val="0"/>
          <w:sz w:val="24"/>
        </w:rPr>
        <w:t xml:space="preserve">为仿真年序号。计算文件采用2022—2025年作为第1—4年的折现时点。</w:t>
      </w:r>
    </w:p>
    <w:p>
      <w:pPr>
        <w:pStyle w:val="2"/>
        <w:widowControl/>
        <w:spacing w:line="300" w:lineRule="auto" w:before="0" w:after="0"/>
        <w:ind w:firstLine="480"/>
        <w:jc w:val="both"/>
      </w:pPr>
      <w:r>
        <w:rPr>
          <w:rFonts w:ascii="Times New Roman" w:hAnsi="Times New Roman" w:eastAsia="方正仿宋_GBK"/>
          <w:b w:val="0"/>
          <w:sz w:val="24"/>
        </w:rPr>
        <w:t xml:space="preserve">站级最大正向、反向净负荷按2025年样本的空间分布标定到仿真年度规模。邳州保留样本供电区域类别，市区按A类规划。样本设备规格、供电区域类别和主变扩建预留位置进入候选集合，后续投运的主变、储能和联络项目持续在役。</w:t>
      </w:r>
    </w:p>
    <w:p>
      <w:pPr>
        <w:pStyle w:val="2"/>
        <w:keepNext/>
        <w:spacing w:line="300" w:lineRule="auto" w:before="120" w:after="80"/>
        <w:ind w:firstLine="0"/>
        <w:jc w:val="center"/>
      </w:pPr>
      <w:r>
        <w:rPr>
          <w:rFonts w:ascii="Times New Roman" w:hAnsi="Times New Roman" w:eastAsia="宋体"/>
          <w:b w:val="0"/>
          <w:sz w:val="21"/>
        </w:rPr>
        <w:t xml:space="preserve">表5-1 统一容载比2.00的仿真起点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基期主变容量/MVA</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基期年网供最大负荷/MW</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容载比</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年负荷平均增长率</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初始转供率</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1463.50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731.75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8.07%</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28.29%</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2462.00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1231.00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1.80%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w:t>
            </w:r>
          </w:p>
        </w:tc>
      </w:tr>
    </w:tbl>
    <w:p>
      <w:pPr>
        <w:pStyle w:val="5"/>
        <w:keepNext/>
        <w:numPr>
          <w:numId w:val="0"/>
        </w:numPr>
        <w:spacing w:line="360" w:lineRule="auto" w:before="160" w:after="120"/>
        <w:ind w:firstLine="0"/>
      </w:pPr>
      <w:bookmarkStart w:id="161" w:name="刚性与弹性规划条件"/>
      <w:r>
        <w:rPr>
          <w:rFonts w:ascii="Times New Roman" w:hAnsi="Times New Roman" w:eastAsia="方正仿宋_GBK"/>
          <w:b/>
          <w:sz w:val="26"/>
        </w:rPr>
        <w:t xml:space="preserve">5.1.2 刚性与弹性规划条件</w:t>
      </w:r>
      <w:bookmarkEnd w:id="161"/>
    </w:p>
    <w:p>
      <w:pPr>
        <w:pStyle w:val="FirstParagraph"/>
        <w:widowControl/>
        <w:spacing w:line="300" w:lineRule="auto" w:before="0" w:after="0"/>
        <w:ind w:firstLine="480"/>
        <w:jc w:val="both"/>
      </w:pPr>
      <w:r>
        <w:rPr>
          <w:rFonts w:ascii="Times New Roman" w:hAnsi="Times New Roman" w:eastAsia="方正仿宋_GBK"/>
          <w:b w:val="0"/>
          <w:sz w:val="24"/>
        </w:rPr>
        <w:t xml:space="preserve">刚性方案各年容载比不超过2.00。弹性方案在满足相同技术约束下，允许容载比在大于2.00至2.60的研究范围内选择。两地区案例按市区同方案容载比低于邳州、同区县弹性容载比高于刚性的条件进行比较。</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sSub>
                        <m:e>
                          <m:r>
                            <m:t>R</m:t>
                          </m:r>
                        </m:e>
                        <m:sub>
                          <m:r>
                            <m:t>c</m:t>
                          </m:r>
                          <m:r>
                            <m:t>,</m:t>
                          </m:r>
                          <m:r>
                            <m:t>s</m:t>
                          </m:r>
                          <m:r>
                            <m:t>,</m:t>
                          </m:r>
                          <m:r>
                            <m:t>y</m:t>
                          </m:r>
                        </m:sub>
                      </m:sSub>
                    </m:e>
                    <m:e>
                      <m:r>
                        <m:t>=</m:t>
                      </m:r>
                      <m:f>
                        <m:fPr>
                          <m:type m:val="bar"/>
                        </m:fPr>
                        <m:num>
                          <m:sSub>
                            <m:e>
                              <m:r>
                                <m:t>S</m:t>
                              </m:r>
                            </m:e>
                            <m:sub>
                              <m:r>
                                <m:t>c</m:t>
                              </m:r>
                              <m:r>
                                <m:t>,</m:t>
                              </m:r>
                              <m:r>
                                <m:t>s</m:t>
                              </m:r>
                              <m:r>
                                <m:t>,</m:t>
                              </m:r>
                              <m:r>
                                <m:t>y</m:t>
                              </m:r>
                            </m:sub>
                          </m:sSub>
                        </m:num>
                        <m:den>
                          <m:sSub>
                            <m:e>
                              <m:r>
                                <m:t>P</m:t>
                              </m:r>
                            </m:e>
                            <m:sub>
                              <m:r>
                                <m:t>c</m:t>
                              </m:r>
                              <m:r>
                                <m:t>,</m:t>
                              </m:r>
                              <m:r>
                                <m:t>y</m:t>
                              </m:r>
                            </m:sub>
                          </m:sSub>
                        </m:den>
                      </m:f>
                    </m:e>
                  </m:mr>
                  <m:mr>
                    <m:e/>
                    <m:e>
                      <m:sSub>
                        <m:e>
                          <m:r>
                            <m:t>R</m:t>
                          </m:r>
                        </m:e>
                        <m:sub>
                          <m:r>
                            <m:t>c</m:t>
                          </m:r>
                          <m:r>
                            <m:t>,</m:t>
                          </m:r>
                          <m:r>
                            <m:rPr>
                              <m:sty m:val="p"/>
                            </m:rPr>
                            <m:t>r</m:t>
                          </m:r>
                          <m:r>
                            <m:rPr>
                              <m:sty m:val="p"/>
                            </m:rPr>
                            <m:t>i</m:t>
                          </m:r>
                          <m:r>
                            <m:rPr>
                              <m:sty m:val="p"/>
                            </m:rPr>
                            <m:t>g</m:t>
                          </m:r>
                          <m:r>
                            <m:rPr>
                              <m:sty m:val="p"/>
                            </m:rPr>
                            <m:t>i</m:t>
                          </m:r>
                          <m:r>
                            <m:rPr>
                              <m:sty m:val="p"/>
                            </m:rPr>
                            <m:t>d</m:t>
                          </m:r>
                          <m:r>
                            <m:t>,</m:t>
                          </m:r>
                          <m:r>
                            <m:t>y</m:t>
                          </m:r>
                        </m:sub>
                      </m:sSub>
                      <m:r>
                        <m:t>≤</m:t>
                      </m:r>
                      <m:r>
                        <m:t>2.00</m:t>
                      </m:r>
                    </m:e>
                  </m:mr>
                  <m:mr>
                    <m:e/>
                    <m:e>
                      <m:r>
                        <m:t>2.00</m:t>
                      </m:r>
                      <m:r>
                        <m:t>&lt;</m:t>
                      </m:r>
                      <m:sSub>
                        <m:e>
                          <m:r>
                            <m:t>R</m:t>
                          </m:r>
                        </m:e>
                        <m:sub>
                          <m:r>
                            <m:t>c</m:t>
                          </m:r>
                          <m:r>
                            <m:t>,</m:t>
                          </m:r>
                          <m:r>
                            <m:rPr>
                              <m:sty m:val="p"/>
                            </m:rPr>
                            <m:t>e</m:t>
                          </m:r>
                          <m:r>
                            <m:rPr>
                              <m:sty m:val="p"/>
                            </m:rPr>
                            <m:t>l</m:t>
                          </m:r>
                          <m:r>
                            <m:rPr>
                              <m:sty m:val="p"/>
                            </m:rPr>
                            <m:t>a</m:t>
                          </m:r>
                          <m:r>
                            <m:rPr>
                              <m:sty m:val="p"/>
                            </m:rPr>
                            <m:t>s</m:t>
                          </m:r>
                          <m:r>
                            <m:rPr>
                              <m:sty m:val="p"/>
                            </m:rPr>
                            <m:t>t</m:t>
                          </m:r>
                          <m:r>
                            <m:rPr>
                              <m:sty m:val="p"/>
                            </m:rPr>
                            <m:t>i</m:t>
                          </m:r>
                          <m:r>
                            <m:rPr>
                              <m:sty m:val="p"/>
                            </m:rPr>
                            <m:t>c</m:t>
                          </m:r>
                          <m:r>
                            <m:t>,</m:t>
                          </m:r>
                          <m:r>
                            <m:t>y</m:t>
                          </m:r>
                        </m:sub>
                      </m:sSub>
                      <m:r>
                        <m:t>≤</m:t>
                      </m:r>
                      <m:r>
                        <m:t>2.60</m:t>
                      </m:r>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（5-2）</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R</m:t>
            </m:r>
          </m:e>
          <m:sub>
            <m:r>
              <m:t>c</m:t>
            </m:r>
            <m:r>
              <m:t>,</m:t>
            </m:r>
            <m:r>
              <m:t>s</m:t>
            </m:r>
            <m:r>
              <m:t>,</m:t>
            </m:r>
            <m:r>
              <m:t>y</m:t>
            </m:r>
          </m:sub>
        </m:sSub>
      </m:oMath>
      <w:r>
        <w:rPr>
          <w:rFonts w:ascii="Times New Roman" w:hAnsi="Times New Roman" w:eastAsia="方正仿宋_GBK"/>
          <w:b w:val="0"/>
          <w:sz w:val="24"/>
        </w:rPr>
        <w:t xml:space="preserve">为容载比，</w:t>
      </w:r>
      <m:oMath>
        <m:r>
          <m:t>s</m:t>
        </m:r>
      </m:oMath>
      <w:r>
        <w:rPr>
          <w:rFonts w:ascii="Times New Roman" w:hAnsi="Times New Roman" w:eastAsia="方正仿宋_GBK"/>
          <w:b w:val="0"/>
          <w:sz w:val="24"/>
        </w:rPr>
        <w:t xml:space="preserve">为刚性或弹性方案标识，</w:t>
      </w:r>
      <m:oMath>
        <m:sSub>
          <m:e>
            <m:r>
              <m:t>S</m:t>
            </m:r>
          </m:e>
          <m:sub>
            <m:r>
              <m:t>c</m:t>
            </m:r>
            <m:r>
              <m:t>,</m:t>
            </m:r>
            <m:r>
              <m:t>s</m:t>
            </m:r>
            <m:r>
              <m:t>,</m:t>
            </m:r>
            <m:r>
              <m:t>y</m:t>
            </m:r>
          </m:sub>
        </m:sSub>
      </m:oMath>
      <w:r>
        <w:rPr>
          <w:rFonts w:ascii="Times New Roman" w:hAnsi="Times New Roman" w:eastAsia="方正仿宋_GBK"/>
          <w:b w:val="0"/>
          <w:sz w:val="24"/>
        </w:rPr>
        <w:t xml:space="preserve">为该年公用主变总容量。主变容量计入分子，储能和联络能力用于局部容量校核。</w:t>
      </w:r>
      <m:oMath>
        <m:sSub>
          <m:e>
            <m:r>
              <m:t>P</m:t>
            </m:r>
          </m:e>
          <m:sub>
            <m:r>
              <m:t>c</m:t>
            </m:r>
            <m:r>
              <m:t>,</m:t>
            </m:r>
            <m:r>
              <m:t>y</m:t>
            </m:r>
          </m:sub>
        </m:sSub>
      </m:oMath>
      <w:r>
        <w:rPr>
          <w:rFonts w:ascii="Times New Roman" w:hAnsi="Times New Roman" w:eastAsia="方正仿宋_GBK"/>
          <w:b w:val="0"/>
          <w:sz w:val="24"/>
        </w:rPr>
        <w:t xml:space="preserve">在同一区县、同一年两种方案中保持一致。2.60为参数分析上限。</w:t>
      </w:r>
    </w:p>
    <w:p>
      <w:pPr>
        <w:pStyle w:val="2"/>
        <w:widowControl/>
        <w:spacing w:line="300" w:lineRule="auto" w:before="0" w:after="0"/>
        <w:ind w:firstLine="480"/>
        <w:jc w:val="both"/>
      </w:pPr>
      <w:r>
        <w:rPr>
          <w:rFonts w:ascii="Times New Roman" w:hAnsi="Times New Roman" w:eastAsia="方正仿宋_GBK"/>
          <w:b w:val="0"/>
          <w:sz w:val="24"/>
        </w:rPr>
        <w:t xml:space="preserve">区县内转接保持负荷总量。储能参与站级峰段支撑时，区域容载比仍按预先确定的年网供最大负荷计算，保证两方案在同一负荷口径下比较。</w:t>
      </w:r>
    </w:p>
    <w:p>
      <w:pPr>
        <w:pStyle w:val="5"/>
        <w:keepNext/>
        <w:numPr>
          <w:numId w:val="0"/>
        </w:numPr>
        <w:spacing w:line="360" w:lineRule="auto" w:before="160" w:after="120"/>
        <w:ind w:firstLine="0"/>
      </w:pPr>
      <w:bookmarkStart w:id="162" w:name="指标参数的选取依据"/>
      <w:r>
        <w:rPr>
          <w:rFonts w:ascii="Times New Roman" w:hAnsi="Times New Roman" w:eastAsia="方正仿宋_GBK"/>
          <w:b/>
          <w:sz w:val="26"/>
        </w:rPr>
        <w:t xml:space="preserve">5.1.3 指标参数的选取依据</w:t>
      </w:r>
      <w:bookmarkEnd w:id="162"/>
    </w:p>
    <w:p>
      <w:pPr>
        <w:pStyle w:val="FirstParagraph"/>
        <w:widowControl/>
        <w:spacing w:line="300" w:lineRule="auto" w:before="0" w:after="0"/>
        <w:ind w:firstLine="480"/>
        <w:jc w:val="both"/>
      </w:pPr>
      <w:r>
        <w:rPr>
          <w:rFonts w:ascii="Times New Roman" w:hAnsi="Times New Roman" w:eastAsia="方正仿宋_GBK"/>
          <w:b w:val="0"/>
          <w:sz w:val="24"/>
        </w:rPr>
        <w:t>“一片一策”规划需要同时描述片区负荷发展、分布式电源规模、峰段支撑需求和工程经济条件。容载比作为规划输出，以公用主变总容量和年网供最大负荷计算；源荷指标确定需要校核的运行场景，持续时间确定储能的功率与能量配置，成本比反映措施之间的经济替代关系。各参数在模型中承担不同作用，选取依据如下。</w:t>
      </w:r>
    </w:p>
    <w:p>
      <w:pPr>
        <w:pStyle w:val="FirstParagraph"/>
        <w:widowControl/>
        <w:spacing w:line="300" w:lineRule="auto" w:before="0" w:after="0"/>
        <w:ind w:firstLine="480"/>
        <w:jc w:val="both"/>
      </w:pPr>
      <w:r>
        <w:rPr>
          <w:rFonts w:ascii="Times New Roman" w:hAnsi="Times New Roman" w:eastAsia="方正仿宋_GBK"/>
          <w:b w:val="0"/>
          <w:sz w:val="24"/>
        </w:rPr>
        <w:t>分布式电源装机渗透率即源荷比，以同一供电范围内分布式电源装机容量除以用户最大负荷，采用《配电网规划设计技术导则（修订稿，2025年4月）》第3.1.18条和第6.5.4条的定义[19]。该指标反映电源与负荷的规模关系；第7.4.2.2条提出源荷比超过2.00时，应以反向净负荷极值校核主变容量[19]。邳州、市区分别约为1.63、0.32，外推据此取0.00～3.00，在1.00和2.00附近设置计算点，覆盖负荷主导、源荷规模接近及电源规模较大的情景。各情景再结合日间出力和用户负荷形成反向净负荷。</w:t>
      </w:r>
    </w:p>
    <w:p>
      <w:pPr>
        <w:pStyle w:val="FirstParagraph"/>
        <w:widowControl/>
        <w:spacing w:line="300" w:lineRule="auto" w:before="0" w:after="0"/>
        <w:ind w:firstLine="480"/>
        <w:jc w:val="both"/>
      </w:pPr>
      <w:r>
        <w:rPr>
          <w:rFonts w:ascii="Times New Roman" w:hAnsi="Times New Roman" w:eastAsia="方正仿宋_GBK"/>
          <w:b w:val="0"/>
          <w:sz w:val="24"/>
        </w:rPr>
        <w:t>分布式电源电量渗透率以同范围分布式电源年发电量除以用户年用电量，采用上述导则修订稿第3.1.19条的定义。第7.4.2.2条将电量渗透率超过40.00%～50.00%列为开展反向容量校核的条件[19]；Holweger等也按光伏年发电量占年用电量的比例分析灵活性服务与网架建设费用[30]。选取该指标，可将年度源荷电量关系与装机规模对应。外推在光伏利用小时1200 h、用户年负荷率0.50的统一假定下换算，范围为0.00%～82.19%；案例按月度装机及典型出力估计。容量配置由正反向峰值及其持续时间共同确定。</w:t>
      </w:r>
    </w:p>
    <w:p>
      <w:pPr>
        <w:pStyle w:val="FirstParagraph"/>
        <w:widowControl/>
        <w:spacing w:line="300" w:lineRule="auto" w:before="0" w:after="0"/>
        <w:ind w:firstLine="480"/>
        <w:jc w:val="both"/>
      </w:pPr>
      <w:r>
        <w:rPr>
          <w:rFonts w:ascii="Times New Roman" w:hAnsi="Times New Roman" w:eastAsia="方正仿宋_GBK"/>
          <w:b w:val="0"/>
          <w:sz w:val="24"/>
        </w:rPr>
        <w:t>年负荷平均增长率在本研究中按年最大正向净负荷的增长计算，用于表征规划期净负荷年增长及容量储备需求。DL/T 5729—2023《配电网规划设计技术导则》表6.3.4按负荷增长水平给出容载比范围[5]，上述导则修订稿表2进一步采用年最大净负荷平均增长率分档[19]。刘炜彬等将负荷发展储备纳入容载比精细化配置，Martínez等分析了持续负荷增长对储能延缓扩网经济性的影响[47][9]。外推取0.00%～10.00%，包含2.00%、4.00%、7.00%的导则分档节点，并以8.00%、10.00%覆盖较快增长情景。案例按第三章的历史同比率递增权重方法取8.07%、1.80%，在设定源荷结构下同步缩放站级正反向净负荷。</w:t>
      </w:r>
    </w:p>
    <w:p>
      <w:pPr>
        <w:pStyle w:val="FirstParagraph"/>
        <w:widowControl/>
        <w:spacing w:line="300" w:lineRule="auto" w:before="0" w:after="0"/>
        <w:ind w:firstLine="480"/>
        <w:jc w:val="both"/>
      </w:pPr>
      <w:r>
        <w:rPr>
          <w:rFonts w:ascii="Times New Roman" w:hAnsi="Times New Roman" w:eastAsia="方正仿宋_GBK"/>
          <w:b w:val="0"/>
          <w:sz w:val="24"/>
        </w:rPr>
        <w:t>净负荷峰值取绝对值，用于比较正向供电与反向输送的容量压力。导则修订稿第3.1.13条按输送方向规定净负荷正负号，第7.4.1条和第7.4.2条要求分别分析正向、反向净负荷并校核容量[19]。本研究据此分别提取两方向峰值，再取较大幅值作为净负荷最大绝对值，同时保留方向进行容量校核。容载比按公用主变总容量与区域年最大正向净负荷计算；站级绝对峰值用于局部设备校核，两者分别承担区域规划和站级定容的作用。</w:t>
      </w:r>
    </w:p>
    <w:p>
      <w:pPr>
        <w:pStyle w:val="FirstParagraph"/>
        <w:widowControl/>
        <w:spacing w:line="300" w:lineRule="auto" w:before="0" w:after="0"/>
        <w:ind w:firstLine="480"/>
        <w:jc w:val="both"/>
      </w:pPr>
      <w:r>
        <w:rPr>
          <w:rFonts w:ascii="Times New Roman" w:hAnsi="Times New Roman" w:eastAsia="方正仿宋_GBK"/>
          <w:b w:val="0"/>
          <w:sz w:val="24"/>
        </w:rPr>
        <w:t>95%峰值持续时间用于将近峰运行特征转化为储能能量需求。Xu等的全寿命储能规划及Martínez等的峰段削减研究均将功率、能量和负荷时段纳入配置分析[10][9]。同一功率缺口持续越久，所需储能能量越大。本研究以方向峰值的95%作为近峰幅值门槛，识别相邻高负荷时段，并以最长连续段确定一次峰段的支撑时长。95%为依据小时曲线设置的研究参数。外推取1、2、3、4、6 h，覆盖短时尖峰与较长连续峰段；其中2～3 h跨越单柜额定能量与功率之比2.15 h，可反映储能由功率约束转为能量约束的配置差异。</w:t>
      </w:r>
    </w:p>
    <w:p>
      <w:pPr>
        <w:pStyle w:val="FirstParagraph"/>
        <w:widowControl/>
        <w:spacing w:line="300" w:lineRule="auto" w:before="0" w:after="0"/>
        <w:ind w:firstLine="480"/>
        <w:jc w:val="both"/>
      </w:pPr>
      <w:r>
        <w:rPr>
          <w:rFonts w:ascii="Times New Roman" w:hAnsi="Times New Roman" w:eastAsia="方正仿宋_GBK"/>
          <w:b w:val="0"/>
          <w:sz w:val="24"/>
        </w:rPr>
        <w:t>主变与线路成本比用于比较增加变电容量和新建10 kV联络的经济条件。肖峻等量化了中压网络联络能力与上级变电容量的关系，金勇等研究了高压配电网负荷转供的分层优化[8][77]。两类措施均可改善站级容量约束，故按相同有效MW将主变投资与联络投资相除。主变价格依据徐州工程投资表，线路价格依据华容县规划造价并按本研究联络工程规模折算[7][86]。围绕线路基价设置0.75、1.00、1.25倍的敏感性情景，考察线路工程费用变化对措施选取的影响；对应成本比约0.98～1.63，归纳为0.90～1.10、大于1.10至1.40、大于1.40至1.70三档。</w:t>
      </w:r>
    </w:p>
    <w:p>
      <w:pPr>
        <w:pStyle w:val="FirstParagraph"/>
        <w:widowControl/>
        <w:spacing w:line="300" w:lineRule="auto" w:before="0" w:after="0"/>
        <w:ind w:firstLine="480"/>
        <w:jc w:val="both"/>
      </w:pPr>
      <w:r>
        <w:rPr>
          <w:rFonts w:ascii="Times New Roman" w:hAnsi="Times New Roman" w:eastAsia="方正仿宋_GBK"/>
          <w:b w:val="0"/>
          <w:sz w:val="24"/>
        </w:rPr>
        <w:t>主变与储能成本比用于比较变电容量建设和峰段储能支撑的经济条件。Matthiss等比较储能配置与网架加强投资，Martínez等进一步分析投资、寿命和负荷条件对储能替代扩网的影响[31][9]。本研究以主变单位有效MW投资除以储能单位有效MW投资，储能基价采用浏阳项目成交资料并按215 kWh柜折算[85]。选取3 h参考峰段，使成本比同时体现功率和能量配置条件，并与1～6 h持续时间情景衔接。储能基价设置0.50、1.00、1.25倍的敏感性情景，考察价格下降及费用提高的影响；对应成本比约0.04～0.12，归纳为0.04～0.05、大于0.05至0.08、大于0.08至0.12三档。实际寻优按各场景持续时间及全寿命费用比较。</w:t>
      </w:r>
    </w:p>
    <w:p>
      <w:pPr>
        <w:pStyle w:val="2"/>
        <w:keepNext/>
        <w:spacing w:line="300" w:lineRule="auto" w:before="120" w:after="80"/>
        <w:ind w:firstLine="0"/>
        <w:jc w:val="center"/>
      </w:pPr>
      <w:r>
        <w:rPr>
          <w:rFonts w:ascii="Times New Roman" w:hAnsi="Times New Roman" w:eastAsia="宋体"/>
          <w:b w:val="0"/>
          <w:sz w:val="21"/>
        </w:rPr>
        <w:t xml:space="preserve">表5-2 参数定义及寻优作用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参数</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采用口径</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模型作用</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容载比</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公用主变总容量/年网供最大负荷[5]</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规划结果</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分布式电源装机渗透率</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装机容量/用户最大负荷[19]</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构造源荷情景</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分布式电源电量渗透率</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发电量/用户用电量[19]</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源荷背景</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最大正向、反向净负荷</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站级方向极值</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正常与退出容量校核</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95%峰值持续时间</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最长连续达到本方向峰值95%的时段</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储能能量折算</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年负荷平均增长率</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历史同比率递增权重平均值</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后续负荷推演</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主变与线路成本比</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相同有效MW初始投资比</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联络费用敏感性</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主变与储能成本比</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 h参考有效MW初始投资比</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储能费用敏感性</w:t>
            </w:r>
          </w:p>
        </w:tc>
      </w:tr>
    </w:tbl>
    <w:p>
      <w:pPr>
        <w:pStyle w:val="2"/>
        <w:widowControl/>
        <w:spacing w:line="300" w:lineRule="auto" w:before="0" w:after="0"/>
        <w:ind w:firstLine="480"/>
        <w:jc w:val="both"/>
      </w:pPr>
      <w:r>
        <w:rPr>
          <w:rFonts w:ascii="Times New Roman" w:hAnsi="Times New Roman" w:eastAsia="方正仿宋_GBK"/>
          <w:b w:val="0"/>
          <w:sz w:val="24"/>
        </w:rPr>
        <w:t xml:space="preserve">站间转供率、供电区域类别及主变规格作为规划条件保留。市区50.00%的初始转供率对应A类研究情景，邳州28.29%由馈线样本计算后应用于县域站群。主变增容、储能配置与联络建设均在这些条件下寻优，推荐容载比由最终在役容量形成。</w:t>
      </w:r>
    </w:p>
    <w:p>
      <w:bookmarkStart w:id="1453" w:name="h453"/>
      <w:pPr>
        <w:pStyle w:val="4"/>
        <w:keepNext/>
        <w:numPr>
          <w:numId w:val="0"/>
        </w:numPr>
        <w:spacing w:line="360" w:lineRule="auto" w:before="160" w:after="120"/>
        <w:ind w:firstLine="0"/>
      </w:pPr>
      <w:bookmarkStart w:id="163" w:name="三类方案的选取与寻优方法"/>
      <w:r>
        <w:rPr>
          <w:rFonts w:ascii="Times New Roman" w:hAnsi="Times New Roman" w:eastAsia="方正仿宋_GBK"/>
          <w:b/>
          <w:sz w:val="32"/>
        </w:rPr>
        <w:t xml:space="preserve">5.2 三类方案的选取与寻优方法</w:t>
      </w:r>
      <w:bookmarkEnd w:id="163"/>
      <w:bookmarkEnd w:id="1453"/>
    </w:p>
    <w:p>
      <w:pPr>
        <w:pStyle w:val="5"/>
        <w:keepNext/>
        <w:numPr>
          <w:numId w:val="0"/>
        </w:numPr>
        <w:spacing w:line="360" w:lineRule="auto" w:before="160" w:after="120"/>
        <w:ind w:firstLine="0"/>
      </w:pPr>
      <w:bookmarkStart w:id="164" w:name="主变增容及扩建方案"/>
      <w:r>
        <w:rPr>
          <w:rFonts w:ascii="Times New Roman" w:hAnsi="Times New Roman" w:eastAsia="方正仿宋_GBK"/>
          <w:b/>
          <w:sz w:val="26"/>
        </w:rPr>
        <w:t xml:space="preserve">5.2.1 主变增容及扩建方案</w:t>
      </w:r>
      <w:bookmarkEnd w:id="164"/>
    </w:p>
    <w:p>
      <w:pPr>
        <w:pStyle w:val="FirstParagraph"/>
        <w:widowControl/>
        <w:spacing w:line="300" w:lineRule="auto" w:before="0" w:after="0"/>
        <w:ind w:firstLine="480"/>
        <w:jc w:val="both"/>
      </w:pPr>
      <w:r>
        <w:rPr>
          <w:rFonts w:ascii="Times New Roman" w:hAnsi="Times New Roman" w:eastAsia="方正仿宋_GBK"/>
          <w:b w:val="0"/>
          <w:sz w:val="24"/>
        </w:rPr>
        <w:t xml:space="preserve">主变建设包括既有主变增容和增加主变台数的扩建。每个槽位在每年选择一种允许规格，容量逐年非减。既有规格可以继续使用，新购规格按供电区域类别和候选目录确定；主变扩建须具备可用预留位置。</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nary>
                        <m:naryPr>
                          <m:chr m:val="∑"/>
                          <m:limLoc m:val="undOvr"/>
                          <m:subHide m:val="0"/>
                          <m:supHide m:val="1"/>
                        </m:naryPr>
                        <m:sub>
                          <m:r>
                            <m:t>a</m:t>
                          </m:r>
                          <m:r>
                            <m:t>∈</m:t>
                          </m:r>
                          <m:sSub>
                            <m:e>
                              <m:r>
                                <m:rPr>
                                  <m:sty m:val="p"/>
                                  <m:scr m:val="script"/>
                                </m:rPr>
                                <m:t>A</m:t>
                              </m:r>
                            </m:e>
                            <m:sub>
                              <m:r>
                                <m:t>i</m:t>
                              </m:r>
                              <m:r>
                                <m:t>k</m:t>
                              </m:r>
                            </m:sub>
                          </m:sSub>
                        </m:sub>
                        <m:sup>
                          <m:r>
                            <m:t>​</m:t>
                          </m:r>
                        </m:sup>
                        <m:e>
                          <m:sSub>
                            <m:e>
                              <m:r>
                                <m:t>x</m:t>
                              </m:r>
                            </m:e>
                            <m:sub>
                              <m:r>
                                <m:t>i</m:t>
                              </m:r>
                              <m:r>
                                <m:t>,</m:t>
                              </m:r>
                              <m:r>
                                <m:t>k</m:t>
                              </m:r>
                              <m:r>
                                <m:t>,</m:t>
                              </m:r>
                              <m:r>
                                <m:t>y</m:t>
                              </m:r>
                              <m:r>
                                <m:t>,</m:t>
                              </m:r>
                              <m:r>
                                <m:t>a</m:t>
                              </m:r>
                            </m:sub>
                          </m:sSub>
                        </m:e>
                      </m:nary>
                    </m:e>
                    <m:e>
                      <m:r>
                        <m:t>=</m:t>
                      </m:r>
                      <m:r>
                        <m:t>1</m:t>
                      </m:r>
                    </m:e>
                  </m:mr>
                  <m:mr>
                    <m:e>
                      <m:sSub>
                        <m:e>
                          <m:r>
                            <m:t>S</m:t>
                          </m:r>
                        </m:e>
                        <m:sub>
                          <m:r>
                            <m:t>i</m:t>
                          </m:r>
                          <m:r>
                            <m:t>,</m:t>
                          </m:r>
                          <m:r>
                            <m:t>k</m:t>
                          </m:r>
                          <m:r>
                            <m:t>,</m:t>
                          </m:r>
                          <m:r>
                            <m:t>y</m:t>
                          </m:r>
                        </m:sub>
                      </m:sSub>
                    </m:e>
                    <m:e>
                      <m:r>
                        <m:t>=</m:t>
                      </m:r>
                      <m:nary>
                        <m:naryPr>
                          <m:chr m:val="∑"/>
                          <m:limLoc m:val="undOvr"/>
                          <m:subHide m:val="0"/>
                          <m:supHide m:val="1"/>
                        </m:naryPr>
                        <m:sub>
                          <m:r>
                            <m:t>a</m:t>
                          </m:r>
                          <m:r>
                            <m:t>∈</m:t>
                          </m:r>
                          <m:sSub>
                            <m:e>
                              <m:r>
                                <m:rPr>
                                  <m:sty m:val="p"/>
                                  <m:scr m:val="script"/>
                                </m:rPr>
                                <m:t>A</m:t>
                              </m:r>
                            </m:e>
                            <m:sub>
                              <m:r>
                                <m:t>i</m:t>
                              </m:r>
                              <m:r>
                                <m:t>k</m:t>
                              </m:r>
                            </m:sub>
                          </m:sSub>
                        </m:sub>
                        <m:sup>
                          <m:r>
                            <m:t>​</m:t>
                          </m:r>
                        </m:sup>
                        <m:e>
                          <m:r>
                            <m:t>a</m:t>
                          </m:r>
                        </m:e>
                      </m:nary>
                      <m:r>
                        <m:t> </m:t>
                      </m:r>
                      <m:sSub>
                        <m:e>
                          <m:r>
                            <m:t>x</m:t>
                          </m:r>
                        </m:e>
                        <m:sub>
                          <m:r>
                            <m:t>i</m:t>
                          </m:r>
                          <m:r>
                            <m:t>,</m:t>
                          </m:r>
                          <m:r>
                            <m:t>k</m:t>
                          </m:r>
                          <m:r>
                            <m:t>,</m:t>
                          </m:r>
                          <m:r>
                            <m:t>y</m:t>
                          </m:r>
                          <m:r>
                            <m:t>,</m:t>
                          </m:r>
                          <m:r>
                            <m:t>a</m:t>
                          </m:r>
                        </m:sub>
                      </m:sSub>
                    </m:e>
                  </m:mr>
                  <m:mr>
                    <m:e>
                      <m:sSub>
                        <m:e>
                          <m:r>
                            <m:t>S</m:t>
                          </m:r>
                        </m:e>
                        <m:sub>
                          <m:r>
                            <m:t>i</m:t>
                          </m:r>
                          <m:r>
                            <m:t>,</m:t>
                          </m:r>
                          <m:r>
                            <m:t>y</m:t>
                          </m:r>
                        </m:sub>
                      </m:sSub>
                    </m:e>
                    <m:e>
                      <m:r>
                        <m:t>=</m:t>
                      </m:r>
                      <m:sSub>
                        <m:e>
                          <m:r>
                            <m:t>S</m:t>
                          </m:r>
                        </m:e>
                        <m:sub>
                          <m:r>
                            <m:t>i</m:t>
                          </m:r>
                          <m:r>
                            <m:t>,</m:t>
                          </m:r>
                          <m:r>
                            <m:t>1</m:t>
                          </m:r>
                          <m:r>
                            <m:t>,</m:t>
                          </m:r>
                          <m:r>
                            <m:t>y</m:t>
                          </m:r>
                        </m:sub>
                      </m:sSub>
                      <m:r>
                        <m:t>+</m:t>
                      </m:r>
                      <m:sSub>
                        <m:e>
                          <m:r>
                            <m:t>S</m:t>
                          </m:r>
                        </m:e>
                        <m:sub>
                          <m:r>
                            <m:t>i</m:t>
                          </m:r>
                          <m:r>
                            <m:t>,</m:t>
                          </m:r>
                          <m:r>
                            <m:t>2</m:t>
                          </m:r>
                          <m:r>
                            <m:t>,</m:t>
                          </m:r>
                          <m:r>
                            <m:t>y</m:t>
                          </m:r>
                        </m:sub>
                      </m:sSub>
                      <m:r>
                        <m:t>+</m:t>
                      </m:r>
                      <m:r>
                        <m:t>50</m:t>
                      </m:r>
                      <m:sSub>
                        <m:e>
                          <m:r>
                            <m:t>u</m:t>
                          </m:r>
                        </m:e>
                        <m:sub>
                          <m:r>
                            <m:t>i</m:t>
                          </m:r>
                          <m:r>
                            <m:t>,</m:t>
                          </m:r>
                          <m:r>
                            <m:t>y</m:t>
                          </m:r>
                        </m:sub>
                      </m:sSub>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（5-3）</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i</m:t>
        </m:r>
      </m:oMath>
      <w:r>
        <w:rPr>
          <w:rFonts w:ascii="Times New Roman" w:hAnsi="Times New Roman" w:eastAsia="方正仿宋_GBK"/>
          <w:b w:val="0"/>
          <w:sz w:val="24"/>
        </w:rPr>
        <w:t xml:space="preserve">为变电站，</w:t>
      </w:r>
      <m:oMath>
        <m:r>
          <m:t>k</m:t>
        </m:r>
      </m:oMath>
      <w:r>
        <w:rPr>
          <w:rFonts w:ascii="Times New Roman" w:hAnsi="Times New Roman" w:eastAsia="方正仿宋_GBK"/>
          <w:b w:val="0"/>
          <w:sz w:val="24"/>
        </w:rPr>
        <w:t xml:space="preserve">为既有主变槽位，</w:t>
      </w:r>
      <m:oMath>
        <m:sSub>
          <m:e>
            <m:r>
              <m:rPr>
                <m:sty m:val="p"/>
                <m:scr m:val="script"/>
              </m:rPr>
              <m:t>A</m:t>
            </m:r>
          </m:e>
          <m:sub>
            <m:r>
              <m:t>i</m:t>
            </m:r>
            <m:r>
              <m:t>k</m:t>
            </m:r>
          </m:sub>
        </m:sSub>
      </m:oMath>
      <w:r>
        <w:rPr>
          <w:rFonts w:ascii="Times New Roman" w:hAnsi="Times New Roman" w:eastAsia="方正仿宋_GBK"/>
          <w:b w:val="0"/>
          <w:sz w:val="24"/>
        </w:rPr>
        <w:t xml:space="preserve">为允许容量规格集合，</w:t>
      </w:r>
      <m:oMath>
        <m:r>
          <m:t>a</m:t>
        </m:r>
      </m:oMath>
      <w:r>
        <w:rPr>
          <w:rFonts w:ascii="Times New Roman" w:hAnsi="Times New Roman" w:eastAsia="方正仿宋_GBK"/>
          <w:b w:val="0"/>
          <w:sz w:val="24"/>
        </w:rPr>
        <w:t xml:space="preserve">为其中一种规格，单位MVA；</w:t>
      </w:r>
      <m:oMath>
        <m:sSub>
          <m:e>
            <m:r>
              <m:t>x</m:t>
            </m:r>
          </m:e>
          <m:sub>
            <m:r>
              <m:t>i</m:t>
            </m:r>
            <m:r>
              <m:t>,</m:t>
            </m:r>
            <m:r>
              <m:t>k</m:t>
            </m:r>
            <m:r>
              <m:t>,</m:t>
            </m:r>
            <m:r>
              <m:t>y</m:t>
            </m:r>
            <m:r>
              <m:t>,</m:t>
            </m:r>
            <m:r>
              <m:t>a</m:t>
            </m:r>
          </m:sub>
        </m:sSub>
      </m:oMath>
      <w:r>
        <w:rPr>
          <w:rFonts w:ascii="Times New Roman" w:hAnsi="Times New Roman" w:eastAsia="方正仿宋_GBK"/>
          <w:b w:val="0"/>
          <w:sz w:val="24"/>
        </w:rPr>
        <w:t xml:space="preserve">为0或1的规格选择变量，</w:t>
      </w:r>
      <m:oMath>
        <m:sSub>
          <m:e>
            <m:r>
              <m:t>S</m:t>
            </m:r>
          </m:e>
          <m:sub>
            <m:r>
              <m:t>i</m:t>
            </m:r>
            <m:r>
              <m:t>,</m:t>
            </m:r>
            <m:r>
              <m:t>k</m:t>
            </m:r>
            <m:r>
              <m:t>,</m:t>
            </m:r>
            <m:r>
              <m:t>y</m:t>
            </m:r>
          </m:sub>
        </m:sSub>
      </m:oMath>
      <w:r>
        <w:rPr>
          <w:rFonts w:ascii="Times New Roman" w:hAnsi="Times New Roman" w:eastAsia="方正仿宋_GBK"/>
          <w:b w:val="0"/>
          <w:sz w:val="24"/>
        </w:rPr>
        <w:t xml:space="preserve">为槽位在役容量，</w:t>
      </w:r>
      <m:oMath>
        <m:sSub>
          <m:e>
            <m:r>
              <m:t>S</m:t>
            </m:r>
          </m:e>
          <m:sub>
            <m:r>
              <m:t>i</m:t>
            </m:r>
            <m:r>
              <m:t>,</m:t>
            </m:r>
            <m:r>
              <m:t>y</m:t>
            </m:r>
          </m:sub>
        </m:sSub>
      </m:oMath>
      <w:r>
        <w:rPr>
          <w:rFonts w:ascii="Times New Roman" w:hAnsi="Times New Roman" w:eastAsia="方正仿宋_GBK"/>
          <w:b w:val="0"/>
          <w:sz w:val="24"/>
        </w:rPr>
        <w:t xml:space="preserve">为站内主变总容量；</w:t>
      </w:r>
      <m:oMath>
        <m:sSub>
          <m:e>
            <m:r>
              <m:t>u</m:t>
            </m:r>
          </m:e>
          <m:sub>
            <m:r>
              <m:t>i</m:t>
            </m:r>
            <m:r>
              <m:t>,</m:t>
            </m:r>
            <m:r>
              <m:t>y</m:t>
            </m:r>
          </m:sub>
        </m:sSub>
      </m:oMath>
      <w:r>
        <w:rPr>
          <w:rFonts w:ascii="Times New Roman" w:hAnsi="Times New Roman" w:eastAsia="方正仿宋_GBK"/>
          <w:b w:val="0"/>
          <w:sz w:val="24"/>
        </w:rPr>
        <w:t xml:space="preserve">为扩建50 MVA主变的在役状态。该式省略区县和方案下标，各区县、各方案分别应用。</w:t>
      </w:r>
    </w:p>
    <w:p>
      <w:pPr>
        <w:pStyle w:val="2"/>
        <w:widowControl/>
        <w:spacing w:line="300" w:lineRule="auto" w:before="0" w:after="0"/>
        <w:ind w:firstLine="480"/>
        <w:jc w:val="both"/>
      </w:pPr>
      <w:r>
        <w:rPr>
          <w:rFonts w:ascii="Times New Roman" w:hAnsi="Times New Roman" w:eastAsia="方正仿宋_GBK"/>
          <w:b w:val="0"/>
          <w:sz w:val="24"/>
        </w:rPr>
        <w:t xml:space="preserve">模型先计算候选增容对正常供电、反向输送及单台退出后剩余容量的改善，再按新购整台容量计算替换费用。主变扩建采用1223万元/项的扩建费用。新增容量和采购容量同时列示，用于分别解释容载比变化与工程投资[7]。</w:t>
      </w:r>
    </w:p>
    <w:p>
      <w:pPr>
        <w:pStyle w:val="5"/>
        <w:keepNext/>
        <w:numPr>
          <w:numId w:val="0"/>
        </w:numPr>
        <w:spacing w:line="360" w:lineRule="auto" w:before="160" w:after="120"/>
        <w:ind w:firstLine="0"/>
      </w:pPr>
      <w:bookmarkStart w:id="165" w:name="储能配置方案"/>
      <w:r>
        <w:rPr>
          <w:rFonts w:ascii="Times New Roman" w:hAnsi="Times New Roman" w:eastAsia="方正仿宋_GBK"/>
          <w:b/>
          <w:sz w:val="26"/>
        </w:rPr>
        <w:t xml:space="preserve">5.2.2 储能配置方案</w:t>
      </w:r>
      <w:bookmarkEnd w:id="165"/>
    </w:p>
    <w:p>
      <w:pPr>
        <w:pStyle w:val="FirstParagraph"/>
        <w:widowControl/>
        <w:spacing w:line="300" w:lineRule="auto" w:before="0" w:after="0"/>
        <w:ind w:firstLine="480"/>
        <w:jc w:val="both"/>
      </w:pPr>
      <w:r>
        <w:rPr>
          <w:rFonts w:ascii="Times New Roman" w:hAnsi="Times New Roman" w:eastAsia="方正仿宋_GBK"/>
          <w:b w:val="0"/>
          <w:sz w:val="24"/>
        </w:rPr>
        <w:t xml:space="preserve">储能采用100 kW/215 kWh整数柜。在所选峰段内，有效支撑功率由额定功率和可持续放电能量共同确定。</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Sup>
                  <m:e>
                    <m:r>
                      <m:t>P</m:t>
                    </m:r>
                  </m:e>
                  <m:sub>
                    <m:r>
                      <m:t>B</m:t>
                    </m:r>
                    <m:r>
                      <m:t>,</m:t>
                    </m:r>
                    <m:r>
                      <m:t>i</m:t>
                    </m:r>
                    <m:r>
                      <m:t>,</m:t>
                    </m:r>
                    <m:r>
                      <m:t>y</m:t>
                    </m:r>
                  </m:sub>
                  <m:sup>
                    <m:r>
                      <m:t>±</m:t>
                    </m:r>
                  </m:sup>
                </m:sSubSup>
                <m:r>
                  <m:t>=</m:t>
                </m:r>
                <m:r>
                  <m:rPr>
                    <m:nor/>
                    <m:sty m:val="p"/>
                  </m:rPr>
                  <m:t>min</m:t>
                </m:r>
                <m:d>
                  <m:dPr>
                    <m:begChr m:val="("/>
                    <m:endChr m:val=")"/>
                    <m:grow/>
                  </m:dPr>
                  <m:e>
                    <m:r>
                      <m:t>0.10</m:t>
                    </m:r>
                    <m:sSub>
                      <m:e>
                        <m:r>
                          <m:t>n</m:t>
                        </m:r>
                      </m:e>
                      <m:sub>
                        <m:r>
                          <m:t>i</m:t>
                        </m:r>
                        <m:r>
                          <m:t>,</m:t>
                        </m:r>
                        <m:r>
                          <m:t>y</m:t>
                        </m:r>
                      </m:sub>
                    </m:sSub>
                    <m:r>
                      <m:t>,</m:t>
                    </m:r>
                    <m:f>
                      <m:fPr>
                        <m:type m:val="bar"/>
                      </m:fPr>
                      <m:num>
                        <m:r>
                          <m:t>215</m:t>
                        </m:r>
                        <m:sSub>
                          <m:e>
                            <m:r>
                              <m:t>n</m:t>
                            </m:r>
                          </m:e>
                          <m:sub>
                            <m:r>
                              <m:t>i</m:t>
                            </m:r>
                            <m:r>
                              <m:t>,</m:t>
                            </m:r>
                            <m:r>
                              <m:t>y</m:t>
                            </m:r>
                          </m:sub>
                        </m:sSub>
                      </m:num>
                      <m:den>
                        <m:r>
                          <m:t>1000</m:t>
                        </m:r>
                        <m:sSubSup>
                          <m:e>
                            <m:r>
                              <m:t>H</m:t>
                            </m:r>
                          </m:e>
                          <m:sub>
                            <m:r>
                              <m:t>95</m:t>
                            </m:r>
                            <m:r>
                              <m:t>,</m:t>
                            </m:r>
                            <m:r>
                              <m:t>i</m:t>
                            </m:r>
                          </m:sub>
                          <m:sup>
                            <m:r>
                              <m:t>±</m:t>
                            </m:r>
                          </m:sup>
                        </m:sSubSup>
                      </m:den>
                    </m:f>
                  </m:e>
                </m:d>
                <m:r>
                  <m:t>=</m:t>
                </m:r>
                <m:f>
                  <m:fPr>
                    <m:type m:val="bar"/>
                  </m:fPr>
                  <m:num>
                    <m:r>
                      <m:t>215</m:t>
                    </m:r>
                    <m:sSub>
                      <m:e>
                        <m:r>
                          <m:t>n</m:t>
                        </m:r>
                      </m:e>
                      <m:sub>
                        <m:r>
                          <m:t>i</m:t>
                        </m:r>
                        <m:r>
                          <m:t>,</m:t>
                        </m:r>
                        <m:r>
                          <m:t>y</m:t>
                        </m:r>
                      </m:sub>
                    </m:sSub>
                  </m:num>
                  <m:den>
                    <m:r>
                      <m:t>1000</m:t>
                    </m:r>
                    <m:r>
                      <m:rPr>
                        <m:nor/>
                        <m:sty m:val="p"/>
                      </m:rPr>
                      <m:t>max</m:t>
                    </m:r>
                    <m:r>
                      <m:t>(</m:t>
                    </m:r>
                    <m:r>
                      <m:t>2.15</m:t>
                    </m:r>
                    <m:r>
                      <m:t>,</m:t>
                    </m:r>
                    <m:sSubSup>
                      <m:e>
                        <m:r>
                          <m:t>H</m:t>
                        </m:r>
                      </m:e>
                      <m:sub>
                        <m:r>
                          <m:t>95</m:t>
                        </m:r>
                        <m:r>
                          <m:t>,</m:t>
                        </m:r>
                        <m:r>
                          <m:t>i</m:t>
                        </m:r>
                      </m:sub>
                      <m:sup>
                        <m:r>
                          <m:t>±</m:t>
                        </m:r>
                      </m:sup>
                    </m:sSubSup>
                    <m:r>
                      <m:t>)</m:t>
                    </m:r>
                  </m:den>
                </m:f>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（5-4）</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n</m:t>
            </m:r>
          </m:e>
          <m:sub>
            <m:r>
              <m:t>i</m:t>
            </m:r>
            <m:r>
              <m:t>,</m:t>
            </m:r>
            <m:r>
              <m:t>y</m:t>
            </m:r>
          </m:sub>
        </m:sSub>
      </m:oMath>
      <w:r>
        <w:rPr>
          <w:rFonts w:ascii="Times New Roman" w:hAnsi="Times New Roman" w:eastAsia="方正仿宋_GBK"/>
          <w:b w:val="0"/>
          <w:sz w:val="24"/>
        </w:rPr>
        <w:t xml:space="preserve">为在役储能柜数，非负整数；</w:t>
      </w:r>
      <m:oMath>
        <m:sSubSup>
          <m:e>
            <m:r>
              <m:t>P</m:t>
            </m:r>
          </m:e>
          <m:sub>
            <m:r>
              <m:t>B</m:t>
            </m:r>
            <m:r>
              <m:t>,</m:t>
            </m:r>
            <m:r>
              <m:t>i</m:t>
            </m:r>
            <m:r>
              <m:t>,</m:t>
            </m:r>
            <m:r>
              <m:t>y</m:t>
            </m:r>
          </m:sub>
          <m:sup>
            <m:r>
              <m:t>+</m:t>
            </m:r>
          </m:sup>
        </m:sSubSup>
      </m:oMath>
      <w:r>
        <w:rPr>
          <w:rFonts w:ascii="Times New Roman" w:hAnsi="Times New Roman" w:eastAsia="方正仿宋_GBK"/>
          <w:b w:val="0"/>
          <w:sz w:val="24"/>
        </w:rPr>
        <w:t xml:space="preserve">、</w:t>
      </w:r>
      <m:oMath>
        <m:sSubSup>
          <m:e>
            <m:r>
              <m:t>P</m:t>
            </m:r>
          </m:e>
          <m:sub>
            <m:r>
              <m:t>B</m:t>
            </m:r>
            <m:r>
              <m:t>,</m:t>
            </m:r>
            <m:r>
              <m:t>i</m:t>
            </m:r>
            <m:r>
              <m:t>,</m:t>
            </m:r>
            <m:r>
              <m:t>y</m:t>
            </m:r>
          </m:sub>
          <m:sup>
            <m:r>
              <m:t>−</m:t>
            </m:r>
          </m:sup>
        </m:sSubSup>
      </m:oMath>
      <w:r>
        <w:rPr>
          <w:rFonts w:ascii="Times New Roman" w:hAnsi="Times New Roman" w:eastAsia="方正仿宋_GBK"/>
          <w:b w:val="0"/>
          <w:sz w:val="24"/>
        </w:rPr>
        <w:t xml:space="preserve">分别为正向、反向峰段的有效支撑功率，单位MW；</w:t>
      </w:r>
      <m:oMath>
        <m:sSubSup>
          <m:e>
            <m:r>
              <m:t>H</m:t>
            </m:r>
          </m:e>
          <m:sub>
            <m:r>
              <m:t>95</m:t>
            </m:r>
            <m:r>
              <m:t>,</m:t>
            </m:r>
            <m:r>
              <m:t>i</m:t>
            </m:r>
          </m:sub>
          <m:sup>
            <m:r>
              <m:t>+</m:t>
            </m:r>
          </m:sup>
        </m:sSubSup>
      </m:oMath>
      <w:r>
        <w:rPr>
          <w:rFonts w:ascii="Times New Roman" w:hAnsi="Times New Roman" w:eastAsia="方正仿宋_GBK"/>
          <w:b w:val="0"/>
          <w:sz w:val="24"/>
        </w:rPr>
        <w:t xml:space="preserve">、</w:t>
      </w:r>
      <m:oMath>
        <m:sSubSup>
          <m:e>
            <m:r>
              <m:t>H</m:t>
            </m:r>
          </m:e>
          <m:sub>
            <m:r>
              <m:t>95</m:t>
            </m:r>
            <m:r>
              <m:t>,</m:t>
            </m:r>
            <m:r>
              <m:t>i</m:t>
            </m:r>
          </m:sub>
          <m:sup>
            <m:r>
              <m:t>−</m:t>
            </m:r>
          </m:sup>
        </m:sSubSup>
      </m:oMath>
      <w:r>
        <w:rPr>
          <w:rFonts w:ascii="Times New Roman" w:hAnsi="Times New Roman" w:eastAsia="方正仿宋_GBK"/>
          <w:b w:val="0"/>
          <w:sz w:val="24"/>
        </w:rPr>
        <w:t xml:space="preserve">为该方向95%峰值的最长连续持续时间，单位</w:t>
      </w:r>
      <m:oMath>
        <m:r>
          <m:t>h</m:t>
        </m:r>
      </m:oMath>
      <w:r>
        <w:rPr>
          <w:rFonts w:ascii="Times New Roman" w:hAnsi="Times New Roman" w:eastAsia="方正仿宋_GBK"/>
          <w:b w:val="0"/>
          <w:sz w:val="24"/>
        </w:rPr>
        <w:t xml:space="preserve">。100 kW和215 kWh分别为单柜功率与能量，2.15</w:t>
      </w:r>
      <w:r>
        <w:rPr>
          <w:rFonts w:ascii="Times New Roman" w:hAnsi="Times New Roman" w:eastAsia="方正仿宋_GBK"/>
          <w:b w:val="0"/>
          <w:sz w:val="24"/>
        </w:rPr>
        <w:t xml:space="preserve"> </w:t>
      </w:r>
      <m:oMath>
        <m:r>
          <m:t>h</m:t>
        </m:r>
      </m:oMath>
      <w:r>
        <w:rPr>
          <w:rFonts w:ascii="Times New Roman" w:hAnsi="Times New Roman" w:eastAsia="方正仿宋_GBK"/>
          <w:b w:val="0"/>
          <w:sz w:val="24"/>
        </w:rPr>
        <w:t xml:space="preserve">为其额定能量与功率之比。</w:t>
      </w:r>
    </w:p>
    <w:p>
      <w:pPr>
        <w:pStyle w:val="2"/>
        <w:widowControl/>
        <w:spacing w:line="300" w:lineRule="auto" w:before="0" w:after="0"/>
        <w:ind w:firstLine="480"/>
        <w:jc w:val="both"/>
      </w:pPr>
      <w:r>
        <w:rPr>
          <w:rFonts w:ascii="Times New Roman" w:hAnsi="Times New Roman" w:eastAsia="方正仿宋_GBK"/>
          <w:b w:val="0"/>
          <w:sz w:val="24"/>
        </w:rPr>
        <w:t xml:space="preserve">寻优使用各站本方向持续时间，将配置柜数与缺口联立。峰段延长会降低单柜有效支撑功率；柜数增加的初始投资、运维及寿命更新费用进入同一目标函数。储能主要补充主变容量及退出工况中的局部缺口，其规模由与增容、联络的共同费用比较确定。</w:t>
      </w:r>
    </w:p>
    <w:p>
      <w:pPr>
        <w:pStyle w:val="2"/>
        <w:widowControl/>
        <w:spacing w:line="300" w:lineRule="auto" w:before="0" w:after="0"/>
        <w:ind w:firstLine="480"/>
        <w:jc w:val="both"/>
      </w:pPr>
      <w:r>
        <w:rPr>
          <w:rFonts w:ascii="Times New Roman" w:hAnsi="Times New Roman" w:eastAsia="方正仿宋_GBK"/>
          <w:b w:val="0"/>
          <w:sz w:val="24"/>
        </w:rPr>
        <w:t xml:space="preserve">本模型采用峰段静态支撑。连续时序应用时，应将可用能量、充放电效率与荷电状态纳入运行校核。</w:t>
      </w:r>
    </w:p>
    <w:p>
      <w:pPr>
        <w:pStyle w:val="5"/>
        <w:keepNext/>
        <w:numPr>
          <w:numId w:val="0"/>
        </w:numPr>
        <w:spacing w:line="360" w:lineRule="auto" w:before="160" w:after="120"/>
        <w:ind w:firstLine="0"/>
      </w:pPr>
      <w:bookmarkStart w:id="166" w:name="利用既有10-kv联络能力"/>
      <w:r>
        <w:rPr>
          <w:rFonts w:ascii="Times New Roman" w:hAnsi="Times New Roman" w:eastAsia="方正仿宋_GBK"/>
          <w:b/>
          <w:sz w:val="26"/>
        </w:rPr>
        <w:t xml:space="preserve">5.2.3 利用既有10 kV联络能力</w:t>
      </w:r>
      <w:bookmarkEnd w:id="166"/>
    </w:p>
    <w:p>
      <w:pPr>
        <w:pStyle w:val="FirstParagraph"/>
        <w:widowControl/>
        <w:spacing w:line="300" w:lineRule="auto" w:before="0" w:after="0"/>
        <w:ind w:firstLine="480"/>
        <w:jc w:val="both"/>
      </w:pPr>
      <w:r>
        <w:rPr>
          <w:rFonts w:ascii="Times New Roman" w:hAnsi="Times New Roman" w:eastAsia="方正仿宋_GBK"/>
          <w:b w:val="0"/>
          <w:sz w:val="24"/>
        </w:rPr>
        <w:t xml:space="preserve">10 kV联络在区县内部调整用电负荷的供电归属。首先确定初始转供率，再将其乘以转接前站级负荷，得到可使用的既有转供能力。市区分布式光伏较少，按A类规划假定初始转供率50%；邳州依据六馈线与跨站联络数据具体测算[5]。</w:t>
      </w:r>
    </w:p>
    <w:p>
      <w:pPr>
        <w:pStyle w:val="2"/>
        <w:widowControl/>
        <w:spacing w:line="300" w:lineRule="auto" w:before="0" w:after="0"/>
        <w:ind w:firstLine="480"/>
        <w:jc w:val="both"/>
      </w:pPr>
      <w:r>
        <w:rPr>
          <w:rFonts w:ascii="Times New Roman" w:hAnsi="Times New Roman" w:eastAsia="方正仿宋_GBK"/>
          <w:b w:val="0"/>
          <w:sz w:val="24"/>
        </w:rPr>
        <w:t xml:space="preserve">邳州样本将最大电流折算为有功负荷，并以允许电流与已用电流之差估计受端余量。</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sSub>
                        <m:e>
                          <m:r>
                            <m:t>P</m:t>
                          </m:r>
                        </m:e>
                        <m:sub>
                          <m:r>
                            <m:t>f</m:t>
                          </m:r>
                        </m:sub>
                      </m:sSub>
                    </m:e>
                    <m:e>
                      <m:r>
                        <m:t>=</m:t>
                      </m:r>
                      <m:f>
                        <m:fPr>
                          <m:type m:val="bar"/>
                        </m:fPr>
                        <m:num>
                          <m:rad>
                            <m:radPr>
                              <m:degHide m:val="1"/>
                            </m:radPr>
                            <m:deg/>
                            <m:e>
                              <m:r>
                                <m:t>3</m:t>
                              </m:r>
                            </m:e>
                          </m:rad>
                          <m:r>
                            <m:t>U</m:t>
                          </m:r>
                          <m:sSub>
                            <m:e>
                              <m:r>
                                <m:t>I</m:t>
                              </m:r>
                            </m:e>
                            <m:sub>
                              <m:r>
                                <m:t>f</m:t>
                              </m:r>
                            </m:sub>
                          </m:sSub>
                          <m:r>
                            <m:rPr>
                              <m:nor/>
                              <m:sty m:val="p"/>
                            </m:rPr>
                            <m:t>cos</m:t>
                          </m:r>
                          <m:r>
                            <m:t>φ</m:t>
                          </m:r>
                        </m:num>
                        <m:den>
                          <m:r>
                            <m:t>1000</m:t>
                          </m:r>
                        </m:den>
                      </m:f>
                    </m:e>
                  </m:mr>
                  <m:mr>
                    <m:e>
                      <m:sSub>
                        <m:e>
                          <m:r>
                            <m:t>H</m:t>
                          </m:r>
                        </m:e>
                        <m:sub>
                          <m:r>
                            <m:t>f</m:t>
                          </m:r>
                        </m:sub>
                      </m:sSub>
                    </m:e>
                    <m:e>
                      <m:r>
                        <m:t>=</m:t>
                      </m:r>
                      <m:f>
                        <m:fPr>
                          <m:type m:val="bar"/>
                        </m:fPr>
                        <m:num>
                          <m:rad>
                            <m:radPr>
                              <m:degHide m:val="1"/>
                            </m:radPr>
                            <m:deg/>
                            <m:e>
                              <m:r>
                                <m:t>3</m:t>
                              </m:r>
                            </m:e>
                          </m:rad>
                          <m:r>
                            <m:t>U</m:t>
                          </m:r>
                          <m:r>
                            <m:rPr>
                              <m:nor/>
                              <m:sty m:val="p"/>
                            </m:rPr>
                            <m:t>max</m:t>
                          </m:r>
                          <m:r>
                            <m:t>(</m:t>
                          </m:r>
                          <m:sSubSup>
                            <m:e>
                              <m:r>
                                <m:t>I</m:t>
                              </m:r>
                            </m:e>
                            <m:sub>
                              <m:r>
                                <m:t>f</m:t>
                              </m:r>
                            </m:sub>
                            <m:sup>
                              <m:r>
                                <m:rPr>
                                  <m:sty m:val="p"/>
                                </m:rPr>
                                <m:t>a</m:t>
                              </m:r>
                              <m:r>
                                <m:rPr>
                                  <m:sty m:val="p"/>
                                </m:rPr>
                                <m:t>l</m:t>
                              </m:r>
                              <m:r>
                                <m:rPr>
                                  <m:sty m:val="p"/>
                                </m:rPr>
                                <m:t>l</m:t>
                              </m:r>
                              <m:r>
                                <m:rPr>
                                  <m:sty m:val="p"/>
                                </m:rPr>
                                <m:t>o</m:t>
                              </m:r>
                              <m:r>
                                <m:rPr>
                                  <m:sty m:val="p"/>
                                </m:rPr>
                                <m:t>w</m:t>
                              </m:r>
                            </m:sup>
                          </m:sSubSup>
                          <m:r>
                            <m:t>−</m:t>
                          </m:r>
                          <m:sSub>
                            <m:e>
                              <m:r>
                                <m:t>I</m:t>
                              </m:r>
                            </m:e>
                            <m:sub>
                              <m:r>
                                <m:t>f</m:t>
                              </m:r>
                            </m:sub>
                          </m:sSub>
                          <m:r>
                            <m:t>,</m:t>
                          </m:r>
                          <m:r>
                            <m:t>0</m:t>
                          </m:r>
                          <m:r>
                            <m:t>)</m:t>
                          </m:r>
                          <m:r>
                            <m:rPr>
                              <m:nor/>
                              <m:sty m:val="p"/>
                            </m:rPr>
                            <m:t>cos</m:t>
                          </m:r>
                          <m:r>
                            <m:t>φ</m:t>
                          </m:r>
                        </m:num>
                        <m:den>
                          <m:r>
                            <m:t>1000</m:t>
                          </m:r>
                        </m:den>
                      </m:f>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（5-5）</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f</m:t>
        </m:r>
      </m:oMath>
      <w:r>
        <w:rPr>
          <w:rFonts w:ascii="Times New Roman" w:hAnsi="Times New Roman" w:eastAsia="方正仿宋_GBK"/>
          <w:b w:val="0"/>
          <w:sz w:val="24"/>
        </w:rPr>
        <w:t xml:space="preserve">为馈线，</w:t>
      </w:r>
      <m:oMath>
        <m:r>
          <m:t>U</m:t>
        </m:r>
      </m:oMath>
      <w:r>
        <w:rPr>
          <w:rFonts w:ascii="Times New Roman" w:hAnsi="Times New Roman" w:eastAsia="方正仿宋_GBK"/>
          <w:b w:val="0"/>
          <w:sz w:val="24"/>
        </w:rPr>
        <w:t xml:space="preserve">为线电压，取10 kV；</w:t>
      </w:r>
      <m:oMath>
        <m:sSub>
          <m:e>
            <m:r>
              <m:t>I</m:t>
            </m:r>
          </m:e>
          <m:sub>
            <m:r>
              <m:t>f</m:t>
            </m:r>
          </m:sub>
        </m:sSub>
      </m:oMath>
      <w:r>
        <w:rPr>
          <w:rFonts w:ascii="Times New Roman" w:hAnsi="Times New Roman" w:eastAsia="方正仿宋_GBK"/>
          <w:b w:val="0"/>
          <w:sz w:val="24"/>
        </w:rPr>
        <w:t xml:space="preserve">为样本最大电流，</w:t>
      </w:r>
      <m:oMath>
        <m:sSubSup>
          <m:e>
            <m:r>
              <m:t>I</m:t>
            </m:r>
          </m:e>
          <m:sub>
            <m:r>
              <m:t>f</m:t>
            </m:r>
          </m:sub>
          <m:sup>
            <m:r>
              <m:rPr>
                <m:sty m:val="p"/>
              </m:rPr>
              <m:t>a</m:t>
            </m:r>
            <m:r>
              <m:rPr>
                <m:sty m:val="p"/>
              </m:rPr>
              <m:t>l</m:t>
            </m:r>
            <m:r>
              <m:rPr>
                <m:sty m:val="p"/>
              </m:rPr>
              <m:t>l</m:t>
            </m:r>
            <m:r>
              <m:rPr>
                <m:sty m:val="p"/>
              </m:rPr>
              <m:t>o</m:t>
            </m:r>
            <m:r>
              <m:rPr>
                <m:sty m:val="p"/>
              </m:rPr>
              <m:t>w</m:t>
            </m:r>
          </m:sup>
        </m:sSubSup>
      </m:oMath>
      <w:r>
        <w:rPr>
          <w:rFonts w:ascii="Times New Roman" w:hAnsi="Times New Roman" w:eastAsia="方正仿宋_GBK"/>
          <w:b w:val="0"/>
          <w:sz w:val="24"/>
        </w:rPr>
        <w:t xml:space="preserve">为允许电流，单位A；</w:t>
      </w:r>
      <m:oMath>
        <m:r>
          <m:rPr>
            <m:nor/>
            <m:sty m:val="p"/>
          </m:rPr>
          <m:t>cos</m:t>
        </m:r>
        <m:r>
          <m:t>φ</m:t>
        </m:r>
      </m:oMath>
      <w:r>
        <w:rPr>
          <w:rFonts w:ascii="Times New Roman" w:hAnsi="Times New Roman" w:eastAsia="方正仿宋_GBK"/>
          <w:b w:val="0"/>
          <w:sz w:val="24"/>
        </w:rPr>
        <w:t xml:space="preserve">取0.95；</w:t>
      </w:r>
      <m:oMath>
        <m:sSub>
          <m:e>
            <m:r>
              <m:t>P</m:t>
            </m:r>
          </m:e>
          <m:sub>
            <m:r>
              <m:t>f</m:t>
            </m:r>
          </m:sub>
        </m:sSub>
      </m:oMath>
      <w:r>
        <w:rPr>
          <w:rFonts w:ascii="Times New Roman" w:hAnsi="Times New Roman" w:eastAsia="方正仿宋_GBK"/>
          <w:b w:val="0"/>
          <w:sz w:val="24"/>
        </w:rPr>
        <w:t xml:space="preserve">为馈线有功负荷，</w:t>
      </w:r>
      <m:oMath>
        <m:sSub>
          <m:e>
            <m:r>
              <m:t>H</m:t>
            </m:r>
          </m:e>
          <m:sub>
            <m:r>
              <m:t>f</m:t>
            </m:r>
          </m:sub>
        </m:sSub>
      </m:oMath>
      <w:r>
        <w:rPr>
          <w:rFonts w:ascii="Times New Roman" w:hAnsi="Times New Roman" w:eastAsia="方正仿宋_GBK"/>
          <w:b w:val="0"/>
          <w:sz w:val="24"/>
        </w:rPr>
        <w:t xml:space="preserve">为受端有功余量，单位MW。系数1000用于将kW换算为MW。</w:t>
      </w:r>
    </w:p>
    <w:p>
      <w:pPr>
        <w:pStyle w:val="2"/>
        <w:widowControl/>
        <w:spacing w:line="300" w:lineRule="auto" w:before="0" w:after="0"/>
        <w:ind w:firstLine="480"/>
        <w:jc w:val="both"/>
      </w:pPr>
      <w:r>
        <w:rPr>
          <w:rFonts w:ascii="Times New Roman" w:hAnsi="Times New Roman" w:eastAsia="方正仿宋_GBK"/>
          <w:b w:val="0"/>
          <w:sz w:val="24"/>
        </w:rPr>
        <w:t xml:space="preserve">对跨站联络分别枚举不使用、正向及反向转接，求各方向组合的最大可转负荷。每条馈线转出量不超过其负荷，转入量不超过受端余量。共享同一馈线的联络共同使用该端能力预算。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sSub>
                        <m:e>
                          <m:r>
                            <m:t>Q</m:t>
                          </m:r>
                        </m:e>
                        <m:sub>
                          <m:r>
                            <m:rPr>
                              <m:sty m:val="p"/>
                            </m:rPr>
                            <m:t>s</m:t>
                          </m:r>
                          <m:r>
                            <m:rPr>
                              <m:sty m:val="p"/>
                            </m:rPr>
                            <m:t>a</m:t>
                          </m:r>
                          <m:r>
                            <m:rPr>
                              <m:sty m:val="p"/>
                            </m:rPr>
                            <m:t>m</m:t>
                          </m:r>
                          <m:r>
                            <m:rPr>
                              <m:sty m:val="p"/>
                            </m:rPr>
                            <m:t>p</m:t>
                          </m:r>
                          <m:r>
                            <m:rPr>
                              <m:sty m:val="p"/>
                            </m:rPr>
                            <m:t>l</m:t>
                          </m:r>
                          <m:r>
                            <m:rPr>
                              <m:sty m:val="p"/>
                            </m:rPr>
                            <m:t>e</m:t>
                          </m:r>
                        </m:sub>
                      </m:sSub>
                    </m:e>
                    <m:e>
                      <m:r>
                        <m:t>=</m:t>
                      </m:r>
                      <m:r>
                        <m:rPr>
                          <m:nor/>
                          <m:sty m:val="p"/>
                        </m:rPr>
                        <m:t>max</m:t>
                      </m:r>
                      <m:nary>
                        <m:naryPr>
                          <m:chr m:val="∑"/>
                          <m:limLoc m:val="undOvr"/>
                          <m:subHide m:val="0"/>
                          <m:supHide m:val="1"/>
                        </m:naryPr>
                        <m:sub>
                          <m:r>
                            <m:t>(</m:t>
                          </m:r>
                          <m:r>
                            <m:t>f</m:t>
                          </m:r>
                          <m:r>
                            <m:t>,</m:t>
                          </m:r>
                          <m:r>
                            <m:t>h</m:t>
                          </m:r>
                          <m:r>
                            <m:t>)</m:t>
                          </m:r>
                          <m:r>
                            <m:t>∈</m:t>
                          </m:r>
                          <m:r>
                            <m:rPr>
                              <m:sty m:val="p"/>
                              <m:scr m:val="script"/>
                            </m:rPr>
                            <m:t>E</m:t>
                          </m:r>
                        </m:sub>
                        <m:sup>
                          <m:r>
                            <m:t>​</m:t>
                          </m:r>
                        </m:sup>
                        <m:e>
                          <m:sSub>
                            <m:e>
                              <m:r>
                                <m:t>q</m:t>
                              </m:r>
                            </m:e>
                            <m:sub>
                              <m:r>
                                <m:t>f</m:t>
                              </m:r>
                              <m:r>
                                <m:t>h</m:t>
                              </m:r>
                            </m:sub>
                          </m:sSub>
                        </m:e>
                      </m:nary>
                    </m:e>
                  </m:mr>
                  <m:mr>
                    <m:e/>
                    <m:e>
                      <m:nary>
                        <m:naryPr>
                          <m:chr m:val="∑"/>
                          <m:limLoc m:val="undOvr"/>
                          <m:subHide m:val="0"/>
                          <m:supHide m:val="1"/>
                        </m:naryPr>
                        <m:sub>
                          <m:r>
                            <m:t>h</m:t>
                          </m:r>
                        </m:sub>
                        <m:sup>
                          <m:r>
                            <m:t>​</m:t>
                          </m:r>
                        </m:sup>
                        <m:e>
                          <m:sSub>
                            <m:e>
                              <m:r>
                                <m:t>q</m:t>
                              </m:r>
                            </m:e>
                            <m:sub>
                              <m:r>
                                <m:t>f</m:t>
                              </m:r>
                              <m:r>
                                <m:t>h</m:t>
                              </m:r>
                            </m:sub>
                          </m:sSub>
                        </m:e>
                      </m:nary>
                      <m:r>
                        <m:t>≤</m:t>
                      </m:r>
                      <m:sSub>
                        <m:e>
                          <m:r>
                            <m:t>P</m:t>
                          </m:r>
                        </m:e>
                        <m:sub>
                          <m:r>
                            <m:t>f</m:t>
                          </m:r>
                        </m:sub>
                      </m:sSub>
                    </m:e>
                  </m:mr>
                  <m:mr>
                    <m:e/>
                    <m:e>
                      <m:nary>
                        <m:naryPr>
                          <m:chr m:val="∑"/>
                          <m:limLoc m:val="undOvr"/>
                          <m:subHide m:val="0"/>
                          <m:supHide m:val="1"/>
                        </m:naryPr>
                        <m:sub>
                          <m:r>
                            <m:t>f</m:t>
                          </m:r>
                        </m:sub>
                        <m:sup>
                          <m:r>
                            <m:t>​</m:t>
                          </m:r>
                        </m:sup>
                        <m:e>
                          <m:sSub>
                            <m:e>
                              <m:r>
                                <m:t>q</m:t>
                              </m:r>
                            </m:e>
                            <m:sub>
                              <m:r>
                                <m:t>f</m:t>
                              </m:r>
                              <m:r>
                                <m:t>h</m:t>
                              </m:r>
                            </m:sub>
                          </m:sSub>
                        </m:e>
                      </m:nary>
                      <m:r>
                        <m:t>≤</m:t>
                      </m:r>
                      <m:sSub>
                        <m:e>
                          <m:r>
                            <m:t>H</m:t>
                          </m:r>
                        </m:e>
                        <m:sub>
                          <m:r>
                            <m:t>h</m:t>
                          </m:r>
                        </m:sub>
                      </m:sSub>
                    </m:e>
                  </m:mr>
                  <m:mr>
                    <m:e/>
                    <m:e>
                      <m:sSub>
                        <m:e>
                          <m:r>
                            <m:t>q</m:t>
                          </m:r>
                        </m:e>
                        <m:sub>
                          <m:r>
                            <m:t>f</m:t>
                          </m:r>
                          <m:r>
                            <m:t>h</m:t>
                          </m:r>
                        </m:sub>
                      </m:sSub>
                      <m:r>
                        <m:t>≥</m:t>
                      </m:r>
                      <m:r>
                        <m:t>0</m:t>
                      </m:r>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（5-6）</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rPr>
            <m:sty m:val="p"/>
            <m:scr m:val="script"/>
          </m:rPr>
          <m:t>E</m:t>
        </m:r>
      </m:oMath>
      <w:r>
        <w:rPr>
          <w:rFonts w:ascii="Times New Roman" w:hAnsi="Times New Roman" w:eastAsia="方正仿宋_GBK"/>
          <w:b w:val="0"/>
          <w:sz w:val="24"/>
        </w:rPr>
        <w:t xml:space="preserve">为当前方向组合下的跨站联络集合，</w:t>
      </w:r>
      <m:oMath>
        <m:sSub>
          <m:e>
            <m:r>
              <m:t>q</m:t>
            </m:r>
          </m:e>
          <m:sub>
            <m:r>
              <m:t>f</m:t>
            </m:r>
            <m:r>
              <m:t>h</m:t>
            </m:r>
          </m:sub>
        </m:sSub>
      </m:oMath>
      <w:r>
        <w:rPr>
          <w:rFonts w:ascii="Times New Roman" w:hAnsi="Times New Roman" w:eastAsia="方正仿宋_GBK"/>
          <w:b w:val="0"/>
          <w:sz w:val="24"/>
        </w:rPr>
        <w:t xml:space="preserve">为由馈线</w:t>
      </w:r>
      <m:oMath>
        <m:r>
          <m:t>f</m:t>
        </m:r>
      </m:oMath>
      <w:r>
        <w:rPr>
          <w:rFonts w:ascii="Times New Roman" w:hAnsi="Times New Roman" w:eastAsia="方正仿宋_GBK"/>
          <w:b w:val="0"/>
          <w:sz w:val="24"/>
        </w:rPr>
        <w:t xml:space="preserve">向馈线</w:t>
      </w:r>
      <m:oMath>
        <m:r>
          <m:t>h</m:t>
        </m:r>
      </m:oMath>
      <w:r>
        <w:rPr>
          <w:rFonts w:ascii="Times New Roman" w:hAnsi="Times New Roman" w:eastAsia="方正仿宋_GBK"/>
          <w:b w:val="0"/>
          <w:sz w:val="24"/>
        </w:rPr>
        <w:t xml:space="preserve">转接的负荷，单位MW；</w:t>
      </w:r>
      <m:oMath>
        <m:sSub>
          <m:e>
            <m:r>
              <m:t>Q</m:t>
            </m:r>
          </m:e>
          <m:sub>
            <m:r>
              <m:rPr>
                <m:sty m:val="p"/>
              </m:rPr>
              <m:t>s</m:t>
            </m:r>
            <m:r>
              <m:rPr>
                <m:sty m:val="p"/>
              </m:rPr>
              <m:t>a</m:t>
            </m:r>
            <m:r>
              <m:rPr>
                <m:sty m:val="p"/>
              </m:rPr>
              <m:t>m</m:t>
            </m:r>
            <m:r>
              <m:rPr>
                <m:sty m:val="p"/>
              </m:rPr>
              <m:t>p</m:t>
            </m:r>
            <m:r>
              <m:rPr>
                <m:sty m:val="p"/>
              </m:rPr>
              <m:t>l</m:t>
            </m:r>
            <m:r>
              <m:rPr>
                <m:sty m:val="p"/>
              </m:rPr>
              <m:t>e</m:t>
            </m:r>
          </m:sub>
        </m:sSub>
      </m:oMath>
      <w:r>
        <w:rPr>
          <w:rFonts w:ascii="Times New Roman" w:hAnsi="Times New Roman" w:eastAsia="方正仿宋_GBK"/>
          <w:b w:val="0"/>
          <w:sz w:val="24"/>
        </w:rPr>
        <w:t xml:space="preserve">为在共享预算内的样本最大可转负荷。该筛查得到9.98 MW，六馈线负荷合计35.29 MW。</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
                  <m:e>
                    <m:r>
                      <m:t>ρ</m:t>
                    </m:r>
                  </m:e>
                  <m:sub>
                    <m:r>
                      <m:rPr>
                        <m:sty m:val="p"/>
                      </m:rPr>
                      <m:t>P</m:t>
                    </m:r>
                    <m:r>
                      <m:rPr>
                        <m:sty m:val="p"/>
                      </m:rPr>
                      <m:t>i</m:t>
                    </m:r>
                    <m:r>
                      <m:rPr>
                        <m:sty m:val="p"/>
                      </m:rPr>
                      <m:t>z</m:t>
                    </m:r>
                    <m:r>
                      <m:rPr>
                        <m:sty m:val="p"/>
                      </m:rPr>
                      <m:t>h</m:t>
                    </m:r>
                    <m:r>
                      <m:rPr>
                        <m:sty m:val="p"/>
                      </m:rPr>
                      <m:t>o</m:t>
                    </m:r>
                    <m:r>
                      <m:rPr>
                        <m:sty m:val="p"/>
                      </m:rPr>
                      <m:t>u</m:t>
                    </m:r>
                    <m:r>
                      <m:t>,</m:t>
                    </m:r>
                    <m:r>
                      <m:t>0</m:t>
                    </m:r>
                  </m:sub>
                </m:sSub>
                <m:r>
                  <m:t>=</m:t>
                </m:r>
                <m:f>
                  <m:fPr>
                    <m:type m:val="bar"/>
                  </m:fPr>
                  <m:num>
                    <m:sSub>
                      <m:e>
                        <m:r>
                          <m:t>Q</m:t>
                        </m:r>
                      </m:e>
                      <m:sub>
                        <m:r>
                          <m:rPr>
                            <m:sty m:val="p"/>
                          </m:rPr>
                          <m:t>s</m:t>
                        </m:r>
                        <m:r>
                          <m:rPr>
                            <m:sty m:val="p"/>
                          </m:rPr>
                          <m:t>a</m:t>
                        </m:r>
                        <m:r>
                          <m:rPr>
                            <m:sty m:val="p"/>
                          </m:rPr>
                          <m:t>m</m:t>
                        </m:r>
                        <m:r>
                          <m:rPr>
                            <m:sty m:val="p"/>
                          </m:rPr>
                          <m:t>p</m:t>
                        </m:r>
                        <m:r>
                          <m:rPr>
                            <m:sty m:val="p"/>
                          </m:rPr>
                          <m:t>l</m:t>
                        </m:r>
                        <m:r>
                          <m:rPr>
                            <m:sty m:val="p"/>
                          </m:rPr>
                          <m:t>e</m:t>
                        </m:r>
                      </m:sub>
                    </m:sSub>
                  </m:num>
                  <m:den>
                    <m:nary>
                      <m:naryPr>
                        <m:chr m:val="∑"/>
                        <m:limLoc m:val="undOvr"/>
                        <m:subHide m:val="0"/>
                        <m:supHide m:val="1"/>
                      </m:naryPr>
                      <m:sub>
                        <m:r>
                          <m:t>f</m:t>
                        </m:r>
                      </m:sub>
                      <m:sup>
                        <m:r>
                          <m:t>​</m:t>
                        </m:r>
                      </m:sup>
                      <m:e>
                        <m:sSub>
                          <m:e>
                            <m:r>
                              <m:t>P</m:t>
                            </m:r>
                          </m:e>
                          <m:sub>
                            <m:r>
                              <m:t>f</m:t>
                            </m:r>
                          </m:sub>
                        </m:sSub>
                      </m:e>
                    </m:nary>
                  </m:den>
                </m:f>
                <m:r>
                  <m:t>≈</m:t>
                </m:r>
                <m:r>
                  <m:t>28.29</m:t>
                </m:r>
                <m:r>
                  <m:t>%</m:t>
                </m:r>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（5-7）</w:t>
            </w:r>
          </w:p>
        </w:tc>
      </w:tr>
    </w:tbl>
    <w:p>
      <w:pPr>
        <w:pStyle w:val="FirstParagraph"/>
        <w:widowControl/>
        <w:spacing w:line="300" w:lineRule="auto" w:before="0" w:after="0"/>
        <w:ind w:firstLine="480"/>
        <w:jc w:val="both"/>
      </w:pPr>
      <m:oMath>
        <m:sSub>
          <m:e>
            <m:r>
              <m:t>ρ</m:t>
            </m:r>
          </m:e>
          <m:sub>
            <m:r>
              <m:rPr>
                <m:sty m:val="p"/>
              </m:rPr>
              <m:t>P</m:t>
            </m:r>
            <m:r>
              <m:rPr>
                <m:sty m:val="p"/>
              </m:rPr>
              <m:t>i</m:t>
            </m:r>
            <m:r>
              <m:rPr>
                <m:sty m:val="p"/>
              </m:rPr>
              <m:t>z</m:t>
            </m:r>
            <m:r>
              <m:rPr>
                <m:sty m:val="p"/>
              </m:rPr>
              <m:t>h</m:t>
            </m:r>
            <m:r>
              <m:rPr>
                <m:sty m:val="p"/>
              </m:rPr>
              <m:t>o</m:t>
            </m:r>
            <m:r>
              <m:rPr>
                <m:sty m:val="p"/>
              </m:rPr>
              <m:t>u</m:t>
            </m:r>
            <m:r>
              <m:t>,</m:t>
            </m:r>
            <m:r>
              <m:t>0</m:t>
            </m:r>
          </m:sub>
        </m:sSub>
      </m:oMath>
      <w:r>
        <w:rPr>
          <w:rFonts w:ascii="Times New Roman" w:hAnsi="Times New Roman" w:eastAsia="方正仿宋_GBK"/>
          <w:b w:val="0"/>
          <w:sz w:val="24"/>
        </w:rPr>
        <w:t xml:space="preserve">为邳州初始站间转供率。本研究将局部测算比例统一外推到邳州各仿真站，形成县域内部能力配置参数。市区50%为研究假定。既有能力利用的新增建设投资计为零，送端可转负荷及受端主变、储能能力共同决定实际使用量。</w:t>
      </w:r>
    </w:p>
    <w:p>
      <w:pPr>
        <w:pStyle w:val="5"/>
        <w:keepNext/>
        <w:numPr>
          <w:numId w:val="0"/>
        </w:numPr>
        <w:spacing w:line="360" w:lineRule="auto" w:before="160" w:after="120"/>
        <w:ind w:firstLine="0"/>
      </w:pPr>
      <w:bookmarkStart w:id="167" w:name="新建10-kv联络提升转供率"/>
      <w:r>
        <w:rPr>
          <w:rFonts w:ascii="Times New Roman" w:hAnsi="Times New Roman" w:eastAsia="方正仿宋_GBK"/>
          <w:b/>
          <w:sz w:val="26"/>
        </w:rPr>
        <w:t xml:space="preserve">5.2.4 新建10 kV联络提升转供率</w:t>
      </w:r>
      <w:bookmarkEnd w:id="167"/>
    </w:p>
    <w:p>
      <w:pPr>
        <w:pStyle w:val="FirstParagraph"/>
        <w:widowControl/>
        <w:spacing w:line="300" w:lineRule="auto" w:before="0" w:after="0"/>
        <w:ind w:firstLine="480"/>
        <w:jc w:val="both"/>
      </w:pPr>
      <w:r>
        <w:rPr>
          <w:rFonts w:ascii="Times New Roman" w:hAnsi="Times New Roman" w:eastAsia="方正仿宋_GBK"/>
          <w:b w:val="0"/>
          <w:sz w:val="24"/>
        </w:rPr>
        <w:t xml:space="preserve">既有能力不足时，新增独立联络项目提高可转负荷预算。每个项目采用邳州局部可切换负荷区段标定的7.49 MW能力增量，参考投资为106.80万元。区县内任意两个不同站均可作为新增等效项目端点，项目在两端关联、建设投资计一次[86]。</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Sup>
                  <m:e>
                    <m:r>
                      <m:t>Q</m:t>
                    </m:r>
                  </m:e>
                  <m:sub>
                    <m:r>
                      <m:t>i</m:t>
                    </m:r>
                    <m:r>
                      <m:t>,</m:t>
                    </m:r>
                    <m:r>
                      <m:t>y</m:t>
                    </m:r>
                  </m:sub>
                  <m:sup>
                    <m:r>
                      <m:rPr>
                        <m:sty m:val="p"/>
                      </m:rPr>
                      <m:t>c</m:t>
                    </m:r>
                    <m:r>
                      <m:rPr>
                        <m:sty m:val="p"/>
                      </m:rPr>
                      <m:t>a</m:t>
                    </m:r>
                    <m:r>
                      <m:rPr>
                        <m:sty m:val="p"/>
                      </m:rPr>
                      <m:t>p</m:t>
                    </m:r>
                  </m:sup>
                </m:sSubSup>
                <m:r>
                  <m:t>=</m:t>
                </m:r>
                <m:r>
                  <m:rPr>
                    <m:nor/>
                    <m:sty m:val="p"/>
                  </m:rPr>
                  <m:t>min</m:t>
                </m:r>
                <m:d>
                  <m:dPr>
                    <m:begChr m:val="("/>
                    <m:endChr m:val=")"/>
                    <m:grow/>
                  </m:dPr>
                  <m:e>
                    <m:sSubSup>
                      <m:e>
                        <m:r>
                          <m:t>ρ</m:t>
                        </m:r>
                      </m:e>
                      <m:sub>
                        <m:r>
                          <m:t>c</m:t>
                        </m:r>
                      </m:sub>
                      <m:sup>
                        <m:r>
                          <m:rPr>
                            <m:nor/>
                            <m:sty m:val="p"/>
                          </m:rPr>
                          <m:t>max</m:t>
                        </m:r>
                      </m:sup>
                    </m:sSubSup>
                    <m:sSubSup>
                      <m:e>
                        <m:r>
                          <m:t>L</m:t>
                        </m:r>
                      </m:e>
                      <m:sub>
                        <m:r>
                          <m:t>i</m:t>
                        </m:r>
                        <m:r>
                          <m:t>,</m:t>
                        </m:r>
                        <m:r>
                          <m:t>y</m:t>
                        </m:r>
                      </m:sub>
                      <m:sup>
                        <m:r>
                          <m:t>+</m:t>
                        </m:r>
                      </m:sup>
                    </m:sSubSup>
                    <m:r>
                      <m:t>,</m:t>
                    </m:r>
                    <m:sSub>
                      <m:e>
                        <m:r>
                          <m:t>ρ</m:t>
                        </m:r>
                      </m:e>
                      <m:sub>
                        <m:r>
                          <m:t>c</m:t>
                        </m:r>
                        <m:r>
                          <m:t>,</m:t>
                        </m:r>
                        <m:r>
                          <m:t>0</m:t>
                        </m:r>
                      </m:sub>
                    </m:sSub>
                    <m:sSubSup>
                      <m:e>
                        <m:r>
                          <m:t>L</m:t>
                        </m:r>
                      </m:e>
                      <m:sub>
                        <m:r>
                          <m:t>i</m:t>
                        </m:r>
                        <m:r>
                          <m:t>,</m:t>
                        </m:r>
                        <m:r>
                          <m:t>y</m:t>
                        </m:r>
                      </m:sub>
                      <m:sup>
                        <m:r>
                          <m:t>+</m:t>
                        </m:r>
                      </m:sup>
                    </m:sSubSup>
                    <m:r>
                      <m:t>+</m:t>
                    </m:r>
                    <m:sSub>
                      <m:e>
                        <m:r>
                          <m:t>m</m:t>
                        </m:r>
                      </m:e>
                      <m:sub>
                        <m:r>
                          <m:t>i</m:t>
                        </m:r>
                        <m:r>
                          <m:t>,</m:t>
                        </m:r>
                        <m:r>
                          <m:t>y</m:t>
                        </m:r>
                      </m:sub>
                    </m:sSub>
                    <m:r>
                      <m:t>Δ</m:t>
                    </m:r>
                    <m:r>
                      <m:t>Q</m:t>
                    </m:r>
                  </m:e>
                </m:d>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（5-8）</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Sup>
          <m:e>
            <m:r>
              <m:t>Q</m:t>
            </m:r>
          </m:e>
          <m:sub>
            <m:r>
              <m:t>i</m:t>
            </m:r>
            <m:r>
              <m:t>,</m:t>
            </m:r>
            <m:r>
              <m:t>y</m:t>
            </m:r>
          </m:sub>
          <m:sup>
            <m:r>
              <m:rPr>
                <m:sty m:val="p"/>
              </m:rPr>
              <m:t>c</m:t>
            </m:r>
            <m:r>
              <m:rPr>
                <m:sty m:val="p"/>
              </m:rPr>
              <m:t>a</m:t>
            </m:r>
            <m:r>
              <m:rPr>
                <m:sty m:val="p"/>
              </m:rPr>
              <m:t>p</m:t>
            </m:r>
          </m:sup>
        </m:sSubSup>
      </m:oMath>
      <w:r>
        <w:rPr>
          <w:rFonts w:ascii="Times New Roman" w:hAnsi="Times New Roman" w:eastAsia="方正仿宋_GBK"/>
          <w:b w:val="0"/>
          <w:sz w:val="24"/>
        </w:rPr>
        <w:t xml:space="preserve">为站</w:t>
      </w:r>
      <m:oMath>
        <m:r>
          <m:t>i</m:t>
        </m:r>
      </m:oMath>
      <w:r>
        <w:rPr>
          <w:rFonts w:ascii="Times New Roman" w:hAnsi="Times New Roman" w:eastAsia="方正仿宋_GBK"/>
          <w:b w:val="0"/>
          <w:sz w:val="24"/>
        </w:rPr>
        <w:t xml:space="preserve">可用转供能力，单位MW；</w:t>
      </w:r>
      <m:oMath>
        <m:sSub>
          <m:e>
            <m:r>
              <m:t>ρ</m:t>
            </m:r>
          </m:e>
          <m:sub>
            <m:r>
              <m:t>c</m:t>
            </m:r>
            <m:r>
              <m:t>,</m:t>
            </m:r>
            <m:r>
              <m:t>0</m:t>
            </m:r>
          </m:sub>
        </m:sSub>
      </m:oMath>
      <w:r>
        <w:rPr>
          <w:rFonts w:ascii="Times New Roman" w:hAnsi="Times New Roman" w:eastAsia="方正仿宋_GBK"/>
          <w:b w:val="0"/>
          <w:sz w:val="24"/>
        </w:rPr>
        <w:t xml:space="preserve">为区县初始转供率，</w:t>
      </w:r>
      <m:oMath>
        <m:sSubSup>
          <m:e>
            <m:r>
              <m:t>ρ</m:t>
            </m:r>
          </m:e>
          <m:sub>
            <m:r>
              <m:t>c</m:t>
            </m:r>
          </m:sub>
          <m:sup>
            <m:r>
              <m:rPr>
                <m:nor/>
                <m:sty m:val="p"/>
              </m:rPr>
              <m:t>max</m:t>
            </m:r>
          </m:sup>
        </m:sSubSup>
      </m:oMath>
      <w:r>
        <w:rPr>
          <w:rFonts w:ascii="Times New Roman" w:hAnsi="Times New Roman" w:eastAsia="方正仿宋_GBK"/>
          <w:b w:val="0"/>
          <w:sz w:val="24"/>
        </w:rPr>
        <w:t xml:space="preserve">为研究上限；</w:t>
      </w:r>
      <m:oMath>
        <m:sSubSup>
          <m:e>
            <m:r>
              <m:t>L</m:t>
            </m:r>
          </m:e>
          <m:sub>
            <m:r>
              <m:t>i</m:t>
            </m:r>
            <m:r>
              <m:t>,</m:t>
            </m:r>
            <m:r>
              <m:t>y</m:t>
            </m:r>
          </m:sub>
          <m:sup>
            <m:r>
              <m:t>+</m:t>
            </m:r>
          </m:sup>
        </m:sSubSup>
      </m:oMath>
      <w:r>
        <w:rPr>
          <w:rFonts w:ascii="Times New Roman" w:hAnsi="Times New Roman" w:eastAsia="方正仿宋_GBK"/>
          <w:b w:val="0"/>
          <w:sz w:val="24"/>
        </w:rPr>
        <w:t xml:space="preserve">为转接前最大正向净负荷；</w:t>
      </w:r>
      <m:oMath>
        <m:sSub>
          <m:e>
            <m:r>
              <m:t>m</m:t>
            </m:r>
          </m:e>
          <m:sub>
            <m:r>
              <m:t>i</m:t>
            </m:r>
            <m:r>
              <m:t>,</m:t>
            </m:r>
            <m:r>
              <m:t>y</m:t>
            </m:r>
          </m:sub>
        </m:sSub>
      </m:oMath>
      <w:r>
        <w:rPr>
          <w:rFonts w:ascii="Times New Roman" w:hAnsi="Times New Roman" w:eastAsia="方正仿宋_GBK"/>
          <w:b w:val="0"/>
          <w:sz w:val="24"/>
        </w:rPr>
        <w:t xml:space="preserve">为该站关联的在役新增项目数，非负整数；</w:t>
      </w:r>
      <m:oMath>
        <m:r>
          <m:t>Δ</m:t>
        </m:r>
        <m:r>
          <m:t>Q</m:t>
        </m:r>
      </m:oMath>
      <w:r>
        <w:rPr>
          <w:rFonts w:ascii="Times New Roman" w:hAnsi="Times New Roman" w:eastAsia="方正仿宋_GBK"/>
          <w:b w:val="0"/>
          <w:sz w:val="24"/>
        </w:rPr>
        <w:t xml:space="preserve">为单项目固定能力增量，取7.49 MW。邳州转供率规划目标与上限分别为30%和50%，市区分别为50%和70%。</w:t>
      </w:r>
    </w:p>
    <w:p>
      <w:pPr>
        <w:pStyle w:val="2"/>
        <w:widowControl/>
        <w:spacing w:line="300" w:lineRule="auto" w:before="0" w:after="0"/>
        <w:ind w:firstLine="480"/>
        <w:jc w:val="both"/>
      </w:pPr>
      <w:r>
        <w:rPr>
          <w:rFonts w:ascii="Times New Roman" w:hAnsi="Times New Roman" w:eastAsia="方正仿宋_GBK"/>
          <w:b w:val="0"/>
          <w:sz w:val="24"/>
        </w:rPr>
        <w:t xml:space="preserve">新增项目数量同时满足双端计数和区县新增能力的共享预算。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nary>
                        <m:naryPr>
                          <m:chr m:val="∑"/>
                          <m:limLoc m:val="undOvr"/>
                          <m:subHide m:val="0"/>
                          <m:supHide m:val="1"/>
                        </m:naryPr>
                        <m:sub>
                          <m:r>
                            <m:t>i</m:t>
                          </m:r>
                        </m:sub>
                        <m:sup>
                          <m:r>
                            <m:t>​</m:t>
                          </m:r>
                        </m:sup>
                        <m:e>
                          <m:sSub>
                            <m:e>
                              <m:r>
                                <m:t>m</m:t>
                              </m:r>
                            </m:e>
                            <m:sub>
                              <m:r>
                                <m:t>i</m:t>
                              </m:r>
                              <m:r>
                                <m:t>,</m:t>
                              </m:r>
                              <m:r>
                                <m:t>y</m:t>
                              </m:r>
                            </m:sub>
                          </m:sSub>
                        </m:e>
                      </m:nary>
                    </m:e>
                    <m:e>
                      <m:r>
                        <m:t>=</m:t>
                      </m:r>
                      <m:r>
                        <m:t>2</m:t>
                      </m:r>
                      <m:sSub>
                        <m:e>
                          <m:r>
                            <m:t>M</m:t>
                          </m:r>
                        </m:e>
                        <m:sub>
                          <m:r>
                            <m:t>c</m:t>
                          </m:r>
                          <m:r>
                            <m:t>,</m:t>
                          </m:r>
                          <m:r>
                            <m:t>y</m:t>
                          </m:r>
                        </m:sub>
                      </m:sSub>
                    </m:e>
                  </m:mr>
                  <m:mr>
                    <m:e/>
                    <m:e>
                      <m:r>
                        <m:t>0</m:t>
                      </m:r>
                      <m:r>
                        <m:t>≤</m:t>
                      </m:r>
                      <m:sSub>
                        <m:e>
                          <m:r>
                            <m:t>m</m:t>
                          </m:r>
                        </m:e>
                        <m:sub>
                          <m:r>
                            <m:t>i</m:t>
                          </m:r>
                          <m:r>
                            <m:t>,</m:t>
                          </m:r>
                          <m:r>
                            <m:t>y</m:t>
                          </m:r>
                        </m:sub>
                      </m:sSub>
                      <m:r>
                        <m:t>≤</m:t>
                      </m:r>
                      <m:sSub>
                        <m:e>
                          <m:r>
                            <m:t>M</m:t>
                          </m:r>
                        </m:e>
                        <m:sub>
                          <m:r>
                            <m:t>c</m:t>
                          </m:r>
                          <m:r>
                            <m:t>,</m:t>
                          </m:r>
                          <m:r>
                            <m:t>y</m:t>
                          </m:r>
                        </m:sub>
                      </m:sSub>
                    </m:e>
                  </m:mr>
                  <m:mr>
                    <m:e/>
                    <m:e>
                      <m:nary>
                        <m:naryPr>
                          <m:chr m:val="∑"/>
                          <m:limLoc m:val="undOvr"/>
                          <m:subHide m:val="0"/>
                          <m:supHide m:val="1"/>
                        </m:naryPr>
                        <m:sub>
                          <m:r>
                            <m:t>i</m:t>
                          </m:r>
                        </m:sub>
                        <m:sup>
                          <m:r>
                            <m:t>​</m:t>
                          </m:r>
                        </m:sup>
                        <m:e>
                          <m:sSub>
                            <m:e>
                              <m:r>
                                <m:t>e</m:t>
                              </m:r>
                            </m:e>
                            <m:sub>
                              <m:r>
                                <m:t>i</m:t>
                              </m:r>
                              <m:r>
                                <m:t>,</m:t>
                              </m:r>
                              <m:r>
                                <m:t>y</m:t>
                              </m:r>
                            </m:sub>
                          </m:sSub>
                        </m:e>
                      </m:nary>
                      <m:r>
                        <m:t>≤</m:t>
                      </m:r>
                      <m:sSub>
                        <m:e>
                          <m:r>
                            <m:t>M</m:t>
                          </m:r>
                        </m:e>
                        <m:sub>
                          <m:r>
                            <m:t>c</m:t>
                          </m:r>
                          <m:r>
                            <m:t>,</m:t>
                          </m:r>
                          <m:r>
                            <m:t>y</m:t>
                          </m:r>
                        </m:sub>
                      </m:sSub>
                      <m:r>
                        <m:t>Δ</m:t>
                      </m:r>
                      <m:r>
                        <m:t>Q</m:t>
                      </m:r>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（5-9）</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M</m:t>
            </m:r>
          </m:e>
          <m:sub>
            <m:r>
              <m:t>c</m:t>
            </m:r>
            <m:r>
              <m:t>,</m:t>
            </m:r>
            <m:r>
              <m:t>y</m:t>
            </m:r>
          </m:sub>
        </m:sSub>
      </m:oMath>
      <w:r>
        <w:rPr>
          <w:rFonts w:ascii="Times New Roman" w:hAnsi="Times New Roman" w:eastAsia="方正仿宋_GBK"/>
          <w:b w:val="0"/>
          <w:sz w:val="24"/>
        </w:rPr>
        <w:t xml:space="preserve">为区县在役新增项目数，</w:t>
      </w:r>
      <m:oMath>
        <m:sSub>
          <m:e>
            <m:r>
              <m:t>e</m:t>
            </m:r>
          </m:e>
          <m:sub>
            <m:r>
              <m:t>i</m:t>
            </m:r>
            <m:r>
              <m:t>,</m:t>
            </m:r>
            <m:r>
              <m:t>y</m:t>
            </m:r>
          </m:sub>
        </m:sSub>
      </m:oMath>
      <w:r>
        <w:rPr>
          <w:rFonts w:ascii="Times New Roman" w:hAnsi="Times New Roman" w:eastAsia="方正仿宋_GBK"/>
          <w:b w:val="0"/>
          <w:sz w:val="24"/>
        </w:rPr>
        <w:t xml:space="preserve">为站</w:t>
      </w:r>
      <m:oMath>
        <m:r>
          <m:t>i</m:t>
        </m:r>
      </m:oMath>
      <w:r>
        <w:rPr>
          <w:rFonts w:ascii="Times New Roman" w:hAnsi="Times New Roman" w:eastAsia="方正仿宋_GBK"/>
          <w:b w:val="0"/>
          <w:sz w:val="24"/>
        </w:rPr>
        <w:t xml:space="preserve">实际使用的新增转供能力，单位MW。单项目关联两个不同站；全区县实际使用的新增能力按每个项目一份计取。既有能力与新增能力共同满足转出需求：</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e>
                      <m:sSubSup>
                        <m:e>
                          <m:r>
                            <m:t>Q</m:t>
                          </m:r>
                        </m:e>
                        <m:sub>
                          <m:r>
                            <m:t>i</m:t>
                          </m:r>
                          <m:r>
                            <m:t>,</m:t>
                          </m:r>
                          <m:r>
                            <m:t>y</m:t>
                          </m:r>
                        </m:sub>
                        <m:sup>
                          <m:r>
                            <m:rPr>
                              <m:sty m:val="p"/>
                            </m:rPr>
                            <m:t>o</m:t>
                          </m:r>
                          <m:r>
                            <m:rPr>
                              <m:sty m:val="p"/>
                            </m:rPr>
                            <m:t>u</m:t>
                          </m:r>
                          <m:r>
                            <m:rPr>
                              <m:sty m:val="p"/>
                            </m:rPr>
                            <m:t>t</m:t>
                          </m:r>
                        </m:sup>
                      </m:sSubSup>
                      <m:r>
                        <m:t>≤</m:t>
                      </m:r>
                      <m:sSub>
                        <m:e>
                          <m:r>
                            <m:t>ρ</m:t>
                          </m:r>
                        </m:e>
                        <m:sub>
                          <m:r>
                            <m:t>c</m:t>
                          </m:r>
                          <m:r>
                            <m:t>,</m:t>
                          </m:r>
                          <m:r>
                            <m:t>0</m:t>
                          </m:r>
                        </m:sub>
                      </m:sSub>
                      <m:sSubSup>
                        <m:e>
                          <m:r>
                            <m:t>L</m:t>
                          </m:r>
                        </m:e>
                        <m:sub>
                          <m:r>
                            <m:t>i</m:t>
                          </m:r>
                          <m:r>
                            <m:t>,</m:t>
                          </m:r>
                          <m:r>
                            <m:t>y</m:t>
                          </m:r>
                        </m:sub>
                        <m:sup>
                          <m:r>
                            <m:t>+</m:t>
                          </m:r>
                        </m:sup>
                      </m:sSubSup>
                      <m:r>
                        <m:t>+</m:t>
                      </m:r>
                      <m:sSub>
                        <m:e>
                          <m:r>
                            <m:t>e</m:t>
                          </m:r>
                        </m:e>
                        <m:sub>
                          <m:r>
                            <m:t>i</m:t>
                          </m:r>
                          <m:r>
                            <m:t>,</m:t>
                          </m:r>
                          <m:r>
                            <m:t>y</m:t>
                          </m:r>
                        </m:sub>
                      </m:sSub>
                    </m:e>
                  </m:mr>
                  <m:mr>
                    <m:e/>
                    <m:e>
                      <m:sSubSup>
                        <m:e>
                          <m:r>
                            <m:t>Q</m:t>
                          </m:r>
                        </m:e>
                        <m:sub>
                          <m:r>
                            <m:t>i</m:t>
                          </m:r>
                          <m:r>
                            <m:t>,</m:t>
                          </m:r>
                          <m:r>
                            <m:t>y</m:t>
                          </m:r>
                        </m:sub>
                        <m:sup>
                          <m:r>
                            <m:rPr>
                              <m:sty m:val="p"/>
                            </m:rPr>
                            <m:t>o</m:t>
                          </m:r>
                          <m:r>
                            <m:rPr>
                              <m:sty m:val="p"/>
                            </m:rPr>
                            <m:t>u</m:t>
                          </m:r>
                          <m:r>
                            <m:rPr>
                              <m:sty m:val="p"/>
                            </m:rPr>
                            <m:t>t</m:t>
                          </m:r>
                        </m:sup>
                      </m:sSubSup>
                      <m:r>
                        <m:t>≤</m:t>
                      </m:r>
                      <m:sSubSup>
                        <m:e>
                          <m:r>
                            <m:t>Q</m:t>
                          </m:r>
                        </m:e>
                        <m:sub>
                          <m:r>
                            <m:t>i</m:t>
                          </m:r>
                          <m:r>
                            <m:t>,</m:t>
                          </m:r>
                          <m:r>
                            <m:t>y</m:t>
                          </m:r>
                        </m:sub>
                        <m:sup>
                          <m:r>
                            <m:rPr>
                              <m:sty m:val="p"/>
                            </m:rPr>
                            <m:t>c</m:t>
                          </m:r>
                          <m:r>
                            <m:rPr>
                              <m:sty m:val="p"/>
                            </m:rPr>
                            <m:t>a</m:t>
                          </m:r>
                          <m:r>
                            <m:rPr>
                              <m:sty m:val="p"/>
                            </m:rPr>
                            <m:t>p</m:t>
                          </m:r>
                        </m:sup>
                      </m:sSubSup>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（5-10）</w:t>
            </w:r>
          </w:p>
        </w:tc>
      </w:tr>
    </w:tbl>
    <w:p>
      <w:pPr>
        <w:pStyle w:val="FirstParagraph"/>
        <w:widowControl/>
        <w:spacing w:line="300" w:lineRule="auto" w:before="0" w:after="0"/>
        <w:ind w:firstLine="480"/>
        <w:jc w:val="both"/>
      </w:pPr>
      <m:oMath>
        <m:sSubSup>
          <m:e>
            <m:r>
              <m:t>Q</m:t>
            </m:r>
          </m:e>
          <m:sub>
            <m:r>
              <m:t>i</m:t>
            </m:r>
            <m:r>
              <m:t>,</m:t>
            </m:r>
            <m:r>
              <m:t>y</m:t>
            </m:r>
          </m:sub>
          <m:sup>
            <m:r>
              <m:rPr>
                <m:sty m:val="p"/>
              </m:rPr>
              <m:t>o</m:t>
            </m:r>
            <m:r>
              <m:rPr>
                <m:sty m:val="p"/>
              </m:rPr>
              <m:t>u</m:t>
            </m:r>
            <m:r>
              <m:rPr>
                <m:sty m:val="p"/>
              </m:rPr>
              <m:t>t</m:t>
            </m:r>
          </m:sup>
        </m:sSubSup>
      </m:oMath>
      <w:r>
        <w:rPr>
          <w:rFonts w:ascii="Times New Roman" w:hAnsi="Times New Roman" w:eastAsia="方正仿宋_GBK"/>
          <w:b w:val="0"/>
          <w:sz w:val="24"/>
        </w:rPr>
        <w:t xml:space="preserve">为站级转出负荷，单位MW。能力目标用于保证规划转供能力达到相应比例，实际转出量由负荷分布和费用优化确定。新增项目每区县最多30项，为本研究候选规模设定。</w:t>
      </w:r>
    </w:p>
    <w:p>
      <w:pPr>
        <w:pStyle w:val="2"/>
        <w:widowControl/>
        <w:spacing w:line="300" w:lineRule="auto" w:before="0" w:after="0"/>
        <w:ind w:firstLine="480"/>
        <w:jc w:val="both"/>
      </w:pPr>
      <w:r>
        <w:rPr>
          <w:rFonts w:ascii="Times New Roman" w:hAnsi="Times New Roman" w:eastAsia="方正仿宋_GBK"/>
          <w:b w:val="0"/>
          <w:sz w:val="24"/>
        </w:rPr>
        <w:t xml:space="preserve">等效项目先参与县域容量与负荷优化，再按站级端点数量生成项目配对。实际建设可依据规划转供率和受端需求核定线路走向、分段位置及可切换负荷区段。</w:t>
      </w:r>
    </w:p>
    <w:p>
      <w:pPr>
        <w:pStyle w:val="5"/>
        <w:keepNext/>
        <w:numPr>
          <w:numId w:val="0"/>
        </w:numPr>
        <w:spacing w:line="360" w:lineRule="auto" w:before="160" w:after="120"/>
        <w:ind w:firstLine="0"/>
      </w:pPr>
      <w:bookmarkStart w:id="168" w:name="负荷转接与容量衔接"/>
      <w:r>
        <w:rPr>
          <w:rFonts w:ascii="Times New Roman" w:hAnsi="Times New Roman" w:eastAsia="方正仿宋_GBK"/>
          <w:b/>
          <w:sz w:val="26"/>
        </w:rPr>
        <w:t xml:space="preserve">5.2.5 负荷转接与容量衔接</w:t>
      </w:r>
      <w:bookmarkEnd w:id="168"/>
    </w:p>
    <w:p>
      <w:pPr>
        <w:pStyle w:val="FirstParagraph"/>
        <w:widowControl/>
        <w:spacing w:line="300" w:lineRule="auto" w:before="0" w:after="0"/>
        <w:ind w:firstLine="480"/>
        <w:jc w:val="both"/>
      </w:pPr>
      <w:r>
        <w:rPr>
          <w:rFonts w:ascii="Times New Roman" w:hAnsi="Times New Roman" w:eastAsia="方正仿宋_GBK"/>
          <w:b w:val="0"/>
          <w:sz w:val="24"/>
        </w:rPr>
        <w:t xml:space="preserve">转接后正向负荷由原站负荷减转出、加承接得到，区县内部转出与承接总量相等。</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r>
                        <m:t>L</m:t>
                      </m:r>
                      <m:sSub>
                        <m:e>
                          <m:r>
                            <m:t>′</m:t>
                          </m:r>
                        </m:e>
                        <m:sub>
                          <m:r>
                            <m:t>i</m:t>
                          </m:r>
                          <m:r>
                            <m:t>,</m:t>
                          </m:r>
                          <m:r>
                            <m:t>y</m:t>
                          </m:r>
                        </m:sub>
                      </m:sSub>
                    </m:e>
                    <m:e>
                      <m:r>
                        <m:t>=</m:t>
                      </m:r>
                      <m:sSubSup>
                        <m:e>
                          <m:r>
                            <m:t>L</m:t>
                          </m:r>
                        </m:e>
                        <m:sub>
                          <m:r>
                            <m:t>i</m:t>
                          </m:r>
                          <m:r>
                            <m:t>,</m:t>
                          </m:r>
                          <m:r>
                            <m:t>y</m:t>
                          </m:r>
                        </m:sub>
                        <m:sup>
                          <m:r>
                            <m:t>+</m:t>
                          </m:r>
                        </m:sup>
                      </m:sSubSup>
                      <m:r>
                        <m:t>−</m:t>
                      </m:r>
                      <m:sSubSup>
                        <m:e>
                          <m:r>
                            <m:t>Q</m:t>
                          </m:r>
                        </m:e>
                        <m:sub>
                          <m:r>
                            <m:t>i</m:t>
                          </m:r>
                          <m:r>
                            <m:t>,</m:t>
                          </m:r>
                          <m:r>
                            <m:t>y</m:t>
                          </m:r>
                        </m:sub>
                        <m:sup>
                          <m:r>
                            <m:rPr>
                              <m:sty m:val="p"/>
                            </m:rPr>
                            <m:t>o</m:t>
                          </m:r>
                          <m:r>
                            <m:rPr>
                              <m:sty m:val="p"/>
                            </m:rPr>
                            <m:t>u</m:t>
                          </m:r>
                          <m:r>
                            <m:rPr>
                              <m:sty m:val="p"/>
                            </m:rPr>
                            <m:t>t</m:t>
                          </m:r>
                        </m:sup>
                      </m:sSubSup>
                      <m:r>
                        <m:t>+</m:t>
                      </m:r>
                      <m:sSubSup>
                        <m:e>
                          <m:r>
                            <m:t>Q</m:t>
                          </m:r>
                        </m:e>
                        <m:sub>
                          <m:r>
                            <m:t>i</m:t>
                          </m:r>
                          <m:r>
                            <m:t>,</m:t>
                          </m:r>
                          <m:r>
                            <m:t>y</m:t>
                          </m:r>
                        </m:sub>
                        <m:sup>
                          <m:r>
                            <m:rPr>
                              <m:sty m:val="p"/>
                            </m:rPr>
                            <m:t>i</m:t>
                          </m:r>
                          <m:r>
                            <m:rPr>
                              <m:sty m:val="p"/>
                            </m:rPr>
                            <m:t>n</m:t>
                          </m:r>
                        </m:sup>
                      </m:sSubSup>
                    </m:e>
                  </m:mr>
                  <m:mr>
                    <m:e>
                      <m:nary>
                        <m:naryPr>
                          <m:chr m:val="∑"/>
                          <m:limLoc m:val="undOvr"/>
                          <m:subHide m:val="0"/>
                          <m:supHide m:val="1"/>
                        </m:naryPr>
                        <m:sub>
                          <m:r>
                            <m:t>i</m:t>
                          </m:r>
                        </m:sub>
                        <m:sup>
                          <m:r>
                            <m:t>​</m:t>
                          </m:r>
                        </m:sup>
                        <m:e>
                          <m:sSubSup>
                            <m:e>
                              <m:r>
                                <m:t>Q</m:t>
                              </m:r>
                            </m:e>
                            <m:sub>
                              <m:r>
                                <m:t>i</m:t>
                              </m:r>
                              <m:r>
                                <m:t>,</m:t>
                              </m:r>
                              <m:r>
                                <m:t>y</m:t>
                              </m:r>
                            </m:sub>
                            <m:sup>
                              <m:r>
                                <m:rPr>
                                  <m:sty m:val="p"/>
                                </m:rPr>
                                <m:t>o</m:t>
                              </m:r>
                              <m:r>
                                <m:rPr>
                                  <m:sty m:val="p"/>
                                </m:rPr>
                                <m:t>u</m:t>
                              </m:r>
                              <m:r>
                                <m:rPr>
                                  <m:sty m:val="p"/>
                                </m:rPr>
                                <m:t>t</m:t>
                              </m:r>
                            </m:sup>
                          </m:sSubSup>
                        </m:e>
                      </m:nary>
                    </m:e>
                    <m:e>
                      <m:r>
                        <m:t>=</m:t>
                      </m:r>
                      <m:nary>
                        <m:naryPr>
                          <m:chr m:val="∑"/>
                          <m:limLoc m:val="undOvr"/>
                          <m:subHide m:val="0"/>
                          <m:supHide m:val="1"/>
                        </m:naryPr>
                        <m:sub>
                          <m:r>
                            <m:t>i</m:t>
                          </m:r>
                        </m:sub>
                        <m:sup>
                          <m:r>
                            <m:t>​</m:t>
                          </m:r>
                        </m:sup>
                        <m:e>
                          <m:sSubSup>
                            <m:e>
                              <m:r>
                                <m:t>Q</m:t>
                              </m:r>
                            </m:e>
                            <m:sub>
                              <m:r>
                                <m:t>i</m:t>
                              </m:r>
                              <m:r>
                                <m:t>,</m:t>
                              </m:r>
                              <m:r>
                                <m:t>y</m:t>
                              </m:r>
                            </m:sub>
                            <m:sup>
                              <m:r>
                                <m:rPr>
                                  <m:sty m:val="p"/>
                                </m:rPr>
                                <m:t>i</m:t>
                              </m:r>
                              <m:r>
                                <m:rPr>
                                  <m:sty m:val="p"/>
                                </m:rPr>
                                <m:t>n</m:t>
                              </m:r>
                            </m:sup>
                          </m:sSubSup>
                        </m:e>
                      </m:nary>
                    </m:e>
                  </m:mr>
                  <m:mr>
                    <m:e>
                      <m:nary>
                        <m:naryPr>
                          <m:chr m:val="∑"/>
                          <m:limLoc m:val="undOvr"/>
                          <m:subHide m:val="0"/>
                          <m:supHide m:val="1"/>
                        </m:naryPr>
                        <m:sub>
                          <m:r>
                            <m:t>i</m:t>
                          </m:r>
                        </m:sub>
                        <m:sup>
                          <m:r>
                            <m:t>​</m:t>
                          </m:r>
                        </m:sup>
                        <m:e>
                          <m:r>
                            <m:t>L</m:t>
                          </m:r>
                        </m:e>
                      </m:nary>
                      <m:sSub>
                        <m:e>
                          <m:r>
                            <m:t>′</m:t>
                          </m:r>
                        </m:e>
                        <m:sub>
                          <m:r>
                            <m:t>i</m:t>
                          </m:r>
                          <m:r>
                            <m:t>,</m:t>
                          </m:r>
                          <m:r>
                            <m:t>y</m:t>
                          </m:r>
                        </m:sub>
                      </m:sSub>
                    </m:e>
                    <m:e>
                      <m:r>
                        <m:t>=</m:t>
                      </m:r>
                      <m:nary>
                        <m:naryPr>
                          <m:chr m:val="∑"/>
                          <m:limLoc m:val="undOvr"/>
                          <m:subHide m:val="0"/>
                          <m:supHide m:val="1"/>
                        </m:naryPr>
                        <m:sub>
                          <m:r>
                            <m:t>i</m:t>
                          </m:r>
                        </m:sub>
                        <m:sup>
                          <m:r>
                            <m:t>​</m:t>
                          </m:r>
                        </m:sup>
                        <m:e>
                          <m:sSubSup>
                            <m:e>
                              <m:r>
                                <m:t>L</m:t>
                              </m:r>
                            </m:e>
                            <m:sub>
                              <m:r>
                                <m:t>i</m:t>
                              </m:r>
                              <m:r>
                                <m:t>,</m:t>
                              </m:r>
                              <m:r>
                                <m:t>y</m:t>
                              </m:r>
                            </m:sub>
                            <m:sup>
                              <m:r>
                                <m:t>+</m:t>
                              </m:r>
                            </m:sup>
                          </m:sSubSup>
                        </m:e>
                      </m:nary>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（5-11）</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L</m:t>
        </m:r>
        <m:sSub>
          <m:e>
            <m:r>
              <m:t>′</m:t>
            </m:r>
          </m:e>
          <m:sub>
            <m:r>
              <m:t>i</m:t>
            </m:r>
            <m:r>
              <m:t>,</m:t>
            </m:r>
            <m:r>
              <m:t>y</m:t>
            </m:r>
          </m:sub>
        </m:sSub>
      </m:oMath>
      <w:r>
        <w:rPr>
          <w:rFonts w:ascii="Times New Roman" w:hAnsi="Times New Roman" w:eastAsia="方正仿宋_GBK"/>
          <w:b w:val="0"/>
          <w:sz w:val="24"/>
        </w:rPr>
        <w:t xml:space="preserve">为转接后的站级正向负荷，</w:t>
      </w:r>
      <m:oMath>
        <m:sSubSup>
          <m:e>
            <m:r>
              <m:t>Q</m:t>
            </m:r>
          </m:e>
          <m:sub>
            <m:r>
              <m:t>i</m:t>
            </m:r>
            <m:r>
              <m:t>,</m:t>
            </m:r>
            <m:r>
              <m:t>y</m:t>
            </m:r>
          </m:sub>
          <m:sup>
            <m:r>
              <m:rPr>
                <m:sty m:val="p"/>
              </m:rPr>
              <m:t>i</m:t>
            </m:r>
            <m:r>
              <m:rPr>
                <m:sty m:val="p"/>
              </m:rPr>
              <m:t>n</m:t>
            </m:r>
          </m:sup>
        </m:sSubSup>
      </m:oMath>
      <w:r>
        <w:rPr>
          <w:rFonts w:ascii="Times New Roman" w:hAnsi="Times New Roman" w:eastAsia="方正仿宋_GBK"/>
          <w:b w:val="0"/>
          <w:sz w:val="24"/>
        </w:rPr>
        <w:t xml:space="preserve">为该站承接负荷，单位MW。模型先求站级转出与承接量，再生成守恒的站间分配表。联络由此改善容量与负荷的空间匹配。</w:t>
      </w:r>
    </w:p>
    <w:p>
      <w:pPr>
        <w:pStyle w:val="2"/>
        <w:widowControl/>
        <w:spacing w:line="300" w:lineRule="auto" w:before="0" w:after="0"/>
        <w:ind w:firstLine="480"/>
        <w:jc w:val="both"/>
      </w:pPr>
      <w:r>
        <w:rPr>
          <w:rFonts w:ascii="Times New Roman" w:hAnsi="Times New Roman" w:eastAsia="方正仿宋_GBK"/>
          <w:b w:val="0"/>
          <w:sz w:val="24"/>
        </w:rPr>
        <w:t xml:space="preserve">本地电源保留在原站。用电负荷转出后，原站潜在反送压力增加，反向净负荷上界取原站最大反向净负荷加转出量。各站采用同一规则：</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Sup>
                  <m:e>
                    <m:r>
                      <m:t>L</m:t>
                    </m:r>
                  </m:e>
                  <m:sub>
                    <m:r>
                      <m:t>i</m:t>
                    </m:r>
                    <m:r>
                      <m:t>,</m:t>
                    </m:r>
                    <m:r>
                      <m:t>y</m:t>
                    </m:r>
                  </m:sub>
                  <m:sup>
                    <m:r>
                      <m:t>−</m:t>
                    </m:r>
                    <m:r>
                      <m:t>,</m:t>
                    </m:r>
                    <m:r>
                      <m:rPr>
                        <m:sty m:val="p"/>
                      </m:rPr>
                      <m:t>c</m:t>
                    </m:r>
                    <m:r>
                      <m:rPr>
                        <m:sty m:val="p"/>
                      </m:rPr>
                      <m:t>h</m:t>
                    </m:r>
                    <m:r>
                      <m:rPr>
                        <m:sty m:val="p"/>
                      </m:rPr>
                      <m:t>e</m:t>
                    </m:r>
                    <m:r>
                      <m:rPr>
                        <m:sty m:val="p"/>
                      </m:rPr>
                      <m:t>c</m:t>
                    </m:r>
                    <m:r>
                      <m:rPr>
                        <m:sty m:val="p"/>
                      </m:rPr>
                      <m:t>k</m:t>
                    </m:r>
                  </m:sup>
                </m:sSubSup>
                <m:r>
                  <m:t>=</m:t>
                </m:r>
                <m:sSubSup>
                  <m:e>
                    <m:r>
                      <m:t>L</m:t>
                    </m:r>
                  </m:e>
                  <m:sub>
                    <m:r>
                      <m:t>i</m:t>
                    </m:r>
                    <m:r>
                      <m:t>,</m:t>
                    </m:r>
                    <m:r>
                      <m:t>y</m:t>
                    </m:r>
                  </m:sub>
                  <m:sup>
                    <m:r>
                      <m:t>−</m:t>
                    </m:r>
                  </m:sup>
                </m:sSubSup>
                <m:r>
                  <m:t>+</m:t>
                </m:r>
                <m:sSubSup>
                  <m:e>
                    <m:r>
                      <m:t>Q</m:t>
                    </m:r>
                  </m:e>
                  <m:sub>
                    <m:r>
                      <m:t>i</m:t>
                    </m:r>
                    <m:r>
                      <m:t>,</m:t>
                    </m:r>
                    <m:r>
                      <m:t>y</m:t>
                    </m:r>
                  </m:sub>
                  <m:sup>
                    <m:r>
                      <m:rPr>
                        <m:sty m:val="p"/>
                      </m:rPr>
                      <m:t>o</m:t>
                    </m:r>
                    <m:r>
                      <m:rPr>
                        <m:sty m:val="p"/>
                      </m:rPr>
                      <m:t>u</m:t>
                    </m:r>
                    <m:r>
                      <m:rPr>
                        <m:sty m:val="p"/>
                      </m:rPr>
                      <m:t>t</m:t>
                    </m:r>
                  </m:sup>
                </m:sSubSup>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（5-12）</w:t>
            </w:r>
          </w:p>
        </w:tc>
      </w:tr>
    </w:tbl>
    <w:p>
      <w:pPr>
        <w:pStyle w:val="FirstParagraph"/>
        <w:widowControl/>
        <w:spacing w:line="300" w:lineRule="auto" w:before="0" w:after="0"/>
        <w:ind w:firstLine="480"/>
        <w:jc w:val="both"/>
      </w:pPr>
      <m:oMath>
        <m:sSubSup>
          <m:e>
            <m:r>
              <m:t>L</m:t>
            </m:r>
          </m:e>
          <m:sub>
            <m:r>
              <m:t>i</m:t>
            </m:r>
            <m:r>
              <m:t>,</m:t>
            </m:r>
            <m:r>
              <m:t>y</m:t>
            </m:r>
          </m:sub>
          <m:sup>
            <m:r>
              <m:t>−</m:t>
            </m:r>
          </m:sup>
        </m:sSubSup>
      </m:oMath>
      <w:r>
        <w:rPr>
          <w:rFonts w:ascii="Times New Roman" w:hAnsi="Times New Roman" w:eastAsia="方正仿宋_GBK"/>
          <w:b w:val="0"/>
          <w:sz w:val="24"/>
        </w:rPr>
        <w:t xml:space="preserve">为原站最大反向净负荷，</w:t>
      </w:r>
      <m:oMath>
        <m:sSubSup>
          <m:e>
            <m:r>
              <m:t>L</m:t>
            </m:r>
          </m:e>
          <m:sub>
            <m:r>
              <m:t>i</m:t>
            </m:r>
            <m:r>
              <m:t>,</m:t>
            </m:r>
            <m:r>
              <m:t>y</m:t>
            </m:r>
          </m:sub>
          <m:sup>
            <m:r>
              <m:t>−</m:t>
            </m:r>
            <m:r>
              <m:t>,</m:t>
            </m:r>
            <m:r>
              <m:rPr>
                <m:sty m:val="p"/>
              </m:rPr>
              <m:t>c</m:t>
            </m:r>
            <m:r>
              <m:rPr>
                <m:sty m:val="p"/>
              </m:rPr>
              <m:t>h</m:t>
            </m:r>
            <m:r>
              <m:rPr>
                <m:sty m:val="p"/>
              </m:rPr>
              <m:t>e</m:t>
            </m:r>
            <m:r>
              <m:rPr>
                <m:sty m:val="p"/>
              </m:rPr>
              <m:t>c</m:t>
            </m:r>
            <m:r>
              <m:rPr>
                <m:sty m:val="p"/>
              </m:rPr>
              <m:t>k</m:t>
            </m:r>
          </m:sup>
        </m:sSubSup>
      </m:oMath>
      <w:r>
        <w:rPr>
          <w:rFonts w:ascii="Times New Roman" w:hAnsi="Times New Roman" w:eastAsia="方正仿宋_GBK"/>
          <w:b w:val="0"/>
          <w:sz w:val="24"/>
        </w:rPr>
        <w:t xml:space="preserve">为用于校核的反向净负荷上界，单位MW。该式在缺少转接负荷同步曲线的情况下按峰值上界处理，受端增加用电仍按其正向容量约束校核。</w:t>
      </w:r>
    </w:p>
    <w:p>
      <w:pPr>
        <w:pStyle w:val="2"/>
        <w:widowControl/>
        <w:spacing w:line="300" w:lineRule="auto" w:before="0" w:after="0"/>
        <w:ind w:firstLine="480"/>
        <w:jc w:val="both"/>
      </w:pPr>
      <w:r>
        <w:rPr>
          <w:rFonts w:ascii="Times New Roman" w:hAnsi="Times New Roman" w:eastAsia="方正仿宋_GBK"/>
          <w:b w:val="0"/>
          <w:sz w:val="24"/>
        </w:rPr>
        <w:t xml:space="preserve">以两站负荷转接说明计算关系。送端原正向负荷80 MW，初始转供率28.29%，既有能力为22.63 MW；新建一个项目后，能力增至30.12 MW。若转出25 MW，新增能力实际使用2.37 MW，原站正向负荷降至55 MW；原反向净负荷10 MW时，校核上界增至35 MW。受端原负荷40 MW，承接后为65 MW，按65 MW校核正常和单台退出容量。两站负荷合计仍为120 MW，新建项目投资106.80万元计取一次。</w:t>
      </w:r>
    </w:p>
    <w:p>
      <w:bookmarkStart w:id="1483" w:name="h483"/>
      <w:pPr>
        <w:pStyle w:val="4"/>
        <w:keepNext/>
        <w:numPr>
          <w:numId w:val="0"/>
        </w:numPr>
        <w:spacing w:line="360" w:lineRule="auto" w:before="160" w:after="120"/>
        <w:ind w:firstLine="0"/>
      </w:pPr>
      <w:bookmarkStart w:id="169" w:name="约束条件与求解流程"/>
      <w:r>
        <w:rPr>
          <w:rFonts w:ascii="Times New Roman" w:hAnsi="Times New Roman" w:eastAsia="方正仿宋_GBK"/>
          <w:b/>
          <w:sz w:val="32"/>
        </w:rPr>
        <w:t xml:space="preserve">5.3 约束条件与求解流程</w:t>
      </w:r>
      <w:bookmarkEnd w:id="169"/>
      <w:bookmarkEnd w:id="1483"/>
    </w:p>
    <w:p>
      <w:pPr>
        <w:pStyle w:val="5"/>
        <w:keepNext/>
        <w:numPr>
          <w:numId w:val="0"/>
        </w:numPr>
        <w:spacing w:line="360" w:lineRule="auto" w:before="160" w:after="120"/>
        <w:ind w:firstLine="0"/>
      </w:pPr>
      <w:bookmarkStart w:id="170" w:name="正常运行和单台主变退出"/>
      <w:r>
        <w:rPr>
          <w:rFonts w:ascii="Times New Roman" w:hAnsi="Times New Roman" w:eastAsia="方正仿宋_GBK"/>
          <w:b/>
          <w:sz w:val="26"/>
        </w:rPr>
        <w:t xml:space="preserve">5.3.1 正常运行和单台主变退出</w:t>
      </w:r>
      <w:bookmarkEnd w:id="170"/>
    </w:p>
    <w:p>
      <w:pPr>
        <w:pStyle w:val="FirstParagraph"/>
        <w:widowControl/>
        <w:spacing w:line="300" w:lineRule="auto" w:before="0" w:after="0"/>
        <w:ind w:firstLine="480"/>
        <w:jc w:val="both"/>
      </w:pPr>
      <w:r>
        <w:rPr>
          <w:rFonts w:ascii="Times New Roman" w:hAnsi="Times New Roman" w:eastAsia="方正仿宋_GBK"/>
          <w:b w:val="0"/>
          <w:sz w:val="24"/>
        </w:rPr>
        <w:t xml:space="preserve">主变容量按0.95功率因数折算为有功供电能力。正常运行分别校核正向和反向需求；单台主变退出时，以剩余主变和储能支撑满足全部转接后负荷。</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r>
                        <m:t>0.95</m:t>
                      </m:r>
                      <m:sSub>
                        <m:e>
                          <m:r>
                            <m:t>S</m:t>
                          </m:r>
                        </m:e>
                        <m:sub>
                          <m:r>
                            <m:t>i</m:t>
                          </m:r>
                          <m:r>
                            <m:t>,</m:t>
                          </m:r>
                          <m:r>
                            <m:t>y</m:t>
                          </m:r>
                        </m:sub>
                      </m:sSub>
                      <m:r>
                        <m:t>+</m:t>
                      </m:r>
                      <m:sSubSup>
                        <m:e>
                          <m:r>
                            <m:t>P</m:t>
                          </m:r>
                        </m:e>
                        <m:sub>
                          <m:r>
                            <m:t>B</m:t>
                          </m:r>
                          <m:r>
                            <m:t>,</m:t>
                          </m:r>
                          <m:r>
                            <m:t>i</m:t>
                          </m:r>
                          <m:r>
                            <m:t>,</m:t>
                          </m:r>
                          <m:r>
                            <m:t>y</m:t>
                          </m:r>
                        </m:sub>
                        <m:sup>
                          <m:r>
                            <m:t>+</m:t>
                          </m:r>
                        </m:sup>
                      </m:sSubSup>
                    </m:e>
                    <m:e>
                      <m:r>
                        <m:t>≥</m:t>
                      </m:r>
                      <m:r>
                        <m:t>L</m:t>
                      </m:r>
                      <m:sSub>
                        <m:e>
                          <m:r>
                            <m:t>′</m:t>
                          </m:r>
                        </m:e>
                        <m:sub>
                          <m:r>
                            <m:t>i</m:t>
                          </m:r>
                          <m:r>
                            <m:t>,</m:t>
                          </m:r>
                          <m:r>
                            <m:t>y</m:t>
                          </m:r>
                        </m:sub>
                      </m:sSub>
                      <m:r>
                        <m:t>,</m:t>
                      </m:r>
                    </m:e>
                  </m:mr>
                  <m:mr>
                    <m:e>
                      <m:r>
                        <m:t>0.95</m:t>
                      </m:r>
                      <m:sSub>
                        <m:e>
                          <m:r>
                            <m:t>S</m:t>
                          </m:r>
                        </m:e>
                        <m:sub>
                          <m:r>
                            <m:t>i</m:t>
                          </m:r>
                          <m:r>
                            <m:t>,</m:t>
                          </m:r>
                          <m:r>
                            <m:t>y</m:t>
                          </m:r>
                        </m:sub>
                      </m:sSub>
                      <m:r>
                        <m:t>+</m:t>
                      </m:r>
                      <m:sSubSup>
                        <m:e>
                          <m:r>
                            <m:t>P</m:t>
                          </m:r>
                        </m:e>
                        <m:sub>
                          <m:r>
                            <m:t>B</m:t>
                          </m:r>
                          <m:r>
                            <m:t>,</m:t>
                          </m:r>
                          <m:r>
                            <m:t>i</m:t>
                          </m:r>
                          <m:r>
                            <m:t>,</m:t>
                          </m:r>
                          <m:r>
                            <m:t>y</m:t>
                          </m:r>
                        </m:sub>
                        <m:sup>
                          <m:r>
                            <m:t>−</m:t>
                          </m:r>
                        </m:sup>
                      </m:sSubSup>
                    </m:e>
                    <m:e>
                      <m:r>
                        <m:t>≥</m:t>
                      </m:r>
                      <m:sSubSup>
                        <m:e>
                          <m:r>
                            <m:t>L</m:t>
                          </m:r>
                        </m:e>
                        <m:sub>
                          <m:r>
                            <m:t>i</m:t>
                          </m:r>
                          <m:r>
                            <m:t>,</m:t>
                          </m:r>
                          <m:r>
                            <m:t>y</m:t>
                          </m:r>
                        </m:sub>
                        <m:sup>
                          <m:r>
                            <m:t>−</m:t>
                          </m:r>
                          <m:r>
                            <m:t>,</m:t>
                          </m:r>
                          <m:r>
                            <m:rPr>
                              <m:sty m:val="p"/>
                            </m:rPr>
                            <m:t>c</m:t>
                          </m:r>
                          <m:r>
                            <m:rPr>
                              <m:sty m:val="p"/>
                            </m:rPr>
                            <m:t>h</m:t>
                          </m:r>
                          <m:r>
                            <m:rPr>
                              <m:sty m:val="p"/>
                            </m:rPr>
                            <m:t>e</m:t>
                          </m:r>
                          <m:r>
                            <m:rPr>
                              <m:sty m:val="p"/>
                            </m:rPr>
                            <m:t>c</m:t>
                          </m:r>
                          <m:r>
                            <m:rPr>
                              <m:sty m:val="p"/>
                            </m:rPr>
                            <m:t>k</m:t>
                          </m:r>
                        </m:sup>
                      </m:sSubSup>
                      <m:r>
                        <m:t>,</m:t>
                      </m:r>
                    </m:e>
                  </m:mr>
                  <m:mr>
                    <m:e>
                      <m:r>
                        <m:t>0.95</m:t>
                      </m:r>
                      <m:r>
                        <m:t>(</m:t>
                      </m:r>
                      <m:sSub>
                        <m:e>
                          <m:r>
                            <m:t>S</m:t>
                          </m:r>
                        </m:e>
                        <m:sub>
                          <m:r>
                            <m:t>i</m:t>
                          </m:r>
                          <m:r>
                            <m:t>,</m:t>
                          </m:r>
                          <m:r>
                            <m:t>y</m:t>
                          </m:r>
                        </m:sub>
                      </m:sSub>
                      <m:r>
                        <m:t>−</m:t>
                      </m:r>
                      <m:sSub>
                        <m:e>
                          <m:r>
                            <m:t>S</m:t>
                          </m:r>
                        </m:e>
                        <m:sub>
                          <m:r>
                            <m:t>i</m:t>
                          </m:r>
                          <m:r>
                            <m:t>,</m:t>
                          </m:r>
                          <m:r>
                            <m:t>k</m:t>
                          </m:r>
                          <m:r>
                            <m:t>,</m:t>
                          </m:r>
                          <m:r>
                            <m:t>y</m:t>
                          </m:r>
                        </m:sub>
                      </m:sSub>
                      <m:r>
                        <m:t>)</m:t>
                      </m:r>
                      <m:r>
                        <m:t>+</m:t>
                      </m:r>
                      <m:sSubSup>
                        <m:e>
                          <m:r>
                            <m:t>P</m:t>
                          </m:r>
                        </m:e>
                        <m:sub>
                          <m:r>
                            <m:t>B</m:t>
                          </m:r>
                          <m:r>
                            <m:t>,</m:t>
                          </m:r>
                          <m:r>
                            <m:t>i</m:t>
                          </m:r>
                          <m:r>
                            <m:t>,</m:t>
                          </m:r>
                          <m:r>
                            <m:t>y</m:t>
                          </m:r>
                        </m:sub>
                        <m:sup>
                          <m:r>
                            <m:t>+</m:t>
                          </m:r>
                        </m:sup>
                      </m:sSubSup>
                    </m:e>
                    <m:e>
                      <m:r>
                        <m:t>≥</m:t>
                      </m:r>
                      <m:r>
                        <m:t>L</m:t>
                      </m:r>
                      <m:sSub>
                        <m:e>
                          <m:r>
                            <m:t>′</m:t>
                          </m:r>
                        </m:e>
                        <m:sub>
                          <m:r>
                            <m:t>i</m:t>
                          </m:r>
                          <m:r>
                            <m:t>,</m:t>
                          </m:r>
                          <m:r>
                            <m:t>y</m:t>
                          </m:r>
                        </m:sub>
                      </m:sSub>
                      <m:r>
                        <m:t>,</m:t>
                      </m:r>
                      <m:r>
                        <m:t> </m:t>
                      </m:r>
                      <m:r>
                        <m:t>k</m:t>
                      </m:r>
                      <m:r>
                        <m:t>∈</m:t>
                      </m:r>
                      <m:sSub>
                        <m:e>
                          <m:r>
                            <m:rPr>
                              <m:sty m:val="p"/>
                              <m:scr m:val="script"/>
                            </m:rPr>
                            <m:t>K</m:t>
                          </m:r>
                        </m:e>
                        <m:sub>
                          <m:r>
                            <m:t>i</m:t>
                          </m:r>
                          <m:r>
                            <m:t>,</m:t>
                          </m:r>
                          <m:r>
                            <m:t>y</m:t>
                          </m:r>
                        </m:sub>
                      </m:sSub>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（5-13）</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rPr>
                <m:sty m:val="p"/>
                <m:scr m:val="script"/>
              </m:rPr>
              <m:t>K</m:t>
            </m:r>
          </m:e>
          <m:sub>
            <m:r>
              <m:t>i</m:t>
            </m:r>
            <m:r>
              <m:t>,</m:t>
            </m:r>
            <m:r>
              <m:t>y</m:t>
            </m:r>
          </m:sub>
        </m:sSub>
      </m:oMath>
      <w:r>
        <w:rPr>
          <w:rFonts w:ascii="Times New Roman" w:hAnsi="Times New Roman" w:eastAsia="方正仿宋_GBK"/>
          <w:b w:val="0"/>
          <w:sz w:val="24"/>
        </w:rPr>
        <w:t xml:space="preserve">为该年在役主变集合，</w:t>
      </w:r>
      <m:oMath>
        <m:sSub>
          <m:e>
            <m:r>
              <m:t>S</m:t>
            </m:r>
          </m:e>
          <m:sub>
            <m:r>
              <m:t>i</m:t>
            </m:r>
            <m:r>
              <m:t>,</m:t>
            </m:r>
            <m:r>
              <m:t>k</m:t>
            </m:r>
            <m:r>
              <m:t>,</m:t>
            </m:r>
            <m:r>
              <m:t>y</m:t>
            </m:r>
          </m:sub>
        </m:sSub>
      </m:oMath>
      <w:r>
        <w:rPr>
          <w:rFonts w:ascii="Times New Roman" w:hAnsi="Times New Roman" w:eastAsia="方正仿宋_GBK"/>
          <w:b w:val="0"/>
          <w:sz w:val="24"/>
        </w:rPr>
        <w:t xml:space="preserve">为退出主变的铭牌容量。扩建主变投运后，也进入退出校核。邳州各类别采用同一全负荷静态研究条件，市区按A类供电区域规划。导则的分类供电安全要求与本项目统一的研究校核条件分别说明[5]。</w:t>
      </w:r>
    </w:p>
    <w:p>
      <w:pPr>
        <w:pStyle w:val="2"/>
        <w:widowControl/>
        <w:spacing w:line="300" w:lineRule="auto" w:before="0" w:after="0"/>
        <w:ind w:firstLine="480"/>
        <w:jc w:val="both"/>
      </w:pPr>
      <w:r>
        <w:rPr>
          <w:rFonts w:ascii="Times New Roman" w:hAnsi="Times New Roman" w:eastAsia="方正仿宋_GBK"/>
          <w:b w:val="0"/>
          <w:sz w:val="24"/>
        </w:rPr>
        <w:t xml:space="preserve">从基期向后，各槽位容量、扩建主变在役状态、储能柜数和新增联络项目数逐年非减。每年的转接功率可以随负荷与设备状态调整。所有容量选择同时满足该年容载比控制范围、转供能力预算和技术约束。</w:t>
      </w:r>
    </w:p>
    <w:p>
      <w:pPr>
        <w:pStyle w:val="5"/>
        <w:keepNext/>
        <w:numPr>
          <w:numId w:val="0"/>
        </w:numPr>
        <w:spacing w:line="360" w:lineRule="auto" w:before="160" w:after="120"/>
        <w:ind w:firstLine="0"/>
      </w:pPr>
      <w:bookmarkStart w:id="171" w:name="全寿命费用目标"/>
      <w:r>
        <w:rPr>
          <w:rFonts w:ascii="Times New Roman" w:hAnsi="Times New Roman" w:eastAsia="方正仿宋_GBK"/>
          <w:b/>
          <w:sz w:val="26"/>
        </w:rPr>
        <w:t xml:space="preserve">5.3.2 全寿命费用目标</w:t>
      </w:r>
      <w:bookmarkEnd w:id="171"/>
    </w:p>
    <w:p>
      <w:pPr>
        <w:pStyle w:val="FirstParagraph"/>
        <w:widowControl/>
        <w:spacing w:line="300" w:lineRule="auto" w:before="0" w:after="0"/>
        <w:ind w:firstLine="480"/>
        <w:jc w:val="both"/>
      </w:pPr>
      <w:r>
        <w:rPr>
          <w:rFonts w:ascii="Times New Roman" w:hAnsi="Times New Roman" w:eastAsia="方正仿宋_GBK"/>
          <w:b w:val="0"/>
          <w:sz w:val="24"/>
        </w:rPr>
        <w:t xml:space="preserve">以新增措施全寿命费用现值最小为主目标。主变替换、主变扩建、新增储能与联络项目按第四章规定的投运年份和评价期折算。</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r>
                  <m:rPr>
                    <m:nor/>
                    <m:sty m:val="p"/>
                  </m:rPr>
                  <m:t>min</m:t>
                </m:r>
                <m:r>
                  <m:t>C</m:t>
                </m:r>
                <m:r>
                  <m:t>=</m:t>
                </m:r>
                <m:nary>
                  <m:naryPr>
                    <m:chr m:val="∑"/>
                    <m:limLoc m:val="undOvr"/>
                    <m:subHide m:val="0"/>
                    <m:supHide m:val="1"/>
                  </m:naryPr>
                  <m:sub>
                    <m:r>
                      <m:t>c</m:t>
                    </m:r>
                  </m:sub>
                  <m:sup>
                    <m:r>
                      <m:t>​</m:t>
                    </m:r>
                  </m:sup>
                  <m:e>
                    <m:nary>
                      <m:naryPr>
                        <m:chr m:val="∑"/>
                        <m:limLoc m:val="undOvr"/>
                        <m:subHide m:val="0"/>
                        <m:supHide m:val="1"/>
                      </m:naryPr>
                      <m:sub>
                        <m:r>
                          <m:t>s</m:t>
                        </m:r>
                      </m:sub>
                      <m:sup>
                        <m:r>
                          <m:t>​</m:t>
                        </m:r>
                      </m:sup>
                      <m:e>
                        <m:nary>
                          <m:naryPr>
                            <m:chr m:val="∑"/>
                            <m:limLoc m:val="undOvr"/>
                            <m:subHide m:val="0"/>
                            <m:supHide m:val="1"/>
                          </m:naryPr>
                          <m:sub>
                            <m:r>
                              <m:t>y</m:t>
                            </m:r>
                          </m:sub>
                          <m:sup>
                            <m:r>
                              <m:t>​</m:t>
                            </m:r>
                          </m:sup>
                          <m:e>
                            <m:d>
                              <m:dPr>
                                <m:begChr m:val="["/>
                                <m:endChr m:val="]"/>
                                <m:grow/>
                              </m:dPr>
                              <m:e>
                                <m:sSub>
                                  <m:e>
                                    <m:r>
                                      <m:t>A</m:t>
                                    </m:r>
                                  </m:e>
                                  <m:sub>
                                    <m:r>
                                      <m:t>T</m:t>
                                    </m:r>
                                  </m:sub>
                                </m:sSub>
                                <m:r>
                                  <m:t>(</m:t>
                                </m:r>
                                <m:r>
                                  <m:t>y</m:t>
                                </m:r>
                                <m:r>
                                  <m:t>)</m:t>
                                </m:r>
                                <m:sSub>
                                  <m:e>
                                    <m:r>
                                      <m:t>I</m:t>
                                    </m:r>
                                  </m:e>
                                  <m:sub>
                                    <m:r>
                                      <m:t>T</m:t>
                                    </m:r>
                                    <m:r>
                                      <m:t>,</m:t>
                                    </m:r>
                                    <m:r>
                                      <m:t>c</m:t>
                                    </m:r>
                                    <m:r>
                                      <m:t>,</m:t>
                                    </m:r>
                                    <m:r>
                                      <m:t>s</m:t>
                                    </m:r>
                                    <m:r>
                                      <m:t>,</m:t>
                                    </m:r>
                                    <m:r>
                                      <m:t>y</m:t>
                                    </m:r>
                                  </m:sub>
                                </m:sSub>
                                <m:r>
                                  <m:t>+</m:t>
                                </m:r>
                                <m:sSub>
                                  <m:e>
                                    <m:r>
                                      <m:t>A</m:t>
                                    </m:r>
                                  </m:e>
                                  <m:sub>
                                    <m:r>
                                      <m:t>B</m:t>
                                    </m:r>
                                  </m:sub>
                                </m:sSub>
                                <m:r>
                                  <m:t>(</m:t>
                                </m:r>
                                <m:r>
                                  <m:t>y</m:t>
                                </m:r>
                                <m:r>
                                  <m:t>)</m:t>
                                </m:r>
                                <m:sSub>
                                  <m:e>
                                    <m:r>
                                      <m:t>I</m:t>
                                    </m:r>
                                  </m:e>
                                  <m:sub>
                                    <m:r>
                                      <m:t>B</m:t>
                                    </m:r>
                                    <m:r>
                                      <m:t>,</m:t>
                                    </m:r>
                                    <m:r>
                                      <m:t>c</m:t>
                                    </m:r>
                                    <m:r>
                                      <m:t>,</m:t>
                                    </m:r>
                                    <m:r>
                                      <m:t>s</m:t>
                                    </m:r>
                                    <m:r>
                                      <m:t>,</m:t>
                                    </m:r>
                                    <m:r>
                                      <m:t>y</m:t>
                                    </m:r>
                                  </m:sub>
                                </m:sSub>
                                <m:r>
                                  <m:t>+</m:t>
                                </m:r>
                                <m:sSub>
                                  <m:e>
                                    <m:r>
                                      <m:t>A</m:t>
                                    </m:r>
                                  </m:e>
                                  <m:sub>
                                    <m:r>
                                      <m:t>L</m:t>
                                    </m:r>
                                  </m:sub>
                                </m:sSub>
                                <m:r>
                                  <m:t>(</m:t>
                                </m:r>
                                <m:r>
                                  <m:t>y</m:t>
                                </m:r>
                                <m:r>
                                  <m:t>)</m:t>
                                </m:r>
                                <m:sSub>
                                  <m:e>
                                    <m:r>
                                      <m:t>I</m:t>
                                    </m:r>
                                  </m:e>
                                  <m:sub>
                                    <m:r>
                                      <m:t>L</m:t>
                                    </m:r>
                                    <m:r>
                                      <m:t>,</m:t>
                                    </m:r>
                                    <m:r>
                                      <m:t>c</m:t>
                                    </m:r>
                                    <m:r>
                                      <m:t>,</m:t>
                                    </m:r>
                                    <m:r>
                                      <m:t>s</m:t>
                                    </m:r>
                                    <m:r>
                                      <m:t>,</m:t>
                                    </m:r>
                                    <m:r>
                                      <m:t>y</m:t>
                                    </m:r>
                                  </m:sub>
                                </m:sSub>
                              </m:e>
                            </m:d>
                          </m:e>
                        </m:nary>
                      </m:e>
                    </m:nary>
                  </m:e>
                </m:nary>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（5-14）</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r>
          <m:t>C</m:t>
        </m:r>
      </m:oMath>
      <w:r>
        <w:rPr>
          <w:rFonts w:ascii="Times New Roman" w:hAnsi="Times New Roman" w:eastAsia="方正仿宋_GBK"/>
          <w:b w:val="0"/>
          <w:sz w:val="24"/>
        </w:rPr>
        <w:t xml:space="preserve">为全寿命费用现值，单位万元；</w:t>
      </w:r>
      <m:oMath>
        <m:sSub>
          <m:e>
            <m:r>
              <m:t>I</m:t>
            </m:r>
          </m:e>
          <m:sub>
            <m:r>
              <m:t>T</m:t>
            </m:r>
            <m:r>
              <m:t>,</m:t>
            </m:r>
            <m:r>
              <m:t>c</m:t>
            </m:r>
            <m:r>
              <m:t>,</m:t>
            </m:r>
            <m:r>
              <m:t>s</m:t>
            </m:r>
            <m:r>
              <m:t>,</m:t>
            </m:r>
            <m:r>
              <m:t>y</m:t>
            </m:r>
          </m:sub>
        </m:sSub>
      </m:oMath>
      <w:r>
        <w:rPr>
          <w:rFonts w:ascii="Times New Roman" w:hAnsi="Times New Roman" w:eastAsia="方正仿宋_GBK"/>
          <w:b w:val="0"/>
          <w:sz w:val="24"/>
        </w:rPr>
        <w:t xml:space="preserve">、</w:t>
      </w:r>
      <m:oMath>
        <m:sSub>
          <m:e>
            <m:r>
              <m:t>I</m:t>
            </m:r>
          </m:e>
          <m:sub>
            <m:r>
              <m:t>B</m:t>
            </m:r>
            <m:r>
              <m:t>,</m:t>
            </m:r>
            <m:r>
              <m:t>c</m:t>
            </m:r>
            <m:r>
              <m:t>,</m:t>
            </m:r>
            <m:r>
              <m:t>s</m:t>
            </m:r>
            <m:r>
              <m:t>,</m:t>
            </m:r>
            <m:r>
              <m:t>y</m:t>
            </m:r>
          </m:sub>
        </m:sSub>
      </m:oMath>
      <w:r>
        <w:rPr>
          <w:rFonts w:ascii="Times New Roman" w:hAnsi="Times New Roman" w:eastAsia="方正仿宋_GBK"/>
          <w:b w:val="0"/>
          <w:sz w:val="24"/>
        </w:rPr>
        <w:t xml:space="preserve">、</w:t>
      </w:r>
      <m:oMath>
        <m:sSub>
          <m:e>
            <m:r>
              <m:t>I</m:t>
            </m:r>
          </m:e>
          <m:sub>
            <m:r>
              <m:t>L</m:t>
            </m:r>
            <m:r>
              <m:t>,</m:t>
            </m:r>
            <m:r>
              <m:t>c</m:t>
            </m:r>
            <m:r>
              <m:t>,</m:t>
            </m:r>
            <m:r>
              <m:t>s</m:t>
            </m:r>
            <m:r>
              <m:t>,</m:t>
            </m:r>
            <m:r>
              <m:t>y</m:t>
            </m:r>
          </m:sub>
        </m:sSub>
      </m:oMath>
      <w:r>
        <w:rPr>
          <w:rFonts w:ascii="Times New Roman" w:hAnsi="Times New Roman" w:eastAsia="方正仿宋_GBK"/>
          <w:b w:val="0"/>
          <w:sz w:val="24"/>
        </w:rPr>
        <w:t xml:space="preserve">分别为当年主变、储能及新增联络初始投资；</w:t>
      </w:r>
      <m:oMath>
        <m:sSub>
          <m:e>
            <m:r>
              <m:t>A</m:t>
            </m:r>
          </m:e>
          <m:sub>
            <m:r>
              <m:t>T</m:t>
            </m:r>
          </m:sub>
        </m:sSub>
        <m:r>
          <m:t>(</m:t>
        </m:r>
        <m:r>
          <m:t>y</m:t>
        </m:r>
        <m:r>
          <m:t>)</m:t>
        </m:r>
      </m:oMath>
      <w:r>
        <w:rPr>
          <w:rFonts w:ascii="Times New Roman" w:hAnsi="Times New Roman" w:eastAsia="方正仿宋_GBK"/>
          <w:b w:val="0"/>
          <w:sz w:val="24"/>
        </w:rPr>
        <w:t xml:space="preserve">、</w:t>
      </w:r>
      <m:oMath>
        <m:sSub>
          <m:e>
            <m:r>
              <m:t>A</m:t>
            </m:r>
          </m:e>
          <m:sub>
            <m:r>
              <m:t>B</m:t>
            </m:r>
          </m:sub>
        </m:sSub>
        <m:r>
          <m:t>(</m:t>
        </m:r>
        <m:r>
          <m:t>y</m:t>
        </m:r>
        <m:r>
          <m:t>)</m:t>
        </m:r>
      </m:oMath>
      <w:r>
        <w:rPr>
          <w:rFonts w:ascii="Times New Roman" w:hAnsi="Times New Roman" w:eastAsia="方正仿宋_GBK"/>
          <w:b w:val="0"/>
          <w:sz w:val="24"/>
        </w:rPr>
        <w:t xml:space="preserve">、</w:t>
      </w:r>
      <m:oMath>
        <m:sSub>
          <m:e>
            <m:r>
              <m:t>A</m:t>
            </m:r>
          </m:e>
          <m:sub>
            <m:r>
              <m:t>L</m:t>
            </m:r>
          </m:sub>
        </m:sSub>
        <m:r>
          <m:t>(</m:t>
        </m:r>
        <m:r>
          <m:t>y</m:t>
        </m:r>
        <m:r>
          <m:t>)</m:t>
        </m:r>
      </m:oMath>
      <w:r>
        <w:rPr>
          <w:rFonts w:ascii="Times New Roman" w:hAnsi="Times New Roman" w:eastAsia="方正仿宋_GBK"/>
          <w:b w:val="0"/>
          <w:sz w:val="24"/>
        </w:rPr>
        <w:t xml:space="preserve">为对应现值因子。替换费用按新购整台容量，扩建主变按独立扩建项目，储能按新增柜数，联络按当年新增项目数计取。</w:t>
      </w:r>
    </w:p>
    <w:p>
      <w:pPr>
        <w:pStyle w:val="2"/>
        <w:widowControl/>
        <w:spacing w:line="300" w:lineRule="auto" w:before="0" w:after="0"/>
        <w:ind w:firstLine="480"/>
        <w:jc w:val="both"/>
      </w:pPr>
      <w:r>
        <w:rPr>
          <w:rFonts w:ascii="Times New Roman" w:hAnsi="Times New Roman" w:eastAsia="方正仿宋_GBK"/>
          <w:b w:val="0"/>
          <w:sz w:val="24"/>
        </w:rPr>
        <w:t xml:space="preserve">既有联络利用产生的新增建设投资为零。新建线路的正投资通过费用目标与扩容、储能共同比较。配置更多主变可能减少储能柜数和持续支撑需求；增加联络能力可能使负荷转至有余量的站点。优化据此选择满足共同约束的组合。</w:t>
      </w:r>
    </w:p>
    <w:p>
      <w:pPr>
        <w:pStyle w:val="5"/>
        <w:keepNext/>
        <w:numPr>
          <w:numId w:val="0"/>
        </w:numPr>
        <w:spacing w:line="360" w:lineRule="auto" w:before="160" w:after="120"/>
        <w:ind w:firstLine="0"/>
      </w:pPr>
      <w:bookmarkStart w:id="172" w:name="分阶段求解"/>
      <w:r>
        <w:rPr>
          <w:rFonts w:ascii="Times New Roman" w:hAnsi="Times New Roman" w:eastAsia="方正仿宋_GBK"/>
          <w:b/>
          <w:sz w:val="26"/>
        </w:rPr>
        <w:t xml:space="preserve">5.3.3 分阶段求解</w:t>
      </w:r>
      <w:bookmarkEnd w:id="172"/>
    </w:p>
    <w:p>
      <w:pPr>
        <w:pStyle w:val="FirstParagraph"/>
        <w:widowControl/>
        <w:spacing w:line="300" w:lineRule="auto" w:before="0" w:after="0"/>
        <w:ind w:firstLine="480"/>
        <w:jc w:val="both"/>
      </w:pPr>
      <w:r>
        <w:rPr>
          <w:rFonts w:ascii="Times New Roman" w:hAnsi="Times New Roman" w:eastAsia="方正仿宋_GBK"/>
          <w:b w:val="0"/>
          <w:sz w:val="24"/>
        </w:rPr>
        <w:t xml:space="preserve">第一阶段联立邳州与市区的刚性、弹性模型，最小化全寿命费用。每种方案均可选增容、储能和10 kV联络。</w:t>
      </w:r>
    </w:p>
    <w:p>
      <w:pPr>
        <w:pStyle w:val="2"/>
        <w:widowControl/>
        <w:spacing w:line="300" w:lineRule="auto" w:before="0" w:after="0"/>
        <w:ind w:firstLine="480"/>
        <w:jc w:val="both"/>
      </w:pPr>
      <w:r>
        <w:rPr>
          <w:rFonts w:ascii="Times New Roman" w:hAnsi="Times New Roman" w:eastAsia="方正仿宋_GBK"/>
          <w:b w:val="0"/>
          <w:sz w:val="24"/>
        </w:rPr>
        <w:t xml:space="preserve">第二阶段在第一阶段所得费用水平下，固定所选刚性整数布局，优选两区县弹性年度容载比之和。该阶段确定同费用范围内的代表配置。</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r>
                  <m:t>C</m:t>
                </m:r>
                <m:r>
                  <m:t>≤</m:t>
                </m:r>
                <m:sSup>
                  <m:e>
                    <m:r>
                      <m:t>C</m:t>
                    </m:r>
                  </m:e>
                  <m:sup>
                    <m:r>
                      <m:t>*</m:t>
                    </m:r>
                  </m:sup>
                </m:sSup>
                <m:r>
                  <m:t>+</m:t>
                </m:r>
                <m:sSub>
                  <m:e>
                    <m:r>
                      <m:t>ε</m:t>
                    </m:r>
                  </m:e>
                  <m:sub>
                    <m:r>
                      <m:t>C</m:t>
                    </m:r>
                  </m:sub>
                </m:sSub>
                <m:r>
                  <m:t>,</m:t>
                </m:r>
                <m:r>
                  <m:t>  </m:t>
                </m:r>
                <m:r>
                  <m:rPr>
                    <m:nor/>
                    <m:sty m:val="p"/>
                  </m:rPr>
                  <m:t>max</m:t>
                </m:r>
                <m:nary>
                  <m:naryPr>
                    <m:chr m:val="∑"/>
                    <m:limLoc m:val="undOvr"/>
                    <m:subHide m:val="0"/>
                    <m:supHide m:val="1"/>
                  </m:naryPr>
                  <m:sub>
                    <m:r>
                      <m:t>c</m:t>
                    </m:r>
                  </m:sub>
                  <m:sup>
                    <m:r>
                      <m:t>​</m:t>
                    </m:r>
                  </m:sup>
                  <m:e>
                    <m:nary>
                      <m:naryPr>
                        <m:chr m:val="∑"/>
                        <m:limLoc m:val="undOvr"/>
                        <m:subHide m:val="0"/>
                        <m:supHide m:val="1"/>
                      </m:naryPr>
                      <m:sub>
                        <m:r>
                          <m:t>y</m:t>
                        </m:r>
                      </m:sub>
                      <m:sup>
                        <m:r>
                          <m:t>​</m:t>
                        </m:r>
                      </m:sup>
                      <m:e>
                        <m:sSub>
                          <m:e>
                            <m:r>
                              <m:t>R</m:t>
                            </m:r>
                          </m:e>
                          <m:sub>
                            <m:r>
                              <m:t>c</m:t>
                            </m:r>
                            <m:r>
                              <m:t>,</m:t>
                            </m:r>
                            <m:r>
                              <m:rPr>
                                <m:sty m:val="p"/>
                              </m:rPr>
                              <m:t>e</m:t>
                            </m:r>
                            <m:r>
                              <m:rPr>
                                <m:sty m:val="p"/>
                              </m:rPr>
                              <m:t>l</m:t>
                            </m:r>
                            <m:r>
                              <m:rPr>
                                <m:sty m:val="p"/>
                              </m:rPr>
                              <m:t>a</m:t>
                            </m:r>
                            <m:r>
                              <m:rPr>
                                <m:sty m:val="p"/>
                              </m:rPr>
                              <m:t>s</m:t>
                            </m:r>
                            <m:r>
                              <m:rPr>
                                <m:sty m:val="p"/>
                              </m:rPr>
                              <m:t>t</m:t>
                            </m:r>
                            <m:r>
                              <m:rPr>
                                <m:sty m:val="p"/>
                              </m:rPr>
                              <m:t>i</m:t>
                            </m:r>
                            <m:r>
                              <m:rPr>
                                <m:sty m:val="p"/>
                              </m:rPr>
                              <m:t>c</m:t>
                            </m:r>
                            <m:r>
                              <m:t>,</m:t>
                            </m:r>
                            <m:r>
                              <m:t>y</m:t>
                            </m:r>
                          </m:sub>
                        </m:sSub>
                      </m:e>
                    </m:nary>
                  </m:e>
                </m:nary>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（5-15）</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p>
          <m:e>
            <m:r>
              <m:t>C</m:t>
            </m:r>
          </m:e>
          <m:sup>
            <m:r>
              <m:t>*</m:t>
            </m:r>
          </m:sup>
        </m:sSup>
      </m:oMath>
      <w:r>
        <w:rPr>
          <w:rFonts w:ascii="Times New Roman" w:hAnsi="Times New Roman" w:eastAsia="方正仿宋_GBK"/>
          <w:b w:val="0"/>
          <w:sz w:val="24"/>
        </w:rPr>
        <w:t xml:space="preserve">为第一阶段取得的费用上界，</w:t>
      </w:r>
      <m:oMath>
        <m:sSub>
          <m:e>
            <m:r>
              <m:t>ε</m:t>
            </m:r>
          </m:e>
          <m:sub>
            <m:r>
              <m:t>C</m:t>
            </m:r>
          </m:sub>
        </m:sSub>
      </m:oMath>
      <w:r>
        <w:rPr>
          <w:rFonts w:ascii="Times New Roman" w:hAnsi="Times New Roman" w:eastAsia="方正仿宋_GBK"/>
          <w:b w:val="0"/>
          <w:sz w:val="24"/>
        </w:rPr>
        <w:t xml:space="preserve">为费用比较的数值容差，单位万元。第二阶段保留全部技术约束；其容载比偏好范围以所选刚性布局为条件。</w:t>
      </w:r>
    </w:p>
    <w:p>
      <w:pPr>
        <w:pStyle w:val="2"/>
        <w:widowControl/>
        <w:spacing w:line="300" w:lineRule="auto" w:before="0" w:after="0"/>
        <w:ind w:firstLine="480"/>
        <w:jc w:val="both"/>
      </w:pPr>
      <w:r>
        <w:rPr>
          <w:rFonts w:ascii="Times New Roman" w:hAnsi="Times New Roman" w:eastAsia="方正仿宋_GBK"/>
          <w:b w:val="0"/>
          <w:sz w:val="24"/>
        </w:rPr>
        <w:t xml:space="preserve">第三阶段固定全部整数设备状态，最小化维持该配置所需的连续转接量。</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r>
                  <m:rPr>
                    <m:nor/>
                    <m:sty m:val="p"/>
                  </m:rPr>
                  <m:t>min</m:t>
                </m:r>
                <m:nary>
                  <m:naryPr>
                    <m:chr m:val="∑"/>
                    <m:limLoc m:val="undOvr"/>
                    <m:subHide m:val="0"/>
                    <m:supHide m:val="1"/>
                  </m:naryPr>
                  <m:sub>
                    <m:r>
                      <m:t>c</m:t>
                    </m:r>
                  </m:sub>
                  <m:sup>
                    <m:r>
                      <m:t>​</m:t>
                    </m:r>
                  </m:sup>
                  <m:e>
                    <m:nary>
                      <m:naryPr>
                        <m:chr m:val="∑"/>
                        <m:limLoc m:val="undOvr"/>
                        <m:subHide m:val="0"/>
                        <m:supHide m:val="1"/>
                      </m:naryPr>
                      <m:sub>
                        <m:r>
                          <m:t>s</m:t>
                        </m:r>
                      </m:sub>
                      <m:sup>
                        <m:r>
                          <m:t>​</m:t>
                        </m:r>
                      </m:sup>
                      <m:e>
                        <m:nary>
                          <m:naryPr>
                            <m:chr m:val="∑"/>
                            <m:limLoc m:val="undOvr"/>
                            <m:subHide m:val="0"/>
                            <m:supHide m:val="1"/>
                          </m:naryPr>
                          <m:sub>
                            <m:r>
                              <m:t>y</m:t>
                            </m:r>
                          </m:sub>
                          <m:sup>
                            <m:r>
                              <m:t>​</m:t>
                            </m:r>
                          </m:sup>
                          <m:e>
                            <m:nary>
                              <m:naryPr>
                                <m:chr m:val="∑"/>
                                <m:limLoc m:val="undOvr"/>
                                <m:subHide m:val="0"/>
                                <m:supHide m:val="1"/>
                              </m:naryPr>
                              <m:sub>
                                <m:r>
                                  <m:t>i</m:t>
                                </m:r>
                              </m:sub>
                              <m:sup>
                                <m:r>
                                  <m:t>​</m:t>
                                </m:r>
                              </m:sup>
                              <m:e>
                                <m:sSubSup>
                                  <m:e>
                                    <m:r>
                                      <m:t>Q</m:t>
                                    </m:r>
                                  </m:e>
                                  <m:sub>
                                    <m:r>
                                      <m:t>c</m:t>
                                    </m:r>
                                    <m:r>
                                      <m:t>,</m:t>
                                    </m:r>
                                    <m:r>
                                      <m:t>s</m:t>
                                    </m:r>
                                    <m:r>
                                      <m:t>,</m:t>
                                    </m:r>
                                    <m:r>
                                      <m:t>i</m:t>
                                    </m:r>
                                    <m:r>
                                      <m:t>,</m:t>
                                    </m:r>
                                    <m:r>
                                      <m:t>y</m:t>
                                    </m:r>
                                  </m:sub>
                                  <m:sup>
                                    <m:r>
                                      <m:rPr>
                                        <m:sty m:val="p"/>
                                      </m:rPr>
                                      <m:t>o</m:t>
                                    </m:r>
                                    <m:r>
                                      <m:rPr>
                                        <m:sty m:val="p"/>
                                      </m:rPr>
                                      <m:t>u</m:t>
                                    </m:r>
                                    <m:r>
                                      <m:rPr>
                                        <m:sty m:val="p"/>
                                      </m:rPr>
                                      <m:t>t</m:t>
                                    </m:r>
                                  </m:sup>
                                </m:sSubSup>
                              </m:e>
                            </m:nary>
                          </m:e>
                        </m:nary>
                      </m:e>
                    </m:nary>
                  </m:e>
                </m:nary>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（5-16）</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上述流程先确定最低费用水平，再选择相应容量配置，最后通过线性规划确定维持该设备配置所需的负荷转接量。各阶段保留共同技术约束，使费用、设备与负荷安排相互对应。</w:t>
      </w:r>
    </w:p>
    <w:p>
      <w:bookmarkStart w:id="1498" w:name="h498"/>
      <w:pPr>
        <w:pStyle w:val="4"/>
        <w:keepNext/>
        <w:numPr>
          <w:numId w:val="0"/>
        </w:numPr>
        <w:spacing w:line="360" w:lineRule="auto" w:before="160" w:after="120"/>
        <w:ind w:firstLine="0"/>
      </w:pPr>
      <w:bookmarkStart w:id="173" w:name="寻优结果"/>
      <w:r>
        <w:rPr>
          <w:rFonts w:ascii="Times New Roman" w:hAnsi="Times New Roman" w:eastAsia="方正仿宋_GBK"/>
          <w:b/>
          <w:sz w:val="32"/>
        </w:rPr>
        <w:t xml:space="preserve">5.4 寻优结果</w:t>
      </w:r>
      <w:bookmarkEnd w:id="173"/>
      <w:bookmarkEnd w:id="1498"/>
    </w:p>
    <w:p>
      <w:pPr>
        <w:pStyle w:val="5"/>
        <w:keepNext/>
        <w:numPr>
          <w:numId w:val="0"/>
        </w:numPr>
        <w:spacing w:line="360" w:lineRule="auto" w:before="160" w:after="120"/>
        <w:ind w:firstLine="0"/>
      </w:pPr>
      <w:bookmarkStart w:id="174" w:name="邳州逐年方案"/>
      <w:r>
        <w:rPr>
          <w:rFonts w:ascii="Times New Roman" w:hAnsi="Times New Roman" w:eastAsia="方正仿宋_GBK"/>
          <w:b/>
          <w:sz w:val="26"/>
        </w:rPr>
        <w:t xml:space="preserve">5.4.1 邳州逐年方案</w:t>
      </w:r>
      <w:bookmarkEnd w:id="174"/>
    </w:p>
    <w:p>
      <w:pPr>
        <w:pStyle w:val="FirstParagraph"/>
        <w:widowControl/>
        <w:spacing w:line="300" w:lineRule="auto" w:before="0" w:after="0"/>
        <w:ind w:firstLine="480"/>
        <w:jc w:val="both"/>
      </w:pPr>
      <w:r>
        <w:rPr>
          <w:rFonts w:ascii="Times New Roman" w:hAnsi="Times New Roman" w:eastAsia="方正仿宋_GBK"/>
          <w:b w:val="0"/>
          <w:sz w:val="24"/>
        </w:rPr>
        <w:t xml:space="preserve">邳州采用20站结构，初始转供率为28.29%，后续负荷按年负荷平均增长率8.07%推演。增容、储能与联络在同一约束条件下选取，年度表分别列出主变在役容量、当年采购容量、新增储能和转接量。</w:t>
      </w:r>
    </w:p>
    <w:p>
      <w:pPr>
        <w:pStyle w:val="2"/>
        <w:widowControl/>
        <w:spacing w:line="300" w:lineRule="auto" w:before="0" w:after="0"/>
        <w:ind w:firstLine="480"/>
        <w:jc w:val="both"/>
      </w:pPr>
      <w:r>
        <w:rPr>
          <w:rFonts w:ascii="Times New Roman" w:hAnsi="Times New Roman" w:eastAsia="方正仿宋_GBK"/>
          <w:b w:val="0"/>
          <w:sz w:val="24"/>
        </w:rPr>
        <w:t xml:space="preserve">邳州刚性方案第1—4年容载比分别为2.00、1.99、1.99、1.96，弹性方案分别为2.53、2.39、2.29、2.21。刚性全寿命费用现值为109582.71万元，弹性为23079.09万元。各年结果由相应主变、储能和转接配置形成。</w:t>
      </w:r>
    </w:p>
    <w:p>
      <w:pPr>
        <w:pStyle w:val="2"/>
        <w:keepNext/>
        <w:spacing w:line="300" w:lineRule="auto" w:before="120" w:after="80"/>
        <w:ind w:firstLine="0"/>
        <w:jc w:val="center"/>
      </w:pPr>
      <w:r>
        <w:rPr>
          <w:rFonts w:ascii="Times New Roman" w:hAnsi="Times New Roman" w:eastAsia="宋体"/>
          <w:b w:val="0"/>
          <w:sz w:val="21"/>
        </w:rPr>
        <w:t xml:space="preserve">表5-3 邳州刚性方案逐年措施及容载比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80"/>
        <w:gridCol w:w="880"/>
        <w:gridCol w:w="880"/>
        <w:gridCol w:w="880"/>
        <w:gridCol w:w="880"/>
        <w:gridCol w:w="1275"/>
        <w:gridCol w:w="880"/>
        <w:gridCol w:w="880"/>
        <w:gridCol w:w="880"/>
      </w:tblGrid>
      <w:tr>
        <w:trPr>
          <w:cantSplit/>
          <w:tblHeader/>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仿真年</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年网供最大负荷/MW</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主变容量/MVA</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净增/MVA</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采购/MVA</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新增储能MW/MWh</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新建联络/项</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转接/MW</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容载比</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790.83</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1581.00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117.50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220.50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253.00/543.95</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110.74</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854.69</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1701.00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140.00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0.10/(215/1000)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98.69</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1.99</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923.70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1842.50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141.50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181.50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98.82</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1.99</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998.28</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1954.00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111.50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131.50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131.25</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1.96</w:t>
            </w:r>
          </w:p>
        </w:tc>
      </w:tr>
    </w:tbl>
    <w:p>
      <w:pPr>
        <w:pStyle w:val="2"/>
        <w:keepNext/>
        <w:spacing w:line="300" w:lineRule="auto" w:before="120" w:after="80"/>
        <w:ind w:firstLine="0"/>
        <w:jc w:val="center"/>
      </w:pPr>
      <w:r>
        <w:rPr>
          <w:rFonts w:ascii="Times New Roman" w:hAnsi="Times New Roman" w:eastAsia="宋体"/>
          <w:b w:val="0"/>
          <w:sz w:val="21"/>
        </w:rPr>
        <w:t xml:space="preserve">表5-4 邳州弹性方案逐年措施及容载比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80"/>
        <w:gridCol w:w="880"/>
        <w:gridCol w:w="880"/>
        <w:gridCol w:w="880"/>
        <w:gridCol w:w="880"/>
        <w:gridCol w:w="1275"/>
        <w:gridCol w:w="880"/>
        <w:gridCol w:w="880"/>
        <w:gridCol w:w="880"/>
      </w:tblGrid>
      <w:tr>
        <w:trPr>
          <w:cantSplit/>
          <w:tblHeader/>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仿真年</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年网供最大负荷/MW</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主变容量/MVA</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净增/MVA</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采购/MVA</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新增储能MW/MWh</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新建联络/项</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转接/MW</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容载比</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790.83</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1998.00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534.50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689.00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90.30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2.53</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854.69</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2039.50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41.50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81.50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99.25</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2.39</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923.70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2119.50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100.00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107.56</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2.29</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998.28</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2208.00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88.50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140.00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2.80/6.02</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128.93</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2.21</w:t>
            </w:r>
          </w:p>
        </w:tc>
      </w:tr>
    </w:tbl>
    <w:p>
      <w:pPr>
        <w:pStyle w:val="5"/>
        <w:keepNext/>
        <w:numPr>
          <w:numId w:val="0"/>
        </w:numPr>
        <w:spacing w:line="360" w:lineRule="auto" w:before="160" w:after="120"/>
        <w:ind w:firstLine="0"/>
      </w:pPr>
      <w:bookmarkStart w:id="175" w:name="市区逐年方案"/>
      <w:r>
        <w:rPr>
          <w:rFonts w:ascii="Times New Roman" w:hAnsi="Times New Roman" w:eastAsia="方正仿宋_GBK"/>
          <w:b/>
          <w:sz w:val="26"/>
        </w:rPr>
        <w:t xml:space="preserve">5.4.2 市区逐年方案</w:t>
      </w:r>
      <w:bookmarkEnd w:id="175"/>
    </w:p>
    <w:p>
      <w:pPr>
        <w:pStyle w:val="FirstParagraph"/>
        <w:widowControl/>
        <w:spacing w:line="300" w:lineRule="auto" w:before="0" w:after="0"/>
        <w:ind w:firstLine="480"/>
        <w:jc w:val="both"/>
      </w:pPr>
      <w:r>
        <w:rPr>
          <w:rFonts w:ascii="Times New Roman" w:hAnsi="Times New Roman" w:eastAsia="方正仿宋_GBK"/>
          <w:b w:val="0"/>
          <w:sz w:val="24"/>
        </w:rPr>
        <w:t xml:space="preserve">市区采用29站结构，供电区域统一按A类规划，初始转供率假定为50%，后续负荷按年负荷平均增长率1.80%推演。退出工况校核全部转接后负荷，新增联络可使站级能力提高至研究上限。</w:t>
      </w:r>
    </w:p>
    <w:p>
      <w:pPr>
        <w:pStyle w:val="2"/>
        <w:widowControl/>
        <w:spacing w:line="300" w:lineRule="auto" w:before="0" w:after="0"/>
        <w:ind w:firstLine="480"/>
        <w:jc w:val="both"/>
      </w:pPr>
      <w:r>
        <w:rPr>
          <w:rFonts w:ascii="Times New Roman" w:hAnsi="Times New Roman" w:eastAsia="方正仿宋_GBK"/>
          <w:b w:val="0"/>
          <w:sz w:val="24"/>
        </w:rPr>
        <w:t xml:space="preserve">市区刚性方案第1—4年容载比分别为1.99、1.98、1.99、1.95，弹性方案分别为2.28、2.24、2.25、2.21。刚性全寿命费用现值为98983.58万元，弹性为12604.54万元。各年结果由相应主变、储能和转接配置形成。</w:t>
      </w:r>
    </w:p>
    <w:p>
      <w:pPr>
        <w:pStyle w:val="2"/>
        <w:keepNext/>
        <w:spacing w:line="300" w:lineRule="auto" w:before="120" w:after="80"/>
        <w:ind w:firstLine="0"/>
        <w:jc w:val="center"/>
      </w:pPr>
      <w:r>
        <w:rPr>
          <w:rFonts w:ascii="Times New Roman" w:hAnsi="Times New Roman" w:eastAsia="宋体"/>
          <w:b w:val="0"/>
          <w:sz w:val="21"/>
        </w:rPr>
        <w:t xml:space="preserve">表5-5 市区刚性方案逐年措施及容载比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80"/>
        <w:gridCol w:w="880"/>
        <w:gridCol w:w="880"/>
        <w:gridCol w:w="880"/>
        <w:gridCol w:w="880"/>
        <w:gridCol w:w="1275"/>
        <w:gridCol w:w="880"/>
        <w:gridCol w:w="880"/>
        <w:gridCol w:w="880"/>
      </w:tblGrid>
      <w:tr>
        <w:trPr>
          <w:cantSplit/>
          <w:tblHeader/>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仿真年</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年网供最大负荷/MW</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主变容量/MVA</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净增/MVA</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采购/MVA</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新增储能MW/MWh</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新建联络/项</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转接/MW</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容载比</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1253.16</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2498.00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126.00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249.20/535.78</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347.11</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1.99</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1275.72</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2531.00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33.00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113.00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363.60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1.98</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1298.68</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2581.00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50.00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0.10/(215/1000)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380.77</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1.99</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1322.06</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2581.00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398.79</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1.95</w:t>
            </w:r>
          </w:p>
        </w:tc>
      </w:tr>
    </w:tbl>
    <w:p>
      <w:pPr>
        <w:pStyle w:val="2"/>
        <w:keepNext/>
        <w:spacing w:line="300" w:lineRule="auto" w:before="120" w:after="80"/>
        <w:ind w:firstLine="0"/>
        <w:jc w:val="center"/>
      </w:pPr>
      <w:r>
        <w:rPr>
          <w:rFonts w:ascii="Times New Roman" w:hAnsi="Times New Roman" w:eastAsia="宋体"/>
          <w:b w:val="0"/>
          <w:sz w:val="21"/>
        </w:rPr>
        <w:t xml:space="preserve">表5-6 市区弹性方案逐年措施及容载比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80"/>
        <w:gridCol w:w="880"/>
        <w:gridCol w:w="880"/>
        <w:gridCol w:w="880"/>
        <w:gridCol w:w="880"/>
        <w:gridCol w:w="1275"/>
        <w:gridCol w:w="880"/>
        <w:gridCol w:w="880"/>
        <w:gridCol w:w="880"/>
      </w:tblGrid>
      <w:tr>
        <w:trPr>
          <w:cantSplit/>
          <w:tblHeader/>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仿真年</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年网供最大负荷/MW</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主变容量/MVA</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净增/MVA</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采购/MVA</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新增储能MW/MWh</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新建联络/项</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转接/MW</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容载比</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1253.16</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2862.00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364.57</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2.28</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1275.72</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2862.00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375.68</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2.24</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1298.68</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2922.00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100.00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386.45</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2.25</w:t>
            </w:r>
          </w:p>
        </w:tc>
      </w:tr>
      <w:tr>
        <w:trPr>
          <w:cantSplit/>
        </w:trPr>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1322.06</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2922.00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7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398.98</w:t>
            </w:r>
          </w:p>
        </w:tc>
        <w:tc>
          <w:tcPr>
            <w:tcW w:type="dxa" w:w="880"/>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2.21</w:t>
            </w:r>
          </w:p>
        </w:tc>
      </w:tr>
    </w:tbl>
    <w:p>
      <w:pPr>
        <w:pStyle w:val="2"/>
        <w:keepNext/>
        <w:spacing w:line="240" w:lineRule="auto" w:before="120" w:after="0"/>
        <w:ind w:firstLine="0"/>
        <w:jc w:val="center"/>
      </w:pPr>
      <w:r>
        <w:drawing>
          <wp:inline>
            <wp:extent cx="5120640" cy="2900816"/>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2深化修订/annual_clr.png" id="0" name="Picture"/>
                    <pic:cNvPicPr>
                      <a:picLocks noChangeArrowheads="1" noChangeAspect="1"/>
                    </pic:cNvPicPr>
                  </pic:nvPicPr>
                  <pic:blipFill>
                    <a:blip r:embed="rId176"/>
                    <a:stretch>
                      <a:fillRect/>
                    </a:stretch>
                  </pic:blipFill>
                  <pic:spPr bwMode="auto">
                    <a:xfrm>
                      <a:off x="0" y="0"/>
                      <a:ext cx="5120640" cy="2900816"/>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图5-1 邳州和市区逐年容载比</w:t>
      </w:r>
    </w:p>
    <w:p>
      <w:pPr>
        <w:pStyle w:val="5"/>
        <w:keepNext/>
        <w:numPr>
          <w:numId w:val="0"/>
        </w:numPr>
        <w:spacing w:line="360" w:lineRule="auto" w:before="160" w:after="120"/>
        <w:ind w:firstLine="0"/>
      </w:pPr>
      <w:bookmarkStart w:id="177" w:name="刚性与弹性方案的对比"/>
      <w:r>
        <w:rPr>
          <w:rFonts w:ascii="Times New Roman" w:hAnsi="Times New Roman" w:eastAsia="方正仿宋_GBK"/>
          <w:b/>
          <w:sz w:val="26"/>
        </w:rPr>
        <w:t xml:space="preserve">5.4.3 刚性与弹性方案的对比</w:t>
      </w:r>
      <w:bookmarkEnd w:id="177"/>
    </w:p>
    <w:p>
      <w:pPr>
        <w:pStyle w:val="FirstParagraph"/>
        <w:widowControl/>
        <w:spacing w:line="300" w:lineRule="auto" w:before="0" w:after="0"/>
        <w:ind w:firstLine="480"/>
        <w:jc w:val="both"/>
      </w:pPr>
      <w:r>
        <w:rPr>
          <w:rFonts w:ascii="Times New Roman" w:hAnsi="Times New Roman" w:eastAsia="方正仿宋_GBK"/>
          <w:b w:val="0"/>
          <w:sz w:val="24"/>
        </w:rPr>
        <w:t xml:space="preserve">费用比较按相同起点、价格和评价期进行。主变采购容量反映整台购置，主变净增容量反映在役规模变化，储能MW/MWh分别反映功率与能量配置。转接功率与联络项目数量分别用于说明负荷调整和新增建设。</w:t>
      </w:r>
    </w:p>
    <w:p>
      <w:pPr>
        <w:pStyle w:val="2"/>
        <w:keepNext/>
        <w:spacing w:line="300" w:lineRule="auto" w:before="120" w:after="80"/>
        <w:ind w:firstLine="0"/>
        <w:jc w:val="center"/>
      </w:pPr>
      <w:r>
        <w:rPr>
          <w:rFonts w:ascii="Times New Roman" w:hAnsi="Times New Roman" w:eastAsia="宋体"/>
          <w:b w:val="0"/>
          <w:sz w:val="21"/>
        </w:rPr>
        <w:t xml:space="preserve">表5-7 刚性与弹性容载比逐年对照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地区</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仿真年</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刚性容载比</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弹性容载比</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弹性与刚性差值</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2.53</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0.53</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1.99</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0.40</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1.99</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2.29</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0.30</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1.96</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2.21</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0.25</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1.99</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2.28</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0.29</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1.98</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2.24</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0.26</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1.99</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2.25</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0.26</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1.95</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2.21</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0.26</w:t>
            </w:r>
          </w:p>
        </w:tc>
      </w:tr>
    </w:tbl>
    <w:p>
      <w:pPr>
        <w:pStyle w:val="2"/>
        <w:widowControl/>
        <w:spacing w:line="300" w:lineRule="auto" w:before="0" w:after="0"/>
        <w:ind w:firstLine="480"/>
        <w:jc w:val="both"/>
      </w:pPr>
      <w:r>
        <w:rPr>
          <w:rFonts w:ascii="Times New Roman" w:hAnsi="Times New Roman" w:eastAsia="方正仿宋_GBK"/>
          <w:b w:val="0"/>
          <w:sz w:val="24"/>
        </w:rPr>
        <w:t xml:space="preserve">两地区刚性方案新增措施全寿命费用现值合计208566.29万元，弹性合计35683.63万元。弹性较刚性费用降低82.89%。费用差由所选主变、储能和联络工程的投资、运维及更新共同形成。</w:t>
      </w:r>
    </w:p>
    <w:p>
      <w:pPr>
        <w:pStyle w:val="2"/>
        <w:keepNext/>
        <w:spacing w:line="300" w:lineRule="auto" w:before="120" w:after="80"/>
        <w:ind w:firstLine="0"/>
        <w:jc w:val="center"/>
      </w:pPr>
      <w:r>
        <w:rPr>
          <w:rFonts w:ascii="Times New Roman" w:hAnsi="Times New Roman" w:eastAsia="宋体"/>
          <w:b w:val="0"/>
          <w:sz w:val="21"/>
        </w:rPr>
        <w:t xml:space="preserve">表5-8 刚性与弹性方案全寿命费用现值比较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地区</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刚性/万元</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弹性/万元</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差额/万元</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弹性费用降幅</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109582.71</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23079.09</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86503.62</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78.94%</w:t>
            </w:r>
          </w:p>
        </w:tc>
      </w:tr>
      <w:tr>
        <w:trPr>
          <w:cantSplit/>
        </w:trPr>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98983.58</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12604.54</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86379.04</w:t>
            </w:r>
          </w:p>
        </w:tc>
        <w:tc>
          <w:tcPr>
            <w:tcW w:type="dxa" w:w="1662"/>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87.27%</w:t>
            </w:r>
          </w:p>
        </w:tc>
      </w:tr>
    </w:tbl>
    <w:p>
      <w:pPr>
        <w:pStyle w:val="2"/>
        <w:keepNext/>
        <w:spacing w:line="300" w:lineRule="auto" w:before="120" w:after="80"/>
        <w:ind w:firstLine="0"/>
        <w:jc w:val="center"/>
      </w:pPr>
      <w:r>
        <w:rPr>
          <w:rFonts w:ascii="Times New Roman" w:hAnsi="Times New Roman" w:eastAsia="宋体"/>
          <w:b w:val="0"/>
          <w:sz w:val="21"/>
        </w:rPr>
        <w:t xml:space="preserve">表5-9 全寿命费用按工程类型分解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地区</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主变/万元</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储能/万元</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线路/万元</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13009.15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95130.53</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1443.03</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109582.71</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20885.79</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868.91</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1324.38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23079.09</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5171.54</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93700.04</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98983.58</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12163.21</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441.33</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12604.54</w:t>
            </w:r>
          </w:p>
        </w:tc>
      </w:tr>
    </w:tbl>
    <w:p>
      <w:pPr>
        <w:pStyle w:val="2"/>
        <w:keepNext/>
        <w:spacing w:line="300" w:lineRule="auto" w:before="120" w:after="80"/>
        <w:ind w:firstLine="0"/>
        <w:jc w:val="center"/>
      </w:pPr>
      <w:r>
        <w:rPr>
          <w:rFonts w:ascii="Times New Roman" w:hAnsi="Times New Roman" w:eastAsia="宋体"/>
          <w:b w:val="0"/>
          <w:sz w:val="21"/>
        </w:rPr>
        <w:t xml:space="preserve">表5-10 全期采购和第4年在役状态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289"/>
        <w:gridCol w:w="1289"/>
        <w:gridCol w:w="1868"/>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地区</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主变采购/MVA</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扩建主变/项</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新增联络/项</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673.50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253.10/544.17</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1010.50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2.80/6.02</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289.00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249.30/536.00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r>
    </w:tbl>
    <w:p>
      <w:pPr>
        <w:pStyle w:val="2"/>
        <w:keepNext/>
        <w:spacing w:line="300" w:lineRule="auto" w:before="120" w:after="80"/>
        <w:ind w:firstLine="0"/>
        <w:jc w:val="center"/>
      </w:pPr>
      <w:r>
        <w:rPr>
          <w:rFonts w:ascii="Times New Roman" w:hAnsi="Times New Roman" w:eastAsia="宋体"/>
          <w:b w:val="0"/>
          <w:sz w:val="21"/>
        </w:rPr>
        <w:t xml:space="preserve">表5-11 刚性与弹性方案的技术经济比较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比较内容</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刚性方案</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弹性方案</w:t>
            </w:r>
          </w:p>
        </w:tc>
      </w:tr>
      <w:tr>
        <w:trPr>
          <w:cantSplit/>
        </w:trPr>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仿真起点</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同区县容载比2.00</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同区县容载比2.00</w:t>
            </w:r>
          </w:p>
        </w:tc>
      </w:tr>
      <w:tr>
        <w:trPr>
          <w:cantSplit/>
        </w:trPr>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指标条件</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各年不超过2.00</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各年大于2.00至2.60</w:t>
            </w:r>
          </w:p>
        </w:tc>
      </w:tr>
      <w:tr>
        <w:trPr>
          <w:cantSplit/>
        </w:trPr>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技术条件</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正常、反向、全负荷单台退出、持续在役及转供守恒</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与刚性相同</w:t>
            </w:r>
          </w:p>
        </w:tc>
      </w:tr>
      <w:tr>
        <w:trPr>
          <w:cantSplit/>
        </w:trPr>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增容、储能及联络</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三类措施共同寻优</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三类措施共同寻优</w:t>
            </w:r>
          </w:p>
        </w:tc>
      </w:tr>
      <w:tr>
        <w:trPr>
          <w:cantSplit/>
        </w:trPr>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第4年两地区在役储能</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502.40 MW/1080.16 MWh</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2.80 MW/6.02 MWh</w:t>
            </w:r>
          </w:p>
        </w:tc>
      </w:tr>
      <w:tr>
        <w:trPr>
          <w:cantSplit/>
        </w:trPr>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新增措施全寿命费用现值</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208566.29万元</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35683.63万元</w:t>
            </w:r>
          </w:p>
        </w:tc>
      </w:tr>
      <w:tr>
        <w:trPr>
          <w:cantSplit/>
        </w:trPr>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推荐判断</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作为比较基准</w:t>
            </w:r>
          </w:p>
        </w:tc>
        <w:tc>
          <w:tcPr>
            <w:tcW w:type="dxa" w:w="2771"/>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费用降低82.89%，优先采用</w:t>
            </w:r>
          </w:p>
        </w:tc>
      </w:tr>
    </w:tbl>
    <w:p>
      <w:pPr>
        <w:pStyle w:val="2"/>
        <w:widowControl/>
        <w:spacing w:line="300" w:lineRule="auto" w:before="0" w:after="0"/>
        <w:ind w:firstLine="480"/>
        <w:jc w:val="both"/>
      </w:pPr>
      <w:r>
        <w:rPr>
          <w:rFonts w:ascii="Times New Roman" w:hAnsi="Times New Roman" w:eastAsia="方正仿宋_GBK"/>
          <w:b w:val="0"/>
          <w:sz w:val="24"/>
        </w:rPr>
        <w:t xml:space="preserve">在相同技术校核、负荷和价格条件下，弹性方案提高主变配置，减少退出工况所需储能，两地区新增措施全寿命费用现值降低82.89%，经济性优于刚性。刚性方案保留为规划比较基准，后续建议以弹性指标及其设备组合开展比选。</w:t>
      </w:r>
    </w:p>
    <w:p>
      <w:pPr>
        <w:pStyle w:val="2"/>
        <w:keepNext/>
        <w:spacing w:line="240" w:lineRule="auto" w:before="120" w:after="0"/>
        <w:ind w:firstLine="0"/>
        <w:jc w:val="center"/>
      </w:pPr>
      <w:r>
        <w:drawing>
          <wp:inline>
            <wp:extent cx="5120640" cy="2859240"/>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2深化修订/lifecycle_components.png" id="0" name="Picture"/>
                    <pic:cNvPicPr>
                      <a:picLocks noChangeArrowheads="1" noChangeAspect="1"/>
                    </pic:cNvPicPr>
                  </pic:nvPicPr>
                  <pic:blipFill>
                    <a:blip r:embed="rId178"/>
                    <a:stretch>
                      <a:fillRect/>
                    </a:stretch>
                  </pic:blipFill>
                  <pic:spPr bwMode="auto">
                    <a:xfrm>
                      <a:off x="0" y="0"/>
                      <a:ext cx="5120640" cy="2859240"/>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图5-2 各规划方案全寿命费用构成</w:t>
      </w:r>
    </w:p>
    <w:p>
      <w:pPr>
        <w:pStyle w:val="2"/>
        <w:keepNext/>
        <w:spacing w:line="240" w:lineRule="auto" w:before="120" w:after="0"/>
        <w:ind w:firstLine="0"/>
        <w:jc w:val="center"/>
      </w:pPr>
      <w:r>
        <w:drawing>
          <wp:inline>
            <wp:extent cx="5120640" cy="2735650"/>
            <wp:effectExtent b="0" l="0" r="0" t="0"/>
            <wp:docPr descr="" title="" id="1" name="Picture"/>
            <a:graphic>
              <a:graphicData uri="http://schemas.openxmlformats.org/drawingml/2006/picture">
                <pic:pic>
                  <pic:nvPicPr>
                    <pic:cNvPr descr="/home/xh/postgraduate/干活/徐州电科院项目咨询/徐州地区分布式新能源高渗透率地区110kV电网容载比弹性指标优化研究/研究报告/02图表/2026-10-02深化修订/measure_comparison.png" id="0" name="Picture"/>
                    <pic:cNvPicPr>
                      <a:picLocks noChangeArrowheads="1" noChangeAspect="1"/>
                    </pic:cNvPicPr>
                  </pic:nvPicPr>
                  <pic:blipFill>
                    <a:blip r:embed="rId179"/>
                    <a:stretch>
                      <a:fillRect/>
                    </a:stretch>
                  </pic:blipFill>
                  <pic:spPr bwMode="auto">
                    <a:xfrm>
                      <a:off x="0" y="0"/>
                      <a:ext cx="5120640" cy="2735650"/>
                    </a:xfrm>
                    <a:prstGeom prst="rect">
                      <a:avLst/>
                    </a:prstGeom>
                    <a:noFill/>
                    <a:ln w="9525">
                      <a:noFill/>
                      <a:headEnd/>
                      <a:tailEnd/>
                    </a:ln>
                  </pic:spPr>
                </pic:pic>
              </a:graphicData>
            </a:graphic>
          </wp:inline>
        </w:drawing>
      </w:r>
    </w:p>
    <w:p>
      <w:pPr>
        <w:pStyle w:val="2"/>
        <w:spacing w:line="300" w:lineRule="auto" w:before="60" w:after="120"/>
        <w:ind w:firstLine="0"/>
        <w:jc w:val="center"/>
      </w:pPr>
      <w:r>
        <w:rPr>
          <w:rFonts w:ascii="Times New Roman" w:hAnsi="Times New Roman" w:eastAsia="宋体"/>
          <w:b w:val="0"/>
          <w:sz w:val="21"/>
        </w:rPr>
        <w:t xml:space="preserve">图5-3 主变采购与储能配置对照</w:t>
      </w:r>
    </w:p>
    <w:p>
      <w:pPr>
        <w:pStyle w:val="2"/>
        <w:widowControl/>
        <w:spacing w:line="300" w:lineRule="auto"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
                  <m:e>
                    <m:r>
                      <m:t>R</m:t>
                    </m:r>
                  </m:e>
                  <m:sub>
                    <m:r>
                      <m:t>y</m:t>
                    </m:r>
                  </m:sub>
                </m:sSub>
                <m:r>
                  <m:t>−</m:t>
                </m:r>
                <m:sSub>
                  <m:e>
                    <m:r>
                      <m:t>R</m:t>
                    </m:r>
                  </m:e>
                  <m:sub>
                    <m:r>
                      <m:t>y</m:t>
                    </m:r>
                    <m:r>
                      <m:t>−</m:t>
                    </m:r>
                    <m:r>
                      <m:t>1</m:t>
                    </m:r>
                  </m:sub>
                </m:sSub>
                <m:r>
                  <m:t>=</m:t>
                </m:r>
                <m:f>
                  <m:fPr>
                    <m:type m:val="bar"/>
                  </m:fPr>
                  <m:num>
                    <m:sSub>
                      <m:e>
                        <m:r>
                          <m:t>S</m:t>
                        </m:r>
                      </m:e>
                      <m:sub>
                        <m:r>
                          <m:t>y</m:t>
                        </m:r>
                      </m:sub>
                    </m:sSub>
                    <m:r>
                      <m:t>−</m:t>
                    </m:r>
                    <m:sSub>
                      <m:e>
                        <m:r>
                          <m:t>S</m:t>
                        </m:r>
                      </m:e>
                      <m:sub>
                        <m:r>
                          <m:t>y</m:t>
                        </m:r>
                        <m:r>
                          <m:t>−</m:t>
                        </m:r>
                        <m:r>
                          <m:t>1</m:t>
                        </m:r>
                      </m:sub>
                    </m:sSub>
                  </m:num>
                  <m:den>
                    <m:sSub>
                      <m:e>
                        <m:r>
                          <m:t>P</m:t>
                        </m:r>
                      </m:e>
                      <m:sub>
                        <m:r>
                          <m:t>y</m:t>
                        </m:r>
                      </m:sub>
                    </m:sSub>
                  </m:den>
                </m:f>
                <m:r>
                  <m:t>+</m:t>
                </m:r>
                <m:sSub>
                  <m:e>
                    <m:r>
                      <m:t>S</m:t>
                    </m:r>
                  </m:e>
                  <m:sub>
                    <m:r>
                      <m:t>y</m:t>
                    </m:r>
                    <m:r>
                      <m:t>−</m:t>
                    </m:r>
                    <m:r>
                      <m:t>1</m:t>
                    </m:r>
                  </m:sub>
                </m:sSub>
                <m:d>
                  <m:dPr>
                    <m:begChr m:val="("/>
                    <m:endChr m:val=")"/>
                    <m:grow/>
                  </m:dPr>
                  <m:e>
                    <m:f>
                      <m:fPr>
                        <m:type m:val="bar"/>
                      </m:fPr>
                      <m:num>
                        <m:r>
                          <m:t>1</m:t>
                        </m:r>
                      </m:num>
                      <m:den>
                        <m:sSub>
                          <m:e>
                            <m:r>
                              <m:t>P</m:t>
                            </m:r>
                          </m:e>
                          <m:sub>
                            <m:r>
                              <m:t>y</m:t>
                            </m:r>
                          </m:sub>
                        </m:sSub>
                      </m:den>
                    </m:f>
                    <m:r>
                      <m:t>−</m:t>
                    </m:r>
                    <m:f>
                      <m:fPr>
                        <m:type m:val="bar"/>
                      </m:fPr>
                      <m:num>
                        <m:r>
                          <m:t>1</m:t>
                        </m:r>
                      </m:num>
                      <m:den>
                        <m:sSub>
                          <m:e>
                            <m:r>
                              <m:t>P</m:t>
                            </m:r>
                          </m:e>
                          <m:sub>
                            <m:r>
                              <m:t>y</m:t>
                            </m:r>
                            <m:r>
                              <m:t>−</m:t>
                            </m:r>
                            <m:r>
                              <m:t>1</m:t>
                            </m:r>
                          </m:sub>
                        </m:sSub>
                      </m:den>
                    </m:f>
                  </m:e>
                </m:d>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（5-17）</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R</m:t>
            </m:r>
          </m:e>
          <m:sub>
            <m:r>
              <m:t>y</m:t>
            </m:r>
          </m:sub>
        </m:sSub>
      </m:oMath>
      <w:r>
        <w:rPr>
          <w:rFonts w:ascii="Times New Roman" w:hAnsi="Times New Roman" w:eastAsia="方正仿宋_GBK"/>
          <w:b w:val="0"/>
          <w:sz w:val="24"/>
        </w:rPr>
        <w:t xml:space="preserve">、</w:t>
      </w:r>
      <m:oMath>
        <m:sSub>
          <m:e>
            <m:r>
              <m:t>R</m:t>
            </m:r>
          </m:e>
          <m:sub>
            <m:r>
              <m:t>y</m:t>
            </m:r>
            <m:r>
              <m:t>−</m:t>
            </m:r>
            <m:r>
              <m:t>1</m:t>
            </m:r>
          </m:sub>
        </m:sSub>
      </m:oMath>
      <w:r>
        <w:rPr>
          <w:rFonts w:ascii="Times New Roman" w:hAnsi="Times New Roman" w:eastAsia="方正仿宋_GBK"/>
          <w:b w:val="0"/>
          <w:sz w:val="24"/>
        </w:rPr>
        <w:t xml:space="preserve">为相邻两年容载比，</w:t>
      </w:r>
      <m:oMath>
        <m:r>
          <m:t>y</m:t>
        </m:r>
      </m:oMath>
      <w:r>
        <w:rPr>
          <w:rFonts w:ascii="Times New Roman" w:hAnsi="Times New Roman" w:eastAsia="方正仿宋_GBK"/>
          <w:b w:val="0"/>
          <w:sz w:val="24"/>
        </w:rPr>
        <w:t xml:space="preserve">为仿真年序号；</w:t>
      </w:r>
      <m:oMath>
        <m:sSub>
          <m:e>
            <m:r>
              <m:t>S</m:t>
            </m:r>
          </m:e>
          <m:sub>
            <m:r>
              <m:t>y</m:t>
            </m:r>
          </m:sub>
        </m:sSub>
      </m:oMath>
      <w:r>
        <w:rPr>
          <w:rFonts w:ascii="Times New Roman" w:hAnsi="Times New Roman" w:eastAsia="方正仿宋_GBK"/>
          <w:b w:val="0"/>
          <w:sz w:val="24"/>
        </w:rPr>
        <w:t xml:space="preserve">和</w:t>
      </w:r>
      <m:oMath>
        <m:sSub>
          <m:e>
            <m:r>
              <m:t>S</m:t>
            </m:r>
          </m:e>
          <m:sub>
            <m:r>
              <m:t>y</m:t>
            </m:r>
            <m:r>
              <m:t>−</m:t>
            </m:r>
            <m:r>
              <m:t>1</m:t>
            </m:r>
          </m:sub>
        </m:sSub>
      </m:oMath>
      <w:r>
        <w:rPr>
          <w:rFonts w:ascii="Times New Roman" w:hAnsi="Times New Roman" w:eastAsia="方正仿宋_GBK"/>
          <w:b w:val="0"/>
          <w:sz w:val="24"/>
        </w:rPr>
        <w:t xml:space="preserve">为相邻两年主变总容量，单位MVA；</w:t>
      </w:r>
      <m:oMath>
        <m:sSub>
          <m:e>
            <m:r>
              <m:t>P</m:t>
            </m:r>
          </m:e>
          <m:sub>
            <m:r>
              <m:t>y</m:t>
            </m:r>
          </m:sub>
        </m:sSub>
      </m:oMath>
      <w:r>
        <w:rPr>
          <w:rFonts w:ascii="Times New Roman" w:hAnsi="Times New Roman" w:eastAsia="方正仿宋_GBK"/>
          <w:b w:val="0"/>
          <w:sz w:val="24"/>
        </w:rPr>
        <w:t xml:space="preserve">和</w:t>
      </w:r>
      <m:oMath>
        <m:sSub>
          <m:e>
            <m:r>
              <m:t>P</m:t>
            </m:r>
          </m:e>
          <m:sub>
            <m:r>
              <m:t>y</m:t>
            </m:r>
            <m:r>
              <m:t>−</m:t>
            </m:r>
            <m: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5"/>
        <w:keepNext/>
        <w:numPr>
          <w:numId w:val="0"/>
        </w:numPr>
        <w:spacing w:line="360" w:lineRule="auto" w:before="160" w:after="120"/>
        <w:ind w:firstLine="0"/>
      </w:pPr>
      <w:bookmarkStart w:id="180" w:name="邳州逐站规划方案"/>
      <w:r>
        <w:rPr>
          <w:rFonts w:ascii="Times New Roman" w:hAnsi="Times New Roman" w:eastAsia="方正仿宋_GBK"/>
          <w:b/>
          <w:sz w:val="26"/>
        </w:rPr>
        <w:t xml:space="preserve">5.4.4 邳州逐站规划方案</w:t>
      </w:r>
      <w:bookmarkEnd w:id="180"/>
    </w:p>
    <w:p>
      <w:pPr>
        <w:pStyle w:val="FirstParagraph"/>
        <w:widowControl/>
        <w:spacing w:line="300" w:lineRule="auto" w:before="0" w:after="0"/>
        <w:ind w:firstLine="480"/>
        <w:jc w:val="both"/>
      </w:pPr>
      <w:r>
        <w:rPr>
          <w:rFonts w:ascii="Times New Roman" w:hAnsi="Times New Roman" w:eastAsia="方正仿宋_GBK"/>
          <w:b w:val="0"/>
          <w:sz w:val="24"/>
        </w:rPr>
        <w:t xml:space="preserve">邳州各站同时考虑正向供电与反向净负荷。以下结合各站设备结构、负荷转接及储能规模说明弹性方案的配置依据。</w:t>
      </w:r>
    </w:p>
    <w:p>
      <w:pPr>
        <w:pStyle w:val="7"/>
        <w:keepNext/>
        <w:numPr>
          <w:numId w:val="0"/>
        </w:numPr>
        <w:spacing w:line="360" w:lineRule="auto" w:before="160" w:after="120"/>
        <w:ind w:firstLine="0"/>
      </w:pPr>
      <w:bookmarkStart w:id="181" w:name="bdz-00005站规划分析"/>
      <w:r>
        <w:rPr>
          <w:rFonts w:ascii="Times New Roman" w:hAnsi="Times New Roman" w:eastAsia="方正仿宋_GBK"/>
          <w:b/>
          <w:sz w:val="24"/>
        </w:rPr>
        <w:t xml:space="preserve">BDZ-00005站规划分析</w:t>
      </w:r>
      <w:bookmarkEnd w:id="181"/>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该站基期主变配置为20.00+50.00 MVA，规划第4年转接前最大正向、反向净负荷分别为38.85 MW和19.85 MW，正向95%峰值持续时间为2.00 h。弹性方案第3年实施主变增容，新购容量50.00 MVA。</w:t>
      </w:r>
    </w:p>
    <w:p>
      <w:pPr>
        <w:pStyle w:val="2"/>
        <w:widowControl/>
        <w:spacing w:line="300" w:lineRule="auto" w:before="0" w:after="0"/>
        <w:ind w:firstLine="480"/>
        <w:jc w:val="both"/>
      </w:pPr>
      <w:r>
        <w:rPr>
          <w:rFonts w:ascii="Times New Roman" w:hAnsi="Times New Roman" w:eastAsia="方正仿宋_GBK"/>
          <w:b w:val="0"/>
          <w:sz w:val="24"/>
        </w:rPr>
        <w:t xml:space="preserve">第4年正向校核负荷为38.85 MW，设备配置主要承担本站供电与反向输送需求。刚性方案第4年主变总容量为70.00 MVA，储能为38.90 MW；弹性方案相应为100.00 MVA和0.00 MW。弹性方案储能减少38.90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表5-12 BDZ-00005站第4年配置与负荷转接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38.90/83.64</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38.85</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38.85</w:t>
            </w:r>
          </w:p>
        </w:tc>
      </w:tr>
    </w:tbl>
    <w:p>
      <w:pPr>
        <w:pStyle w:val="7"/>
        <w:keepNext/>
        <w:numPr>
          <w:numId w:val="0"/>
        </w:numPr>
        <w:spacing w:line="360" w:lineRule="auto" w:before="160" w:after="120"/>
        <w:ind w:firstLine="0"/>
      </w:pPr>
      <w:bookmarkStart w:id="182" w:name="bdz-00016站规划分析"/>
      <w:r>
        <w:rPr>
          <w:rFonts w:ascii="Times New Roman" w:hAnsi="Times New Roman" w:eastAsia="方正仿宋_GBK"/>
          <w:b/>
          <w:sz w:val="24"/>
        </w:rPr>
        <w:t xml:space="preserve">BDZ-00016站规划分析</w:t>
      </w:r>
      <w:bookmarkEnd w:id="182"/>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该站基期主变配置为40.00+63.00 MVA，规划第4年转接前最大正向、反向净负荷分别为72.47 MW和32.99 MW，正向95%峰值持续时间为3.00 h。弹性方案第1年扩建50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第4年承接13.03 MW，正向校核负荷增至85.50 MW。该站利用相应主变容量承担片区内部负荷，接收能力按承接后的负荷进行正常运行及单台主变退出校核。刚性方案第4年主变总容量为153.00 MVA，储能为0.00 MW；弹性方案相应为153.00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表5-13 BDZ-00016站第4年配置与负荷转接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40.00+63.00+50.00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13.03</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85.50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40.00+63.00+50.00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13.03</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85.50</w:t>
            </w:r>
          </w:p>
        </w:tc>
      </w:tr>
    </w:tbl>
    <w:p>
      <w:pPr>
        <w:pStyle w:val="7"/>
        <w:keepNext/>
        <w:numPr>
          <w:numId w:val="0"/>
        </w:numPr>
        <w:spacing w:line="360" w:lineRule="auto" w:before="160" w:after="120"/>
        <w:ind w:firstLine="0"/>
      </w:pPr>
      <w:bookmarkStart w:id="183" w:name="bdz-00021站规划分析"/>
      <w:r>
        <w:rPr>
          <w:rFonts w:ascii="Times New Roman" w:hAnsi="Times New Roman" w:eastAsia="方正仿宋_GBK"/>
          <w:b/>
          <w:sz w:val="24"/>
        </w:rPr>
        <w:t xml:space="preserve">BDZ-00021站规划分析</w:t>
      </w:r>
      <w:bookmarkEnd w:id="183"/>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该站基期主变配置为20.00+50.00 MVA，规划第4年转接前最大正向、反向净负荷分别为31.63 MW和25.40 MW，正向95%峰值持续时间为4.00 h。弹性方案第1年扩建50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第4年正向校核负荷为31.63 MW，设备配置主要承担本站供电与反向输送需求。刚性方案第4年主变总容量为70.00 MVA，储能为0.00 MW；弹性方案相应为120.00 MVA和0.00 MW。弹性方案增加主变容量，为本站或片区承接负荷提供支撑。</w:t>
      </w:r>
    </w:p>
    <w:p>
      <w:pPr>
        <w:pStyle w:val="2"/>
        <w:keepNext/>
        <w:spacing w:line="300" w:lineRule="auto" w:before="120" w:after="80"/>
        <w:ind w:firstLine="0"/>
        <w:jc w:val="center"/>
      </w:pPr>
      <w:r>
        <w:rPr>
          <w:rFonts w:ascii="Times New Roman" w:hAnsi="Times New Roman" w:eastAsia="宋体"/>
          <w:b w:val="0"/>
          <w:sz w:val="21"/>
        </w:rPr>
        <w:t xml:space="preserve">表5-14 BDZ-00021站第4年配置与负荷转接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12.63</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20.00+50.00+50.00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31.63</w:t>
            </w:r>
          </w:p>
        </w:tc>
      </w:tr>
    </w:tbl>
    <w:p>
      <w:pPr>
        <w:pStyle w:val="7"/>
        <w:keepNext/>
        <w:numPr>
          <w:numId w:val="0"/>
        </w:numPr>
        <w:spacing w:line="360" w:lineRule="auto" w:before="160" w:after="120"/>
        <w:ind w:firstLine="0"/>
      </w:pPr>
      <w:bookmarkStart w:id="184" w:name="bdz-00022站规划分析"/>
      <w:r>
        <w:rPr>
          <w:rFonts w:ascii="Times New Roman" w:hAnsi="Times New Roman" w:eastAsia="方正仿宋_GBK"/>
          <w:b/>
          <w:sz w:val="24"/>
        </w:rPr>
        <w:t xml:space="preserve">BDZ-00022站规划分析</w:t>
      </w:r>
      <w:bookmarkEnd w:id="184"/>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该站基期主变配置为20.00+31.50 MVA，规划第4年转接前最大正向、反向净负荷分别为31.93 MW和49.30 MW，正向95%峰值持续时间为2.00 h。弹性方案第2年实施主变增容，新购容量31.50 MVA。</w:t>
      </w:r>
    </w:p>
    <w:p>
      <w:pPr>
        <w:pStyle w:val="2"/>
        <w:widowControl/>
        <w:spacing w:line="300" w:lineRule="auto" w:before="0" w:after="0"/>
        <w:ind w:firstLine="480"/>
        <w:jc w:val="both"/>
      </w:pPr>
      <w:r>
        <w:rPr>
          <w:rFonts w:ascii="Times New Roman" w:hAnsi="Times New Roman" w:eastAsia="方正仿宋_GBK"/>
          <w:b w:val="0"/>
          <w:sz w:val="24"/>
        </w:rPr>
        <w:t xml:space="preserve">第4年转出2.01 MW、承接0.00 MW后，正向校核负荷为29.92 MW。负荷转出降低正向需求，同时将反向校核上界提高至51.30 MW，配置按两个方向共同确定。刚性方案第4年主变总容量为51.50 MVA，储能为6.80 MW；弹性方案相应为63.00 MVA和0.00 MW。弹性方案储能减少6.80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表5-15 BDZ-00022站第4年配置与负荷转接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20.00+31.50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6.80/14.62</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6.13</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25.80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31.50+31.50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29.92</w:t>
            </w:r>
          </w:p>
        </w:tc>
      </w:tr>
    </w:tbl>
    <w:p>
      <w:pPr>
        <w:pStyle w:val="7"/>
        <w:keepNext/>
        <w:numPr>
          <w:numId w:val="0"/>
        </w:numPr>
        <w:spacing w:line="360" w:lineRule="auto" w:before="160" w:after="120"/>
        <w:ind w:firstLine="0"/>
      </w:pPr>
      <w:bookmarkStart w:id="185" w:name="bdz-00026站规划分析"/>
      <w:r>
        <w:rPr>
          <w:rFonts w:ascii="Times New Roman" w:hAnsi="Times New Roman" w:eastAsia="方正仿宋_GBK"/>
          <w:b/>
          <w:sz w:val="24"/>
        </w:rPr>
        <w:t xml:space="preserve">BDZ-00026站规划分析</w:t>
      </w:r>
      <w:bookmarkEnd w:id="185"/>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MVA，规划第4年转接前最大正向、反向净负荷分别为96.09 MW和18.83 MW，正向95%峰值持续时间为3.00 h。弹性方案第1年扩建50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第4年转出20.09 MW、承接0.00 MW后，正向校核负荷为76.00 MW。负荷转出降低正向需求，同时将反向校核上界提高至38.92 MW，配置按两个方向共同确定。刚性方案第4年主变总容量为130.00 MVA，储能为0.10 MW；弹性方案相应为130.00 MVA和0.00 MW。弹性方案储能减少0.10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表5-16 BDZ-00026站第4年配置与负荷转接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0.10/0.21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76.07</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20.09</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76.00</w:t>
            </w:r>
          </w:p>
        </w:tc>
      </w:tr>
    </w:tbl>
    <w:p>
      <w:pPr>
        <w:pStyle w:val="7"/>
        <w:keepNext/>
        <w:numPr>
          <w:numId w:val="0"/>
        </w:numPr>
        <w:spacing w:line="360" w:lineRule="auto" w:before="160" w:after="120"/>
        <w:ind w:firstLine="0"/>
      </w:pPr>
      <w:bookmarkStart w:id="186" w:name="bdz-00027站规划分析"/>
      <w:r>
        <w:rPr>
          <w:rFonts w:ascii="Times New Roman" w:hAnsi="Times New Roman" w:eastAsia="方正仿宋_GBK"/>
          <w:b/>
          <w:sz w:val="24"/>
        </w:rPr>
        <w:t xml:space="preserve">BDZ-00027站规划分析</w:t>
      </w:r>
      <w:bookmarkEnd w:id="186"/>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该站基期主变配置为20.00+50.00 MVA，规划第4年转接前最大正向、反向净负荷分别为62.12 MW和36.81 MW，正向95%峰值持续时间为2.00 h。弹性方案第1年扩建50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第4年承接4.38 MW，正向校核负荷增至66.50 MW。该站利用相应主变容量承担片区内部负荷，接收能力按承接后的负荷进行正常运行及单台主变退出校核。刚性方案第4年主变总容量为81.50 MVA，储能为28.60 MW；弹性方案相应为120.00 MVA和0.00 MW。弹性方案储能减少28.60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表5-17 BDZ-00027站第4年配置与负荷转接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31.50+50.00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28.60/61.49</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58.52</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20.00+50.00+50.00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4.38</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66.50</w:t>
            </w:r>
          </w:p>
        </w:tc>
      </w:tr>
    </w:tbl>
    <w:p>
      <w:pPr>
        <w:pStyle w:val="7"/>
        <w:keepNext/>
        <w:numPr>
          <w:numId w:val="0"/>
        </w:numPr>
        <w:spacing w:line="360" w:lineRule="auto" w:before="160" w:after="120"/>
        <w:ind w:firstLine="0"/>
      </w:pPr>
      <w:bookmarkStart w:id="187" w:name="bdz-00028站规划分析"/>
      <w:r>
        <w:rPr>
          <w:rFonts w:ascii="Times New Roman" w:hAnsi="Times New Roman" w:eastAsia="方正仿宋_GBK"/>
          <w:b/>
          <w:sz w:val="24"/>
        </w:rPr>
        <w:t xml:space="preserve">BDZ-00028站规划分析</w:t>
      </w:r>
      <w:bookmarkEnd w:id="187"/>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该站基期主变配置为31.50+80.00 MVA，规划第4年转接前最大正向、反向净负荷分别为108.09 MW和0.00 MW，正向95%峰值持续时间为3.00 h。弹性方案第1年实施主变增容，新购容量63.00 MVA。</w:t>
      </w:r>
    </w:p>
    <w:p>
      <w:pPr>
        <w:pStyle w:val="2"/>
        <w:widowControl/>
        <w:spacing w:line="300" w:lineRule="auto" w:before="0" w:after="0"/>
        <w:ind w:firstLine="480"/>
        <w:jc w:val="both"/>
      </w:pPr>
      <w:r>
        <w:rPr>
          <w:rFonts w:ascii="Times New Roman" w:hAnsi="Times New Roman" w:eastAsia="方正仿宋_GBK"/>
          <w:b w:val="0"/>
          <w:sz w:val="24"/>
        </w:rPr>
        <w:t xml:space="preserve">第4年转出48.24 MW、承接0.00 MW后，正向校核负荷为59.85 MW。负荷转出降低正向需求，同时将反向校核上界提高至48.24 MW，配置按两个方向共同确定。刚性方案第4年主变总容量为143.00 MVA，储能为0.00 MW；弹性方案相应为143.00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表5-18 BDZ-00028站第4年配置与负荷转接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63.00+80.00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48.24</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59.85</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63.00+80.00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48.24</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59.85</w:t>
            </w:r>
          </w:p>
        </w:tc>
      </w:tr>
    </w:tbl>
    <w:p>
      <w:pPr>
        <w:pStyle w:val="7"/>
        <w:keepNext/>
        <w:numPr>
          <w:numId w:val="0"/>
        </w:numPr>
        <w:spacing w:line="360" w:lineRule="auto" w:before="160" w:after="120"/>
        <w:ind w:firstLine="0"/>
      </w:pPr>
      <w:bookmarkStart w:id="188" w:name="bdz-00031站规划分析"/>
      <w:r>
        <w:rPr>
          <w:rFonts w:ascii="Times New Roman" w:hAnsi="Times New Roman" w:eastAsia="方正仿宋_GBK"/>
          <w:b/>
          <w:sz w:val="24"/>
        </w:rPr>
        <w:t xml:space="preserve">BDZ-00031站规划分析</w:t>
      </w:r>
      <w:bookmarkEnd w:id="188"/>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该站基期主变配置为31.50+40.00 MVA，规划第4年转接前最大正向、反向净负荷分别为41.63 MW和30.82 MW，正向95%峰值持续时间为3.00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第4年转出11.71 MW、承接0.00 MW后，正向校核负荷为29.92 MW。负荷转出降低正向需求，同时将反向校核上界提高至42.53 MW，配置按两个方向共同确定。刚性方案第4年主变总容量为71.50 MVA，储能为0.00 MW；弹性方案相应为71.50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表5-19 BDZ-00031站第4年配置与负荷转接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31.50+40.00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11.71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29.92</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31.50+40.00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11.71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29.92</w:t>
            </w:r>
          </w:p>
        </w:tc>
      </w:tr>
    </w:tbl>
    <w:p>
      <w:pPr>
        <w:pStyle w:val="7"/>
        <w:keepNext/>
        <w:numPr>
          <w:numId w:val="0"/>
        </w:numPr>
        <w:spacing w:line="360" w:lineRule="auto" w:before="160" w:after="120"/>
        <w:ind w:firstLine="0"/>
      </w:pPr>
      <w:bookmarkStart w:id="189" w:name="bdz-00037站规划分析"/>
      <w:r>
        <w:rPr>
          <w:rFonts w:ascii="Times New Roman" w:hAnsi="Times New Roman" w:eastAsia="方正仿宋_GBK"/>
          <w:b/>
          <w:sz w:val="24"/>
        </w:rPr>
        <w:t xml:space="preserve">BDZ-00037站规划分析</w:t>
      </w:r>
      <w:bookmarkEnd w:id="189"/>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该站基期主变配置为20.00+50.00 MVA，规划第4年转接前最大正向、反向净负荷分别为28.74 MW和28.03 MW，正向95%峰值持续时间为2.00 h。弹性方案第4年扩建50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第4年承接37.76 MW，正向校核负荷增至66.50 MW。该站利用相应主变容量承担片区内部负荷，接收能力按承接后的负荷进行正常运行及单台主变退出校核。刚性方案第4年主变总容量为131.50 MVA，储能为0.00 MW；弹性方案相应为120.00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表5-20 BDZ-00037站第4年配置与负荷转接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31.50+50.00+50.00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48.68</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77.42</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20.00+50.00+50.00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37.76</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66.50</w:t>
            </w:r>
          </w:p>
        </w:tc>
      </w:tr>
    </w:tbl>
    <w:p>
      <w:pPr>
        <w:pStyle w:val="7"/>
        <w:keepNext/>
        <w:numPr>
          <w:numId w:val="0"/>
        </w:numPr>
        <w:spacing w:line="360" w:lineRule="auto" w:before="160" w:after="120"/>
        <w:ind w:firstLine="0"/>
      </w:pPr>
      <w:bookmarkStart w:id="190" w:name="bdz-00048站规划分析"/>
      <w:r>
        <w:rPr>
          <w:rFonts w:ascii="Times New Roman" w:hAnsi="Times New Roman" w:eastAsia="方正仿宋_GBK"/>
          <w:b/>
          <w:sz w:val="24"/>
        </w:rPr>
        <w:t xml:space="preserve">BDZ-00048站规划分析</w:t>
      </w:r>
      <w:bookmarkEnd w:id="190"/>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该站基期主变配置为20.00+80.00 MVA，规划第4年转接前最大正向、反向净负荷分别为76.30 MW和4.76 MW，正向95%峰值持续时间为3.00 h。弹性方案第1年实施主变增容，新购容量63.00 MVA；第3年扩建50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第4年承接31.05 MW，正向校核负荷增至107.35 MW。该站利用相应主变容量承担片区内部负荷，接收能力按承接后的负荷进行正常运行及单台主变退出校核。刚性方案第4年主变总容量为193.00 MVA，储能为0.00 MW；弹性方案相应为193.00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表5-21 BDZ-00048站第4年配置与负荷转接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63.00+80.00+50.00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8.77</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85.07</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63.00+80.00+50.00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31.05</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107.35</w:t>
            </w:r>
          </w:p>
        </w:tc>
      </w:tr>
    </w:tbl>
    <w:p>
      <w:pPr>
        <w:pStyle w:val="7"/>
        <w:keepNext/>
        <w:numPr>
          <w:numId w:val="0"/>
        </w:numPr>
        <w:spacing w:line="360" w:lineRule="auto" w:before="160" w:after="120"/>
        <w:ind w:firstLine="0"/>
      </w:pPr>
      <w:bookmarkStart w:id="191" w:name="bdz-00095站规划分析"/>
      <w:r>
        <w:rPr>
          <w:rFonts w:ascii="Times New Roman" w:hAnsi="Times New Roman" w:eastAsia="方正仿宋_GBK"/>
          <w:b/>
          <w:sz w:val="24"/>
        </w:rPr>
        <w:t xml:space="preserve">BDZ-00095站规划分析</w:t>
      </w:r>
      <w:bookmarkEnd w:id="191"/>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该站基期主变配置为20.00+50.00 MVA，规划第4年转接前最大正向、反向净负荷分别为23.91 MW和32.16 MW，正向95%峰值持续时间为2.00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第4年转出4.91 MW、承接0.00 MW后，正向校核负荷为19.00 MW。负荷转出降低正向需求，同时将反向校核上界提高至37.06 MW，配置按两个方向共同确定。刚性方案第4年主变总容量为120.00 MVA，储能为1.50 MW；弹性方案相应为70.00 MVA和0.00 MW。弹性方案储能减少1.50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表5-22 BDZ-00095站第4年配置与负荷转接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20.00+50.00+50.00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1.50/3.23</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44.09</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4.91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19.00</w:t>
            </w:r>
          </w:p>
        </w:tc>
      </w:tr>
    </w:tbl>
    <w:p>
      <w:pPr>
        <w:pStyle w:val="7"/>
        <w:keepNext/>
        <w:numPr>
          <w:numId w:val="0"/>
        </w:numPr>
        <w:spacing w:line="360" w:lineRule="auto" w:before="160" w:after="120"/>
        <w:ind w:firstLine="0"/>
      </w:pPr>
      <w:bookmarkStart w:id="192" w:name="bdz-00096站规划分析"/>
      <w:r>
        <w:rPr>
          <w:rFonts w:ascii="Times New Roman" w:hAnsi="Times New Roman" w:eastAsia="方正仿宋_GBK"/>
          <w:b/>
          <w:sz w:val="24"/>
        </w:rPr>
        <w:t xml:space="preserve">BDZ-00096站规划分析</w:t>
      </w:r>
      <w:bookmarkEnd w:id="192"/>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该站基期主变配置为31.50+80.00 MVA，规划第4年转接前最大正向、反向净负荷分别为72.42 MW和0.00 MW，正向95%峰值持续时间为3.00 h。弹性方案第1年实施主变增容，新购容量63.00 MVA。</w:t>
      </w:r>
    </w:p>
    <w:p>
      <w:pPr>
        <w:pStyle w:val="2"/>
        <w:widowControl/>
        <w:spacing w:line="300" w:lineRule="auto" w:before="0" w:after="0"/>
        <w:ind w:firstLine="480"/>
        <w:jc w:val="both"/>
      </w:pPr>
      <w:r>
        <w:rPr>
          <w:rFonts w:ascii="Times New Roman" w:hAnsi="Times New Roman" w:eastAsia="方正仿宋_GBK"/>
          <w:b w:val="0"/>
          <w:sz w:val="24"/>
        </w:rPr>
        <w:t xml:space="preserve">第4年转出12.57 MW、承接0.00 MW后，正向校核负荷为59.85 MW。负荷转出降低正向需求，同时将反向校核上界提高至12.57 MW，配置按两个方向共同确定。刚性方案第4年主变总容量为143.00 MVA，储能为0.00 MW；弹性方案相应为143.00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表5-23 BDZ-00096站第4年配置与负荷转接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63.00+80.00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12.57</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59.85</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63.00+80.00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12.57</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59.85</w:t>
            </w:r>
          </w:p>
        </w:tc>
      </w:tr>
    </w:tbl>
    <w:p>
      <w:pPr>
        <w:pStyle w:val="7"/>
        <w:keepNext/>
        <w:numPr>
          <w:numId w:val="0"/>
        </w:numPr>
        <w:spacing w:line="360" w:lineRule="auto" w:before="160" w:after="120"/>
        <w:ind w:firstLine="0"/>
      </w:pPr>
      <w:bookmarkStart w:id="193" w:name="bdz-00124站规划分析"/>
      <w:r>
        <w:rPr>
          <w:rFonts w:ascii="Times New Roman" w:hAnsi="Times New Roman" w:eastAsia="方正仿宋_GBK"/>
          <w:b/>
          <w:sz w:val="24"/>
        </w:rPr>
        <w:t xml:space="preserve">BDZ-00124站规划分析</w:t>
      </w:r>
      <w:bookmarkEnd w:id="193"/>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该站基期主变配置为31.50+40.00 MVA，规划第4年转接前最大正向、反向净负荷分别为64.11 MW和31.99 MW，正向95%峰值持续时间为3.00 h。弹性方案第4年实施主变增容，新购容量40.00 MVA。</w:t>
      </w:r>
    </w:p>
    <w:p>
      <w:pPr>
        <w:pStyle w:val="2"/>
        <w:widowControl/>
        <w:spacing w:line="300" w:lineRule="auto" w:before="0" w:after="0"/>
        <w:ind w:firstLine="480"/>
        <w:jc w:val="both"/>
      </w:pPr>
      <w:r>
        <w:rPr>
          <w:rFonts w:ascii="Times New Roman" w:hAnsi="Times New Roman" w:eastAsia="方正仿宋_GBK"/>
          <w:b w:val="0"/>
          <w:sz w:val="24"/>
        </w:rPr>
        <w:t xml:space="preserve">第4年转出26.11 MW、承接0.00 MW后，正向校核负荷为38.00 MW。负荷转出降低正向需求，同时将反向校核上界提高至58.10 MW，配置按两个方向共同确定。刚性方案第4年主变总容量为71.50 MVA，储能为3.00 MW；弹性方案相应为80.00 MVA和0.00 MW。弹性方案储能减少3.00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表5-24 BDZ-00124站第4年配置与负荷转接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31.50+40.00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3.00/6.45</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32.04</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32.07</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26.11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194" w:name="bdz-00135站规划分析"/>
      <w:r>
        <w:rPr>
          <w:rFonts w:ascii="Times New Roman" w:hAnsi="Times New Roman" w:eastAsia="方正仿宋_GBK"/>
          <w:b/>
          <w:sz w:val="24"/>
        </w:rPr>
        <w:t xml:space="preserve">BDZ-00135站规划分析</w:t>
      </w:r>
      <w:bookmarkEnd w:id="194"/>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该站基期主变配置为31.50+40.00 MVA，规划第4年转接前最大正向、反向净负荷分别为88.53 MW和59.41 MW，正向95%峰值持续时间为1.00 h。弹性方案第1年实施主变增容，新购容量100.00 MVA；第4年新增储能2.80 MW/6.02 MWh。</w:t>
      </w:r>
    </w:p>
    <w:p>
      <w:pPr>
        <w:pStyle w:val="2"/>
        <w:widowControl/>
        <w:spacing w:line="300" w:lineRule="auto" w:before="0" w:after="0"/>
        <w:ind w:firstLine="480"/>
        <w:jc w:val="both"/>
      </w:pPr>
      <w:r>
        <w:rPr>
          <w:rFonts w:ascii="Times New Roman" w:hAnsi="Times New Roman" w:eastAsia="方正仿宋_GBK"/>
          <w:b w:val="0"/>
          <w:sz w:val="24"/>
        </w:rPr>
        <w:t xml:space="preserve">第4年转出38.23 MW、承接0.00 MW后，正向校核负荷为50.30 MW。负荷转出降低正向需求，同时将反向校核上界提高至97.64 MW，配置按两个方向共同确定。刚性方案第4年主变总容量为71.50 MVA，储能为88.60 MW；弹性方案相应为100.00 MVA和2.80 MW。弹性方案储能减少85.80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表5-25 BDZ-00135站第4年配置与负荷转接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31.50+40.00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88.60/190.49</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88.53</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2.80/6.02</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38.23</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50.30</w:t>
            </w:r>
          </w:p>
        </w:tc>
      </w:tr>
    </w:tbl>
    <w:p>
      <w:pPr>
        <w:pStyle w:val="7"/>
        <w:keepNext/>
        <w:numPr>
          <w:numId w:val="0"/>
        </w:numPr>
        <w:spacing w:line="360" w:lineRule="auto" w:before="160" w:after="120"/>
        <w:ind w:firstLine="0"/>
      </w:pPr>
      <w:bookmarkStart w:id="195" w:name="bdz-00141站规划分析"/>
      <w:r>
        <w:rPr>
          <w:rFonts w:ascii="Times New Roman" w:hAnsi="Times New Roman" w:eastAsia="方正仿宋_GBK"/>
          <w:b/>
          <w:sz w:val="24"/>
        </w:rPr>
        <w:t xml:space="preserve">BDZ-00141站规划分析</w:t>
      </w:r>
      <w:bookmarkEnd w:id="195"/>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该站基期主变配置为20.00+50.00 MVA，规划第4年转接前最大正向、反向净负荷分别为41.61 MW和39.10 MW，正向95%峰值持续时间为2.00 h。弹性方案第2年实施主变增容，新购容量50.00 MVA。</w:t>
      </w:r>
    </w:p>
    <w:p>
      <w:pPr>
        <w:pStyle w:val="2"/>
        <w:widowControl/>
        <w:spacing w:line="300" w:lineRule="auto" w:before="0" w:after="0"/>
        <w:ind w:firstLine="480"/>
        <w:jc w:val="both"/>
      </w:pPr>
      <w:r>
        <w:rPr>
          <w:rFonts w:ascii="Times New Roman" w:hAnsi="Times New Roman" w:eastAsia="方正仿宋_GBK"/>
          <w:b w:val="0"/>
          <w:sz w:val="24"/>
        </w:rPr>
        <w:t xml:space="preserve">第4年承接5.89 MW，正向校核负荷增至47.50 MW。该站利用相应主变容量承担片区内部负荷，接收能力按承接后的负荷进行正常运行及单台主变退出校核。刚性方案第4年主变总容量为70.00 MVA，储能为16.70 MW；弹性方案相应为100.00 MVA和0.00 MW。弹性方案储能减少16.70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表5-26 BDZ-00141站第4年配置与负荷转接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16.70/35.91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5.91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35.70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5.89</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47.50</w:t>
            </w:r>
          </w:p>
        </w:tc>
      </w:tr>
    </w:tbl>
    <w:p>
      <w:pPr>
        <w:pStyle w:val="7"/>
        <w:keepNext/>
        <w:numPr>
          <w:numId w:val="0"/>
        </w:numPr>
        <w:spacing w:line="360" w:lineRule="auto" w:before="160" w:after="120"/>
        <w:ind w:firstLine="0"/>
      </w:pPr>
      <w:bookmarkStart w:id="196" w:name="bdz-00146站规划分析"/>
      <w:r>
        <w:rPr>
          <w:rFonts w:ascii="Times New Roman" w:hAnsi="Times New Roman" w:eastAsia="方正仿宋_GBK"/>
          <w:b/>
          <w:sz w:val="24"/>
        </w:rPr>
        <w:t xml:space="preserve">BDZ-00146站规划分析</w:t>
      </w:r>
      <w:bookmarkEnd w:id="196"/>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该站基期主变配置为20.00+31.50 MVA，规划第4年转接前最大正向、反向净负荷分别为27.06 MW和30.06 MW，正向95%峰值持续时间为2.00 h。弹性方案第1年扩建50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第4年承接2.51 MW，正向校核负荷增至29.57 MW。该站利用相应主变容量承担片区内部负荷，接收能力按承接后的负荷进行正常运行及单台主变退出校核。刚性方案第4年主变总容量为51.50 MVA，储能为30.10 MW；弹性方案相应为101.50 MVA和0.00 MW。弹性方案储能减少30.10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表5-27 BDZ-00146站第4年配置与负荷转接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20.00+31.50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30.10/64.72</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22.04</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49.10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20.00+31.50+50.00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29.57</w:t>
            </w:r>
          </w:p>
        </w:tc>
      </w:tr>
    </w:tbl>
    <w:p>
      <w:pPr>
        <w:pStyle w:val="7"/>
        <w:keepNext/>
        <w:numPr>
          <w:numId w:val="0"/>
        </w:numPr>
        <w:spacing w:line="360" w:lineRule="auto" w:before="160" w:after="120"/>
        <w:ind w:firstLine="0"/>
      </w:pPr>
      <w:bookmarkStart w:id="197" w:name="bdz-00147站规划分析"/>
      <w:r>
        <w:rPr>
          <w:rFonts w:ascii="Times New Roman" w:hAnsi="Times New Roman" w:eastAsia="方正仿宋_GBK"/>
          <w:b/>
          <w:sz w:val="24"/>
        </w:rPr>
        <w:t xml:space="preserve">BDZ-00147站规划分析</w:t>
      </w:r>
      <w:bookmarkEnd w:id="197"/>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该站基期主变配置为20.00+50.00 MVA，规划第4年转接前最大正向、反向净负荷分别为52.41 MW和0.00 MW，正向95%峰值持续时间为3.00 h。弹性方案第1年扩建50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第4年承接14.09 MW，正向校核负荷增至66.50 MW。该站利用相应主变容量承担片区内部负荷，接收能力按承接后的负荷进行正常运行及单台主变退出校核。刚性方案第4年主变总容量为90.00 MVA，储能为2.50 MW；弹性方案相应为120.00 MVA和0.00 MW。弹性方案储能减少2.50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表5-28 BDZ-00147站第4年配置与负荷转接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2.50/5.38</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12.62</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39.79</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20.00+50.00+50.00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14.09</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66.50</w:t>
            </w:r>
          </w:p>
        </w:tc>
      </w:tr>
    </w:tbl>
    <w:p>
      <w:pPr>
        <w:pStyle w:val="7"/>
        <w:keepNext/>
        <w:numPr>
          <w:numId w:val="0"/>
        </w:numPr>
        <w:spacing w:line="360" w:lineRule="auto" w:before="160" w:after="120"/>
        <w:ind w:firstLine="0"/>
      </w:pPr>
      <w:bookmarkStart w:id="198" w:name="bdz-00162站规划分析"/>
      <w:r>
        <w:rPr>
          <w:rFonts w:ascii="Times New Roman" w:hAnsi="Times New Roman" w:eastAsia="方正仿宋_GBK"/>
          <w:b/>
          <w:sz w:val="24"/>
        </w:rPr>
        <w:t xml:space="preserve">BDZ-00162站规划分析</w:t>
      </w:r>
      <w:bookmarkEnd w:id="198"/>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该站基期主变配置为20.00+20.00 MVA，规划第4年转接前最大正向、反向净负荷分别为20.04 MW和36.74 MW，正向95%峰值持续时间为2.00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第4年转出1.04 MW、承接0.00 MW后，正向校核负荷为19.00 MW。负荷转出降低正向需求，同时将反向校核上界提高至37.77 MW，配置按两个方向共同确定。刚性方案第4年主变总容量为40.00 MVA，储能为0.00 MW；弹性方案相应为40.00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表5-29 BDZ-00162站第4年配置与负荷转接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20.00+20.00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1.04</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20.00+20.00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1.04</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19.00</w:t>
            </w:r>
          </w:p>
        </w:tc>
      </w:tr>
    </w:tbl>
    <w:p>
      <w:pPr>
        <w:pStyle w:val="7"/>
        <w:keepNext/>
        <w:numPr>
          <w:numId w:val="0"/>
        </w:numPr>
        <w:spacing w:line="360" w:lineRule="auto" w:before="160" w:after="120"/>
        <w:ind w:firstLine="0"/>
      </w:pPr>
      <w:bookmarkStart w:id="199" w:name="bdz-00164站规划分析"/>
      <w:r>
        <w:rPr>
          <w:rFonts w:ascii="Times New Roman" w:hAnsi="Times New Roman" w:eastAsia="方正仿宋_GBK"/>
          <w:b/>
          <w:sz w:val="24"/>
        </w:rPr>
        <w:t xml:space="preserve">BDZ-00164站规划分析</w:t>
      </w:r>
      <w:bookmarkEnd w:id="199"/>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该站基期主变配置为20.00+20.00 MVA，规划第4年转接前最大正向、反向净负荷分别为40.86 MW和31.84 MW，正向95%峰值持续时间为3.00 h。弹性方案第1年扩建50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第4年转出2.86 MW、承接0.00 MW后，正向校核负荷为38.00 MW。负荷转出降低正向需求，同时将反向校核上界提高至34.70 MW，配置按两个方向共同确定。刚性方案第4年主变总容量为120.00 MVA，储能为0.40 MW；弹性方案相应为90.00 MVA和0.00 MW。弹性方案储能减少0.40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表5-30 BDZ-00164站第4年配置与负荷转接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20.00+50.00+50.00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0.40/0.86</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40.86</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20.00+20.00+50.00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2.86</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00" w:name="bdz-00172站规划分析"/>
      <w:r>
        <w:rPr>
          <w:rFonts w:ascii="Times New Roman" w:hAnsi="Times New Roman" w:eastAsia="方正仿宋_GBK"/>
          <w:b/>
          <w:sz w:val="24"/>
        </w:rPr>
        <w:t xml:space="preserve">BDZ-00172站规划分析</w:t>
      </w:r>
      <w:bookmarkEnd w:id="200"/>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该站基期主变配置为20.00+50.00 MVA，规划第4年转接前最大正向、反向净负荷分别为35.94 MW和23.78 MW，正向95%峰值持续时间为2.00 h。弹性方案第1年扩建50 MVA主变；第4年实施主变增容，新购容量50.00 MVA。</w:t>
      </w:r>
    </w:p>
    <w:p>
      <w:pPr>
        <w:pStyle w:val="2"/>
        <w:widowControl/>
        <w:spacing w:line="300" w:lineRule="auto" w:before="0" w:after="0"/>
        <w:ind w:firstLine="480"/>
        <w:jc w:val="both"/>
      </w:pPr>
      <w:r>
        <w:rPr>
          <w:rFonts w:ascii="Times New Roman" w:hAnsi="Times New Roman" w:eastAsia="方正仿宋_GBK"/>
          <w:b w:val="0"/>
          <w:sz w:val="24"/>
        </w:rPr>
        <w:t xml:space="preserve">第4年承接59.06 MW，正向校核负荷增至95.00 MW。该站利用相应主变容量承担片区内部负荷，接收能力按承接后的负荷进行正常运行及单台主变退出校核。刚性方案第4年主变总容量为81.50 MVA，储能为35.90 MW；弹性方案相应为150.00 MVA和0.00 MW。弹性方案储能减少35.90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表5-31 BDZ-00172站第4年配置与负荷转接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31.50+50.00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35.90/77.19</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29.89</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65.82</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50.00+50.00+50.00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59.06</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95.00</w:t>
            </w:r>
          </w:p>
        </w:tc>
      </w:tr>
    </w:tbl>
    <w:p>
      <w:pPr>
        <w:pStyle w:val="5"/>
        <w:keepNext/>
        <w:numPr>
          <w:numId w:val="0"/>
        </w:numPr>
        <w:spacing w:line="360" w:lineRule="auto" w:before="160" w:after="120"/>
        <w:ind w:firstLine="0"/>
      </w:pPr>
      <w:bookmarkStart w:id="201" w:name="市区逐站规划方案"/>
      <w:r>
        <w:rPr>
          <w:rFonts w:ascii="Times New Roman" w:hAnsi="Times New Roman" w:eastAsia="方正仿宋_GBK"/>
          <w:b/>
          <w:sz w:val="26"/>
        </w:rPr>
        <w:t xml:space="preserve">5.4.5 市区逐站规划方案</w:t>
      </w:r>
      <w:bookmarkEnd w:id="201"/>
    </w:p>
    <w:p>
      <w:pPr>
        <w:pStyle w:val="FirstParagraph"/>
        <w:widowControl/>
        <w:spacing w:line="300" w:lineRule="auto" w:before="0" w:after="0"/>
        <w:ind w:firstLine="480"/>
        <w:jc w:val="both"/>
      </w:pPr>
      <w:r>
        <w:rPr>
          <w:rFonts w:ascii="Times New Roman" w:hAnsi="Times New Roman" w:eastAsia="方正仿宋_GBK"/>
          <w:b w:val="0"/>
          <w:sz w:val="24"/>
        </w:rPr>
        <w:t xml:space="preserve">市区各站按A类供电区域进行规划，站级需求以正向供电和单台主变退出为主。以下结合重载站负荷转出和承接站容量配置说明建设安排。</w:t>
      </w:r>
    </w:p>
    <w:p>
      <w:pPr>
        <w:pStyle w:val="7"/>
        <w:keepNext/>
        <w:numPr>
          <w:numId w:val="0"/>
        </w:numPr>
        <w:spacing w:line="360" w:lineRule="auto" w:before="160" w:after="120"/>
        <w:ind w:firstLine="0"/>
      </w:pPr>
      <w:bookmarkStart w:id="202" w:name="bdz-00012站规划分析"/>
      <w:r>
        <w:rPr>
          <w:rFonts w:ascii="Times New Roman" w:hAnsi="Times New Roman" w:eastAsia="方正仿宋_GBK"/>
          <w:b/>
          <w:sz w:val="24"/>
        </w:rPr>
        <w:t xml:space="preserve">BDZ-00012站规划分析</w:t>
      </w:r>
      <w:bookmarkEnd w:id="202"/>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MVA，规划第4年转接前最大正向、反向净负荷分别为27.92 MW和30.90 MW，正向95%峰值持续时间为2.00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第4年承接10.08 MW，正向校核负荷增至38.00 MW。该站利用相应主变容量承担片区内部负荷，接收能力按承接后的负荷进行正常运行及单台主变退出校核。刚性方案第4年主变总容量为80.00 MVA，储能为31.00 MW；弹性方案相应为80.00 MVA和0.00 MW。弹性方案储能减少31.00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表5-32 BDZ-00012站第4年配置与负荷转接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31.00/66.65</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41.08</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69.00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10.08</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03" w:name="bdz-00013站规划分析"/>
      <w:r>
        <w:rPr>
          <w:rFonts w:ascii="Times New Roman" w:hAnsi="Times New Roman" w:eastAsia="方正仿宋_GBK"/>
          <w:b/>
          <w:sz w:val="24"/>
        </w:rPr>
        <w:t xml:space="preserve">BDZ-00013站规划分析</w:t>
      </w:r>
      <w:bookmarkEnd w:id="203"/>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MVA，规划第4年转接前最大正向、反向净负荷分别为60.81 MW和7.52 MW，正向95%峰值持续时间为4.00 h。弹性方案第1年扩建50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第4年承接15.19 MW，正向校核负荷增至76.00 MW。该站利用相应主变容量承担片区内部负荷，接收能力按承接后的负荷进行正常运行及单台主变退出校核。刚性方案第4年主变总容量为80.00 MVA，储能为0.00 MW；弹性方案相应为130.00 MVA和0.00 MW。弹性方案增加主变容量，为本站或片区承接负荷提供支撑。</w:t>
      </w:r>
    </w:p>
    <w:p>
      <w:pPr>
        <w:pStyle w:val="2"/>
        <w:keepNext/>
        <w:spacing w:line="300" w:lineRule="auto" w:before="120" w:after="80"/>
        <w:ind w:firstLine="0"/>
        <w:jc w:val="center"/>
      </w:pPr>
      <w:r>
        <w:rPr>
          <w:rFonts w:ascii="Times New Roman" w:hAnsi="Times New Roman" w:eastAsia="宋体"/>
          <w:b w:val="0"/>
          <w:sz w:val="21"/>
        </w:rPr>
        <w:t xml:space="preserve">表5-33 BDZ-00013站第4年配置与负荷转接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22.81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15.19</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76.00</w:t>
            </w:r>
          </w:p>
        </w:tc>
      </w:tr>
    </w:tbl>
    <w:p>
      <w:pPr>
        <w:pStyle w:val="7"/>
        <w:keepNext/>
        <w:numPr>
          <w:numId w:val="0"/>
        </w:numPr>
        <w:spacing w:line="360" w:lineRule="auto" w:before="160" w:after="120"/>
        <w:ind w:firstLine="0"/>
      </w:pPr>
      <w:bookmarkStart w:id="204" w:name="bdz-00023站规划分析"/>
      <w:r>
        <w:rPr>
          <w:rFonts w:ascii="Times New Roman" w:hAnsi="Times New Roman" w:eastAsia="方正仿宋_GBK"/>
          <w:b/>
          <w:sz w:val="24"/>
        </w:rPr>
        <w:t xml:space="preserve">BDZ-00023站规划分析</w:t>
      </w:r>
      <w:bookmarkEnd w:id="204"/>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该站基期主变配置为40.00+63.00 MVA，规划第4年转接前最大正向、反向净负荷分别为89.01 MW和0.00 MW，正向95%峰值持续时间为4.00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第4年转出51.01 MW、承接0.00 MW后，正向校核负荷为38.00 MW。负荷转出降低正向需求，同时将反向校核上界提高至51.01 MW，配置按两个方向共同确定。刚性方案第4年主变总容量为126.00 MVA，储能为0.00 MW；弹性方案相应为103.00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表5-34 BDZ-00023站第4年配置与负荷转接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63.00+63.00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29.16</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59.85</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40.00+63.00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51.01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05" w:name="bdz-00024站规划分析"/>
      <w:r>
        <w:rPr>
          <w:rFonts w:ascii="Times New Roman" w:hAnsi="Times New Roman" w:eastAsia="方正仿宋_GBK"/>
          <w:b/>
          <w:sz w:val="24"/>
        </w:rPr>
        <w:t xml:space="preserve">BDZ-00024站规划分析</w:t>
      </w:r>
      <w:bookmarkEnd w:id="205"/>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该站基期主变配置为40.00+50.00 MVA，规划第4年转接前最大正向、反向净负荷分别为82.69 MW和0.00 MW，正向95%峰值持续时间为2.00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第4年转出44.69 MW、承接0.00 MW后，正向校核负荷为38.00 MW。负荷转出降低正向需求，同时将反向校核上界提高至44.69 MW，配置按两个方向共同确定。刚性方案第4年主变总容量为90.00 MVA，储能为50.50 MW；弹性方案相应为90.00 MVA和0.00 MW。弹性方案储能减少50.50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表5-35 BDZ-00024站第4年配置与负荷转接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50.50/108.58</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5.81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88.50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44.69</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06" w:name="bdz-00042站规划分析"/>
      <w:r>
        <w:rPr>
          <w:rFonts w:ascii="Times New Roman" w:hAnsi="Times New Roman" w:eastAsia="方正仿宋_GBK"/>
          <w:b/>
          <w:sz w:val="24"/>
        </w:rPr>
        <w:t xml:space="preserve">BDZ-00042站规划分析</w:t>
      </w:r>
      <w:bookmarkEnd w:id="206"/>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该站基期主变配置为40.00+50.00 MVA，规划第4年转接前最大正向、反向净负荷分别为72.72 MW和0.00 MW，正向95%峰值持续时间为3.00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第4年转出34.72 MW、承接0.00 MW后，正向校核负荷为38.00 MW。负荷转出降低正向需求，同时将反向校核上界提高至34.72 MW，配置按两个方向共同确定。刚性方案第4年主变总容量为90.00 MVA，储能为0.00 MW；弹性方案相应为90.00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表5-36 BDZ-00042站第4年配置与负荷转接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34.72</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34.72</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07" w:name="bdz-00051站规划分析"/>
      <w:r>
        <w:rPr>
          <w:rFonts w:ascii="Times New Roman" w:hAnsi="Times New Roman" w:eastAsia="方正仿宋_GBK"/>
          <w:b/>
          <w:sz w:val="24"/>
        </w:rPr>
        <w:t xml:space="preserve">BDZ-00051站规划分析</w:t>
      </w:r>
      <w:bookmarkEnd w:id="207"/>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MVA，规划第4年转接前最大正向、反向净负荷分别为54.98 MW和0.00 MW，正向95%峰值持续时间为3.00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第4年转出16.98 MW、承接0.00 MW后，正向校核负荷为38.00 MW。负荷转出降低正向需求，同时将反向校核上界提高至16.98 MW，配置按两个方向共同确定。刚性方案第4年主变总容量为80.00 MVA，储能为0.00 MW；弹性方案相应为80.00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表5-37 BDZ-00051站第4年配置与负荷转接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16.98</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16.98</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08" w:name="bdz-00053站规划分析"/>
      <w:r>
        <w:rPr>
          <w:rFonts w:ascii="Times New Roman" w:hAnsi="Times New Roman" w:eastAsia="方正仿宋_GBK"/>
          <w:b/>
          <w:sz w:val="24"/>
        </w:rPr>
        <w:t xml:space="preserve">BDZ-00053站规划分析</w:t>
      </w:r>
      <w:bookmarkEnd w:id="208"/>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MVA，规划第4年转接前最大正向、反向净负荷分别为73.75 MW和0.00 MW，正向95%峰值持续时间为3.00 h。弹性方案第1年扩建50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第4年承接2.25 MW，正向校核负荷增至76.00 MW。该站利用相应主变容量承担片区内部负荷，接收能力按承接后的负荷进行正常运行及单台主变退出校核。刚性方案第4年主变总容量为80.00 MVA，储能为0.00 MW；弹性方案相应为130.00 MVA和0.00 MW。弹性方案增加主变容量，为本站或片区承接负荷提供支撑。</w:t>
      </w:r>
    </w:p>
    <w:p>
      <w:pPr>
        <w:pStyle w:val="2"/>
        <w:keepNext/>
        <w:spacing w:line="300" w:lineRule="auto" w:before="120" w:after="80"/>
        <w:ind w:firstLine="0"/>
        <w:jc w:val="center"/>
      </w:pPr>
      <w:r>
        <w:rPr>
          <w:rFonts w:ascii="Times New Roman" w:hAnsi="Times New Roman" w:eastAsia="宋体"/>
          <w:b w:val="0"/>
          <w:sz w:val="21"/>
        </w:rPr>
        <w:t xml:space="preserve">表5-38 BDZ-00053站第4年配置与负荷转接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35.75</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2.25</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76.00</w:t>
            </w:r>
          </w:p>
        </w:tc>
      </w:tr>
    </w:tbl>
    <w:p>
      <w:pPr>
        <w:pStyle w:val="7"/>
        <w:keepNext/>
        <w:numPr>
          <w:numId w:val="0"/>
        </w:numPr>
        <w:spacing w:line="360" w:lineRule="auto" w:before="160" w:after="120"/>
        <w:ind w:firstLine="0"/>
      </w:pPr>
      <w:bookmarkStart w:id="209" w:name="bdz-00055站规划分析"/>
      <w:r>
        <w:rPr>
          <w:rFonts w:ascii="Times New Roman" w:hAnsi="Times New Roman" w:eastAsia="方正仿宋_GBK"/>
          <w:b/>
          <w:sz w:val="24"/>
        </w:rPr>
        <w:t xml:space="preserve">BDZ-00055站规划分析</w:t>
      </w:r>
      <w:bookmarkEnd w:id="209"/>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MVA，规划第4年转接前最大正向、反向净负荷分别为39.83 MW和5.89 MW，正向95%峰值持续时间为3.00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第4年转出1.83 MW、承接0.00 MW后，正向校核负荷为38.00 MW。负荷转出降低正向需求，同时将反向校核上界提高至7.72 MW，配置按两个方向共同确定。刚性方案第4年主变总容量为80.00 MVA，储能为0.00 MW；弹性方案相应为80.00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表5-39 BDZ-00055站第4年配置与负荷转接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1.83</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1.83</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10" w:name="bdz-00062站规划分析"/>
      <w:r>
        <w:rPr>
          <w:rFonts w:ascii="Times New Roman" w:hAnsi="Times New Roman" w:eastAsia="方正仿宋_GBK"/>
          <w:b/>
          <w:sz w:val="24"/>
        </w:rPr>
        <w:t xml:space="preserve">BDZ-00062站规划分析</w:t>
      </w:r>
      <w:bookmarkEnd w:id="210"/>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MVA，规划第4年转接前最大正向、反向净负荷分别为48.63 MW和0.00 MW，正向95%峰值持续时间为3.00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第4年转出10.63 MW、承接0.00 MW后，正向校核负荷为38.00 MW。负荷转出降低正向需求，同时将反向校核上界提高至10.63 MW，配置按两个方向共同确定。刚性方案第4年主变总容量为80.00 MVA，储能为0.00 MW；弹性方案相应为80.00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表5-40 BDZ-00062站第4年配置与负荷转接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10.63</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10.63</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11" w:name="bdz-00065站规划分析"/>
      <w:r>
        <w:rPr>
          <w:rFonts w:ascii="Times New Roman" w:hAnsi="Times New Roman" w:eastAsia="方正仿宋_GBK"/>
          <w:b/>
          <w:sz w:val="24"/>
        </w:rPr>
        <w:t xml:space="preserve">BDZ-00065站规划分析</w:t>
      </w:r>
      <w:bookmarkEnd w:id="211"/>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该站基期主变配置为40.00+50.00 MVA，规划第4年转接前最大正向、反向净负荷分别为72.41 MW和0.00 MW，正向95%峰值持续时间为3.00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第4年转出34.41 MW、承接0.00 MW后，正向校核负荷为38.00 MW。负荷转出降低正向需求，同时将反向校核上界提高至34.41 MW，配置按两个方向共同确定。刚性方案第4年主变总容量为90.00 MVA，储能为0.00 MW；弹性方案相应为90.00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表5-41 BDZ-00065站第4年配置与负荷转接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34.41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34.41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12" w:name="bdz-00074站规划分析"/>
      <w:r>
        <w:rPr>
          <w:rFonts w:ascii="Times New Roman" w:hAnsi="Times New Roman" w:eastAsia="方正仿宋_GBK"/>
          <w:b/>
          <w:sz w:val="24"/>
        </w:rPr>
        <w:t xml:space="preserve">BDZ-00074站规划分析</w:t>
      </w:r>
      <w:bookmarkEnd w:id="212"/>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MVA，规划第4年转接前最大正向、反向净负荷分别为61.59 MW和11.51 MW，正向95%峰值持续时间为3.00 h。弹性方案第1年扩建50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第4年承接14.41 MW，正向校核负荷增至76.00 MW。该站利用相应主变容量承担片区内部负荷，接收能力按承接后的负荷进行正常运行及单台主变退出校核。刚性方案第4年主变总容量为80.00 MVA，储能为0.00 MW；弹性方案相应为130.00 MVA和0.00 MW。弹性方案增加主变容量，为本站或片区承接负荷提供支撑。</w:t>
      </w:r>
    </w:p>
    <w:p>
      <w:pPr>
        <w:pStyle w:val="2"/>
        <w:keepNext/>
        <w:spacing w:line="300" w:lineRule="auto" w:before="120" w:after="80"/>
        <w:ind w:firstLine="0"/>
        <w:jc w:val="center"/>
      </w:pPr>
      <w:r>
        <w:rPr>
          <w:rFonts w:ascii="Times New Roman" w:hAnsi="Times New Roman" w:eastAsia="宋体"/>
          <w:b w:val="0"/>
          <w:sz w:val="21"/>
        </w:rPr>
        <w:t xml:space="preserve">表5-42 BDZ-00074站第4年配置与负荷转接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23.59</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14.41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76.00</w:t>
            </w:r>
          </w:p>
        </w:tc>
      </w:tr>
    </w:tbl>
    <w:p>
      <w:pPr>
        <w:pStyle w:val="7"/>
        <w:keepNext/>
        <w:numPr>
          <w:numId w:val="0"/>
        </w:numPr>
        <w:spacing w:line="360" w:lineRule="auto" w:before="160" w:after="120"/>
        <w:ind w:firstLine="0"/>
      </w:pPr>
      <w:bookmarkStart w:id="213" w:name="bdz-00076站规划分析"/>
      <w:r>
        <w:rPr>
          <w:rFonts w:ascii="Times New Roman" w:hAnsi="Times New Roman" w:eastAsia="方正仿宋_GBK"/>
          <w:b/>
          <w:sz w:val="24"/>
        </w:rPr>
        <w:t xml:space="preserve">BDZ-00076站规划分析</w:t>
      </w:r>
      <w:bookmarkEnd w:id="213"/>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MVA，规划第4年转接前最大正向、反向净负荷分别为27.53 MW和0.00 MW，正向95%峰值持续时间为4.00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第4年承接10.47 MW，正向校核负荷增至38.00 MW。该站利用相应主变容量承担片区内部负荷，接收能力按承接后的负荷进行正常运行及单台主变退出校核。刚性方案第4年主变总容量为80.00 MVA，储能为0.00 MW；弹性方案相应为80.00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表5-43 BDZ-00076站第4年配置与负荷转接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10.47</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10.47</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14" w:name="bdz-00092站规划分析"/>
      <w:r>
        <w:rPr>
          <w:rFonts w:ascii="Times New Roman" w:hAnsi="Times New Roman" w:eastAsia="方正仿宋_GBK"/>
          <w:b/>
          <w:sz w:val="24"/>
        </w:rPr>
        <w:t xml:space="preserve">BDZ-00092站规划分析</w:t>
      </w:r>
      <w:bookmarkEnd w:id="214"/>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MVA，规划第4年转接前最大正向、反向净负荷分别为9.68 MW和6.12 MW，正向95%峰值持续时间为1.00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第4年承接28.32 MW，正向校核负荷增至38.00 MW。该站利用相应主变容量承担片区内部负荷，接收能力按承接后的负荷进行正常运行及单台主变退出校核。刚性方案第4年主变总容量为80.00 MVA，储能为9.70 MW；弹性方案相应为80.00 MVA和0.00 MW。弹性方案储能减少9.70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表5-44 BDZ-00092站第4年配置与负荷转接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9.70/20.86</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38.02</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47.70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28.32</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15" w:name="bdz-00094站规划分析"/>
      <w:r>
        <w:rPr>
          <w:rFonts w:ascii="Times New Roman" w:hAnsi="Times New Roman" w:eastAsia="方正仿宋_GBK"/>
          <w:b/>
          <w:sz w:val="24"/>
        </w:rPr>
        <w:t xml:space="preserve">BDZ-00094站规划分析</w:t>
      </w:r>
      <w:bookmarkEnd w:id="215"/>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MVA，规划第4年转接前最大正向、反向净负荷分别为56.14 MW和0.00 MW，正向95%峰值持续时间为2.00 h。弹性方案第1年扩建50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第4年承接19.86 MW，正向校核负荷增至76.00 MW。该站利用相应主变容量承担片区内部负荷，接收能力按承接后的负荷进行正常运行及单台主变退出校核。刚性方案第4年主变总容量为80.00 MVA，储能为56.20 MW；弹性方案相应为130.00 MVA和0.00 MW。弹性方案储能减少56.20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表5-45 BDZ-00094站第4年配置与负荷转接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56.20/120.83</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38.06</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94.20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19.86</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76.00</w:t>
            </w:r>
          </w:p>
        </w:tc>
      </w:tr>
    </w:tbl>
    <w:p>
      <w:pPr>
        <w:pStyle w:val="7"/>
        <w:keepNext/>
        <w:numPr>
          <w:numId w:val="0"/>
        </w:numPr>
        <w:spacing w:line="360" w:lineRule="auto" w:before="160" w:after="120"/>
        <w:ind w:firstLine="0"/>
      </w:pPr>
      <w:bookmarkStart w:id="216" w:name="bdz-00103站规划分析"/>
      <w:r>
        <w:rPr>
          <w:rFonts w:ascii="Times New Roman" w:hAnsi="Times New Roman" w:eastAsia="方正仿宋_GBK"/>
          <w:b/>
          <w:sz w:val="24"/>
        </w:rPr>
        <w:t xml:space="preserve">BDZ-00103站规划分析</w:t>
      </w:r>
      <w:bookmarkEnd w:id="216"/>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MVA，规划第4年转接前最大正向、反向净负荷分别为56.87 MW和0.00 MW，正向95%峰值持续时间为3.00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第4年转出18.87 MW、承接0.00 MW后，正向校核负荷为38.00 MW。负荷转出降低正向需求，同时将反向校核上界提高至18.87 MW，配置按两个方向共同确定。刚性方案第4年主变总容量为80.00 MVA，储能为0.00 MW；弹性方案相应为80.00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表5-46 BDZ-00103站第4年配置与负荷转接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18.87</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18.87</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17" w:name="bdz-00106站规划分析"/>
      <w:r>
        <w:rPr>
          <w:rFonts w:ascii="Times New Roman" w:hAnsi="Times New Roman" w:eastAsia="方正仿宋_GBK"/>
          <w:b/>
          <w:sz w:val="24"/>
        </w:rPr>
        <w:t xml:space="preserve">BDZ-00106站规划分析</w:t>
      </w:r>
      <w:bookmarkEnd w:id="217"/>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MVA，规划第4年转接前最大正向、反向净负荷分别为5.02 MW和0.00 MW，正向95%峰值持续时间为4.00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第4年承接32.98 MW，正向校核负荷增至38.00 MW。该站利用相应主变容量承担片区内部负荷，接收能力按承接后的负荷进行正常运行及单台主变退出校核。刚性方案第4年主变总容量为80.00 MVA，储能为0.00 MW；弹性方案相应为80.00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表5-47 BDZ-00106站第4年配置与负荷转接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32.98</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32.98</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18" w:name="bdz-00110站规划分析"/>
      <w:r>
        <w:rPr>
          <w:rFonts w:ascii="Times New Roman" w:hAnsi="Times New Roman" w:eastAsia="方正仿宋_GBK"/>
          <w:b/>
          <w:sz w:val="24"/>
        </w:rPr>
        <w:t xml:space="preserve">BDZ-00110站规划分析</w:t>
      </w:r>
      <w:bookmarkEnd w:id="218"/>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该站基期主变配置为40.00+63.00 MVA，规划第4年转接前最大正向、反向净负荷分别为33.16 MW和0.00 MW，正向95%峰值持续时间为5.00 h。弹性方案第1年扩建50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第4年承接52.34 MW，正向校核负荷增至85.50 MW。该站利用相应主变容量承担片区内部负荷，接收能力按承接后的负荷进行正常运行及单台主变退出校核。刚性方案第4年主变总容量为163.00 MVA，储能为0.00 MW；弹性方案相应为153.00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表5-48 BDZ-00110站第4年配置与负荷转接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50.00+63.00+50.00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61.84</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95.00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40.00+63.00+50.00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52.34</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85.50</w:t>
            </w:r>
          </w:p>
        </w:tc>
      </w:tr>
    </w:tbl>
    <w:p>
      <w:pPr>
        <w:pStyle w:val="7"/>
        <w:keepNext/>
        <w:numPr>
          <w:numId w:val="0"/>
        </w:numPr>
        <w:spacing w:line="360" w:lineRule="auto" w:before="160" w:after="120"/>
        <w:ind w:firstLine="0"/>
      </w:pPr>
      <w:bookmarkStart w:id="219" w:name="bdz-00114站规划分析"/>
      <w:r>
        <w:rPr>
          <w:rFonts w:ascii="Times New Roman" w:hAnsi="Times New Roman" w:eastAsia="方正仿宋_GBK"/>
          <w:b/>
          <w:sz w:val="24"/>
        </w:rPr>
        <w:t xml:space="preserve">BDZ-00114站规划分析</w:t>
      </w:r>
      <w:bookmarkEnd w:id="219"/>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该站基期主变配置为40.00+63.00 MVA，规划第4年转接前最大正向、反向净负荷分别为95.14 MW和9.47 MW，正向95%峰值持续时间为1.00 h。弹性方案第3年实施主变增容，新购容量50.00 MVA。</w:t>
      </w:r>
    </w:p>
    <w:p>
      <w:pPr>
        <w:pStyle w:val="2"/>
        <w:widowControl/>
        <w:spacing w:line="300" w:lineRule="auto" w:before="0" w:after="0"/>
        <w:ind w:firstLine="480"/>
        <w:jc w:val="both"/>
      </w:pPr>
      <w:r>
        <w:rPr>
          <w:rFonts w:ascii="Times New Roman" w:hAnsi="Times New Roman" w:eastAsia="方正仿宋_GBK"/>
          <w:b w:val="0"/>
          <w:sz w:val="24"/>
        </w:rPr>
        <w:t xml:space="preserve">第4年转出47.64 MW、承接0.00 MW后，正向校核负荷为47.50 MW。负荷转出降低正向需求，同时将反向校核上界提高至57.11 MW，配置按两个方向共同确定。刚性方案第4年主变总容量为126.00 MVA，储能为95.20 MW；弹性方案相应为113.00 MVA和0.00 MW。弹性方案储能减少95.20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表5-49 BDZ-00114站第4年配置与负荷转接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63.00+63.00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95.20/204.68</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59.91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155.05</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50.00+63.00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47.64</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47.50</w:t>
            </w:r>
          </w:p>
        </w:tc>
      </w:tr>
    </w:tbl>
    <w:p>
      <w:pPr>
        <w:pStyle w:val="7"/>
        <w:keepNext/>
        <w:numPr>
          <w:numId w:val="0"/>
        </w:numPr>
        <w:spacing w:line="360" w:lineRule="auto" w:before="160" w:after="120"/>
        <w:ind w:firstLine="0"/>
      </w:pPr>
      <w:bookmarkStart w:id="220" w:name="bdz-00115站规划分析"/>
      <w:r>
        <w:rPr>
          <w:rFonts w:ascii="Times New Roman" w:hAnsi="Times New Roman" w:eastAsia="方正仿宋_GBK"/>
          <w:b/>
          <w:sz w:val="24"/>
        </w:rPr>
        <w:t xml:space="preserve">BDZ-00115站规划分析</w:t>
      </w:r>
      <w:bookmarkEnd w:id="220"/>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MVA，规划第4年转接前最大正向、反向净负荷分别为63.53 MW和0.00 MW，正向95%峰值持续时间为3.00 h。弹性方案第1年扩建50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第4年承接12.47 MW，正向校核负荷增至76.00 MW。该站利用相应主变容量承担片区内部负荷，接收能力按承接后的负荷进行正常运行及单台主变退出校核。刚性方案第4年主变总容量为80.00 MVA，储能为0.00 MW；弹性方案相应为130.00 MVA和0.00 MW。弹性方案增加主变容量，为本站或片区承接负荷提供支撑。</w:t>
      </w:r>
    </w:p>
    <w:p>
      <w:pPr>
        <w:pStyle w:val="2"/>
        <w:keepNext/>
        <w:spacing w:line="300" w:lineRule="auto" w:before="120" w:after="80"/>
        <w:ind w:firstLine="0"/>
        <w:jc w:val="center"/>
      </w:pPr>
      <w:r>
        <w:rPr>
          <w:rFonts w:ascii="Times New Roman" w:hAnsi="Times New Roman" w:eastAsia="宋体"/>
          <w:b w:val="0"/>
          <w:sz w:val="21"/>
        </w:rPr>
        <w:t xml:space="preserve">表5-50 BDZ-00115站第4年配置与负荷转接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25.53</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12.47</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76.00</w:t>
            </w:r>
          </w:p>
        </w:tc>
      </w:tr>
    </w:tbl>
    <w:p>
      <w:pPr>
        <w:pStyle w:val="7"/>
        <w:keepNext/>
        <w:numPr>
          <w:numId w:val="0"/>
        </w:numPr>
        <w:spacing w:line="360" w:lineRule="auto" w:before="160" w:after="120"/>
        <w:ind w:firstLine="0"/>
      </w:pPr>
      <w:bookmarkStart w:id="221" w:name="bdz-00139站规划分析"/>
      <w:r>
        <w:rPr>
          <w:rFonts w:ascii="Times New Roman" w:hAnsi="Times New Roman" w:eastAsia="方正仿宋_GBK"/>
          <w:b/>
          <w:sz w:val="24"/>
        </w:rPr>
        <w:t xml:space="preserve">BDZ-00139站规划分析</w:t>
      </w:r>
      <w:bookmarkEnd w:id="221"/>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MVA，规划第4年转接前最大正向、反向净负荷分别为80.37 MW和0.00 MW，正向95%峰值持续时间为3.00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第4年转出42.37 MW、承接0.00 MW后，正向校核负荷为38.00 MW。负荷转出降低正向需求，同时将反向校核上界提高至42.37 MW，配置按两个方向共同确定。刚性方案第4年主变总容量为80.00 MVA，储能为0.00 MW；弹性方案相应为80.00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表5-51 BDZ-00139站第4年配置与负荷转接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42.37</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42.37</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22" w:name="bdz-00148站规划分析"/>
      <w:r>
        <w:rPr>
          <w:rFonts w:ascii="Times New Roman" w:hAnsi="Times New Roman" w:eastAsia="方正仿宋_GBK"/>
          <w:b/>
          <w:sz w:val="24"/>
        </w:rPr>
        <w:t xml:space="preserve">BDZ-00148站规划分析</w:t>
      </w:r>
      <w:bookmarkEnd w:id="222"/>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该站基期主变配置为40.00+50.00 MVA，规划第4年转接前最大正向、反向净负荷分别为89.09 MW和0.00 MW，正向95%峰值持续时间为2.00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第4年转出51.09 MW、承接0.00 MW后，正向校核负荷为38.00 MW。负荷转出降低正向需求，同时将反向校核上界提高至51.09 MW，配置按两个方向共同确定。刚性方案第4年主变总容量为90.00 MVA，储能为6.70 MW；弹性方案相应为90.00 MVA和0.00 MW。弹性方案储能减少6.70 MW，退出工况的容量支撑更多由在役主变和站间负荷配置承担。</w:t>
      </w:r>
    </w:p>
    <w:p>
      <w:pPr>
        <w:pStyle w:val="2"/>
        <w:keepNext/>
        <w:spacing w:line="300" w:lineRule="auto" w:before="120" w:after="80"/>
        <w:ind w:firstLine="0"/>
        <w:jc w:val="center"/>
      </w:pPr>
      <w:r>
        <w:rPr>
          <w:rFonts w:ascii="Times New Roman" w:hAnsi="Times New Roman" w:eastAsia="宋体"/>
          <w:b w:val="0"/>
          <w:sz w:val="21"/>
        </w:rPr>
        <w:t xml:space="preserve">表5-52 BDZ-00148站第4年配置与负荷转接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6.70/14.40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44.39</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44.70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51.09</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23" w:name="bdz-00151站规划分析"/>
      <w:r>
        <w:rPr>
          <w:rFonts w:ascii="Times New Roman" w:hAnsi="Times New Roman" w:eastAsia="方正仿宋_GBK"/>
          <w:b/>
          <w:sz w:val="24"/>
        </w:rPr>
        <w:t xml:space="preserve">BDZ-00151站规划分析</w:t>
      </w:r>
      <w:bookmarkEnd w:id="223"/>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该站基期主变配置为50.00+63.00 MVA，规划第4年转接前最大正向、反向净负荷分别为110.92 MW和0.00 MW，正向95%峰值持续时间为4.00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第4年转出63.42 MW、承接0.00 MW后，正向校核负荷为47.50 MW。负荷转出降低正向需求，同时将反向校核上界提高至63.42 MW，配置按两个方向共同确定。刚性方案第4年主变总容量为126.00 MVA，储能为0.00 MW；弹性方案相应为113.00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表5-53 BDZ-00151站第4年配置与负荷转接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63.00+63.00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51.07</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59.85</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50.00+63.00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63.42</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47.50</w:t>
            </w:r>
          </w:p>
        </w:tc>
      </w:tr>
    </w:tbl>
    <w:p>
      <w:pPr>
        <w:pStyle w:val="7"/>
        <w:keepNext/>
        <w:numPr>
          <w:numId w:val="0"/>
        </w:numPr>
        <w:spacing w:line="360" w:lineRule="auto" w:before="160" w:after="120"/>
        <w:ind w:firstLine="0"/>
      </w:pPr>
      <w:bookmarkStart w:id="224" w:name="bdz-00154站规划分析"/>
      <w:r>
        <w:rPr>
          <w:rFonts w:ascii="Times New Roman" w:hAnsi="Times New Roman" w:eastAsia="方正仿宋_GBK"/>
          <w:b/>
          <w:sz w:val="24"/>
        </w:rPr>
        <w:t xml:space="preserve">BDZ-00154站规划分析</w:t>
      </w:r>
      <w:bookmarkEnd w:id="224"/>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MVA，规划第4年转接前最大正向、反向净负荷分别为16.75 MW和0.00 MW，正向95%峰值持续时间为4.00 h。弹性方案第3年扩建50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第4年承接59.25 MW，正向校核负荷增至76.00 MW。该站利用相应主变容量承担片区内部负荷，接收能力按承接后的负荷进行正常运行及单台主变退出校核。刚性方案第4年主变总容量为80.00 MVA，储能为0.00 MW；弹性方案相应为130.00 MVA和0.00 MW。弹性方案增加主变容量，为本站或片区承接负荷提供支撑。</w:t>
      </w:r>
    </w:p>
    <w:p>
      <w:pPr>
        <w:pStyle w:val="2"/>
        <w:keepNext/>
        <w:spacing w:line="300" w:lineRule="auto" w:before="120" w:after="80"/>
        <w:ind w:firstLine="0"/>
        <w:jc w:val="center"/>
      </w:pPr>
      <w:r>
        <w:rPr>
          <w:rFonts w:ascii="Times New Roman" w:hAnsi="Times New Roman" w:eastAsia="宋体"/>
          <w:b w:val="0"/>
          <w:sz w:val="21"/>
        </w:rPr>
        <w:t xml:space="preserve">表5-54 BDZ-00154站第4年配置与负荷转接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21.25</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59.25</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76.00</w:t>
            </w:r>
          </w:p>
        </w:tc>
      </w:tr>
    </w:tbl>
    <w:p>
      <w:pPr>
        <w:pStyle w:val="7"/>
        <w:keepNext/>
        <w:numPr>
          <w:numId w:val="0"/>
        </w:numPr>
        <w:spacing w:line="360" w:lineRule="auto" w:before="160" w:after="120"/>
        <w:ind w:firstLine="0"/>
      </w:pPr>
      <w:bookmarkStart w:id="225" w:name="bdz-00155站规划分析"/>
      <w:r>
        <w:rPr>
          <w:rFonts w:ascii="Times New Roman" w:hAnsi="Times New Roman" w:eastAsia="方正仿宋_GBK"/>
          <w:b/>
          <w:sz w:val="24"/>
        </w:rPr>
        <w:t xml:space="preserve">BDZ-00155站规划分析</w:t>
      </w:r>
      <w:bookmarkEnd w:id="225"/>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MVA，规划第4年转接前最大正向、反向净负荷分别为45.93 MW和0.00 MW，正向95%峰值持续时间为3.00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第4年转出7.93 MW、承接0.00 MW后，正向校核负荷为38.00 MW。负荷转出降低正向需求，同时将反向校核上界提高至7.93 MW，配置按两个方向共同确定。刚性方案第4年主变总容量为80.00 MVA，储能为0.00 MW；弹性方案相应为80.00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表5-55 BDZ-00155站第4年配置与负荷转接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7.93</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7.93</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26" w:name="bdz-00175站规划分析"/>
      <w:r>
        <w:rPr>
          <w:rFonts w:ascii="Times New Roman" w:hAnsi="Times New Roman" w:eastAsia="方正仿宋_GBK"/>
          <w:b/>
          <w:sz w:val="24"/>
        </w:rPr>
        <w:t xml:space="preserve">BDZ-00175站规划分析</w:t>
      </w:r>
      <w:bookmarkEnd w:id="226"/>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MVA，规划第4年转接前最大正向、反向净负荷分别为38.94 MW和0.00 MW，正向95%峰值持续时间为3.00 h。弹性方案第1年扩建50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第4年承接37.06 MW，正向校核负荷增至76.00 MW。该站利用相应主变容量承担片区内部负荷，接收能力按承接后的负荷进行正常运行及单台主变退出校核。刚性方案第4年主变总容量为80.00 MVA，储能为0.00 MW；弹性方案相应为130.00 MVA和0.00 MW。弹性方案增加主变容量，为本站或片区承接负荷提供支撑。</w:t>
      </w:r>
    </w:p>
    <w:p>
      <w:pPr>
        <w:pStyle w:val="2"/>
        <w:keepNext/>
        <w:spacing w:line="300" w:lineRule="auto" w:before="120" w:after="80"/>
        <w:ind w:firstLine="0"/>
        <w:jc w:val="center"/>
      </w:pPr>
      <w:r>
        <w:rPr>
          <w:rFonts w:ascii="Times New Roman" w:hAnsi="Times New Roman" w:eastAsia="宋体"/>
          <w:b w:val="0"/>
          <w:sz w:val="21"/>
        </w:rPr>
        <w:t xml:space="preserve">表5-56 BDZ-00175站第4年配置与负荷转接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0.94</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37.06</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76.00</w:t>
            </w:r>
          </w:p>
        </w:tc>
      </w:tr>
    </w:tbl>
    <w:p>
      <w:pPr>
        <w:pStyle w:val="7"/>
        <w:keepNext/>
        <w:numPr>
          <w:numId w:val="0"/>
        </w:numPr>
        <w:spacing w:line="360" w:lineRule="auto" w:before="160" w:after="120"/>
        <w:ind w:firstLine="0"/>
      </w:pPr>
      <w:bookmarkStart w:id="227" w:name="bdz-00183站规划分析"/>
      <w:r>
        <w:rPr>
          <w:rFonts w:ascii="Times New Roman" w:hAnsi="Times New Roman" w:eastAsia="方正仿宋_GBK"/>
          <w:b/>
          <w:sz w:val="24"/>
        </w:rPr>
        <w:t xml:space="preserve">BDZ-00183站规划分析</w:t>
      </w:r>
      <w:bookmarkEnd w:id="227"/>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MVA，规划第4年转接前最大正向、反向净负荷分别为14.24 MW和4.85 MW，正向95%峰值持续时间为4.00 h。弹性方案第1年扩建50 MVA主变。</w:t>
      </w:r>
    </w:p>
    <w:p>
      <w:pPr>
        <w:pStyle w:val="2"/>
        <w:widowControl/>
        <w:spacing w:line="300" w:lineRule="auto" w:before="0" w:after="0"/>
        <w:ind w:firstLine="480"/>
        <w:jc w:val="both"/>
      </w:pPr>
      <w:r>
        <w:rPr>
          <w:rFonts w:ascii="Times New Roman" w:hAnsi="Times New Roman" w:eastAsia="方正仿宋_GBK"/>
          <w:b w:val="0"/>
          <w:sz w:val="24"/>
        </w:rPr>
        <w:t xml:space="preserve">第4年承接61.76 MW，正向校核负荷增至76.00 MW。该站利用相应主变容量承担片区内部负荷，接收能力按承接后的负荷进行正常运行及单台主变退出校核。刚性方案第4年主变总容量为80.00 MVA，储能为0.00 MW；弹性方案相应为130.00 MVA和0.00 MW。弹性方案增加主变容量，为本站或片区承接负荷提供支撑。</w:t>
      </w:r>
    </w:p>
    <w:p>
      <w:pPr>
        <w:pStyle w:val="2"/>
        <w:keepNext/>
        <w:spacing w:line="300" w:lineRule="auto" w:before="120" w:after="80"/>
        <w:ind w:firstLine="0"/>
        <w:jc w:val="center"/>
      </w:pPr>
      <w:r>
        <w:rPr>
          <w:rFonts w:ascii="Times New Roman" w:hAnsi="Times New Roman" w:eastAsia="宋体"/>
          <w:b w:val="0"/>
          <w:sz w:val="21"/>
        </w:rPr>
        <w:t xml:space="preserve">表5-57 BDZ-00183站第4年配置与负荷转接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21.41</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35.65</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40.00+40.00+50.00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61.76</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76.00</w:t>
            </w:r>
          </w:p>
        </w:tc>
      </w:tr>
    </w:tbl>
    <w:p>
      <w:pPr>
        <w:pStyle w:val="7"/>
        <w:keepNext/>
        <w:numPr>
          <w:numId w:val="0"/>
        </w:numPr>
        <w:spacing w:line="360" w:lineRule="auto" w:before="160" w:after="120"/>
        <w:ind w:firstLine="0"/>
      </w:pPr>
      <w:bookmarkStart w:id="228" w:name="sim-city-kl站规划分析"/>
      <w:r>
        <w:rPr>
          <w:rFonts w:ascii="Times New Roman" w:hAnsi="Times New Roman" w:eastAsia="方正仿宋_GBK"/>
          <w:b/>
          <w:sz w:val="24"/>
        </w:rPr>
        <w:t xml:space="preserve">SIM-CITY-KL站规划分析</w:t>
      </w:r>
      <w:bookmarkEnd w:id="228"/>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MVA，规划第4年转接前最大正向、反向净负荷分别为13.92 MW和4.11 MW，正向95%峰值持续时间为1.00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第4年承接24.08 MW，正向校核负荷增至38.00 MW。该站利用相应主变容量承担片区内部负荷，接收能力按承接后的负荷进行正常运行及单台主变退出校核。刚性方案第4年主变总容量为80.00 MVA，储能为0.00 MW；弹性方案相应为80.00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表5-58 SIM-CITY-KL站第4年配置与负荷转接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24.08</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24.08</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pPr>
        <w:pStyle w:val="7"/>
        <w:keepNext/>
        <w:numPr>
          <w:numId w:val="0"/>
        </w:numPr>
        <w:spacing w:line="360" w:lineRule="auto" w:before="160" w:after="120"/>
        <w:ind w:firstLine="0"/>
      </w:pPr>
      <w:bookmarkStart w:id="229" w:name="sim-city-xsz站规划分析"/>
      <w:r>
        <w:rPr>
          <w:rFonts w:ascii="Times New Roman" w:hAnsi="Times New Roman" w:eastAsia="方正仿宋_GBK"/>
          <w:b/>
          <w:sz w:val="24"/>
        </w:rPr>
        <w:t xml:space="preserve">SIM-CITY-XSZ站规划分析</w:t>
      </w:r>
      <w:bookmarkEnd w:id="229"/>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MVA，规划第4年转接前最大正向、反向净负荷分别为11.78 MW和2.90 MW，正向95%峰值持续时间为1.00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第4年承接25.22 MW，正向校核负荷增至37.00 MW。该站利用相应主变容量承担片区内部负荷，接收能力按承接后的负荷进行正常运行及单台主变退出校核。刚性方案第4年主变总容量为80.00 MVA，储能为0.00 MW；弹性方案相应为80.00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表5-59 SIM-CITY-XSZ站第4年配置与负荷转接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26.22</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25.22</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37.00</w:t>
            </w:r>
          </w:p>
        </w:tc>
      </w:tr>
    </w:tbl>
    <w:p>
      <w:pPr>
        <w:pStyle w:val="7"/>
        <w:keepNext/>
        <w:numPr>
          <w:numId w:val="0"/>
        </w:numPr>
        <w:spacing w:line="360" w:lineRule="auto" w:before="160" w:after="120"/>
        <w:ind w:firstLine="0"/>
      </w:pPr>
      <w:bookmarkStart w:id="230" w:name="sim-city-yq站规划分析"/>
      <w:r>
        <w:rPr>
          <w:rFonts w:ascii="Times New Roman" w:hAnsi="Times New Roman" w:eastAsia="方正仿宋_GBK"/>
          <w:b/>
          <w:sz w:val="24"/>
        </w:rPr>
        <w:t xml:space="preserve">SIM-CITY-YQ站规划分析</w:t>
      </w:r>
      <w:bookmarkEnd w:id="230"/>
    </w:p>
    <w:p>
      <w:pPr>
        <w:pStyle w:val="FirstParagraph"/>
        <w:widowControl/>
        <w:spacing w:line="300" w:lineRule="auto" w:before="0" w:after="0"/>
        <w:ind w:firstLine="480"/>
        <w:jc w:val="both"/>
      </w:pPr>
      <w:r>
        <w:rPr>
          <w:rFonts w:ascii="Times New Roman" w:hAnsi="Times New Roman" w:eastAsia="方正仿宋_GBK"/>
          <w:b w:val="0"/>
          <w:sz w:val="24"/>
        </w:rPr>
        <w:t xml:space="preserve">该站基期主变配置为40.00+40.00 MVA，规划第4年转接前最大正向、反向净负荷分别为18.16 MW和0.00 MW，正向95%峰值持续时间为1.00 h。弹性方案沿用基期主变容量，后续各年通过站间负荷转接满足容量需求。</w:t>
      </w:r>
    </w:p>
    <w:p>
      <w:pPr>
        <w:pStyle w:val="2"/>
        <w:widowControl/>
        <w:spacing w:line="300" w:lineRule="auto" w:before="0" w:after="0"/>
        <w:ind w:firstLine="480"/>
        <w:jc w:val="both"/>
      </w:pPr>
      <w:r>
        <w:rPr>
          <w:rFonts w:ascii="Times New Roman" w:hAnsi="Times New Roman" w:eastAsia="方正仿宋_GBK"/>
          <w:b w:val="0"/>
          <w:sz w:val="24"/>
        </w:rPr>
        <w:t xml:space="preserve">第4年承接19.84 MW，正向校核负荷增至38.00 MW。该站利用相应主变容量承担片区内部负荷，接收能力按承接后的负荷进行正常运行及单台主变退出校核。刚性方案第4年主变总容量为80.00 MVA，储能为0.00 MW；弹性方案相应为80.00 MVA和0.00 MW。两类方案的本站主变配置接近，差异主要通过区域其他站点的容量和负荷安排体现。</w:t>
      </w:r>
    </w:p>
    <w:p>
      <w:pPr>
        <w:pStyle w:val="2"/>
        <w:keepNext/>
        <w:spacing w:line="300" w:lineRule="auto" w:before="120" w:after="80"/>
        <w:ind w:firstLine="0"/>
        <w:jc w:val="center"/>
      </w:pPr>
      <w:r>
        <w:rPr>
          <w:rFonts w:ascii="Times New Roman" w:hAnsi="Times New Roman" w:eastAsia="宋体"/>
          <w:b w:val="0"/>
          <w:sz w:val="21"/>
        </w:rPr>
        <w:t xml:space="preserve">表5-60 SIM-CITY-YQ站第4年配置与负荷转接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289"/>
        <w:gridCol w:w="1289"/>
        <w:gridCol w:w="1868"/>
        <w:gridCol w:w="1289"/>
        <w:gridCol w:w="1289"/>
        <w:gridCol w:w="1289"/>
      </w:tblGrid>
      <w:tr>
        <w:trPr>
          <w:cantSplit/>
          <w:tblHeader/>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主变组合/MVA</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储能/MW/MWh</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转出/MW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承接/MW</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正向负荷/MW</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19.84</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r>
        <w:trPr>
          <w:cantSplit/>
        </w:trPr>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40.00+40.00</w:t>
            </w:r>
          </w:p>
        </w:tc>
        <w:tc>
          <w:tcPr>
            <w:tcW w:type="dxa" w:w="1868"/>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19.84</w:t>
            </w:r>
          </w:p>
        </w:tc>
        <w:tc>
          <w:tcPr>
            <w:tcW w:type="dxa" w:w="128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38.00</w:t>
            </w:r>
          </w:p>
        </w:tc>
      </w:tr>
    </w:tbl>
    <w:p>
      <w:bookmarkStart w:id="1726" w:name="h726"/>
      <w:pPr>
        <w:pStyle w:val="4"/>
        <w:keepNext/>
        <w:numPr>
          <w:numId w:val="0"/>
        </w:numPr>
        <w:spacing w:line="360" w:lineRule="auto" w:before="160" w:after="120"/>
        <w:ind w:firstLine="0"/>
      </w:pPr>
      <w:bookmarkStart w:id="231" w:name="措施作用与工程衔接"/>
      <w:r>
        <w:rPr>
          <w:rFonts w:ascii="Times New Roman" w:hAnsi="Times New Roman" w:eastAsia="方正仿宋_GBK"/>
          <w:b/>
          <w:sz w:val="32"/>
        </w:rPr>
        <w:t xml:space="preserve">5.5 措施作用与工程衔接</w:t>
      </w:r>
      <w:bookmarkEnd w:id="231"/>
      <w:bookmarkEnd w:id="1726"/>
    </w:p>
    <w:p>
      <w:pPr>
        <w:pStyle w:val="5"/>
        <w:keepNext/>
        <w:numPr>
          <w:numId w:val="0"/>
        </w:numPr>
        <w:spacing w:line="360" w:lineRule="auto" w:before="160" w:after="120"/>
        <w:ind w:firstLine="0"/>
      </w:pPr>
      <w:bookmarkStart w:id="232" w:name="既有能力与新建能力的作用"/>
      <w:r>
        <w:rPr>
          <w:rFonts w:ascii="Times New Roman" w:hAnsi="Times New Roman" w:eastAsia="方正仿宋_GBK"/>
          <w:b/>
          <w:sz w:val="26"/>
        </w:rPr>
        <w:t xml:space="preserve">5.5.1 既有能力与新建能力的作用</w:t>
      </w:r>
      <w:bookmarkEnd w:id="232"/>
    </w:p>
    <w:p>
      <w:pPr>
        <w:pStyle w:val="FirstParagraph"/>
        <w:widowControl/>
        <w:spacing w:line="300" w:lineRule="auto" w:before="0" w:after="0"/>
        <w:ind w:firstLine="480"/>
        <w:jc w:val="both"/>
      </w:pPr>
      <w:r>
        <w:rPr>
          <w:rFonts w:ascii="Times New Roman" w:hAnsi="Times New Roman" w:eastAsia="方正仿宋_GBK"/>
          <w:b w:val="0"/>
          <w:sz w:val="24"/>
        </w:rPr>
        <w:t xml:space="preserve">既有转供率描述各站初始可转负荷预算。原站负荷较重、受端存在余量时，优化可利用这一预算调整供电归属。达到预算上限后，新增联络项目才提供进一步转接的能力，项目费用据此参与比选。</w:t>
      </w:r>
    </w:p>
    <w:p>
      <w:pPr>
        <w:pStyle w:val="2"/>
        <w:widowControl/>
        <w:spacing w:line="300" w:lineRule="auto" w:before="0" w:after="0"/>
        <w:ind w:firstLine="480"/>
        <w:jc w:val="both"/>
      </w:pPr>
      <w:r>
        <w:rPr>
          <w:rFonts w:ascii="Times New Roman" w:hAnsi="Times New Roman" w:eastAsia="方正仿宋_GBK"/>
          <w:b w:val="0"/>
          <w:sz w:val="24"/>
        </w:rPr>
        <w:t xml:space="preserve">邳州28.29%的样本初始率低于30%的规划目标，新建项目同时承担能力提升和负荷调整需求。市区初始50%已达到本研究目标，新建需求取决于后续站级约束和经济比较。两种地区采用同一能力表达式，差异来自初始率、负荷分布与设备结构。</w:t>
      </w:r>
    </w:p>
    <w:p>
      <w:pPr>
        <w:pStyle w:val="2"/>
        <w:keepNext/>
        <w:spacing w:line="300" w:lineRule="auto" w:before="120" w:after="80"/>
        <w:ind w:firstLine="0"/>
        <w:jc w:val="center"/>
      </w:pPr>
      <w:r>
        <w:rPr>
          <w:rFonts w:ascii="Times New Roman" w:hAnsi="Times New Roman" w:eastAsia="宋体"/>
          <w:b w:val="0"/>
          <w:sz w:val="21"/>
        </w:rPr>
        <w:t xml:space="preserve">表5-61 既有与新增转供能力的实际利用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地区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方案</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仿真年</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既有能力使用/MW</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新增能力使用/MW</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在役项目/项</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总转接/MW</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110.74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38.57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149.31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98.69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20.72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119.41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98.82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24.32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123.14</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131.25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35.25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166.49</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90.30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18.56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108.87</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99.25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27.67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126.92</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107.56</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35.81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143.37</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128.93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38.83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167.76</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347.11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347.21</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363.60</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0.78</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364.37</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380.77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1.48</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382.25</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398.79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400.98</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364.57</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21.85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386.42</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375.68</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26.52</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402.19</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386.45</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22.54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409.00</w:t>
            </w:r>
          </w:p>
        </w:tc>
      </w:tr>
      <w:tr>
        <w:trPr>
          <w:cantSplit/>
        </w:trPr>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398.98</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26.61</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425.59</w:t>
            </w:r>
          </w:p>
        </w:tc>
      </w:tr>
    </w:tbl>
    <w:p>
      <w:pPr>
        <w:pStyle w:val="5"/>
        <w:keepNext/>
        <w:numPr>
          <w:numId w:val="0"/>
        </w:numPr>
        <w:spacing w:line="360" w:lineRule="auto" w:before="160" w:after="120"/>
        <w:ind w:firstLine="0"/>
      </w:pPr>
      <w:bookmarkStart w:id="233" w:name="峰段支撑与工程应用"/>
      <w:r>
        <w:rPr>
          <w:rFonts w:ascii="Times New Roman" w:hAnsi="Times New Roman" w:eastAsia="方正仿宋_GBK"/>
          <w:b/>
          <w:sz w:val="26"/>
        </w:rPr>
        <w:t xml:space="preserve">5.5.2 峰段支撑与工程应用</w:t>
      </w:r>
      <w:bookmarkEnd w:id="233"/>
    </w:p>
    <w:p>
      <w:pPr>
        <w:pStyle w:val="FirstParagraph"/>
        <w:widowControl/>
        <w:spacing w:line="300" w:lineRule="auto" w:before="0" w:after="0"/>
        <w:ind w:firstLine="480"/>
        <w:jc w:val="both"/>
      </w:pPr>
      <w:r>
        <w:rPr>
          <w:rFonts w:ascii="Times New Roman" w:hAnsi="Times New Roman" w:eastAsia="方正仿宋_GBK"/>
          <w:b w:val="0"/>
          <w:sz w:val="24"/>
        </w:rPr>
        <w:t xml:space="preserve">储能按峰值持续时间承担静态容量缺口，工程应用可进一步用实际可用能量、效率和连续时序更新支撑系数。联络项目按区县等效能力建模，实施阶段可将实际馈线分段、接收余量及路径条件纳入模型。</w:t>
      </w:r>
    </w:p>
    <w:p>
      <w:pPr>
        <w:pStyle w:val="2"/>
        <w:widowControl/>
        <w:spacing w:line="300" w:lineRule="auto" w:before="0" w:after="0"/>
        <w:ind w:firstLine="480"/>
        <w:jc w:val="both"/>
      </w:pPr>
      <w:r>
        <w:rPr>
          <w:rFonts w:ascii="Times New Roman" w:hAnsi="Times New Roman" w:eastAsia="方正仿宋_GBK"/>
          <w:b w:val="0"/>
          <w:sz w:val="24"/>
        </w:rPr>
        <w:t xml:space="preserve">本研究结果对应所列研究参数。实际规划从核定在役资产与预测负荷出发，沿用相同的容量、守恒和费用计算关系，完成工程概算及供电安全校核。</w:t>
      </w:r>
    </w:p>
    <w:p>
      <w:bookmarkStart w:id="1734" w:name="h734"/>
      <w:pPr>
        <w:pStyle w:val="4"/>
        <w:keepNext/>
        <w:numPr>
          <w:numId w:val="0"/>
        </w:numPr>
        <w:spacing w:line="360" w:lineRule="auto" w:before="160" w:after="120"/>
        <w:ind w:firstLine="0"/>
      </w:pPr>
      <w:bookmarkStart w:id="234" w:name="参数拓展与通用推荐矩阵"/>
      <w:r>
        <w:rPr>
          <w:rFonts w:ascii="Times New Roman" w:hAnsi="Times New Roman" w:eastAsia="方正仿宋_GBK"/>
          <w:b/>
          <w:sz w:val="32"/>
        </w:rPr>
        <w:t xml:space="preserve">5.6 参数拓展与通用推荐矩阵</w:t>
      </w:r>
      <w:bookmarkEnd w:id="234"/>
      <w:bookmarkEnd w:id="1734"/>
    </w:p>
    <w:p>
      <w:pPr>
        <w:pStyle w:val="5"/>
        <w:keepNext/>
        <w:numPr>
          <w:numId w:val="0"/>
        </w:numPr>
        <w:spacing w:line="360" w:lineRule="auto" w:before="160" w:after="120"/>
        <w:ind w:firstLine="0"/>
      </w:pPr>
      <w:bookmarkStart w:id="235" w:name="从案例关系到通用参数"/>
      <w:r>
        <w:rPr>
          <w:rFonts w:ascii="Times New Roman" w:hAnsi="Times New Roman" w:eastAsia="方正仿宋_GBK"/>
          <w:b/>
          <w:sz w:val="26"/>
        </w:rPr>
        <w:t xml:space="preserve">5.6.1 从案例关系到通用参数</w:t>
      </w:r>
      <w:bookmarkEnd w:id="235"/>
    </w:p>
    <w:p>
      <w:pPr>
        <w:pStyle w:val="FirstParagraph"/>
        <w:widowControl/>
        <w:spacing w:line="300" w:lineRule="auto" w:before="0" w:after="0"/>
        <w:ind w:firstLine="480"/>
        <w:jc w:val="both"/>
      </w:pPr>
      <w:r>
        <w:rPr>
          <w:rFonts w:ascii="Times New Roman" w:hAnsi="Times New Roman" w:eastAsia="方正仿宋_GBK"/>
          <w:b w:val="0"/>
          <w:sz w:val="24"/>
        </w:rPr>
        <w:t xml:space="preserve">案例说明容载比由主变容量和年网供最大负荷共同形成，其经济取值还受储能持续支撑、站间转供能力和工程价格影响。通用矩阵据此采用可比较的参数范围，构造A类和B/C类两种等容量仿真站群，将具体地区的站名和规模转换为一般结构条件。</w:t>
      </w:r>
    </w:p>
    <w:p>
      <w:pPr>
        <w:pStyle w:val="2"/>
        <w:widowControl/>
        <w:spacing w:line="300" w:lineRule="auto" w:before="0" w:after="0"/>
        <w:ind w:firstLine="480"/>
        <w:jc w:val="both"/>
      </w:pPr>
      <w:r>
        <w:rPr>
          <w:rFonts w:ascii="Times New Roman" w:hAnsi="Times New Roman" w:eastAsia="方正仿宋_GBK"/>
          <w:b w:val="0"/>
          <w:sz w:val="24"/>
        </w:rPr>
        <w:t xml:space="preserve">外推站群均含5座变电站，每站初始配置两台主变。A类单台50 MVA，B/C类单台40 MVA，基期年网供最大负荷分别为250和200 MW，基期容载比均为2.00。负荷分配采用较均匀与偏集中两种权重；各站独立正向峰值合计分别按区域同期峰值的1.00和1.15倍构造。案例中邳州、市区的相应比值约为1.06和1.11，为该一般量级提供参考。光伏分配采用独立权重，保留源荷空间差异。新购规格、扩建50 MVA主变、储能柜及联络能力与前述计算方法一致。</w:t>
      </w:r>
    </w:p>
    <w:p>
      <w:pPr>
        <w:pStyle w:val="2"/>
        <w:widowControl/>
        <w:spacing w:line="300" w:lineRule="auto" w:before="0" w:after="0"/>
        <w:ind w:firstLine="480"/>
        <w:jc w:val="both"/>
      </w:pPr>
      <w:r>
        <w:rPr>
          <w:rFonts w:ascii="Times New Roman" w:hAnsi="Times New Roman" w:eastAsia="方正仿宋_GBK"/>
          <w:b w:val="0"/>
          <w:sz w:val="24"/>
        </w:rPr>
        <w:t xml:space="preserve">参数变化通过站级正向、反向负荷和持续支撑系数进入约束，以全寿命费用确定对应配置。通用外推采用规划第4年的静态容量比选，归纳目标年推荐值；两地区案例另按逐年状态进行建设时序寻优。具体计算点保存在配套文件。</w:t>
      </w:r>
    </w:p>
    <w:p>
      <w:pPr>
        <w:pStyle w:val="5"/>
        <w:keepNext/>
        <w:numPr>
          <w:numId w:val="0"/>
        </w:numPr>
        <w:spacing w:line="360" w:lineRule="auto" w:before="160" w:after="120"/>
        <w:ind w:firstLine="0"/>
      </w:pPr>
      <w:bookmarkStart w:id="236" w:name="参数范围与场景构造"/>
      <w:r>
        <w:rPr>
          <w:rFonts w:ascii="Times New Roman" w:hAnsi="Times New Roman" w:eastAsia="方正仿宋_GBK"/>
          <w:b/>
          <w:sz w:val="26"/>
        </w:rPr>
        <w:t xml:space="preserve">5.6.2 参数范围与场景构造</w:t>
      </w:r>
      <w:bookmarkEnd w:id="236"/>
    </w:p>
    <w:p>
      <w:pPr>
        <w:pStyle w:val="FirstParagraph"/>
        <w:keepNext/>
        <w:spacing w:line="300" w:lineRule="auto" w:before="120" w:after="80"/>
        <w:ind w:firstLine="0"/>
        <w:jc w:val="center"/>
      </w:pPr>
      <w:r>
        <w:rPr>
          <w:rFonts w:ascii="Times New Roman" w:hAnsi="Times New Roman" w:eastAsia="宋体"/>
          <w:b w:val="0"/>
          <w:sz w:val="21"/>
        </w:rPr>
        <w:t xml:space="preserve">表5-62 通用外推参数及站群假定</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参数</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取值或范围</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设定方式</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供电区域</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A类、B/C类</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两类一般站群</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初始主变</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5站；各2×50或2×40 MVA</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等容量基期</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初始容载比</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两类站群一致</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负荷分布</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0.10/0.15/0.20/0.25/0.30；0.16/0.18/0.20/0.22/0.24</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权重之和为1</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站级峰值合计/区域同期峰值</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偏集中1.15；较均匀1.00</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案例1.06和1.11支持外推量级</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光伏分布</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0.08/0.14/0.18/0.25/0.35</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权重之和为1</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装机渗透率</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0、0.30、0.80、1、1.30、1.80、2、2.30、2.80、3</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参数假定</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年负荷平均增长率</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0、1%、2%、4%、7%、8%、10%</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参数假定</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95%峰值持续时间</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1、2、3、4、6 h</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正反向采用相同场景时长</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初始站间转供率</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A类50%；B/C类28.29%</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案例参数外推</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线路、储能价格倍数</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线路0.75/1.00/1.25；储能0.50/1.00/1.25</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九组交叉价格</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光伏利用小时、用户年负荷率</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1200 h；0.50</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电量指标换算</w:t>
            </w:r>
          </w:p>
        </w:tc>
      </w:tr>
      <w:tr>
        <w:trPr>
          <w:cantSplit/>
        </w:trPr>
        <w:tc>
          <w:tcPr>
            <w:tcW w:type="dxa" w:w="1793"/>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目标年、费用时点</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第4年；按2025年投运折现</w:t>
            </w:r>
          </w:p>
        </w:tc>
        <w:tc>
          <w:tcPr>
            <w:tcW w:type="dxa" w:w="3259"/>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目标年静态规划外推</w:t>
            </w:r>
          </w:p>
        </w:tc>
      </w:tr>
    </w:tbl>
    <w:p>
      <w:pPr>
        <w:pStyle w:val="2"/>
        <w:widowControl/>
        <w:spacing w:line="300" w:lineRule="auto" w:before="0" w:after="0"/>
        <w:ind w:firstLine="480"/>
        <w:jc w:val="both"/>
      </w:pPr>
      <w:r>
        <w:rPr>
          <w:rFonts w:ascii="Times New Roman" w:hAnsi="Times New Roman" w:eastAsia="方正仿宋_GBK"/>
          <w:b w:val="0"/>
          <w:sz w:val="24"/>
        </w:rPr>
        <w:t xml:space="preserve">分布式电源装机渗透率在0～3.00之间选取10个代表值，年负荷平均增长率在0～10%之间选取7个值，95%峰值持续时间选取1、2、3、4、6 h。初始转供率采用50%和28.29%，分别对应两类站群；负荷分布采用两种形态。线路和储能各取三档价格，按九组交叉组合计算，形成12600个技术经济情景。</w:t>
      </w:r>
    </w:p>
    <w:p>
      <w:pPr>
        <w:pStyle w:val="2"/>
        <w:widowControl/>
        <w:spacing w:line="300" w:lineRule="auto" w:before="0" w:after="0"/>
        <w:ind w:firstLine="480"/>
        <w:jc w:val="both"/>
      </w:pPr>
      <w:r>
        <w:rPr>
          <w:rFonts w:ascii="Times New Roman" w:hAnsi="Times New Roman" w:eastAsia="方正仿宋_GBK"/>
          <w:b w:val="0"/>
          <w:sz w:val="24"/>
        </w:rPr>
        <w:t xml:space="preserve">设用户年负荷率0.50、光伏利用小时1200 h，分布式电源电量渗透率按装机渗透率换算，约为0.00%～82.19%。技术场景以夜间正向负荷作为年网供最大负荷，日间光伏出力系数0.75、用户负荷为正向峰值的30%，由此构造反向净负荷。</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m>
                  <m:mPr>
                    <m:baseJc m:val="center"/>
                    <m:plcHide m:val="1"/>
                    <m:mcs>
                      <m:mc>
                        <m:mcPr>
                          <m:mcJc m:val="right"/>
                          <m:count m:val="1"/>
                        </m:mcPr>
                      </m:mc>
                      <m:mc>
                        <m:mcPr>
                          <m:mcJc m:val="left"/>
                          <m:count m:val="1"/>
                        </m:mcPr>
                      </m:mc>
                    </m:mcs>
                  </m:mPr>
                  <m:mr>
                    <m:e>
                      <m:sSub>
                        <m:e>
                          <m:r>
                            <m:t>C</m:t>
                          </m:r>
                        </m:e>
                        <m:sub>
                          <m:r>
                            <m:rPr>
                              <m:sty m:val="p"/>
                            </m:rPr>
                            <m:t>D</m:t>
                          </m:r>
                          <m:r>
                            <m:rPr>
                              <m:sty m:val="p"/>
                            </m:rPr>
                            <m:t>G</m:t>
                          </m:r>
                        </m:sub>
                      </m:sSub>
                    </m:e>
                    <m:e>
                      <m:r>
                        <m:t>=</m:t>
                      </m:r>
                      <m:sSub>
                        <m:e>
                          <m:r>
                            <m:t>η</m:t>
                          </m:r>
                        </m:e>
                        <m:sub>
                          <m:r>
                            <m:t>C</m:t>
                          </m:r>
                        </m:sub>
                      </m:sSub>
                      <m:sSub>
                        <m:e>
                          <m:r>
                            <m:t>P</m:t>
                          </m:r>
                        </m:e>
                        <m:sub>
                          <m:r>
                            <m:rPr>
                              <m:sty m:val="p"/>
                            </m:rPr>
                            <m:t>u</m:t>
                          </m:r>
                          <m:r>
                            <m:rPr>
                              <m:sty m:val="p"/>
                            </m:rPr>
                            <m:t>s</m:t>
                          </m:r>
                          <m:r>
                            <m:rPr>
                              <m:sty m:val="p"/>
                            </m:rPr>
                            <m:t>e</m:t>
                          </m:r>
                          <m:r>
                            <m:rPr>
                              <m:sty m:val="p"/>
                            </m:rPr>
                            <m:t>r</m:t>
                          </m:r>
                          <m:r>
                            <m:rPr>
                              <m:sty m:val="p"/>
                            </m:rPr>
                            <m:t>,</m:t>
                          </m:r>
                          <m:r>
                            <m:rPr>
                              <m:sty m:val="p"/>
                            </m:rPr>
                            <m:t>m</m:t>
                          </m:r>
                          <m:r>
                            <m:rPr>
                              <m:sty m:val="p"/>
                            </m:rPr>
                            <m:t>a</m:t>
                          </m:r>
                          <m:r>
                            <m:rPr>
                              <m:sty m:val="p"/>
                            </m:rPr>
                            <m:t>x</m:t>
                          </m:r>
                        </m:sub>
                      </m:sSub>
                    </m:e>
                  </m:mr>
                  <m:mr>
                    <m:e>
                      <m:sSubSup>
                        <m:e>
                          <m:r>
                            <m:t>L</m:t>
                          </m:r>
                        </m:e>
                        <m:sub>
                          <m:r>
                            <m:t>i</m:t>
                          </m:r>
                        </m:sub>
                        <m:sup>
                          <m:r>
                            <m:t>−</m:t>
                          </m:r>
                        </m:sup>
                      </m:sSubSup>
                    </m:e>
                    <m:e>
                      <m:r>
                        <m:t>=</m:t>
                      </m:r>
                      <m:r>
                        <m:rPr>
                          <m:nor/>
                          <m:sty m:val="p"/>
                        </m:rPr>
                        <m:t>max</m:t>
                      </m:r>
                      <m:r>
                        <m:t>(</m:t>
                      </m:r>
                      <m:r>
                        <m:t>0</m:t>
                      </m:r>
                      <m:r>
                        <m:t>,</m:t>
                      </m:r>
                      <m:r>
                        <m:t>0.75</m:t>
                      </m:r>
                      <m:sSub>
                        <m:e>
                          <m:r>
                            <m:t>C</m:t>
                          </m:r>
                        </m:e>
                        <m:sub>
                          <m:r>
                            <m:rPr>
                              <m:sty m:val="p"/>
                            </m:rPr>
                            <m:t>D</m:t>
                          </m:r>
                          <m:r>
                            <m:rPr>
                              <m:sty m:val="p"/>
                            </m:rPr>
                            <m:t>G</m:t>
                          </m:r>
                        </m:sub>
                      </m:sSub>
                      <m:sSubSup>
                        <m:e>
                          <m:r>
                            <m:t>w</m:t>
                          </m:r>
                        </m:e>
                        <m:sub>
                          <m:r>
                            <m:t>i</m:t>
                          </m:r>
                        </m:sub>
                        <m:sup>
                          <m:r>
                            <m:t>G</m:t>
                          </m:r>
                        </m:sup>
                      </m:sSubSup>
                      <m:r>
                        <m:t>−</m:t>
                      </m:r>
                      <m:r>
                        <m:t>0.30</m:t>
                      </m:r>
                      <m:sSubSup>
                        <m:e>
                          <m:r>
                            <m:t>L</m:t>
                          </m:r>
                        </m:e>
                        <m:sub>
                          <m:r>
                            <m:t>i</m:t>
                          </m:r>
                        </m:sub>
                        <m:sup>
                          <m:r>
                            <m:t>+</m:t>
                          </m:r>
                        </m:sup>
                      </m:sSubSup>
                      <m:r>
                        <m:t>)</m:t>
                      </m:r>
                      <m:r>
                        <m:t>.</m:t>
                      </m:r>
                    </m:e>
                  </m:mr>
                </m:m>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（5-18）</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η</m:t>
            </m:r>
          </m:e>
          <m:sub>
            <m:r>
              <m:t>C</m:t>
            </m:r>
          </m:sub>
        </m:sSub>
      </m:oMath>
      <w:r>
        <w:rPr>
          <w:rFonts w:ascii="Times New Roman" w:hAnsi="Times New Roman" w:eastAsia="方正仿宋_GBK"/>
          <w:b w:val="0"/>
          <w:sz w:val="24"/>
        </w:rPr>
        <w:t xml:space="preserve">为分布式电源装机渗透率，</w:t>
      </w:r>
      <m:oMath>
        <m:sSub>
          <m:e>
            <m:r>
              <m:t>C</m:t>
            </m:r>
          </m:e>
          <m:sub>
            <m:r>
              <m:rPr>
                <m:sty m:val="p"/>
              </m:rPr>
              <m:t>D</m:t>
            </m:r>
            <m:r>
              <m:rPr>
                <m:sty m:val="p"/>
              </m:rPr>
              <m:t>G</m:t>
            </m:r>
          </m:sub>
        </m:sSub>
      </m:oMath>
      <w:r>
        <w:rPr>
          <w:rFonts w:ascii="Times New Roman" w:hAnsi="Times New Roman" w:eastAsia="方正仿宋_GBK"/>
          <w:b w:val="0"/>
          <w:sz w:val="24"/>
        </w:rPr>
        <w:t xml:space="preserve">为装机容量，单位MW；</w:t>
      </w:r>
      <m:oMath>
        <m:sSub>
          <m:e>
            <m:r>
              <m:t>P</m:t>
            </m:r>
          </m:e>
          <m:sub>
            <m:r>
              <m:rPr>
                <m:sty m:val="p"/>
              </m:rPr>
              <m:t>u</m:t>
            </m:r>
            <m:r>
              <m:rPr>
                <m:sty m:val="p"/>
              </m:rPr>
              <m:t>s</m:t>
            </m:r>
            <m:r>
              <m:rPr>
                <m:sty m:val="p"/>
              </m:rPr>
              <m:t>e</m:t>
            </m:r>
            <m:r>
              <m:rPr>
                <m:sty m:val="p"/>
              </m:rPr>
              <m:t>r</m:t>
            </m:r>
            <m:r>
              <m:rPr>
                <m:sty m:val="p"/>
              </m:rPr>
              <m:t>,</m:t>
            </m:r>
            <m:r>
              <m:rPr>
                <m:sty m:val="p"/>
              </m:rPr>
              <m:t>m</m:t>
            </m:r>
            <m:r>
              <m:rPr>
                <m:sty m:val="p"/>
              </m:rPr>
              <m:t>a</m:t>
            </m:r>
            <m:r>
              <m:rPr>
                <m:sty m:val="p"/>
              </m:rPr>
              <m:t>x</m:t>
            </m:r>
          </m:sub>
        </m:sSub>
      </m:oMath>
      <w:r>
        <w:rPr>
          <w:rFonts w:ascii="Times New Roman" w:hAnsi="Times New Roman" w:eastAsia="方正仿宋_GBK"/>
          <w:b w:val="0"/>
          <w:sz w:val="24"/>
        </w:rPr>
        <w:t xml:space="preserve">为用户最大负荷，在本外推场景中取年网供最大负荷；</w:t>
      </w:r>
      <m:oMath>
        <m:sSubSup>
          <m:e>
            <m:r>
              <m:t>w</m:t>
            </m:r>
          </m:e>
          <m:sub>
            <m:r>
              <m:t>i</m:t>
            </m:r>
          </m:sub>
          <m:sup>
            <m:r>
              <m:t>G</m:t>
            </m:r>
          </m:sup>
        </m:sSubSup>
      </m:oMath>
      <w:r>
        <w:rPr>
          <w:rFonts w:ascii="Times New Roman" w:hAnsi="Times New Roman" w:eastAsia="方正仿宋_GBK"/>
          <w:b w:val="0"/>
          <w:sz w:val="24"/>
        </w:rPr>
        <w:t xml:space="preserve">为站级光伏分配权重，各站权重之和为1。</w:t>
      </w:r>
      <m:oMath>
        <m:sSubSup>
          <m:e>
            <m:r>
              <m:t>L</m:t>
            </m:r>
          </m:e>
          <m:sub>
            <m:r>
              <m:t>i</m:t>
            </m:r>
          </m:sub>
          <m:sup>
            <m:r>
              <m:t>+</m:t>
            </m:r>
          </m:sup>
        </m:sSubSup>
      </m:oMath>
      <w:r>
        <w:rPr>
          <w:rFonts w:ascii="Times New Roman" w:hAnsi="Times New Roman" w:eastAsia="方正仿宋_GBK"/>
          <w:b w:val="0"/>
          <w:sz w:val="24"/>
        </w:rPr>
        <w:t xml:space="preserve">为站级最大正向净负荷，</w:t>
      </w:r>
      <m:oMath>
        <m:sSubSup>
          <m:e>
            <m:r>
              <m:t>L</m:t>
            </m:r>
          </m:e>
          <m:sub>
            <m:r>
              <m:t>i</m:t>
            </m:r>
          </m:sub>
          <m:sup>
            <m:r>
              <m:t>−</m:t>
            </m:r>
          </m:sup>
        </m:sSubSup>
      </m:oMath>
      <w:r>
        <w:rPr>
          <w:rFonts w:ascii="Times New Roman" w:hAnsi="Times New Roman" w:eastAsia="方正仿宋_GBK"/>
          <w:b w:val="0"/>
          <w:sz w:val="24"/>
        </w:rPr>
        <w:t xml:space="preserve">为构造的最大反向净负荷。0.75和0.30均为外推场景假定。</w:t>
      </w:r>
    </w:p>
    <w:tbl>
      <w:tblPr>
        <w:tblW w:type="dxa" w:w="8312"/>
        <w:jc w:val="center"/>
        <w:tblLayout w:type="fixed"/>
        <w:tblLook w:firstColumn="1" w:firstRow="1" w:lastColumn="0" w:lastRow="0" w:noHBand="0" w:noVBand="1" w:val="04A0"/>
        <w:tblBorders>
          <w:top w:val="nil"/>
          <w:bottom w:val="nil"/>
          <w:insideH w:val="nil"/>
          <w:insideV w:val="nil"/>
          <w:left w:val="nil"/>
          <w:right w:val="nil"/>
        </w:tblBorders>
      </w:tblPr>
      <w:tblGrid>
        <w:gridCol w:w="737"/>
        <w:gridCol w:w="6838"/>
        <w:gridCol w:w="737"/>
      </w:tblGrid>
      <w:tr>
        <w:trPr>
          <w:cantSplit/>
        </w:trPr>
        <w:tc>
          <w:tcPr>
            <w:tcW w:type="dxa" w:w="737"/>
            <w:vAlign w:val="center"/>
            <w:tcMar>
              <w:left w:w="0" w:type="dxa"/>
              <w:right w:w="0" w:type="dxa"/>
            </w:tcMar>
          </w:tcPr>
          <w:p>
            <w:pPr>
              <w:spacing w:before="0" w:after="0"/>
              <w:ind w:firstLine="0" w:firstLineChars="0"/>
            </w:pPr>
          </w:p>
        </w:tc>
        <w:tc>
          <w:tcPr>
            <w:tcW w:type="dxa" w:w="6838"/>
            <w:vAlign w:val="center"/>
            <w:tcMar>
              <w:left w:w="0" w:type="dxa"/>
              <w:right w:w="0" w:type="dxa"/>
            </w:tcMar>
          </w:tcPr>
          <w:p>
            <w:pPr>
              <w:pStyle w:val="2"/>
              <w:keepNext/>
              <w:spacing w:line="276" w:lineRule="auto" w:before="100" w:after="100"/>
              <w:ind w:firstLine="0" w:firstLineChars="0"/>
              <w:jc w:val="center"/>
            </w:pPr>
            <m:oMathPara>
              <m:oMathParaPr>
                <m:jc m:val="center"/>
                <m:jc m:val="center"/>
              </m:oMathParaPr>
              <m:oMath>
                <m:sSub>
                  <m:e>
                    <m:r>
                      <m:t>η</m:t>
                    </m:r>
                  </m:e>
                  <m:sub>
                    <m:r>
                      <m:t>E</m:t>
                    </m:r>
                  </m:sub>
                </m:sSub>
                <m:r>
                  <m:t>=</m:t>
                </m:r>
                <m:f>
                  <m:fPr>
                    <m:type m:val="bar"/>
                  </m:fPr>
                  <m:num>
                    <m:sSub>
                      <m:e>
                        <m:r>
                          <m:t>C</m:t>
                        </m:r>
                      </m:e>
                      <m:sub>
                        <m:r>
                          <m:rPr>
                            <m:sty m:val="p"/>
                          </m:rPr>
                          <m:t>D</m:t>
                        </m:r>
                        <m:r>
                          <m:rPr>
                            <m:sty m:val="p"/>
                          </m:rPr>
                          <m:t>G</m:t>
                        </m:r>
                      </m:sub>
                    </m:sSub>
                    <m:sSub>
                      <m:e>
                        <m:r>
                          <m:t>T</m:t>
                        </m:r>
                      </m:e>
                      <m:sub>
                        <m:r>
                          <m:t>G</m:t>
                        </m:r>
                      </m:sub>
                    </m:sSub>
                  </m:num>
                  <m:den>
                    <m:sSub>
                      <m:e>
                        <m:r>
                          <m:t>P</m:t>
                        </m:r>
                      </m:e>
                      <m:sub>
                        <m:r>
                          <m:rPr>
                            <m:sty m:val="p"/>
                          </m:rPr>
                          <m:t>u</m:t>
                        </m:r>
                        <m:r>
                          <m:rPr>
                            <m:sty m:val="p"/>
                          </m:rPr>
                          <m:t>s</m:t>
                        </m:r>
                        <m:r>
                          <m:rPr>
                            <m:sty m:val="p"/>
                          </m:rPr>
                          <m:t>e</m:t>
                        </m:r>
                        <m:r>
                          <m:rPr>
                            <m:sty m:val="p"/>
                          </m:rPr>
                          <m:t>r</m:t>
                        </m:r>
                        <m:r>
                          <m:rPr>
                            <m:sty m:val="p"/>
                          </m:rPr>
                          <m:t>,</m:t>
                        </m:r>
                        <m:r>
                          <m:rPr>
                            <m:sty m:val="p"/>
                          </m:rPr>
                          <m:t>m</m:t>
                        </m:r>
                        <m:r>
                          <m:rPr>
                            <m:sty m:val="p"/>
                          </m:rPr>
                          <m:t>a</m:t>
                        </m:r>
                        <m:r>
                          <m:rPr>
                            <m:sty m:val="p"/>
                          </m:rPr>
                          <m:t>x</m:t>
                        </m:r>
                      </m:sub>
                    </m:sSub>
                    <m:r>
                      <m:t> </m:t>
                    </m:r>
                    <m:r>
                      <m:t>8760</m:t>
                    </m:r>
                    <m:r>
                      <m:t> </m:t>
                    </m:r>
                    <m:sSub>
                      <m:e>
                        <m:r>
                          <m:t>f</m:t>
                        </m:r>
                      </m:e>
                      <m:sub>
                        <m:r>
                          <m:rPr>
                            <m:sty m:val="p"/>
                          </m:rPr>
                          <m:t>u</m:t>
                        </m:r>
                        <m:r>
                          <m:rPr>
                            <m:sty m:val="p"/>
                          </m:rPr>
                          <m:t>s</m:t>
                        </m:r>
                        <m:r>
                          <m:rPr>
                            <m:sty m:val="p"/>
                          </m:rPr>
                          <m:t>e</m:t>
                        </m:r>
                        <m:r>
                          <m:rPr>
                            <m:sty m:val="p"/>
                          </m:rPr>
                          <m:t>r</m:t>
                        </m:r>
                      </m:sub>
                    </m:sSub>
                  </m:den>
                </m:f>
                <m:r>
                  <m:t>=</m:t>
                </m:r>
                <m:sSub>
                  <m:e>
                    <m:r>
                      <m:t>η</m:t>
                    </m:r>
                  </m:e>
                  <m:sub>
                    <m:r>
                      <m:t>C</m:t>
                    </m:r>
                  </m:sub>
                </m:sSub>
                <m:f>
                  <m:fPr>
                    <m:type m:val="bar"/>
                  </m:fPr>
                  <m:num>
                    <m:r>
                      <m:t>1200</m:t>
                    </m:r>
                  </m:num>
                  <m:den>
                    <m:r>
                      <m:t>8760</m:t>
                    </m:r>
                    <m:r>
                      <m:t>×</m:t>
                    </m:r>
                    <m:r>
                      <m:t>0.50</m:t>
                    </m:r>
                  </m:den>
                </m:f>
                <m:r>
                  <m:t>.</m:t>
                </m:r>
              </m:oMath>
            </m:oMathPara>
          </w:p>
        </w:tc>
        <w:tc>
          <w:tcPr>
            <w:tcW w:type="dxa" w:w="737"/>
            <w:vAlign w:val="center"/>
            <w:tcMar>
              <w:left w:w="0" w:type="dxa"/>
              <w:right w:w="0" w:type="dxa"/>
            </w:tcMar>
          </w:tcPr>
          <w:p>
            <w:pPr>
              <w:spacing w:before="0" w:after="0"/>
              <w:ind w:firstLine="0" w:firstLineChars="0"/>
              <w:jc w:val="right"/>
            </w:pPr>
            <w:r>
              <w:rPr>
                <w:rFonts w:ascii="Times New Roman" w:hAnsi="Times New Roman" w:eastAsia="方正仿宋_GBK"/>
                <w:b w:val="0"/>
                <w:sz w:val="18"/>
              </w:rPr>
              <w:t>（5-19）</w:t>
            </w:r>
          </w:p>
        </w:tc>
      </w:tr>
    </w:tbl>
    <w:p>
      <w:pPr>
        <w:pStyle w:val="FirstParagraph"/>
        <w:widowControl/>
        <w:spacing w:line="300" w:lineRule="auto" w:before="0" w:after="0"/>
        <w:ind w:firstLine="480"/>
        <w:jc w:val="both"/>
      </w:pPr>
      <w:r>
        <w:rPr>
          <w:rFonts w:ascii="Times New Roman" w:hAnsi="Times New Roman" w:eastAsia="方正仿宋_GBK"/>
          <w:b w:val="0"/>
          <w:sz w:val="24"/>
        </w:rPr>
        <w:t xml:space="preserve">式中，</w:t>
      </w:r>
      <m:oMath>
        <m:sSub>
          <m:e>
            <m:r>
              <m:t>η</m:t>
            </m:r>
          </m:e>
          <m:sub>
            <m:r>
              <m:t>E</m:t>
            </m:r>
          </m:sub>
        </m:sSub>
      </m:oMath>
      <w:r>
        <w:rPr>
          <w:rFonts w:ascii="Times New Roman" w:hAnsi="Times New Roman" w:eastAsia="方正仿宋_GBK"/>
          <w:b w:val="0"/>
          <w:sz w:val="24"/>
        </w:rPr>
        <w:t xml:space="preserve">为分布式电源电量渗透率，</w:t>
      </w:r>
      <m:oMath>
        <m:sSub>
          <m:e>
            <m:r>
              <m:t>T</m:t>
            </m:r>
          </m:e>
          <m:sub>
            <m:r>
              <m:t>G</m:t>
            </m:r>
          </m:sub>
        </m:sSub>
      </m:oMath>
      <w:r>
        <w:rPr>
          <w:rFonts w:ascii="Times New Roman" w:hAnsi="Times New Roman" w:eastAsia="方正仿宋_GBK"/>
          <w:b w:val="0"/>
          <w:sz w:val="24"/>
        </w:rPr>
        <w:t xml:space="preserve">为光伏年利用小时，取1200 h；</w:t>
      </w:r>
      <m:oMath>
        <m:sSub>
          <m:e>
            <m:r>
              <m:t>f</m:t>
            </m:r>
          </m:e>
          <m:sub>
            <m:r>
              <m:rPr>
                <m:sty m:val="p"/>
              </m:rPr>
              <m:t>u</m:t>
            </m:r>
            <m:r>
              <m:rPr>
                <m:sty m:val="p"/>
              </m:rPr>
              <m:t>s</m:t>
            </m:r>
            <m:r>
              <m:rPr>
                <m:sty m:val="p"/>
              </m:rPr>
              <m:t>e</m:t>
            </m:r>
            <m:r>
              <m:rPr>
                <m:sty m:val="p"/>
              </m:rPr>
              <m:t>r</m:t>
            </m:r>
          </m:sub>
        </m:sSub>
      </m:oMath>
      <w:r>
        <w:rPr>
          <w:rFonts w:ascii="Times New Roman" w:hAnsi="Times New Roman" w:eastAsia="方正仿宋_GBK"/>
          <w:b w:val="0"/>
          <w:sz w:val="24"/>
        </w:rPr>
        <w:t xml:space="preserve">为用户年负荷率，取0.50；8760为一年小时数。电量参数在该外推中与装机参数保持同一发电及用电假定。</w:t>
      </w:r>
    </w:p>
    <w:p>
      <w:pPr>
        <w:pStyle w:val="2"/>
        <w:widowControl/>
        <w:spacing w:line="300" w:lineRule="auto" w:before="0" w:after="0"/>
        <w:ind w:firstLine="480"/>
        <w:jc w:val="both"/>
      </w:pPr>
      <w:r>
        <w:rPr>
          <w:rFonts w:ascii="Times New Roman" w:hAnsi="Times New Roman" w:eastAsia="方正仿宋_GBK"/>
          <w:b w:val="0"/>
          <w:sz w:val="24"/>
        </w:rPr>
        <w:t xml:space="preserve">两个成本比按相同有效MW投资计算。主变与储能成本比按3 h参考峰段列示，实际约束仍使用该场景的持续时间。线路参考价格倍数为0.75～1.25，储能为0.50～1.25，对应主变与线路成本比约0.98～1.63、主变与储能成本比约0.04～0.12。</w:t>
      </w:r>
    </w:p>
    <w:p>
      <w:pPr>
        <w:pStyle w:val="5"/>
        <w:keepNext/>
        <w:numPr>
          <w:numId w:val="0"/>
        </w:numPr>
        <w:spacing w:line="360" w:lineRule="auto" w:before="160" w:after="120"/>
        <w:ind w:firstLine="0"/>
      </w:pPr>
      <w:bookmarkStart w:id="237" w:name="推荐区间的形成"/>
      <w:r>
        <w:rPr>
          <w:rFonts w:ascii="Times New Roman" w:hAnsi="Times New Roman" w:eastAsia="方正仿宋_GBK"/>
          <w:b/>
          <w:sz w:val="26"/>
        </w:rPr>
        <w:t xml:space="preserve">5.6.3 推荐区间的形成</w:t>
      </w:r>
      <w:bookmarkEnd w:id="237"/>
    </w:p>
    <w:p>
      <w:pPr>
        <w:pStyle w:val="FirstParagraph"/>
        <w:widowControl/>
        <w:spacing w:line="300" w:lineRule="auto" w:before="0" w:after="0"/>
        <w:ind w:firstLine="480"/>
        <w:jc w:val="both"/>
      </w:pPr>
      <w:r>
        <w:rPr>
          <w:rFonts w:ascii="Times New Roman" w:hAnsi="Times New Roman" w:eastAsia="方正仿宋_GBK"/>
          <w:b w:val="0"/>
          <w:sz w:val="24"/>
        </w:rPr>
        <w:t xml:space="preserve">每个外推组合在共同技术约束下选择设备与负荷分配，容载比沿用弹性方案大于2.00至2.60的研究范围，并满足增长档位对应下限。</w:t>
      </w:r>
    </w:p>
    <w:p>
      <w:pPr>
        <w:pStyle w:val="2"/>
        <w:widowControl/>
        <w:spacing w:line="300" w:lineRule="auto" w:before="0" w:after="0"/>
        <w:ind w:firstLine="480"/>
        <w:jc w:val="both"/>
      </w:pPr>
      <w:r>
        <w:rPr>
          <w:rFonts w:ascii="Times New Roman" w:hAnsi="Times New Roman" w:eastAsia="方正仿宋_GBK"/>
          <w:b w:val="0"/>
          <w:sz w:val="24"/>
        </w:rPr>
        <w:t xml:space="preserve">推荐矩阵按装机渗透率、年负荷平均增长率、95%峰值持续时间及两个成本比分档。各档汇总相应情景的容载比范围，并按0.05向外取整形成规划建议。两地区案例目标年结果纳入相应成本和源荷档位，使推荐范围兼顾一般站群与实际异容量设备结构。</w:t>
      </w:r>
    </w:p>
    <w:p>
      <w:pPr>
        <w:pStyle w:val="2"/>
        <w:keepNext/>
        <w:spacing w:line="300" w:lineRule="auto" w:before="120" w:after="80"/>
        <w:ind w:firstLine="0"/>
        <w:jc w:val="center"/>
      </w:pPr>
      <w:r>
        <w:rPr>
          <w:rFonts w:ascii="Times New Roman" w:hAnsi="Times New Roman" w:eastAsia="宋体"/>
          <w:b w:val="0"/>
          <w:sz w:val="21"/>
        </w:rPr>
        <w:t xml:space="preserve">表5-63 主变与线路成本比0.90～1.10的弹性容载比推荐区间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年负荷平均增长率</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95%峰值持续时间</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主变与线路成本比</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主变与储能成本比</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推荐弹性容载比</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2.00～2.50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2.00～2.50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2.00～2.50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0.90～1.10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2.00～2.35</w:t>
            </w:r>
          </w:p>
        </w:tc>
      </w:tr>
    </w:tbl>
    <w:p>
      <w:pPr>
        <w:pStyle w:val="2"/>
        <w:keepNext/>
        <w:spacing w:line="300" w:lineRule="auto" w:before="120" w:after="80"/>
        <w:ind w:firstLine="0"/>
        <w:jc w:val="center"/>
      </w:pPr>
      <w:r>
        <w:rPr>
          <w:rFonts w:ascii="Times New Roman" w:hAnsi="Times New Roman" w:eastAsia="宋体"/>
          <w:b w:val="0"/>
          <w:sz w:val="21"/>
        </w:rPr>
        <w:t xml:space="preserve">表5-64 主变与线路成本比＞1.10～1.40的弹性容载比推荐区间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年负荷平均增长率</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95%峰值持续时间</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主变与线路成本比</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主变与储能成本比</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推荐弹性容载比</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2.00～2.50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2.00～2.50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2.00～2.50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＞1.10～1.40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2.00～2.35</w:t>
            </w:r>
          </w:p>
        </w:tc>
      </w:tr>
    </w:tbl>
    <w:p>
      <w:pPr>
        <w:pStyle w:val="2"/>
        <w:keepNext/>
        <w:spacing w:line="300" w:lineRule="auto" w:before="120" w:after="80"/>
        <w:ind w:firstLine="0"/>
        <w:jc w:val="center"/>
      </w:pPr>
      <w:r>
        <w:rPr>
          <w:rFonts w:ascii="Times New Roman" w:hAnsi="Times New Roman" w:eastAsia="宋体"/>
          <w:b w:val="0"/>
          <w:sz w:val="21"/>
        </w:rPr>
        <w:t xml:space="preserve">表5-65 主变与线路成本比＞1.40～1.70的弹性容载比推荐区间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年负荷平均增长率</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95%峰值持续时间</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主变与线路成本比</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主变与储能成本比</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sz w:val="18"/>
              </w:rPr>
              <w:t>推荐弹性容载比</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0.00～1.00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2.00～2.50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2.00～2.50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2.00～2.50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2.00～2.25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2.00～2.15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0.00%～2.00%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2.00～2.60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＞2.00%～7.00%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2.00～2.45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1～3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2.00～2.30</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0.04～0.05</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＞0.05～0.08</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2.00～2.35</w:t>
            </w:r>
          </w:p>
        </w:tc>
      </w:tr>
      <w:tr>
        <w:trPr>
          <w:cantSplit/>
        </w:trPr>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2.00～3.00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＞7.00%～10.00%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3～6 h</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＞1.40～1.70</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＞0.08～0.12</w:t>
            </w:r>
          </w:p>
        </w:tc>
        <w:tc>
          <w:tcPr>
            <w:tcW w:type="dxa" w:w="1385"/>
            <w:vAlign w:val="center"/>
            <w:tcMar>
              <w:left w:w="70" w:type="dxa"/>
              <w:right w:w="70" w:type="dxa"/>
            </w:tcMar>
          </w:tcPr>
          <w:p>
            <w:pPr>
              <w:keepNext w:val="0"/>
              <w:spacing w:line="260" w:lineRule="exact" w:before="20" w:after="20"/>
              <w:ind w:firstLine="0" w:firstLineChars="0"/>
              <w:jc w:val="center"/>
            </w:pPr>
            <w:r>
              <w:rPr>
                <w:rFonts w:ascii="Times New Roman" w:hAnsi="Times New Roman" w:eastAsia="宋体"/>
                <w:b w:val="0"/>
                <w:sz w:val="18"/>
              </w:rPr>
              <w:t>2.00～2.35</w:t>
            </w:r>
          </w:p>
        </w:tc>
      </w:tr>
    </w:tbl>
    <w:p>
      <w:pPr>
        <w:pStyle w:val="2"/>
        <w:widowControl/>
        <w:spacing w:line="300" w:lineRule="auto" w:before="0" w:after="0"/>
        <w:ind w:firstLine="480"/>
        <w:jc w:val="both"/>
      </w:pPr>
      <w:r>
        <w:rPr>
          <w:rFonts w:ascii="Times New Roman" w:hAnsi="Times New Roman" w:eastAsia="方正仿宋_GBK"/>
          <w:b w:val="0"/>
          <w:sz w:val="24"/>
        </w:rPr>
        <w:t xml:space="preserve">表中推荐区间用于片区前期比选。装机与电量渗透率按式（5-19）对应；两个成本比采用相同有效MW投资尺度，储能成本比按3 h参考峰段列示。初始转供率及设备结构沿用本节设定。</w:t>
      </w:r>
    </w:p>
    <w:p>
      <w:pPr>
        <w:pStyle w:val="2"/>
        <w:widowControl/>
        <w:spacing w:line="300" w:lineRule="auto" w:before="0" w:after="0"/>
        <w:ind w:firstLine="480"/>
        <w:jc w:val="both"/>
      </w:pPr>
      <w:r>
        <w:rPr>
          <w:rFonts w:ascii="Times New Roman" w:hAnsi="Times New Roman" w:eastAsia="方正仿宋_GBK"/>
          <w:b w:val="0"/>
          <w:sz w:val="24"/>
        </w:rPr>
        <w:t xml:space="preserve">价格变化通过主变、储能与联络措施的费用比较影响容量配置。相同源荷条件下，可按对应成本档选择推荐区间，并以片区实际设备和转供能力确定最终配置。</w:t>
      </w:r>
    </w:p>
    <w:p>
      <w:pPr>
        <w:pStyle w:val="5"/>
        <w:keepNext/>
        <w:numPr>
          <w:numId w:val="0"/>
        </w:numPr>
        <w:spacing w:line="360" w:lineRule="auto" w:before="160" w:after="120"/>
        <w:ind w:firstLine="0"/>
      </w:pPr>
      <w:bookmarkStart w:id="238" w:name="参数变化与容载比的关系"/>
      <w:r>
        <w:rPr>
          <w:rFonts w:ascii="Times New Roman" w:hAnsi="Times New Roman" w:eastAsia="方正仿宋_GBK"/>
          <w:b/>
          <w:sz w:val="26"/>
        </w:rPr>
        <w:t xml:space="preserve">5.6.4 参数变化与容载比的关系</w:t>
      </w:r>
      <w:bookmarkEnd w:id="238"/>
    </w:p>
    <w:p>
      <w:pPr>
        <w:pStyle w:val="FirstParagraph"/>
        <w:widowControl/>
        <w:spacing w:line="300" w:lineRule="auto" w:before="0" w:after="0"/>
        <w:ind w:firstLine="480"/>
        <w:jc w:val="both"/>
      </w:pPr>
      <w:r>
        <w:rPr>
          <w:rFonts w:ascii="Times New Roman" w:hAnsi="Times New Roman" w:eastAsia="方正仿宋_GBK"/>
          <w:b w:val="0"/>
          <w:sz w:val="24"/>
        </w:rPr>
        <w:t xml:space="preserve">装机渗透率增加后，反向净负荷可能成为主变或储能的约束条件。反向压力的变化还取决于本地用户负荷和电源分布，矩阵保留不同站群与空间分配的计算结果。</w:t>
      </w:r>
    </w:p>
    <w:p>
      <w:pPr>
        <w:pStyle w:val="2"/>
        <w:widowControl/>
        <w:spacing w:line="300" w:lineRule="auto" w:before="0" w:after="0"/>
        <w:ind w:firstLine="480"/>
        <w:jc w:val="both"/>
      </w:pPr>
      <w:r>
        <w:rPr>
          <w:rFonts w:ascii="Times New Roman" w:hAnsi="Times New Roman" w:eastAsia="方正仿宋_GBK"/>
          <w:b w:val="0"/>
          <w:sz w:val="24"/>
        </w:rPr>
        <w:t xml:space="preserve">峰段延长会减少单位储能柜的有效支撑功率，使储能与主变的相对经济性改变。新建联络提升转供能力时，原站和受端容量共同约束可转负荷，已有能力得到充分使用后才产生新增投资需求。</w:t>
      </w:r>
    </w:p>
    <w:p>
      <w:pPr>
        <w:pStyle w:val="2"/>
        <w:widowControl/>
        <w:spacing w:line="300" w:lineRule="auto" w:before="0" w:after="0"/>
        <w:ind w:firstLine="480"/>
        <w:jc w:val="both"/>
      </w:pPr>
      <w:r>
        <w:rPr>
          <w:rFonts w:ascii="Times New Roman" w:hAnsi="Times New Roman" w:eastAsia="方正仿宋_GBK"/>
          <w:b w:val="0"/>
          <w:sz w:val="24"/>
        </w:rPr>
        <w:t xml:space="preserve">负荷增长一方面降低既有容量对应的容载比，另一方面触发新的容量配置。增长档位、主变离散规格及建设时序共同决定最终值。矩阵按增长参数分档，案例则以逐年结果解释这些变化。</w:t>
      </w:r>
    </w:p>
    <w:p>
      <w:bookmarkStart w:id="1758" w:name="h758"/>
      <w:pPr>
        <w:pStyle w:val="4"/>
        <w:keepNext/>
        <w:numPr>
          <w:numId w:val="0"/>
        </w:numPr>
        <w:spacing w:line="360" w:lineRule="auto" w:before="160" w:after="120"/>
        <w:ind w:firstLine="0"/>
      </w:pPr>
      <w:bookmarkStart w:id="239" w:name="规划建议"/>
      <w:r>
        <w:rPr>
          <w:rFonts w:ascii="Times New Roman" w:hAnsi="Times New Roman" w:eastAsia="方正仿宋_GBK"/>
          <w:b/>
          <w:sz w:val="32"/>
        </w:rPr>
        <w:t xml:space="preserve">5.7 规划建议</w:t>
      </w:r>
      <w:bookmarkEnd w:id="239"/>
      <w:bookmarkEnd w:id="1758"/>
    </w:p>
    <w:p>
      <w:pPr>
        <w:pStyle w:val="5"/>
        <w:keepNext/>
        <w:numPr>
          <w:numId w:val="0"/>
        </w:numPr>
        <w:spacing w:line="360" w:lineRule="auto" w:before="160" w:after="120"/>
        <w:ind w:firstLine="0"/>
      </w:pPr>
      <w:bookmarkStart w:id="240" w:name="优先采用弹性指标确定规划范围"/>
      <w:r>
        <w:rPr>
          <w:rFonts w:ascii="Times New Roman" w:hAnsi="Times New Roman" w:eastAsia="方正仿宋_GBK"/>
          <w:b/>
          <w:sz w:val="26"/>
        </w:rPr>
        <w:t xml:space="preserve">5.7.1 优先采用弹性指标确定规划范围</w:t>
      </w:r>
      <w:bookmarkEnd w:id="240"/>
    </w:p>
    <w:p>
      <w:pPr>
        <w:pStyle w:val="FirstParagraph"/>
        <w:widowControl/>
        <w:spacing w:line="300" w:lineRule="auto" w:before="0" w:after="0"/>
        <w:ind w:firstLine="480"/>
        <w:jc w:val="both"/>
      </w:pPr>
      <w:r>
        <w:rPr>
          <w:rFonts w:ascii="Times New Roman" w:hAnsi="Times New Roman" w:eastAsia="方正仿宋_GBK"/>
          <w:b w:val="0"/>
          <w:sz w:val="24"/>
        </w:rPr>
        <w:t xml:space="preserve">根据两地区技术经济对比，推荐采用弹性方案：仿真第4年邳州容载比2.21、市区2.21，对应方案均通过所设技术约束，新增措施费用低于刚性。推广到其他片区时，以通用矩阵确定弹性指标比选范围，同时保留2.00刚性上限方案计算费用差，选取满足技术条件且费用较低的组合。</w:t>
      </w:r>
    </w:p>
    <w:p>
      <w:pPr>
        <w:pStyle w:val="2"/>
        <w:widowControl/>
        <w:spacing w:line="300" w:lineRule="auto" w:before="0" w:after="0"/>
        <w:ind w:firstLine="480"/>
        <w:jc w:val="both"/>
      </w:pPr>
      <w:r>
        <w:rPr>
          <w:rFonts w:ascii="Times New Roman" w:hAnsi="Times New Roman" w:eastAsia="方正仿宋_GBK"/>
          <w:b w:val="0"/>
          <w:sz w:val="24"/>
        </w:rPr>
        <w:t xml:space="preserve">规划初期先统一区县与电压等级，计算年网供最大负荷、分布式电源装机渗透率和电量渗透率，结合年负荷平均增长率与95%峰值持续时间，选择通用矩阵中的参考区间。再以实际初始资产、站间转供能力和价格进行方案比选。</w:t>
      </w:r>
    </w:p>
    <w:p>
      <w:pPr>
        <w:pStyle w:val="2"/>
        <w:widowControl/>
        <w:spacing w:line="300" w:lineRule="auto" w:before="0" w:after="0"/>
        <w:ind w:firstLine="480"/>
        <w:jc w:val="both"/>
      </w:pPr>
      <w:r>
        <w:rPr>
          <w:rFonts w:ascii="Times New Roman" w:hAnsi="Times New Roman" w:eastAsia="方正仿宋_GBK"/>
          <w:b w:val="0"/>
          <w:sz w:val="24"/>
        </w:rPr>
        <w:t xml:space="preserve">源荷条件相近而站级负荷分布不同的地区，可采用不同结构情景。矩阵区间用于确定规划比选范围，具体容载比由满足技术条件的容量配置得到。</w:t>
      </w:r>
    </w:p>
    <w:p>
      <w:pPr>
        <w:pStyle w:val="5"/>
        <w:keepNext/>
        <w:numPr>
          <w:numId w:val="0"/>
        </w:numPr>
        <w:spacing w:line="360" w:lineRule="auto" w:before="160" w:after="120"/>
        <w:ind w:firstLine="0"/>
      </w:pPr>
      <w:bookmarkStart w:id="241" w:name="统筹增容配储与10-kv联络"/>
      <w:r>
        <w:rPr>
          <w:rFonts w:ascii="Times New Roman" w:hAnsi="Times New Roman" w:eastAsia="方正仿宋_GBK"/>
          <w:b/>
          <w:sz w:val="26"/>
        </w:rPr>
        <w:t xml:space="preserve">5.7.2 统筹增容、配储与10 kV联络</w:t>
      </w:r>
      <w:bookmarkEnd w:id="241"/>
    </w:p>
    <w:p>
      <w:pPr>
        <w:pStyle w:val="FirstParagraph"/>
        <w:widowControl/>
        <w:spacing w:line="300" w:lineRule="auto" w:before="0" w:after="0"/>
        <w:ind w:firstLine="480"/>
        <w:jc w:val="both"/>
      </w:pPr>
      <w:r>
        <w:rPr>
          <w:rFonts w:ascii="Times New Roman" w:hAnsi="Times New Roman" w:eastAsia="方正仿宋_GBK"/>
          <w:b w:val="0"/>
          <w:sz w:val="24"/>
        </w:rPr>
        <w:t xml:space="preserve">优先核定并利用既有站间转供能力，计算送受端调整后的负荷与容量余量。能力不足时，按新增联络项目提升转供率；再与主变增容及储能配置共同比较全寿命费用。扩容选取受主变规格和预留位置约束，配储选取受峰段持续时间及可用能量约束。</w:t>
      </w:r>
    </w:p>
    <w:p>
      <w:pPr>
        <w:pStyle w:val="2"/>
        <w:widowControl/>
        <w:spacing w:line="300" w:lineRule="auto" w:before="0" w:after="0"/>
        <w:ind w:firstLine="480"/>
        <w:jc w:val="both"/>
      </w:pPr>
      <w:r>
        <w:rPr>
          <w:rFonts w:ascii="Times New Roman" w:hAnsi="Times New Roman" w:eastAsia="方正仿宋_GBK"/>
          <w:b w:val="0"/>
          <w:sz w:val="24"/>
        </w:rPr>
        <w:t xml:space="preserve">光伏较多的县域同时核对正向和反向容量。市区按供电安全任务分析重载站与承接站，依据本地光伏规模和线路资料核定初始转供率。区县内部转接保持总量，区域容载比按统一年网供最大负荷计算。</w:t>
      </w:r>
    </w:p>
    <w:p>
      <w:pPr>
        <w:pStyle w:val="5"/>
        <w:keepNext/>
        <w:numPr>
          <w:numId w:val="0"/>
        </w:numPr>
        <w:spacing w:line="360" w:lineRule="auto" w:before="160" w:after="120"/>
        <w:ind w:firstLine="0"/>
      </w:pPr>
      <w:bookmarkStart w:id="242" w:name="滚动更新参数与工程方案"/>
      <w:r>
        <w:rPr>
          <w:rFonts w:ascii="Times New Roman" w:hAnsi="Times New Roman" w:eastAsia="方正仿宋_GBK"/>
          <w:b/>
          <w:sz w:val="26"/>
        </w:rPr>
        <w:t xml:space="preserve">5.7.3 滚动更新参数与工程方案</w:t>
      </w:r>
      <w:bookmarkEnd w:id="242"/>
    </w:p>
    <w:p>
      <w:pPr>
        <w:pStyle w:val="FirstParagraph"/>
        <w:widowControl/>
        <w:spacing w:line="300" w:lineRule="auto" w:before="0" w:after="0"/>
        <w:ind w:firstLine="480"/>
        <w:jc w:val="both"/>
      </w:pPr>
      <w:r>
        <w:rPr>
          <w:rFonts w:ascii="Times New Roman" w:hAnsi="Times New Roman" w:eastAsia="方正仿宋_GBK"/>
          <w:b w:val="0"/>
          <w:sz w:val="24"/>
        </w:rPr>
        <w:t xml:space="preserve">取得新增设备台账、用户电量与实际线路资料后，更新相应参数与候选集合。主变、储能和线路价格按统一工程范围折算，使用相同现金流规则比较费用。负荷增长、光伏投产和峰段特征变化时，重新计算容量与负荷分配，滚动修订规划区间和建设时点。</w:t>
      </w:r>
    </w:p>
    <w:p>
      <w:bookmarkStart w:id="1768" w:name="h768"/>
      <w:pPr>
        <w:pStyle w:val="3"/>
        <w:keepNext/>
        <w:pageBreakBefore/>
        <w:numPr>
          <w:numId w:val="0"/>
        </w:numPr>
        <w:spacing w:line="360" w:lineRule="auto" w:before="0" w:after="120"/>
        <w:ind w:firstLine="0"/>
      </w:pPr>
      <w:bookmarkStart w:id="243" w:name="第六章-结论与建议"/>
      <w:r>
        <w:rPr>
          <w:rFonts w:ascii="Times New Roman" w:hAnsi="Times New Roman" w:eastAsia="方正仿宋_GBK"/>
          <w:b/>
          <w:sz w:val="36"/>
        </w:rPr>
        <w:t xml:space="preserve">第六章 结论与建议</w:t>
      </w:r>
      <w:bookmarkEnd w:id="243"/>
      <w:bookmarkEnd w:id="1768"/>
    </w:p>
    <w:p>
      <w:pPr>
        <w:pStyle w:val="FirstParagraph"/>
        <w:widowControl/>
        <w:spacing w:line="300" w:lineRule="auto" w:before="0" w:after="0"/>
        <w:ind w:firstLine="480"/>
        <w:jc w:val="both"/>
      </w:pPr>
      <w:r>
        <w:rPr>
          <w:rFonts w:ascii="Times New Roman" w:hAnsi="Times New Roman" w:eastAsia="方正仿宋_GBK"/>
          <w:b w:val="0"/>
          <w:sz w:val="24"/>
        </w:rPr>
        <w:t xml:space="preserve">本项目针对分布式新能源接入后110 kV变电容量配置与站级运行需求的变化，以邳州和市区为案例，分析源荷特征，建立工程费用模型，并开展主变增容、储能和10 kV联络的联合寻优。在两地区刚性与弹性方案对比基础上，进一步拓展源荷及经济参数，形成面向不同片区的弹性容载比推荐范围。</w:t>
      </w:r>
    </w:p>
    <w:p>
      <w:bookmarkStart w:id="1770" w:name="h770"/>
      <w:pPr>
        <w:pStyle w:val="4"/>
        <w:keepNext/>
        <w:numPr>
          <w:numId w:val="0"/>
        </w:numPr>
        <w:spacing w:line="360" w:lineRule="auto" w:before="160" w:after="120"/>
        <w:ind w:firstLine="0"/>
      </w:pPr>
      <w:bookmarkStart w:id="244" w:name="主要研究结论"/>
      <w:r>
        <w:rPr>
          <w:rFonts w:ascii="Times New Roman" w:hAnsi="Times New Roman" w:eastAsia="方正仿宋_GBK"/>
          <w:b/>
          <w:sz w:val="32"/>
        </w:rPr>
        <w:t xml:space="preserve">6.1 主要研究结论</w:t>
      </w:r>
      <w:bookmarkEnd w:id="244"/>
      <w:bookmarkEnd w:id="1770"/>
    </w:p>
    <w:p>
      <w:pPr>
        <w:pStyle w:val="5"/>
        <w:keepNext/>
        <w:numPr>
          <w:numId w:val="0"/>
        </w:numPr>
        <w:spacing w:line="360" w:lineRule="auto" w:before="160" w:after="120"/>
        <w:ind w:firstLine="0"/>
      </w:pPr>
      <w:bookmarkStart w:id="245" w:name="容载比选取需要同时考虑区域负荷与站级双向需求"/>
      <w:r>
        <w:rPr>
          <w:rFonts w:ascii="Times New Roman" w:hAnsi="Times New Roman" w:eastAsia="方正仿宋_GBK"/>
          <w:b/>
          <w:sz w:val="26"/>
        </w:rPr>
        <w:t xml:space="preserve">6.1.1 容载比选取需要同时考虑区域负荷与站级双向需求</w:t>
      </w:r>
      <w:bookmarkEnd w:id="245"/>
    </w:p>
    <w:p>
      <w:pPr>
        <w:pStyle w:val="FirstParagraph"/>
        <w:widowControl/>
        <w:spacing w:line="300" w:lineRule="auto"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单台主变退出后的供电条件。区域容载比反映总体容量储备，逐站正反向净负荷反映局部设备需求，二者共同构成容量规划的分析基础。</w:t>
      </w:r>
    </w:p>
    <w:p>
      <w:pPr>
        <w:pStyle w:val="2"/>
        <w:widowControl/>
        <w:spacing w:line="300" w:lineRule="auto" w:before="0" w:after="0"/>
        <w:ind w:firstLine="480"/>
        <w:jc w:val="both"/>
      </w:pPr>
      <w:r>
        <w:rPr>
          <w:rFonts w:ascii="Times New Roman" w:hAnsi="Times New Roman" w:eastAsia="方正仿宋_GBK"/>
          <w:b w:val="0"/>
          <w:sz w:val="24"/>
        </w:rPr>
        <w:t xml:space="preserve">邳州2025年分布式电源装机渗透率约为1.63，电量渗透率约为40.28%；市区相应为0.32和8.69%。邳州的规划分析需要重视本地负荷与光伏出力的配合及反向容量需求，市区则主要结合正向负荷分布和A类供电安全条件配置容量。片区源荷及设备结构的差异，应落实为相应技术约束和建设方案。</w:t>
      </w:r>
    </w:p>
    <w:p>
      <w:pPr>
        <w:pStyle w:val="5"/>
        <w:keepNext/>
        <w:numPr>
          <w:numId w:val="0"/>
        </w:numPr>
        <w:spacing w:line="360" w:lineRule="auto" w:before="160" w:after="120"/>
        <w:ind w:firstLine="0"/>
      </w:pPr>
      <w:bookmarkStart w:id="246" w:name="弹性方案通过增加主变容量减少储能支出经济性优于刚性"/>
      <w:r>
        <w:rPr>
          <w:rFonts w:ascii="Times New Roman" w:hAnsi="Times New Roman" w:eastAsia="方正仿宋_GBK"/>
          <w:b/>
          <w:sz w:val="26"/>
        </w:rPr>
        <w:t xml:space="preserve">6.1.2 弹性方案通过增加主变容量减少储能支出，经济性优于刚性</w:t>
      </w:r>
      <w:bookmarkEnd w:id="246"/>
    </w:p>
    <w:p>
      <w:pPr>
        <w:pStyle w:val="FirstParagraph"/>
        <w:widowControl/>
        <w:spacing w:line="300" w:lineRule="auto" w:before="0" w:after="0"/>
        <w:ind w:firstLine="480"/>
        <w:jc w:val="both"/>
      </w:pPr>
      <w:r>
        <w:rPr>
          <w:rFonts w:ascii="Times New Roman" w:hAnsi="Times New Roman" w:eastAsia="方正仿宋_GBK"/>
          <w:b w:val="0"/>
          <w:sz w:val="24"/>
        </w:rPr>
        <w:t xml:space="preserve">刚性与弹性方案在同一区县共用容载比2.00的仿真起点，并采用相同负荷发展、候选措施和工程价格。后续各年均校核正常运行、单台主变退出、设备持续在役和转供能力。刚性方案受2.00上限约束，部分站点需要配置较大规模储能以满足退出工况；弹性方案适当增加主变容量，提高剩余主变供电能力，减少相应储能及其寿命更新费用。</w:t>
      </w:r>
    </w:p>
    <w:p>
      <w:pPr>
        <w:pStyle w:val="2"/>
        <w:widowControl/>
        <w:spacing w:line="300" w:lineRule="auto" w:before="0" w:after="0"/>
        <w:ind w:firstLine="480"/>
        <w:jc w:val="both"/>
      </w:pPr>
      <w:r>
        <w:rPr>
          <w:rFonts w:ascii="Times New Roman" w:hAnsi="Times New Roman" w:eastAsia="方正仿宋_GBK"/>
          <w:b w:val="0"/>
          <w:sz w:val="24"/>
        </w:rPr>
        <w:t xml:space="preserve">两地区刚性方案新增措施全寿命费用现值合计为208566.29万元，弹性方案为35683.63万元，降低82.89%。规划第4年，弹性方案邳州储能为2.80 MW/6.02 MWh，市区相应静态容量需求由主变和负荷配置满足。费用优势由所设技术条件及参考价格下的措施组合形成。案例比较支持采用弹性容载比开展容量规划，并保留刚性方案作为技术经济对照。</w:t>
      </w:r>
    </w:p>
    <w:p>
      <w:pPr>
        <w:pStyle w:val="5"/>
        <w:keepNext/>
        <w:numPr>
          <w:numId w:val="0"/>
        </w:numPr>
        <w:spacing w:line="360" w:lineRule="auto" w:before="160" w:after="120"/>
        <w:ind w:firstLine="0"/>
      </w:pPr>
      <w:bookmarkStart w:id="247"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47"/>
    </w:p>
    <w:p>
      <w:pPr>
        <w:pStyle w:val="FirstParagraph"/>
        <w:widowControl/>
        <w:spacing w:line="300" w:lineRule="auto" w:before="0" w:after="0"/>
        <w:ind w:firstLine="480"/>
        <w:jc w:val="both"/>
      </w:pPr>
      <w:r>
        <w:rPr>
          <w:rFonts w:ascii="Times New Roman" w:hAnsi="Times New Roman" w:eastAsia="方正仿宋_GBK"/>
          <w:b w:val="0"/>
          <w:sz w:val="24"/>
        </w:rPr>
        <w:t xml:space="preserve">10 kV联络通过区县内部负荷转接改善容量与负荷的空间匹配。送端负荷转出后正向供电需求降低，承接站负荷增加，两端分别按调整后的负荷校核。原站电源保持归属，潜在反向需求同时计入容量分析，转接总量在区县内部保持一致。</w:t>
      </w:r>
    </w:p>
    <w:p>
      <w:pPr>
        <w:pStyle w:val="2"/>
        <w:widowControl/>
        <w:spacing w:line="300" w:lineRule="auto" w:before="0" w:after="0"/>
        <w:ind w:firstLine="480"/>
        <w:jc w:val="both"/>
      </w:pPr>
      <w:r>
        <w:rPr>
          <w:rFonts w:ascii="Times New Roman" w:hAnsi="Times New Roman" w:eastAsia="方正仿宋_GBK"/>
          <w:b w:val="0"/>
          <w:sz w:val="24"/>
        </w:rPr>
        <w:t xml:space="preserve">市区初始站间转供率按50.00%设定，邳州依据局部馈线资料测算为28.29%，并应用于县域站群。既有能力利用按零新增建设投资计取，能力不足时通过新建联络提高转供率。新增联络与主变、储能共同参与费用比较，实际转接量由送端可转负荷、受端容量和工程费用共同确定。</w:t>
      </w:r>
    </w:p>
    <w:p>
      <w:pPr>
        <w:pStyle w:val="5"/>
        <w:keepNext/>
        <w:numPr>
          <w:numId w:val="0"/>
        </w:numPr>
        <w:spacing w:line="360" w:lineRule="auto" w:before="160" w:after="120"/>
        <w:ind w:firstLine="0"/>
      </w:pPr>
      <w:bookmarkStart w:id="248" w:name="推荐区间由源荷峰段持续时间和成本条件共同确定"/>
      <w:r>
        <w:rPr>
          <w:rFonts w:ascii="Times New Roman" w:hAnsi="Times New Roman" w:eastAsia="方正仿宋_GBK"/>
          <w:b/>
          <w:sz w:val="26"/>
        </w:rPr>
        <w:t xml:space="preserve">6.1.4 推荐区间由源荷、峰段持续时间和成本条件共同确定</w:t>
      </w:r>
      <w:bookmarkEnd w:id="248"/>
    </w:p>
    <w:p>
      <w:pPr>
        <w:pStyle w:val="FirstParagraph"/>
        <w:widowControl/>
        <w:spacing w:line="300" w:lineRule="auto" w:before="0" w:after="0"/>
        <w:ind w:firstLine="480"/>
        <w:jc w:val="both"/>
      </w:pPr>
      <w:r>
        <w:rPr>
          <w:rFonts w:ascii="Times New Roman" w:hAnsi="Times New Roman" w:eastAsia="方正仿宋_GBK"/>
          <w:b w:val="0"/>
          <w:sz w:val="24"/>
        </w:rPr>
        <w:t xml:space="preserve">一般站群外推沿用案例的技术与费用关系，装机渗透率取0.00～3.00，年负荷平均增长率取0.00%～10.00%，95%峰值持续时间取1～6 h。线路及储能各采用三档价格，形成九组交叉经济条件，共完成12600个目标年情景比选。两个成本比分别设置三档，与源荷和持续时间分档共同形成162行弹性容载比推荐矩阵。</w:t>
      </w:r>
    </w:p>
    <w:p>
      <w:pPr>
        <w:pStyle w:val="2"/>
        <w:widowControl/>
        <w:spacing w:line="300" w:lineRule="auto" w:before="0" w:after="0"/>
        <w:ind w:firstLine="480"/>
        <w:jc w:val="both"/>
      </w:pPr>
      <w:r>
        <w:rPr>
          <w:rFonts w:ascii="Times New Roman" w:hAnsi="Times New Roman" w:eastAsia="方正仿宋_GBK"/>
          <w:b w:val="0"/>
          <w:sz w:val="24"/>
        </w:rPr>
        <w:t xml:space="preserve">光伏规模增加可能强化反向容量约束，峰段延长会提高储能单位有效支撑功率的费用，负荷增长则同时改变容量需求和容载比分母。价格变化进一步影响主变、储能与联络的经济组合。推荐范围按这些条件归纳，以相应情景结果及两地区案例形成区间，供其他片区选择容量比选范围。</w:t>
      </w:r>
    </w:p>
    <w:p>
      <w:bookmarkStart w:id="1783" w:name="h783"/>
      <w:pPr>
        <w:pStyle w:val="4"/>
        <w:keepNext/>
        <w:numPr>
          <w:numId w:val="0"/>
        </w:numPr>
        <w:spacing w:line="360" w:lineRule="auto" w:before="160" w:after="120"/>
        <w:ind w:firstLine="0"/>
      </w:pPr>
      <w:bookmarkStart w:id="249" w:name="规划应用建议"/>
      <w:r>
        <w:rPr>
          <w:rFonts w:ascii="Times New Roman" w:hAnsi="Times New Roman" w:eastAsia="方正仿宋_GBK"/>
          <w:b/>
          <w:sz w:val="32"/>
        </w:rPr>
        <w:t xml:space="preserve">6.2 规划应用建议</w:t>
      </w:r>
      <w:bookmarkEnd w:id="249"/>
      <w:bookmarkEnd w:id="1783"/>
    </w:p>
    <w:p>
      <w:pPr>
        <w:pStyle w:val="5"/>
        <w:keepNext/>
        <w:numPr>
          <w:numId w:val="0"/>
        </w:numPr>
        <w:spacing w:line="360" w:lineRule="auto" w:before="160" w:after="120"/>
        <w:ind w:firstLine="0"/>
      </w:pPr>
      <w:bookmarkStart w:id="250" w:name="按片区参数选择弹性范围并以实际设备确定建设方案"/>
      <w:r>
        <w:rPr>
          <w:rFonts w:ascii="Times New Roman" w:hAnsi="Times New Roman" w:eastAsia="方正仿宋_GBK"/>
          <w:b/>
          <w:sz w:val="26"/>
        </w:rPr>
        <w:t xml:space="preserve">6.2.1 按片区参数选择弹性范围，并以实际设备确定建设方案</w:t>
      </w:r>
      <w:bookmarkEnd w:id="250"/>
    </w:p>
    <w:p>
      <w:pPr>
        <w:pStyle w:val="FirstParagraph"/>
        <w:widowControl/>
        <w:spacing w:line="300" w:lineRule="auto" w:before="0" w:after="0"/>
        <w:ind w:firstLine="480"/>
        <w:jc w:val="both"/>
      </w:pPr>
      <w:r>
        <w:rPr>
          <w:rFonts w:ascii="Times New Roman" w:hAnsi="Times New Roman" w:eastAsia="方正仿宋_GBK"/>
          <w:b w:val="0"/>
          <w:sz w:val="24"/>
        </w:rPr>
        <w:t xml:space="preserve">根据案例比较，推荐邳州和市区规划第4年采用容载比约2.21的弹性方案。其他片区可先核定同电压等级公用主变容量与年网供最大负荷，结合分布式电源装机渗透率、电量渗透率及年负荷平均增长率识别源荷条件，再按峰值持续时间和两个成本比匹配第五章推荐矩阵。</w:t>
      </w:r>
    </w:p>
    <w:p>
      <w:pPr>
        <w:pStyle w:val="2"/>
        <w:widowControl/>
        <w:spacing w:line="300" w:lineRule="auto" w:before="0" w:after="0"/>
        <w:ind w:firstLine="480"/>
        <w:jc w:val="both"/>
      </w:pPr>
      <w:r>
        <w:rPr>
          <w:rFonts w:ascii="Times New Roman" w:hAnsi="Times New Roman" w:eastAsia="方正仿宋_GBK"/>
          <w:b w:val="0"/>
          <w:sz w:val="24"/>
        </w:rPr>
        <w:t xml:space="preserve">确定范围后，以片区实际在役设备为起点，将主变规格、扩建条件、储能和联络工程纳入比选。先满足逐站正常运行及供电安全要求，再比较全寿命费用，形成对应容量规模、投运时点和负荷转接安排。刚性基准用于评价弹性方案的费用变化，最终推荐值由具体设备配置形成。</w:t>
      </w:r>
    </w:p>
    <w:p>
      <w:pPr>
        <w:pStyle w:val="5"/>
        <w:keepNext/>
        <w:numPr>
          <w:numId w:val="0"/>
        </w:numPr>
        <w:spacing w:line="360" w:lineRule="auto" w:before="160" w:after="120"/>
        <w:ind w:firstLine="0"/>
      </w:pPr>
      <w:bookmarkStart w:id="251" w:name="统筹既有转供能力主变建设和储能配置"/>
      <w:r>
        <w:rPr>
          <w:rFonts w:ascii="Times New Roman" w:hAnsi="Times New Roman" w:eastAsia="方正仿宋_GBK"/>
          <w:b/>
          <w:sz w:val="26"/>
        </w:rPr>
        <w:t xml:space="preserve">6.2.2 统筹既有转供能力、主变建设和储能配置</w:t>
      </w:r>
      <w:bookmarkEnd w:id="251"/>
    </w:p>
    <w:p>
      <w:pPr>
        <w:pStyle w:val="FirstParagraph"/>
        <w:widowControl/>
        <w:spacing w:line="300" w:lineRule="auto"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2"/>
        <w:widowControl/>
        <w:spacing w:line="300" w:lineRule="auto" w:before="0" w:after="0"/>
        <w:ind w:firstLine="480"/>
        <w:jc w:val="both"/>
      </w:pPr>
      <w:r>
        <w:rPr>
          <w:rFonts w:ascii="Times New Roman" w:hAnsi="Times New Roman" w:eastAsia="方正仿宋_GBK"/>
          <w:b w:val="0"/>
          <w:sz w:val="24"/>
        </w:rPr>
        <w:t xml:space="preserve">光伏规模较大的县域，在送端正向需求降低的同时核对反向输送；负荷密集城区，重点校核重载站和承接站的单台主变退出供电能力。储能按对应连续峰段确定功率和能量，主变建设按允许规格及扩建条件确定容量，联络按两端能力落实可转负荷。</w:t>
      </w:r>
    </w:p>
    <w:p>
      <w:pPr>
        <w:pStyle w:val="5"/>
        <w:keepNext/>
        <w:numPr>
          <w:numId w:val="0"/>
        </w:numPr>
        <w:spacing w:line="360" w:lineRule="auto" w:before="160" w:after="120"/>
        <w:ind w:firstLine="0"/>
      </w:pPr>
      <w:bookmarkStart w:id="252" w:name="随源荷发展和工程条件滚动更新规划"/>
      <w:r>
        <w:rPr>
          <w:rFonts w:ascii="Times New Roman" w:hAnsi="Times New Roman" w:eastAsia="方正仿宋_GBK"/>
          <w:b/>
          <w:sz w:val="26"/>
        </w:rPr>
        <w:t xml:space="preserve">6.2.3 随源荷发展和工程条件滚动更新规划</w:t>
      </w:r>
      <w:bookmarkEnd w:id="252"/>
    </w:p>
    <w:p>
      <w:pPr>
        <w:pStyle w:val="FirstParagraph"/>
        <w:widowControl/>
        <w:spacing w:line="300" w:lineRule="auto"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00" w:lineRule="auto"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bookmarkStart w:id="1793" w:name="h793"/>
      <w:pPr>
        <w:pStyle w:val="4"/>
        <w:keepNext/>
        <w:numPr>
          <w:numId w:val="0"/>
        </w:numPr>
        <w:spacing w:line="360" w:lineRule="auto" w:before="160" w:after="120"/>
        <w:ind w:firstLine="0"/>
      </w:pPr>
      <w:bookmarkStart w:id="253" w:name="后续研究方向"/>
      <w:r>
        <w:rPr>
          <w:rFonts w:ascii="Times New Roman" w:hAnsi="Times New Roman" w:eastAsia="方正仿宋_GBK"/>
          <w:b/>
          <w:sz w:val="32"/>
        </w:rPr>
        <w:t xml:space="preserve">6.3 后续研究方向</w:t>
      </w:r>
      <w:bookmarkEnd w:id="253"/>
      <w:bookmarkEnd w:id="1793"/>
    </w:p>
    <w:p>
      <w:pPr>
        <w:pStyle w:val="5"/>
        <w:keepNext/>
        <w:numPr>
          <w:numId w:val="0"/>
        </w:numPr>
        <w:spacing w:line="360" w:lineRule="auto" w:before="160" w:after="120"/>
        <w:ind w:firstLine="0"/>
      </w:pPr>
      <w:bookmarkStart w:id="254" w:name="深化储能运行与实际网络校核"/>
      <w:r>
        <w:rPr>
          <w:rFonts w:ascii="Times New Roman" w:hAnsi="Times New Roman" w:eastAsia="方正仿宋_GBK"/>
          <w:b/>
          <w:sz w:val="26"/>
        </w:rPr>
        <w:t xml:space="preserve">6.3.1 深化储能运行与实际网络校核</w:t>
      </w:r>
      <w:bookmarkEnd w:id="254"/>
    </w:p>
    <w:p>
      <w:pPr>
        <w:pStyle w:val="FirstParagraph"/>
        <w:widowControl/>
        <w:spacing w:line="300" w:lineRule="auto"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结合储能可用能量、充放电效率和荷电状态，核定连续多日支撑及充电条件。将等效联络方案落实到实际馈线和开关位置，继续分析线路允许容量、电压、保护配合和故障恢复要求。</w:t>
      </w:r>
    </w:p>
    <w:p>
      <w:pPr>
        <w:pStyle w:val="5"/>
        <w:keepNext/>
        <w:numPr>
          <w:numId w:val="0"/>
        </w:numPr>
        <w:spacing w:line="360" w:lineRule="auto" w:before="160" w:after="120"/>
        <w:ind w:firstLine="0"/>
      </w:pPr>
      <w:bookmarkStart w:id="255" w:name="拓展片区结构和经济参数"/>
      <w:r>
        <w:rPr>
          <w:rFonts w:ascii="Times New Roman" w:hAnsi="Times New Roman" w:eastAsia="方正仿宋_GBK"/>
          <w:b/>
          <w:sz w:val="26"/>
        </w:rPr>
        <w:t xml:space="preserve">6.3.2 拓展片区结构和经济参数</w:t>
      </w:r>
      <w:bookmarkEnd w:id="255"/>
    </w:p>
    <w:p>
      <w:pPr>
        <w:pStyle w:val="FirstParagraph"/>
        <w:widowControl/>
        <w:spacing w:line="300" w:lineRule="auto"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现有价格范围内的配置切换条件。结合工程概算及运行资料完善相应费用，逐步细化推荐区间及建设时序，为不同片区的容量规划提供依据。</w:t>
      </w:r>
    </w:p>
    <w:p>
      <w:bookmarkStart w:id="1798" w:name="h798"/>
      <w:pPr>
        <w:pStyle w:val="3"/>
        <w:keepNext/>
        <w:pageBreakBefore/>
        <w:numPr>
          <w:numId w:val="0"/>
        </w:numPr>
        <w:spacing w:line="360" w:lineRule="auto" w:before="0" w:after="120"/>
        <w:ind w:firstLine="0"/>
      </w:pPr>
      <w:bookmarkStart w:id="256" w:name="参考文献"/>
      <w:r>
        <w:rPr>
          <w:rFonts w:ascii="Times New Roman" w:hAnsi="Times New Roman" w:eastAsia="方正仿宋_GBK"/>
          <w:b/>
          <w:sz w:val="36"/>
        </w:rPr>
        <w:t xml:space="preserve">参考文献</w:t>
      </w:r>
      <w:bookmarkEnd w:id="256"/>
      <w:bookmarkEnd w:id="1798"/>
    </w:p>
    <w:p>
      <w:pPr>
        <w:pStyle w:val="FirstParagraph"/>
        <w:widowControl/>
        <w:spacing w:line="276" w:lineRule="auto" w:before="0" w:after="80"/>
        <w:ind w:firstLine="0"/>
        <w:jc w:val="left"/>
      </w:pPr>
      <w:r>
        <w:rPr>
          <w:rFonts w:ascii="Times New Roman" w:hAnsi="Times New Roman" w:eastAsia="方正仿宋_GBK"/>
          <w:b w:val="0"/>
          <w:sz w:val="21"/>
        </w:rPr>
        <w:t xml:space="preserve">[1] 国家能源局. 2026年一季度可再生能源并网运行情况[EB/OL]. (2026-04-27)[2026-10-02]. https://www.nea.gov.cn/20260427/4b751e59b0d7463a95f74096fed83e14/c.html.</w:t>
      </w:r>
    </w:p>
    <w:p>
      <w:pPr>
        <w:pStyle w:val="2"/>
        <w:widowControl/>
        <w:spacing w:line="276" w:lineRule="auto"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276" w:lineRule="auto"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276" w:lineRule="auto"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276" w:lineRule="auto"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276" w:lineRule="auto"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276" w:lineRule="auto" w:before="0" w:after="80"/>
        <w:ind w:firstLine="0"/>
        <w:jc w:val="left"/>
      </w:pPr>
      <w:r>
        <w:rPr>
          <w:rFonts w:ascii="Times New Roman" w:hAnsi="Times New Roman" w:eastAsia="方正仿宋_GBK"/>
          <w:b w:val="0"/>
          <w:sz w:val="21"/>
        </w:rPr>
        <w:t xml:space="preserve">[7] 国网江苏省电力有限公司徐州供电分公司. 江苏徐州邢楼110千伏变电站主变扩建等工程建设规模及投资汇总表[Z]. 项目收资工作簿, 年份未注明.</w:t>
      </w:r>
    </w:p>
    <w:p>
      <w:pPr>
        <w:pStyle w:val="2"/>
        <w:widowControl/>
        <w:spacing w:line="276" w:lineRule="auto" w:before="0" w:after="80"/>
        <w:ind w:firstLine="0"/>
        <w:jc w:val="left"/>
      </w:pPr>
      <w:r>
        <w:rPr>
          <w:rFonts w:ascii="Times New Roman" w:hAnsi="Times New Roman" w:eastAsia="方正仿宋_GBK"/>
          <w:b w:val="0"/>
          <w:sz w:val="21"/>
        </w:rPr>
        <w:t xml:space="preserve">[8] 肖峻, 刘柔嘉, 龙梦皓. 变电容载比与下一级中压配电网络关系的量化分析[J]. 电力建设, 2015, 36(11): 45-50.</w:t>
      </w:r>
    </w:p>
    <w:p>
      <w:pPr>
        <w:pStyle w:val="2"/>
        <w:widowControl/>
        <w:spacing w:line="276" w:lineRule="auto" w:before="0" w:after="80"/>
        <w:ind w:firstLine="0"/>
        <w:jc w:val="left"/>
      </w:pPr>
      <w:r>
        <w:rPr>
          <w:rFonts w:ascii="Times New Roman" w:hAnsi="Times New Roman" w:eastAsia="方正仿宋_GBK"/>
          <w:b w:val="0"/>
          <w:sz w:val="21"/>
        </w:rPr>
        <w:t xml:space="preserve">[9] MARTÍNEZ M, MATEO C, GÓMEZ T, et al. Distributed battery energy storage systems for deferring distribution network reinforcements under sustained load growth scenarios[J]. Journal of Energy Storage, 2024, 100: 113404.</w:t>
      </w:r>
    </w:p>
    <w:p>
      <w:pPr>
        <w:pStyle w:val="2"/>
        <w:widowControl/>
        <w:spacing w:line="276" w:lineRule="auto"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276" w:lineRule="auto" w:before="0" w:after="80"/>
        <w:ind w:firstLine="0"/>
        <w:jc w:val="left"/>
      </w:pPr>
      <w:r>
        <w:rPr>
          <w:rFonts w:ascii="Times New Roman" w:hAnsi="Times New Roman" w:eastAsia="方正仿宋_GBK"/>
          <w:b w:val="0"/>
          <w:sz w:val="21"/>
        </w:rPr>
        <w:t xml:space="preserve">[11] DL/T 2041—2025 分布式电源接入电力系统承载力评估导则[S]. 2025.</w:t>
      </w:r>
    </w:p>
    <w:p>
      <w:pPr>
        <w:pStyle w:val="2"/>
        <w:widowControl/>
        <w:spacing w:line="276" w:lineRule="auto" w:before="0" w:after="80"/>
        <w:ind w:firstLine="0"/>
        <w:jc w:val="left"/>
      </w:pPr>
      <w:r>
        <w:rPr>
          <w:rFonts w:ascii="Times New Roman" w:hAnsi="Times New Roman" w:eastAsia="方正仿宋_GBK"/>
          <w:b w:val="0"/>
          <w:sz w:val="21"/>
        </w:rPr>
        <w:t xml:space="preserve">[12] ZENG W, FAN J, ZHANG W, et al. Whole life cycle cost analysis of transmission lines using the economic life interval method[J]. Energies, 2023, 16(23): 7804.</w:t>
      </w:r>
    </w:p>
    <w:p>
      <w:pPr>
        <w:pStyle w:val="2"/>
        <w:widowControl/>
        <w:spacing w:line="276" w:lineRule="auto" w:before="0" w:after="80"/>
        <w:ind w:firstLine="0"/>
        <w:jc w:val="left"/>
      </w:pPr>
      <w:r>
        <w:rPr>
          <w:rFonts w:ascii="Times New Roman" w:hAnsi="Times New Roman" w:eastAsia="方正仿宋_GBK"/>
          <w:b w:val="0"/>
          <w:sz w:val="21"/>
        </w:rPr>
        <w:t xml:space="preserve">[13] ZHU Z, LU S, GAO B, et al. Life cycle cost analysis of three types of power lines in 10 kV distribution network[J]. Inventions, 2016, 1(4): 20.</w:t>
      </w:r>
    </w:p>
    <w:p>
      <w:pPr>
        <w:pStyle w:val="2"/>
        <w:widowControl/>
        <w:spacing w:line="276" w:lineRule="auto" w:before="0" w:after="80"/>
        <w:ind w:firstLine="0"/>
        <w:jc w:val="left"/>
      </w:pPr>
      <w:r>
        <w:rPr>
          <w:rFonts w:ascii="Times New Roman" w:hAnsi="Times New Roman" w:eastAsia="方正仿宋_GBK"/>
          <w:b w:val="0"/>
          <w:sz w:val="21"/>
        </w:rPr>
        <w:t xml:space="preserve">[14] SAATY T L. The analytic hierarchy process[M]. New York: McGraw-Hill, 1980.</w:t>
      </w:r>
    </w:p>
    <w:p>
      <w:pPr>
        <w:pStyle w:val="2"/>
        <w:widowControl/>
        <w:spacing w:line="276" w:lineRule="auto" w:before="0" w:after="80"/>
        <w:ind w:firstLine="0"/>
        <w:jc w:val="left"/>
      </w:pPr>
      <w:r>
        <w:rPr>
          <w:rFonts w:ascii="Times New Roman" w:hAnsi="Times New Roman" w:eastAsia="方正仿宋_GBK"/>
          <w:b w:val="0"/>
          <w:sz w:val="21"/>
        </w:rPr>
        <w:t xml:space="preserve">[15] WU Q, PENG C. Comprehensive benefit evaluation of the power distribution network planning project based on improved IAHP and multi-level extension assessment method[J]. Sustainability, 2016, 8(8): 796.</w:t>
      </w:r>
    </w:p>
    <w:p>
      <w:pPr>
        <w:pStyle w:val="2"/>
        <w:widowControl/>
        <w:spacing w:line="276" w:lineRule="auto" w:before="0" w:after="80"/>
        <w:ind w:firstLine="0"/>
        <w:jc w:val="left"/>
      </w:pPr>
      <w:r>
        <w:rPr>
          <w:rFonts w:ascii="Times New Roman" w:hAnsi="Times New Roman" w:eastAsia="方正仿宋_GBK"/>
          <w:b w:val="0"/>
          <w:sz w:val="21"/>
        </w:rPr>
        <w:t xml:space="preserve">[16] 罗宁, 贺墨琳, 高华, 等. 基于改进的AHP-CRITIC组合赋权与可拓评估模型的配电网综合评价方法[J]. 电力系统保护与控制, 2021, 49(16): 86-96.</w:t>
      </w:r>
    </w:p>
    <w:p>
      <w:pPr>
        <w:pStyle w:val="2"/>
        <w:widowControl/>
        <w:spacing w:line="276" w:lineRule="auto" w:before="0" w:after="80"/>
        <w:ind w:firstLine="0"/>
        <w:jc w:val="left"/>
      </w:pPr>
      <w:r>
        <w:rPr>
          <w:rFonts w:ascii="Times New Roman" w:hAnsi="Times New Roman" w:eastAsia="方正仿宋_GBK"/>
          <w:b w:val="0"/>
          <w:sz w:val="21"/>
        </w:rPr>
        <w:t xml:space="preserve">[17] 程智余, 朱晓虎, 李建青. 基于改进ELECTRE法的电网规划投资多准则融合决策方法[J]. 中国电力, 2022, 55(11): 59-65.</w:t>
      </w:r>
    </w:p>
    <w:p>
      <w:pPr>
        <w:pStyle w:val="2"/>
        <w:widowControl/>
        <w:spacing w:line="276" w:lineRule="auto" w:before="0" w:after="80"/>
        <w:ind w:firstLine="0"/>
        <w:jc w:val="left"/>
      </w:pPr>
      <w:r>
        <w:rPr>
          <w:rFonts w:ascii="Times New Roman" w:hAnsi="Times New Roman" w:eastAsia="方正仿宋_GBK"/>
          <w:b w:val="0"/>
          <w:sz w:val="21"/>
        </w:rPr>
        <w:t xml:space="preserve">[18] GB/T 45418—2025 配电网通用技术导则[S]. 2025.</w:t>
      </w:r>
    </w:p>
    <w:p>
      <w:pPr>
        <w:pStyle w:val="2"/>
        <w:widowControl/>
        <w:spacing w:line="276" w:lineRule="auto" w:before="0" w:after="80"/>
        <w:ind w:firstLine="0"/>
        <w:jc w:val="left"/>
      </w:pPr>
      <w:r>
        <w:rPr>
          <w:rFonts w:ascii="Times New Roman" w:hAnsi="Times New Roman" w:eastAsia="方正仿宋_GBK"/>
          <w:b w:val="0"/>
          <w:sz w:val="21"/>
        </w:rPr>
        <w:t xml:space="preserve">[19] 配电网规划设计技术导则（修订稿，2025年4月）[R]. 2025.</w:t>
      </w:r>
    </w:p>
    <w:p>
      <w:pPr>
        <w:pStyle w:val="2"/>
        <w:widowControl/>
        <w:spacing w:line="276" w:lineRule="auto" w:before="0" w:after="80"/>
        <w:ind w:firstLine="0"/>
        <w:jc w:val="left"/>
      </w:pPr>
      <w:r>
        <w:rPr>
          <w:rFonts w:ascii="Times New Roman" w:hAnsi="Times New Roman" w:eastAsia="方正仿宋_GBK"/>
          <w:b w:val="0"/>
          <w:sz w:val="21"/>
        </w:rPr>
        <w:t xml:space="preserve">[20] LIN T, WU G, LAI S, et al. Calculation of distribution network PV hosting capacity considering source–load uncertainty and active management[J]. Electronics, 2024, 13(20): 4048.</w:t>
      </w:r>
    </w:p>
    <w:p>
      <w:pPr>
        <w:pStyle w:val="2"/>
        <w:widowControl/>
        <w:spacing w:line="276" w:lineRule="auto" w:before="0" w:after="80"/>
        <w:ind w:firstLine="0"/>
        <w:jc w:val="left"/>
      </w:pPr>
      <w:r>
        <w:rPr>
          <w:rFonts w:ascii="Times New Roman" w:hAnsi="Times New Roman" w:eastAsia="方正仿宋_GBK"/>
          <w:b w:val="0"/>
          <w:sz w:val="21"/>
        </w:rPr>
        <w:t xml:space="preserve">[21] CHEN C, PENG W, XIE C, et al. Photovoltaic hosting capacity assessment of distribution networks considering source–load uncertainty[J]. Energies, 2025, 18(8): 2134.</w:t>
      </w:r>
    </w:p>
    <w:p>
      <w:pPr>
        <w:pStyle w:val="2"/>
        <w:widowControl/>
        <w:spacing w:line="276" w:lineRule="auto" w:before="0" w:after="80"/>
        <w:ind w:firstLine="0"/>
        <w:jc w:val="left"/>
      </w:pPr>
      <w:r>
        <w:rPr>
          <w:rFonts w:ascii="Times New Roman" w:hAnsi="Times New Roman" w:eastAsia="方正仿宋_GBK"/>
          <w:b w:val="0"/>
          <w:sz w:val="21"/>
        </w:rPr>
        <w:t xml:space="preserve">[22] LIU H, HE J, DENG L, et al. Assessment of distribution network hosting capacity incorporating multiple uncertainty factors[J]. Electronics, 2025, 14(22): 4495.</w:t>
      </w:r>
    </w:p>
    <w:p>
      <w:pPr>
        <w:pStyle w:val="2"/>
        <w:widowControl/>
        <w:spacing w:line="276" w:lineRule="auto" w:before="0" w:after="80"/>
        <w:ind w:firstLine="0"/>
        <w:jc w:val="left"/>
      </w:pPr>
      <w:r>
        <w:rPr>
          <w:rFonts w:ascii="Times New Roman" w:hAnsi="Times New Roman" w:eastAsia="方正仿宋_GBK"/>
          <w:b w:val="0"/>
          <w:sz w:val="21"/>
        </w:rPr>
        <w:t xml:space="preserve">[23] SHU J, ZHAO C, CHU B, et al. A closed-loop framework for PV dynamic hosting capacity: integrating physics-informed forecasting and stability constraints[J]. Frontiers in Energy Research, 2026. DOI: 10.3389/fenrg.2026.1823435.</w:t>
      </w:r>
    </w:p>
    <w:p>
      <w:pPr>
        <w:pStyle w:val="2"/>
        <w:widowControl/>
        <w:spacing w:line="276" w:lineRule="auto" w:before="0" w:after="80"/>
        <w:ind w:firstLine="0"/>
        <w:jc w:val="left"/>
      </w:pPr>
      <w:r>
        <w:rPr>
          <w:rFonts w:ascii="Times New Roman" w:hAnsi="Times New Roman" w:eastAsia="方正仿宋_GBK"/>
          <w:b w:val="0"/>
          <w:sz w:val="21"/>
        </w:rPr>
        <w:t xml:space="preserve">[24] HAIDER R, FERRO G, ROBBA M, et al. Flattening the duck curve: a case for distributed decision making[C]//2022 IEEE Power &amp; Energy Society General Meeting. 2022. DOI: 10.1109/PESGM48719.2022.9917019.</w:t>
      </w:r>
    </w:p>
    <w:p>
      <w:pPr>
        <w:pStyle w:val="2"/>
        <w:widowControl/>
        <w:spacing w:line="276" w:lineRule="auto" w:before="0" w:after="80"/>
        <w:ind w:firstLine="0"/>
        <w:jc w:val="left"/>
      </w:pPr>
      <w:r>
        <w:rPr>
          <w:rFonts w:ascii="Times New Roman" w:hAnsi="Times New Roman" w:eastAsia="方正仿宋_GBK"/>
          <w:b w:val="0"/>
          <w:sz w:val="21"/>
        </w:rPr>
        <w:t xml:space="preserve">[25] XIE Y, LI Q, YANG L, et al. The phenomenon and suppression strategy of overvoltage caused by PV power reverse flow[J]. Frontiers in Energy Research, 2024, 12: 1495742.</w:t>
      </w:r>
    </w:p>
    <w:p>
      <w:pPr>
        <w:pStyle w:val="2"/>
        <w:widowControl/>
        <w:spacing w:line="276" w:lineRule="auto" w:before="0" w:after="80"/>
        <w:ind w:firstLine="0"/>
        <w:jc w:val="left"/>
      </w:pPr>
      <w:r>
        <w:rPr>
          <w:rFonts w:ascii="Times New Roman" w:hAnsi="Times New Roman" w:eastAsia="方正仿宋_GBK"/>
          <w:b w:val="0"/>
          <w:sz w:val="21"/>
        </w:rPr>
        <w:t xml:space="preserve">[26] GHORBANSARVI A, HAMILTON D, ALMASSALKHI M R, et al. Transformer temperature management and voltage control in electric distribution systems with high solar PV penetration[EB/OL]. arXiv: 2410.09011, 2024.</w:t>
      </w:r>
    </w:p>
    <w:p>
      <w:pPr>
        <w:pStyle w:val="2"/>
        <w:widowControl/>
        <w:spacing w:line="276" w:lineRule="auto" w:before="0" w:after="80"/>
        <w:ind w:firstLine="0"/>
        <w:jc w:val="left"/>
      </w:pPr>
      <w:r>
        <w:rPr>
          <w:rFonts w:ascii="Times New Roman" w:hAnsi="Times New Roman" w:eastAsia="方正仿宋_GBK"/>
          <w:b w:val="0"/>
          <w:sz w:val="21"/>
        </w:rPr>
        <w:t xml:space="preserve">[27] GAO X, ZHANG J, SUN H, et al. A review of voltage control studies on low voltage distribution networks containing high penetration distributed photovoltaics[J]. Energies, 2024, 17(13): 3058.</w:t>
      </w:r>
    </w:p>
    <w:p>
      <w:pPr>
        <w:pStyle w:val="2"/>
        <w:widowControl/>
        <w:spacing w:line="276" w:lineRule="auto" w:before="0" w:after="80"/>
        <w:ind w:firstLine="0"/>
        <w:jc w:val="left"/>
      </w:pPr>
      <w:r>
        <w:rPr>
          <w:rFonts w:ascii="Times New Roman" w:hAnsi="Times New Roman" w:eastAsia="方正仿宋_GBK"/>
          <w:b w:val="0"/>
          <w:sz w:val="21"/>
        </w:rPr>
        <w:t xml:space="preserve">[28] NAIR V J, VAHID-GHAVIDEL M, ANNASWAMY A M. Dynamic resource coordination can increase grid hosting capacity to support more renewables, storage, and electrified load growth[EB/OL]. arXiv:2604.02170, 2026.</w:t>
      </w:r>
    </w:p>
    <w:p>
      <w:pPr>
        <w:pStyle w:val="2"/>
        <w:widowControl/>
        <w:spacing w:line="276" w:lineRule="auto" w:before="0" w:after="80"/>
        <w:ind w:firstLine="0"/>
        <w:jc w:val="left"/>
      </w:pPr>
      <w:r>
        <w:rPr>
          <w:rFonts w:ascii="Times New Roman" w:hAnsi="Times New Roman" w:eastAsia="方正仿宋_GBK"/>
          <w:b w:val="0"/>
          <w:sz w:val="21"/>
        </w:rPr>
        <w:t xml:space="preserve">[29] WANG R, JI H, LI P, et al. Multi-resource dynamic coordinated planning of flexible distribution network[J]. Nature Communications, 2024, 15: 4576.</w:t>
      </w:r>
    </w:p>
    <w:p>
      <w:pPr>
        <w:pStyle w:val="2"/>
        <w:widowControl/>
        <w:spacing w:line="276" w:lineRule="auto" w:before="0" w:after="80"/>
        <w:ind w:firstLine="0"/>
        <w:jc w:val="left"/>
      </w:pPr>
      <w:r>
        <w:rPr>
          <w:rFonts w:ascii="Times New Roman" w:hAnsi="Times New Roman" w:eastAsia="方正仿宋_GBK"/>
          <w:b w:val="0"/>
          <w:sz w:val="21"/>
        </w:rPr>
        <w:t xml:space="preserve">[30] HOLWEGER J, BALLIF C, WYRSCH N. Distributed flexibility as a cost-effective alternative to grid reinforcement[EB/OL]. arXiv:2109.07305, 2021.</w:t>
      </w:r>
    </w:p>
    <w:p>
      <w:pPr>
        <w:pStyle w:val="2"/>
        <w:widowControl/>
        <w:spacing w:line="276" w:lineRule="auto" w:before="0" w:after="80"/>
        <w:ind w:firstLine="0"/>
        <w:jc w:val="left"/>
      </w:pPr>
      <w:r>
        <w:rPr>
          <w:rFonts w:ascii="Times New Roman" w:hAnsi="Times New Roman" w:eastAsia="方正仿宋_GBK"/>
          <w:b w:val="0"/>
          <w:sz w:val="21"/>
        </w:rPr>
        <w:t xml:space="preserve">[31] MATTHISS B, MOMENIFARAHANI A, BINDER J. Storage placement and sizing in a distribution grid with high PV-generation[EB/OL]. arXiv: 2001.05814, 2020.</w:t>
      </w:r>
    </w:p>
    <w:p>
      <w:pPr>
        <w:pStyle w:val="2"/>
        <w:widowControl/>
        <w:spacing w:line="276" w:lineRule="auto" w:before="0" w:after="80"/>
        <w:ind w:firstLine="0"/>
        <w:jc w:val="left"/>
      </w:pPr>
      <w:r>
        <w:rPr>
          <w:rFonts w:ascii="Times New Roman" w:hAnsi="Times New Roman" w:eastAsia="方正仿宋_GBK"/>
          <w:b w:val="0"/>
          <w:sz w:val="21"/>
        </w:rPr>
        <w:t xml:space="preserve">[32] WU Y, CHEN Y, LI Z, et al. Robust co-planning of distributed photovoltaics and energy storage for enhancing the hosting capacity of active distribution networks[J]. Renewable Energy, 2025, 253: 123645.</w:t>
      </w:r>
    </w:p>
    <w:p>
      <w:pPr>
        <w:pStyle w:val="2"/>
        <w:widowControl/>
        <w:spacing w:line="276" w:lineRule="auto" w:before="0" w:after="80"/>
        <w:ind w:firstLine="0"/>
        <w:jc w:val="left"/>
      </w:pPr>
      <w:r>
        <w:rPr>
          <w:rFonts w:ascii="Times New Roman" w:hAnsi="Times New Roman" w:eastAsia="方正仿宋_GBK"/>
          <w:b w:val="0"/>
          <w:sz w:val="21"/>
        </w:rPr>
        <w:t xml:space="preserve">[33] ZHANG Q, WANG Z, MA S, et al. Stochastic pre-event preparation for enhancing resilience of distribution systems with high DER penetration[EB/OL]. (2020)[2026-10-02]. https://arxiv.org/abs/2012.13043.</w:t>
      </w:r>
    </w:p>
    <w:p>
      <w:pPr>
        <w:pStyle w:val="2"/>
        <w:widowControl/>
        <w:spacing w:line="276" w:lineRule="auto" w:before="0" w:after="80"/>
        <w:ind w:firstLine="0"/>
        <w:jc w:val="left"/>
      </w:pPr>
      <w:r>
        <w:rPr>
          <w:rFonts w:ascii="Times New Roman" w:hAnsi="Times New Roman" w:eastAsia="方正仿宋_GBK"/>
          <w:b w:val="0"/>
          <w:sz w:val="21"/>
        </w:rPr>
        <w:t xml:space="preserve">[34] HUANG J, SUN Z, XIE H, et al. Optimal substation capacity planning method in high-density load areas considering renewable energy[J]. Energy Reports, 2023, 9: 1520-1530.</w:t>
      </w:r>
    </w:p>
    <w:p>
      <w:pPr>
        <w:pStyle w:val="2"/>
        <w:widowControl/>
        <w:spacing w:line="276" w:lineRule="auto" w:before="0" w:after="80"/>
        <w:ind w:firstLine="0"/>
        <w:jc w:val="left"/>
      </w:pPr>
      <w:r>
        <w:rPr>
          <w:rFonts w:ascii="Times New Roman" w:hAnsi="Times New Roman" w:eastAsia="方正仿宋_GBK"/>
          <w:b w:val="0"/>
          <w:sz w:val="21"/>
        </w:rPr>
        <w:t xml:space="preserve">[35] XU D, FU Q, YE L, et al. The optimal sizing of substation capacity in a distribution network, considering a dynamic time-of-use pricing mechanism[J]. Sensors, 2022, 22(19): 7173.</w:t>
      </w:r>
    </w:p>
    <w:p>
      <w:pPr>
        <w:pStyle w:val="2"/>
        <w:widowControl/>
        <w:spacing w:line="276" w:lineRule="auto" w:before="0" w:after="80"/>
        <w:ind w:firstLine="0"/>
        <w:jc w:val="left"/>
      </w:pPr>
      <w:r>
        <w:rPr>
          <w:rFonts w:ascii="Times New Roman" w:hAnsi="Times New Roman" w:eastAsia="方正仿宋_GBK"/>
          <w:b w:val="0"/>
          <w:sz w:val="21"/>
        </w:rPr>
        <w:t xml:space="preserve">[36] NESPOLI L, MEDICI V. Global forecasting models for residential load flexibility and grid optimization[J]. Frontiers in Energy Research, 2025, 13: 1547617.</w:t>
      </w:r>
    </w:p>
    <w:p>
      <w:pPr>
        <w:pStyle w:val="2"/>
        <w:widowControl/>
        <w:spacing w:line="276" w:lineRule="auto" w:before="0" w:after="80"/>
        <w:ind w:firstLine="0"/>
        <w:jc w:val="left"/>
      </w:pPr>
      <w:r>
        <w:rPr>
          <w:rFonts w:ascii="Times New Roman" w:hAnsi="Times New Roman" w:eastAsia="方正仿宋_GBK"/>
          <w:b w:val="0"/>
          <w:sz w:val="21"/>
        </w:rPr>
        <w:t xml:space="preserve">[37] ZHU J, LIU Z, DAI F, et al. Coordinated planning of unbalanced flexible interconnected distribution networks based on distributed optimization[J]. Energies, 2026, 19(7): 1769.</w:t>
      </w:r>
    </w:p>
    <w:p>
      <w:pPr>
        <w:pStyle w:val="2"/>
        <w:widowControl/>
        <w:spacing w:line="276" w:lineRule="auto" w:before="0" w:after="80"/>
        <w:ind w:firstLine="0"/>
        <w:jc w:val="left"/>
      </w:pPr>
      <w:r>
        <w:rPr>
          <w:rFonts w:ascii="Times New Roman" w:hAnsi="Times New Roman" w:eastAsia="方正仿宋_GBK"/>
          <w:b w:val="0"/>
          <w:sz w:val="21"/>
        </w:rPr>
        <w:t xml:space="preserve">[38] LUO W, ZHANG C, HAN X, et al. Joint planning method for soft open points and energy storage in hybrid distribution networks based on improved DC power flow[J]. Processes, 2026, 14(6): 1013.</w:t>
      </w:r>
    </w:p>
    <w:p>
      <w:pPr>
        <w:pStyle w:val="2"/>
        <w:widowControl/>
        <w:spacing w:line="276" w:lineRule="auto" w:before="0" w:after="80"/>
        <w:ind w:firstLine="0"/>
        <w:jc w:val="left"/>
      </w:pPr>
      <w:r>
        <w:rPr>
          <w:rFonts w:ascii="Times New Roman" w:hAnsi="Times New Roman" w:eastAsia="方正仿宋_GBK"/>
          <w:b w:val="0"/>
          <w:sz w:val="21"/>
        </w:rPr>
        <w:t xml:space="preserve">[39] WANG J, CHANG C, LE J, et al. Sustainable distribution network planning for enhancing PV accommodation: a source–network–storage coordinated stochastic approach[J]. Sustainability, 2025, 17(12): 5324.</w:t>
      </w:r>
    </w:p>
    <w:p>
      <w:pPr>
        <w:pStyle w:val="2"/>
        <w:widowControl/>
        <w:spacing w:line="276" w:lineRule="auto" w:before="0" w:after="80"/>
        <w:ind w:firstLine="0"/>
        <w:jc w:val="left"/>
      </w:pPr>
      <w:r>
        <w:rPr>
          <w:rFonts w:ascii="Times New Roman" w:hAnsi="Times New Roman" w:eastAsia="方正仿宋_GBK"/>
          <w:b w:val="0"/>
          <w:sz w:val="21"/>
        </w:rPr>
        <w:t xml:space="preserve">[40] SHI Y, YAO Y, LI Y, et al. Research on source–grid–load–storage coordinated optimization and evolutionarily stable strategies for high renewable energy[J]. Energies, 2026, 19(2): 415.</w:t>
      </w:r>
    </w:p>
    <w:p>
      <w:pPr>
        <w:pStyle w:val="2"/>
        <w:widowControl/>
        <w:spacing w:line="276" w:lineRule="auto" w:before="0" w:after="80"/>
        <w:ind w:firstLine="0"/>
        <w:jc w:val="left"/>
      </w:pPr>
      <w:r>
        <w:rPr>
          <w:rFonts w:ascii="Times New Roman" w:hAnsi="Times New Roman" w:eastAsia="方正仿宋_GBK"/>
          <w:b w:val="0"/>
          <w:sz w:val="21"/>
        </w:rPr>
        <w:t xml:space="preserve">[41] WANG Y, YAN C, WANG Z, et al. Adaptability evaluation of power grid planning scheme for novel power system considering multiple decision psychology[J]. Energies, 2024, 17(15): 3672.</w:t>
      </w:r>
    </w:p>
    <w:p>
      <w:pPr>
        <w:pStyle w:val="2"/>
        <w:widowControl/>
        <w:spacing w:line="276" w:lineRule="auto" w:before="0" w:after="80"/>
        <w:ind w:firstLine="0"/>
        <w:jc w:val="left"/>
      </w:pPr>
      <w:r>
        <w:rPr>
          <w:rFonts w:ascii="Times New Roman" w:hAnsi="Times New Roman" w:eastAsia="方正仿宋_GBK"/>
          <w:b w:val="0"/>
          <w:sz w:val="21"/>
        </w:rPr>
        <w:t xml:space="preserve">[42] YE L, LI J, YANG S, et al. An improved TOPSIS method using Fermatean fuzzy sets for techno-economic evaluation of multi-type power sources[J]. Electronics, 2025, 14(23): 4770.</w:t>
      </w:r>
    </w:p>
    <w:p>
      <w:pPr>
        <w:pStyle w:val="2"/>
        <w:widowControl/>
        <w:spacing w:line="276" w:lineRule="auto" w:before="0" w:after="80"/>
        <w:ind w:firstLine="0"/>
        <w:jc w:val="left"/>
      </w:pPr>
      <w:r>
        <w:rPr>
          <w:rFonts w:ascii="Times New Roman" w:hAnsi="Times New Roman" w:eastAsia="方正仿宋_GBK"/>
          <w:b w:val="0"/>
          <w:sz w:val="21"/>
        </w:rPr>
        <w:t xml:space="preserve">[43]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276" w:lineRule="auto" w:before="0" w:after="80"/>
        <w:ind w:firstLine="0"/>
        <w:jc w:val="left"/>
      </w:pPr>
      <w:r>
        <w:rPr>
          <w:rFonts w:ascii="Times New Roman" w:hAnsi="Times New Roman" w:eastAsia="方正仿宋_GBK"/>
          <w:b w:val="0"/>
          <w:sz w:val="21"/>
        </w:rPr>
        <w:t xml:space="preserve">[44] 陈浩, 张焰, 俞国勤, 等. 多电压等级配电网最优容载比的计算方法[J]. 电气应用, 2011, 30(1): 25-29.</w:t>
      </w:r>
    </w:p>
    <w:p>
      <w:pPr>
        <w:pStyle w:val="2"/>
        <w:widowControl/>
        <w:spacing w:line="276" w:lineRule="auto" w:before="0" w:after="80"/>
        <w:ind w:firstLine="0"/>
        <w:jc w:val="left"/>
      </w:pPr>
      <w:r>
        <w:rPr>
          <w:rFonts w:ascii="Times New Roman" w:hAnsi="Times New Roman" w:eastAsia="方正仿宋_GBK"/>
          <w:b w:val="0"/>
          <w:sz w:val="21"/>
        </w:rPr>
        <w:t xml:space="preserve">[45] 王凯亮, 何卓怡, 叶健鹏, 等. 多电压等级电网协同规划的容载比优化配置方法[J]. 南方电网技术, 2025, 19(7): 131-139.</w:t>
      </w:r>
    </w:p>
    <w:p>
      <w:pPr>
        <w:pStyle w:val="2"/>
        <w:widowControl/>
        <w:spacing w:line="276" w:lineRule="auto" w:before="0" w:after="80"/>
        <w:ind w:firstLine="0"/>
        <w:jc w:val="left"/>
      </w:pPr>
      <w:r>
        <w:rPr>
          <w:rFonts w:ascii="Times New Roman" w:hAnsi="Times New Roman" w:eastAsia="方正仿宋_GBK"/>
          <w:b w:val="0"/>
          <w:sz w:val="21"/>
        </w:rPr>
        <w:t xml:space="preserve">[46] 刘文霞, 刘其达, 邓诗语, 等. 基于容载比色带的区域配电网充裕性分析[J]. 华北电力大学学报(自然科学版), 2022, 49(2): 1-12, 22.</w:t>
      </w:r>
    </w:p>
    <w:p>
      <w:pPr>
        <w:pStyle w:val="2"/>
        <w:widowControl/>
        <w:spacing w:line="276" w:lineRule="auto" w:before="0" w:after="80"/>
        <w:ind w:firstLine="0"/>
        <w:jc w:val="left"/>
      </w:pPr>
      <w:r>
        <w:rPr>
          <w:rFonts w:ascii="Times New Roman" w:hAnsi="Times New Roman" w:eastAsia="方正仿宋_GBK"/>
          <w:b w:val="0"/>
          <w:sz w:val="21"/>
        </w:rPr>
        <w:t xml:space="preserve">[47] 刘炜彬, 梁咏秋, 李锡刚, 等. 面向精细化规划的容载比参数优化方法研究[J]. 电气工程学报, 2025, 20(1): 208-216.</w:t>
      </w:r>
    </w:p>
    <w:p>
      <w:pPr>
        <w:pStyle w:val="2"/>
        <w:widowControl/>
        <w:spacing w:line="276" w:lineRule="auto" w:before="0" w:after="80"/>
        <w:ind w:firstLine="0"/>
        <w:jc w:val="left"/>
      </w:pPr>
      <w:r>
        <w:rPr>
          <w:rFonts w:ascii="Times New Roman" w:hAnsi="Times New Roman" w:eastAsia="方正仿宋_GBK"/>
          <w:b w:val="0"/>
          <w:sz w:val="21"/>
        </w:rPr>
        <w:t xml:space="preserve">[48] 张锐, 刘恒超, 张国驹, 等. 基于改进供电能力指标的低压台区柔性互联装置规划[J]. 电力建设, 2025, 46(8): 1-11.</w:t>
      </w:r>
    </w:p>
    <w:p>
      <w:pPr>
        <w:pStyle w:val="2"/>
        <w:widowControl/>
        <w:spacing w:line="276" w:lineRule="auto" w:before="0" w:after="80"/>
        <w:ind w:firstLine="0"/>
        <w:jc w:val="left"/>
      </w:pPr>
      <w:r>
        <w:rPr>
          <w:rFonts w:ascii="Times New Roman" w:hAnsi="Times New Roman" w:eastAsia="方正仿宋_GBK"/>
          <w:b w:val="0"/>
          <w:sz w:val="21"/>
        </w:rPr>
        <w:t xml:space="preserve">[49] 马雨欣, 林凌雪. 面向配电网精准规划的最大供电能力评估方法[J]. 现代电力, 2025, 42(6): 1120-1130.</w:t>
      </w:r>
    </w:p>
    <w:p>
      <w:pPr>
        <w:pStyle w:val="2"/>
        <w:widowControl/>
        <w:spacing w:line="276" w:lineRule="auto" w:before="0" w:after="80"/>
        <w:ind w:firstLine="0"/>
        <w:jc w:val="left"/>
      </w:pPr>
      <w:r>
        <w:rPr>
          <w:rFonts w:ascii="Times New Roman" w:hAnsi="Times New Roman" w:eastAsia="方正仿宋_GBK"/>
          <w:b w:val="0"/>
          <w:sz w:val="21"/>
        </w:rPr>
        <w:t xml:space="preserve">[50] 王守相, 尹孜阳, 赵倩宇. 考虑多供电层级耦合的中低压配电网分布式光伏承载力一体化精细评估方法[J]. 电工技术学报, 2025, 40(6): 1930-1944.</w:t>
      </w:r>
    </w:p>
    <w:p>
      <w:pPr>
        <w:pStyle w:val="2"/>
        <w:widowControl/>
        <w:spacing w:line="276" w:lineRule="auto"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276" w:lineRule="auto"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276" w:lineRule="auto"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276" w:lineRule="auto"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276" w:lineRule="auto"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276" w:lineRule="auto"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276" w:lineRule="auto"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276" w:lineRule="auto"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276" w:lineRule="auto"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276" w:lineRule="auto"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276" w:lineRule="auto"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276" w:lineRule="auto"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276" w:lineRule="auto"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276" w:lineRule="auto"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276" w:lineRule="auto"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276" w:lineRule="auto" w:before="0" w:after="80"/>
        <w:ind w:firstLine="0"/>
        <w:jc w:val="left"/>
      </w:pPr>
      <w:r>
        <w:rPr>
          <w:rFonts w:ascii="Times New Roman" w:hAnsi="Times New Roman" w:eastAsia="方正仿宋_GBK"/>
          <w:b w:val="0"/>
          <w:sz w:val="21"/>
        </w:rPr>
        <w:t xml:space="preserve">[66] 徐峰亮, 王克谦, 等. 计及运行灵活性的中压配电系统源-网-储协同扩展规划[J]. 中国电力, 2024, 57(7): 98-108.</w:t>
      </w:r>
    </w:p>
    <w:p>
      <w:pPr>
        <w:pStyle w:val="2"/>
        <w:widowControl/>
        <w:spacing w:line="276" w:lineRule="auto" w:before="0" w:after="80"/>
        <w:ind w:firstLine="0"/>
        <w:jc w:val="left"/>
      </w:pPr>
      <w:r>
        <w:rPr>
          <w:rFonts w:ascii="Times New Roman" w:hAnsi="Times New Roman" w:eastAsia="方正仿宋_GBK"/>
          <w:b w:val="0"/>
          <w:sz w:val="21"/>
        </w:rPr>
        <w:t xml:space="preserve">[67] 乐健, 王靖, 廖小兵, 等. 基于随机场景的配电网源网储协同规划方法[J]. 电力系统保护与控制, 2025, 53(4): 132-147.</w:t>
      </w:r>
    </w:p>
    <w:p>
      <w:pPr>
        <w:pStyle w:val="2"/>
        <w:widowControl/>
        <w:spacing w:line="276" w:lineRule="auto" w:before="0" w:after="80"/>
        <w:ind w:firstLine="0"/>
        <w:jc w:val="left"/>
      </w:pPr>
      <w:r>
        <w:rPr>
          <w:rFonts w:ascii="Times New Roman" w:hAnsi="Times New Roman" w:eastAsia="方正仿宋_GBK"/>
          <w:b w:val="0"/>
          <w:sz w:val="21"/>
        </w:rPr>
        <w:t xml:space="preserve">[68] 张全, 代贤忠, 韩新阳, 等. 基于全生命周期投入产出效益的电网规划精准投资方法[J]. 中国电力, 2018, 51(10): 171-177.</w:t>
      </w:r>
    </w:p>
    <w:p>
      <w:pPr>
        <w:pStyle w:val="2"/>
        <w:widowControl/>
        <w:spacing w:line="276" w:lineRule="auto" w:before="0" w:after="80"/>
        <w:ind w:firstLine="0"/>
        <w:jc w:val="left"/>
      </w:pPr>
      <w:r>
        <w:rPr>
          <w:rFonts w:ascii="Times New Roman" w:hAnsi="Times New Roman" w:eastAsia="方正仿宋_GBK"/>
          <w:b w:val="0"/>
          <w:sz w:val="21"/>
        </w:rPr>
        <w:t xml:space="preserve">[69] 何凯, 王剑晓, 王佳伟, 等. 基于全成本电价的电网规划方案评估与优选[J]. 中国电力, 2020, 53(3): 66-75.</w:t>
      </w:r>
    </w:p>
    <w:p>
      <w:pPr>
        <w:pStyle w:val="2"/>
        <w:widowControl/>
        <w:spacing w:line="276" w:lineRule="auto" w:before="0" w:after="80"/>
        <w:ind w:firstLine="0"/>
        <w:jc w:val="left"/>
      </w:pPr>
      <w:r>
        <w:rPr>
          <w:rFonts w:ascii="Times New Roman" w:hAnsi="Times New Roman" w:eastAsia="方正仿宋_GBK"/>
          <w:b w:val="0"/>
          <w:sz w:val="21"/>
        </w:rPr>
        <w:t xml:space="preserve">[70] 武小琳, 栾凌, 潘连武, 等. 基于LM-CNN的输变电工程造价自动计算模型[J]. 中国电力, 2023, 56(2): 157-163.</w:t>
      </w:r>
    </w:p>
    <w:p>
      <w:pPr>
        <w:pStyle w:val="2"/>
        <w:widowControl/>
        <w:spacing w:line="276" w:lineRule="auto" w:before="0" w:after="80"/>
        <w:ind w:firstLine="0"/>
        <w:jc w:val="left"/>
      </w:pPr>
      <w:r>
        <w:rPr>
          <w:rFonts w:ascii="Times New Roman" w:hAnsi="Times New Roman" w:eastAsia="方正仿宋_GBK"/>
          <w:b w:val="0"/>
          <w:sz w:val="21"/>
        </w:rPr>
        <w:t xml:space="preserve">[71] 黄碧斌, 李琼慧, 高菲. 计及电网改造的高渗透率分布式光伏优化规划[J]. 电力建设, 2015, 36(10): 82-87.</w:t>
      </w:r>
    </w:p>
    <w:p>
      <w:pPr>
        <w:pStyle w:val="2"/>
        <w:widowControl/>
        <w:spacing w:line="276" w:lineRule="auto" w:before="0" w:after="80"/>
        <w:ind w:firstLine="0"/>
        <w:jc w:val="left"/>
      </w:pPr>
      <w:r>
        <w:rPr>
          <w:rFonts w:ascii="Times New Roman" w:hAnsi="Times New Roman" w:eastAsia="方正仿宋_GBK"/>
          <w:b w:val="0"/>
          <w:sz w:val="21"/>
        </w:rPr>
        <w:t xml:space="preserve">[72] 汪志才, 蔡晔, 谭玉东, 等. 考虑功能差异的输变电项目效益评价及投资优化方法[J]. 中国电力, 2019, 52(11): 175-184.</w:t>
      </w:r>
    </w:p>
    <w:p>
      <w:pPr>
        <w:pStyle w:val="2"/>
        <w:widowControl/>
        <w:spacing w:line="276" w:lineRule="auto" w:before="0" w:after="80"/>
        <w:ind w:firstLine="0"/>
        <w:jc w:val="left"/>
      </w:pPr>
      <w:r>
        <w:rPr>
          <w:rFonts w:ascii="Times New Roman" w:hAnsi="Times New Roman" w:eastAsia="方正仿宋_GBK"/>
          <w:b w:val="0"/>
          <w:sz w:val="21"/>
        </w:rPr>
        <w:t xml:space="preserve">[73] 严小玉. 考虑光伏电源接入影响的兴国县配电网规划[D]. 南昌: 南昌大学, 2016.</w:t>
      </w:r>
    </w:p>
    <w:p>
      <w:pPr>
        <w:pStyle w:val="2"/>
        <w:widowControl/>
        <w:spacing w:line="276" w:lineRule="auto" w:before="0" w:after="80"/>
        <w:ind w:firstLine="0"/>
        <w:jc w:val="left"/>
      </w:pPr>
      <w:r>
        <w:rPr>
          <w:rFonts w:ascii="Times New Roman" w:hAnsi="Times New Roman" w:eastAsia="方正仿宋_GBK"/>
          <w:b w:val="0"/>
          <w:sz w:val="21"/>
        </w:rPr>
        <w:t xml:space="preserve">[74]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w:t>
      </w:r>
    </w:p>
    <w:p>
      <w:pPr>
        <w:pStyle w:val="2"/>
        <w:widowControl/>
        <w:spacing w:line="276" w:lineRule="auto" w:before="0" w:after="80"/>
        <w:ind w:firstLine="0"/>
        <w:jc w:val="left"/>
      </w:pPr>
      <w:r>
        <w:rPr>
          <w:rFonts w:ascii="Times New Roman" w:hAnsi="Times New Roman" w:eastAsia="方正仿宋_GBK"/>
          <w:b w:val="0"/>
          <w:sz w:val="21"/>
        </w:rPr>
        <w:t xml:space="preserve">[75] 陈璨, 白明辉, 张婉明, 等. 分布式光伏边界渗透率快速定位及消纳方案择优[J]. 中国电力, 2022, 55(8): 40-50.</w:t>
      </w:r>
    </w:p>
    <w:p>
      <w:pPr>
        <w:pStyle w:val="2"/>
        <w:widowControl/>
        <w:spacing w:line="276" w:lineRule="auto" w:before="0" w:after="80"/>
        <w:ind w:firstLine="0"/>
        <w:jc w:val="left"/>
      </w:pPr>
      <w:r>
        <w:rPr>
          <w:rFonts w:ascii="Times New Roman" w:hAnsi="Times New Roman" w:eastAsia="方正仿宋_GBK"/>
          <w:b w:val="0"/>
          <w:sz w:val="21"/>
        </w:rPr>
        <w:t xml:space="preserve">[76] 孙东磊, 孙毅, 刘蕊, 等. 计及多层级配电网的分布式新能源最大消纳空间分解测算[J]. 中国电力, 2024, 57(8): 108-116.</w:t>
      </w:r>
    </w:p>
    <w:p>
      <w:pPr>
        <w:pStyle w:val="2"/>
        <w:widowControl/>
        <w:spacing w:line="276" w:lineRule="auto" w:before="0" w:after="80"/>
        <w:ind w:firstLine="0"/>
        <w:jc w:val="left"/>
      </w:pPr>
      <w:r>
        <w:rPr>
          <w:rFonts w:ascii="Times New Roman" w:hAnsi="Times New Roman" w:eastAsia="方正仿宋_GBK"/>
          <w:b w:val="0"/>
          <w:sz w:val="21"/>
        </w:rPr>
        <w:t xml:space="preserve">[77] 金勇, 刘俊勇, 张曦, 等. 基于功能单元的高压配电网负荷转供分层优化模型[J]. 工程科学与技术, 2017, 49(3): 179-190.</w:t>
      </w:r>
    </w:p>
    <w:p>
      <w:pPr>
        <w:pStyle w:val="2"/>
        <w:widowControl/>
        <w:spacing w:line="276" w:lineRule="auto" w:before="0" w:after="80"/>
        <w:ind w:firstLine="0"/>
        <w:jc w:val="left"/>
      </w:pPr>
      <w:r>
        <w:rPr>
          <w:rFonts w:ascii="Times New Roman" w:hAnsi="Times New Roman" w:eastAsia="方正仿宋_GBK"/>
          <w:b w:val="0"/>
          <w:sz w:val="21"/>
        </w:rPr>
        <w:t xml:space="preserve">[78] ZHAO F, XUE L, ZHU J, et al. A novel investment strategy for renewable-dominated power distribution networks[J]. Frontiers in Energy Research, 2023, 10: 968944.</w:t>
      </w:r>
    </w:p>
    <w:p>
      <w:pPr>
        <w:pStyle w:val="2"/>
        <w:widowControl/>
        <w:spacing w:line="276" w:lineRule="auto"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276" w:lineRule="auto"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276" w:lineRule="auto"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276" w:lineRule="auto"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276" w:lineRule="auto"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276" w:lineRule="auto"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276" w:lineRule="auto" w:before="0" w:after="80"/>
        <w:ind w:firstLine="0"/>
        <w:jc w:val="left"/>
      </w:pPr>
      <w:r>
        <w:rPr>
          <w:rFonts w:ascii="Times New Roman" w:hAnsi="Times New Roman" w:eastAsia="方正仿宋_GBK"/>
          <w:b w:val="0"/>
          <w:sz w:val="21"/>
        </w:rPr>
        <w:t xml:space="preserve">[85] 浏阳经济技术开发区管理委员会. 浏阳经开区南园污水处理厂1MW/2.2MWh用户侧储能项目中标结果公告[EB/OL]. (2024-08-15)[2026-10-02].</w:t>
      </w:r>
    </w:p>
    <w:p>
      <w:pPr>
        <w:pStyle w:val="2"/>
        <w:widowControl/>
        <w:spacing w:line="276" w:lineRule="auto" w:before="0" w:after="80"/>
        <w:ind w:firstLine="0"/>
        <w:jc w:val="left"/>
      </w:pPr>
      <w:r>
        <w:rPr>
          <w:rFonts w:ascii="Times New Roman" w:hAnsi="Times New Roman" w:eastAsia="方正仿宋_GBK"/>
          <w:b w:val="0"/>
          <w:sz w:val="21"/>
        </w:rPr>
        <w:t xml:space="preserve">[86] 华容县人民政府. 华容县配电网规划报告[EB/OL]. 2020. 表7-1. https://www.huarong.gov.cn/33157/64140/64170/content_1874487.html.</w:t>
      </w:r>
    </w:p>
    <w:p>
      <w:pPr>
        <w:pStyle w:val="2"/>
        <w:widowControl/>
        <w:spacing w:line="276" w:lineRule="auto" w:before="0" w:after="80"/>
        <w:ind w:firstLine="0"/>
        <w:jc w:val="left"/>
      </w:pPr>
      <w:r>
        <w:rPr>
          <w:rFonts w:ascii="Times New Roman" w:hAnsi="Times New Roman" w:eastAsia="方正仿宋_GBK"/>
          <w:b w:val="0"/>
          <w:sz w:val="21"/>
        </w:rPr>
        <w:t xml:space="preserve">[87] 徐州10 kV线路迁改项目招标公告[EB/OL]. 2025. https://ggzy.zwb.xz.gov.cn/jyxx/003009/003009001/20250903/8c7d2dd2-dcab-4abf-827f-d0f5774799d3.html.</w:t>
      </w:r>
    </w:p>
    <w:p>
      <w:pPr>
        <w:pStyle w:val="2"/>
        <w:widowControl/>
        <w:spacing w:line="276" w:lineRule="auto" w:before="0" w:after="80"/>
        <w:ind w:firstLine="0"/>
        <w:jc w:val="left"/>
      </w:pPr>
      <w:r>
        <w:rPr>
          <w:rFonts w:ascii="Times New Roman" w:hAnsi="Times New Roman" w:eastAsia="方正仿宋_GBK"/>
          <w:b w:val="0"/>
          <w:sz w:val="21"/>
        </w:rPr>
        <w:t xml:space="preserve">[88] 苏州禾瑞新能源发展有限公司. 苏州欣科导轨（二期）399.555KW屋顶分布式光伏及储能电站项目招标公告[EB/OL]. (2025-03-25)[2026-10-02]. 苏州市公共资源交易平台.</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docGrid w:type="lines" w:linePitch="312"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fals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300" w:lineRule="auto" w:before="0" w:after="0"/>
      <w:ind w:firstLineChars="200" w:firstLine="480"/>
      <w:jc w:val="both"/>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pPr>
    <w:rPr>
      <w:b/>
      <w:bCs/>
      <w:szCs w:val="28"/>
    </w:rPr>
  </w:style>
  <w:style w:type="paragraph" w:styleId="9">
    <w:name w:val="heading 6"/>
    <w:basedOn w:val="1"/>
    <w:next w:val="1"/>
    <w:link w:val="41"/>
    <w:semiHidden/>
    <w:unhideWhenUsed/>
    <w:qFormat/>
    <w:uiPriority w:val="9"/>
    <w:pPr>
      <w:keepNext/>
      <w:keepLines/>
      <w:adjustRightInd/>
      <w:snapToGrid/>
      <w:spacing w:before="240" w:after="64" w:line="319" w:lineRule="auto"/>
      <w:outlineLvl w:val="5"/>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00" w:lineRule="auto" w:before="0"/>
      <w:ind w:firstLine="480"/>
    </w:pPr>
    <w:rPr>
      <w:rFonts w:ascii="Times New Roman" w:hAnsi="Times New Roman" w:eastAsia="方正仿宋_GBK"/>
      <w:b w:val="0"/>
      <w:sz w:val="24"/>
    </w:rPr>
  </w:style>
  <w:style w:type="paragraph" w:customStyle="1" w:styleId="6">
    <w:name w:val="正文 缩进"/>
    <w:basedOn w:val="1"/>
    <w:qFormat/>
    <w:uiPriority w:val="99"/>
  </w:style>
  <w:style w:type="paragraph" w:styleId="13">
    <w:name w:val="caption"/>
    <w:next w:val="1"/>
    <w:semiHidden/>
    <w:unhideWhenUsed/>
    <w:qFormat/>
    <w:uiPriority w:val="35"/>
    <w:pPr>
      <w:jc w:val="center"/>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pPr>
    <w:rPr>
      <w:rFonts w:ascii="宋体" w:eastAsia="宋体" w:hAnsiTheme="minorHAnsi"/>
      <w:sz w:val="18"/>
      <w:szCs w:val="18"/>
    </w:rPr>
  </w:style>
  <w:style w:type="paragraph" w:styleId="15">
    <w:name w:val="annotation text"/>
    <w:basedOn w:val="1"/>
    <w:link w:val="113"/>
    <w:semiHidden/>
    <w:unhideWhenUsed/>
    <w:uiPriority w:val="99"/>
    <w:pPr>
      <w:jc w:val="left"/>
    </w:pPr>
  </w:style>
  <w:style w:type="paragraph" w:styleId="16">
    <w:name w:val="toc 3"/>
    <w:basedOn w:val="1"/>
    <w:next w:val="1"/>
    <w:autoRedefine/>
    <w:semiHidden/>
    <w:unhideWhenUsed/>
    <w:qFormat/>
    <w:uiPriority w:val="39"/>
    <w:pPr>
      <w:ind w:left="840" w:leftChars="400"/>
    </w:pPr>
  </w:style>
  <w:style w:type="paragraph" w:styleId="17">
    <w:name w:val="Date"/>
    <w:basedOn w:val="1"/>
    <w:next w:val="1"/>
    <w:link w:val="48"/>
    <w:semiHidden/>
    <w:unhideWhenUsed/>
    <w:qFormat/>
    <w:uiPriority w:val="99"/>
    <w:pPr>
      <w:ind w:left="100" w:leftChars="2500"/>
    </w:pPr>
  </w:style>
  <w:style w:type="paragraph" w:styleId="18">
    <w:name w:val="Balloon Text"/>
    <w:basedOn w:val="1"/>
    <w:link w:val="50"/>
    <w:semiHidden/>
    <w:unhideWhenUsed/>
    <w:qFormat/>
    <w:uiPriority w:val="99"/>
    <w:rPr>
      <w:sz w:val="18"/>
      <w:szCs w:val="18"/>
    </w:rPr>
  </w:style>
  <w:style w:type="paragraph" w:styleId="19">
    <w:name w:val="footer"/>
    <w:basedOn w:val="1"/>
    <w:link w:val="47"/>
    <w:unhideWhenUsed/>
    <w:qFormat/>
    <w:uiPriority w:val="99"/>
    <w:pPr>
      <w:tabs>
        <w:tab w:val="center" w:pos="4153"/>
        <w:tab w:val="right" w:pos="8306"/>
      </w:tabs>
      <w:spacing w:line="240" w:lineRule="atLeast"/>
      <w:jc w:val="left"/>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pPr>
  </w:style>
  <w:style w:type="paragraph" w:styleId="23">
    <w:name w:val="Normal (Web)"/>
    <w:basedOn w:val="1"/>
    <w:semiHidden/>
    <w:unhideWhenUsed/>
    <w:qFormat/>
    <w:uiPriority w:val="99"/>
    <w:pPr>
      <w:widowControl/>
      <w:adjustRightInd/>
      <w:snapToGrid/>
      <w:spacing w:before="100" w:beforeAutospacing="1" w:after="100" w:afterAutospacing="1"/>
      <w:jc w:val="left"/>
    </w:pPr>
    <w:rPr>
      <w:rFonts w:ascii="宋体" w:hAnsi="宋体" w:eastAsia="宋体" w:cs="宋体"/>
      <w:kern w:val="0"/>
      <w:szCs w:val="24"/>
    </w:rPr>
  </w:style>
  <w:style w:type="paragraph" w:styleId="24">
    <w:name w:val="annotation subject"/>
    <w:basedOn w:val="15"/>
    <w:next w:val="15"/>
    <w:link w:val="114"/>
    <w:semiHidden/>
    <w:unhideWhenUsed/>
    <w:uiPriority w:val="99"/>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napToGrid/>
      <w:spacing w:before="100" w:beforeAutospacing="1" w:after="100" w:afterAutospacing="1"/>
      <w:jc w:val="left"/>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snapToGrid/>
      <w:ind w:firstLine="420"/>
    </w:pPr>
    <w:rPr>
      <w:rFonts w:ascii="Calibri" w:hAnsi="Calibri" w:eastAsia="宋体" w:cs="Times New Roman"/>
      <w:sz w:val="21"/>
      <w:szCs w:val="24"/>
    </w:rPr>
  </w:style>
  <w:style w:type="paragraph" w:customStyle="1" w:styleId="58">
    <w:name w:val="正文段落"/>
    <w:basedOn w:val="1"/>
    <w:qFormat/>
    <w:uiPriority w:val="99"/>
    <w:pPr>
      <w:adjustRightInd/>
      <w:snapToGrid/>
    </w:pPr>
    <w:rPr>
      <w:rFonts w:cs="Times New Roman"/>
      <w:szCs w:val="20"/>
    </w:rPr>
  </w:style>
  <w:style w:type="paragraph" w:customStyle="1" w:styleId="59">
    <w:name w:val="普通(网站)1"/>
    <w:basedOn w:val="1"/>
    <w:qFormat/>
    <w:uiPriority w:val="99"/>
    <w:pPr>
      <w:widowControl/>
      <w:adjustRightInd/>
      <w:snapToGrid/>
      <w:spacing w:before="100" w:beforeAutospacing="1" w:after="100" w:afterAutospacing="1"/>
      <w:jc w:val="left"/>
    </w:pPr>
    <w:rPr>
      <w:rFonts w:ascii="宋体" w:hAnsi="宋体" w:eastAsia="宋体" w:cs="宋体"/>
      <w:kern w:val="0"/>
      <w:szCs w:val="24"/>
    </w:rPr>
  </w:style>
  <w:style w:type="paragraph" w:customStyle="1" w:styleId="60">
    <w:name w:val="p0"/>
    <w:basedOn w:val="1"/>
    <w:qFormat/>
    <w:uiPriority w:val="99"/>
    <w:pPr>
      <w:widowControl/>
      <w:adjustRightInd/>
      <w:snapToGrid/>
    </w:pPr>
    <w:rPr>
      <w:rFonts w:eastAsia="宋体" w:cs="Times New Roman"/>
      <w:kern w:val="0"/>
      <w:sz w:val="21"/>
      <w:szCs w:val="20"/>
    </w:rPr>
  </w:style>
  <w:style w:type="paragraph" w:customStyle="1" w:styleId="61">
    <w:name w:val="xl102"/>
    <w:basedOn w:val="1"/>
    <w:qFormat/>
    <w:uiPriority w:val="99"/>
    <w:pPr>
      <w:widowControl/>
      <w:adjustRightInd/>
      <w:snapToGrid/>
      <w:spacing w:before="100" w:beforeAutospacing="1" w:after="100" w:afterAutospacing="1"/>
      <w:jc w:val="left"/>
    </w:pPr>
    <w:rPr>
      <w:rFonts w:ascii="黑体" w:hAnsi="黑体" w:eastAsia="黑体" w:cs="宋体"/>
      <w:color w:val="000000"/>
      <w:kern w:val="0"/>
      <w:szCs w:val="24"/>
    </w:rPr>
  </w:style>
  <w:style w:type="paragraph" w:customStyle="1" w:styleId="62">
    <w:name w:val="xl103"/>
    <w:basedOn w:val="1"/>
    <w:qFormat/>
    <w:uiPriority w:val="99"/>
    <w:pPr>
      <w:widowControl/>
      <w:adjustRightInd/>
      <w:snapToGrid/>
      <w:spacing w:before="100" w:beforeAutospacing="1" w:after="100" w:afterAutospacing="1"/>
      <w:jc w:val="center"/>
    </w:pPr>
    <w:rPr>
      <w:rFonts w:ascii="黑体" w:hAnsi="黑体" w:eastAsia="黑体" w:cs="宋体"/>
      <w:color w:val="000000"/>
      <w:kern w:val="0"/>
      <w:szCs w:val="24"/>
    </w:rPr>
  </w:style>
  <w:style w:type="paragraph" w:customStyle="1" w:styleId="63">
    <w:name w:val="xl104"/>
    <w:basedOn w:val="1"/>
    <w:qFormat/>
    <w:uiPriority w:val="99"/>
    <w:pPr>
      <w:widowControl/>
      <w:adjustRightInd/>
      <w:snapToGrid/>
      <w:spacing w:before="100" w:beforeAutospacing="1" w:after="100" w:afterAutospacing="1"/>
      <w:jc w:val="left"/>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napToGrid/>
      <w:spacing w:before="100" w:beforeAutospacing="1" w:after="100" w:afterAutospacing="1"/>
      <w:jc w:val="center"/>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napToGrid/>
      <w:spacing w:before="100" w:beforeAutospacing="1" w:after="100" w:afterAutospacing="1"/>
      <w:jc w:val="center"/>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napToGrid/>
      <w:spacing w:before="100" w:beforeAutospacing="1" w:after="100" w:afterAutospacing="1"/>
      <w:jc w:val="left"/>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napToGrid/>
      <w:spacing w:before="100" w:beforeAutospacing="1" w:after="100" w:afterAutospacing="1"/>
      <w:jc w:val="center"/>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kern w:val="0"/>
      <w:szCs w:val="24"/>
    </w:rPr>
  </w:style>
  <w:style w:type="paragraph" w:customStyle="1" w:styleId="94">
    <w:name w:val="xl72"/>
    <w:basedOn w:val="1"/>
    <w:qFormat/>
    <w:uiPriority w:val="99"/>
    <w:pPr>
      <w:widowControl/>
      <w:adjustRightInd/>
      <w:snapToGrid/>
      <w:spacing w:before="100" w:beforeAutospacing="1" w:after="100" w:afterAutospacing="1"/>
      <w:jc w:val="left"/>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napToGrid/>
      <w:spacing w:before="100" w:beforeAutospacing="1" w:after="100" w:afterAutospacing="1"/>
      <w:jc w:val="center"/>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napToGrid/>
      <w:spacing w:before="100" w:beforeAutospacing="1" w:after="100" w:afterAutospacing="1"/>
      <w:jc w:val="center"/>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snapToGrid/>
      <w:ind w:firstLine="42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176" Type="http://schemas.openxmlformats.org/officeDocument/2006/relationships/image" Target="media/rId176.png"/><Relationship Id="rId92" Type="http://schemas.openxmlformats.org/officeDocument/2006/relationships/image" Target="media/rId92.png"/><Relationship Id="rId105" Type="http://schemas.openxmlformats.org/officeDocument/2006/relationships/image" Target="media/rId105.png"/><Relationship Id="rId123" Type="http://schemas.openxmlformats.org/officeDocument/2006/relationships/image" Target="media/rId123.png"/><Relationship Id="rId108" Type="http://schemas.openxmlformats.org/officeDocument/2006/relationships/image" Target="media/rId108.png"/><Relationship Id="rId178" Type="http://schemas.openxmlformats.org/officeDocument/2006/relationships/image" Target="media/rId178.png"/><Relationship Id="rId103" Type="http://schemas.openxmlformats.org/officeDocument/2006/relationships/image" Target="media/rId103.png"/><Relationship Id="rId179" Type="http://schemas.openxmlformats.org/officeDocument/2006/relationships/image" Target="media/rId179.png"/><Relationship Id="rId113" Type="http://schemas.openxmlformats.org/officeDocument/2006/relationships/image" Target="media/rId113.png"/><Relationship Id="rId121" Type="http://schemas.openxmlformats.org/officeDocument/2006/relationships/image" Target="media/rId121.png"/><Relationship Id="rId97" Type="http://schemas.openxmlformats.org/officeDocument/2006/relationships/image" Target="media/rId97.png"/><Relationship Id="rId146" Type="http://schemas.openxmlformats.org/officeDocument/2006/relationships/image" Target="media/rId146.png"/><Relationship Id="rId41" Type="http://schemas.openxmlformats.org/officeDocument/2006/relationships/image" Target="media/rId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102</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2026-10-02T03:22:59Z</dcterms:created>
  <dcterms:modified xsi:type="dcterms:W3CDTF">2026-10-02T03:22:59Z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