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2"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h32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3"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h73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6"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h76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9"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h79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39"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h139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h153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7"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h167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4"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h184 \h </w:instrText>
      </w:r>
      <w:r>
        <w:rPr>
          <w:rFonts w:ascii="Times New Roman" w:hAnsi="Times New Roman" w:eastAsia="方正仿宋_GBK"/>
          <w:b w:val="0"/>
          <w:sz w:val="24"/>
        </w:rPr>
        <w:fldChar w:fldCharType="separate"/>
      </w:r>
      <w:r>
        <w:rPr>
          <w:rFonts w:ascii="Times New Roman" w:hAnsi="Times New Roman" w:eastAsia="方正仿宋_GBK"/>
          <w:b w:val="0"/>
          <w:sz w:val="24"/>
        </w:rPr>
        <w:t>22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8"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h198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1"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h211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3"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5"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h235 \h </w:instrText>
      </w:r>
      <w:r>
        <w:rPr>
          <w:rFonts w:ascii="Times New Roman" w:hAnsi="Times New Roman" w:eastAsia="方正仿宋_GBK"/>
          <w:b/>
          <w:sz w:val="24"/>
        </w:rPr>
        <w:fldChar w:fldCharType="separate"/>
      </w:r>
      <w:r>
        <w:rPr>
          <w:rFonts w:ascii="Times New Roman" w:hAnsi="Times New Roman" w:eastAsia="方正仿宋_GBK"/>
          <w:b/>
          <w:sz w:val="24"/>
        </w:rPr>
        <w:t>27</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6"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6"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7"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h267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9"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h289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25"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h325 \h </w:instrText>
      </w:r>
      <w:r>
        <w:rPr>
          <w:rFonts w:ascii="Times New Roman" w:hAnsi="Times New Roman" w:eastAsia="方正仿宋_GBK"/>
          <w:b w:val="0"/>
          <w:sz w:val="24"/>
        </w:rPr>
        <w:fldChar w:fldCharType="separate"/>
      </w:r>
      <w:r>
        <w:rPr>
          <w:rFonts w:ascii="Times New Roman" w:hAnsi="Times New Roman" w:eastAsia="方正仿宋_GBK"/>
          <w:b w:val="0"/>
          <w:sz w:val="24"/>
        </w:rPr>
        <w:t>39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8"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h368 \h </w:instrText>
      </w:r>
      <w:r>
        <w:rPr>
          <w:rFonts w:ascii="Times New Roman" w:hAnsi="Times New Roman" w:eastAsia="方正仿宋_GBK"/>
          <w:b w:val="0"/>
          <w:sz w:val="24"/>
        </w:rPr>
        <w:fldChar w:fldCharType="separate"/>
      </w:r>
      <w:r>
        <w:rPr>
          <w:rFonts w:ascii="Times New Roman" w:hAnsi="Times New Roman" w:eastAsia="方正仿宋_GBK"/>
          <w:b w:val="0"/>
          <w:sz w:val="24"/>
        </w:rPr>
        <w:t>48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8"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h378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94"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h394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22"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h422 \h </w:instrText>
      </w:r>
      <w:r>
        <w:rPr>
          <w:rFonts w:ascii="Times New Roman" w:hAnsi="Times New Roman" w:eastAsia="方正仿宋_GBK"/>
          <w:b/>
          <w:sz w:val="24"/>
        </w:rPr>
        <w:fldChar w:fldCharType="separate"/>
      </w:r>
      <w:r>
        <w:rPr>
          <w:rFonts w:ascii="Times New Roman" w:hAnsi="Times New Roman" w:eastAsia="方正仿宋_GBK"/>
          <w:b/>
          <w:sz w:val="24"/>
        </w:rPr>
        <w:t>56</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23"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h423 \h </w:instrText>
      </w:r>
      <w:r>
        <w:rPr>
          <w:rFonts w:ascii="Times New Roman" w:hAnsi="Times New Roman" w:eastAsia="方正仿宋_GBK"/>
          <w:b w:val="0"/>
          <w:sz w:val="24"/>
        </w:rPr>
        <w:fldChar w:fldCharType="separate"/>
      </w:r>
      <w:r>
        <w:rPr>
          <w:rFonts w:ascii="Times New Roman" w:hAnsi="Times New Roman" w:eastAsia="方正仿宋_GBK"/>
          <w:b w:val="0"/>
          <w:sz w:val="24"/>
        </w:rPr>
        <w:t>56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5"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h435 \h </w:instrText>
      </w:r>
      <w:r>
        <w:rPr>
          <w:rFonts w:ascii="Times New Roman" w:hAnsi="Times New Roman" w:eastAsia="方正仿宋_GBK"/>
          <w:b w:val="0"/>
          <w:sz w:val="24"/>
        </w:rPr>
        <w:fldChar w:fldCharType="separate"/>
      </w:r>
      <w:r>
        <w:rPr>
          <w:rFonts w:ascii="Times New Roman" w:hAnsi="Times New Roman" w:eastAsia="方正仿宋_GBK"/>
          <w:b w:val="0"/>
          <w:sz w:val="24"/>
        </w:rPr>
        <w:t>57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0"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h460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61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93"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h493 \h </w:instrText>
      </w:r>
      <w:r>
        <w:rPr>
          <w:rFonts w:ascii="Times New Roman" w:hAnsi="Times New Roman" w:eastAsia="方正仿宋_GBK"/>
          <w:b w:val="0"/>
          <w:sz w:val="24"/>
        </w:rPr>
        <w:fldChar w:fldCharType="separate"/>
      </w:r>
      <w:r>
        <w:rPr>
          <w:rFonts w:ascii="Times New Roman" w:hAnsi="Times New Roman" w:eastAsia="方正仿宋_GBK"/>
          <w:b w:val="0"/>
          <w:sz w:val="24"/>
        </w:rPr>
        <w:t>64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10"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h510 \h </w:instrText>
      </w:r>
      <w:r>
        <w:rPr>
          <w:rFonts w:ascii="Times New Roman" w:hAnsi="Times New Roman" w:eastAsia="方正仿宋_GBK"/>
          <w:b w:val="0"/>
          <w:sz w:val="24"/>
        </w:rPr>
        <w:fldChar w:fldCharType="separate"/>
      </w:r>
      <w:r>
        <w:rPr>
          <w:rFonts w:ascii="Times New Roman" w:hAnsi="Times New Roman" w:eastAsia="方正仿宋_GBK"/>
          <w:b w:val="0"/>
          <w:sz w:val="24"/>
        </w:rPr>
        <w:t>66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39"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h539 \h </w:instrText>
      </w:r>
      <w:r>
        <w:rPr>
          <w:rFonts w:ascii="Times New Roman" w:hAnsi="Times New Roman" w:eastAsia="方正仿宋_GBK"/>
          <w:b/>
          <w:sz w:val="24"/>
        </w:rPr>
        <w:fldChar w:fldCharType="separate"/>
      </w:r>
      <w:r>
        <w:rPr>
          <w:rFonts w:ascii="Times New Roman" w:hAnsi="Times New Roman" w:eastAsia="方正仿宋_GBK"/>
          <w:b/>
          <w:sz w:val="24"/>
        </w:rPr>
        <w:t>70</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1"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h541 \h </w:instrText>
      </w:r>
      <w:r>
        <w:rPr>
          <w:rFonts w:ascii="Times New Roman" w:hAnsi="Times New Roman" w:eastAsia="方正仿宋_GBK"/>
          <w:b w:val="0"/>
          <w:sz w:val="24"/>
        </w:rPr>
        <w:fldChar w:fldCharType="separate"/>
      </w:r>
      <w:r>
        <w:rPr>
          <w:rFonts w:ascii="Times New Roman" w:hAnsi="Times New Roman" w:eastAsia="方正仿宋_GBK"/>
          <w:b w:val="0"/>
          <w:sz w:val="24"/>
        </w:rPr>
        <w:t>70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4"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h564 \h </w:instrText>
      </w:r>
      <w:r>
        <w:rPr>
          <w:rFonts w:ascii="Times New Roman" w:hAnsi="Times New Roman" w:eastAsia="方正仿宋_GBK"/>
          <w:b w:val="0"/>
          <w:sz w:val="24"/>
        </w:rPr>
        <w:fldChar w:fldCharType="separate"/>
      </w:r>
      <w:r>
        <w:rPr>
          <w:rFonts w:ascii="Times New Roman" w:hAnsi="Times New Roman" w:eastAsia="方正仿宋_GBK"/>
          <w:b w:val="0"/>
          <w:sz w:val="24"/>
        </w:rPr>
        <w:t>73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84"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h584 \h </w:instrText>
      </w:r>
      <w:r>
        <w:rPr>
          <w:rFonts w:ascii="Times New Roman" w:hAnsi="Times New Roman" w:eastAsia="方正仿宋_GBK"/>
          <w:b w:val="0"/>
          <w:sz w:val="24"/>
        </w:rPr>
        <w:fldChar w:fldCharType="separate"/>
      </w:r>
      <w:r>
        <w:rPr>
          <w:rFonts w:ascii="Times New Roman" w:hAnsi="Times New Roman" w:eastAsia="方正仿宋_GBK"/>
          <w:b w:val="0"/>
          <w:sz w:val="24"/>
        </w:rPr>
        <w:t>75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99"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h599 \h </w:instrText>
      </w:r>
      <w:r>
        <w:rPr>
          <w:rFonts w:ascii="Times New Roman" w:hAnsi="Times New Roman" w:eastAsia="方正仿宋_GBK"/>
          <w:b w:val="0"/>
          <w:sz w:val="24"/>
        </w:rPr>
        <w:fldChar w:fldCharType="separate"/>
      </w:r>
      <w:r>
        <w:rPr>
          <w:rFonts w:ascii="Times New Roman" w:hAnsi="Times New Roman" w:eastAsia="方正仿宋_GBK"/>
          <w:b w:val="0"/>
          <w:sz w:val="24"/>
        </w:rPr>
        <w:t>77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99"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h999 \h </w:instrText>
      </w:r>
      <w:r>
        <w:rPr>
          <w:rFonts w:ascii="Times New Roman" w:hAnsi="Times New Roman" w:eastAsia="方正仿宋_GBK"/>
          <w:b w:val="0"/>
          <w:sz w:val="24"/>
        </w:rPr>
        <w:fldChar w:fldCharType="separate"/>
      </w:r>
      <w:r>
        <w:rPr>
          <w:rFonts w:ascii="Times New Roman" w:hAnsi="Times New Roman" w:eastAsia="方正仿宋_GBK"/>
          <w:b w:val="0"/>
          <w:sz w:val="24"/>
        </w:rPr>
        <w:t>124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9"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h1019 \h </w:instrText>
      </w:r>
      <w:r>
        <w:rPr>
          <w:rFonts w:ascii="Times New Roman" w:hAnsi="Times New Roman" w:eastAsia="方正仿宋_GBK"/>
          <w:b w:val="0"/>
          <w:sz w:val="24"/>
        </w:rPr>
        <w:fldChar w:fldCharType="separate"/>
      </w:r>
      <w:r>
        <w:rPr>
          <w:rFonts w:ascii="Times New Roman" w:hAnsi="Times New Roman" w:eastAsia="方正仿宋_GBK"/>
          <w:b w:val="0"/>
          <w:sz w:val="24"/>
        </w:rPr>
        <w:t>128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08"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h1108 \h </w:instrText>
      </w:r>
      <w:r>
        <w:rPr>
          <w:rFonts w:ascii="Times New Roman" w:hAnsi="Times New Roman" w:eastAsia="方正仿宋_GBK"/>
          <w:b w:val="0"/>
          <w:sz w:val="24"/>
        </w:rPr>
        <w:fldChar w:fldCharType="separate"/>
      </w:r>
      <w:r>
        <w:rPr>
          <w:rFonts w:ascii="Times New Roman" w:hAnsi="Times New Roman" w:eastAsia="方正仿宋_GBK"/>
          <w:b w:val="0"/>
          <w:sz w:val="24"/>
        </w:rPr>
        <w:t>143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23"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h1123 \h </w:instrText>
      </w:r>
      <w:r>
        <w:rPr>
          <w:rFonts w:ascii="Times New Roman" w:hAnsi="Times New Roman" w:eastAsia="方正仿宋_GBK"/>
          <w:b/>
          <w:sz w:val="24"/>
        </w:rPr>
        <w:fldChar w:fldCharType="separate"/>
      </w:r>
      <w:r>
        <w:rPr>
          <w:rFonts w:ascii="Times New Roman" w:hAnsi="Times New Roman" w:eastAsia="方正仿宋_GBK"/>
          <w:b/>
          <w:sz w:val="24"/>
        </w:rPr>
        <w:t>145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25"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h1125 \h </w:instrText>
      </w:r>
      <w:r>
        <w:rPr>
          <w:rFonts w:ascii="Times New Roman" w:hAnsi="Times New Roman" w:eastAsia="方正仿宋_GBK"/>
          <w:b w:val="0"/>
          <w:sz w:val="24"/>
        </w:rPr>
        <w:fldChar w:fldCharType="separate"/>
      </w:r>
      <w:r>
        <w:rPr>
          <w:rFonts w:ascii="Times New Roman" w:hAnsi="Times New Roman" w:eastAsia="方正仿宋_GBK"/>
          <w:b w:val="0"/>
          <w:sz w:val="24"/>
        </w:rPr>
        <w:t>145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39"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h1139 \h </w:instrText>
      </w:r>
      <w:r>
        <w:rPr>
          <w:rFonts w:ascii="Times New Roman" w:hAnsi="Times New Roman" w:eastAsia="方正仿宋_GBK"/>
          <w:b w:val="0"/>
          <w:sz w:val="24"/>
        </w:rPr>
        <w:fldChar w:fldCharType="separate"/>
      </w:r>
      <w:r>
        <w:rPr>
          <w:rFonts w:ascii="Times New Roman" w:hAnsi="Times New Roman" w:eastAsia="方正仿宋_GBK"/>
          <w:b w:val="0"/>
          <w:sz w:val="24"/>
        </w:rPr>
        <w:t>146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51"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h1151 \h </w:instrText>
      </w:r>
      <w:r>
        <w:rPr>
          <w:rFonts w:ascii="Times New Roman" w:hAnsi="Times New Roman" w:eastAsia="方正仿宋_GBK"/>
          <w:b w:val="0"/>
          <w:sz w:val="24"/>
        </w:rPr>
        <w:fldChar w:fldCharType="separate"/>
      </w:r>
      <w:r>
        <w:rPr>
          <w:rFonts w:ascii="Times New Roman" w:hAnsi="Times New Roman" w:eastAsia="方正仿宋_GBK"/>
          <w:b w:val="0"/>
          <w:sz w:val="24"/>
        </w:rPr>
        <w:t>147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57"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h1157 \h </w:instrText>
      </w:r>
      <w:r>
        <w:rPr>
          <w:rFonts w:ascii="Times New Roman" w:hAnsi="Times New Roman" w:eastAsia="方正仿宋_GBK"/>
          <w:b/>
          <w:sz w:val="24"/>
        </w:rPr>
        <w:fldChar w:fldCharType="separate"/>
      </w:r>
      <w:r>
        <w:rPr>
          <w:rFonts w:ascii="Times New Roman" w:hAnsi="Times New Roman" w:eastAsia="方正仿宋_GBK"/>
          <w:b/>
          <w:sz w:val="24"/>
        </w:rPr>
        <w:t>148</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pPr>
        <w:pStyle w:val="4"/>
        <w:keepNext/>
        <w:numPr>
          <w:numId w:val="0"/>
        </w:numPr>
        <w:spacing w:line="480" w:lineRule="exact" w:before="160" w:after="120"/>
        <w:ind w:firstLine="0"/>
      </w:pPr>
      <w:bookmarkStart w:id="1018" w:name="h18"/>
      <w:bookmarkStart w:id="25" w:name="主要概念与规范依据"/>
      <w:r>
        <w:rPr>
          <w:rFonts w:ascii="Times New Roman" w:hAnsi="Times New Roman" w:eastAsia="方正仿宋_GBK"/>
          <w:b/>
          <w:sz w:val="32"/>
        </w:rPr>
        <w:t xml:space="preserve">1.2 主要概念与规范依据</w:t>
      </w:r>
      <w:bookmarkEnd w:id="25"/>
      <w:bookmarkEnd w:id="1018"/>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[7]。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以评价期费用寻优形成经济参考，在参考费用5%以内优先简化联络工程，供电安全及设备容量作为共同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2025年4月《配电网规划设计技术导则（修订稿）》的指标定义[7]，用于描述片区源荷条件。</w:t>
      </w:r>
    </w:p>
    <w:p>
      <w:pPr>
        <w:pStyle w:val="4"/>
        <w:keepNext/>
        <w:numPr>
          <w:numId w:val="0"/>
        </w:numPr>
        <w:spacing w:line="480" w:lineRule="exact" w:before="160" w:after="120"/>
        <w:ind w:firstLine="0"/>
      </w:pPr>
      <w:bookmarkStart w:id="1032" w:name="h32"/>
      <w:bookmarkStart w:id="30" w:name="研究范围与对象"/>
      <w:r>
        <w:rPr>
          <w:rFonts w:ascii="Times New Roman" w:hAnsi="Times New Roman" w:eastAsia="方正仿宋_GBK"/>
          <w:b/>
          <w:sz w:val="32"/>
        </w:rPr>
        <w:t xml:space="preserve">1.3 研究范围与对象</w:t>
      </w:r>
      <w:bookmarkEnd w:id="30"/>
      <w:bookmarkEnd w:id="1032"/>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5729—2023第6.3.3条，以行政区县作为最小统计分析范围[5]。本研究选取邳州和市区，电网运行统计与规划优化均按110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4"/>
        <w:keepNext/>
        <w:numPr>
          <w:numId w:val="0"/>
        </w:numPr>
        <w:spacing w:line="480" w:lineRule="exact" w:before="160" w:after="120"/>
        <w:ind w:firstLine="0"/>
      </w:pPr>
      <w:bookmarkStart w:id="1045" w:name="h45"/>
      <w:bookmarkStart w:id="34" w:name="研究目标与内容"/>
      <w:r>
        <w:rPr>
          <w:rFonts w:ascii="Times New Roman" w:hAnsi="Times New Roman" w:eastAsia="方正仿宋_GBK"/>
          <w:b/>
          <w:sz w:val="32"/>
        </w:rPr>
        <w:t xml:space="preserve">1.4 研究目标与内容</w:t>
      </w:r>
      <w:bookmarkEnd w:id="34"/>
      <w:bookmarkEnd w:id="1045"/>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最后，第3.5节从十三项候选指标出发，依次评价其与容载比的关联及指标间的信息重叠，确定五项推广参数。第五章按相应输入区间归纳容载比计算范围，并结合设备措施与费用解释配置差异。</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先以新增措施评价期费用现值为目标寻优，再按费用容差内的工程优选条件确定弹性方案，各方案共同满足正常及主变N-1等约束。</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[7]。</w:t>
      </w:r>
    </w:p>
    <w:p>
      <w:pPr>
        <w:pStyle w:val="4"/>
        <w:keepNext/>
        <w:numPr>
          <w:numId w:val="0"/>
        </w:numPr>
        <w:spacing w:line="480" w:lineRule="exact" w:before="160" w:after="120"/>
        <w:ind w:firstLine="0"/>
      </w:pPr>
      <w:bookmarkStart w:id="1057" w:name="h57"/>
      <w:bookmarkStart w:id="37" w:name="研究方法与技术路线"/>
      <w:r>
        <w:rPr>
          <w:rFonts w:ascii="Times New Roman" w:hAnsi="Times New Roman" w:eastAsia="方正仿宋_GBK"/>
          <w:b/>
          <w:sz w:val="32"/>
        </w:rPr>
        <w:t xml:space="preserve">1.5 研究方法与技术路线</w:t>
      </w:r>
      <w:bookmarkEnd w:id="37"/>
      <w:bookmarkEnd w:id="1057"/>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年最大净负荷平均增长率按2021—2025年起止负荷之比开四次方计算。地区案例直接使用2022—2025年逐年实际负荷，保留年度回落，年最大净负荷平均增长率用于概括发展水平及设置推广情景。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由于电源仍归属原站，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632549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632549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3" w:name="h73"/>
      <w:bookmarkStart w:id="43" w:name="研究成果及应用"/>
      <w:r>
        <w:rPr>
          <w:rFonts w:ascii="Times New Roman" w:hAnsi="Times New Roman" w:eastAsia="方正仿宋_GBK"/>
          <w:b/>
          <w:sz w:val="32"/>
        </w:rPr>
        <w:t xml:space="preserve">1.6 研究成果及应用</w:t>
      </w:r>
      <w:bookmarkEnd w:id="43"/>
      <w:bookmarkEnd w:id="107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集中列明电缆造价及储能支撑条件，分别给出三个负荷分散系数下的完整源荷与转供区间，典型场景再以细节点解释具体配置。</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6" w:name="h76"/>
      <w:bookmarkStart w:id="44" w:name="第二章-国内外研究现状"/>
      <w:r>
        <w:rPr>
          <w:rFonts w:ascii="Times New Roman" w:hAnsi="Times New Roman" w:eastAsia="方正仿宋_GBK"/>
          <w:b/>
          <w:sz w:val="36"/>
        </w:rPr>
        <w:t xml:space="preserve">第二章 国内外研究现状</w:t>
      </w:r>
      <w:bookmarkEnd w:id="44"/>
      <w:bookmarkEnd w:id="1076"/>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79" w:name="h79"/>
      <w:bookmarkStart w:id="45" w:name="国外研究现状"/>
      <w:r>
        <w:rPr>
          <w:rFonts w:ascii="Times New Roman" w:hAnsi="Times New Roman" w:eastAsia="方正仿宋_GBK"/>
          <w:b/>
          <w:sz w:val="32"/>
        </w:rPr>
        <w:t xml:space="preserve">2.1 国外研究现状</w:t>
      </w:r>
      <w:bookmarkEnd w:id="45"/>
      <w:bookmarkEnd w:id="1079"/>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针对反向潮流引起的过电压，Xie等结合主网与配网线路参数差异建立计算方法，算例中的抑制策略将过电压从高于额定值约10%降至约2%[23]。在电压与设备热状态联合控制方面，Ghorbansarvi等用模型预测控制（MPC）管理母线电压与配变温度，并以弃光最小为目标，通过协调控制推迟配变过载[24]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[26]。Wang等进一步以智能软开关（SOP）组织柔性配电网多资源动态协同规划，在5%风险阈值内实现100%本地光伏消纳，最优方案总成本较不同对照方案降低约7%～55%[27]。</w:t>
      </w:r>
    </w:p>
    <w:p>
      <w:pPr>
        <w:pStyle w:val="2"/>
        <w:widowControl/>
        <w:spacing w:line="348" w:lineRule="exact" w:before="0" w:after="0"/>
        <w:ind w:firstLine="480"/>
        <w:jc w:val="both"/>
      </w:pPr>
      <w:r>
        <w:rPr>
          <w:rFonts w:ascii="Times New Roman" w:hAnsi="Times New Roman" w:eastAsia="方正仿宋_GBK"/>
          <w:b w:val="0"/>
          <w:sz w:val="24"/>
        </w:rPr>
        <w:t xml:space="preserve">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[28]。Holweger等在CIGRE低压网上得到，PV年发电量占用户年用电量约110%～145%时，分布式柔性与网架增强达到盈亏平衡，其中较低变压器价格对应约110%、较高价格对应约145%，变压器是相关算例的承载瓶颈[29]。Matthiss等从评价期限解释措施排序差异：按初始投资比较时储能明显低于网架增强，计入电池10年寿命并折算年费用后，优势有所收窄[30]。</w:t>
      </w:r>
    </w:p>
    <w:p>
      <w:pPr>
        <w:pStyle w:val="2"/>
        <w:widowControl/>
        <w:spacing w:line="348" w:lineRule="exact" w:before="0" w:after="0"/>
        <w:ind w:firstLine="480"/>
        <w:jc w:val="both"/>
      </w:pPr>
      <w:r>
        <w:rPr>
          <w:rFonts w:ascii="Times New Roman" w:hAnsi="Times New Roman" w:eastAsia="方正仿宋_GBK"/>
          <w:b w:val="0"/>
          <w:sz w:val="24"/>
        </w:rPr>
        <w:t xml:space="preserve">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和含可再生能源的变电容量优化，Huang等用多元宇宙优化器同时选择主变容量与台数，算例显示本地可再生能源通过减少净负荷延缓主变建设[33]。需求侧调节也会改变这一建设需求，Xu等从分时电价与需求响应引起的负荷曲线变化分析削峰节省的变电投资[34]，Nespoli等则提出无需本地历史数据的全局预测方法，用于量化住宅柔性负荷的经济价值[35]。</w:t>
      </w:r>
    </w:p>
    <w:p>
      <w:pPr>
        <w:pStyle w:val="2"/>
        <w:widowControl/>
        <w:spacing w:line="348" w:lineRule="exact" w:before="0" w:after="0"/>
        <w:ind w:firstLine="480"/>
        <w:jc w:val="both"/>
      </w:pPr>
      <w:r>
        <w:rPr>
          <w:rFonts w:ascii="Times New Roman" w:hAnsi="Times New Roman" w:eastAsia="方正仿宋_GBK"/>
          <w:b w:val="0"/>
          <w:sz w:val="24"/>
        </w:rPr>
        <w:t xml:space="preserve">在多区域柔性互联规划中，Zhu等通过共享E-SOP协调资源配置，与原始三相不平衡网络基准相比，算例年总成本降低约15%。进一步与各区域独立规划比较，年总成本由4021.60万元降至3995.27万元，各区域最大电压不平衡度降至2%[36]。SOP与储能联合规划进一步改善供电能力，相关算例提升约31%[37]。源—网—储协同随机规划则将源荷时空相关、储能配置及弃光费用纳入统一比较，说明消纳改善与费用变化需结合具体方案判断[38]。Shi等从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成本评价需统一初始投资与运行期支出。Zeng等以投资、运行、维护和故障费用建立输电线路经济寿命区间法，用改进GM(1,1)预测小样本成本，并以区间反映不确定性[11]。Zhu等针对10 kV三类线路，将投资、运维、故障和报废费用纳入LCC模型，发现高负载率下运维成为主要影响因素，算例三类线路的费用平衡点位于第7～8年，为比较线路寿命和现金流范围提供依据[12]。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1" w:name="h101"/>
      <w:bookmarkStart w:id="50" w:name="国内研究现状"/>
      <w:r>
        <w:rPr>
          <w:rFonts w:ascii="Times New Roman" w:hAnsi="Times New Roman" w:eastAsia="方正仿宋_GBK"/>
          <w:b/>
          <w:sz w:val="32"/>
        </w:rPr>
        <w:t xml:space="preserve">2.2 国内研究现状</w:t>
      </w:r>
      <w:bookmarkEnd w:id="50"/>
      <w:bookmarkEnd w:id="1101"/>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国内容量配置研究从单电压等级逐步拓展到多电压等级协同。陈浩等建立高、低压两电压等级变电站的最优容载比模型，以年综合费用最小为目标，通过离散粒子群算法求解[43]。王凯亮等进一步统筹220/110/10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MW·km⁻²负荷密度分界和负荷增长率给出差异化推荐表[44]。</w:t>
      </w:r>
    </w:p>
    <w:p>
      <w:pPr>
        <w:pStyle w:val="2"/>
        <w:widowControl/>
        <w:spacing w:line="348" w:lineRule="exact" w:before="0" w:after="0"/>
        <w:ind w:firstLine="480"/>
        <w:jc w:val="both"/>
      </w:pPr>
      <w:r>
        <w:rPr>
          <w:rFonts w:ascii="Times New Roman" w:hAnsi="Times New Roman" w:eastAsia="方正仿宋_GBK"/>
          <w:b w:val="0"/>
          <w:sz w:val="24"/>
        </w:rPr>
        <w:t xml:space="preserve">指标精细化研究尝试将容量储备与可靠性及负荷特征衔接。刘文霞等针对导则容载比区间较宽、与可靠性关联不足的问题，提出以理想值为基准的</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用供电可靠性与发展阶段评价区域充裕性[45]。刘炜彬等则从负荷分散系数、储备系数、变压器安全运行率和平均功率因数入手，采用BP神经网络拟合负荷同时率，并将N-1通过率纳入安全运行率，实现精细化、差异化配置[46]。</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[8]。张锐等进一步以改进供电能力指标指导低压柔性互联装置规划，分别评价设备容量与实际供电能力[47]。马雨欣、林凌雪则在精准规划的TSC评估中考虑二次转供，并讨论分布式电源接入的影响[48]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概率与区间方法用于表达承载力的不确定性。王方敏等基于历史场景，以反向负载率划分红、黄、蓝、绿四级薄弱环节，并按不同置信水平给出可新增光伏容量[50]，徐非非等提出计及不确定性的承载能力区间分析方法[51]。针对含储能与软开关的柔性配电网，张伟等分别用确定性模型和双层鲁棒优化构造最乐观、最悲观边界，E-SOP端口容量增大时，区间从7.93～10.89 MW提高至9.32～11.34 MW且宽度收窄[52]。</w:t>
      </w:r>
    </w:p>
    <w:p>
      <w:pPr>
        <w:pStyle w:val="2"/>
        <w:widowControl/>
        <w:spacing w:line="348" w:lineRule="exact" w:before="0" w:after="0"/>
        <w:ind w:firstLine="480"/>
        <w:jc w:val="both"/>
      </w:pPr>
      <w:r>
        <w:rPr>
          <w:rFonts w:ascii="Times New Roman" w:hAnsi="Times New Roman" w:eastAsia="方正仿宋_GBK"/>
          <w:b w:val="0"/>
          <w:sz w:val="24"/>
        </w:rPr>
        <w:t xml:space="preserve">安全经济承载力研究将运行约束与经济目标共同纳入评估。宋钰等以年低碳经济收益最大为目标，构建确定性与分布鲁棒机会约束模型，考虑分布式光伏出力不确定性[53]。李敬如等先在输电网层面构建省域承载力区间，再在配电网层面结合潮流、电能质量和储能约束求取经济配置，使承载力与省域消纳条件相互校核[54]。</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等工程问题[60]。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协同规划研究关注柔性互联与储能配置对潮流、供电能力及投资的共同影响，相关综述分别梳理分布式光伏规模化并网[61]、主动配电网规划[62]和新型配电网分布式储能配置[63]。贺春光等采用混合整数二阶锥规划统筹多电压等级SOP，算例年综合成本由457.30万元降至357.70万元，各节点电压保持在[0.95,1.05]，并缓解220 kV变电站倒送[64]。在源—网—储扩展规划中，徐峰亮等建立三层模型并定义净负荷适应率、净负荷波动率和线路负载裕度均衡性，推荐方案在五种方案中总成本最低，为1300.50万元，DG渗透率最高，约57%[65]。乐健等用Frank-Copula描述源荷时空相关，通过蒙特卡洛生成并削减典型场景，25节点算例方案4的综合费用较方案2降低约45%，说明场景与协同配置会影响经济比较[66]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二阶锥松弛做多层级配电网消纳空间分解测算，论证层间协调可提升总消纳空间。其算例采用IEEE 6/7/9/10/12/15合成测试系统检验多层级协调方法[75]。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2025年4月《配电网规划设计技术导则（修订稿）》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39" w:name="h139"/>
      <w:bookmarkStart w:id="61" w:name="国内外研究对比与述评"/>
      <w:r>
        <w:rPr>
          <w:rFonts w:ascii="Times New Roman" w:hAnsi="Times New Roman" w:eastAsia="方正仿宋_GBK"/>
          <w:b/>
          <w:sz w:val="32"/>
        </w:rPr>
        <w:t xml:space="preserve">2.3 国内外研究对比与述评</w:t>
      </w:r>
      <w:bookmarkEnd w:id="61"/>
      <w:bookmarkEnd w:id="1139"/>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先用邳州与市区案例分析实际源荷、设备和网络条件下的配置，再另建五站模板，独立改变源荷规模、负荷增长、转供条件、持续时间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3" w:name="h153"/>
      <w:bookmarkStart w:id="65" w:name="容载比与供电能力的理论联系"/>
      <w:r>
        <w:rPr>
          <w:rFonts w:ascii="Times New Roman" w:hAnsi="Times New Roman" w:eastAsia="方正仿宋_GBK"/>
          <w:b/>
          <w:sz w:val="32"/>
        </w:rPr>
        <w:t xml:space="preserve">2.4 容载比与供电能力的理论联系</w:t>
      </w:r>
      <w:bookmarkEnd w:id="65"/>
      <w:bookmarkEnd w:id="115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主变规格的离散性会使区域容量随整台设备投运而变化。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由于可转负荷由通道条件与两端容量共同确定，工程上需同时核实负荷能否分段、通道是否可用及受端主变是否具有余量。</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主变投运后持续在役，而负荷可能在不同年份上升或下降，因此负荷发展储备需结合规划年份确定。年度规划路径同时处理设备持续在役与负荷波动，按投运年份计取建设费用，并校核各中间年份的容量需求。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同时影响供电需求和容载比分母。在资产非减条件下，较低增长可能使已配置容量对应较高容载比，较高增长则可能触发新的主变或储能建设，因此连续的负荷变化会通过离散措施形成台阶式配置响应，推荐矩阵据此归纳不同发展水平下的容量范围。</w:t>
      </w:r>
    </w:p>
    <w:p>
      <w:pPr>
        <w:pStyle w:val="4"/>
        <w:keepNext/>
        <w:numPr>
          <w:numId w:val="0"/>
        </w:numPr>
        <w:spacing w:line="480" w:lineRule="exact" w:before="160" w:after="120"/>
        <w:ind w:firstLine="0"/>
      </w:pPr>
      <w:bookmarkStart w:id="1167" w:name="h167"/>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7"/>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供电安全涉及用户恢复供电，反向接入还涉及上级网络、电压和保护配合，两种场景的网络与保护条件可能不同。因此，即使用绝对峰值比较容量压力，仍需保留功率方向及对应场景，分别建立正反向净负荷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储能配置需要同时考虑缺口幅度与持续时间：相同的5 MW缺口持续1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时，最低理想放电能量为5 MWh，持续5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时所需能量相应增加，实际工程还需计及效率、可用荷电状态和容量衰减[28][10]。本项目据此在静态模型中，以铭牌功率和峰段可持续能量共同限制储能支撑。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光伏增加可能降低部分日间净负荷，而年度设备最大负载率还可能由晚间高峰或局部反送决定。两项指标的相关方向受容量配置、负荷时段和统计边界共同影响[3][4][58]。</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邳州和市区的年度地区指标用于比较县域与城区的源荷相对水平。对具有月度同范围资料的地区，还可计算月度关联并说明样本内性质，为扩大实际数据样本提供依据。</w:t>
      </w:r>
    </w:p>
    <w:p>
      <w:pPr>
        <w:pStyle w:val="4"/>
        <w:keepNext/>
        <w:numPr>
          <w:numId w:val="0"/>
        </w:numPr>
        <w:spacing w:line="480" w:lineRule="exact" w:before="160" w:after="120"/>
        <w:ind w:firstLine="0"/>
      </w:pPr>
      <w:bookmarkStart w:id="1184" w:name="h184"/>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4"/>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新增联络线的可转负荷由线路热限、负荷可分段条件和受端可用容量共同限制，因此公开线路单位造价只能提供价格参考，实际可转任务仍需由网络资料确定[8]。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当储能寿命短于网架设备且更新发生在评价期内时，更新投资会影响其替代长期容量建设的经济性，而延后投运则通过减少早期资金占用改变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先按费用寻优形成经济参考，再在参考费用容差内比较联络工程较少的可行布局。供电安全和设备规格作为共同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8" w:name="h198"/>
      <w:bookmarkStart w:id="78" w:name="规划寻优方法与本项目选型"/>
      <w:r>
        <w:rPr>
          <w:rFonts w:ascii="Times New Roman" w:hAnsi="Times New Roman" w:eastAsia="方正仿宋_GBK"/>
          <w:b/>
          <w:sz w:val="32"/>
        </w:rPr>
        <w:t xml:space="preserve">2.7 规划寻优方法与本项目选型</w:t>
      </w:r>
      <w:bookmarkEnd w:id="78"/>
      <w:bookmarkEnd w:id="1198"/>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整数规划将设备规格与工程数量直接作为决策变量，在正常运行和供电安全约束下比较措施费用，并通过连续衔接各年设备状态形成建设路径。</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费用目标附近可能存在多组可行配置，因此每个费用结果均与其对应的设备和联络项目共同列示。</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4"/>
        <w:keepNext/>
        <w:numPr>
          <w:numId w:val="0"/>
        </w:numPr>
        <w:spacing w:line="480" w:lineRule="exact" w:before="160" w:after="120"/>
        <w:ind w:firstLine="0"/>
      </w:pPr>
      <w:bookmarkStart w:id="1211" w:name="h211"/>
      <w:bookmarkStart w:id="82" w:name="本项目方法选择与工程衔接"/>
      <w:r>
        <w:rPr>
          <w:rFonts w:ascii="Times New Roman" w:hAnsi="Times New Roman" w:eastAsia="方正仿宋_GBK"/>
          <w:b/>
          <w:sz w:val="32"/>
        </w:rPr>
        <w:t xml:space="preserve">2.8 本项目方法选择与工程衔接</w:t>
      </w:r>
      <w:bookmarkEnd w:id="82"/>
      <w:bookmarkEnd w:id="1211"/>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模板通过参数情景的相关强度和信息重叠分析确定五项推广参数，再选取转供各档均有区间响应的典型源荷条件，归纳容量推荐范围。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分布式电源装机渗透率、年最大净负荷平均增长率、电缆长度占比、初始转供率及负荷分散系数五项参数组织矩阵，储能支撑持续时间作为设备比选条件，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对储能与网架建设的经济比较采用不同评价范围：初始投资适合解释设备采购和工程规模，计及运行、更新和寿命的评价期费用适合比较不同建设年份及运维水平，而包含收益的财务分析还需电价、运行策略和市场机制[30][28][10]。使用这些研究结论时，应先明确评价目的及相应现金流范围。</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4"/>
        <w:keepNext/>
        <w:numPr>
          <w:numId w:val="0"/>
        </w:numPr>
        <w:spacing w:line="480" w:lineRule="exact" w:before="160" w:after="120"/>
        <w:ind w:firstLine="0"/>
      </w:pPr>
      <w:bookmarkStart w:id="1233" w:name="h233"/>
      <w:bookmarkStart w:id="89" w:name="本章小结"/>
      <w:r>
        <w:rPr>
          <w:rFonts w:ascii="Times New Roman" w:hAnsi="Times New Roman" w:eastAsia="方正仿宋_GBK"/>
          <w:b/>
          <w:sz w:val="32"/>
        </w:rPr>
        <w:t xml:space="preserve">2.9 本章小结</w:t>
      </w:r>
      <w:bookmarkEnd w:id="89"/>
      <w:bookmarkEnd w:id="1233"/>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235" w:name="h235"/>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5"/>
    </w:p>
    <w:p>
      <w:pPr>
        <w:pStyle w:val="4"/>
        <w:keepNext/>
        <w:numPr>
          <w:numId w:val="0"/>
        </w:numPr>
        <w:spacing w:line="480" w:lineRule="exact" w:before="160" w:after="120"/>
        <w:ind w:firstLine="0"/>
      </w:pPr>
      <w:bookmarkStart w:id="1236" w:name="h236"/>
      <w:bookmarkStart w:id="91" w:name="研究地区与原始资料"/>
      <w:r>
        <w:rPr>
          <w:rFonts w:ascii="Times New Roman" w:hAnsi="Times New Roman" w:eastAsia="方正仿宋_GBK"/>
          <w:b/>
          <w:sz w:val="32"/>
        </w:rPr>
        <w:t xml:space="preserve">3.1 研究地区与原始资料</w:t>
      </w:r>
      <w:bookmarkEnd w:id="91"/>
      <w:bookmarkEnd w:id="1236"/>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pPr>
        <w:pStyle w:val="2"/>
        <w:widowControl/>
        <w:spacing w:line="348" w:lineRule="exact" w:before="0" w:after="0"/>
        <w:ind w:firstLine="480"/>
        <w:jc w:val="both"/>
      </w:pPr>
      <w:r>
        <w:rPr>
          <w:rFonts w:ascii="Times New Roman" w:hAnsi="Times New Roman" w:eastAsia="方正仿宋_GBK"/>
          <w:b w:val="0"/>
          <w:sz w:val="24"/>
        </w:rPr>
        <w:t xml:space="preserve">本章以历史容量和负荷分析现状，第五章则在各地区共同初始设备和2021年实际负荷下开展规划回算，基期容载比均约为2.00，后续容量由逐年优化确定。设备统计用于设置允许规格、供电区域类别及主变扩建位置，两类方案的正常负荷调整共用相同仿真通道。</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提取区域正向峰值、最低净负荷及各站局部极值的同期截面，市区45个、邳州26个，每个截面保留全部站点的同期功率。正向储能支撑持续时间分别取邳州2 h、市区6 h。</w:t>
      </w:r>
    </w:p>
    <w:p>
      <w:pPr>
        <w:pStyle w:val="4"/>
        <w:keepNext/>
        <w:numPr>
          <w:numId w:val="0"/>
        </w:numPr>
        <w:spacing w:line="480" w:lineRule="exact" w:before="160" w:after="120"/>
        <w:ind w:firstLine="0"/>
      </w:pPr>
      <w:bookmarkStart w:id="1246" w:name="h246"/>
      <w:bookmarkStart w:id="95" w:name="年度容量负荷与增长特征"/>
      <w:r>
        <w:rPr>
          <w:rFonts w:ascii="Times New Roman" w:hAnsi="Times New Roman" w:eastAsia="方正仿宋_GBK"/>
          <w:b/>
          <w:sz w:val="32"/>
        </w:rPr>
        <w:t xml:space="preserve">3.2 年度容量、负荷与增长特征</w:t>
      </w:r>
      <w:bookmarkEnd w:id="95"/>
      <w:bookmarkEnd w:id="1246"/>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2"/>
        <w:widowControl/>
        <w:spacing w:line="348" w:lineRule="exact" w:before="0" w:after="0"/>
        <w:ind w:firstLine="480"/>
        <w:jc w:val="both"/>
      </w:pPr>
      <w:r>
        <w:rPr>
          <w:rFonts w:ascii="Times New Roman" w:hAnsi="Times New Roman" w:eastAsia="方正仿宋_GBK"/>
          <w:b w:val="0"/>
          <w:sz w:val="24"/>
        </w:rPr>
        <w:t xml:space="preserve">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historical_capacity_load.png" id="0" name="Picture"/>
                    <pic:cNvPicPr>
                      <a:picLocks noChangeArrowheads="1" noChangeAspect="1"/>
                    </pic:cNvPicPr>
                  </pic:nvPicPr>
                  <pic:blipFill>
                    <a:blip r:embed="rId9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两地区年度主变容量与网供最大负荷</w:t>
      </w:r>
    </w:p>
    <w:p>
      <w:pPr>
        <w:pStyle w:val="5"/>
        <w:keepNext/>
        <w:numPr>
          <w:numId w:val="0"/>
        </w:numPr>
        <w:spacing w:line="390" w:lineRule="exact" w:before="160" w:after="120"/>
        <w:ind w:firstLine="0"/>
      </w:pPr>
      <w:bookmarkStart w:id="100" w:name="年最大净负荷平均增长率"/>
      <w:r>
        <w:rPr>
          <w:rFonts w:ascii="Times New Roman" w:hAnsi="Times New Roman" w:eastAsia="方正仿宋_GBK"/>
          <w:b/>
          <w:sz w:val="26"/>
        </w:rPr>
        <w:t xml:space="preserve">3.2.3 年最大净负荷平均增长率</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年最大净负荷平均增长率[7]由同范围起止年度负荷按复合增长形式计算。2021—2025年包含四个年度间隔，增长分档采用2025年4月《配电网规划设计技术导则（修订稿）》第6.2.2.1条及表2[7]。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1" w:name="历史统计与规划仿真的衔接"/>
      <w:r>
        <w:rPr>
          <w:rFonts w:ascii="Times New Roman" w:hAnsi="Times New Roman" w:eastAsia="方正仿宋_GBK"/>
          <w:b/>
          <w:sz w:val="26"/>
        </w:rPr>
        <w:t xml:space="preserve">3.2.4 历史统计与规划仿真的衔接</w:t>
      </w:r>
      <w:bookmarkEnd w:id="101"/>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7" w:name="h267"/>
      <w:bookmarkStart w:id="102" w:name="分布式光伏装机与电量"/>
      <w:r>
        <w:rPr>
          <w:rFonts w:ascii="Times New Roman" w:hAnsi="Times New Roman" w:eastAsia="方正仿宋_GBK"/>
          <w:b/>
          <w:sz w:val="32"/>
        </w:rPr>
        <w:t xml:space="preserve">3.3 分布式光伏装机与电量</w:t>
      </w:r>
      <w:bookmarkEnd w:id="102"/>
      <w:bookmarkEnd w:id="1267"/>
    </w:p>
    <w:p>
      <w:pPr>
        <w:pStyle w:val="5"/>
        <w:keepNext/>
        <w:numPr>
          <w:numId w:val="0"/>
        </w:numPr>
        <w:spacing w:line="390" w:lineRule="exact" w:before="160" w:after="120"/>
        <w:ind w:firstLine="0"/>
      </w:pPr>
      <w:bookmarkStart w:id="103" w:name="装机规模与月度变化"/>
      <w:r>
        <w:rPr>
          <w:rFonts w:ascii="Times New Roman" w:hAnsi="Times New Roman" w:eastAsia="方正仿宋_GBK"/>
          <w:b/>
          <w:sz w:val="26"/>
        </w:rPr>
        <w:t xml:space="preserve">3.3.1 装机规模与月度变化</w:t>
      </w:r>
      <w:bookmarkEnd w:id="103"/>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MW。图中以虚线区分2021—2022年估计结果与2023年起的月末统计记录。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4"/>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2021—2025年月末分布式光伏装机容量</w:t>
      </w:r>
    </w:p>
    <w:p>
      <w:pPr>
        <w:pStyle w:val="5"/>
        <w:keepNext/>
        <w:numPr>
          <w:numId w:val="0"/>
        </w:numPr>
        <w:spacing w:line="390" w:lineRule="exact" w:before="160" w:after="120"/>
        <w:ind w:firstLine="0"/>
      </w:pPr>
      <w:bookmarkStart w:id="105" w:name="年发电量估计方法"/>
      <w:r>
        <w:rPr>
          <w:rFonts w:ascii="Times New Roman" w:hAnsi="Times New Roman" w:eastAsia="方正仿宋_GBK"/>
          <w:b/>
          <w:sz w:val="26"/>
        </w:rPr>
        <w:t xml:space="preserve">3.3.2 年发电量估计方法</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6" w:name="用户最大负荷与分布式电源装机渗透率"/>
      <w:r>
        <w:rPr>
          <w:rFonts w:ascii="Times New Roman" w:hAnsi="Times New Roman" w:eastAsia="方正仿宋_GBK"/>
          <w:b/>
          <w:sz w:val="26"/>
        </w:rPr>
        <w:t xml:space="preserve">3.3.3 用户最大负荷与分布式电源装机渗透率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7" w:name="用户电量与分布式电源电量渗透率"/>
      <w:r>
        <w:rPr>
          <w:rFonts w:ascii="Times New Roman" w:hAnsi="Times New Roman" w:eastAsia="方正仿宋_GBK"/>
          <w:b/>
          <w:sz w:val="26"/>
        </w:rPr>
        <w:t xml:space="preserve">3.3.4 用户电量与分布式电源电量渗透率</w:t>
      </w:r>
      <w:bookmarkEnd w:id="107"/>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9" w:name="h289"/>
      <w:bookmarkStart w:id="108" w:name="主变负载率与双向净负荷"/>
      <w:r>
        <w:rPr>
          <w:rFonts w:ascii="Times New Roman" w:hAnsi="Times New Roman" w:eastAsia="方正仿宋_GBK"/>
          <w:b/>
          <w:sz w:val="32"/>
        </w:rPr>
        <w:t xml:space="preserve">3.4 主变负载率与双向净负荷</w:t>
      </w:r>
      <w:bookmarkEnd w:id="108"/>
      <w:bookmarkEnd w:id="1289"/>
    </w:p>
    <w:p>
      <w:pPr>
        <w:pStyle w:val="5"/>
        <w:keepNext/>
        <w:numPr>
          <w:numId w:val="0"/>
        </w:numPr>
        <w:spacing w:line="390" w:lineRule="exact" w:before="160" w:after="120"/>
        <w:ind w:firstLine="0"/>
      </w:pPr>
      <w:bookmarkStart w:id="109" w:name="主变年最大负载率统计"/>
      <w:r>
        <w:rPr>
          <w:rFonts w:ascii="Times New Roman" w:hAnsi="Times New Roman" w:eastAsia="方正仿宋_GBK"/>
          <w:b/>
          <w:sz w:val="26"/>
        </w:rPr>
        <w:t xml:space="preserve">3.4.1 主变年最大负载率统计</w:t>
      </w:r>
      <w:bookmarkEnd w:id="109"/>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10"/>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邳州和市区逐台主变最大负载率分布</w:t>
      </w:r>
    </w:p>
    <w:p>
      <w:pPr>
        <w:pStyle w:val="5"/>
        <w:keepNext/>
        <w:numPr>
          <w:numId w:val="0"/>
        </w:numPr>
        <w:spacing w:line="390" w:lineRule="exact" w:before="160" w:after="120"/>
        <w:ind w:firstLine="0"/>
      </w:pPr>
      <w:bookmarkStart w:id="111" w:name="最大正向反向净负荷"/>
      <w:r>
        <w:rPr>
          <w:rFonts w:ascii="Times New Roman" w:hAnsi="Times New Roman" w:eastAsia="方正仿宋_GBK"/>
          <w:b/>
          <w:sz w:val="26"/>
        </w:rPr>
        <w:t xml:space="preserve">3.4.2 最大正向、反向净负荷</w:t>
      </w:r>
      <w:bookmarkEnd w:id="111"/>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widowControl/>
        <w:spacing w:line="348" w:lineRule="exact" w:before="0" w:after="0"/>
        <w:ind w:firstLine="480"/>
        <w:jc w:val="both"/>
      </w:pPr>
      <w:r>
        <w:rPr>
          <w:rFonts w:ascii="Times New Roman" w:hAnsi="Times New Roman" w:eastAsia="方正仿宋_GBK"/>
          <w:b w:val="0"/>
          <w:sz w:val="24"/>
        </w:rPr>
        <w:t xml:space="preserve">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518211"/>
            <wp:effectExtent b="0" l="0" r="0" t="0"/>
            <wp:docPr descr="" title="" id="1" name="Picture"/>
            <a:graphic>
              <a:graphicData uri="http://schemas.openxmlformats.org/drawingml/2006/picture">
                <pic:pic>
                  <pic:nvPicPr>
                    <pic:cNvPr descr="研究报告/02图表/当前版/pizhou_station_direction.png" id="0" name="Picture"/>
                    <pic:cNvPicPr>
                      <a:picLocks noChangeArrowheads="1" noChangeAspect="1"/>
                    </pic:cNvPicPr>
                  </pic:nvPicPr>
                  <pic:blipFill>
                    <a:blip r:embed="rId112"/>
                    <a:stretch>
                      <a:fillRect/>
                    </a:stretch>
                  </pic:blipFill>
                  <pic:spPr bwMode="auto">
                    <a:xfrm>
                      <a:off x="0" y="0"/>
                      <a:ext cx="5120640" cy="451821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邳州2025年逐站正反向净负荷极值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96416"/>
            <wp:effectExtent b="0" l="0" r="0" t="0"/>
            <wp:docPr descr="" title="" id="1" name="Picture"/>
            <a:graphic>
              <a:graphicData uri="http://schemas.openxmlformats.org/drawingml/2006/picture">
                <pic:pic>
                  <pic:nvPicPr>
                    <pic:cNvPr descr="研究报告/02图表/当前版/city_station_direction.png" id="0" name="Picture"/>
                    <pic:cNvPicPr>
                      <a:picLocks noChangeArrowheads="1" noChangeAspect="1"/>
                    </pic:cNvPicPr>
                  </pic:nvPicPr>
                  <pic:blipFill>
                    <a:blip r:embed="rId113"/>
                    <a:stretch>
                      <a:fillRect/>
                    </a:stretch>
                  </pic:blipFill>
                  <pic:spPr bwMode="auto">
                    <a:xfrm>
                      <a:off x="0" y="0"/>
                      <a:ext cx="5120640" cy="479641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市区2025年逐站正反向净负荷极值</w:t>
      </w:r>
    </w:p>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4"/>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两地区静态工况下的站级负载率</w:t>
      </w:r>
    </w:p>
    <w:p>
      <w:pPr>
        <w:pStyle w:val="5"/>
        <w:keepNext/>
        <w:numPr>
          <w:numId w:val="0"/>
        </w:numPr>
        <w:spacing w:line="390" w:lineRule="exact" w:before="160" w:after="120"/>
        <w:ind w:firstLine="0"/>
      </w:pPr>
      <w:bookmarkStart w:id="115" w:name="区域同步净负荷曲线"/>
      <w:r>
        <w:rPr>
          <w:rFonts w:ascii="Times New Roman" w:hAnsi="Times New Roman" w:eastAsia="方正仿宋_GBK"/>
          <w:b/>
          <w:sz w:val="26"/>
        </w:rPr>
        <w:t xml:space="preserve">3.4.3 区域同步净负荷曲线</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6"/>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7"/>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市区区域净负荷曲线及95%近峰时段</w:t>
      </w:r>
    </w:p>
    <w:p>
      <w:pPr>
        <w:pStyle w:val="5"/>
        <w:keepNext/>
        <w:numPr>
          <w:numId w:val="0"/>
        </w:numPr>
        <w:spacing w:line="390" w:lineRule="exact" w:before="160" w:after="120"/>
        <w:ind w:firstLine="0"/>
      </w:pPr>
      <w:bookmarkStart w:id="118" w:name="峰值持续时间"/>
      <w:r>
        <w:rPr>
          <w:rFonts w:ascii="Times New Roman" w:hAnsi="Times New Roman" w:eastAsia="方正仿宋_GBK"/>
          <w:b/>
          <w:sz w:val="26"/>
        </w:rPr>
        <w:t xml:space="preserve">3.4.4 95%峰值持续时间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2"/>
        <w:widowControl/>
        <w:spacing w:line="348" w:lineRule="exact" w:before="0" w:after="0"/>
        <w:ind w:firstLine="480"/>
        <w:jc w:val="both"/>
      </w:pPr>
      <w:r>
        <w:rPr>
          <w:rFonts w:ascii="Times New Roman" w:hAnsi="Times New Roman" w:eastAsia="方正仿宋_GBK"/>
          <w:b w:val="0"/>
          <w:sz w:val="24"/>
        </w:rPr>
        <w:t xml:space="preserve">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regional_load_duration.png" id="0" name="Picture"/>
                    <pic:cNvPicPr>
                      <a:picLocks noChangeArrowheads="1" noChangeAspect="1"/>
                    </pic:cNvPicPr>
                  </pic:nvPicPr>
                  <pic:blipFill>
                    <a:blip r:embed="rId11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图3-10 两地区全年净负荷绝对值持续曲线及高值端</w:t>
      </w:r>
    </w:p>
    <w:p>
      <w:pPr>
        <w:pStyle w:val="5"/>
        <w:keepNext/>
        <w:numPr>
          <w:numId w:val="0"/>
        </w:numPr>
        <w:spacing w:line="390" w:lineRule="exact" w:before="160" w:after="120"/>
        <w:ind w:firstLine="0"/>
      </w:pPr>
      <w:bookmarkStart w:id="120" w:name="峰段与储能容量的联系"/>
      <w:r>
        <w:rPr>
          <w:rFonts w:ascii="Times New Roman" w:hAnsi="Times New Roman" w:eastAsia="方正仿宋_GBK"/>
          <w:b/>
          <w:sz w:val="26"/>
        </w:rPr>
        <w:t xml:space="preserve">3.4.5 峰段与储能容量的联系</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储能额定功率限制瞬时支撑幅度，可用能量限制连续支撑时长，因此静态支撑能力需同时满足峰值幅度与持续时间要求，模型取铭牌功率和峰段可持续能量折算功率的较小值确定充放电功率。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h。当前研究采用可用电量系数0.76作静态折算，未开展逐时荷电状态仿真[28][10]。</w:t>
      </w:r>
    </w:p>
    <w:p>
      <w:pPr>
        <w:pStyle w:val="4"/>
        <w:keepNext/>
        <w:numPr>
          <w:numId w:val="0"/>
        </w:numPr>
        <w:spacing w:line="480" w:lineRule="exact" w:before="160" w:after="120"/>
        <w:ind w:firstLine="0"/>
      </w:pPr>
      <w:bookmarkStart w:id="1325" w:name="h325"/>
      <w:bookmarkStart w:id="121" w:name="核心参数依据与相关性分析"/>
      <w:r>
        <w:rPr>
          <w:rFonts w:ascii="Times New Roman" w:hAnsi="Times New Roman" w:eastAsia="方正仿宋_GBK"/>
          <w:b/>
          <w:sz w:val="32"/>
        </w:rPr>
        <w:t xml:space="preserve">3.5 核心参数依据与相关性分析</w:t>
      </w:r>
      <w:bookmarkEnd w:id="121"/>
      <w:bookmarkEnd w:id="1325"/>
    </w:p>
    <w:p>
      <w:pPr>
        <w:pStyle w:val="5"/>
        <w:keepNext/>
        <w:numPr>
          <w:numId w:val="0"/>
        </w:numPr>
        <w:spacing w:line="390" w:lineRule="exact" w:before="160" w:after="120"/>
        <w:ind w:firstLine="0"/>
      </w:pPr>
      <w:bookmarkStart w:id="122" w:name="十三项候选指标及工程依据"/>
      <w:r>
        <w:rPr>
          <w:rFonts w:ascii="Times New Roman" w:hAnsi="Times New Roman" w:eastAsia="方正仿宋_GBK"/>
          <w:b/>
          <w:sz w:val="26"/>
        </w:rPr>
        <w:t xml:space="preserve">3.5.1 十三项候选指标及工程依据</w:t>
      </w:r>
      <w:bookmarkEnd w:id="122"/>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[7]。本研究围绕源荷规模、站级运行压力、网络支援和措施费用构造十三项候选指标，先评价其与容载比的关联，再比较指标之间的信息重叠，确定推广矩阵的参数。</w:t>
      </w:r>
    </w:p>
    <w:p>
      <w:pPr>
        <w:pStyle w:val="2"/>
        <w:keepNext/>
        <w:spacing w:line="280" w:lineRule="exact" w:before="120" w:after="80"/>
        <w:ind w:firstLine="0"/>
        <w:jc w:val="center"/>
      </w:pPr>
      <w:r>
        <w:rPr>
          <w:rFonts w:ascii="Times New Roman" w:hAnsi="Times New Roman" w:eastAsia="宋体"/>
          <w:b w:val="0"/>
          <w:sz w:val="21"/>
        </w:rPr>
        <w:t xml:space="preserve">表3-8 十三项候选指标的定义、依据与规划作用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同范围分布式电源并网装机容量与用户最大负荷之比，无量纲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导则第6.5.4条给出定义，第7.4.2.2条联系反向容量校核[7]；装机及负荷资料见第3.3节</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同范围分布式电源年发电量与用户年用电量之比，%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导则第6.5.4条给出定义[7]；描述本地电源的年度供能水平</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各站净负荷绝对峰值与本站初始主变有功容量之比的最大值，%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按第3.4.2节计算，功率因数取0.95；描述局部容量压力[4][5]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区域同期净负荷曲线的最大受电功率，MW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按式（3-6）计算；对应正向供电任务[4][5]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区域同期净负荷曲线的最大反送功率幅值，MW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按式（3-6）计算；对应新能源反向输送任务[4][5]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同范围起止年度网供最大负荷之比按年度间隔开根后减1，%/年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导则第6.2.2.1条据此划分负荷发展阶段[7]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净负荷绝对值达到全年最大绝对值95%的最长连续时长，h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按第3.4.4节由补齐后的8760小时曲线统计；描述连续近峰过程</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导则第6.2.2条列为容量储备影响因素[7]；联系局部峰值与区域同时峰值</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导则第6.2.2.1条及馈线联络研究说明转供能力与容量储备的关系[7][8]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新购主变单位有功容量投资与联络单位有效转供功率投资之比，无量纲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按第4.5.4节由工程价格与有效能力折算；描述主变、线路的相对投资[85,87,88,86]</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新购主变单位有功容量投资与储能单位有效支撑功率投资之比，无量纲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按第4.5.4节折算；联系参考价格、可用能量和支撑时长[85,87,88,86]</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线路形式影响工程费用[12]；邳州约11%、市区约80%，按第4.3节折算新增联络费用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储能定容同时考虑功率、能量及持续过程[10][28]；按第4.4节参与设备比选</w:t>
            </w:r>
          </w:p>
        </w:tc>
      </w:tr>
    </w:tbl>
    <w:p>
      <w:pPr>
        <w:pStyle w:val="2"/>
        <w:widowControl/>
        <w:spacing w:line="348" w:lineRule="atLeast" w:before="0" w:after="0"/>
        <w:ind w:firstLine="480"/>
        <w:jc w:val="both"/>
      </w:pPr>
      <w:r>
        <w:rPr>
          <w:rFonts w:ascii="Times New Roman" w:hAnsi="Times New Roman" w:eastAsia="方正仿宋_GBK"/>
          <w:b w:val="0"/>
          <w:sz w:val="24"/>
        </w:rPr>
        <w:t xml:space="preserve">装机、电量及功率极值的计算见第3.3—3.4节。网络与负荷分布参数分别采用</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为电缆、架空线路长度，单位km；</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为基期可转负荷与网供最大负荷，单位MW；</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分别为站级及区域正向峰值，单位MW。</w:t>
      </w:r>
    </w:p>
    <w:p>
      <w:pPr>
        <w:pStyle w:val="2"/>
        <w:keepNext/>
        <w:spacing w:line="280" w:lineRule="exact" w:before="120" w:after="80"/>
        <w:ind w:firstLine="0"/>
        <w:jc w:val="center"/>
      </w:pPr>
      <w:r>
        <w:rPr>
          <w:rFonts w:ascii="Times New Roman" w:hAnsi="Times New Roman" w:eastAsia="宋体"/>
          <w:b w:val="0"/>
          <w:sz w:val="21"/>
        </w:rPr>
        <w:t xml:space="preserve">表3-9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pPr>
        <w:pStyle w:val="5"/>
        <w:keepNext/>
        <w:numPr>
          <w:numId w:val="0"/>
        </w:numPr>
        <w:spacing w:line="390" w:lineRule="exact" w:before="160" w:after="120"/>
        <w:ind w:firstLine="0"/>
      </w:pPr>
      <w:bookmarkStart w:id="123" w:name="情景采样与两层分析方法"/>
      <w:r>
        <w:rPr>
          <w:rFonts w:ascii="Times New Roman" w:hAnsi="Times New Roman" w:eastAsia="方正仿宋_GBK"/>
          <w:b/>
          <w:sz w:val="26"/>
        </w:rPr>
        <w:t xml:space="preserve">3.5.2 情景采样与两层分析方法</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pPr>
        <w:pStyle w:val="2"/>
        <w:widowControl/>
        <w:spacing w:line="348" w:lineRule="exact" w:before="0" w:after="0"/>
        <w:ind w:firstLine="480"/>
        <w:jc w:val="both"/>
      </w:pPr>
      <w:r>
        <w:rPr>
          <w:rFonts w:ascii="Times New Roman" w:hAnsi="Times New Roman" w:eastAsia="方正仿宋_GBK"/>
          <w:b w:val="0"/>
          <w:sz w:val="24"/>
        </w:rPr>
        <w:t xml:space="preserve">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h。装机与电量节点用于构造不同出力水平，时间节点用于比较连续支撑要求，两类价格节点用于分析参考工程价格附近的措施替代[85,87,88,86]。</w:t>
      </w:r>
    </w:p>
    <w:p>
      <w:pPr>
        <w:pStyle w:val="2"/>
        <w:keepNext/>
        <w:spacing w:line="280" w:lineRule="exact" w:before="120" w:after="80"/>
        <w:ind w:firstLine="0"/>
        <w:jc w:val="center"/>
      </w:pPr>
      <w:r>
        <w:rPr>
          <w:rFonts w:ascii="Times New Roman" w:hAnsi="Times New Roman" w:eastAsia="宋体"/>
          <w:b w:val="0"/>
          <w:sz w:val="21"/>
        </w:rPr>
        <w:t xml:space="preserve">表3-11 候选指标的采样节点与点数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采样节点或计算方式</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点数</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0～3.00，步长0.125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0～65%，步长2.5个百分点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随源荷情景计算各站负载率并取最大值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按同期区域净负荷取正向极值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按同期区域净负荷取反向极值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0、1%、2%、3%、4%、5%、5.5%、6%、7%、7.1%、7.5%、8%、9%、10%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1.00、1.05、1.10、1.15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pPr>
        <w:pStyle w:val="2"/>
        <w:widowControl/>
        <w:spacing w:line="348" w:lineRule="exact" w:before="0" w:after="0"/>
        <w:ind w:firstLine="480"/>
        <w:jc w:val="both"/>
      </w:pPr>
      <w:r>
        <w:rPr>
          <w:rFonts w:ascii="Times New Roman" w:hAnsi="Times New Roman" w:eastAsia="方正仿宋_GBK"/>
          <w:b w:val="0"/>
          <w:sz w:val="24"/>
        </w:rPr>
        <w:t xml:space="preserve">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pPr>
        <w:pStyle w:val="2"/>
        <w:widowControl/>
        <w:spacing w:line="348" w:lineRule="exact" w:before="0" w:after="0"/>
        <w:ind w:firstLine="480"/>
        <w:jc w:val="both"/>
      </w:pPr>
      <w:r>
        <w:rPr>
          <w:rFonts w:ascii="Times New Roman" w:hAnsi="Times New Roman" w:eastAsia="方正仿宋_GBK"/>
          <w:b w:val="0"/>
          <w:sz w:val="24"/>
        </w:rPr>
        <w:t xml:space="preserve">第一层评价指标与容载比的关联。针对每项指标组织受控取值序列，在组内固定其他源荷、网络、时间及价格条件，每组至少包含两个有效节点。对组内指标</w:t>
      </w:r>
      <m:oMath>
        <m:r>
          <m:rPr>
            <m:nor m:val="1"/>
          </m:rPr>
          <w:rPr>
            <w:rFonts w:ascii="Times New Roman" w:hAnsi="Times New Roman" w:cs="Times New Roman" w:eastAsia="方正仿宋_GBK"/>
            <w:i w:val="1"/>
            <w:iCs w:val="1"/>
          </w:rPr>
          <m:t>x</m:t>
        </m:r>
      </m:oMath>
      <w:r>
        <w:rPr>
          <w:rFonts w:ascii="Times New Roman" w:hAnsi="Times New Roman" w:eastAsia="方正仿宋_GBK"/>
          <w:b w:val="0"/>
          <w:sz w:val="24"/>
        </w:rPr>
        <w:t xml:space="preserve">和容载比</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分别计算</w:t>
      </w:r>
      <m:oMath>
        <m:r>
          <m:rPr>
            <m:nor m:val="1"/>
          </m:rPr>
          <w:rPr>
            <w:rFonts w:ascii="Times New Roman" w:hAnsi="Times New Roman" w:cs="Times New Roman" w:eastAsia="方正仿宋_GBK"/>
            <w:i w:val="1"/>
            <w:iCs w:val="1"/>
          </w:rPr>
          <m:t>x</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x</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R</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，汇总节点计算Pearson系数，节点等权并保留零容量响应组[89]。正向净负荷沿年最大净负荷平均增长率序列分析，反向净负荷和站级负载率沿电量序列分析，两项投资比分别沿独立价格序列分析。</w:t>
      </w:r>
    </w:p>
    <w:p>
      <w:pPr>
        <w:pStyle w:val="2"/>
        <w:widowControl/>
        <w:spacing w:line="348" w:lineRule="exact" w:before="0" w:after="0"/>
        <w:ind w:firstLine="480"/>
        <w:jc w:val="both"/>
      </w:pPr>
      <w:r>
        <w:rPr>
          <w:rFonts w:ascii="Times New Roman" w:hAnsi="Times New Roman" w:eastAsia="方正仿宋_GBK"/>
          <w:b w:val="0"/>
          <w:sz w:val="24"/>
        </w:rPr>
        <w:t xml:space="preserve">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pPr>
        <w:pStyle w:val="5"/>
        <w:keepNext/>
        <w:numPr>
          <w:numId w:val="0"/>
        </w:numPr>
        <w:spacing w:line="390" w:lineRule="exact" w:before="160" w:after="120"/>
        <w:ind w:firstLine="0"/>
      </w:pPr>
      <w:bookmarkStart w:id="124" w:name="与容载比的相关性筛选"/>
      <w:r>
        <w:rPr>
          <w:rFonts w:ascii="Times New Roman" w:hAnsi="Times New Roman" w:eastAsia="方正仿宋_GBK"/>
          <w:b/>
          <w:sz w:val="26"/>
        </w:rPr>
        <w:t xml:space="preserve">3.5.3 与容载比的相关性筛选</w:t>
      </w:r>
      <w:bookmarkEnd w:id="124"/>
    </w:p>
    <w:p>
      <w:pPr>
        <w:pStyle w:val="FirstParagraph"/>
        <w:keepNext/>
        <w:spacing w:line="280" w:lineRule="exact" w:before="120" w:after="80"/>
        <w:ind w:firstLine="0"/>
        <w:jc w:val="center"/>
      </w:pPr>
      <w:r>
        <w:rPr>
          <w:rFonts w:ascii="Times New Roman" w:hAnsi="Times New Roman" w:eastAsia="宋体"/>
          <w:b w:val="0"/>
          <w:sz w:val="21"/>
        </w:rPr>
        <w:t xml:space="preserve">表3-12 十三项指标与容载比的组内相关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88781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bl>
    <w:p>
      <w:pPr>
        <w:pStyle w:val="2"/>
        <w:widowControl/>
        <w:spacing w:line="348" w:lineRule="exact" w:before="0" w:after="0"/>
        <w:ind w:firstLine="480"/>
        <w:jc w:val="both"/>
      </w:pPr>
      <w:r>
        <w:rPr>
          <w:rFonts w:ascii="Times New Roman" w:hAnsi="Times New Roman" w:eastAsia="方正仿宋_GBK"/>
          <w:b w:val="0"/>
          <w:sz w:val="24"/>
        </w:rPr>
        <w:t xml:space="preserve">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pPr>
        <w:pStyle w:val="2"/>
        <w:widowControl/>
        <w:spacing w:line="348" w:lineRule="exact" w:before="0" w:after="0"/>
        <w:ind w:firstLine="480"/>
        <w:jc w:val="both"/>
      </w:pPr>
      <w:r>
        <w:rPr>
          <w:rFonts w:ascii="Times New Roman" w:hAnsi="Times New Roman" w:eastAsia="方正仿宋_GBK"/>
          <w:b w:val="0"/>
          <w:sz w:val="24"/>
        </w:rPr>
        <w:t xml:space="preserve">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pPr>
        <w:pStyle w:val="2"/>
        <w:widowControl/>
        <w:spacing w:line="348" w:lineRule="exact" w:before="0" w:after="0"/>
        <w:ind w:firstLine="480"/>
        <w:jc w:val="both"/>
      </w:pPr>
      <w:r>
        <w:rPr>
          <w:rFonts w:ascii="Times New Roman" w:hAnsi="Times New Roman" w:eastAsia="方正仿宋_GBK"/>
          <w:b w:val="0"/>
          <w:sz w:val="24"/>
        </w:rPr>
        <w:t xml:space="preserve">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pPr>
        <w:pStyle w:val="2"/>
        <w:widowControl/>
        <w:spacing w:line="348" w:lineRule="exact" w:before="0" w:after="0"/>
        <w:ind w:firstLine="480"/>
        <w:jc w:val="both"/>
      </w:pPr>
      <w:r>
        <w:rPr>
          <w:rFonts w:ascii="Times New Roman" w:hAnsi="Times New Roman" w:eastAsia="方正仿宋_GBK"/>
          <w:b w:val="0"/>
          <w:sz w:val="24"/>
        </w:rPr>
        <w:t xml:space="preserve">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045336"/>
            <wp:effectExtent b="0" l="0" r="0" t="0"/>
            <wp:docPr descr="" title="" id="1" name="Picture"/>
            <a:graphic>
              <a:graphicData uri="http://schemas.openxmlformats.org/drawingml/2006/picture">
                <pic:pic>
                  <pic:nvPicPr>
                    <pic:cNvPr descr="研究报告/02图表/当前版/indicator_correlation_strength.png" id="0" name="Picture"/>
                    <pic:cNvPicPr>
                      <a:picLocks noChangeArrowheads="1" noChangeAspect="1"/>
                    </pic:cNvPicPr>
                  </pic:nvPicPr>
                  <pic:blipFill>
                    <a:blip r:embed="rId125"/>
                    <a:stretch>
                      <a:fillRect/>
                    </a:stretch>
                  </pic:blipFill>
                  <pic:spPr bwMode="auto">
                    <a:xfrm>
                      <a:off x="0" y="0"/>
                      <a:ext cx="5120640" cy="50453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图3-11 十三项候选指标与容载比的组内相关</w:t>
      </w:r>
    </w:p>
    <w:p>
      <w:pPr>
        <w:pStyle w:val="5"/>
        <w:keepNext/>
        <w:numPr>
          <w:numId w:val="0"/>
        </w:numPr>
        <w:spacing w:line="390" w:lineRule="exact" w:before="160" w:after="120"/>
        <w:ind w:firstLine="0"/>
      </w:pPr>
      <w:bookmarkStart w:id="126" w:name="高相关指标归并与代表参数"/>
      <w:r>
        <w:rPr>
          <w:rFonts w:ascii="Times New Roman" w:hAnsi="Times New Roman" w:eastAsia="方正仿宋_GBK"/>
          <w:b/>
          <w:sz w:val="26"/>
        </w:rPr>
        <w:t xml:space="preserve">3.5.4 高相关指标归并与代表参数</w:t>
      </w:r>
      <w:bookmarkEnd w:id="126"/>
    </w:p>
    <w:p>
      <w:pPr>
        <w:pStyle w:val="FirstParagraph"/>
        <w:keepNext/>
        <w:spacing w:line="280" w:lineRule="exact" w:before="120" w:after="80"/>
        <w:ind w:firstLine="0"/>
        <w:jc w:val="center"/>
      </w:pPr>
      <w:r>
        <w:rPr>
          <w:rFonts w:ascii="Times New Roman" w:hAnsi="Times New Roman" w:eastAsia="宋体"/>
          <w:b w:val="0"/>
          <w:sz w:val="21"/>
        </w:rPr>
        <w:t xml:space="preserve">表3-13 十三项指标的Pearson相关矩阵（1）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站级负载率最大值</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表3-14 十三项指标的Pearson相关矩阵（2）</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54"/>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86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55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主变与储能单位功率投资比</w:t>
            </w:r>
          </w:p>
        </w:tc>
        <w:tc>
          <w:tcPr>
            <w:tcW w:type="dxa" w:w="99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4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表3-15 高相关指标归并及代表参数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对应基础参数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代表参数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pPr>
        <w:pStyle w:val="2"/>
        <w:widowControl/>
        <w:spacing w:line="348" w:lineRule="exact" w:before="0" w:after="0"/>
        <w:ind w:firstLine="480"/>
        <w:jc w:val="both"/>
      </w:pPr>
      <w:r>
        <w:rPr>
          <w:rFonts w:ascii="Times New Roman" w:hAnsi="Times New Roman" w:eastAsia="方正仿宋_GBK"/>
          <w:b w:val="0"/>
          <w:sz w:val="24"/>
        </w:rPr>
        <w:t xml:space="preserve">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pPr>
        <w:pStyle w:val="5"/>
        <w:keepNext/>
        <w:numPr>
          <w:numId w:val="0"/>
        </w:numPr>
        <w:spacing w:line="390" w:lineRule="exact" w:before="160" w:after="120"/>
        <w:ind w:firstLine="0"/>
      </w:pPr>
      <w:bookmarkStart w:id="127" w:name="五项参数的相关关系与矩阵组织"/>
      <w:r>
        <w:rPr>
          <w:rFonts w:ascii="Times New Roman" w:hAnsi="Times New Roman" w:eastAsia="方正仿宋_GBK"/>
          <w:b/>
          <w:sz w:val="26"/>
        </w:rPr>
        <w:t xml:space="preserve">3.5.5 五项参数的相关关系与矩阵组织</w:t>
      </w:r>
      <w:bookmarkEnd w:id="127"/>
    </w:p>
    <w:p>
      <w:pPr>
        <w:pStyle w:val="FirstParagraph"/>
        <w:keepNext/>
        <w:spacing w:line="280" w:lineRule="exact" w:before="120" w:after="80"/>
        <w:ind w:firstLine="0"/>
        <w:jc w:val="center"/>
      </w:pPr>
      <w:r>
        <w:rPr>
          <w:rFonts w:ascii="Times New Roman" w:hAnsi="Times New Roman" w:eastAsia="宋体"/>
          <w:b w:val="0"/>
          <w:sz w:val="21"/>
        </w:rPr>
        <w:t xml:space="preserve">表3-16 五项推广参数的Pearson相关矩阵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292301"/>
            <wp:effectExtent b="0" l="0" r="0" t="0"/>
            <wp:docPr descr="" title="" id="1" name="Picture"/>
            <a:graphic>
              <a:graphicData uri="http://schemas.openxmlformats.org/drawingml/2006/picture">
                <pic:pic>
                  <pic:nvPicPr>
                    <pic:cNvPr descr="研究报告/02图表/当前版/five_parameter_correlation_map.png" id="0" name="Picture"/>
                    <pic:cNvPicPr>
                      <a:picLocks noChangeArrowheads="1" noChangeAspect="1"/>
                    </pic:cNvPicPr>
                  </pic:nvPicPr>
                  <pic:blipFill>
                    <a:blip r:embed="rId128"/>
                    <a:stretch>
                      <a:fillRect/>
                    </a:stretch>
                  </pic:blipFill>
                  <pic:spPr bwMode="auto">
                    <a:xfrm>
                      <a:off x="0" y="0"/>
                      <a:ext cx="5120640" cy="429230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图3-12 五项推广参数的Pearson相关矩阵</w:t>
      </w:r>
    </w:p>
    <w:p>
      <w:pPr>
        <w:pStyle w:val="2"/>
        <w:widowControl/>
        <w:spacing w:line="348" w:lineRule="exact" w:before="0" w:after="0"/>
        <w:ind w:firstLine="480"/>
        <w:jc w:val="both"/>
      </w:pPr>
      <w:r>
        <w:rPr>
          <w:rFonts w:ascii="Times New Roman" w:hAnsi="Times New Roman" w:eastAsia="方正仿宋_GBK"/>
          <w:b w:val="0"/>
          <w:sz w:val="24"/>
        </w:rPr>
        <w:t xml:space="preserve">五项参数中，电缆长度占比与初始转供率的Pearson系数为0.29，其余配对绝对值均不超过0.15。二者在联合取值中具有一定地区网络背景联系，但分别通过线路造价和既有支援能力作用于设备选择。</w:t>
      </w:r>
    </w:p>
    <w:p>
      <w:pPr>
        <w:pStyle w:val="2"/>
        <w:widowControl/>
        <w:spacing w:line="348" w:lineRule="exact" w:before="0" w:after="0"/>
        <w:ind w:firstLine="480"/>
        <w:jc w:val="both"/>
      </w:pPr>
      <w:r>
        <w:rPr>
          <w:rFonts w:ascii="Times New Roman" w:hAnsi="Times New Roman" w:eastAsia="方正仿宋_GBK"/>
          <w:b w:val="0"/>
          <w:sz w:val="24"/>
        </w:rPr>
        <w:t xml:space="preserve">五项参数之间的相关绝对值均低于本研究的信息归并阈值，分别保留电源规模、负荷发展、线路经济条件、既有网络支援及局部峰值分布的信息，能够从不同规划条件解释容载比差异。</w:t>
      </w:r>
    </w:p>
    <w:p>
      <w:pPr>
        <w:pStyle w:val="2"/>
        <w:keepNext/>
        <w:spacing w:line="280" w:lineRule="exact" w:before="120" w:after="80"/>
        <w:ind w:firstLine="0"/>
        <w:jc w:val="center"/>
      </w:pPr>
      <w:r>
        <w:rPr>
          <w:rFonts w:ascii="Times New Roman" w:hAnsi="Times New Roman" w:eastAsia="宋体"/>
          <w:b w:val="0"/>
          <w:sz w:val="21"/>
        </w:rPr>
        <w:t xml:space="preserve">表3-17 十三项指标至五项推广参数的筛选结果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环节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指标数</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处理结果</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候选指标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涵盖源荷规模、运行压力、网络支援、时间及相对投资</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容载比相关性筛选</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95%峰值持续时间、储能支撑持续时间及两项投资比的相关强度较低</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高相关指标归并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电量、反向净负荷和站级负载率归入装机指标组，正向净负荷归入增长指标组</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参数间相关核验</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最大Pearson绝对值为0.29，五项间信息重叠较少</w:t>
            </w:r>
          </w:p>
        </w:tc>
      </w:tr>
    </w:tbl>
    <w:p>
      <w:pPr>
        <w:pStyle w:val="2"/>
        <w:widowControl/>
        <w:spacing w:line="348" w:lineRule="exact" w:before="0" w:after="0"/>
        <w:ind w:firstLine="480"/>
        <w:jc w:val="both"/>
      </w:pPr>
      <w:r>
        <w:rPr>
          <w:rFonts w:ascii="Times New Roman" w:hAnsi="Times New Roman" w:eastAsia="方正仿宋_GBK"/>
          <w:b w:val="0"/>
          <w:sz w:val="24"/>
        </w:rPr>
        <w:t xml:space="preserve">两层分析由十三项候选指标得到五项推广参数：分布式电源装机渗透率、年最大净负荷平均增长率、电缆长度占比、初始转供率和负荷分散系数。其对应的矩阵分类如下。</w:t>
      </w:r>
    </w:p>
    <w:p>
      <w:pPr>
        <w:pStyle w:val="2"/>
        <w:keepNext/>
        <w:spacing w:line="280" w:lineRule="exact" w:before="120" w:after="80"/>
        <w:ind w:firstLine="0"/>
        <w:jc w:val="center"/>
      </w:pPr>
      <w:r>
        <w:rPr>
          <w:rFonts w:ascii="Times New Roman" w:hAnsi="Times New Roman" w:eastAsia="宋体"/>
          <w:b w:val="0"/>
          <w:sz w:val="21"/>
        </w:rPr>
        <w:t xml:space="preserve">表3-18 采用指标与推广矩阵分类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采用指标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10%～90%的计算节点统一归纳</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2%、4%、7%的分界[7]，装机和转供参数按表列区间组织，电缆长度占比按10%～90%的计算节点归纳，首尾档开口，负荷分散系数按三个定值分别列示。第五章将电缆长度占比10%～90%的计算节点共同归纳，按负荷分散系数三个定值列示区间矩阵，年最大净负荷平均增长率和装机渗透率选行、初始转供率选列，储能支撑2、4、6 h的结果在单元内归纳。统一工程价格进入对应设备方案的比选。</w:t>
      </w:r>
    </w:p>
    <w:p>
      <w:pPr>
        <w:pStyle w:val="4"/>
        <w:keepNext/>
        <w:numPr>
          <w:numId w:val="0"/>
        </w:numPr>
        <w:spacing w:line="480" w:lineRule="exact" w:before="160" w:after="120"/>
        <w:ind w:firstLine="0"/>
      </w:pPr>
      <w:bookmarkStart w:id="1368" w:name="h368"/>
      <w:bookmarkStart w:id="129" w:name="kv负荷转接资料与仿真条件"/>
      <w:r>
        <w:rPr>
          <w:rFonts w:ascii="Times New Roman" w:hAnsi="Times New Roman" w:eastAsia="方正仿宋_GBK"/>
          <w:b/>
          <w:sz w:val="32"/>
        </w:rPr>
        <w:t xml:space="preserve">3.6 10 kV负荷转接资料与仿真条件</w:t>
      </w:r>
      <w:bookmarkEnd w:id="129"/>
      <w:bookmarkEnd w:id="1368"/>
    </w:p>
    <w:p>
      <w:pPr>
        <w:pStyle w:val="5"/>
        <w:keepNext/>
        <w:numPr>
          <w:numId w:val="0"/>
        </w:numPr>
        <w:spacing w:line="390" w:lineRule="exact" w:before="160" w:after="120"/>
        <w:ind w:firstLine="0"/>
      </w:pPr>
      <w:bookmarkStart w:id="130" w:name="地区转供统计与计算方法"/>
      <w:r>
        <w:rPr>
          <w:rFonts w:ascii="Times New Roman" w:hAnsi="Times New Roman" w:eastAsia="方正仿宋_GBK"/>
          <w:b/>
          <w:sz w:val="26"/>
        </w:rPr>
        <w:t xml:space="preserve">3.6.1 地区转供统计与计算方法</w:t>
      </w:r>
      <w:bookmarkEnd w:id="130"/>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31" w:name="逐站能力及网络约束"/>
      <w:r>
        <w:rPr>
          <w:rFonts w:ascii="Times New Roman" w:hAnsi="Times New Roman" w:eastAsia="方正仿宋_GBK"/>
          <w:b/>
          <w:sz w:val="26"/>
        </w:rPr>
        <w:t xml:space="preserve">3.6.2 逐站能力及网络约束</w:t>
      </w:r>
      <w:bookmarkEnd w:id="131"/>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地区案例将全停转供统计与110 kV站点逐一匹配，市区26座实体站、邳州20座站采用对应记录，每站按可转负荷占可转及损失负荷之和的比例计算转供率，以该比例乘当年最大正向净负荷形成年度预算，再受原表站外最大可供负荷上限限制。市区3座模拟站按既定设备参与地区计算，既有转供能力取零。</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既有通道与新增候选分别记录馈线端点和有效容量，正常运行允许调整供区，主变故障后重新分配转供。各通道共同校核源端可切负荷、共享馈线余量和接收站容量，新增联络单项有效能力为7.49 MW，工程费用按地区电缆长度占比计算。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32" w:name="电源归属及反向功率"/>
      <w:r>
        <w:rPr>
          <w:rFonts w:ascii="Times New Roman" w:hAnsi="Times New Roman" w:eastAsia="方正仿宋_GBK"/>
          <w:b/>
          <w:sz w:val="26"/>
        </w:rPr>
        <w:t xml:space="preserve">3.6.3 电源归属及反向功率</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因此每个静态工况需按转出、转入功率重新计算净负荷，并同时校核正向供电和反向容量。转出功率以本站原始可转负荷为上限，区域内部转入、转出合计相等。</w:t>
      </w:r>
    </w:p>
    <w:p>
      <w:pPr>
        <w:pStyle w:val="4"/>
        <w:keepNext/>
        <w:numPr>
          <w:numId w:val="0"/>
        </w:numPr>
        <w:spacing w:line="480" w:lineRule="exact" w:before="160" w:after="120"/>
        <w:ind w:firstLine="0"/>
      </w:pPr>
      <w:bookmarkStart w:id="1378" w:name="h378"/>
      <w:bookmarkStart w:id="133" w:name="站级负载率与配置需求"/>
      <w:r>
        <w:rPr>
          <w:rFonts w:ascii="Times New Roman" w:hAnsi="Times New Roman" w:eastAsia="方正仿宋_GBK"/>
          <w:b/>
          <w:sz w:val="32"/>
        </w:rPr>
        <w:t xml:space="preserve">3.7 站级负载率与配置需求</w:t>
      </w:r>
      <w:bookmarkEnd w:id="133"/>
      <w:bookmarkEnd w:id="1378"/>
    </w:p>
    <w:p>
      <w:pPr>
        <w:pStyle w:val="5"/>
        <w:keepNext/>
        <w:numPr>
          <w:numId w:val="0"/>
        </w:numPr>
        <w:spacing w:line="390" w:lineRule="exact" w:before="160" w:after="120"/>
        <w:ind w:firstLine="0"/>
      </w:pPr>
      <w:bookmarkStart w:id="134" w:name="邳州站级相对负载"/>
      <w:r>
        <w:rPr>
          <w:rFonts w:ascii="Times New Roman" w:hAnsi="Times New Roman" w:eastAsia="方正仿宋_GBK"/>
          <w:b/>
          <w:sz w:val="26"/>
        </w:rPr>
        <w:t xml:space="preserve">3.7.1 邳州站级相对负载</w:t>
      </w:r>
      <w:bookmarkEnd w:id="134"/>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1185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5"/>
                    <a:stretch>
                      <a:fillRect/>
                    </a:stretch>
                  </pic:blipFill>
                  <pic:spPr bwMode="auto">
                    <a:xfrm>
                      <a:off x="0" y="0"/>
                      <a:ext cx="5120640" cy="331185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图3-13 邳州站级负载率</w:t>
      </w:r>
    </w:p>
    <w:p>
      <w:pPr>
        <w:pStyle w:val="5"/>
        <w:keepNext/>
        <w:numPr>
          <w:numId w:val="0"/>
        </w:numPr>
        <w:spacing w:line="390" w:lineRule="exact" w:before="160" w:after="120"/>
        <w:ind w:firstLine="0"/>
      </w:pPr>
      <w:bookmarkStart w:id="136" w:name="市区站级相对负载"/>
      <w:r>
        <w:rPr>
          <w:rFonts w:ascii="Times New Roman" w:hAnsi="Times New Roman" w:eastAsia="方正仿宋_GBK"/>
          <w:b/>
          <w:sz w:val="26"/>
        </w:rPr>
        <w:t xml:space="preserve">3.7.2 市区站级相对负载</w:t>
      </w:r>
      <w:bookmarkEnd w:id="136"/>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508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7"/>
                    <a:stretch>
                      <a:fillRect/>
                    </a:stretch>
                  </pic:blipFill>
                  <pic:spPr bwMode="auto">
                    <a:xfrm>
                      <a:off x="0" y="0"/>
                      <a:ext cx="5120640" cy="39508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图3-14 市区站级负载率</w:t>
      </w:r>
    </w:p>
    <w:p>
      <w:pPr>
        <w:pStyle w:val="5"/>
        <w:keepNext/>
        <w:numPr>
          <w:numId w:val="0"/>
        </w:numPr>
        <w:spacing w:line="390" w:lineRule="exact" w:before="160" w:after="120"/>
        <w:ind w:firstLine="0"/>
      </w:pPr>
      <w:bookmarkStart w:id="138" w:name="负载率与规划措施的联系"/>
      <w:r>
        <w:rPr>
          <w:rFonts w:ascii="Times New Roman" w:hAnsi="Times New Roman" w:eastAsia="方正仿宋_GBK"/>
          <w:b/>
          <w:sz w:val="26"/>
        </w:rPr>
        <w:t xml:space="preserve">3.7.3 负载率与规划措施的联系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9" w:name="较高负载率站的方向与配置条件"/>
      <w:r>
        <w:rPr>
          <w:rFonts w:ascii="Times New Roman" w:hAnsi="Times New Roman" w:eastAsia="方正仿宋_GBK"/>
          <w:b/>
          <w:sz w:val="26"/>
        </w:rPr>
        <w:t xml:space="preserve">3.7.4 较高负载率站的方向与配置条件</w:t>
      </w:r>
      <w:bookmarkEnd w:id="139"/>
    </w:p>
    <w:p>
      <w:pPr>
        <w:pStyle w:val="FirstParagraph"/>
        <w:keepNext/>
        <w:spacing w:line="280" w:lineRule="exact" w:before="120" w:after="80"/>
        <w:ind w:firstLine="0"/>
        <w:jc w:val="center"/>
      </w:pPr>
      <w:r>
        <w:rPr>
          <w:rFonts w:ascii="Times New Roman" w:hAnsi="Times New Roman" w:eastAsia="宋体"/>
          <w:b w:val="0"/>
          <w:sz w:val="21"/>
        </w:rPr>
        <w:t xml:space="preserve">表3-19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40" w:name="站级功率的主导方向"/>
      <w:r>
        <w:rPr>
          <w:rFonts w:ascii="Times New Roman" w:hAnsi="Times New Roman" w:eastAsia="方正仿宋_GBK"/>
          <w:b/>
          <w:sz w:val="26"/>
        </w:rPr>
        <w:t xml:space="preserve">3.7.5 站级功率的主导方向</w:t>
      </w:r>
      <w:bookmarkEnd w:id="140"/>
    </w:p>
    <w:p>
      <w:pPr>
        <w:pStyle w:val="FirstParagraph"/>
        <w:keepNext/>
        <w:spacing w:line="280" w:lineRule="exact" w:before="120" w:after="80"/>
        <w:ind w:firstLine="0"/>
        <w:jc w:val="center"/>
      </w:pPr>
      <w:r>
        <w:rPr>
          <w:rFonts w:ascii="Times New Roman" w:hAnsi="Times New Roman" w:eastAsia="宋体"/>
          <w:b w:val="0"/>
          <w:sz w:val="21"/>
        </w:rPr>
        <w:t xml:space="preserve">表3-20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394" w:name="h394"/>
      <w:bookmarkStart w:id="141" w:name="运行特征的综合分析"/>
      <w:r>
        <w:rPr>
          <w:rFonts w:ascii="Times New Roman" w:hAnsi="Times New Roman" w:eastAsia="方正仿宋_GBK"/>
          <w:b/>
          <w:sz w:val="32"/>
        </w:rPr>
        <w:t xml:space="preserve">3.8 运行特征的综合分析</w:t>
      </w:r>
      <w:bookmarkEnd w:id="141"/>
      <w:bookmarkEnd w:id="1394"/>
    </w:p>
    <w:p>
      <w:pPr>
        <w:pStyle w:val="5"/>
        <w:keepNext/>
        <w:numPr>
          <w:numId w:val="0"/>
        </w:numPr>
        <w:spacing w:line="390" w:lineRule="exact" w:before="160" w:after="120"/>
        <w:ind w:firstLine="0"/>
      </w:pPr>
      <w:bookmarkStart w:id="142" w:name="容量建设与负荷变化的不同作用"/>
      <w:r>
        <w:rPr>
          <w:rFonts w:ascii="Times New Roman" w:hAnsi="Times New Roman" w:eastAsia="方正仿宋_GBK"/>
          <w:b/>
          <w:sz w:val="26"/>
        </w:rPr>
        <w:t xml:space="preserve">3.8.1 容量建设与负荷变化的不同作用</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表3-21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pPr>
        <w:pStyle w:val="2"/>
        <w:widowControl/>
        <w:spacing w:line="348" w:lineRule="exact" w:before="0" w:after="0"/>
        <w:ind w:firstLine="480"/>
        <w:jc w:val="both"/>
      </w:pPr>
      <w:r>
        <w:rPr>
          <w:rFonts w:ascii="Times New Roman" w:hAnsi="Times New Roman" w:eastAsia="方正仿宋_GBK"/>
          <w:b w:val="0"/>
          <w:sz w:val="24"/>
        </w:rPr>
        <w:t xml:space="preserve">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819425"/>
            <wp:effectExtent b="0" l="0" r="0" t="0"/>
            <wp:docPr descr="" title="" id="1" name="Picture"/>
            <a:graphic>
              <a:graphicData uri="http://schemas.openxmlformats.org/drawingml/2006/picture">
                <pic:pic>
                  <pic:nvPicPr>
                    <pic:cNvPr descr="研究报告/02图表/当前版/historical_clr_contribution.png" id="0" name="Picture"/>
                    <pic:cNvPicPr>
                      <a:picLocks noChangeArrowheads="1" noChangeAspect="1"/>
                    </pic:cNvPicPr>
                  </pic:nvPicPr>
                  <pic:blipFill>
                    <a:blip r:embed="rId143"/>
                    <a:stretch>
                      <a:fillRect/>
                    </a:stretch>
                  </pic:blipFill>
                  <pic:spPr bwMode="auto">
                    <a:xfrm>
                      <a:off x="0" y="0"/>
                      <a:ext cx="5120640" cy="481942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图3-15 两地区年度容载比变化的容量与负荷贡献</w:t>
      </w:r>
    </w:p>
    <w:p>
      <w:pPr>
        <w:pStyle w:val="5"/>
        <w:keepNext/>
        <w:numPr>
          <w:numId w:val="0"/>
        </w:numPr>
        <w:spacing w:line="390" w:lineRule="exact" w:before="160" w:after="120"/>
        <w:ind w:firstLine="0"/>
      </w:pPr>
      <w:bookmarkStart w:id="144" w:name="光伏发电与用电高峰的季节关系"/>
      <w:r>
        <w:rPr>
          <w:rFonts w:ascii="Times New Roman" w:hAnsi="Times New Roman" w:eastAsia="方正仿宋_GBK"/>
          <w:b/>
          <w:sz w:val="26"/>
        </w:rPr>
        <w:t xml:space="preserve">3.8.2 光伏发电与用电高峰的季节关系</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pPr>
        <w:pStyle w:val="2"/>
        <w:keepNext/>
        <w:spacing w:line="280" w:lineRule="exact" w:before="120" w:after="80"/>
        <w:ind w:firstLine="0"/>
        <w:jc w:val="center"/>
      </w:pPr>
      <w:r>
        <w:rPr>
          <w:rFonts w:ascii="Times New Roman" w:hAnsi="Times New Roman" w:eastAsia="宋体"/>
          <w:b w:val="0"/>
          <w:sz w:val="21"/>
        </w:rPr>
        <w:t xml:space="preserve">表3-22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quarterly_energy_comparison.png" id="0" name="Picture"/>
                    <pic:cNvPicPr>
                      <a:picLocks noChangeArrowheads="1" noChangeAspect="1"/>
                    </pic:cNvPicPr>
                  </pic:nvPicPr>
                  <pic:blipFill>
                    <a:blip r:embed="rId145"/>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图3-16 邳州2025年分季度电量规模与电量渗透率</w:t>
      </w:r>
    </w:p>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46" w:name="区域容量储备与重载设备并存"/>
      <w:r>
        <w:rPr>
          <w:rFonts w:ascii="Times New Roman" w:hAnsi="Times New Roman" w:eastAsia="方正仿宋_GBK"/>
          <w:b/>
          <w:sz w:val="26"/>
        </w:rPr>
        <w:t xml:space="preserve">3.8.3 区域容量储备与重载设备并存</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会改变N-1后的剩余容量。两台等容量主变在N-1条件下只剩一半容量，增加一台后，即使正常运行负载率不高，故障时的可用容量仍可能明显提高，因此主变扩建既增加总容量，也改变站内设备组合。第五章邳州弹性方案首年完成主变补强、减少后期配储的结果，需结合具体规格和建设时序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但各站设备仍要承受本地高峰。本报告采用1.00、1.10、1.15三个负荷分散系数构造推广情景，并结合站级负荷分配讨论容量配置。</w:t>
      </w:r>
    </w:p>
    <w:p>
      <w:pPr>
        <w:pStyle w:val="5"/>
        <w:keepNext/>
        <w:numPr>
          <w:numId w:val="0"/>
        </w:numPr>
        <w:spacing w:line="390" w:lineRule="exact" w:before="160" w:after="120"/>
        <w:ind w:firstLine="0"/>
      </w:pPr>
      <w:bookmarkStart w:id="147" w:name="两地区的容量规划重点"/>
      <w:r>
        <w:rPr>
          <w:rFonts w:ascii="Times New Roman" w:hAnsi="Times New Roman" w:eastAsia="方正仿宋_GBK"/>
          <w:b/>
          <w:sz w:val="26"/>
        </w:rPr>
        <w:t xml:space="preserve">3.8.4 两地区的容量规划重点</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422" w:name="h422"/>
      <w:bookmarkStart w:id="148" w:name="第四章-基于实际工程的建设成本模型"/>
      <w:r>
        <w:rPr>
          <w:rFonts w:ascii="Times New Roman" w:hAnsi="Times New Roman" w:eastAsia="方正仿宋_GBK"/>
          <w:b/>
          <w:sz w:val="36"/>
        </w:rPr>
        <w:t xml:space="preserve">第四章 基于实际工程的建设成本模型</w:t>
      </w:r>
      <w:bookmarkEnd w:id="148"/>
      <w:bookmarkEnd w:id="1422"/>
    </w:p>
    <w:p>
      <w:pPr>
        <w:pStyle w:val="4"/>
        <w:keepNext/>
        <w:numPr>
          <w:numId w:val="0"/>
        </w:numPr>
        <w:spacing w:line="480" w:lineRule="exact" w:before="160" w:after="120"/>
        <w:ind w:firstLine="0"/>
      </w:pPr>
      <w:bookmarkStart w:id="1423" w:name="h423"/>
      <w:bookmarkStart w:id="149" w:name="成本模型的范围与建立原则"/>
      <w:r>
        <w:rPr>
          <w:rFonts w:ascii="Times New Roman" w:hAnsi="Times New Roman" w:eastAsia="方正仿宋_GBK"/>
          <w:b/>
          <w:sz w:val="32"/>
        </w:rPr>
        <w:t xml:space="preserve">4.1 成本模型的范围与建立原则</w:t>
      </w:r>
      <w:bookmarkEnd w:id="149"/>
      <w:bookmarkEnd w:id="1423"/>
    </w:p>
    <w:p>
      <w:pPr>
        <w:pStyle w:val="5"/>
        <w:keepNext/>
        <w:numPr>
          <w:numId w:val="0"/>
        </w:numPr>
        <w:spacing w:line="390" w:lineRule="exact" w:before="160" w:after="120"/>
        <w:ind w:firstLine="0"/>
      </w:pPr>
      <w:bookmarkStart w:id="150" w:name="建设改造措施与投资估算依据"/>
      <w:r>
        <w:rPr>
          <w:rFonts w:ascii="Times New Roman" w:hAnsi="Times New Roman" w:eastAsia="方正仿宋_GBK"/>
          <w:b/>
          <w:sz w:val="26"/>
        </w:rPr>
        <w:t xml:space="preserve">4.1.1 建设改造措施与投资估算依据</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[86]。</w:t>
      </w:r>
    </w:p>
    <w:p>
      <w:pPr>
        <w:pStyle w:val="5"/>
        <w:keepNext/>
        <w:numPr>
          <w:numId w:val="0"/>
        </w:numPr>
        <w:spacing w:line="390" w:lineRule="exact" w:before="160" w:after="120"/>
        <w:ind w:firstLine="0"/>
      </w:pPr>
      <w:bookmarkStart w:id="151" w:name="投资运维与更新"/>
      <w:r>
        <w:rPr>
          <w:rFonts w:ascii="Times New Roman" w:hAnsi="Times New Roman" w:eastAsia="方正仿宋_GBK"/>
          <w:b/>
          <w:sz w:val="26"/>
        </w:rPr>
        <w:t xml:space="preserve">4.1.2 投资、运维与更新</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2041年为截止年，新增工程在投运年发生初始投资，次年起计固定运维。设备达到设定寿命且评价期内仍需服务时，按同等实价更新，使不同寿命的措施在相同现金流范围内比较[10][11][12]。</w:t>
      </w:r>
    </w:p>
    <w:p>
      <w:pPr>
        <w:pStyle w:val="2"/>
        <w:widowControl/>
        <w:spacing w:line="348" w:lineRule="exact" w:before="0" w:after="0"/>
        <w:ind w:firstLine="480"/>
        <w:jc w:val="both"/>
      </w:pPr>
      <w:r>
        <w:rPr>
          <w:rFonts w:ascii="Times New Roman" w:hAnsi="Times New Roman" w:eastAsia="方正仿宋_GBK"/>
          <w:b w:val="0"/>
          <w:sz w:val="24"/>
        </w:rPr>
        <w:t xml:space="preserve">主变和线路寿命均取40年，储能取25年，年度固定运维支出与初始投资之比在变电、线路和储能三类措施中分别取0.042、0.022、0.030，折现率为6%。这些参数用于将初始投资、年度运维和设备更新分项折现[10,11,12]，两类方案在相同参数及2041年评价截止年下比较费用。</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52" w:name="增量比较的适用范围"/>
      <w:r>
        <w:rPr>
          <w:rFonts w:ascii="Times New Roman" w:hAnsi="Times New Roman" w:eastAsia="方正仿宋_GBK"/>
          <w:b/>
          <w:sz w:val="26"/>
        </w:rPr>
        <w:t xml:space="preserve">4.1.3 增量比较的适用范围</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35" w:name="h435"/>
      <w:bookmarkStart w:id="153" w:name="主变工程成本系数"/>
      <w:r>
        <w:rPr>
          <w:rFonts w:ascii="Times New Roman" w:hAnsi="Times New Roman" w:eastAsia="方正仿宋_GBK"/>
          <w:b/>
          <w:sz w:val="32"/>
        </w:rPr>
        <w:t xml:space="preserve">4.2 主变工程成本系数</w:t>
      </w:r>
      <w:bookmarkEnd w:id="153"/>
      <w:bookmarkEnd w:id="1435"/>
    </w:p>
    <w:p>
      <w:pPr>
        <w:pStyle w:val="5"/>
        <w:keepNext/>
        <w:numPr>
          <w:numId w:val="0"/>
        </w:numPr>
        <w:spacing w:line="390" w:lineRule="exact" w:before="160" w:after="120"/>
        <w:ind w:firstLine="0"/>
      </w:pPr>
      <w:bookmarkStart w:id="154" w:name="替换工程案例"/>
      <w:r>
        <w:rPr>
          <w:rFonts w:ascii="Times New Roman" w:hAnsi="Times New Roman" w:eastAsia="方正仿宋_GBK"/>
          <w:b/>
          <w:sz w:val="26"/>
        </w:rPr>
        <w:t xml:space="preserve">4.2.1 替换工程案例</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2"/>
        <w:widowControl/>
        <w:spacing w:line="348" w:lineRule="exact" w:before="0" w:after="0"/>
        <w:ind w:firstLine="480"/>
        <w:jc w:val="both"/>
      </w:pPr>
      <w:r>
        <w:rPr>
          <w:rFonts w:ascii="Times New Roman" w:hAnsi="Times New Roman" w:eastAsia="方正仿宋_GBK"/>
          <w:b w:val="0"/>
          <w:sz w:val="24"/>
        </w:rPr>
        <w:t xml:space="preserve">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capacity_balance.png" id="0" name="Picture"/>
                    <pic:cNvPicPr>
                      <a:picLocks noChangeArrowheads="1" noChangeAspect="1"/>
                    </pic:cNvPicPr>
                  </pic:nvPicPr>
                  <pic:blipFill>
                    <a:blip r:embed="rId155"/>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主变工程新购容量、替换容量与净增容量</w:t>
      </w:r>
    </w:p>
    <w:p>
      <w:pPr>
        <w:pStyle w:val="5"/>
        <w:keepNext/>
        <w:numPr>
          <w:numId w:val="0"/>
        </w:numPr>
        <w:spacing w:line="390" w:lineRule="exact" w:before="160" w:after="120"/>
        <w:ind w:firstLine="0"/>
      </w:pPr>
      <w:bookmarkStart w:id="156" w:name="采购容量加权系数"/>
      <w:r>
        <w:rPr>
          <w:rFonts w:ascii="Times New Roman" w:hAnsi="Times New Roman" w:eastAsia="方正仿宋_GBK"/>
          <w:b/>
          <w:sz w:val="26"/>
        </w:rPr>
        <w:t xml:space="preserve">4.2.2 采购容量加权系数</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主变替换工程采用采购容量加权，将两个案例静态投资之和除以新购铭牌容量之和，形成式（4-1）的参考系数。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2"/>
        <w:widowControl/>
        <w:spacing w:line="348" w:lineRule="exact" w:before="0" w:after="0"/>
        <w:ind w:firstLine="480"/>
        <w:jc w:val="both"/>
      </w:pPr>
      <w:r>
        <w:rPr>
          <w:rFonts w:ascii="Times New Roman" w:hAnsi="Times New Roman" w:eastAsia="方正仿宋_GBK"/>
          <w:b w:val="0"/>
          <w:sz w:val="24"/>
        </w:rPr>
        <w:t xml:space="preserve">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unit_cost_basis.png" id="0" name="Picture"/>
                    <pic:cNvPicPr>
                      <a:picLocks noChangeArrowheads="1" noChangeAspect="1"/>
                    </pic:cNvPicPr>
                  </pic:nvPicPr>
                  <pic:blipFill>
                    <a:blip r:embed="rId157"/>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图4-2 按新购与净增容量折算的主变工程投资</w:t>
      </w:r>
    </w:p>
    <w:p>
      <w:pPr>
        <w:pStyle w:val="5"/>
        <w:keepNext/>
        <w:numPr>
          <w:numId w:val="0"/>
        </w:numPr>
        <w:spacing w:line="390" w:lineRule="exact" w:before="160" w:after="120"/>
        <w:ind w:firstLine="0"/>
      </w:pPr>
      <w:bookmarkStart w:id="158" w:name="净增容量与工程费用"/>
      <w:r>
        <w:rPr>
          <w:rFonts w:ascii="Times New Roman" w:hAnsi="Times New Roman" w:eastAsia="方正仿宋_GBK"/>
          <w:b/>
          <w:sz w:val="26"/>
        </w:rPr>
        <w:t xml:space="preserve">4.2.3 净增容量与工程费用</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9" w:name="主变扩建"/>
      <w:r>
        <w:rPr>
          <w:rFonts w:ascii="Times New Roman" w:hAnsi="Times New Roman" w:eastAsia="方正仿宋_GBK"/>
          <w:b/>
          <w:sz w:val="26"/>
        </w:rPr>
        <w:t xml:space="preserve">4.2.4 主变扩建</w:t>
      </w:r>
      <w:bookmarkEnd w:id="159"/>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主变扩建仅在具备预留位置的站点设置，按1223万元/项计费，费用包含增加台数及相应配套工程。</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60" w:name="h460"/>
      <w:bookmarkStart w:id="160" w:name="kv联络工程费用"/>
      <w:r>
        <w:rPr>
          <w:rFonts w:ascii="Times New Roman" w:hAnsi="Times New Roman" w:eastAsia="方正仿宋_GBK"/>
          <w:b/>
          <w:sz w:val="32"/>
        </w:rPr>
        <w:t xml:space="preserve">4.3 10 kV联络工程费用</w:t>
      </w:r>
      <w:bookmarkEnd w:id="160"/>
      <w:bookmarkEnd w:id="1460"/>
    </w:p>
    <w:p>
      <w:pPr>
        <w:pStyle w:val="5"/>
        <w:keepNext/>
        <w:numPr>
          <w:numId w:val="0"/>
        </w:numPr>
        <w:spacing w:line="390" w:lineRule="exact" w:before="160" w:after="120"/>
        <w:ind w:firstLine="0"/>
      </w:pPr>
      <w:bookmarkStart w:id="161" w:name="参考工程及单位造价"/>
      <w:r>
        <w:rPr>
          <w:rFonts w:ascii="Times New Roman" w:hAnsi="Times New Roman" w:eastAsia="方正仿宋_GBK"/>
          <w:b/>
          <w:sz w:val="26"/>
        </w:rPr>
        <w:t xml:space="preserve">4.3.1 参考工程及单位造价</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62" w:name="电缆长度占比与综合造价"/>
      <w:r>
        <w:rPr>
          <w:rFonts w:ascii="Times New Roman" w:hAnsi="Times New Roman" w:eastAsia="方正仿宋_GBK"/>
          <w:b/>
          <w:sz w:val="26"/>
        </w:rPr>
        <w:t xml:space="preserve">4.3.2 电缆长度占比与综合造价</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2"/>
        <w:widowControl/>
        <w:spacing w:line="348" w:lineRule="exact" w:before="0" w:after="0"/>
        <w:ind w:firstLine="480"/>
        <w:jc w:val="both"/>
      </w:pPr>
      <w:r>
        <w:rPr>
          <w:rFonts w:ascii="Times New Roman" w:hAnsi="Times New Roman" w:eastAsia="方正仿宋_GBK"/>
          <w:b w:val="0"/>
          <w:sz w:val="24"/>
        </w:rPr>
        <w:t xml:space="preserve">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ne_investment_components.png" id="0" name="Picture"/>
                    <pic:cNvPicPr>
                      <a:picLocks noChangeArrowheads="1" noChangeAspect="1"/>
                    </pic:cNvPicPr>
                  </pic:nvPicPr>
                  <pic:blipFill>
                    <a:blip r:embed="rId163"/>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图4-3 不同电缆长度占比下联络项目的投资构成</w:t>
      </w:r>
    </w:p>
    <w:p>
      <w:pPr>
        <w:pStyle w:val="5"/>
        <w:keepNext/>
        <w:numPr>
          <w:numId w:val="0"/>
        </w:numPr>
        <w:spacing w:line="390" w:lineRule="exact" w:before="160" w:after="120"/>
        <w:ind w:firstLine="0"/>
      </w:pPr>
      <w:bookmarkStart w:id="164" w:name="联络能力与工程计费"/>
      <w:r>
        <w:rPr>
          <w:rFonts w:ascii="Times New Roman" w:hAnsi="Times New Roman" w:eastAsia="方正仿宋_GBK"/>
          <w:b/>
          <w:sz w:val="26"/>
        </w:rPr>
        <w:t xml:space="preserve">4.3.3 联络能力与工程计费</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474" w:name="h474"/>
      <w:bookmarkStart w:id="165" w:name="储能投资模型"/>
      <w:r>
        <w:rPr>
          <w:rFonts w:ascii="Times New Roman" w:hAnsi="Times New Roman" w:eastAsia="方正仿宋_GBK"/>
          <w:b/>
          <w:sz w:val="32"/>
        </w:rPr>
        <w:t xml:space="preserve">4.4 储能投资模型</w:t>
      </w:r>
      <w:bookmarkEnd w:id="165"/>
      <w:bookmarkEnd w:id="1474"/>
    </w:p>
    <w:p>
      <w:pPr>
        <w:pStyle w:val="5"/>
        <w:keepNext/>
        <w:numPr>
          <w:numId w:val="0"/>
        </w:numPr>
        <w:spacing w:line="390" w:lineRule="exact" w:before="160" w:after="120"/>
        <w:ind w:firstLine="0"/>
      </w:pPr>
      <w:bookmarkStart w:id="166" w:name="储能规格与采购价格依据"/>
      <w:r>
        <w:rPr>
          <w:rFonts w:ascii="Times New Roman" w:hAnsi="Times New Roman" w:eastAsia="方正仿宋_GBK"/>
          <w:b/>
          <w:sz w:val="26"/>
        </w:rPr>
        <w:t xml:space="preserve">4.4.1 储能规格与采购价格依据</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kWh柜规格。苏州采购公告的储能柜子项最高限价为27.20万元，作为单柜价格参考[88]。模型投资采用浏阳用户侧储能项目的成套中标价210.46万元，保证交付规模为1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储能采购价格依据[88][86]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67" w:name="成套柜单位价格"/>
      <w:r>
        <w:rPr>
          <w:rFonts w:ascii="Times New Roman" w:hAnsi="Times New Roman" w:eastAsia="方正仿宋_GBK"/>
          <w:b/>
          <w:sz w:val="26"/>
        </w:rPr>
        <w:t xml:space="preserve">4.4.2 成套柜单位价格</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模型将10柜成套项目成交总投资线性折算为21.05万元/柜，再按相同柜型和单位价格进行规模外推，苏州单柜最高限价用于价格对照。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68" w:name="储能有效支撑功率与持续时间"/>
      <w:r>
        <w:rPr>
          <w:rFonts w:ascii="Times New Roman" w:hAnsi="Times New Roman" w:eastAsia="方正仿宋_GBK"/>
          <w:b/>
          <w:sz w:val="26"/>
        </w:rPr>
        <w:t xml:space="preserve">4.4.3 储能有效支撑功率与持续时间</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单位为MW，单柜额定能量为0.215 MWh，额定功率为0.10 MW，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6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图4-4 储能单位有效支撑功率投资与持续时间</w:t>
      </w:r>
    </w:p>
    <w:p>
      <w:pPr>
        <w:pStyle w:val="2"/>
        <w:widowControl/>
        <w:spacing w:line="348" w:lineRule="exact" w:before="0" w:after="0"/>
        <w:ind w:firstLine="480"/>
        <w:jc w:val="both"/>
      </w:pPr>
      <w:r>
        <w:rPr>
          <w:rFonts w:ascii="Times New Roman" w:hAnsi="Times New Roman" w:eastAsia="方正仿宋_GBK"/>
          <w:b w:val="0"/>
          <w:sz w:val="24"/>
        </w:rPr>
        <w:t xml:space="preserve">为将有效功率与设备采购对应，可固定1 MW连续支撑任务，分别核算各时长所需的整数柜数。在相同100 kW/215 kWh柜型及0.76可用电量系数下，1、2、4、6、8 h分别需要10、13、25、37、49柜。较短时长受额定功率约束，较长时长主要受可用能量约束，柜数取整后形成略高于1 MW的可用支撑。下图上部列柜数，下部列对应额定功率和能量，用于解释给定功率缺口怎样转换为采购规模。实际方案中的缺口幅度由网络与主变校核确定，再按相同关系计取储能配置。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storage_support_modules.png" id="0" name="Picture"/>
                    <pic:cNvPicPr>
                      <a:picLocks noChangeArrowheads="1" noChangeAspect="1"/>
                    </pic:cNvPicPr>
                  </pic:nvPicPr>
                  <pic:blipFill>
                    <a:blip r:embed="rId170"/>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图4-5 1 MW连续支撑任务对应的储能成套柜配置</w:t>
      </w:r>
    </w:p>
    <w:p>
      <w:pPr>
        <w:pStyle w:val="5"/>
        <w:keepNext/>
        <w:numPr>
          <w:numId w:val="0"/>
        </w:numPr>
        <w:spacing w:line="390" w:lineRule="exact" w:before="160" w:after="120"/>
        <w:ind w:firstLine="0"/>
      </w:pPr>
      <w:bookmarkStart w:id="171" w:name="可用能力与工程适用性"/>
      <w:r>
        <w:rPr>
          <w:rFonts w:ascii="Times New Roman" w:hAnsi="Times New Roman" w:eastAsia="方正仿宋_GBK"/>
          <w:b/>
          <w:sz w:val="26"/>
        </w:rPr>
        <w:t xml:space="preserve">4.4.4 可用能力与工程适用性</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可用电量系数用于第3.4.5节所述静态比选，正向支撑对应可放电电量，反向吸收对应可充电空间。工程应用时，应结合保证可用电量、充放电效率、充电条件及恢复时间核定两方向的支撑能力。</w:t>
      </w:r>
    </w:p>
    <w:p>
      <w:pPr>
        <w:pStyle w:val="4"/>
        <w:keepNext/>
        <w:numPr>
          <w:numId w:val="0"/>
        </w:numPr>
        <w:spacing w:line="480" w:lineRule="exact" w:before="160" w:after="120"/>
        <w:ind w:firstLine="0"/>
      </w:pPr>
      <w:bookmarkStart w:id="1493" w:name="h493"/>
      <w:bookmarkStart w:id="172" w:name="参数变化与措施费用的联系"/>
      <w:r>
        <w:rPr>
          <w:rFonts w:ascii="Times New Roman" w:hAnsi="Times New Roman" w:eastAsia="方正仿宋_GBK"/>
          <w:b/>
          <w:sz w:val="32"/>
        </w:rPr>
        <w:t xml:space="preserve">4.5 参数变化与措施费用的联系</w:t>
      </w:r>
      <w:bookmarkEnd w:id="172"/>
      <w:bookmarkEnd w:id="1493"/>
    </w:p>
    <w:p>
      <w:pPr>
        <w:pStyle w:val="5"/>
        <w:keepNext/>
        <w:numPr>
          <w:numId w:val="0"/>
        </w:numPr>
        <w:spacing w:line="390" w:lineRule="exact" w:before="160" w:after="120"/>
        <w:ind w:firstLine="0"/>
      </w:pPr>
      <w:bookmarkStart w:id="173" w:name="电缆长度占比与联络费用"/>
      <w:r>
        <w:rPr>
          <w:rFonts w:ascii="Times New Roman" w:hAnsi="Times New Roman" w:eastAsia="方正仿宋_GBK"/>
          <w:b/>
          <w:sz w:val="26"/>
        </w:rPr>
        <w:t xml:space="preserve">4.5.1 电缆长度占比与联络费用</w:t>
      </w:r>
      <w:bookmarkEnd w:id="173"/>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74" w:name="储能支撑时间与配置费用"/>
      <w:r>
        <w:rPr>
          <w:rFonts w:ascii="Times New Roman" w:hAnsi="Times New Roman" w:eastAsia="方正仿宋_GBK"/>
          <w:b/>
          <w:sz w:val="26"/>
        </w:rPr>
        <w:t xml:space="preserve">4.5.2 储能支撑时间与配置费用</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kW、额定能量215 kWh的单柜为例，可用电量为0.1634 MWh，2、4、6 h下有效支撑功率分别为0.08170、0.04085、约0.02723 MW。按本章成套采购价格折算，每MW有效支撑对应的初始投资约为257.60、515.19、772.79万元。相同设备铭牌功率下，支撑时间越长，可供比较的有效功率越小，单位支撑费用越高[86]。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pPr>
        <w:pStyle w:val="5"/>
        <w:keepNext/>
        <w:numPr>
          <w:numId w:val="0"/>
        </w:numPr>
        <w:spacing w:line="390" w:lineRule="exact" w:before="160" w:after="120"/>
        <w:ind w:firstLine="0"/>
      </w:pPr>
      <w:bookmarkStart w:id="175" w:name="三类措施的经济比较"/>
      <w:r>
        <w:rPr>
          <w:rFonts w:ascii="Times New Roman" w:hAnsi="Times New Roman" w:eastAsia="方正仿宋_GBK"/>
          <w:b/>
          <w:sz w:val="26"/>
        </w:rPr>
        <w:t xml:space="preserve">4.5.3 三类措施的经济比较</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[30][28][10]。</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5"/>
        <w:keepNext/>
        <w:numPr>
          <w:numId w:val="0"/>
        </w:numPr>
        <w:spacing w:line="390" w:lineRule="exact" w:before="160" w:after="120"/>
        <w:ind w:firstLine="0"/>
      </w:pPr>
      <w:bookmarkStart w:id="176" w:name="主变与线路储能的单位功率投资比"/>
      <w:r>
        <w:rPr>
          <w:rFonts w:ascii="Times New Roman" w:hAnsi="Times New Roman" w:eastAsia="方正仿宋_GBK"/>
          <w:b/>
          <w:sz w:val="26"/>
        </w:rPr>
        <w:t xml:space="preserve">4.5.4 主变与线路、储能的单位功率投资比</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，主变与储能单位功率投资比定义为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，均为无量纲。三项单位功率投资统一为万元/MW，其中</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oMath>
      <w:r>
        <w:rPr>
          <w:rFonts w:ascii="Times New Roman" w:hAnsi="Times New Roman" w:eastAsia="方正仿宋_GBK"/>
          <w:b w:val="0"/>
          <w:sz w:val="24"/>
        </w:rPr>
        <w:t xml:space="preserve">按新购主变铭牌容量折算，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按单项联络投资与7.49 MW有效转供能力计算，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按单柜采购投资与给定时长的有效支撑功率计算，</w:t>
      </w:r>
      <m:oMath>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为储能价格相对参考值的倍率。主变采用第4.2节的更换参考单价，扩建项目仍按单项工程投资计费[85,87,88,86]。</w:t>
      </w:r>
    </w:p>
    <w:p>
      <w:pPr>
        <w:pStyle w:val="2"/>
        <w:widowControl/>
        <w:spacing w:line="348" w:lineRule="exact" w:before="0" w:after="0"/>
        <w:ind w:firstLine="480"/>
        <w:jc w:val="both"/>
      </w:pPr>
      <w:r>
        <w:rPr>
          <w:rFonts w:ascii="Times New Roman" w:hAnsi="Times New Roman" w:eastAsia="方正仿宋_GBK"/>
          <w:b w:val="0"/>
          <w:sz w:val="24"/>
        </w:rPr>
        <w:t xml:space="preserve">两个比值联系主变与替代措施的相对价格。固定主变参考单价时，线路单位功率投资提高会降低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，储能单位有效功率投资提高会降低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。相对价格进入完整方案费用，措施能否替代仍由馈线、邻站容量、主变N-1及储能支撑条件共同确定。</w:t>
      </w:r>
    </w:p>
    <w:p>
      <w:pPr>
        <w:pStyle w:val="2"/>
        <w:widowControl/>
        <w:spacing w:line="348" w:lineRule="exact" w:before="0" w:after="0"/>
        <w:ind w:firstLine="480"/>
        <w:jc w:val="both"/>
      </w:pPr>
      <w:r>
        <w:rPr>
          <w:rFonts w:ascii="Times New Roman" w:hAnsi="Times New Roman" w:eastAsia="方正仿宋_GBK"/>
          <w:b w:val="0"/>
          <w:sz w:val="24"/>
        </w:rPr>
        <w:t xml:space="preserve">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pPr>
        <w:pStyle w:val="4"/>
        <w:keepNext/>
        <w:numPr>
          <w:numId w:val="0"/>
        </w:numPr>
        <w:spacing w:line="480" w:lineRule="exact" w:before="160" w:after="120"/>
        <w:ind w:firstLine="0"/>
      </w:pPr>
      <w:bookmarkStart w:id="1510" w:name="h510"/>
      <w:bookmarkStart w:id="177" w:name="现金流现值计算"/>
      <w:r>
        <w:rPr>
          <w:rFonts w:ascii="Times New Roman" w:hAnsi="Times New Roman" w:eastAsia="方正仿宋_GBK"/>
          <w:b/>
          <w:sz w:val="32"/>
        </w:rPr>
        <w:t xml:space="preserve">4.6 现金流现值计算</w:t>
      </w:r>
      <w:bookmarkEnd w:id="177"/>
      <w:bookmarkEnd w:id="1510"/>
    </w:p>
    <w:p>
      <w:pPr>
        <w:pStyle w:val="5"/>
        <w:keepNext/>
        <w:numPr>
          <w:numId w:val="0"/>
        </w:numPr>
        <w:spacing w:line="390" w:lineRule="exact" w:before="160" w:after="120"/>
        <w:ind w:firstLine="0"/>
      </w:pPr>
      <w:bookmarkStart w:id="178" w:name="单项工程现值因子"/>
      <w:r>
        <w:rPr>
          <w:rFonts w:ascii="Times New Roman" w:hAnsi="Times New Roman" w:eastAsia="方正仿宋_GBK"/>
          <w:b/>
          <w:sz w:val="26"/>
        </w:rPr>
        <w:t xml:space="preserve">4.6.1 单项工程现值因子</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设备在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严格小于2041时计取更新投资，固定运维计至2041年。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2"/>
        <w:widowControl/>
        <w:spacing w:line="348" w:lineRule="exact" w:before="0" w:after="0"/>
        <w:ind w:firstLine="480"/>
        <w:jc w:val="both"/>
      </w:pPr>
      <w:r>
        <w:rPr>
          <w:rFonts w:ascii="Times New Roman" w:hAnsi="Times New Roman" w:eastAsia="方正仿宋_GBK"/>
          <w:b w:val="0"/>
          <w:sz w:val="24"/>
        </w:rPr>
        <w:t xml:space="preserve">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各批次按共同的2041年截止期计算，与逐年项目现金流直接对应。工程安排在满足每年技术约束的前提下比较投运时点，设备提前形成的容量储备及其费用由相应年度共同承担。</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fecycle_investment_maintenance.png" id="0" name="Picture"/>
                    <pic:cNvPicPr>
                      <a:picLocks noChangeArrowheads="1" noChangeAspect="1"/>
                    </pic:cNvPicPr>
                  </pic:nvPicPr>
                  <pic:blipFill>
                    <a:blip r:embed="rId179"/>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图4-6 各投运批次单位初始投资的建设与运维现值</w:t>
      </w:r>
    </w:p>
    <w:p>
      <w:pPr>
        <w:pStyle w:val="5"/>
        <w:keepNext/>
        <w:numPr>
          <w:numId w:val="0"/>
        </w:numPr>
        <w:spacing w:line="390" w:lineRule="exact" w:before="160" w:after="120"/>
        <w:ind w:firstLine="0"/>
      </w:pPr>
      <w:bookmarkStart w:id="180" w:name="年度投运对现值的影响"/>
      <w:r>
        <w:rPr>
          <w:rFonts w:ascii="Times New Roman" w:hAnsi="Times New Roman" w:eastAsia="方正仿宋_GBK"/>
          <w:b/>
          <w:sz w:val="26"/>
        </w:rPr>
        <w:t xml:space="preserve">4.6.2 年度投运对现值的影响</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相同工程晚一年投运会减少初始投资现值及计入的运维年数，并将更新年份后移，因此建设时点需在各年技术可行的前提下参与经济比选。</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同一主变安装位置在2022—2025年最多更换一次，更换投资按当年新购整台容量计算。不同位置和第三台主变仍可分年投运，采购批次合计用于费用，容量净增用于设备状态及容载比。</w:t>
      </w:r>
    </w:p>
    <w:p>
      <w:pPr>
        <w:pStyle w:val="5"/>
        <w:keepNext/>
        <w:numPr>
          <w:numId w:val="0"/>
        </w:numPr>
        <w:spacing w:line="390" w:lineRule="exact" w:before="160" w:after="120"/>
        <w:ind w:firstLine="0"/>
      </w:pPr>
      <w:bookmarkStart w:id="181" w:name="费用构成与结果复算"/>
      <w:r>
        <w:rPr>
          <w:rFonts w:ascii="Times New Roman" w:hAnsi="Times New Roman" w:eastAsia="方正仿宋_GBK"/>
          <w:b/>
          <w:sz w:val="26"/>
        </w:rPr>
        <w:t xml:space="preserve">4.6.3 费用构成与结果复算</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方案费用现值为全部建设改造项目现值之和，主变、储能和线路分项汇总后应与所选布局对应的实际目标费用一致。费用表同时列示初始建设投资与评价期费用现值，便于核对工程规模和现金流折算。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82" w:name="评价期边界与费用解释"/>
      <w:r>
        <w:rPr>
          <w:rFonts w:ascii="Times New Roman" w:hAnsi="Times New Roman" w:eastAsia="方正仿宋_GBK"/>
          <w:b/>
          <w:sz w:val="26"/>
        </w:rPr>
        <w:t xml:space="preserve">4.6.4 评价期边界与费用解释</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2025年投运设备未在评价截止前触发更新，现值结果因而反映这一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pPr>
        <w:pStyle w:val="5"/>
        <w:keepNext/>
        <w:numPr>
          <w:numId w:val="0"/>
        </w:numPr>
        <w:spacing w:line="390" w:lineRule="exact" w:before="160" w:after="120"/>
        <w:ind w:firstLine="0"/>
      </w:pPr>
      <w:bookmarkStart w:id="183" w:name="主变更换与扩建的投资差异"/>
      <w:r>
        <w:rPr>
          <w:rFonts w:ascii="Times New Roman" w:hAnsi="Times New Roman" w:eastAsia="方正仿宋_GBK"/>
          <w:b/>
          <w:sz w:val="26"/>
        </w:rPr>
        <w:t xml:space="preserve">4.6.5 主变更换与扩建的投资差异</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84" w:name="联络与储能的费用响应"/>
      <w:r>
        <w:rPr>
          <w:rFonts w:ascii="Times New Roman" w:hAnsi="Times New Roman" w:eastAsia="方正仿宋_GBK"/>
          <w:b/>
          <w:sz w:val="26"/>
        </w:rPr>
        <w:t xml:space="preserve">4.6.6 联络与储能的费用响应</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pPr>
        <w:pStyle w:val="3"/>
        <w:keepNext/>
        <w:pageBreakBefore/>
        <w:numPr>
          <w:numId w:val="0"/>
        </w:numPr>
        <w:spacing w:line="540" w:lineRule="exact" w:before="0" w:after="120"/>
        <w:ind w:firstLine="0"/>
      </w:pPr>
      <w:bookmarkStart w:id="1539" w:name="h539"/>
      <w:bookmarkStart w:id="185"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85"/>
      <w:bookmarkEnd w:id="1539"/>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541" w:name="h541"/>
      <w:bookmarkStart w:id="186" w:name="寻优问题与共同起点"/>
      <w:r>
        <w:rPr>
          <w:rFonts w:ascii="Times New Roman" w:hAnsi="Times New Roman" w:eastAsia="方正仿宋_GBK"/>
          <w:b/>
          <w:sz w:val="32"/>
        </w:rPr>
        <w:t xml:space="preserve">5.1 寻优问题与共同起点</w:t>
      </w:r>
      <w:bookmarkEnd w:id="186"/>
      <w:bookmarkEnd w:id="1541"/>
    </w:p>
    <w:p>
      <w:pPr>
        <w:pStyle w:val="5"/>
        <w:keepNext/>
        <w:numPr>
          <w:numId w:val="0"/>
        </w:numPr>
        <w:spacing w:line="390" w:lineRule="exact" w:before="160" w:after="120"/>
        <w:ind w:firstLine="0"/>
      </w:pPr>
      <w:bookmarkStart w:id="187" w:name="年度负荷与共同仿真起点"/>
      <w:r>
        <w:rPr>
          <w:rFonts w:ascii="Times New Roman" w:hAnsi="Times New Roman" w:eastAsia="方正仿宋_GBK"/>
          <w:b/>
          <w:sz w:val="26"/>
        </w:rPr>
        <w:t xml:space="preserve">5.1.1 年度负荷与共同仿真起点</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的初始仿真主变总容量，单位MVA；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年的原表网供最大负荷估计值，单位MW。已有年度负荷直接进入模型，保留2023年邳州及2022、2024年市区的负荷回落。年最大净负荷平均增长率用于增长水平描述和通用情景设置。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88" w:name="刚性与弹性方案"/>
      <w:r>
        <w:rPr>
          <w:rFonts w:ascii="Times New Roman" w:hAnsi="Times New Roman" w:eastAsia="方正仿宋_GBK"/>
          <w:b/>
          <w:sz w:val="26"/>
        </w:rPr>
        <w:t xml:space="preserve">5.1.2 刚性与弹性方案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其中刚性方案新增扩容受当年负荷两倍的容量限制，若负荷回落使既有容量超过该值，则维持上一年度在役容量。弹性方案取消2.0的新增容量控制，在相同承载约束下先按费用寻优形成经济参考，再在参考费用5%以内优先简化联络工程。下文简称弹性方案，具体容量由正常及N-1承载需求、允许规格和扩建位置共同确定。5%为本研究的工程优选容差。</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在候选设备及场地条件下允许的最大容量。刚性方案的下端参考值</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按年最大净负荷平均增长率对应的导则范围确定，市区1.50、邳州1.70[7]。两类方案均按实际设备配置与同年网供峰值计算容载比。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[91]，本研究以此为历史参照，并列出40%、60%两种开发程度下的估算值。徐州地铁分布式光伏项目公开资料列出可用建筑面积94900 m²、规划装机9.49 MWp，据此取装机密度0.10 kWp/m²[92]。</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《江苏省分布式光伏发展实施方案（2026—2030年）》提出，2030年全省分布式光伏累计装机较2025年翻一番，达到1.20亿千瓦[93]。以装机翻倍作为地区发展情景，邳州和市区装机规模分别约为3119.28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[94]。</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89" w:name="工程候选与参数设置"/>
      <w:r>
        <w:rPr>
          <w:rFonts w:ascii="Times New Roman" w:hAnsi="Times New Roman" w:eastAsia="方正仿宋_GBK"/>
          <w:b/>
          <w:sz w:val="26"/>
        </w:rPr>
        <w:t xml:space="preserve">5.1.3 工程候选与参数设置</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h，反向持续时间按各站静态参数设置。推广进一步比较2、4、6 h三个定值，在相同储能规格与工程价格下分析持续支撑要求对配置的影响。</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2022—2025年逐年统计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同范围110 kV年度记录</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静态截面</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邳州26个、市区45个</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地区和各站局部极值同期截面</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 h、市区6 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储能规格及可用电量系数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kWh；0.76</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采购资料及静态折算</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新购主变规格</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既有转供能力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逐站MW上限与网络能力共同限制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全停全转统计及馈线资料</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新增联络费用</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供电安全及功率因数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正常及最大单台主变N-1；0.95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逐工况校核</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反向承载</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正常及健康站80%，故障站按剩余主变能力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导则反向限值与N-1静态校核</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主变采购组织</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四年内同一位置最多更换一次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两类方案共同的工程实施假设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弹性工程优选</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经济参考费用5%以内优先简化联络</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本研究费用容差</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核心参数的定义、选取依据及地区资料见第3.5节。地区案例保留实际年度负荷和具体网络，推广模板按第3.5节的五项参数组织源荷、网络及工程费用条件。</w:t>
      </w:r>
    </w:p>
    <w:p>
      <w:pPr>
        <w:pStyle w:val="4"/>
        <w:keepNext/>
        <w:numPr>
          <w:numId w:val="0"/>
        </w:numPr>
        <w:spacing w:line="480" w:lineRule="exact" w:before="160" w:after="120"/>
        <w:ind w:firstLine="0"/>
      </w:pPr>
      <w:bookmarkStart w:id="1564" w:name="h564"/>
      <w:bookmarkStart w:id="190" w:name="三类措施的选取与寻优方法"/>
      <w:r>
        <w:rPr>
          <w:rFonts w:ascii="Times New Roman" w:hAnsi="Times New Roman" w:eastAsia="方正仿宋_GBK"/>
          <w:b/>
          <w:sz w:val="32"/>
        </w:rPr>
        <w:t xml:space="preserve">5.2 三类措施的选取与寻优方法</w:t>
      </w:r>
      <w:bookmarkEnd w:id="190"/>
      <w:bookmarkEnd w:id="1564"/>
    </w:p>
    <w:p>
      <w:pPr>
        <w:pStyle w:val="5"/>
        <w:keepNext/>
        <w:numPr>
          <w:numId w:val="0"/>
        </w:numPr>
        <w:spacing w:line="390" w:lineRule="exact" w:before="160" w:after="120"/>
        <w:ind w:firstLine="0"/>
      </w:pPr>
      <w:bookmarkStart w:id="191" w:name="主变增容及扩建方案"/>
      <w:r>
        <w:rPr>
          <w:rFonts w:ascii="Times New Roman" w:hAnsi="Times New Roman" w:eastAsia="方正仿宋_GBK"/>
          <w:b/>
          <w:sz w:val="26"/>
        </w:rPr>
        <w:t xml:space="preserve">5.2.1 主变增容及扩建方案</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2022—2025年同一位置最多更换一次，更换后保持所购规格。该建设组织假设由两类方案共同采用，使新购主变在四年规划期内持续使用。不同位置的更换和第三台主变扩建可按需求分年安排。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92" w:name="利用既有10-kv联络能力"/>
      <w:r>
        <w:rPr>
          <w:rFonts w:ascii="Times New Roman" w:hAnsi="Times New Roman" w:eastAsia="方正仿宋_GBK"/>
          <w:b/>
          <w:sz w:val="26"/>
        </w:rPr>
        <w:t xml:space="preserve">5.2.2 利用既有10 kV联络能力</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逐站全停转供资料标定。以站外最大可供负荷与损失负荷之和为需供负荷，计算本站转供比例，再乘以当年最大正向净负荷形成年度既有转供预算，并保留原表站外最大可供负荷的绝对上限。共用馈线的多条通道同时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e>
                  <m:e>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的转出功率，</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为原表站外最大可供负荷，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为对应损失负荷，</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年最大正向净负荷，单位均为MW；</w:t>
      </w:r>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为逐站转供比例。每年采用相同预算分别校核正常和故障工况，实际转供还受具体通道及接收侧能力限制。</w:t>
      </w:r>
    </w:p>
    <w:p>
      <w:pPr>
        <w:pStyle w:val="5"/>
        <w:keepNext/>
        <w:numPr>
          <w:numId w:val="0"/>
        </w:numPr>
        <w:spacing w:line="390" w:lineRule="exact" w:before="160" w:after="120"/>
        <w:ind w:firstLine="0"/>
      </w:pPr>
      <w:bookmarkStart w:id="193" w:name="新建10-kv联络提升转供能力"/>
      <w:r>
        <w:rPr>
          <w:rFonts w:ascii="Times New Roman" w:hAnsi="Times New Roman" w:eastAsia="方正仿宋_GBK"/>
          <w:b/>
          <w:sz w:val="26"/>
        </w:rPr>
        <w:t xml:space="preserve">5.2.3 新建10 kV联络提升转供能力</w:t>
      </w:r>
      <w:bookmarkEnd w:id="193"/>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为投运状态，既有边取1。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94" w:name="负荷转接与容量衔接"/>
      <w:r>
        <w:rPr>
          <w:rFonts w:ascii="Times New Roman" w:hAnsi="Times New Roman" w:eastAsia="方正仿宋_GBK"/>
          <w:b/>
          <w:sz w:val="26"/>
        </w:rPr>
        <w:t xml:space="preserve">5.2.4 负荷转接与容量衔接</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95" w:name="储能有效支撑功率"/>
      <w:r>
        <w:rPr>
          <w:rFonts w:ascii="Times New Roman" w:hAnsi="Times New Roman" w:eastAsia="方正仿宋_GBK"/>
          <w:b/>
          <w:sz w:val="26"/>
        </w:rPr>
        <w:t xml:space="preserve">5.2.5 储能有效支撑功率</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584" w:name="h584"/>
      <w:bookmarkStart w:id="196" w:name="约束条件与求解流程"/>
      <w:r>
        <w:rPr>
          <w:rFonts w:ascii="Times New Roman" w:hAnsi="Times New Roman" w:eastAsia="方正仿宋_GBK"/>
          <w:b/>
          <w:sz w:val="32"/>
        </w:rPr>
        <w:t xml:space="preserve">5.3 约束条件与求解流程</w:t>
      </w:r>
      <w:bookmarkEnd w:id="196"/>
      <w:bookmarkEnd w:id="1584"/>
    </w:p>
    <w:p>
      <w:pPr>
        <w:pStyle w:val="5"/>
        <w:keepNext/>
        <w:numPr>
          <w:numId w:val="0"/>
        </w:numPr>
        <w:spacing w:line="390" w:lineRule="exact" w:before="160" w:after="120"/>
        <w:ind w:firstLine="0"/>
      </w:pPr>
      <w:bookmarkStart w:id="197" w:name="正常运行与主变n-1"/>
      <w:r>
        <w:rPr>
          <w:rFonts w:ascii="Times New Roman" w:hAnsi="Times New Roman" w:eastAsia="方正仿宋_GBK"/>
          <w:b/>
          <w:sz w:val="26"/>
        </w:rPr>
        <w:t xml:space="preserve">5.3.1 正常运行与主变N-1</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市区45个、邳州26个同期静态截面覆盖地区正向峰值、地区最低净负荷及各站局部极值，每个截面分别校核正常运行和各站最大单台主变N-1。正常及故障方式共同允许储能和已投运联络参与，设备建设状态在同一年各工况间共享，充放电及转供功率按当处源荷条件安排。</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γ</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为带符号的站级净负荷，受入为正、反送为负，单位MW；</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为工况下可用主变容量，单位MVA；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γ</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为反向容量系数，正常运行及故障工况中的健康站取0.80，故障站取1.00；</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分别为储能正向支撑和反向吸收的有效功率，单位MW。</w:t>
      </w:r>
    </w:p>
    <w:p>
      <w:pPr>
        <w:pStyle w:val="2"/>
        <w:widowControl/>
        <w:spacing w:line="348" w:lineRule="exact" w:before="0" w:after="0"/>
        <w:ind w:firstLine="480"/>
        <w:jc w:val="both"/>
      </w:pPr>
      <w:r>
        <w:rPr>
          <w:rFonts w:ascii="Times New Roman" w:hAnsi="Times New Roman" w:eastAsia="方正仿宋_GBK"/>
          <w:b w:val="0"/>
          <w:sz w:val="24"/>
        </w:rPr>
        <w:t xml:space="preserve">正常及健康站的反向限值依据2025年4月《配电网规划设计技术导则（修订稿）》第6.5.3条的设备反向潮流80%要求设置[7]。模型将该要求落实为主变反向有功功率上限，储能吸收后的反送功率应满足此限值。故障站扣除最大单台主变后，按剩余容量不过载校核，健康邻站仍保留正常反向限值。正向受电则按各工况可用主变容量与储能放电能力共同校核。反向净负荷作为给定场景输入，新增主变、负荷转接或储能充电吸收共同承担其容量需求。</w:t>
      </w:r>
    </w:p>
    <w:p>
      <w:pPr>
        <w:pStyle w:val="2"/>
        <w:widowControl/>
        <w:spacing w:line="348" w:lineRule="exact" w:before="0" w:after="0"/>
        <w:ind w:firstLine="480"/>
        <w:jc w:val="both"/>
      </w:pPr>
      <w:r>
        <w:rPr>
          <w:rFonts w:ascii="Times New Roman" w:hAnsi="Times New Roman" w:eastAsia="方正仿宋_GBK"/>
          <w:b w:val="0"/>
          <w:sz w:val="24"/>
        </w:rPr>
        <w:t xml:space="preserve">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故障站与健康站逐站通过式（5-8）的校核。</w:t>
      </w:r>
    </w:p>
    <w:p>
      <w:pPr>
        <w:pStyle w:val="2"/>
        <w:widowControl/>
        <w:spacing w:line="348" w:lineRule="exact" w:before="0" w:after="0"/>
        <w:ind w:firstLine="480"/>
        <w:jc w:val="both"/>
      </w:pPr>
      <w:r>
        <w:rPr>
          <w:rFonts w:ascii="Times New Roman" w:hAnsi="Times New Roman" w:eastAsia="方正仿宋_GBK"/>
          <w:b w:val="0"/>
          <w:sz w:val="24"/>
        </w:rPr>
        <w:t xml:space="preserve">本研究据上述约束开展静态设备容量比选。导则同时要求电压不越限，并在系统级承载力评估中统筹新能源利用率和调峰能力[7]；这些项目需结合实际接线、连续运行及系统资料进一步校核。当前结果覆盖所设功率截面与规定支撑时长，储能按可用电量折算有效功率，连续荷电状态和充电恢复过程留待工程阶段检验。</w:t>
      </w:r>
    </w:p>
    <w:p>
      <w:pPr>
        <w:pStyle w:val="5"/>
        <w:keepNext/>
        <w:numPr>
          <w:numId w:val="0"/>
        </w:numPr>
        <w:spacing w:line="390" w:lineRule="exact" w:before="160" w:after="120"/>
        <w:ind w:firstLine="0"/>
      </w:pPr>
      <w:bookmarkStart w:id="198" w:name="评价期费用目标"/>
      <w:r>
        <w:rPr>
          <w:rFonts w:ascii="Times New Roman" w:hAnsi="Times New Roman" w:eastAsia="方正仿宋_GBK"/>
          <w:b/>
          <w:sz w:val="26"/>
        </w:rPr>
        <w:t xml:space="preserve">5.3.2 评价期费用目标</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模型以共同评价期内新增措施费用现值最小为目标，采用第四章的价格、寿命、维护费率和折现率，在投运当年计建设投资、次年起计固定运维，对评价期内达到设定寿命的设备按统一规则计取更新费用。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99" w:name="三类措施的约束寻优流程"/>
      <w:r>
        <w:rPr>
          <w:rFonts w:ascii="Times New Roman" w:hAnsi="Times New Roman" w:eastAsia="方正仿宋_GBK"/>
          <w:b/>
          <w:sz w:val="26"/>
        </w:rPr>
        <w:t xml:space="preserve">5.3.3 三类措施的约束寻优流程</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寻优先形成经济参考，弹性方案再在该参考费用的105%以内比较联络工程较少的可行布局，并在联络数量相近时比较费用，形成工程优选方案。邳州共同起点采用方案费用为14801.99万元，经济参考为14338.51万元，增加463.48万元，约3%；保留实际容量时分别为7342.18万元和7097.16万元，增加245.02万元，约3%。市区两起点采用方案与经济参考一致。取得配置后，分别汇总年度容量、采购容量、储能和联络工程，再按第四章现金流复算实际方案费用。</w:t>
      </w:r>
    </w:p>
    <w:p>
      <w:pPr>
        <w:pStyle w:val="4"/>
        <w:keepNext/>
        <w:numPr>
          <w:numId w:val="0"/>
        </w:numPr>
        <w:spacing w:line="480" w:lineRule="exact" w:before="160" w:after="120"/>
        <w:ind w:firstLine="0"/>
      </w:pPr>
      <w:bookmarkStart w:id="1599" w:name="h599"/>
      <w:bookmarkStart w:id="200" w:name="寻优结果"/>
      <w:r>
        <w:rPr>
          <w:rFonts w:ascii="Times New Roman" w:hAnsi="Times New Roman" w:eastAsia="方正仿宋_GBK"/>
          <w:b/>
          <w:sz w:val="32"/>
        </w:rPr>
        <w:t xml:space="preserve">5.4 寻优结果</w:t>
      </w:r>
      <w:bookmarkEnd w:id="200"/>
      <w:bookmarkEnd w:id="1599"/>
    </w:p>
    <w:p>
      <w:pPr>
        <w:pStyle w:val="5"/>
        <w:keepNext/>
        <w:numPr>
          <w:numId w:val="0"/>
        </w:numPr>
        <w:spacing w:line="390" w:lineRule="exact" w:before="160" w:after="120"/>
        <w:ind w:firstLine="0"/>
      </w:pPr>
      <w:bookmarkStart w:id="201" w:name="邳州逐年方案"/>
      <w:r>
        <w:rPr>
          <w:rFonts w:ascii="Times New Roman" w:hAnsi="Times New Roman" w:eastAsia="方正仿宋_GBK"/>
          <w:b/>
          <w:sz w:val="26"/>
        </w:rPr>
        <w:t xml:space="preserve">5.4.1 邳州逐年方案</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邳州弹性方案2022年完成240.50 MVA净增容量，主变总容量达到1704.00 MVA，2025年为1715.50 MVA。各年储能和联络工程按当年供电需求安排，具体在役规模及新增建设分别列于下表。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14783.72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2521.26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1891.08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12553.76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763.85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1484.38</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邳州两类方案的主要差异出现在建设时序。2022年弹性方案完成240.50 MVA净增容量，主变总容量达到1704.00 MVA，而刚性方案当年受容量上限约束，形成1642.50 MVA，并以储能及联络共同补足局部供电需求。2024年刚性方案再增加61.50 MVA，弹性方案在八义集补强一台主变，净增11.50 MVA，使两类方案总容量分别达到1704.00 MVA和1715.50 MVA。前期主变建设规模的差异改变了后续补充措施的选择，年度主变采购与储能、联络增量共同解释方案费用。</w:t>
      </w:r>
    </w:p>
    <w:p>
      <w:pPr>
        <w:pStyle w:val="2"/>
        <w:widowControl/>
        <w:spacing w:line="348" w:lineRule="exact" w:before="0" w:after="0"/>
        <w:ind w:firstLine="480"/>
        <w:jc w:val="both"/>
      </w:pPr>
      <w:r>
        <w:rPr>
          <w:rFonts w:ascii="Times New Roman" w:hAnsi="Times New Roman" w:eastAsia="方正仿宋_GBK"/>
          <w:b w:val="0"/>
          <w:sz w:val="24"/>
        </w:rPr>
        <w:t xml:space="preserve">2023年负荷较2022年回落约8%，两类方案均保持当年设备状态，容载比分别升至2.16和2.24。该年的比值上升由负荷变化形成。2024年负荷恢复后，两类方案分别实施上述增容，并各新增1项联络。2025年负荷进一步增加，主变容量均保持上一年状态，刚性与弹性容载比分别为1.78和1.79。刚性方案当年新增10.11 MWh储能和7项联络，弹性方案新增7.31 MWh储能和6项联络，末年累计新增联络分别为16条和13条。弹性方案较多的站内容量及其分布，减少了对储能和新增通道的依赖。</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邳州弹性方案2022年新购483.50 MVA、替换原设备243.00 MVA，容量净增240.50 MVA。该批采购按全部新购容量计取工程投资，形成的净增容量则在后续年度持续承担供电与故障支援任务。</w:t>
      </w:r>
    </w:p>
    <w:p>
      <w:pPr>
        <w:pStyle w:val="2"/>
        <w:widowControl/>
        <w:spacing w:line="348" w:lineRule="exact" w:before="0" w:after="0"/>
        <w:ind w:firstLine="480"/>
        <w:jc w:val="both"/>
      </w:pPr>
      <w:r>
        <w:rPr>
          <w:rFonts w:ascii="Times New Roman" w:hAnsi="Times New Roman" w:eastAsia="方正仿宋_GBK"/>
          <w:b w:val="0"/>
          <w:sz w:val="24"/>
        </w:rPr>
        <w:t xml:space="preserve">逐年新增工程图进一步区分了首年补强与后期追加。弹性方案2022年较多采购主变，使其后续储能规模较小；刚性方案在容量控制下同时采用储能和联络，随负荷恢复及增长再追加相关措施。图中的主变为当年新购铭牌容量，储能与联络为当年新增数量，后续在役总量仍按年度方案表累计。各措施的建设时间决定相应费用发生年份，首年与末年的工程差异共同形成评价期费用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271247"/>
            <wp:effectExtent b="0" l="0" r="0" t="0"/>
            <wp:docPr descr="" title="" id="1" name="Picture"/>
            <a:graphic>
              <a:graphicData uri="http://schemas.openxmlformats.org/drawingml/2006/picture">
                <pic:pic>
                  <pic:nvPicPr>
                    <pic:cNvPr descr="研究报告/02图表/当前版/pizhou_annual_new_measures.png" id="0" name="Picture"/>
                    <pic:cNvPicPr>
                      <a:picLocks noChangeArrowheads="1" noChangeAspect="1"/>
                    </pic:cNvPicPr>
                  </pic:nvPicPr>
                  <pic:blipFill>
                    <a:blip r:embed="rId202"/>
                    <a:stretch>
                      <a:fillRect/>
                    </a:stretch>
                  </pic:blipFill>
                  <pic:spPr bwMode="auto">
                    <a:xfrm>
                      <a:off x="0" y="0"/>
                      <a:ext cx="5120640" cy="527124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邳州两类方案的逐年新增工程</w:t>
      </w:r>
    </w:p>
    <w:p>
      <w:pPr>
        <w:pStyle w:val="5"/>
        <w:keepNext/>
        <w:numPr>
          <w:numId w:val="0"/>
        </w:numPr>
        <w:spacing w:line="390" w:lineRule="exact" w:before="160" w:after="120"/>
        <w:ind w:firstLine="0"/>
      </w:pPr>
      <w:bookmarkStart w:id="203" w:name="市区逐年方案"/>
      <w:r>
        <w:rPr>
          <w:rFonts w:ascii="Times New Roman" w:hAnsi="Times New Roman" w:eastAsia="方正仿宋_GBK"/>
          <w:b/>
          <w:sz w:val="26"/>
        </w:rPr>
        <w:t xml:space="preserve">5.4.2 市区逐年方案</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市区弹性方案2022年完成23.00 MVA净增容量，主变总容量达到2923.00 MVA，2025年为2923.00 MVA。各年储能和联络工程按当年供电需求安排，具体在役规模及新增建设分别列于下表。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204"/>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1594.68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997.09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市区2022年负荷低于2021年、2024年负荷低于2023年，刚性方案在这两个年份均保留已投运的2900.00 MVA主变容量。因此，相应年度容载比超过2.0由负荷减少形成，未伴随新增主变。</w:t>
      </w:r>
    </w:p>
    <w:p>
      <w:pPr>
        <w:pStyle w:val="2"/>
        <w:widowControl/>
        <w:spacing w:line="348" w:lineRule="exact" w:before="0" w:after="0"/>
        <w:ind w:firstLine="480"/>
        <w:jc w:val="both"/>
      </w:pPr>
      <w:r>
        <w:rPr>
          <w:rFonts w:ascii="Times New Roman" w:hAnsi="Times New Roman" w:eastAsia="方正仿宋_GBK"/>
          <w:b w:val="0"/>
          <w:sz w:val="24"/>
        </w:rPr>
        <w:t xml:space="preserve">市区四年中2023年的年度负荷最高，为1542.22 MW。两类方案首年建设完成后，后续主变总容量均保持不变，因此2023年的容载比低于2022年和2024年。到2025年，年度负荷为1528.82 MW，仍略低于2023年。以年最大净负荷平均增长率描述增长阶段时，还需保留这类年际波动，逐年容量安排才能与实际供电任务对应。</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市区弹性方案选择在翟山变将一台40 MVA主变更换为63 MVA，既增加23 MVA区域容量，也将该站最大80 MVA主变停运后的剩余容量从40 MVA提高至63 MVA。刚性方案保留原主变容量，2022年增加3项联络，2023年再增加2项，借助网络重新安排负荷。两类方案分别以站内补强和新增通道满足同一组供电约束，费用差主要由这两类措施的工程费用形成。既有逐站转供能力在两类方案中共同参与支援。</w:t>
      </w:r>
    </w:p>
    <w:p>
      <w:pPr>
        <w:pStyle w:val="2"/>
        <w:widowControl/>
        <w:spacing w:line="348" w:lineRule="exact" w:before="0" w:after="0"/>
        <w:ind w:firstLine="480"/>
        <w:jc w:val="both"/>
      </w:pPr>
      <w:r>
        <w:rPr>
          <w:rFonts w:ascii="Times New Roman" w:hAnsi="Times New Roman" w:eastAsia="方正仿宋_GBK"/>
          <w:b w:val="0"/>
          <w:sz w:val="24"/>
        </w:rPr>
        <w:t xml:space="preserve">市区逐年新增图显示了两种建设路径的集中差异：弹性方案首年采购一台63 MVA主变，形成23 MVA净增容量；刚性方案分2022、2023年建设联络。后两年保持既有工程状态，通过运行转接适应年度负荷波动。由于两类方案均未新增储能，本地区费用比较主要由主变工程与联络工程构成，采用各自实际投运批次计算现值后评价其经济差异。</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141694"/>
            <wp:effectExtent b="0" l="0" r="0" t="0"/>
            <wp:docPr descr="" title="" id="1" name="Picture"/>
            <a:graphic>
              <a:graphicData uri="http://schemas.openxmlformats.org/drawingml/2006/picture">
                <pic:pic>
                  <pic:nvPicPr>
                    <pic:cNvPr descr="研究报告/02图表/当前版/city_annual_new_measures.png" id="0" name="Picture"/>
                    <pic:cNvPicPr>
                      <a:picLocks noChangeArrowheads="1" noChangeAspect="1"/>
                    </pic:cNvPicPr>
                  </pic:nvPicPr>
                  <pic:blipFill>
                    <a:blip r:embed="rId205"/>
                    <a:stretch>
                      <a:fillRect/>
                    </a:stretch>
                  </pic:blipFill>
                  <pic:spPr bwMode="auto">
                    <a:xfrm>
                      <a:off x="0" y="0"/>
                      <a:ext cx="5120640" cy="414169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市区两类方案的逐年新增工程</w:t>
      </w:r>
    </w:p>
    <w:p>
      <w:pPr>
        <w:pStyle w:val="5"/>
        <w:keepNext/>
        <w:numPr>
          <w:numId w:val="0"/>
        </w:numPr>
        <w:spacing w:line="390" w:lineRule="exact" w:before="160" w:after="120"/>
        <w:ind w:firstLine="0"/>
      </w:pPr>
      <w:bookmarkStart w:id="206" w:name="弹性方案与导则建议范围的逐年对照"/>
      <w:r>
        <w:rPr>
          <w:rFonts w:ascii="Times New Roman" w:hAnsi="Times New Roman" w:eastAsia="方正仿宋_GBK"/>
          <w:b/>
          <w:sz w:val="26"/>
        </w:rPr>
        <w:t xml:space="preserve">5.4.3 弹性方案与导则建议范围的逐年对照</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2025年4月《配电网规划设计技术导则（修订稿）》第6.2.2.1条提出容载比总体控制在1.5～2.0，表2按年最大净负荷平均增长率划分发展阶段，相应建议范围如下[7]。</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本节沿用建模采用的2021—2025年年最大净负荷平均增长率，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MW，年最大净负荷平均增长率约1%，属于KP≤2%的饱和期，对应建议范围1.5～1.7[7]。</w:t>
      </w:r>
    </w:p>
    <w:p>
      <w:pPr>
        <w:pStyle w:val="2"/>
        <w:widowControl/>
        <w:spacing w:line="348" w:lineRule="exact" w:before="0" w:after="0"/>
        <w:ind w:firstLine="480"/>
        <w:jc w:val="both"/>
      </w:pPr>
      <w:r>
        <w:rPr>
          <w:rFonts w:ascii="Times New Roman" w:hAnsi="Times New Roman" w:eastAsia="方正仿宋_GBK"/>
          <w:b w:val="0"/>
          <w:sz w:val="24"/>
        </w:rPr>
        <w:t xml:space="preserve">前述年度表为共同仿真起点下、正常允许调整供区的弹性方案规划回算结果。按上述年最大净负荷平均增长率统一分档，邳州2022—2024年均高于分档建议上限1.9，2025年降至1.79，进入建议范围，市区四年均高于分档建议上限1.7，其中2025年为1.91，高出约0.21。两地区各年结果均高于对应建议下限。按条文总体范围比较，邳州2022、2023年和市区2022、2024年超过2.0，其余年度位于1.5～2.0内[7]。年度负荷回落解释了部分年份容载比的上升：邳州2023年、市区2024年容量保持不变，负荷下降使比值升高，后续负荷恢复又使比值回落。</w:t>
      </w:r>
    </w:p>
    <w:p>
      <w:pPr>
        <w:pStyle w:val="2"/>
        <w:widowControl/>
        <w:spacing w:line="348" w:lineRule="exact" w:before="0" w:after="0"/>
        <w:ind w:firstLine="480"/>
        <w:jc w:val="both"/>
      </w:pPr>
      <w:r>
        <w:rPr>
          <w:rFonts w:ascii="Times New Roman" w:hAnsi="Times New Roman" w:eastAsia="方正仿宋_GBK"/>
          <w:b w:val="0"/>
          <w:sz w:val="24"/>
        </w:rPr>
        <w:t xml:space="preserve">市区连续高于分档建议上限，还与共同初始容量有关。以2025年为例，1528.82 MW负荷按容载比1.7折算容量为2598.99 MVA，而共同初始容量已为2900.00 MVA，高出301.01 MVA。容量保持非减的条件下，初始设备对应当年容载比约1.90。在此基础上，弹性方案2022年将翟山变一台40 MVA主变更换为63 MVA，净增23.00 MVA，四年均保持2923.00 MVA，2025年容载比为1.91。初始容量与新增补强分别贡献了超出分档建议上限的主要部分和增量部分。翟山变更换后，在最大80 MVA主变停运时保留63 MVA容量，并结合既有转供满足本次工况约束。这项设备补强与既定初始容量应分别解释。</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[7]。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207" w:name="建设规模与费用比较"/>
      <w:r>
        <w:rPr>
          <w:rFonts w:ascii="Times New Roman" w:hAnsi="Times New Roman" w:eastAsia="方正仿宋_GBK"/>
          <w:b/>
          <w:sz w:val="26"/>
        </w:rPr>
        <w:t xml:space="preserve">5.4.4 建设规模与费用比较</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两地区刚性可行方案费用现值合计21787.83万元，弹性为16248.62万元，减少5539.21万元，降幅约25%。</w:t>
      </w:r>
    </w:p>
    <w:p>
      <w:pPr>
        <w:pStyle w:val="2"/>
        <w:keepNext/>
        <w:spacing w:line="280" w:lineRule="exact" w:before="120" w:after="80"/>
        <w:ind w:firstLine="0"/>
        <w:jc w:val="center"/>
      </w:pPr>
      <w:r>
        <w:rPr>
          <w:rFonts w:ascii="Times New Roman" w:hAnsi="Times New Roman" w:eastAsia="宋体"/>
          <w:b w:val="0"/>
          <w:sz w:val="21"/>
        </w:rPr>
        <w:t xml:space="preserve">表5-9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19196.06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14801.99</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keepNext/>
        <w:spacing w:line="280" w:lineRule="exact" w:before="120" w:after="80"/>
        <w:ind w:firstLine="0"/>
        <w:jc w:val="center"/>
      </w:pPr>
      <w:r>
        <w:rPr>
          <w:rFonts w:ascii="Times New Roman" w:hAnsi="Times New Roman" w:eastAsia="宋体"/>
          <w:b w:val="0"/>
          <w:sz w:val="21"/>
        </w:rPr>
        <w:t xml:space="preserve">表5-10 2025年在役措施及累计建设规模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47.95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4261"/>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208"/>
                    <a:stretch>
                      <a:fillRect/>
                    </a:stretch>
                  </pic:blipFill>
                  <pic:spPr bwMode="auto">
                    <a:xfrm>
                      <a:off x="0" y="0"/>
                      <a:ext cx="5120640" cy="251426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32012"/>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209"/>
                    <a:stretch>
                      <a:fillRect/>
                    </a:stretch>
                  </pic:blipFill>
                  <pic:spPr bwMode="auto">
                    <a:xfrm>
                      <a:off x="0" y="0"/>
                      <a:ext cx="5120640" cy="223201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图5-5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两地区均从共同压缩起点开展规划回算，首年必要补强计入建设投资，既有转供受逐站资料上限约束，新增联络按地区电缆长度占比计价。在这些相同条件下，比较通过全部静态工况校核的具体可行方案费用。</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11340.87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5645.80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2209.38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19196.06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12279.95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738.62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1783.42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14801.99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2591.77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主变费用现值增加939.08万元，储能和联络分别减少4907.19万元、425.97万元，合计减少4394.07万元。首年较充分的主变补强降低了后续配储需求，储能费用减少是该地区费用差的主要来源。2024年弹性方案进一步补强八义集，主变总容量较刚性多11.50 MVA，站内容量分配与配套措施的时序共同形成费用差。</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以1446.64万元主变费用现值替代刚性方案2591.77万元联络费用，合计减少1145.13万元。既有转供在两类方案中均提供支援，费用优势来自新增补强方式的不同。两地区合计降幅由上述分项变化形成，区域容量变化与费用变化分别按设备及工程项目解释。</w:t>
      </w:r>
    </w:p>
    <w:p>
      <w:pPr>
        <w:pStyle w:val="2"/>
        <w:widowControl/>
        <w:spacing w:line="348" w:lineRule="exact" w:before="0" w:after="0"/>
        <w:ind w:firstLine="480"/>
        <w:jc w:val="both"/>
      </w:pPr>
      <w:r>
        <w:rPr>
          <w:rFonts w:ascii="Times New Roman" w:hAnsi="Times New Roman" w:eastAsia="方正仿宋_GBK"/>
          <w:b w:val="0"/>
          <w:sz w:val="24"/>
        </w:rPr>
        <w:t xml:space="preserve">费用差图按</w:t>
      </w:r>
      <w:r>
        <w:rPr>
          <w:rFonts w:ascii="Times New Roman" w:hAnsi="Times New Roman" w:eastAsia="方正仿宋_GBK"/>
          <w:b w:val="0"/>
          <w:sz w:val="24"/>
        </w:rPr>
        <w:t xml:space="preserve">“</w:t>
      </w:r>
      <w:r>
        <w:rPr>
          <w:rFonts w:ascii="Times New Roman" w:hAnsi="Times New Roman" w:eastAsia="方正仿宋_GBK"/>
          <w:b w:val="0"/>
          <w:sz w:val="24"/>
        </w:rPr>
        <w:t xml:space="preserve">刚性费用减弹性费用</w:t>
      </w:r>
      <w:r>
        <w:rPr>
          <w:rFonts w:ascii="Times New Roman" w:hAnsi="Times New Roman" w:eastAsia="方正仿宋_GBK"/>
          <w:b w:val="0"/>
          <w:sz w:val="24"/>
        </w:rPr>
        <w:t xml:space="preserve">”</w:t>
      </w:r>
      <w:r>
        <w:rPr>
          <w:rFonts w:ascii="Times New Roman" w:hAnsi="Times New Roman" w:eastAsia="方正仿宋_GBK"/>
          <w:b w:val="0"/>
          <w:sz w:val="24"/>
        </w:rPr>
        <w:t xml:space="preserve">绘制，正值表示弹性方案该项支出较少，负值表示该项支出较多。邳州弹性方案增加主变费用，同时减少储能和联络费用，储能节省构成该地区合计费用下降的主要部分；市区新增主变费用由减少新增联络费用抵消。把各措施费用逐项相加，才能将总体经济结果落实到所采用的工程组合。两地区合计降幅采用具体可行方案的实际费用计算。</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plan_cost_difference.png" id="0" name="Picture"/>
                    <pic:cNvPicPr>
                      <a:picLocks noChangeArrowheads="1" noChangeAspect="1"/>
                    </pic:cNvPicPr>
                  </pic:nvPicPr>
                  <pic:blipFill>
                    <a:blip r:embed="rId210"/>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图5-6 两地区刚性与弹性方案费用差的措施构成</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邳州配储差异集中在少数局部站点。兴塘变两类方案的储能额定能量分别为25.16 MWh、1.72 MWh，削减量约占全地区储能减少量的58%；邳城变储能也明显减少，而二庙变在弹性方案中配置少量储能。区域配储总量下降的同时，补充支撑的位置仍随主变与网络组合调整。下图列出至少一类方案配置储能的站点，与后续逐站工况分析共同解释储能变化的空间来源。</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838388"/>
            <wp:effectExtent b="0" l="0" r="0" t="0"/>
            <wp:docPr descr="" title="" id="1" name="Picture"/>
            <a:graphic>
              <a:graphicData uri="http://schemas.openxmlformats.org/drawingml/2006/picture">
                <pic:pic>
                  <pic:nvPicPr>
                    <pic:cNvPr descr="研究报告/02图表/当前版/pizhou_storage_distribution.png" id="0" name="Picture"/>
                    <pic:cNvPicPr>
                      <a:picLocks noChangeArrowheads="1" noChangeAspect="1"/>
                    </pic:cNvPicPr>
                  </pic:nvPicPr>
                  <pic:blipFill>
                    <a:blip r:embed="rId211"/>
                    <a:stretch>
                      <a:fillRect/>
                    </a:stretch>
                  </pic:blipFill>
                  <pic:spPr bwMode="auto">
                    <a:xfrm>
                      <a:off x="0" y="0"/>
                      <a:ext cx="5120640" cy="383838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图5-7 邳州2025年储能额定能量的站点分布</w:t>
      </w:r>
    </w:p>
    <w:p>
      <w:pPr>
        <w:pStyle w:val="5"/>
        <w:keepNext/>
        <w:numPr>
          <w:numId w:val="0"/>
        </w:numPr>
        <w:spacing w:line="390" w:lineRule="exact" w:before="160" w:after="120"/>
        <w:ind w:firstLine="0"/>
      </w:pPr>
      <w:bookmarkStart w:id="212" w:name="邳州逐站规划方案"/>
      <w:r>
        <w:rPr>
          <w:rFonts w:ascii="Times New Roman" w:hAnsi="Times New Roman" w:eastAsia="方正仿宋_GBK"/>
          <w:b/>
          <w:sz w:val="26"/>
        </w:rPr>
        <w:t xml:space="preserve">5.4.5 邳州逐站规划方案</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逐站表格列示区域正向峰值和最低净负荷两个代表工况的转接量，完整校核同时覆盖各站局部极值截面。主变N-1按本站最大单台容量扣除，健康邻站保留正常可用容量，转供使用已投运线路。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结合2025年两代表工况和四年中本站绝对功率最大的校核工况，解释主变N-1后的站间支援。表中储能均为在役额定功率，正向支撑能力另按邳州2 h及可用电量折算，反向采用本站规定时长。</w:t>
      </w:r>
    </w:p>
    <w:p>
      <w:pPr>
        <w:pStyle w:val="7"/>
        <w:keepNext/>
        <w:numPr>
          <w:numId w:val="0"/>
        </w:numPr>
        <w:spacing w:line="360" w:lineRule="exact" w:before="160" w:after="120"/>
        <w:ind w:firstLine="0"/>
      </w:pPr>
      <w:bookmarkStart w:id="213" w:name="八义集变规划分析"/>
      <w:r>
        <w:rPr>
          <w:rFonts w:ascii="Times New Roman" w:hAnsi="Times New Roman" w:eastAsia="方正仿宋_GBK"/>
          <w:b/>
          <w:sz w:val="24"/>
        </w:rPr>
        <w:t xml:space="preserve">八义集变规划分析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MVA，弹性方案2024年20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2025年本站最大正向、反向净负荷分别为37.23 MW、19.12 MW。在同一需求下，刚性方案当年主变容量为70.00 MVA、储能额定功率0.60 MW，弹性方案分别为81.50 MVA和0.00 MW，弹性方案本站增加11.50 MVA容量。弹性方案按当年各站局部极值计算的站级负载率为48%。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表5-13 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MW，转接后净负荷为30.29 MW，区域最低净负荷工况下为-6.39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MW、-6.39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四年校核截面中，本站绝对功率最大的工况出现在2025年，转接前为37.23 MW，主要表现为正向受电需求，该年设备在最大单台主变N-1后剩余容量为31.50 MVA。故障方式下本站转出7.30 MW、承接0.00 MW，其中与土山变之间的主要转出功率为7.30 MW，转接后净负荷为29.93 MW。这一工况通过邻站分担本站故障后的正向负荷。</w:t>
      </w:r>
    </w:p>
    <w:p>
      <w:pPr>
        <w:pStyle w:val="7"/>
        <w:keepNext/>
        <w:numPr>
          <w:numId w:val="0"/>
        </w:numPr>
        <w:spacing w:line="360" w:lineRule="exact" w:before="160" w:after="120"/>
        <w:ind w:firstLine="0"/>
      </w:pPr>
      <w:bookmarkStart w:id="214" w:name="大宋变规划分析"/>
      <w:r>
        <w:rPr>
          <w:rFonts w:ascii="Times New Roman" w:hAnsi="Times New Roman" w:eastAsia="方正仿宋_GBK"/>
          <w:b/>
          <w:sz w:val="24"/>
        </w:rPr>
        <w:t xml:space="preserve">大宋变规划分析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2025年本站最大正向、反向净负荷分别为69.44 MW、31.77 MW。在同一需求下，刚性方案当年主变容量为103.00 MVA、储能额定功率0.00 MW，弹性方案分别为103.00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表5-14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MW，转接后净负荷为69.44 MW，区域最低净负荷工况下为-31.77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MW、-31.77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四年校核截面中，本站绝对功率最大的工况出现在2025年，转接前为69.44 MW，主要表现为正向受电需求，该年设备在最大单台主变N-1后剩余容量为40.00 MVA。故障方式下本站转出31.44 MW、承接0.00 MW，其中与宿羊山变之间的主要转出功率为12.15 MW，转接后净负荷为38.00 MW。这一工况通过邻站分担本站故障后的正向负荷。</w:t>
      </w:r>
    </w:p>
    <w:p>
      <w:pPr>
        <w:pStyle w:val="7"/>
        <w:keepNext/>
        <w:numPr>
          <w:numId w:val="0"/>
        </w:numPr>
        <w:spacing w:line="360" w:lineRule="exact" w:before="160" w:after="120"/>
        <w:ind w:firstLine="0"/>
      </w:pPr>
      <w:bookmarkStart w:id="215" w:name="戴圩变规划分析"/>
      <w:r>
        <w:rPr>
          <w:rFonts w:ascii="Times New Roman" w:hAnsi="Times New Roman" w:eastAsia="方正仿宋_GBK"/>
          <w:b/>
          <w:sz w:val="24"/>
        </w:rPr>
        <w:t xml:space="preserve">戴圩变规划分析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2025年本站最大正向、反向净负荷分别为30.30 MW、24.46 MW。在同一需求下，刚性方案当年主变容量为70.00 MVA、储能额定功率0.00 MW，弹性方案分别为70.00 MVA和0.00 MW，两类方案本站主变总容量相同。弹性方案按当年各站局部极值计算的站级负载率为46%。</w:t>
      </w:r>
    </w:p>
    <w:p>
      <w:pPr>
        <w:pStyle w:val="2"/>
        <w:keepNext/>
        <w:spacing w:line="280" w:lineRule="exact" w:before="120" w:after="80"/>
        <w:ind w:firstLine="0"/>
        <w:jc w:val="center"/>
      </w:pPr>
      <w:r>
        <w:rPr>
          <w:rFonts w:ascii="Times New Roman" w:hAnsi="Times New Roman" w:eastAsia="宋体"/>
          <w:b w:val="0"/>
          <w:sz w:val="21"/>
        </w:rPr>
        <w:t xml:space="preserve">表5-15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MW，转接后净负荷为27.34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四年校核截面中，本站绝对功率最大的工况出现在2025年，转接前为30.30 MW，主要表现为正向受电需求，该年设备在最大单台主变N-1后剩余容量为20.00 MVA。故障方式下本站转出11.30 MW、承接0.00 MW，其中与邳城变之间的主要转出功率为8.31 MW，转接后净负荷为19.00 MW。这一工况通过邻站分担本站故障后的正向负荷。</w:t>
      </w:r>
    </w:p>
    <w:p>
      <w:pPr>
        <w:pStyle w:val="7"/>
        <w:keepNext/>
        <w:numPr>
          <w:numId w:val="0"/>
        </w:numPr>
        <w:spacing w:line="360" w:lineRule="exact" w:before="160" w:after="120"/>
        <w:ind w:firstLine="0"/>
      </w:pPr>
      <w:bookmarkStart w:id="216" w:name="戴庄变规划分析"/>
      <w:r>
        <w:rPr>
          <w:rFonts w:ascii="Times New Roman" w:hAnsi="Times New Roman" w:eastAsia="方正仿宋_GBK"/>
          <w:b/>
          <w:sz w:val="24"/>
        </w:rPr>
        <w:t xml:space="preserve">戴庄变规划分析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MVA，弹性方案2022年20 MVA更换为50 MVA，31.5 MVA更换为50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2025年本站最大正向、反向净负荷分别为30.59 MW、47.47 MW。在同一需求下，刚性方案当年主变容量为100.00 MVA、储能额定功率0.00 MW，弹性方案分别为100.00 MVA和0.00 MW，两类方案本站主变总容量相同。弹性方案按当年各站局部极值计算的站级负载率为50%。</w:t>
      </w:r>
    </w:p>
    <w:p>
      <w:pPr>
        <w:pStyle w:val="2"/>
        <w:keepNext/>
        <w:spacing w:line="280" w:lineRule="exact" w:before="120" w:after="80"/>
        <w:ind w:firstLine="0"/>
        <w:jc w:val="center"/>
      </w:pPr>
      <w:r>
        <w:rPr>
          <w:rFonts w:ascii="Times New Roman" w:hAnsi="Times New Roman" w:eastAsia="宋体"/>
          <w:b w:val="0"/>
          <w:sz w:val="21"/>
        </w:rPr>
        <w:t xml:space="preserve">表5-16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MW，区域最低净负荷工况下为-46.10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MVA，两代表工况重新转供后的本站净负荷分别为30.59 MW、-46.10 MW，两方向最小容量余量为1.40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四年校核截面中，本站绝对功率最大的工况出现在2025年，转接前为-47.47 MW，主要表现为反向输送需求，该年设备在最大单台主变N-1后剩余容量为50.00 MVA。该工况本站由剩余主变满足承载要求。</w:t>
      </w:r>
    </w:p>
    <w:p>
      <w:pPr>
        <w:pStyle w:val="7"/>
        <w:keepNext/>
        <w:numPr>
          <w:numId w:val="0"/>
        </w:numPr>
        <w:spacing w:line="360" w:lineRule="exact" w:before="160" w:after="120"/>
        <w:ind w:firstLine="0"/>
      </w:pPr>
      <w:bookmarkStart w:id="217" w:name="杜村变规划分析"/>
      <w:r>
        <w:rPr>
          <w:rFonts w:ascii="Times New Roman" w:hAnsi="Times New Roman" w:eastAsia="方正仿宋_GBK"/>
          <w:b/>
          <w:sz w:val="24"/>
        </w:rPr>
        <w:t xml:space="preserve">杜村变规划分析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2025年本站最大正向、反向净负荷分别为92.06 MW、18.13 MW。在同一需求下，刚性方案当年主变容量为80.00 MVA、储能额定功率0.00 MW，弹性方案分别为80.00 MVA和0.00 MW，两类方案本站主变总容量相同。弹性方案按当年各站局部极值计算的站级负载率为121%。</w:t>
      </w:r>
    </w:p>
    <w:p>
      <w:pPr>
        <w:pStyle w:val="2"/>
        <w:keepNext/>
        <w:spacing w:line="280" w:lineRule="exact" w:before="120" w:after="80"/>
        <w:ind w:firstLine="0"/>
        <w:jc w:val="center"/>
      </w:pPr>
      <w:r>
        <w:rPr>
          <w:rFonts w:ascii="Times New Roman" w:hAnsi="Times New Roman" w:eastAsia="宋体"/>
          <w:b w:val="0"/>
          <w:sz w:val="21"/>
        </w:rPr>
        <w:t xml:space="preserve">表5-17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2025年区域正向峰值正常工况下，本站转出7.65 MW、承接0.00 MW，转接后净负荷为76.00 MW，区域最低净负荷工况下为1.66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MW、1.66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四年校核截面中，本站绝对功率最大的工况出现在2025年，转接前为92.06 MW，主要表现为正向受电需求，该年设备在最大单台主变N-1后剩余容量为40.00 MVA。故障方式下本站转出54.06 MW、承接0.00 MW，其中与吴闸变之间的主要转出功率为17.47 MW，转接后净负荷为38.00 MW。这一工况通过邻站分担本站故障后的正向负荷。</w:t>
      </w:r>
    </w:p>
    <w:p>
      <w:pPr>
        <w:pStyle w:val="7"/>
        <w:keepNext/>
        <w:numPr>
          <w:numId w:val="0"/>
        </w:numPr>
        <w:spacing w:line="360" w:lineRule="exact" w:before="160" w:after="120"/>
        <w:ind w:firstLine="0"/>
      </w:pPr>
      <w:bookmarkStart w:id="218" w:name="墩集变规划分析"/>
      <w:r>
        <w:rPr>
          <w:rFonts w:ascii="Times New Roman" w:hAnsi="Times New Roman" w:eastAsia="方正仿宋_GBK"/>
          <w:b/>
          <w:sz w:val="24"/>
        </w:rPr>
        <w:t xml:space="preserve">墩集变规划分析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2025年本站最大正向、反向净负荷分别为59.52 MW、35.45 MW。在同一需求下，刚性方案当年主变容量为70.00 MVA、储能额定功率0.00 MW，弹性方案分别为70.00 MVA和0.00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表5-18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MW，转接后净负荷为55.05 MW，区域最低净负荷工况下为-35.45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四年校核截面中，本站绝对功率最大的工况出现在2025年，转接前为59.52 MW，主要表现为正向受电需求，该年设备在最大单台主变N-1后剩余容量为20.00 MVA。故障方式下本站转出40.52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19" w:name="二庙变规划分析"/>
      <w:r>
        <w:rPr>
          <w:rFonts w:ascii="Times New Roman" w:hAnsi="Times New Roman" w:eastAsia="方正仿宋_GBK"/>
          <w:b/>
          <w:sz w:val="24"/>
        </w:rPr>
        <w:t xml:space="preserve">二庙变规划分析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MVA，弹性方案四年均保留该组合，并于2025年新增0.40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2025年本站最大正向、反向净负荷分别为103.56 MW、0.00 MW。在同一需求下，刚性方案当年主变容量为111.50 MVA、储能额定功率0.00 MW，弹性方案分别为111.50 MVA和0.40 MW，两类方案本站主变总容量相同。弹性方案按当年各站局部极值计算的站级负载率为98%。</w:t>
      </w:r>
    </w:p>
    <w:p>
      <w:pPr>
        <w:pStyle w:val="2"/>
        <w:keepNext/>
        <w:spacing w:line="280" w:lineRule="exact" w:before="120" w:after="80"/>
        <w:ind w:firstLine="0"/>
        <w:jc w:val="center"/>
      </w:pPr>
      <w:r>
        <w:rPr>
          <w:rFonts w:ascii="Times New Roman" w:hAnsi="Times New Roman" w:eastAsia="宋体"/>
          <w:b w:val="0"/>
          <w:sz w:val="21"/>
        </w:rPr>
        <w:t xml:space="preserve">表5-19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MW，转接后净负荷为89.75 MW，区域最低净负荷工况下为31.86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MVA，两代表工况重新转供后的本站净负荷分别为30.25 MW、30.25 MW，两方向最小容量余量为0.00 MW，正向储能有效支撑功率为0.33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四年校核截面中，本站绝对功率最大的工况出现在2025年，转接前为103.56 MW，主要表现为正向受电需求，该年设备在最大单台主变N-1后剩余容量为31.50 MVA。故障方式下本站转出73.31 MW、承接0.00 MW，其中与河湾变之间的主要转出功率为19.38 MW，转接后净负荷为30.25 MW。这一工况通过邻站分担本站故障后的正向负荷。</w:t>
      </w:r>
    </w:p>
    <w:p>
      <w:pPr>
        <w:pStyle w:val="7"/>
        <w:keepNext/>
        <w:numPr>
          <w:numId w:val="0"/>
        </w:numPr>
        <w:spacing w:line="360" w:lineRule="exact" w:before="160" w:after="120"/>
        <w:ind w:firstLine="0"/>
      </w:pPr>
      <w:bookmarkStart w:id="220" w:name="坊上变规划分析"/>
      <w:r>
        <w:rPr>
          <w:rFonts w:ascii="Times New Roman" w:hAnsi="Times New Roman" w:eastAsia="方正仿宋_GBK"/>
          <w:b/>
          <w:sz w:val="24"/>
        </w:rPr>
        <w:t xml:space="preserve">坊上变规划分析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2025年本站最大正向、反向净负荷分别为39.89 MW、29.68 MW。在同一需求下，刚性方案当年主变容量为71.50 MVA、储能额定功率0.00 MW，弹性方案分别为71.50 MVA和0.00 MW，两类方案本站主变总容量相同。弹性方案按当年各站局部极值计算的站级负载率为59%。</w:t>
      </w:r>
    </w:p>
    <w:p>
      <w:pPr>
        <w:pStyle w:val="2"/>
        <w:keepNext/>
        <w:spacing w:line="280" w:lineRule="exact" w:before="120" w:after="80"/>
        <w:ind w:firstLine="0"/>
        <w:jc w:val="center"/>
      </w:pPr>
      <w:r>
        <w:rPr>
          <w:rFonts w:ascii="Times New Roman" w:hAnsi="Times New Roman" w:eastAsia="宋体"/>
          <w:b w:val="0"/>
          <w:sz w:val="21"/>
        </w:rPr>
        <w:t xml:space="preserve">表5-20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MW，转接后净负荷为37.87 MW，区域最低净负荷工况下为-29.68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MW、-29.68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四年校核截面中，本站绝对功率最大的工况出现在2025年，转接前为39.89 MW，主要表现为正向受电需求，该年设备在最大单台主变N-1后剩余容量为31.50 MVA。故障方式下本站转出9.96 MW、承接0.00 MW，其中与戴圩变之间的主要转出功率为9.91 MW，转接后净负荷为29.93 MW。这一工况通过邻站分担本站故障后的正向负荷。</w:t>
      </w:r>
    </w:p>
    <w:p>
      <w:pPr>
        <w:pStyle w:val="7"/>
        <w:keepNext/>
        <w:numPr>
          <w:numId w:val="0"/>
        </w:numPr>
        <w:spacing w:line="360" w:lineRule="exact" w:before="160" w:after="120"/>
        <w:ind w:firstLine="0"/>
      </w:pPr>
      <w:bookmarkStart w:id="221" w:name="富山变规划分析"/>
      <w:r>
        <w:rPr>
          <w:rFonts w:ascii="Times New Roman" w:hAnsi="Times New Roman" w:eastAsia="方正仿宋_GBK"/>
          <w:b/>
          <w:sz w:val="24"/>
        </w:rPr>
        <w:t xml:space="preserve">富山变规划分析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2025年本站最大正向、反向净负荷分别为27.54 MW、27.00 MW。在同一需求下，刚性方案当年主变容量为81.50 MVA、储能额定功率0.00 MW，弹性方案分别为81.50 MVA和0.00 MW，两类方案本站主变总容量相同。弹性方案按当年各站局部极值计算的站级负载率为36%。</w:t>
      </w:r>
    </w:p>
    <w:p>
      <w:pPr>
        <w:pStyle w:val="2"/>
        <w:keepNext/>
        <w:spacing w:line="280" w:lineRule="exact" w:before="120" w:after="80"/>
        <w:ind w:firstLine="0"/>
        <w:jc w:val="center"/>
      </w:pPr>
      <w:r>
        <w:rPr>
          <w:rFonts w:ascii="Times New Roman" w:hAnsi="Times New Roman" w:eastAsia="宋体"/>
          <w:b w:val="0"/>
          <w:sz w:val="21"/>
        </w:rPr>
        <w:t xml:space="preserve">表5-21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MW，转接后净负荷为26.59 MW，区域最低净负荷工况下为-19.32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MVA，两代表工况重新转供后的本站净负荷分别为26.59 MW、-19.32 MW，两方向最小容量余量为3.33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四年校核截面中，本站绝对功率最大的工况出现在2025年，转接前为27.54 MW，主要表现为正向受电需求，该年设备在最大单台主变N-1后剩余容量为31.50 MVA。该工况本站由剩余主变满足承载要求。</w:t>
      </w:r>
    </w:p>
    <w:p>
      <w:pPr>
        <w:pStyle w:val="7"/>
        <w:keepNext/>
        <w:numPr>
          <w:numId w:val="0"/>
        </w:numPr>
        <w:spacing w:line="360" w:lineRule="exact" w:before="160" w:after="120"/>
        <w:ind w:firstLine="0"/>
      </w:pPr>
      <w:bookmarkStart w:id="222" w:name="河湾变规划分析"/>
      <w:r>
        <w:rPr>
          <w:rFonts w:ascii="Times New Roman" w:hAnsi="Times New Roman" w:eastAsia="方正仿宋_GBK"/>
          <w:b/>
          <w:sz w:val="24"/>
        </w:rPr>
        <w:t xml:space="preserve">河湾变规划分析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2025年本站最大正向、反向净负荷分别为73.11 MW、4.58 MW。在同一需求下，刚性方案当年主变容量为100.00 MVA、储能额定功率0.00 MW，弹性方案分别为100.00 MVA和0.00 MW，两类方案本站主变总容量相同。弹性方案按当年各站局部极值计算的站级负载率为77%。</w:t>
      </w:r>
    </w:p>
    <w:p>
      <w:pPr>
        <w:pStyle w:val="2"/>
        <w:keepNext/>
        <w:spacing w:line="280" w:lineRule="exact" w:before="120" w:after="80"/>
        <w:ind w:firstLine="0"/>
        <w:jc w:val="center"/>
      </w:pPr>
      <w:r>
        <w:rPr>
          <w:rFonts w:ascii="Times New Roman" w:hAnsi="Times New Roman" w:eastAsia="宋体"/>
          <w:b w:val="0"/>
          <w:sz w:val="21"/>
        </w:rPr>
        <w:t xml:space="preserve">表5-22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MW，转接后净负荷为71.29 MW，区域最低净负荷工况下为-3.50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MW、-3.50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四年校核截面中，本站绝对功率最大的工况出现在2025年，转接前为73.11 MW，主要表现为正向受电需求，该年设备在最大单台主变N-1后剩余容量为20.00 MVA。故障方式下本站转出54.11 MW、承接0.00 MW，其中与邳州变之间的主要转出功率为13.05 MW，转接后净负荷为19.00 MW。这一工况通过邻站分担本站故障后的正向负荷。</w:t>
      </w:r>
    </w:p>
    <w:p>
      <w:pPr>
        <w:pStyle w:val="7"/>
        <w:keepNext/>
        <w:numPr>
          <w:numId w:val="0"/>
        </w:numPr>
        <w:spacing w:line="360" w:lineRule="exact" w:before="160" w:after="120"/>
        <w:ind w:firstLine="0"/>
      </w:pPr>
      <w:bookmarkStart w:id="223" w:name="邳城变规划分析"/>
      <w:r>
        <w:rPr>
          <w:rFonts w:ascii="Times New Roman" w:hAnsi="Times New Roman" w:eastAsia="方正仿宋_GBK"/>
          <w:b/>
          <w:sz w:val="24"/>
        </w:rPr>
        <w:t xml:space="preserve">邳城变规划分析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MVA更换为31.5 MVA，并于2025年新增1.10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2025年本站最大正向、反向净负荷分别为22.90 MW、30.97 MW。在同一需求下，刚性方案当年主变容量为81.50 MVA、储能额定功率7.80 MW，弹性方案分别为81.50 MVA和1.10 MW，两类方案本站主变总容量相同。弹性方案按当年各站局部极值计算的站级负载率为40%。</w:t>
      </w:r>
    </w:p>
    <w:p>
      <w:pPr>
        <w:pStyle w:val="2"/>
        <w:keepNext/>
        <w:spacing w:line="280" w:lineRule="exact" w:before="120" w:after="80"/>
        <w:ind w:firstLine="0"/>
        <w:jc w:val="center"/>
      </w:pPr>
      <w:r>
        <w:rPr>
          <w:rFonts w:ascii="Times New Roman" w:hAnsi="Times New Roman" w:eastAsia="宋体"/>
          <w:b w:val="0"/>
          <w:sz w:val="21"/>
        </w:rPr>
        <w:t xml:space="preserve">表5-23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MW，转接后净负荷为22.90 MW，区域最低净负荷工况下为-28.74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MVA，两代表工况重新转供后的本站净负荷分别为22.90 MW、-28.74 MW，两方向最小容量余量为2.28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四年校核截面中，本站绝对功率最大的工况出现在2025年，转接前为-30.97 MW，主要表现为反向输送需求，该年设备在最大单台主变N-1后剩余容量为31.50 MVA。该工况本站未发生站间转接，储能相应方向有效支撑1.10 MW，与剩余主变共同满足承载要求。</w:t>
      </w:r>
    </w:p>
    <w:p>
      <w:pPr>
        <w:pStyle w:val="7"/>
        <w:keepNext/>
        <w:numPr>
          <w:numId w:val="0"/>
        </w:numPr>
        <w:spacing w:line="360" w:lineRule="exact" w:before="160" w:after="120"/>
        <w:ind w:firstLine="0"/>
      </w:pPr>
      <w:bookmarkStart w:id="224" w:name="邳州变规划分析"/>
      <w:r>
        <w:rPr>
          <w:rFonts w:ascii="Times New Roman" w:hAnsi="Times New Roman" w:eastAsia="方正仿宋_GBK"/>
          <w:b/>
          <w:sz w:val="24"/>
        </w:rPr>
        <w:t xml:space="preserve">邳州变规划分析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2025年本站最大正向、反向净负荷分别为69.39 MW、0.00 MW。在同一需求下，刚性方案当年主变容量为111.50 MVA、储能额定功率0.00 MW，弹性方案分别为111.50 MVA和0.00 MW，两类方案本站主变总容量相同。弹性方案按当年各站局部极值计算的站级负载率为66%。</w:t>
      </w:r>
    </w:p>
    <w:p>
      <w:pPr>
        <w:pStyle w:val="2"/>
        <w:keepNext/>
        <w:spacing w:line="280" w:lineRule="exact" w:before="120" w:after="80"/>
        <w:ind w:firstLine="0"/>
        <w:jc w:val="center"/>
      </w:pPr>
      <w:r>
        <w:rPr>
          <w:rFonts w:ascii="Times New Roman" w:hAnsi="Times New Roman" w:eastAsia="宋体"/>
          <w:b w:val="0"/>
          <w:sz w:val="21"/>
        </w:rPr>
        <w:t xml:space="preserve">表5-24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MW，转接后净负荷为67.97 MW，区域最低净负荷工况下为11.99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MVA，两代表工况重新转供后的本站净负荷分别为29.93 MW、11.99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四年校核截面中，本站绝对功率最大的工况出现在2025年，转接前为69.39 MW，主要表现为正向受电需求，该年设备在最大单台主变N-1后剩余容量为31.50 MVA。故障方式下本站转出39.46 MW、承接0.00 MW，其中与二庙变之间的主要转出功率为11.23 MW，转接后净负荷为29.93 MW。这一工况通过邻站分担本站故障后的正向负荷。</w:t>
      </w:r>
    </w:p>
    <w:p>
      <w:pPr>
        <w:pStyle w:val="7"/>
        <w:keepNext/>
        <w:numPr>
          <w:numId w:val="0"/>
        </w:numPr>
        <w:spacing w:line="360" w:lineRule="exact" w:before="160" w:after="120"/>
        <w:ind w:firstLine="0"/>
      </w:pPr>
      <w:bookmarkStart w:id="225" w:name="宿羊山变规划分析"/>
      <w:r>
        <w:rPr>
          <w:rFonts w:ascii="Times New Roman" w:hAnsi="Times New Roman" w:eastAsia="方正仿宋_GBK"/>
          <w:b/>
          <w:sz w:val="24"/>
        </w:rPr>
        <w:t xml:space="preserve">宿羊山变规划分析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MVA，弹性方案四年均保留该组合，并于2025年新增1.10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2025年本站最大正向、反向净负荷分别为61.43 MW、30.80 MW。在同一需求下，刚性方案当年主变容量为71.50 MVA、储能额定功率1.10 MW，弹性方案分别为71.50 MVA和1.10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表5-25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MW，转接后净负荷为61.43 MW，区域最低净负荷工况下为-22.13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MVA，两代表工况重新转供后的本站净负荷分别为30.82 MW、-22.13 MW，两方向最小容量余量为0.00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四年校核截面中，本站绝对功率最大的工况出现在2025年，转接前为61.43 MW，主要表现为正向受电需求，该年设备在最大单台主变N-1后剩余容量为31.50 MVA。故障方式下本站转出30.60 MW、承接0.00 MW，其中与大宋变之间的主要转出功率为25.18 MW，转接后净负荷为30.82 MW。这一工况通过邻站分担本站故障后的正向负荷。</w:t>
      </w:r>
    </w:p>
    <w:p>
      <w:pPr>
        <w:pStyle w:val="7"/>
        <w:keepNext/>
        <w:numPr>
          <w:numId w:val="0"/>
        </w:numPr>
        <w:spacing w:line="360" w:lineRule="exact" w:before="160" w:after="120"/>
        <w:ind w:firstLine="0"/>
      </w:pPr>
      <w:bookmarkStart w:id="226" w:name="铁富变规划分析"/>
      <w:r>
        <w:rPr>
          <w:rFonts w:ascii="Times New Roman" w:hAnsi="Times New Roman" w:eastAsia="方正仿宋_GBK"/>
          <w:b/>
          <w:sz w:val="24"/>
        </w:rPr>
        <w:t xml:space="preserve">铁富变规划分析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MVA，弹性方案2022年31.5 MVA更换为63 MVA，40 MVA更换为63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2025年本站最大正向、反向净负荷分别为84.82 MW、57.21 MW。在同一需求下，刚性方案当年主变容量为126.00 MVA、储能额定功率0.00 MW，弹性方案分别为126.00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表5-26 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MW，转接后净负荷为82.17 MW，区域最低净负荷工况下为-52.21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MW、-52.21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四年校核截面中，本站绝对功率最大的工况出现在2025年，转接前为84.82 MW，主要表现为正向受电需求，该年设备在最大单台主变N-1后剩余容量为63.00 MVA。故障方式下本站转出24.97 MW、承接0.00 MW，其中与汶河变之间的主要转出功率为8.27 MW，转接后净负荷为59.85 MW。这一工况通过邻站分担本站故障后的正向负荷。</w:t>
      </w:r>
    </w:p>
    <w:p>
      <w:pPr>
        <w:pStyle w:val="7"/>
        <w:keepNext/>
        <w:numPr>
          <w:numId w:val="0"/>
        </w:numPr>
        <w:spacing w:line="360" w:lineRule="exact" w:before="160" w:after="120"/>
        <w:ind w:firstLine="0"/>
      </w:pPr>
      <w:bookmarkStart w:id="227" w:name="土山变规划分析"/>
      <w:r>
        <w:rPr>
          <w:rFonts w:ascii="Times New Roman" w:hAnsi="Times New Roman" w:eastAsia="方正仿宋_GBK"/>
          <w:b/>
          <w:sz w:val="24"/>
        </w:rPr>
        <w:t xml:space="preserve">土山变规划分析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MVA，弹性方案2022年20 MVA更换为50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2025年本站最大正向、反向净负荷分别为39.87 MW、37.65 MW。在同一需求下，刚性方案当年主变容量为100.00 MVA、储能额定功率0.00 MW，弹性方案分别为100.00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表5-27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MW，转接后净负荷为39.87 MW，区域最低净负荷工况下为-36.41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MVA，两代表工况重新转供后的本站净负荷分别为39.87 MW、-36.41 MW，两方向最小容量余量为7.63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四年校核截面中，本站绝对功率最大的工况出现在2025年，转接前为39.87 MW，主要表现为正向受电需求，该年设备在最大单台主变N-1后剩余容量为50.00 MVA。该工况本站由剩余主变满足承载要求。</w:t>
      </w:r>
    </w:p>
    <w:p>
      <w:pPr>
        <w:pStyle w:val="7"/>
        <w:keepNext/>
        <w:numPr>
          <w:numId w:val="0"/>
        </w:numPr>
        <w:spacing w:line="360" w:lineRule="exact" w:before="160" w:after="120"/>
        <w:ind w:firstLine="0"/>
      </w:pPr>
      <w:bookmarkStart w:id="228" w:name="汶河变规划分析"/>
      <w:r>
        <w:rPr>
          <w:rFonts w:ascii="Times New Roman" w:hAnsi="Times New Roman" w:eastAsia="方正仿宋_GBK"/>
          <w:b/>
          <w:sz w:val="24"/>
        </w:rPr>
        <w:t xml:space="preserve">汶河变规划分析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MVA，弹性方案2022年20 MVA更换为31.5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2025年本站最大正向、反向净负荷分别为25.93 MW、28.94 MW。在同一需求下，刚性方案当年主变容量为63.00 MVA、储能额定功率0.00 MW，弹性方案分别为63.00 MVA和0.00 MW，两类方案本站主变总容量相同。弹性方案按当年各站局部极值计算的站级负载率为48%。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表5-28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MW，转接后净负荷为22.81 MW，区域最低净负荷工况下为-27.24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MVA，两代表工况重新转供后的本站净负荷分别为22.81 MW、-27.24 MW，两方向最小容量余量为2.69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四年校核截面中，本站绝对功率最大的工况出现在2025年，转接前为-28.94 MW，主要表现为反向输送需求，该年设备在最大单台主变N-1后剩余容量为31.50 MVA。该工况本站由剩余主变满足承载要求。</w:t>
      </w:r>
    </w:p>
    <w:p>
      <w:pPr>
        <w:pStyle w:val="7"/>
        <w:keepNext/>
        <w:numPr>
          <w:numId w:val="0"/>
        </w:numPr>
        <w:spacing w:line="360" w:lineRule="exact" w:before="160" w:after="120"/>
        <w:ind w:firstLine="0"/>
      </w:pPr>
      <w:bookmarkStart w:id="229" w:name="吴闸变规划分析"/>
      <w:r>
        <w:rPr>
          <w:rFonts w:ascii="Times New Roman" w:hAnsi="Times New Roman" w:eastAsia="方正仿宋_GBK"/>
          <w:b/>
          <w:sz w:val="24"/>
        </w:rPr>
        <w:t xml:space="preserve">吴闸变规划分析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2025年本站最大正向、反向净负荷分别为50.21 MW、0.00 MW。在同一需求下，刚性方案当年主变容量为70.00 MVA、储能额定功率0.00 MW，弹性方案分别为70.00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表5-29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MW，转接后净负荷为48.18 MW，区域最低净负荷工况下为2.19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MW、2.19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四年校核截面中，本站绝对功率最大的工况出现在2025年，转接前为50.21 MW，主要表现为正向受电需求，该年设备在最大单台主变N-1后剩余容量为20.00 MVA。故障方式下本站转出31.21 MW、承接0.00 MW，其中与二庙变之间的主要转出功率为15.19 MW，转接后净负荷为19.00 MW。这一工况通过邻站分担本站故障后的正向负荷。</w:t>
      </w:r>
    </w:p>
    <w:p>
      <w:pPr>
        <w:pStyle w:val="7"/>
        <w:keepNext/>
        <w:numPr>
          <w:numId w:val="0"/>
        </w:numPr>
        <w:spacing w:line="360" w:lineRule="exact" w:before="160" w:after="120"/>
        <w:ind w:firstLine="0"/>
      </w:pPr>
      <w:bookmarkStart w:id="230" w:name="邢楼变规划分析"/>
      <w:r>
        <w:rPr>
          <w:rFonts w:ascii="Times New Roman" w:hAnsi="Times New Roman" w:eastAsia="方正仿宋_GBK"/>
          <w:b/>
          <w:sz w:val="24"/>
        </w:rPr>
        <w:t xml:space="preserve">邢楼变规划分析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MVA，弹性方案2022年扩建第三台50 MVA主变，供电任务由主变及网络承担。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2025年本站最大正向、反向净负荷分别为19.20 MW、35.38 MW。在同一需求下，刚性方案当年主变容量为113.00 MVA、储能额定功率1.10 MW，弹性方案分别为90.00 MVA和0.00 MW，弹性方案本站容量减少23.00 MVA。弹性方案按当年各站局部极值计算的站级负载率为41%。</w:t>
      </w:r>
    </w:p>
    <w:p>
      <w:pPr>
        <w:pStyle w:val="2"/>
        <w:keepNext/>
        <w:spacing w:line="280" w:lineRule="exact" w:before="120" w:after="80"/>
        <w:ind w:firstLine="0"/>
        <w:jc w:val="center"/>
      </w:pPr>
      <w:r>
        <w:rPr>
          <w:rFonts w:ascii="Times New Roman" w:hAnsi="Times New Roman" w:eastAsia="宋体"/>
          <w:b w:val="0"/>
          <w:sz w:val="21"/>
        </w:rPr>
        <w:t xml:space="preserve">表5-30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MW，转接后净负荷为15.68 MW，区域最低净负荷工况下为-29.65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MVA，两代表工况重新转供后的本站净负荷分别为15.68 MW、-29.65 MW，两方向最小容量余量为8.35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四年校核截面中，本站绝对功率最大的工况出现在2025年，转接前为-35.38 MW，主要表现为反向输送需求，该年设备在最大单台主变N-1后剩余容量为40.00 MVA。该工况本站由剩余主变满足承载要求。</w:t>
      </w:r>
    </w:p>
    <w:p>
      <w:pPr>
        <w:pStyle w:val="7"/>
        <w:keepNext/>
        <w:numPr>
          <w:numId w:val="0"/>
        </w:numPr>
        <w:spacing w:line="360" w:lineRule="exact" w:before="160" w:after="120"/>
        <w:ind w:firstLine="0"/>
      </w:pPr>
      <w:bookmarkStart w:id="231" w:name="兴塘变规划分析"/>
      <w:r>
        <w:rPr>
          <w:rFonts w:ascii="Times New Roman" w:hAnsi="Times New Roman" w:eastAsia="方正仿宋_GBK"/>
          <w:b/>
          <w:sz w:val="24"/>
        </w:rPr>
        <w:t xml:space="preserve">兴塘变规划分析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MVA，弹性方案2022年20 MVA更换为31.5 MVA，20 MVA更换为31.5 MVA，并于2025年新增0.80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2025年本站最大正向、反向净负荷分别为39.15 MW、30.66 MW。在同一需求下，刚性方案当年主变容量为40.00 MVA、储能额定功率11.70 MW，弹性方案分别为63.00 MVA和0.80 MW，弹性方案本站增加23.00 MVA容量。弹性方案按当年各站局部极值计算的站级负载率为65%。</w:t>
      </w:r>
    </w:p>
    <w:p>
      <w:pPr>
        <w:pStyle w:val="2"/>
        <w:keepNext/>
        <w:spacing w:line="280" w:lineRule="exact" w:before="120" w:after="80"/>
        <w:ind w:firstLine="0"/>
        <w:jc w:val="center"/>
      </w:pPr>
      <w:r>
        <w:rPr>
          <w:rFonts w:ascii="Times New Roman" w:hAnsi="Times New Roman" w:eastAsia="宋体"/>
          <w:b w:val="0"/>
          <w:sz w:val="21"/>
        </w:rPr>
        <w:t xml:space="preserve">表5-31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MW，转接后净负荷为39.15 MW，区域最低净负荷工况下为-30.66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按最大单台主变N-1校核，本站剩余容量为31.50 MVA，两代表工况重新转供后的本站净负荷分别为30.58 MW、-30.66 MW，两方向最小容量余量为0.00 MW，正向储能有效支撑功率为0.65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四年校核截面中，本站绝对功率最大的工况出现在2025年，转接前为39.15 MW，主要表现为正向受电需求，该年设备在最大单台主变N-1后剩余容量为31.50 MVA。故障方式下本站转出8.57 MW、承接0.00 MW，其中与议堂变之间的主要转出功率为4.84 MW，转接后净负荷为30.58 MW。这一工况通过邻站分担本站故障后的正向负荷。</w:t>
      </w:r>
    </w:p>
    <w:p>
      <w:pPr>
        <w:pStyle w:val="7"/>
        <w:keepNext/>
        <w:numPr>
          <w:numId w:val="0"/>
        </w:numPr>
        <w:spacing w:line="360" w:lineRule="exact" w:before="160" w:after="120"/>
        <w:ind w:firstLine="0"/>
      </w:pPr>
      <w:bookmarkStart w:id="232" w:name="议堂变规划分析"/>
      <w:r>
        <w:rPr>
          <w:rFonts w:ascii="Times New Roman" w:hAnsi="Times New Roman" w:eastAsia="方正仿宋_GBK"/>
          <w:b/>
          <w:sz w:val="24"/>
        </w:rPr>
        <w:t xml:space="preserve">议堂变规划分析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2025年本站最大正向、反向净负荷分别为34.43 MW、22.89 MW。在同一需求下，刚性方案当年主变容量为70.00 MVA、储能额定功率0.00 MW，弹性方案分别为70.00 MVA和0.00 MW，两类方案本站主变总容量相同。弹性方案按当年各站局部极值计算的站级负载率为52%。</w:t>
      </w:r>
    </w:p>
    <w:p>
      <w:pPr>
        <w:pStyle w:val="2"/>
        <w:keepNext/>
        <w:spacing w:line="280" w:lineRule="exact" w:before="120" w:after="80"/>
        <w:ind w:firstLine="0"/>
        <w:jc w:val="center"/>
      </w:pPr>
      <w:r>
        <w:rPr>
          <w:rFonts w:ascii="Times New Roman" w:hAnsi="Times New Roman" w:eastAsia="宋体"/>
          <w:b w:val="0"/>
          <w:sz w:val="21"/>
        </w:rPr>
        <w:t xml:space="preserve">表5-32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MW、承接7.65 MW，转接后净负荷为42.08 MW，区域最低净负荷工况下为-21.58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四年校核截面中，本站绝对功率最大的工况出现在2025年，转接前为34.43 MW，主要表现为正向受电需求，该年设备在最大单台主变N-1后剩余容量为20.00 MVA。故障方式下本站转出15.43 MW、承接0.00 MW，其中与河湾变之间的主要转出功率为15.43 MW，转接后净负荷为19.00 MW。这一工况通过邻站分担本站故障后的正向负荷。</w:t>
      </w:r>
    </w:p>
    <w:p>
      <w:pPr>
        <w:pStyle w:val="2"/>
        <w:widowControl/>
        <w:spacing w:line="348" w:lineRule="exact" w:before="0" w:after="0"/>
        <w:ind w:firstLine="480"/>
        <w:jc w:val="both"/>
      </w:pPr>
      <w:r>
        <w:rPr>
          <w:rFonts w:ascii="Times New Roman" w:hAnsi="Times New Roman" w:eastAsia="方正仿宋_GBK"/>
          <w:b w:val="0"/>
          <w:sz w:val="24"/>
        </w:rPr>
        <w:t xml:space="preserve">将各站初始与2025年两类方案的最大单台主变N-1剩余有功能力并列，可以观察设备补强的空间位置。部分站点两类方案的剩余能力接近，差异更多体现为配储和网络使用；另一些站点通过两台共同升档或扩建第三台提高故障后的剩余能力。图中能力只按当站主变组合及0.95功率因数折算，运行可承担负荷还应叠加相应储能和网络支援。逐站叙述中的建设差异由此能够对应到具体的供电安全能力变化。</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518211"/>
            <wp:effectExtent b="0" l="0" r="0" t="0"/>
            <wp:docPr descr="" title="" id="1" name="Picture"/>
            <a:graphic>
              <a:graphicData uri="http://schemas.openxmlformats.org/drawingml/2006/picture">
                <pic:pic>
                  <pic:nvPicPr>
                    <pic:cNvPr descr="研究报告/02图表/当前版/pizhou_station_n1.png" id="0" name="Picture"/>
                    <pic:cNvPicPr>
                      <a:picLocks noChangeArrowheads="1" noChangeAspect="1"/>
                    </pic:cNvPicPr>
                  </pic:nvPicPr>
                  <pic:blipFill>
                    <a:blip r:embed="rId233"/>
                    <a:stretch>
                      <a:fillRect/>
                    </a:stretch>
                  </pic:blipFill>
                  <pic:spPr bwMode="auto">
                    <a:xfrm>
                      <a:off x="0" y="0"/>
                      <a:ext cx="5120640" cy="451821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图5-8 邳州逐站初始与2025年方案的N-1剩余主变能力</w:t>
      </w:r>
    </w:p>
    <w:p>
      <w:pPr>
        <w:pStyle w:val="5"/>
        <w:keepNext/>
        <w:numPr>
          <w:numId w:val="0"/>
        </w:numPr>
        <w:spacing w:line="390" w:lineRule="exact" w:before="160" w:after="120"/>
        <w:ind w:firstLine="0"/>
      </w:pPr>
      <w:bookmarkStart w:id="234" w:name="市区逐站规划方案"/>
      <w:r>
        <w:rPr>
          <w:rFonts w:ascii="Times New Roman" w:hAnsi="Times New Roman" w:eastAsia="方正仿宋_GBK"/>
          <w:b/>
          <w:sz w:val="26"/>
        </w:rPr>
        <w:t xml:space="preserve">5.4.6 市区逐站规划方案</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35" w:name="大黄山变规划分析"/>
      <w:r>
        <w:rPr>
          <w:rFonts w:ascii="Times New Roman" w:hAnsi="Times New Roman" w:eastAsia="方正仿宋_GBK"/>
          <w:b/>
          <w:sz w:val="24"/>
        </w:rPr>
        <w:t xml:space="preserve">大黄山变规划分析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2025年本站最大正向、反向净负荷分别为32.29 MW、35.73 MW。在同一需求下，刚性方案当年主变容量为103.00 MVA、储能额定功率0.00 MW，弹性方案分别为103.00 MVA和0.00 MW，两类方案本站主变总容量相同。弹性方案按当年各站局部极值计算的站级负载率为37%。</w:t>
      </w:r>
    </w:p>
    <w:p>
      <w:pPr>
        <w:pStyle w:val="2"/>
        <w:keepNext/>
        <w:spacing w:line="280" w:lineRule="exact" w:before="120" w:after="80"/>
        <w:ind w:firstLine="0"/>
        <w:jc w:val="center"/>
      </w:pPr>
      <w:r>
        <w:rPr>
          <w:rFonts w:ascii="Times New Roman" w:hAnsi="Times New Roman" w:eastAsia="宋体"/>
          <w:b w:val="0"/>
          <w:sz w:val="21"/>
        </w:rPr>
        <w:t xml:space="preserve">表5-33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MW，区域最低净负荷工况下为-32.17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MVA，两代表工况重新转供后的本站净负荷分别为30.59 MW、-32.17 MW，两方向最小容量余量为5.83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四年校核截面中，本站绝对功率最大的工况出现在2023年，转接前为-36.05 MW，主要表现为反向输送需求，该年设备在最大单台主变N-1后剩余容量为40.00 MVA。该工况本站由剩余主变满足承载要求。</w:t>
      </w:r>
    </w:p>
    <w:p>
      <w:pPr>
        <w:pStyle w:val="7"/>
        <w:keepNext/>
        <w:numPr>
          <w:numId w:val="0"/>
        </w:numPr>
        <w:spacing w:line="360" w:lineRule="exact" w:before="160" w:after="120"/>
        <w:ind w:firstLine="0"/>
      </w:pPr>
      <w:bookmarkStart w:id="236" w:name="大庙变规划分析"/>
      <w:r>
        <w:rPr>
          <w:rFonts w:ascii="Times New Roman" w:hAnsi="Times New Roman" w:eastAsia="方正仿宋_GBK"/>
          <w:b/>
          <w:sz w:val="24"/>
        </w:rPr>
        <w:t xml:space="preserve">大庙变规划分析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2025年本站最大正向、反向净负荷分别为70.32 MW、8.70 MW。在同一需求下，刚性方案当年主变容量为90.00 MVA、储能额定功率0.00 MW，弹性方案分别为90.00 MVA和0.00 MW，两类方案本站主变总容量相同。弹性方案按当年各站局部极值计算的站级负载率为82%。</w:t>
      </w:r>
    </w:p>
    <w:p>
      <w:pPr>
        <w:pStyle w:val="2"/>
        <w:keepNext/>
        <w:spacing w:line="280" w:lineRule="exact" w:before="120" w:after="80"/>
        <w:ind w:firstLine="0"/>
        <w:jc w:val="center"/>
      </w:pPr>
      <w:r>
        <w:rPr>
          <w:rFonts w:ascii="Times New Roman" w:hAnsi="Times New Roman" w:eastAsia="宋体"/>
          <w:b w:val="0"/>
          <w:sz w:val="21"/>
        </w:rPr>
        <w:t xml:space="preserve">表5-34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MW，转接后净负荷为69.73 MW，区域最低净负荷工况下为1.68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四年校核截面中，本站绝对功率最大的工况出现在2023年，转接前为70.93 MW，主要表现为正向受电需求，该年设备在最大单台主变N-1后剩余容量为40.00 MVA。故障方式下本站转出32.93 MW、承接0.00 MW，其中与龙湖变之间的主要转出功率为13.08 MW，转接后净负荷为38.00 MW。这一工况通过邻站分担本站故障后的正向负荷。</w:t>
      </w:r>
    </w:p>
    <w:p>
      <w:pPr>
        <w:pStyle w:val="7"/>
        <w:keepNext/>
        <w:numPr>
          <w:numId w:val="0"/>
        </w:numPr>
        <w:spacing w:line="360" w:lineRule="exact" w:before="160" w:after="120"/>
        <w:ind w:firstLine="0"/>
      </w:pPr>
      <w:bookmarkStart w:id="237" w:name="堤北变规划分析"/>
      <w:r>
        <w:rPr>
          <w:rFonts w:ascii="Times New Roman" w:hAnsi="Times New Roman" w:eastAsia="方正仿宋_GBK"/>
          <w:b/>
          <w:sz w:val="24"/>
        </w:rPr>
        <w:t xml:space="preserve">堤北变规划分析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2025年本站最大正向、反向净负荷分别为102.93 MW、0.00 MW。在同一需求下，刚性方案当年主变容量为126.00 MVA、储能额定功率0.00 MW，弹性方案分别为126.00 MVA和0.00 MW，两类方案本站主变总容量相同。弹性方案按当年各站局部极值计算的站级负载率为86%。</w:t>
      </w:r>
    </w:p>
    <w:p>
      <w:pPr>
        <w:pStyle w:val="2"/>
        <w:keepNext/>
        <w:spacing w:line="280" w:lineRule="exact" w:before="120" w:after="80"/>
        <w:ind w:firstLine="0"/>
        <w:jc w:val="center"/>
      </w:pPr>
      <w:r>
        <w:rPr>
          <w:rFonts w:ascii="Times New Roman" w:hAnsi="Times New Roman" w:eastAsia="宋体"/>
          <w:b w:val="0"/>
          <w:sz w:val="21"/>
        </w:rPr>
        <w:t xml:space="preserve">表5-35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MW，转接后净负荷为100.47 MW，区域最低净负荷工况下为32.89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MW、32.89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四年校核截面中，本站绝对功率最大的工况出现在2023年，转接前为103.83 MW，主要表现为正向受电需求，该年设备在最大单台主变N-1后剩余容量为63.00 MVA。故障方式下本站转出43.98 MW、承接0.00 MW，其中与彭场变之间的主要转出功率为25.50 MW，转接后净负荷为59.85 MW。这一工况通过邻站分担本站故障后的正向负荷。</w:t>
      </w:r>
    </w:p>
    <w:p>
      <w:pPr>
        <w:pStyle w:val="7"/>
        <w:keepNext/>
        <w:numPr>
          <w:numId w:val="0"/>
        </w:numPr>
        <w:spacing w:line="360" w:lineRule="exact" w:before="160" w:after="120"/>
        <w:ind w:firstLine="0"/>
      </w:pPr>
      <w:bookmarkStart w:id="238" w:name="翟山变规划分析"/>
      <w:r>
        <w:rPr>
          <w:rFonts w:ascii="Times New Roman" w:hAnsi="Times New Roman" w:eastAsia="方正仿宋_GBK"/>
          <w:b/>
          <w:sz w:val="24"/>
        </w:rPr>
        <w:t xml:space="preserve">翟山变规划分析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该站初始主变组合为40+80 MVA，弹性方案2022年40 MVA更换为63 MVA，供电任务由主变及网络承担。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2025年本站最大正向、反向净负荷分别为95.63 MW、0.00 MW。在同一需求下，刚性方案当年主变容量为120.00 MVA、储能额定功率0.00 MW，弹性方案分别为143.00 MVA和0.00 MW，弹性方案本站增加23.00 MVA容量。弹性方案按当年各站局部极值计算的站级负载率为70%。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表5-36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MW，转接后净负荷为87.01 MW，区域最低净负荷工况下为26.76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MW、26.76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四年校核截面中，本站绝对功率最大的工况出现在2023年，转接前为96.46 MW，主要表现为正向受电需求，该年设备在最大单台主变N-1后剩余容量为63.00 MVA。故障方式下本站转出36.61 MW、承接0.00 MW，其中与古彭变之间的主要转出功率为27.51 MW，转接后净负荷为59.85 MW。这一工况通过邻站分担本站故障后的正向负荷。</w:t>
      </w:r>
    </w:p>
    <w:p>
      <w:pPr>
        <w:pStyle w:val="7"/>
        <w:keepNext/>
        <w:numPr>
          <w:numId w:val="0"/>
        </w:numPr>
        <w:spacing w:line="360" w:lineRule="exact" w:before="160" w:after="120"/>
        <w:ind w:firstLine="0"/>
      </w:pPr>
      <w:bookmarkStart w:id="239" w:name="古彭变规划分析"/>
      <w:r>
        <w:rPr>
          <w:rFonts w:ascii="Times New Roman" w:hAnsi="Times New Roman" w:eastAsia="方正仿宋_GBK"/>
          <w:b/>
          <w:sz w:val="24"/>
        </w:rPr>
        <w:t xml:space="preserve">古彭变规划分析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2025年本站最大正向、反向净负荷分别为84.10 MW、0.00 MW。在同一需求下，刚性方案当年主变容量为130.00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表5-37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MW，转接后净负荷为60.03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MW、24.10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四年校核截面中，本站绝对功率最大的工况出现在2023年，转接前为84.84 MW，主要表现为正向受电需求，该年设备在最大单台主变N-1后剩余容量为50.00 MVA。故障方式下本站转出37.34 MW、承接0.00 MW，其中与吴庄变之间的主要转出功率为19.58 MW，转接后净负荷为47.50 MW。这一工况通过邻站分担本站故障后的正向负荷。</w:t>
      </w:r>
    </w:p>
    <w:p>
      <w:pPr>
        <w:pStyle w:val="7"/>
        <w:keepNext/>
        <w:numPr>
          <w:numId w:val="0"/>
        </w:numPr>
        <w:spacing w:line="360" w:lineRule="exact" w:before="160" w:after="120"/>
        <w:ind w:firstLine="0"/>
      </w:pPr>
      <w:bookmarkStart w:id="240" w:name="花园变规划分析"/>
      <w:r>
        <w:rPr>
          <w:rFonts w:ascii="Times New Roman" w:hAnsi="Times New Roman" w:eastAsia="方正仿宋_GBK"/>
          <w:b/>
          <w:sz w:val="24"/>
        </w:rPr>
        <w:t xml:space="preserve">花园变规划分析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2025年本站最大正向、反向净负荷分别为63.57 MW、0.00 MW。在同一需求下，刚性方案当年主变容量为80.00 MVA、储能额定功率0.00 MW，弹性方案分别为80.00 MVA和0.00 MW，两类方案本站主变总容量相同。弹性方案按当年各站局部极值计算的站级负载率为84%。</w:t>
      </w:r>
    </w:p>
    <w:p>
      <w:pPr>
        <w:pStyle w:val="2"/>
        <w:keepNext/>
        <w:spacing w:line="280" w:lineRule="exact" w:before="120" w:after="80"/>
        <w:ind w:firstLine="0"/>
        <w:jc w:val="center"/>
      </w:pPr>
      <w:r>
        <w:rPr>
          <w:rFonts w:ascii="Times New Roman" w:hAnsi="Times New Roman" w:eastAsia="宋体"/>
          <w:b w:val="0"/>
          <w:sz w:val="21"/>
        </w:rPr>
        <w:t xml:space="preserve">表5-38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MW，转接后净负荷为49.60 MW，区域最低净负荷工况下为19.62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MW、19.62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四年校核截面中，本站绝对功率最大的工况出现在2023年，转接前为64.13 MW，主要表现为正向受电需求，该年设备在最大单台主变N-1后剩余容量为40.00 MVA。故障方式下本站转出26.13 MW、承接0.00 MW，其中与拾屯变之间的主要转出功率为22.94 MW，转接后净负荷为38.00 MW。这一工况通过邻站分担本站故障后的正向负荷。</w:t>
      </w:r>
    </w:p>
    <w:p>
      <w:pPr>
        <w:pStyle w:val="7"/>
        <w:keepNext/>
        <w:numPr>
          <w:numId w:val="0"/>
        </w:numPr>
        <w:spacing w:line="360" w:lineRule="exact" w:before="160" w:after="120"/>
        <w:ind w:firstLine="0"/>
      </w:pPr>
      <w:bookmarkStart w:id="241" w:name="惠民变规划分析"/>
      <w:r>
        <w:rPr>
          <w:rFonts w:ascii="Times New Roman" w:hAnsi="Times New Roman" w:eastAsia="方正仿宋_GBK"/>
          <w:b/>
          <w:sz w:val="24"/>
        </w:rPr>
        <w:t xml:space="preserve">惠民变规划分析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2025年本站最大正向、反向净负荷分别为85.29 MW、0.00 MW。在同一需求下，刚性方案当年主变容量为103.00 MVA、储能额定功率0.00 MW，弹性方案分别为103.00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表5-39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MW，转接后净负荷为74.38 MW，区域最低净负荷工况下为24.04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MW、24.04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四年校核截面中，本站绝对功率最大的工况出现在2023年，转接前为86.03 MW，主要表现为正向受电需求，该年设备在最大单台主变N-1后剩余容量为40.00 MVA。故障方式下本站转出48.03 MW、承接0.00 MW，其中与大庙变之间的主要转出功率为28.84 MW，转接后净负荷为38.00 MW。这一工况通过邻站分担本站故障后的正向负荷。</w:t>
      </w:r>
    </w:p>
    <w:p>
      <w:pPr>
        <w:pStyle w:val="7"/>
        <w:keepNext/>
        <w:numPr>
          <w:numId w:val="0"/>
        </w:numPr>
        <w:spacing w:line="360" w:lineRule="exact" w:before="160" w:after="120"/>
        <w:ind w:firstLine="0"/>
      </w:pPr>
      <w:bookmarkStart w:id="242" w:name="夹河变规划分析"/>
      <w:r>
        <w:rPr>
          <w:rFonts w:ascii="Times New Roman" w:hAnsi="Times New Roman" w:eastAsia="方正仿宋_GBK"/>
          <w:b/>
          <w:sz w:val="24"/>
        </w:rPr>
        <w:t xml:space="preserve">夹河变规划分析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2025年本站最大正向、反向净负荷分别为46.06 MW、6.81 MW。在同一需求下，刚性方案当年主变容量为80.00 MVA、储能额定功率0.00 MW，弹性方案分别为80.00 MVA和0.00 MW，两类方案本站主变总容量相同。弹性方案按当年各站局部极值计算的站级负载率为61%。</w:t>
      </w:r>
    </w:p>
    <w:p>
      <w:pPr>
        <w:pStyle w:val="2"/>
        <w:keepNext/>
        <w:spacing w:line="280" w:lineRule="exact" w:before="120" w:after="80"/>
        <w:ind w:firstLine="0"/>
        <w:jc w:val="center"/>
      </w:pPr>
      <w:r>
        <w:rPr>
          <w:rFonts w:ascii="Times New Roman" w:hAnsi="Times New Roman" w:eastAsia="宋体"/>
          <w:b w:val="0"/>
          <w:sz w:val="21"/>
        </w:rPr>
        <w:t xml:space="preserve">表5-40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MW，转接后净负荷为46.06 MW，区域最低净负荷工况下为-6.81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MW、-6.81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四年校核截面中，本站绝对功率最大的工况出现在2023年，转接前为46.47 MW，主要表现为正向受电需求，该年设备在最大单台主变N-1后剩余容量为40.00 MVA。故障方式下本站转出8.47 MW、承接0.00 MW，其中与开元变之间的主要转出功率为8.47 MW，转接后净负荷为38.00 MW。这一工况通过邻站分担本站故障后的正向负荷。</w:t>
      </w:r>
    </w:p>
    <w:p>
      <w:pPr>
        <w:pStyle w:val="7"/>
        <w:keepNext/>
        <w:numPr>
          <w:numId w:val="0"/>
        </w:numPr>
        <w:spacing w:line="360" w:lineRule="exact" w:before="160" w:after="120"/>
        <w:ind w:firstLine="0"/>
      </w:pPr>
      <w:bookmarkStart w:id="243" w:name="开元变规划分析"/>
      <w:r>
        <w:rPr>
          <w:rFonts w:ascii="Times New Roman" w:hAnsi="Times New Roman" w:eastAsia="方正仿宋_GBK"/>
          <w:b/>
          <w:sz w:val="24"/>
        </w:rPr>
        <w:t xml:space="preserve">开元变规划分析</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2025年本站最大正向、反向净负荷分别为56.24 MW、0.00 MW。在同一需求下，刚性方案当年主变容量为103.00 MVA、储能额定功率0.00 MW，弹性方案分别为103.00 MVA和0.00 MW，两类方案本站主变总容量相同。弹性方案按当年各站局部极值计算的站级负载率为57%。</w:t>
      </w:r>
    </w:p>
    <w:p>
      <w:pPr>
        <w:pStyle w:val="2"/>
        <w:keepNext/>
        <w:spacing w:line="280" w:lineRule="exact" w:before="120" w:after="80"/>
        <w:ind w:firstLine="0"/>
        <w:jc w:val="center"/>
      </w:pPr>
      <w:r>
        <w:rPr>
          <w:rFonts w:ascii="Times New Roman" w:hAnsi="Times New Roman" w:eastAsia="宋体"/>
          <w:b w:val="0"/>
          <w:sz w:val="21"/>
        </w:rPr>
        <w:t xml:space="preserve">表5-41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MW、承接8.57 MW，转接后净负荷为64.81 MW，区域最低净负荷工况下为13.51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MW、13.51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四年校核截面中，本站绝对功率最大的工况出现在2023年，转接前为56.73 MW，主要表现为正向受电需求，该年设备在最大单台主变N-1后剩余容量为40.00 MVA。故障方式下本站转出18.73 MW、承接0.00 MW，其中与翟山变之间的主要转出功率为18.73 MW，转接后净负荷为38.00 MW。这一工况通过邻站分担本站故障后的正向负荷。</w:t>
      </w:r>
    </w:p>
    <w:p>
      <w:pPr>
        <w:pStyle w:val="7"/>
        <w:keepNext/>
        <w:numPr>
          <w:numId w:val="0"/>
        </w:numPr>
        <w:spacing w:line="360" w:lineRule="exact" w:before="160" w:after="120"/>
        <w:ind w:firstLine="0"/>
      </w:pPr>
      <w:bookmarkStart w:id="244" w:name="奎山变规划分析"/>
      <w:r>
        <w:rPr>
          <w:rFonts w:ascii="Times New Roman" w:hAnsi="Times New Roman" w:eastAsia="方正仿宋_GBK"/>
          <w:b/>
          <w:sz w:val="24"/>
        </w:rPr>
        <w:t xml:space="preserve">奎山变规划分析</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2025年本站最大正向、反向净负荷分别为83.73 MW、0.00 MW。在同一需求下，刚性方案当年主变容量为130.00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表5-42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78.52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MW、承接15.55 MW，转接后净负荷为86.99 MW，区域最低净负荷工况下为22.48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MW、22.48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四年校核截面中，本站绝对功率最大的工况出现在2023年，转接前为84.47 MW，主要表现为正向受电需求，该年设备在最大单台主变N-1后剩余容量为50.00 MVA。故障方式下本站转出36.97 MW、承接0.00 MW，其中与升辉变之间的主要转出功率为13.08 MW，转接后净负荷为47.50 MW。这一工况通过邻站分担本站故障后的正向负荷。</w:t>
      </w:r>
    </w:p>
    <w:p>
      <w:pPr>
        <w:pStyle w:val="7"/>
        <w:keepNext/>
        <w:numPr>
          <w:numId w:val="0"/>
        </w:numPr>
        <w:spacing w:line="360" w:lineRule="exact" w:before="160" w:after="120"/>
        <w:ind w:firstLine="0"/>
      </w:pPr>
      <w:bookmarkStart w:id="245" w:name="刘湾变规划分析"/>
      <w:r>
        <w:rPr>
          <w:rFonts w:ascii="Times New Roman" w:hAnsi="Times New Roman" w:eastAsia="方正仿宋_GBK"/>
          <w:b/>
          <w:sz w:val="24"/>
        </w:rPr>
        <w:t xml:space="preserve">刘湾变规划分析</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2025年本站最大正向、反向净负荷分别为71.22 MW、13.31 MW。在同一需求下，刚性方案当年主变容量为90.00 MVA、储能额定功率0.00 MW，弹性方案分别为90.00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表5-43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MW，转接后净负荷为60.43 MW，区域最低净负荷工况下为2.04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四年校核截面中，本站绝对功率最大的工况出现在2023年，转接前为71.84 MW，主要表现为正向受电需求，该年设备在最大单台主变N-1后剩余容量为40.00 MVA。故障方式下本站转出33.84 MW、承接0.00 MW，其中与石桥变之间的主要转出功率为33.84 MW，转接后净负荷为38.00 MW。这一工况通过邻站分担本站故障后的正向负荷。</w:t>
      </w:r>
    </w:p>
    <w:p>
      <w:pPr>
        <w:pStyle w:val="7"/>
        <w:keepNext/>
        <w:numPr>
          <w:numId w:val="0"/>
        </w:numPr>
        <w:spacing w:line="360" w:lineRule="exact" w:before="160" w:after="120"/>
        <w:ind w:firstLine="0"/>
      </w:pPr>
      <w:bookmarkStart w:id="246" w:name="龙湖变规划分析"/>
      <w:r>
        <w:rPr>
          <w:rFonts w:ascii="Times New Roman" w:hAnsi="Times New Roman" w:eastAsia="方正仿宋_GBK"/>
          <w:b/>
          <w:sz w:val="24"/>
        </w:rPr>
        <w:t xml:space="preserve">龙湖变规划分析</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2025年本站最大正向、反向净负荷分别为31.83 MW、0.00 MW。在同一需求下，刚性方案当年主变容量为80.00 MVA、储能额定功率0.00 MW，弹性方案分别为80.00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表5-44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MW，转接后净负荷为28.53 MW，区域最低净负荷工况下为9.38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MVA，两代表工况重新转供后的本站净负荷分别为28.53 MW、9.38 MW，两方向最小容量余量为9.47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四年校核截面中，本站绝对功率最大的工况出现在2023年，转接前为32.11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47" w:name="庞庄变规划分析"/>
      <w:r>
        <w:rPr>
          <w:rFonts w:ascii="Times New Roman" w:hAnsi="Times New Roman" w:eastAsia="方正仿宋_GBK"/>
          <w:b/>
          <w:sz w:val="24"/>
        </w:rPr>
        <w:t xml:space="preserve">庞庄变规划分析</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2025年本站最大正向、反向净负荷分别为11.20 MW、7.08 MW。在同一需求下，刚性方案当年主变容量为80.00 MVA、储能额定功率0.00 MW，弹性方案分别为80.00 MVA和0.00 MW，两类方案本站主变总容量相同。弹性方案按当年各站局部极值计算的站级负载率为15%。</w:t>
      </w:r>
    </w:p>
    <w:p>
      <w:pPr>
        <w:pStyle w:val="2"/>
        <w:keepNext/>
        <w:spacing w:line="280" w:lineRule="exact" w:before="120" w:after="80"/>
        <w:ind w:firstLine="0"/>
        <w:jc w:val="center"/>
      </w:pPr>
      <w:r>
        <w:rPr>
          <w:rFonts w:ascii="Times New Roman" w:hAnsi="Times New Roman" w:eastAsia="宋体"/>
          <w:b w:val="0"/>
          <w:sz w:val="21"/>
        </w:rPr>
        <w:t xml:space="preserve">表5-45 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MW，转接后净负荷为9.50 MW，区域最低净负荷工况下为-6.87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MVA，两代表工况重新转供后的本站净负荷分别为9.50 MW、-6.87 MW，两方向最小容量余量为28.50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四年校核截面中，本站绝对功率最大的工况出现在2023年，转接前为11.30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48" w:name="彭场变规划分析"/>
      <w:r>
        <w:rPr>
          <w:rFonts w:ascii="Times New Roman" w:hAnsi="Times New Roman" w:eastAsia="方正仿宋_GBK"/>
          <w:b/>
          <w:sz w:val="24"/>
        </w:rPr>
        <w:t xml:space="preserve">彭场变规划分析</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2025年本站最大正向、反向净负荷分别为64.92 MW、0.00 MW。在同一需求下，刚性方案当年主变容量为90.00 MVA、储能额定功率0.00 MW，弹性方案分别为90.00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表5-46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MW，转接后净负荷为55.66 MW，区域最低净负荷工况下为7.76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MW、7.76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四年校核截面中，本站绝对功率最大的工况出现在2023年，转接前为65.49 MW，主要表现为正向受电需求，该年设备在最大单台主变N-1后剩余容量为40.00 MVA。故障方式下本站转出27.49 MW、承接0.00 MW，其中与庆云桥变之间的主要转出功率为12.88 MW，转接后净负荷为38.00 MW。这一工况通过邻站分担本站故障后的正向负荷。</w:t>
      </w:r>
    </w:p>
    <w:p>
      <w:pPr>
        <w:pStyle w:val="7"/>
        <w:keepNext/>
        <w:numPr>
          <w:numId w:val="0"/>
        </w:numPr>
        <w:spacing w:line="360" w:lineRule="exact" w:before="160" w:after="120"/>
        <w:ind w:firstLine="0"/>
      </w:pPr>
      <w:bookmarkStart w:id="249" w:name="庆云桥变规划分析"/>
      <w:r>
        <w:rPr>
          <w:rFonts w:ascii="Times New Roman" w:hAnsi="Times New Roman" w:eastAsia="方正仿宋_GBK"/>
          <w:b/>
          <w:sz w:val="24"/>
        </w:rPr>
        <w:t xml:space="preserve">庆云桥变规划分析</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2025年本站最大正向、反向净负荷分别为65.76 MW、0.00 MW。在同一需求下，刚性方案当年主变容量为80.00 MVA、储能额定功率0.00 MW，弹性方案分别为80.00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表5-47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MW，转接后净负荷为58.45 MW，区域最低净负荷工况下为17.85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MW、17.85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四年校核截面中，本站绝对功率最大的工况出现在2023年，转接前为66.34 MW，主要表现为正向受电需求，该年设备在最大单台主变N-1后剩余容量为40.00 MVA。故障方式下本站转出28.34 MW、承接0.00 MW，其中与古彭变之间的主要转出功率为27.51 MW，转接后净负荷为38.00 MW。这一工况通过邻站分担本站故障后的正向负荷。</w:t>
      </w:r>
    </w:p>
    <w:p>
      <w:pPr>
        <w:pStyle w:val="7"/>
        <w:keepNext/>
        <w:numPr>
          <w:numId w:val="0"/>
        </w:numPr>
        <w:spacing w:line="360" w:lineRule="exact" w:before="160" w:after="120"/>
        <w:ind w:firstLine="0"/>
      </w:pPr>
      <w:bookmarkStart w:id="250" w:name="山南变规划分析"/>
      <w:r>
        <w:rPr>
          <w:rFonts w:ascii="Times New Roman" w:hAnsi="Times New Roman" w:eastAsia="方正仿宋_GBK"/>
          <w:b/>
          <w:sz w:val="24"/>
        </w:rPr>
        <w:t xml:space="preserve">山南变规划分析</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2025年本站最大正向、反向净负荷分别为5.80 MW、0.00 MW。在同一需求下，刚性方案当年主变容量为80.00 MVA、储能额定功率0.00 MW，弹性方案分别为80.00 MVA和0.00 MW，两类方案本站主变总容量相同。弹性方案按当年各站局部极值计算的站级负载率为8%。</w:t>
      </w:r>
    </w:p>
    <w:p>
      <w:pPr>
        <w:pStyle w:val="2"/>
        <w:keepNext/>
        <w:spacing w:line="280" w:lineRule="exact" w:before="120" w:after="80"/>
        <w:ind w:firstLine="0"/>
        <w:jc w:val="center"/>
      </w:pPr>
      <w:r>
        <w:rPr>
          <w:rFonts w:ascii="Times New Roman" w:hAnsi="Times New Roman" w:eastAsia="宋体"/>
          <w:b w:val="0"/>
          <w:sz w:val="21"/>
        </w:rPr>
        <w:t xml:space="preserve">表5-48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MW，转接后净负荷为5.80 MW，区域最低净负荷工况下为0.64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MVA，两代表工况重新转供后的本站净负荷分别为5.80 MW、0.64 MW，两方向最小容量余量为32.20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四年校核截面中，本站绝对功率最大的工况出现在2023年，转接前为5.85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51" w:name="升辉变规划分析"/>
      <w:r>
        <w:rPr>
          <w:rFonts w:ascii="Times New Roman" w:hAnsi="Times New Roman" w:eastAsia="方正仿宋_GBK"/>
          <w:b/>
          <w:sz w:val="24"/>
        </w:rPr>
        <w:t xml:space="preserve">升辉变规划分析</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该站初始主变组合为80+80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2025年本站最大正向、反向净负荷分别为38.35 MW、0.00 MW。在同一需求下，刚性方案当年主变容量为160.00 MVA、储能额定功率0.00 MW，弹性方案分别为160.00 MVA和0.00 MW，两类方案本站主变总容量相同。弹性方案按当年各站局部极值计算的站级负载率为25%。</w:t>
      </w:r>
    </w:p>
    <w:p>
      <w:pPr>
        <w:pStyle w:val="2"/>
        <w:keepNext/>
        <w:spacing w:line="280" w:lineRule="exact" w:before="120" w:after="80"/>
        <w:ind w:firstLine="0"/>
        <w:jc w:val="center"/>
      </w:pPr>
      <w:r>
        <w:rPr>
          <w:rFonts w:ascii="Times New Roman" w:hAnsi="Times New Roman" w:eastAsia="宋体"/>
          <w:b w:val="0"/>
          <w:sz w:val="21"/>
        </w:rPr>
        <w:t xml:space="preserve">表5-49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MW，转接后净负荷为28.55 MW，区域最低净负荷工况下为11.59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按最大单台主变N-1校核，本站剩余容量为80.00 MVA，两代表工况重新转供后的本站净负荷分别为28.55 MW、11.59 MW，两方向最小容量余量为47.45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四年校核截面中，本站绝对功率最大的工况出现在2023年，转接前为38.68 MW，主要表现为正向受电需求，该年设备在最大单台主变N-1后剩余容量为80.00 MVA。该工况本站由剩余主变满足承载要求。</w:t>
      </w:r>
    </w:p>
    <w:p>
      <w:pPr>
        <w:pStyle w:val="7"/>
        <w:keepNext/>
        <w:numPr>
          <w:numId w:val="0"/>
        </w:numPr>
        <w:spacing w:line="360" w:lineRule="exact" w:before="160" w:after="120"/>
        <w:ind w:firstLine="0"/>
      </w:pPr>
      <w:bookmarkStart w:id="252" w:name="石桥变规划分析"/>
      <w:r>
        <w:rPr>
          <w:rFonts w:ascii="Times New Roman" w:hAnsi="Times New Roman" w:eastAsia="方正仿宋_GBK"/>
          <w:b/>
          <w:sz w:val="24"/>
        </w:rPr>
        <w:t xml:space="preserve">石桥变规划分析</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2025年本站最大正向、反向净负荷分别为110.02 MW、10.95 MW。在同一需求下，刚性方案当年主变容量为143.00 MVA、储能额定功率0.00 MW，弹性方案分别为143.00 MVA和0.00 MW，两类方案本站主变总容量相同。弹性方案按当年各站局部极值计算的站级负载率为81%。</w:t>
      </w:r>
    </w:p>
    <w:p>
      <w:pPr>
        <w:pStyle w:val="2"/>
        <w:keepNext/>
        <w:spacing w:line="280" w:lineRule="exact" w:before="120" w:after="80"/>
        <w:ind w:firstLine="0"/>
        <w:jc w:val="center"/>
      </w:pPr>
      <w:r>
        <w:rPr>
          <w:rFonts w:ascii="Times New Roman" w:hAnsi="Times New Roman" w:eastAsia="宋体"/>
          <w:b w:val="0"/>
          <w:sz w:val="21"/>
        </w:rPr>
        <w:t xml:space="preserve">表5-50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MW，转接后净负荷为103.71 MW，区域最低净负荷工况下为2.91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MW、2.91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四年校核截面中，本站绝对功率最大的工况出现在2023年，转接前为110.98 MW，主要表现为正向受电需求，该年设备在最大单台主变N-1后剩余容量为63.00 MVA。故障方式下本站转出51.13 MW、承接0.00 MW，其中与刘湾变之间的主要转出功率为19.00 MW，转接后净负荷为59.85 MW。这一工况通过邻站分担本站故障后的正向负荷。</w:t>
      </w:r>
    </w:p>
    <w:p>
      <w:pPr>
        <w:pStyle w:val="7"/>
        <w:keepNext/>
        <w:numPr>
          <w:numId w:val="0"/>
        </w:numPr>
        <w:spacing w:line="360" w:lineRule="exact" w:before="160" w:after="120"/>
        <w:ind w:firstLine="0"/>
      </w:pPr>
      <w:bookmarkStart w:id="253" w:name="拾屯变规划分析"/>
      <w:r>
        <w:rPr>
          <w:rFonts w:ascii="Times New Roman" w:hAnsi="Times New Roman" w:eastAsia="方正仿宋_GBK"/>
          <w:b/>
          <w:sz w:val="24"/>
        </w:rPr>
        <w:t xml:space="preserve">拾屯变规划分析</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2025年本站最大正向、反向净负荷分别为73.47 MW、0.00 MW。在同一需求下，刚性方案当年主变容量为80.00 MVA、储能额定功率0.00 MW，弹性方案分别为80.00 MVA和0.00 MW，两类方案本站主变总容量相同。弹性方案按当年各站局部极值计算的站级负载率为97%。</w:t>
      </w:r>
    </w:p>
    <w:p>
      <w:pPr>
        <w:pStyle w:val="2"/>
        <w:keepNext/>
        <w:spacing w:line="280" w:lineRule="exact" w:before="120" w:after="80"/>
        <w:ind w:firstLine="0"/>
        <w:jc w:val="center"/>
      </w:pPr>
      <w:r>
        <w:rPr>
          <w:rFonts w:ascii="Times New Roman" w:hAnsi="Times New Roman" w:eastAsia="宋体"/>
          <w:b w:val="0"/>
          <w:sz w:val="21"/>
        </w:rPr>
        <w:t xml:space="preserve">表5-51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MW，转接后净负荷为72.26 MW，区域最低净负荷工况下为4.74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MW、4.74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四年校核截面中，本站绝对功率最大的工况出现在2023年，转接前为74.11 MW，主要表现为正向受电需求，该年设备在最大单台主变N-1后剩余容量为40.00 MVA。故障方式下本站转出36.11 MW、承接0.00 MW，其中与彭场变之间的主要转出功率为25.50 MW，转接后净负荷为38.00 MW。这一工况通过邻站分担本站故障后的正向负荷。</w:t>
      </w:r>
    </w:p>
    <w:p>
      <w:pPr>
        <w:pStyle w:val="7"/>
        <w:keepNext/>
        <w:numPr>
          <w:numId w:val="0"/>
        </w:numPr>
        <w:spacing w:line="360" w:lineRule="exact" w:before="160" w:after="120"/>
        <w:ind w:firstLine="0"/>
      </w:pPr>
      <w:bookmarkStart w:id="254" w:name="统一变规划分析"/>
      <w:r>
        <w:rPr>
          <w:rFonts w:ascii="Times New Roman" w:hAnsi="Times New Roman" w:eastAsia="方正仿宋_GBK"/>
          <w:b/>
          <w:sz w:val="24"/>
        </w:rPr>
        <w:t xml:space="preserve">统一变规划分析</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2025年本站最大正向、反向净负荷分别为92.94 MW、0.00 MW。在同一需求下，刚性方案当年主变容量为80.00 MVA、储能额定功率0.00 MW，弹性方案分别为80.00 MVA和0.00 MW，两类方案本站主变总容量相同。弹性方案按当年各站局部极值计算的站级负载率为122%。</w:t>
      </w:r>
    </w:p>
    <w:p>
      <w:pPr>
        <w:pStyle w:val="2"/>
        <w:keepNext/>
        <w:spacing w:line="280" w:lineRule="exact" w:before="120" w:after="80"/>
        <w:ind w:firstLine="0"/>
        <w:jc w:val="center"/>
      </w:pPr>
      <w:r>
        <w:rPr>
          <w:rFonts w:ascii="Times New Roman" w:hAnsi="Times New Roman" w:eastAsia="宋体"/>
          <w:b w:val="0"/>
          <w:sz w:val="21"/>
        </w:rPr>
        <w:t xml:space="preserve">表5-52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2025年区域正向峰值正常工况下，本站转出15.55 MW、承接0.00 MW，转接后净负荷为76.00 MW，区域最低净负荷工况下为14.84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MW、14.84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四年校核截面中，本站绝对功率最大的工况出现在2023年，转接前为93.76 MW，主要表现为正向受电需求，该年设备在最大单台主变N-1后剩余容量为40.00 MVA。故障方式下本站转出55.76 MW、承接0.00 MW，其中与奎山变之间的主要转出功率为32.73 MW，转接后净负荷为38.00 MW。这一工况通过邻站分担本站故障后的正向负荷。</w:t>
      </w:r>
    </w:p>
    <w:p>
      <w:pPr>
        <w:pStyle w:val="7"/>
        <w:keepNext/>
        <w:numPr>
          <w:numId w:val="0"/>
        </w:numPr>
        <w:spacing w:line="360" w:lineRule="exact" w:before="160" w:after="120"/>
        <w:ind w:firstLine="0"/>
      </w:pPr>
      <w:bookmarkStart w:id="255" w:name="吴庄变规划分析"/>
      <w:r>
        <w:rPr>
          <w:rFonts w:ascii="Times New Roman" w:hAnsi="Times New Roman" w:eastAsia="方正仿宋_GBK"/>
          <w:b/>
          <w:sz w:val="24"/>
        </w:rPr>
        <w:t xml:space="preserve">吴庄变规划分析</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2025年本站最大正向、反向净负荷分别为103.02 MW、0.00 MW。在同一需求下，刚性方案当年主变容量为130.00 MVA、储能额定功率0.00 MW，弹性方案分别为130.00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表5-53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MW，转接后净负荷为96.47 MW，区域最低净负荷工况下为31.10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按最大单台主变N-1校核，本站剩余容量为50.00 MVA，两代表工况重新转供后的本站净负荷分别为47.50 MW、31.10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四年校核截面中，本站绝对功率最大的工况出现在2023年，转接前为103.92 MW，主要表现为正向受电需求，该年设备在最大单台主变N-1后剩余容量为50.00 MVA。故障方式下本站转出56.42 MW、承接0.00 MW，其中与夹河变之间的主要转出功率为21.11 MW，转接后净负荷为47.50 MW。这一工况通过邻站分担本站故障后的正向负荷。</w:t>
      </w:r>
    </w:p>
    <w:p>
      <w:pPr>
        <w:pStyle w:val="7"/>
        <w:keepNext/>
        <w:numPr>
          <w:numId w:val="0"/>
        </w:numPr>
        <w:spacing w:line="360" w:lineRule="exact" w:before="160" w:after="120"/>
        <w:ind w:firstLine="0"/>
      </w:pPr>
      <w:bookmarkStart w:id="256" w:name="西郊变规划分析"/>
      <w:r>
        <w:rPr>
          <w:rFonts w:ascii="Times New Roman" w:hAnsi="Times New Roman" w:eastAsia="方正仿宋_GBK"/>
          <w:b/>
          <w:sz w:val="24"/>
        </w:rPr>
        <w:t xml:space="preserve">西郊变规划分析</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2025年本站最大正向、反向净负荷分别为128.27 MW、0.00 MW。在同一需求下，刚性方案当年主变容量为126.00 MVA、储能额定功率0.00 MW，弹性方案分别为126.00 MVA和0.00 MW，两类方案本站主变总容量相同。弹性方案按当年各站局部极值计算的站级负载率为107%。</w:t>
      </w:r>
    </w:p>
    <w:p>
      <w:pPr>
        <w:pStyle w:val="2"/>
        <w:keepNext/>
        <w:spacing w:line="280" w:lineRule="exact" w:before="120" w:after="80"/>
        <w:ind w:firstLine="0"/>
        <w:jc w:val="center"/>
      </w:pPr>
      <w:r>
        <w:rPr>
          <w:rFonts w:ascii="Times New Roman" w:hAnsi="Times New Roman" w:eastAsia="宋体"/>
          <w:b w:val="0"/>
          <w:sz w:val="21"/>
        </w:rPr>
        <w:t xml:space="preserve">表5-54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2025年区域正向峰值正常工况下，本站转出8.57 MW、承接0.00 MW，转接后净负荷为119.70 MW，区域最低净负荷工况下为32.04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MVA，两代表工况重新转供后的本站净负荷分别为59.85 MW、32.04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四年校核截面中，本站绝对功率最大的工况出现在2023年，转接前为129.39 MW，主要表现为正向受电需求，该年设备在最大单台主变N-1后剩余容量为63.00 MVA。故障方式下本站转出69.54 MW、承接0.00 MW，其中与开元变之间的主要转出功率为25.77 MW，转接后净负荷为59.85 MW。这一工况通过邻站分担本站故障后的正向负荷。</w:t>
      </w:r>
    </w:p>
    <w:p>
      <w:pPr>
        <w:pStyle w:val="7"/>
        <w:keepNext/>
        <w:numPr>
          <w:numId w:val="0"/>
        </w:numPr>
        <w:spacing w:line="360" w:lineRule="exact" w:before="160" w:after="120"/>
        <w:ind w:firstLine="0"/>
      </w:pPr>
      <w:bookmarkStart w:id="257" w:name="祥和变规划分析"/>
      <w:r>
        <w:rPr>
          <w:rFonts w:ascii="Times New Roman" w:hAnsi="Times New Roman" w:eastAsia="方正仿宋_GBK"/>
          <w:b/>
          <w:sz w:val="24"/>
        </w:rPr>
        <w:t xml:space="preserve">祥和变规划分析</w:t>
      </w:r>
      <w:bookmarkEnd w:id="25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2025年本站最大正向、反向净负荷分别为19.37 MW、0.00 MW。在同一需求下，刚性方案当年主变容量为90.00 MVA、储能额定功率0.00 MW，弹性方案分别为90.00 MVA和0.00 MW，两类方案本站主变总容量相同。弹性方案按当年各站局部极值计算的站级负载率为23%。</w:t>
      </w:r>
    </w:p>
    <w:p>
      <w:pPr>
        <w:pStyle w:val="2"/>
        <w:keepNext/>
        <w:spacing w:line="280" w:lineRule="exact" w:before="120" w:after="80"/>
        <w:ind w:firstLine="0"/>
        <w:jc w:val="center"/>
      </w:pPr>
      <w:r>
        <w:rPr>
          <w:rFonts w:ascii="Times New Roman" w:hAnsi="Times New Roman" w:eastAsia="宋体"/>
          <w:b w:val="0"/>
          <w:sz w:val="21"/>
        </w:rPr>
        <w:t xml:space="preserve">表5-55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MW，转接后净负荷为19.35 MW，区域最低净负荷工况下为5.17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MVA，两代表工况重新转供后的本站净负荷分别为19.35 MW、5.17 MW，两方向最小容量余量为18.65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四年校核截面中，本站绝对功率最大的工况出现在2023年，转接前为19.54 MW，主要表现为正向受电需求，该年设备在最大单台主变N-1后剩余容量为40.00 MVA。该工况本站由剩余主变满足承载要求。</w:t>
      </w:r>
    </w:p>
    <w:p>
      <w:pPr>
        <w:pStyle w:val="7"/>
        <w:keepNext/>
        <w:numPr>
          <w:numId w:val="0"/>
        </w:numPr>
        <w:spacing w:line="360" w:lineRule="exact" w:before="160" w:after="120"/>
        <w:ind w:firstLine="0"/>
      </w:pPr>
      <w:bookmarkStart w:id="258" w:name="响山变规划分析"/>
      <w:r>
        <w:rPr>
          <w:rFonts w:ascii="Times New Roman" w:hAnsi="Times New Roman" w:eastAsia="方正仿宋_GBK"/>
          <w:b/>
          <w:sz w:val="24"/>
        </w:rPr>
        <w:t xml:space="preserve">响山变规划分析</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2025年本站最大正向、反向净负荷分别为53.11 MW、0.00 MW。在同一需求下，刚性方案当年主变容量为80.00 MVA、储能额定功率0.00 MW，弹性方案分别为80.00 MVA和0.00 MW，两类方案本站主变总容量相同。弹性方案按当年各站局部极值计算的站级负载率为70%。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表5-56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MW，转接后净负荷为53.11 MW，区域最低净负荷工况下为11.38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MVA，两代表工况重新转供后的本站净负荷分别为38.00 MW、11.38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四年校核截面中，本站绝对功率最大的工况出现在2023年，转接前为53.58 MW，主要表现为正向受电需求，该年设备在最大单台主变N-1后剩余容量为40.00 MVA。故障方式下本站转出15.58 MW、承接0.00 MW，其中与奎山变之间的主要转出功率为15.58 MW，转接后净负荷为38.00 MW。这一工况通过邻站分担本站故障后的正向负荷。</w:t>
      </w:r>
    </w:p>
    <w:p>
      <w:pPr>
        <w:pStyle w:val="7"/>
        <w:keepNext/>
        <w:numPr>
          <w:numId w:val="0"/>
        </w:numPr>
        <w:spacing w:line="360" w:lineRule="exact" w:before="160" w:after="120"/>
        <w:ind w:firstLine="0"/>
      </w:pPr>
      <w:bookmarkStart w:id="259" w:name="玉潭变规划分析"/>
      <w:r>
        <w:rPr>
          <w:rFonts w:ascii="Times New Roman" w:hAnsi="Times New Roman" w:eastAsia="方正仿宋_GBK"/>
          <w:b/>
          <w:sz w:val="24"/>
        </w:rPr>
        <w:t xml:space="preserve">玉潭变规划分析</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2025年本站最大正向、反向净负荷分别为45.03 MW、0.00 MW。在同一需求下，刚性方案当年主变容量为126.00 MVA、储能额定功率0.00 MW，弹性方案分别为126.00 MVA和0.00 MW，两类方案本站主变总容量相同。弹性方案按当年各站局部极值计算的站级负载率为38%。</w:t>
      </w:r>
    </w:p>
    <w:p>
      <w:pPr>
        <w:pStyle w:val="2"/>
        <w:keepNext/>
        <w:spacing w:line="280" w:lineRule="exact" w:before="120" w:after="80"/>
        <w:ind w:firstLine="0"/>
        <w:jc w:val="center"/>
      </w:pPr>
      <w:r>
        <w:rPr>
          <w:rFonts w:ascii="Times New Roman" w:hAnsi="Times New Roman" w:eastAsia="宋体"/>
          <w:b w:val="0"/>
          <w:sz w:val="21"/>
        </w:rPr>
        <w:t xml:space="preserve">表5-57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MW，转接后净负荷为45.03 MW，区域最低净负荷工况下为9.12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按最大单台主变N-1校核，本站剩余容量为63.00 MVA，两代表工况重新转供后的本站净负荷分别为45.03 MW、9.12 MW，两方向最小容量余量为14.82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四年校核截面中，本站绝对功率最大的工况出现在2023年，转接前为45.42 MW，主要表现为正向受电需求，该年设备在最大单台主变N-1后剩余容量为63.00 MVA。该工况本站由剩余主变满足承载要求。</w:t>
      </w:r>
    </w:p>
    <w:p>
      <w:pPr>
        <w:pStyle w:val="7"/>
        <w:keepNext/>
        <w:numPr>
          <w:numId w:val="0"/>
        </w:numPr>
        <w:spacing w:line="360" w:lineRule="exact" w:before="160" w:after="120"/>
        <w:ind w:firstLine="0"/>
      </w:pPr>
      <w:bookmarkStart w:id="260" w:name="茱萸变规划分析"/>
      <w:r>
        <w:rPr>
          <w:rFonts w:ascii="Times New Roman" w:hAnsi="Times New Roman" w:eastAsia="方正仿宋_GBK"/>
          <w:b/>
          <w:sz w:val="24"/>
        </w:rPr>
        <w:t xml:space="preserve">茱萸变规划分析</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MVA，弹性方案四年均保留该组合，供电任务由主变及网络承担。</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2025年本站最大正向、反向净负荷分别为16.47 MW、5.61 MW。在同一需求下，刚性方案当年主变容量为80.00 MVA、储能额定功率0.00 MW，弹性方案分别为80.00 MVA和0.00 MW，两类方案本站主变总容量相同。弹性方案按当年各站局部极值计算的站级负载率为22%。</w:t>
      </w:r>
    </w:p>
    <w:p>
      <w:pPr>
        <w:pStyle w:val="2"/>
        <w:keepNext/>
        <w:spacing w:line="280" w:lineRule="exact" w:before="120" w:after="80"/>
        <w:ind w:firstLine="0"/>
        <w:jc w:val="center"/>
      </w:pPr>
      <w:r>
        <w:rPr>
          <w:rFonts w:ascii="Times New Roman" w:hAnsi="Times New Roman" w:eastAsia="宋体"/>
          <w:b w:val="0"/>
          <w:sz w:val="21"/>
        </w:rPr>
        <w:t xml:space="preserve">表5-58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MW，转接后净负荷为11.51 MW，区域最低净负荷工况下为-4.81 MW。</w:t>
      </w:r>
    </w:p>
    <w:p>
      <w:pPr>
        <w:pStyle w:val="2"/>
        <w:widowControl/>
        <w:spacing w:line="348" w:lineRule="exact" w:before="0" w:after="0"/>
        <w:ind w:firstLine="480"/>
        <w:jc w:val="both"/>
      </w:pPr>
      <w:r>
        <w:rPr>
          <w:rFonts w:ascii="Times New Roman" w:hAnsi="Times New Roman" w:eastAsia="方正仿宋_GBK"/>
          <w:b w:val="0"/>
          <w:sz w:val="24"/>
        </w:rPr>
        <w:t xml:space="preserve">按最大单台主变N-1校核，本站剩余容量为40.00 MVA，两代表工况重新转供后的本站净负荷分别为11.51 MW、-4.81 MW，两方向最小容量余量为26.49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四年校核截面中，本站绝对功率最大的工况出现在2023年，转接前为16.61 MW，主要表现为正向受电需求，该年设备在最大单台主变N-1后剩余容量为40.00 MVA。该工况本站由剩余主变满足承载要求。</w:t>
      </w:r>
    </w:p>
    <w:p>
      <w:pPr>
        <w:pStyle w:val="2"/>
        <w:widowControl/>
        <w:spacing w:line="348" w:lineRule="exact" w:before="0" w:after="0"/>
        <w:ind w:firstLine="480"/>
        <w:jc w:val="both"/>
      </w:pPr>
      <w:r>
        <w:rPr>
          <w:rFonts w:ascii="Times New Roman" w:hAnsi="Times New Roman" w:eastAsia="方正仿宋_GBK"/>
          <w:b w:val="0"/>
          <w:sz w:val="24"/>
        </w:rPr>
        <w:t xml:space="preserve">市区多数站点保留初始主变，弹性方案对翟山变的更换集中提高该站故障后剩余能力。区域总容量只增加23 MVA，但该站最大80 MVA主变停运后的剩余容量由40 MVA增至63 MVA，按0.95功率因数折算，增加21.85 MW有功能力。站内措施与已有联络共同承担局部高峰，图中其余站点的主变余量则构成网络支援的基础。逐站能力图与前述配置表配合，用于解释局部补强怎样形成地区方案差异。</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96416"/>
            <wp:effectExtent b="0" l="0" r="0" t="0"/>
            <wp:docPr descr="" title="" id="1" name="Picture"/>
            <a:graphic>
              <a:graphicData uri="http://schemas.openxmlformats.org/drawingml/2006/picture">
                <pic:pic>
                  <pic:nvPicPr>
                    <pic:cNvPr descr="研究报告/02图表/当前版/city_station_n1.png" id="0" name="Picture"/>
                    <pic:cNvPicPr>
                      <a:picLocks noChangeArrowheads="1" noChangeAspect="1"/>
                    </pic:cNvPicPr>
                  </pic:nvPicPr>
                  <pic:blipFill>
                    <a:blip r:embed="rId261"/>
                    <a:stretch>
                      <a:fillRect/>
                    </a:stretch>
                  </pic:blipFill>
                  <pic:spPr bwMode="auto">
                    <a:xfrm>
                      <a:off x="0" y="0"/>
                      <a:ext cx="5120640" cy="479641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图5-9 市区逐站初始与2025年方案的N-1剩余主变能力</w:t>
      </w:r>
    </w:p>
    <w:p>
      <w:pPr>
        <w:pStyle w:val="5"/>
        <w:keepNext/>
        <w:numPr>
          <w:numId w:val="0"/>
        </w:numPr>
        <w:spacing w:line="390" w:lineRule="exact" w:before="160" w:after="120"/>
        <w:ind w:firstLine="0"/>
      </w:pPr>
      <w:bookmarkStart w:id="262" w:name="年度设备配置与站间差异"/>
      <w:r>
        <w:rPr>
          <w:rFonts w:ascii="Times New Roman" w:hAnsi="Times New Roman" w:eastAsia="方正仿宋_GBK"/>
          <w:b/>
          <w:sz w:val="26"/>
        </w:rPr>
        <w:t xml:space="preserve">5.4.7 年度设备配置与站间差异</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表5-59 2025年站级展示范围内主变台数与配储站数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邳州两类方案均有1座三台主变站，但配储站数及储能规模不同。市区两类方案均保持两台主变的站内结构，弹性方案通过翟山变单台升档提高故障后剩余容量。主变台数只反映设备结构的一部分，同样为两台主变的站，额定规格和最大单台停运后的可用容量仍有差异。各年的具体组合、支援方向和投运变化需结合逐站表确定。</w:t>
      </w:r>
    </w:p>
    <w:p>
      <w:pPr>
        <w:pStyle w:val="2"/>
        <w:widowControl/>
        <w:spacing w:line="348" w:lineRule="exact" w:before="0" w:after="0"/>
        <w:ind w:firstLine="480"/>
        <w:jc w:val="both"/>
      </w:pPr>
      <w:r>
        <w:rPr>
          <w:rFonts w:ascii="Times New Roman" w:hAnsi="Times New Roman" w:eastAsia="方正仿宋_GBK"/>
          <w:b w:val="0"/>
          <w:sz w:val="24"/>
        </w:rPr>
        <w:t xml:space="preserve">同一容载比可以由不同站内设备结构形成，因此区域推荐区间需与主变台数、规格及站间任务对应。逐站比较需求和建设选择后，再归纳区域指标，才能说明新增容量用于哪些站点，以及费用变化来自哪些措施。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5"/>
        <w:keepNext/>
        <w:numPr>
          <w:numId w:val="0"/>
        </w:numPr>
        <w:spacing w:line="390" w:lineRule="exact" w:before="160" w:after="120"/>
        <w:ind w:firstLine="0"/>
      </w:pPr>
      <w:bookmarkStart w:id="263" w:name="保留2021实际容量的方案对照"/>
      <w:r>
        <w:rPr>
          <w:rFonts w:ascii="Times New Roman" w:hAnsi="Times New Roman" w:eastAsia="方正仿宋_GBK"/>
          <w:b/>
          <w:sz w:val="26"/>
        </w:rPr>
        <w:t xml:space="preserve">5.4.8 保留2021实际容量的方案对照</w:t>
      </w:r>
      <w:bookmarkEnd w:id="263"/>
    </w:p>
    <w:p>
      <w:pPr>
        <w:pStyle w:val="FirstParagraph"/>
        <w:widowControl/>
        <w:spacing w:line="348" w:lineRule="exact" w:before="0" w:after="0"/>
        <w:ind w:firstLine="480"/>
        <w:jc w:val="both"/>
      </w:pPr>
      <w:r>
        <w:rPr>
          <w:rFonts w:ascii="Times New Roman" w:hAnsi="Times New Roman" w:eastAsia="方正仿宋_GBK"/>
          <w:b w:val="0"/>
          <w:sz w:val="24"/>
        </w:rPr>
        <w:t xml:space="preserve">在共同仿真起点之外，补充以2021年实际地区总容量为起点的两类方案，邳州2027.00 MVA、市区3113.50 MVA。2021年固定，2022—2025年继续采用相同年度负荷、逐站转供能力、承载约束和经济参数，比较存量容量条件对新增措施的影响。逐站初始组合沿用按地区总容量标定的研究输入。</w:t>
      </w:r>
    </w:p>
    <w:p>
      <w:pPr>
        <w:pStyle w:val="2"/>
        <w:keepNext/>
        <w:spacing w:line="280" w:lineRule="exact" w:before="120" w:after="80"/>
        <w:ind w:firstLine="0"/>
        <w:jc w:val="center"/>
      </w:pPr>
      <w:r>
        <w:rPr>
          <w:rFonts w:ascii="Times New Roman" w:hAnsi="Times New Roman" w:eastAsia="宋体"/>
          <w:b w:val="0"/>
          <w:sz w:val="21"/>
        </w:rPr>
        <w:t xml:space="preserve">表5-60 保留2021实际容量的逐年规划汇总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年末主变/MVA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年末储能/MWh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累计新联络/条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邳州实际容量高于各年负荷的两倍，刚性方案因此保持2027.00 MVA，通过储能和少量联络承担局部正反向需求。其2022年配置122.34 MWh储能，2024年增至144.05 MWh，2025年达到201.24 MWh。弹性方案2022年净增121.50 MVA至2148.50 MVA，随后保持，以站内补强减少局部储能需求，末年储能为7.74 MWh，累计新增联络3条。两者容载比差异随同一年度负荷折算，2025年分别为2.12和2.25。</w:t>
      </w:r>
    </w:p>
    <w:p>
      <w:pPr>
        <w:pStyle w:val="2"/>
        <w:widowControl/>
        <w:spacing w:line="348" w:lineRule="exact" w:before="0" w:after="0"/>
        <w:ind w:firstLine="480"/>
        <w:jc w:val="both"/>
      </w:pPr>
      <w:r>
        <w:rPr>
          <w:rFonts w:ascii="Times New Roman" w:hAnsi="Times New Roman" w:eastAsia="方正仿宋_GBK"/>
          <w:b w:val="0"/>
          <w:sz w:val="24"/>
        </w:rPr>
        <w:t xml:space="preserve">市区两类方案四年均保持3113.50 MVA，无新增主变、储能或联络。原有主变与既有网络已能满足本次静态校核，年度容载比随实际负荷变化，为2.17、2.02、2.15和2.04。零新增费用对应既有设备继续承担供电与转供任务。</w:t>
      </w:r>
    </w:p>
    <w:p>
      <w:pPr>
        <w:pStyle w:val="2"/>
        <w:keepNext/>
        <w:spacing w:line="280" w:lineRule="exact" w:before="120" w:after="80"/>
        <w:ind w:firstLine="0"/>
        <w:jc w:val="center"/>
      </w:pPr>
      <w:r>
        <w:rPr>
          <w:rFonts w:ascii="Times New Roman" w:hAnsi="Times New Roman" w:eastAsia="宋体"/>
          <w:b w:val="0"/>
          <w:sz w:val="21"/>
        </w:rPr>
        <w:t xml:space="preserve">表5-61 保留2021实际容量的方案费用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23753.31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7342.18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弹性方案费用现值分别为23753.31万元和7342.18万元，减少16411.13万元，约69%；市区两类方案新增费用均为零。与共同仿真起点对照可见，地区存量总容量增加后，仍可能存在局部反向或N-1剩余容量不足，新增措施取决于容量的站间分布及网络支援条件。该组结果汇总用于说明起点敏感性。</w:t>
      </w:r>
    </w:p>
    <w:p>
      <w:pPr>
        <w:pStyle w:val="2"/>
        <w:widowControl/>
        <w:spacing w:line="348" w:lineRule="exact" w:before="0" w:after="0"/>
        <w:ind w:firstLine="480"/>
        <w:jc w:val="both"/>
      </w:pPr>
      <w:r>
        <w:rPr>
          <w:rFonts w:ascii="Times New Roman" w:hAnsi="Times New Roman" w:eastAsia="方正仿宋_GBK"/>
          <w:b w:val="0"/>
          <w:sz w:val="24"/>
        </w:rPr>
        <w:t xml:space="preserve">两种初始容量条件的费用并列后，可以观察存量资产对新增工程的影响。市区实际容量起点下的零新增费用，表示既有设备和网络满足本次校核；共同起点则仍需在主变补强与新增联络之间比选。邳州两种起点下均存在局部补强任务，弹性方案通过不同站内配置减少配储。起点变化同时涉及已锁定的逐站设备组合，因此各组结果分别在其共同初态下比较刚性与弹性方案。下图的每个费用值均按对应四年投运批次汇总。</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819425"/>
            <wp:effectExtent b="0" l="0" r="0" t="0"/>
            <wp:docPr descr="" title="" id="1" name="Picture"/>
            <a:graphic>
              <a:graphicData uri="http://schemas.openxmlformats.org/drawingml/2006/picture">
                <pic:pic>
                  <pic:nvPicPr>
                    <pic:cNvPr descr="研究报告/02图表/当前版/initial_capacity_cost_comparison.png" id="0" name="Picture"/>
                    <pic:cNvPicPr>
                      <a:picLocks noChangeArrowheads="1" noChangeAspect="1"/>
                    </pic:cNvPicPr>
                  </pic:nvPicPr>
                  <pic:blipFill>
                    <a:blip r:embed="rId264"/>
                    <a:stretch>
                      <a:fillRect/>
                    </a:stretch>
                  </pic:blipFill>
                  <pic:spPr bwMode="auto">
                    <a:xfrm>
                      <a:off x="0" y="0"/>
                      <a:ext cx="5120640" cy="481942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图5-10 两种初始容量条件下各方案的新增措施费用</w:t>
      </w:r>
    </w:p>
    <w:p>
      <w:pPr>
        <w:pStyle w:val="4"/>
        <w:keepNext/>
        <w:numPr>
          <w:numId w:val="0"/>
        </w:numPr>
        <w:spacing w:line="480" w:lineRule="exact" w:before="160" w:after="120"/>
        <w:ind w:firstLine="0"/>
      </w:pPr>
      <w:bookmarkStart w:id="1999" w:name="h999"/>
      <w:bookmarkStart w:id="265" w:name="措施作用与工程衔接"/>
      <w:r>
        <w:rPr>
          <w:rFonts w:ascii="Times New Roman" w:hAnsi="Times New Roman" w:eastAsia="方正仿宋_GBK"/>
          <w:b/>
          <w:sz w:val="32"/>
        </w:rPr>
        <w:t xml:space="preserve">5.5 措施作用与工程衔接</w:t>
      </w:r>
      <w:bookmarkEnd w:id="265"/>
      <w:bookmarkEnd w:id="1999"/>
    </w:p>
    <w:p>
      <w:pPr>
        <w:pStyle w:val="5"/>
        <w:keepNext/>
        <w:numPr>
          <w:numId w:val="0"/>
        </w:numPr>
        <w:spacing w:line="390" w:lineRule="exact" w:before="160" w:after="120"/>
        <w:ind w:firstLine="0"/>
      </w:pPr>
      <w:bookmarkStart w:id="266" w:name="逐年负荷转接与站间任务"/>
      <w:r>
        <w:rPr>
          <w:rFonts w:ascii="Times New Roman" w:hAnsi="Times New Roman" w:eastAsia="方正仿宋_GBK"/>
          <w:b/>
          <w:sz w:val="26"/>
        </w:rPr>
        <w:t xml:space="preserve">5.5.1 逐年负荷转接与站间任务</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新增线路按建设数量计投资，可转能力受线路及两端设备限制，实际转接功率则由具体运行工况确定，因此三者需分别统计。以下按区域正向峰值与最低净负荷两种正常工况列示网络利用情况。</w:t>
      </w:r>
    </w:p>
    <w:p>
      <w:pPr>
        <w:pStyle w:val="2"/>
        <w:keepNext/>
        <w:spacing w:line="280" w:lineRule="exact" w:before="120" w:after="80"/>
        <w:ind w:firstLine="0"/>
        <w:jc w:val="center"/>
      </w:pPr>
      <w:r>
        <w:rPr>
          <w:rFonts w:ascii="Times New Roman" w:hAnsi="Times New Roman" w:eastAsia="宋体"/>
          <w:b w:val="0"/>
          <w:sz w:val="21"/>
        </w:rPr>
        <w:t xml:space="preserve">表5-62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keepNext/>
        <w:spacing w:line="280" w:lineRule="exact" w:before="120" w:after="80"/>
        <w:ind w:firstLine="0"/>
        <w:jc w:val="center"/>
      </w:pPr>
      <w:r>
        <w:rPr>
          <w:rFonts w:ascii="Times New Roman" w:hAnsi="Times New Roman" w:eastAsia="宋体"/>
          <w:b w:val="0"/>
          <w:sz w:val="21"/>
        </w:rPr>
        <w:t xml:space="preserve">表5-63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67" w:name="主变储能与联络的共同作用"/>
      <w:r>
        <w:rPr>
          <w:rFonts w:ascii="Times New Roman" w:hAnsi="Times New Roman" w:eastAsia="方正仿宋_GBK"/>
          <w:b/>
          <w:sz w:val="26"/>
        </w:rPr>
        <w:t xml:space="preserve">5.5.2 主变、储能与联络的共同作用</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设备选择与站间任务相互衔接。翟山变的更换直接增加最大单台主变N-1后的剩余容量，邢楼变扩建第三台主变改变原有两台小容量主变的组合，保持原设备的站点则结合既有通道安排故障负荷。各站的建设方式由本地源荷、相邻站能力、可扩建位置与工程费用共同确定，区域费用下降最终对应这些具体措施的差异。</w:t>
      </w:r>
    </w:p>
    <w:p>
      <w:pPr>
        <w:pStyle w:val="2"/>
        <w:widowControl/>
        <w:spacing w:line="348" w:lineRule="exact" w:before="0" w:after="0"/>
        <w:ind w:firstLine="480"/>
        <w:jc w:val="both"/>
      </w:pPr>
      <w:r>
        <w:rPr>
          <w:rFonts w:ascii="Times New Roman" w:hAnsi="Times New Roman" w:eastAsia="方正仿宋_GBK"/>
          <w:b w:val="0"/>
          <w:sz w:val="24"/>
        </w:rPr>
        <w:t xml:space="preserve">兴塘变可进一步说明主变对反向吸收任务的替代。2025年同一反向极值截面净负荷为－30.66 MW，刚性方案主变20+20 MVA，最大单台停运后有功能力为19.00 MW，所需储能充电吸收11.66 MW；弹性方案采用31.50+31.50 MVA，剩余有功能力提高至29.93 MW，所需吸收功率降至0.74 MW。对应储能能量分别为25.16 MWh和1.72 MWh，该截面两类方案本站转供均为零，储能减少直接对应站内剩余能力增加。地区总容量同时包含其他站点的调整，逐站剩余容量与同一截面功率平衡共同解释各措施的替代。</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xingtang_reverse_capacity.png" id="0" name="Picture"/>
                    <pic:cNvPicPr>
                      <a:picLocks noChangeArrowheads="1" noChangeAspect="1"/>
                    </pic:cNvPicPr>
                  </pic:nvPicPr>
                  <pic:blipFill>
                    <a:blip r:embed="rId268"/>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图5-11 兴塘变同一反向截面的剩余主变能力与储能吸收任务</w:t>
      </w:r>
    </w:p>
    <w:p>
      <w:pPr>
        <w:pStyle w:val="5"/>
        <w:keepNext/>
        <w:numPr>
          <w:numId w:val="0"/>
        </w:numPr>
        <w:spacing w:line="390" w:lineRule="exact" w:before="160" w:after="120"/>
        <w:ind w:firstLine="0"/>
      </w:pPr>
      <w:bookmarkStart w:id="269" w:name="储能支撑与必要转供量"/>
      <w:r>
        <w:rPr>
          <w:rFonts w:ascii="Times New Roman" w:hAnsi="Times New Roman" w:eastAsia="方正仿宋_GBK"/>
          <w:b/>
          <w:sz w:val="26"/>
        </w:rPr>
        <w:t xml:space="preserve">5.5.3 储能支撑与必要转供量</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邳州正向支撑持续时间为2 h，每柜有效功率0.08170 MW；市区为6 h，每柜约0.02723 MW。邳州弹性方案2025年储能额定功率3.40 MW、额定能量7.31 MWh，刚性方案分别为22.30 MW、47.95 MWh。市区两类方案均通过主变和网络满足本次静态支撑要求。</w:t>
      </w:r>
    </w:p>
    <w:p>
      <w:pPr>
        <w:pStyle w:val="2"/>
        <w:keepNext/>
        <w:spacing w:line="280" w:lineRule="exact" w:before="120" w:after="80"/>
        <w:ind w:firstLine="0"/>
        <w:jc w:val="center"/>
      </w:pPr>
      <w:r>
        <w:rPr>
          <w:rFonts w:ascii="Times New Roman" w:hAnsi="Times New Roman" w:eastAsia="宋体"/>
          <w:b w:val="0"/>
          <w:sz w:val="21"/>
        </w:rPr>
        <w:t xml:space="preserve">表5-64 全部静态工况中的最大必要转供功率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正常既有边/MW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N-1既有边/MW</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61.68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bl>
    <w:p>
      <w:pPr>
        <w:pStyle w:val="2"/>
        <w:widowControl/>
        <w:spacing w:line="348" w:lineRule="exact" w:before="0" w:after="0"/>
        <w:ind w:firstLine="480"/>
        <w:jc w:val="both"/>
      </w:pPr>
      <w:r>
        <w:rPr>
          <w:rFonts w:ascii="Times New Roman" w:hAnsi="Times New Roman" w:eastAsia="方正仿宋_GBK"/>
          <w:b w:val="0"/>
          <w:sz w:val="24"/>
        </w:rPr>
        <w:t xml:space="preserve">注：固定设备后逐工况最小化通道转供功率，分别取正常及N-1工况最大值；总量与既有边列分别取最大值。</w:t>
      </w:r>
    </w:p>
    <w:p>
      <w:pPr>
        <w:pStyle w:val="2"/>
        <w:widowControl/>
        <w:spacing w:line="348" w:lineRule="exact" w:before="0" w:after="0"/>
        <w:ind w:firstLine="480"/>
        <w:jc w:val="both"/>
      </w:pPr>
      <w:r>
        <w:rPr>
          <w:rFonts w:ascii="Times New Roman" w:hAnsi="Times New Roman" w:eastAsia="方正仿宋_GBK"/>
          <w:b w:val="0"/>
          <w:sz w:val="24"/>
        </w:rPr>
        <w:t xml:space="preserve">表中固定设备方案后，遍历全部静态截面及各站最大单台主变N-1，以最小总通道转供功率计算必要转供，分别列出正常及故障方式下的总量与既有边最大值。既有网络支援在正常及故障工况下共同参与容量平衡，新增联络费用由实际建设项目计取。</w:t>
      </w:r>
    </w:p>
    <w:p>
      <w:pPr>
        <w:pStyle w:val="2"/>
        <w:widowControl/>
        <w:spacing w:line="348" w:lineRule="exact" w:before="0" w:after="0"/>
        <w:ind w:firstLine="480"/>
        <w:jc w:val="both"/>
      </w:pPr>
      <w:r>
        <w:rPr>
          <w:rFonts w:ascii="Times New Roman" w:hAnsi="Times New Roman" w:eastAsia="方正仿宋_GBK"/>
          <w:b w:val="0"/>
          <w:sz w:val="24"/>
        </w:rPr>
        <w:t xml:space="preserve">必要转供功率还说明既有网络的作用。市区弹性方案没有新增联络，仍需要在既有逐站额度和通道内安排正常及故障支援；刚性方案的5项新增工程是在相同既有网络基础上增加可用路径。邳州两类方案均建设联络，但储能和主变的站内分布不同，各年的必要转供任务随负荷及投运状态变化。比较新增工程时，应将已有网络提供的支援与新建通道形成的增量分别对应到方案。</w:t>
      </w:r>
    </w:p>
    <w:p>
      <w:pPr>
        <w:pStyle w:val="4"/>
        <w:keepNext/>
        <w:numPr>
          <w:numId w:val="0"/>
        </w:numPr>
        <w:spacing w:line="480" w:lineRule="exact" w:before="160" w:after="120"/>
        <w:ind w:firstLine="0"/>
      </w:pPr>
      <w:bookmarkStart w:id="2019" w:name="h1019"/>
      <w:bookmarkStart w:id="270" w:name="五参数推广矩阵"/>
      <w:r>
        <w:rPr>
          <w:rFonts w:ascii="Times New Roman" w:hAnsi="Times New Roman" w:eastAsia="方正仿宋_GBK"/>
          <w:b/>
          <w:sz w:val="32"/>
        </w:rPr>
        <w:t xml:space="preserve">5.6 五参数推广矩阵</w:t>
      </w:r>
      <w:bookmarkEnd w:id="270"/>
      <w:bookmarkEnd w:id="2019"/>
    </w:p>
    <w:p>
      <w:pPr>
        <w:pStyle w:val="5"/>
        <w:keepNext/>
        <w:numPr>
          <w:numId w:val="0"/>
        </w:numPr>
        <w:spacing w:line="390" w:lineRule="exact" w:before="160" w:after="120"/>
        <w:ind w:firstLine="0"/>
      </w:pPr>
      <w:bookmarkStart w:id="271" w:name="参数组织与推广模型"/>
      <w:r>
        <w:rPr>
          <w:rFonts w:ascii="Times New Roman" w:hAnsi="Times New Roman" w:eastAsia="方正仿宋_GBK"/>
          <w:b/>
          <w:sz w:val="26"/>
        </w:rPr>
        <w:t xml:space="preserve">5.6.1 参数组织与推广模型</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第3.5节通过与容载比的相关强度筛选、指标间信息归并及参数间相关核验，确定分布式电源装机渗透率、年最大净负荷平均增长率、电缆长度占比、初始转供率和负荷分散系数五项推广参数。本节按这些条件归纳设备比选结果，形成容载比矩阵。</w:t>
      </w:r>
    </w:p>
    <w:p>
      <w:pPr>
        <w:pStyle w:val="2"/>
        <w:widowControl/>
        <w:spacing w:line="348" w:lineRule="exact" w:before="0" w:after="0"/>
        <w:ind w:firstLine="480"/>
        <w:jc w:val="both"/>
      </w:pPr>
      <w:r>
        <w:rPr>
          <w:rFonts w:ascii="Times New Roman" w:hAnsi="Times New Roman" w:eastAsia="方正仿宋_GBK"/>
          <w:b w:val="0"/>
          <w:sz w:val="24"/>
        </w:rPr>
        <w:t xml:space="preserve">区间矩阵采用五站存量设备模板，每站初始为两台50 MVA主变，总容量500.00 MVA。既有主变可保留或更换为63、80 MVA，各站允许扩建一台50 MVA主变。基期网供峰值250 MW，比选时点为基期后第4年。主变允许规格、扩建位置、馈线和间隔条件进入承载约束，主变、储能和新增联络按共同评价期费用比选。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表5-65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区间矩阵设备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5站，每站保留2×50 MVA，允许更换63、80 MVA，并可扩建第三台50 MVA主变，初始总容量500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典型转供对照设备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5站，每站两台在31.50、50、63、80 MVA中重新选配，基础最小总容量315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km、7.49 MW；允许独立接收馈线，备用间隔按站限制</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72" w:name="矩阵结果与查表方法"/>
      <w:r>
        <w:rPr>
          <w:rFonts w:ascii="Times New Roman" w:hAnsi="Times New Roman" w:eastAsia="方正仿宋_GBK"/>
          <w:b/>
          <w:sz w:val="26"/>
        </w:rPr>
        <w:t xml:space="preserve">5.6.2 矩阵结果与查表方法</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矩阵按负荷分散系数1.00、1.10、1.15分别列示。每张表以年最大净负荷平均增长率四档和装机渗透率三档选行，以初始转供率四档选列，形成48个区间单元，三张表共144个单元。电缆长度占比10%～90%的已计算节点与储能支撑持续时间2、4、6 h的有效配置共同归入相应单元。</w:t>
      </w:r>
    </w:p>
    <w:p>
      <w:pPr>
        <w:pStyle w:val="2"/>
        <w:widowControl/>
        <w:spacing w:line="348" w:lineRule="exact" w:before="0" w:after="0"/>
        <w:ind w:firstLine="480"/>
        <w:jc w:val="both"/>
      </w:pPr>
      <w:r>
        <w:rPr>
          <w:rFonts w:ascii="Times New Roman" w:hAnsi="Times New Roman" w:eastAsia="方正仿宋_GBK"/>
          <w:b w:val="0"/>
          <w:sz w:val="24"/>
        </w:rPr>
        <w:t xml:space="preserve">矩阵采用统一工程价格、日间负荷系数0.30和光伏出力系数0.75。查表先确定负荷分散系数，再以年最大净负荷平均增长率和装机渗透率定位行，以初始转供率定位列。每格取对应已计算有效节点的容载比最小值和最大值，反映该组源荷、网络及支撑条件下的容量范围。电缆长度占比节点为10%、30%、50%、80%、90%，按有效联合取值共同归入单元，保留不同敷设造价引起的配置差异。电缆造价变化对应的设备替代在第5.6.7节结合完整节点分析。</w:t>
      </w:r>
    </w:p>
    <w:p>
      <w:pPr>
        <w:pStyle w:val="2"/>
        <w:widowControl/>
        <w:spacing w:line="348" w:lineRule="exact" w:before="0" w:after="0"/>
        <w:ind w:firstLine="480"/>
        <w:jc w:val="both"/>
      </w:pPr>
      <w:r>
        <w:rPr>
          <w:rFonts w:ascii="Times New Roman" w:hAnsi="Times New Roman" w:eastAsia="方正仿宋_GBK"/>
          <w:b w:val="0"/>
          <w:sz w:val="24"/>
        </w:rPr>
        <w:t xml:space="preserve">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pPr>
        <w:pStyle w:val="2"/>
        <w:keepNext/>
        <w:spacing w:line="280" w:lineRule="exact" w:before="120" w:after="80"/>
        <w:ind w:firstLine="0"/>
        <w:jc w:val="center"/>
      </w:pPr>
      <w:r>
        <w:rPr>
          <w:rFonts w:ascii="Times New Roman" w:hAnsi="Times New Roman" w:eastAsia="宋体"/>
          <w:b w:val="0"/>
          <w:sz w:val="21"/>
        </w:rPr>
        <w:t xml:space="preserve">表5-66 负荷分散系数1.00的容载比区间矩阵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表5-67 负荷分散系数1.10的容载比区间矩阵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表5-68 负荷分散系数1.15的容载比区间矩阵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2.08～2.59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widowControl/>
        <w:spacing w:line="348" w:lineRule="exact" w:before="0" w:after="0"/>
        <w:ind w:firstLine="480"/>
        <w:jc w:val="both"/>
      </w:pPr>
      <w:r>
        <w:rPr>
          <w:rFonts w:ascii="Times New Roman" w:hAnsi="Times New Roman" w:eastAsia="方正仿宋_GBK"/>
          <w:b w:val="0"/>
          <w:sz w:val="24"/>
        </w:rPr>
        <w:t xml:space="preserve">区间端点图以负荷分散系数1.10为例，按与矩阵相同的行列次序展示下界和上界，两图采用相同色阶。装机渗透率较高的行具有较大的反向容量任务，年最大净负荷平均增长率改变负荷规模及既有容量储备，转供条件则影响局部支援。端点由各单元不同电缆造价、支撑时长及有限源荷节点的可行配置共同形成，读取区间后，按实际参数和设备条件确定对应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271247"/>
            <wp:effectExtent b="0" l="0" r="0" t="0"/>
            <wp:docPr descr="" title="" id="1" name="Picture"/>
            <a:graphic>
              <a:graphicData uri="http://schemas.openxmlformats.org/drawingml/2006/picture">
                <pic:pic>
                  <pic:nvPicPr>
                    <pic:cNvPr descr="研究报告/02图表/当前版/lookup_matrix_bounds.png" id="0" name="Picture"/>
                    <pic:cNvPicPr>
                      <a:picLocks noChangeArrowheads="1" noChangeAspect="1"/>
                    </pic:cNvPicPr>
                  </pic:nvPicPr>
                  <pic:blipFill>
                    <a:blip r:embed="rId273"/>
                    <a:stretch>
                      <a:fillRect/>
                    </a:stretch>
                  </pic:blipFill>
                  <pic:spPr bwMode="auto">
                    <a:xfrm>
                      <a:off x="0" y="0"/>
                      <a:ext cx="5120640" cy="527124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图5-12 负荷分散系数1.10下容载比矩阵的上下界分布</w:t>
      </w:r>
    </w:p>
    <w:p>
      <w:pPr>
        <w:pStyle w:val="5"/>
        <w:keepNext/>
        <w:numPr>
          <w:numId w:val="0"/>
        </w:numPr>
        <w:spacing w:line="390" w:lineRule="exact" w:before="160" w:after="120"/>
        <w:ind w:firstLine="0"/>
      </w:pPr>
      <w:bookmarkStart w:id="274" w:name="参数关联对应的设备变化"/>
      <w:r>
        <w:rPr>
          <w:rFonts w:ascii="Times New Roman" w:hAnsi="Times New Roman" w:eastAsia="方正仿宋_GBK"/>
          <w:b/>
          <w:sz w:val="26"/>
        </w:rPr>
        <w:t xml:space="preserve">5.6.3 参数关联对应的设备变化</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年最大净负荷平均增长率同时改变规划时点负荷和设备配置，容载比随容量离散投运呈阶段变化。电缆长度占比和负荷分散系数在部分组合中触发设备替代，以下完整受控序列将这些关联落实到主变、联络和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75"/>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图5-13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图中固定电缆长度占比10%、初始转供率40%、储能支撑持续时间4 h和负荷分散系数1.10，显示同一组背景下源荷条件的作用。</w:t>
      </w:r>
    </w:p>
    <w:p>
      <w:pPr>
        <w:pStyle w:val="5"/>
        <w:keepNext/>
        <w:numPr>
          <w:numId w:val="0"/>
        </w:numPr>
        <w:spacing w:line="390" w:lineRule="exact" w:before="160" w:after="120"/>
        <w:ind w:firstLine="0"/>
      </w:pPr>
      <w:bookmarkStart w:id="276" w:name="固定源荷条件下的转供序列"/>
      <w:r>
        <w:rPr>
          <w:rFonts w:ascii="Times New Roman" w:hAnsi="Times New Roman" w:eastAsia="方正仿宋_GBK"/>
          <w:b/>
          <w:sz w:val="26"/>
        </w:rPr>
        <w:t xml:space="preserve">5.6.4 固定源荷条件下的转供序列</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为考察五站设备重新选配时的转供响应，本节每站两台主变从31.50、50、63、80 MVA中选择，基础最小总容量315.00 MVA。两组典型场景均取装机渗透率50%、电缆长度占比50%、储能支撑持续时间4 h。场景1的年最大净负荷平均增长率为4%、负荷分散系数1.10，场景2的年最大净负荷平均增长率为5.5%、负荷分散系数1.00。以下同时列示10%～90%的完整初始转供率节点，以设备组合解释四档区间的响应。</w:t>
      </w:r>
    </w:p>
    <w:p>
      <w:pPr>
        <w:pStyle w:val="2"/>
        <w:widowControl/>
        <w:spacing w:line="348" w:lineRule="exact" w:before="0" w:after="0"/>
        <w:ind w:firstLine="480"/>
        <w:jc w:val="both"/>
      </w:pPr>
      <w:r>
        <w:rPr>
          <w:rFonts w:ascii="Times New Roman" w:hAnsi="Times New Roman" w:eastAsia="方正仿宋_GBK"/>
          <w:b w:val="0"/>
          <w:sz w:val="24"/>
        </w:rPr>
        <w:t xml:space="preserve">在电缆长度占比50%、储能支撑持续时间4 h的共同条件下，选取装机渗透率50%的两组典型源荷场景。每组包含10%～90%的九个初始转供率节点，按四档归纳容载比推荐范围，共形成8个区间单元。两组区间上下界均随转供档位提高而逐档下降。</w:t>
      </w:r>
    </w:p>
    <w:p>
      <w:pPr>
        <w:pStyle w:val="2"/>
        <w:keepNext/>
        <w:spacing w:line="280" w:lineRule="exact" w:before="120" w:after="80"/>
        <w:ind w:firstLine="0"/>
        <w:jc w:val="center"/>
      </w:pPr>
      <w:r>
        <w:rPr>
          <w:rFonts w:ascii="Times New Roman" w:hAnsi="Times New Roman" w:eastAsia="宋体"/>
          <w:b w:val="0"/>
          <w:sz w:val="21"/>
        </w:rPr>
        <w:t xml:space="preserve">表5-69 典型源荷条件下随初始转供率变化的容载比推荐范围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1.86～1.96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1.43～1.66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1.31～1.44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1.26～1.36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1.35～1.57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1.33～1.36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1.25～1.26</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注：两组均采用电缆长度占比50%、储能支撑持续时间4 h和五站设备重新选配条件。</w:t>
      </w:r>
    </w:p>
    <w:p>
      <w:pPr>
        <w:pStyle w:val="2"/>
        <w:keepNext/>
        <w:spacing w:line="280" w:lineRule="exact" w:before="120" w:after="80"/>
        <w:ind w:firstLine="0"/>
        <w:jc w:val="center"/>
      </w:pPr>
      <w:r>
        <w:rPr>
          <w:rFonts w:ascii="Times New Roman" w:hAnsi="Times New Roman" w:eastAsia="宋体"/>
          <w:b w:val="0"/>
          <w:sz w:val="21"/>
        </w:rPr>
        <w:t xml:space="preserve">表5-70 场景1的完整转供率节点及设备方案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11675.95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11105.20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9559.88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9064.34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7414.40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6928.21</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pPr>
        <w:pStyle w:val="2"/>
        <w:keepNext/>
        <w:spacing w:line="280" w:lineRule="exact" w:before="120" w:after="80"/>
        <w:ind w:firstLine="0"/>
        <w:jc w:val="center"/>
      </w:pPr>
      <w:r>
        <w:rPr>
          <w:rFonts w:ascii="Times New Roman" w:hAnsi="Times New Roman" w:eastAsia="宋体"/>
          <w:b w:val="0"/>
          <w:sz w:val="21"/>
        </w:rPr>
        <w:t xml:space="preserve">表5-71 场景2的完整转供率节点及设备方案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14092.58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11460.49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10392.43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8912.27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8062.42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7274.15</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场景2在10%～30%内主变连续减至476.00 MVA，40%节点改用483.50 MVA并减少4项新增联络，50%节点降至420.50 MVA。60%与50%保持同一容量，通过减少2项联络降低费用，70%节点再降至415.00 MVA，80%和90%为389.00 MVA，末个节点取消新增联络。两组均在四档转供率间形成不同的推荐区间，说明既有网络改善能够在各档体现为区域容量需求下降，同时改变新增工程组合。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006737"/>
            <wp:effectExtent b="0" l="0" r="0" t="0"/>
            <wp:docPr descr="" title="" id="1" name="Picture"/>
            <a:graphic>
              <a:graphicData uri="http://schemas.openxmlformats.org/drawingml/2006/picture">
                <pic:pic>
                  <pic:nvPicPr>
                    <pic:cNvPr descr="研究报告/02图表/当前版/typical_transfer_response.png" id="0" name="Picture"/>
                    <pic:cNvPicPr>
                      <a:picLocks noChangeArrowheads="1" noChangeAspect="1"/>
                    </pic:cNvPicPr>
                  </pic:nvPicPr>
                  <pic:blipFill>
                    <a:blip r:embed="rId277"/>
                    <a:stretch>
                      <a:fillRect/>
                    </a:stretch>
                  </pic:blipFill>
                  <pic:spPr bwMode="auto">
                    <a:xfrm>
                      <a:off x="0" y="0"/>
                      <a:ext cx="5120640" cy="200673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图5-14 典型场景中初始转供率与容载比、费用的关系</w:t>
      </w:r>
    </w:p>
    <w:p>
      <w:pPr>
        <w:pStyle w:val="2"/>
        <w:widowControl/>
        <w:spacing w:line="348" w:lineRule="exact" w:before="0" w:after="0"/>
        <w:ind w:firstLine="480"/>
        <w:jc w:val="both"/>
      </w:pPr>
      <w:r>
        <w:rPr>
          <w:rFonts w:ascii="Times New Roman" w:hAnsi="Times New Roman" w:eastAsia="方正仿宋_GBK"/>
          <w:b w:val="0"/>
          <w:sz w:val="24"/>
        </w:rPr>
        <w:t xml:space="preserve">细节点的容量平台与额定规格离散、各站N-1剩余能力及费用替代共同有关。两组全部容量均高于315.00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pPr>
        <w:pStyle w:val="5"/>
        <w:keepNext/>
        <w:numPr>
          <w:numId w:val="0"/>
        </w:numPr>
        <w:spacing w:line="390" w:lineRule="exact" w:before="160" w:after="120"/>
        <w:ind w:firstLine="0"/>
      </w:pPr>
      <w:bookmarkStart w:id="278" w:name="装机渗透率与双向容量需求"/>
      <w:r>
        <w:rPr>
          <w:rFonts w:ascii="Times New Roman" w:hAnsi="Times New Roman" w:eastAsia="方正仿宋_GBK"/>
          <w:b/>
          <w:sz w:val="26"/>
        </w:rPr>
        <w:t xml:space="preserve">5.6.5 装机渗透率与双向容量需求</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固定年最大净负荷平均增长率4%、电缆长度占比10%、初始转供率40%、储能支撑持续时间4 h和负荷分散系数1.10，读取装机渗透率0～3.00、步长0.25的完整序列。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表5-72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[7]。</w:t>
      </w:r>
    </w:p>
    <w:p>
      <w:pPr>
        <w:pStyle w:val="2"/>
        <w:widowControl/>
        <w:spacing w:line="348" w:lineRule="exact" w:before="0" w:after="0"/>
        <w:ind w:firstLine="480"/>
        <w:jc w:val="both"/>
      </w:pPr>
      <w:r>
        <w:rPr>
          <w:rFonts w:ascii="Times New Roman" w:hAnsi="Times New Roman" w:eastAsia="方正仿宋_GBK"/>
          <w:b w:val="0"/>
          <w:sz w:val="24"/>
        </w:rPr>
        <w:t xml:space="preserve">设备响应图保留完整装机节点，能够区分原配置不变的区段与后续措施切换。主变容量的变化呈离散阶梯，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eta_device_response.png" id="0" name="Picture"/>
                    <pic:cNvPicPr>
                      <a:picLocks noChangeArrowheads="1" noChangeAspect="1"/>
                    </pic:cNvPicPr>
                  </pic:nvPicPr>
                  <pic:blipFill>
                    <a:blip r:embed="rId279"/>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图5-15 完整装机渗透率序列对应的主变与储能配置</w:t>
      </w:r>
    </w:p>
    <w:p>
      <w:pPr>
        <w:pStyle w:val="5"/>
        <w:keepNext/>
        <w:numPr>
          <w:numId w:val="0"/>
        </w:numPr>
        <w:spacing w:line="390" w:lineRule="exact" w:before="160" w:after="120"/>
        <w:ind w:firstLine="0"/>
      </w:pPr>
      <w:bookmarkStart w:id="280" w:name="年最大净负荷平均增长率与容量储备消耗"/>
      <w:r>
        <w:rPr>
          <w:rFonts w:ascii="Times New Roman" w:hAnsi="Times New Roman" w:eastAsia="方正仿宋_GBK"/>
          <w:b/>
          <w:sz w:val="26"/>
        </w:rPr>
        <w:t xml:space="preserve">5.6.6 年最大净负荷平均增长率与容量储备消耗</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固定装机渗透率1.50、电缆长度占比10%、初始转供率40%、支撑持续时间4 h及负荷分散系数1.10，比较锁定库中相应的八个增长节点。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表5-73 年最大净负荷平均增长率对应的容量及工程变化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MVA，容载比出现回升。8%、10%节点继续采用不同主变组合，表明容量以整台设备离散投运，容载比在连续增长条件下可以呈阶段波动。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2"/>
        <w:widowControl/>
        <w:spacing w:line="348" w:lineRule="exact" w:before="0" w:after="0"/>
        <w:ind w:firstLine="480"/>
        <w:jc w:val="both"/>
      </w:pPr>
      <w:r>
        <w:rPr>
          <w:rFonts w:ascii="Times New Roman" w:hAnsi="Times New Roman" w:eastAsia="方正仿宋_GBK"/>
          <w:b w:val="0"/>
          <w:sz w:val="24"/>
        </w:rPr>
        <w:t xml:space="preserve">将规划负荷、主变容量和容载比分开观察，可以解释增长参数与比值之间的阶段关系。前几个节点主变保持550.00 MVA，负荷随四年复合增长增加，原容量储备逐步被使用；达到后续补强节点后，离散设备投运改变容量分子，容载比可能暂时回升。增长较高的情景同时具有更大的负荷任务和可能更多的工程投入，容量比值的高低需与具体设备规模共同评价。该图按完整节点排列，各点间的连线用于显示序列关系。</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growth_capacity_reserve.png" id="0" name="Picture"/>
                    <pic:cNvPicPr>
                      <a:picLocks noChangeArrowheads="1" noChangeAspect="1"/>
                    </pic:cNvPicPr>
                  </pic:nvPicPr>
                  <pic:blipFill>
                    <a:blip r:embed="rId281"/>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图5-16 年最大净负荷平均增长率与规划负荷、容量及容载比</w:t>
      </w:r>
    </w:p>
    <w:p>
      <w:pPr>
        <w:pStyle w:val="5"/>
        <w:keepNext/>
        <w:numPr>
          <w:numId w:val="0"/>
        </w:numPr>
        <w:spacing w:line="390" w:lineRule="exact" w:before="160" w:after="120"/>
        <w:ind w:firstLine="0"/>
      </w:pPr>
      <w:bookmarkStart w:id="282" w:name="电缆长度占比与联络主变替代"/>
      <w:r>
        <w:rPr>
          <w:rFonts w:ascii="Times New Roman" w:hAnsi="Times New Roman" w:eastAsia="方正仿宋_GBK"/>
          <w:b/>
          <w:sz w:val="26"/>
        </w:rPr>
        <w:t xml:space="preserve">5.6.7 电缆长度占比与联络、主变替代</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固定装机渗透率2.50、年最大净负荷平均增长率4%、初始转供率70%、支撑持续时间4 h和负荷分散系数1.10，读取10%、30%、50%、80%、90%电缆长度占比节点。全部节点采用相同的单位线路能力和候选网络，费用按第四章长度加权关系计算。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表5-74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12680.32～14900.59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15147.71</w:t>
            </w:r>
          </w:p>
        </w:tc>
      </w:tr>
    </w:tbl>
    <w:p>
      <w:pPr>
        <w:pStyle w:val="2"/>
        <w:widowControl/>
        <w:spacing w:line="348" w:lineRule="exact" w:before="0" w:after="0"/>
        <w:ind w:firstLine="480"/>
        <w:jc w:val="both"/>
      </w:pPr>
      <w:r>
        <w:rPr>
          <w:rFonts w:ascii="Times New Roman" w:hAnsi="Times New Roman" w:eastAsia="方正仿宋_GBK"/>
          <w:b w:val="0"/>
          <w:sz w:val="24"/>
        </w:rPr>
        <w:t xml:space="preserve">注：首行四个节点配置相同，费用范围对应四个已计算节点。</w:t>
      </w:r>
    </w:p>
    <w:p>
      <w:pPr>
        <w:pStyle w:val="2"/>
        <w:widowControl/>
        <w:spacing w:line="348" w:lineRule="exact" w:before="0" w:after="0"/>
        <w:ind w:firstLine="480"/>
        <w:jc w:val="both"/>
      </w:pPr>
      <w:r>
        <w:rPr>
          <w:rFonts w:ascii="Times New Roman" w:hAnsi="Times New Roman" w:eastAsia="方正仿宋_GBK"/>
          <w:b w:val="0"/>
          <w:sz w:val="24"/>
        </w:rPr>
        <w:t xml:space="preserve">在相同源荷和支撑条件下，进一步比较初始转供率50%～90%的共同节点。电缆长度占比影响联络造价，初始转供率决定既有网络支援，图中两项条件共同作用于主变与联络的经济选择。</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54314"/>
            <wp:effectExtent b="0" l="0" r="0" t="0"/>
            <wp:docPr descr="" title="" id="1" name="Picture"/>
            <a:graphic>
              <a:graphicData uri="http://schemas.openxmlformats.org/drawingml/2006/picture">
                <pic:pic>
                  <pic:nvPicPr>
                    <pic:cNvPr descr="研究报告/02图表/当前版/discussion_cable_transfer.png" id="0" name="Picture"/>
                    <pic:cNvPicPr>
                      <a:picLocks noChangeArrowheads="1" noChangeAspect="1"/>
                    </pic:cNvPicPr>
                  </pic:nvPicPr>
                  <pic:blipFill>
                    <a:blip r:embed="rId283"/>
                    <a:stretch>
                      <a:fillRect/>
                    </a:stretch>
                  </pic:blipFill>
                  <pic:spPr bwMode="auto">
                    <a:xfrm>
                      <a:off x="0" y="0"/>
                      <a:ext cx="5120640" cy="285431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图5-17 电缆长度占比与初始转供率对应的容载比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10%～80%范围内的四个已采样节点采用相同设备，费用增加来自同一组新增联络的造价变化，而90%节点则将主变由660.00 MVA提高至710.00 MVA，新增联络由7项减少为4项，储能配置保持28.00 MW。高电缆占比下新增联络较贵，费用比选转向更多站内容量，形成主变与联络的替代。该变化具有明确的项目费用依据。</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第3.5节分析中的相关系数为0.29，但两者分别作用于造价和既有网络能力。表中比较固定转供率，用于识别造价引起的设备切换，第5.6.4节则固定线路条件，观察既有能力改善带来的新增工程减少。两组受控结果结合参数间统计关联，解释各项输入的规划作用。</w:t>
      </w:r>
    </w:p>
    <w:p>
      <w:pPr>
        <w:pStyle w:val="5"/>
        <w:keepNext/>
        <w:numPr>
          <w:numId w:val="0"/>
        </w:numPr>
        <w:spacing w:line="390" w:lineRule="exact" w:before="160" w:after="120"/>
        <w:ind w:firstLine="0"/>
      </w:pPr>
      <w:bookmarkStart w:id="284" w:name="储能持续时间与有效功率配置"/>
      <w:r>
        <w:rPr>
          <w:rFonts w:ascii="Times New Roman" w:hAnsi="Times New Roman" w:eastAsia="方正仿宋_GBK"/>
          <w:b/>
          <w:sz w:val="26"/>
        </w:rPr>
        <w:t xml:space="preserve">5.6.8 储能持续时间与有效功率配置</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固定装机渗透率2.50、年最大净负荷平均增长率4%、电缆长度占比10%、初始转供率40%和负荷分散系数1.10，分别读取2、4、6 h三个定值。三组主变均为710.00 MVA，新增联络均为8项，储能有效支撑功率约14.38 MW。</w:t>
      </w:r>
    </w:p>
    <w:p>
      <w:pPr>
        <w:pStyle w:val="2"/>
        <w:keepNext/>
        <w:spacing w:line="280" w:lineRule="exact" w:before="120" w:after="80"/>
        <w:ind w:firstLine="0"/>
        <w:jc w:val="center"/>
      </w:pPr>
      <w:r>
        <w:rPr>
          <w:rFonts w:ascii="Times New Roman" w:hAnsi="Times New Roman" w:eastAsia="宋体"/>
          <w:b w:val="0"/>
          <w:sz w:val="21"/>
        </w:rPr>
        <w:t xml:space="preserve">表5-75 固定主变及联络配置下的储能持续时间比较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储能额定能量/MWh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11921.75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113.52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19568.63</w:t>
            </w:r>
          </w:p>
        </w:tc>
      </w:tr>
    </w:tbl>
    <w:p>
      <w:pPr>
        <w:pStyle w:val="2"/>
        <w:widowControl/>
        <w:spacing w:line="348" w:lineRule="exact" w:before="0" w:after="0"/>
        <w:ind w:firstLine="480"/>
        <w:jc w:val="both"/>
      </w:pPr>
      <w:r>
        <w:rPr>
          <w:rFonts w:ascii="Times New Roman" w:hAnsi="Times New Roman" w:eastAsia="方正仿宋_GBK"/>
          <w:b w:val="0"/>
          <w:sz w:val="24"/>
        </w:rPr>
        <w:t xml:space="preserve">保持年最大净负荷平均增长率4%、电缆长度占比10%、初始转供率40%和负荷分散系数1.10，比较不同装机节点下的支撑时长。装机渗透率2.00时，支撑持续时间由2 h延长至4 h，容载比由2.05升至2.14，延长至6 h后保持2.14，容量响应集中于部分设备替代节点。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72833"/>
            <wp:effectExtent b="0" l="0" r="0" t="0"/>
            <wp:docPr descr="" title="" id="1" name="Picture"/>
            <a:graphic>
              <a:graphicData uri="http://schemas.openxmlformats.org/drawingml/2006/picture">
                <pic:pic>
                  <pic:nvPicPr>
                    <pic:cNvPr descr="研究报告/02图表/当前版/discussion_hours_eta.png" id="0" name="Picture"/>
                    <pic:cNvPicPr>
                      <a:picLocks noChangeArrowheads="1" noChangeAspect="1"/>
                    </pic:cNvPicPr>
                  </pic:nvPicPr>
                  <pic:blipFill>
                    <a:blip r:embed="rId285"/>
                    <a:stretch>
                      <a:fillRect/>
                    </a:stretch>
                  </pic:blipFill>
                  <pic:spPr bwMode="auto">
                    <a:xfrm>
                      <a:off x="0" y="0"/>
                      <a:ext cx="5120640" cy="287283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图5-18 装机渗透率与储能支撑持续时间对应的容载比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该组设备所需补充的有效功率接近一致，持续时间由2 h延长至4 h和6 h时，储能额定功率及额定能量按所需柜数增加，费用相应提高。主变及联络没有切换，说明这一组背景下增加柜数仍是相应可行组合的选择。其工程含义是：持续时间控制为同一功率缺口准备多少可用电量，铭牌功率变化还需结合有效支撑功率解释。</w:t>
      </w:r>
    </w:p>
    <w:p>
      <w:pPr>
        <w:pStyle w:val="2"/>
        <w:widowControl/>
        <w:spacing w:line="348" w:lineRule="exact" w:before="0" w:after="0"/>
        <w:ind w:firstLine="480"/>
        <w:jc w:val="both"/>
      </w:pPr>
      <w:r>
        <w:rPr>
          <w:rFonts w:ascii="Times New Roman" w:hAnsi="Times New Roman" w:eastAsia="方正仿宋_GBK"/>
          <w:b w:val="0"/>
          <w:sz w:val="24"/>
        </w:rPr>
        <w:t xml:space="preserve">第3.5节统计中，支撑时间仅在12%的受控组触发主变容量变化，其余组可能保持主变并调整储能，也可能由主变和网络满足全部需求。时间参数因此按2、4、6 h分别展示，便于将地区近峰特征与具体设备配置对应。实际项目的支撑时长还需结合故障恢复过程和功率缺口持续时间核定[28][10]。</w:t>
      </w:r>
    </w:p>
    <w:p>
      <w:pPr>
        <w:pStyle w:val="5"/>
        <w:keepNext/>
        <w:numPr>
          <w:numId w:val="0"/>
        </w:numPr>
        <w:spacing w:line="390" w:lineRule="exact" w:before="160" w:after="120"/>
        <w:ind w:firstLine="0"/>
      </w:pPr>
      <w:bookmarkStart w:id="286" w:name="负荷分散系数与局部高峰承载"/>
      <w:r>
        <w:rPr>
          <w:rFonts w:ascii="Times New Roman" w:hAnsi="Times New Roman" w:eastAsia="方正仿宋_GBK"/>
          <w:b/>
          <w:sz w:val="26"/>
        </w:rPr>
        <w:t xml:space="preserve">5.6.9 负荷分散系数与局部高峰承载</w:t>
      </w:r>
      <w:bookmarkEnd w:id="286"/>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固定装机渗透率0、年最大净负荷平均增长率4%、电缆长度占比10%、初始转供率40%和储能支撑持续时间4 h，分别比较负荷分散系数1.00、1.10、1.15。各工况区域负荷合计相同，分散系数改变局部高峰在各站之间的分布。</w:t>
      </w:r>
    </w:p>
    <w:p>
      <w:pPr>
        <w:pStyle w:val="2"/>
        <w:keepNext/>
        <w:spacing w:line="280" w:lineRule="exact" w:before="120" w:after="80"/>
        <w:ind w:firstLine="0"/>
        <w:jc w:val="center"/>
      </w:pPr>
      <w:r>
        <w:rPr>
          <w:rFonts w:ascii="Times New Roman" w:hAnsi="Times New Roman" w:eastAsia="宋体"/>
          <w:b w:val="0"/>
          <w:sz w:val="21"/>
        </w:rPr>
        <w:t xml:space="preserve">表5-76 局部峰值分散程度对应的设备配置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2225.73</w:t>
            </w:r>
          </w:p>
        </w:tc>
      </w:tr>
    </w:tbl>
    <w:p>
      <w:pPr>
        <w:pStyle w:val="2"/>
        <w:widowControl/>
        <w:spacing w:line="348" w:lineRule="exact" w:before="0" w:after="0"/>
        <w:ind w:firstLine="480"/>
        <w:jc w:val="both"/>
      </w:pPr>
      <w:r>
        <w:rPr>
          <w:rFonts w:ascii="Times New Roman" w:hAnsi="Times New Roman" w:eastAsia="方正仿宋_GBK"/>
          <w:b w:val="0"/>
          <w:sz w:val="24"/>
        </w:rPr>
        <w:t xml:space="preserve">固定装机渗透率1.50、年最大净负荷平均增长率4%、电缆长度占比10%和支撑持续时间4 h，比较初始转供率20%～90%的共同有效节点。转供率20%时，分散系数1.00、1.10、1.15对应容载比1.88、2.05、2.22，转供率达到40%后三种分散系数均为1.88，本组节点中网络支援改善能够缓解局部高峰对新增容量的要求。</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57500"/>
            <wp:effectExtent b="0" l="0" r="0" t="0"/>
            <wp:docPr descr="" title="" id="1" name="Picture"/>
            <a:graphic>
              <a:graphicData uri="http://schemas.openxmlformats.org/drawingml/2006/picture">
                <pic:pic>
                  <pic:nvPicPr>
                    <pic:cNvPr descr="研究报告/02图表/当前版/discussion_dispersion_transfer.png" id="0" name="Picture"/>
                    <pic:cNvPicPr>
                      <a:picLocks noChangeArrowheads="1" noChangeAspect="1"/>
                    </pic:cNvPicPr>
                  </pic:nvPicPr>
                  <pic:blipFill>
                    <a:blip r:embed="rId287"/>
                    <a:stretch>
                      <a:fillRect/>
                    </a:stretch>
                  </pic:blipFill>
                  <pic:spPr bwMode="auto">
                    <a:xfrm>
                      <a:off x="0" y="0"/>
                      <a:ext cx="5120640" cy="285750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图5-19 初始转供率与负荷分散系数对应的容载比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负荷分散系数由1.00提高至1.10时，局部高峰任务触发主变补强，容量增加50.00 MVA，并以主变和新增联络替代原少量储能。继续提高至1.15后，主变容量保持550.00 MVA，通过进一步增加2项联络利用已有容量。这表明即使区域同时峰值相同，局部负荷分布仍会影响站级设备需求。</w:t>
      </w:r>
    </w:p>
    <w:p>
      <w:pPr>
        <w:pStyle w:val="2"/>
        <w:widowControl/>
        <w:spacing w:line="348" w:lineRule="exact" w:before="0" w:after="0"/>
        <w:ind w:firstLine="480"/>
        <w:jc w:val="both"/>
      </w:pPr>
      <w:r>
        <w:rPr>
          <w:rFonts w:ascii="Times New Roman" w:hAnsi="Times New Roman" w:eastAsia="方正仿宋_GBK"/>
          <w:b w:val="0"/>
          <w:sz w:val="24"/>
        </w:rPr>
        <w:t xml:space="preserve">在装机渗透率2.50、其余背景相同的另一组节点中，三种分散系数均采用710.00 MVA主变，但储能额定功率分别为28.40、35.20、45.90 MW，新增联络也有调整。反向容量和局部高峰共同影响配置时，分散程度的作用可以更多体现为储能与线路组合。矩阵将三个定值分别列示，可保留这些设备差异，后续查表应与片区各站峰值及实际联络条件衔接。</w:t>
      </w:r>
    </w:p>
    <w:p>
      <w:pPr>
        <w:pStyle w:val="5"/>
        <w:keepNext/>
        <w:numPr>
          <w:numId w:val="0"/>
        </w:numPr>
        <w:spacing w:line="390" w:lineRule="exact" w:before="160" w:after="120"/>
        <w:ind w:firstLine="0"/>
      </w:pPr>
      <w:bookmarkStart w:id="288" w:name="电量峰段及相对投资条件下的配置"/>
      <w:r>
        <w:rPr>
          <w:rFonts w:ascii="Times New Roman" w:hAnsi="Times New Roman" w:eastAsia="方正仿宋_GBK"/>
          <w:b/>
          <w:sz w:val="26"/>
        </w:rPr>
        <w:t xml:space="preserve">5.6.10 电量、峰段及相对投资条件下的配置</w:t>
      </w:r>
      <w:bookmarkEnd w:id="288"/>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固定装机渗透率2.00、年最大净负荷平均增长率4%、电缆长度占比10%、初始转供率40%、负荷分散系数1.10和参考工程价格，按第3.5.2节的全年电量平衡校准光伏出力，先取95%峰值持续时间4 h比较电量完整序列。</w:t>
      </w:r>
    </w:p>
    <w:p>
      <w:pPr>
        <w:pStyle w:val="2"/>
        <w:keepNext/>
        <w:spacing w:line="280" w:lineRule="exact" w:before="120" w:after="80"/>
        <w:ind w:firstLine="0"/>
        <w:jc w:val="center"/>
      </w:pPr>
      <w:r>
        <w:rPr>
          <w:rFonts w:ascii="Times New Roman" w:hAnsi="Times New Roman" w:eastAsia="宋体"/>
          <w:b w:val="0"/>
          <w:sz w:val="21"/>
        </w:rPr>
        <w:t xml:space="preserve">表5-77 固定装机条件下的电量与配置变化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电量渗透率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25%、28%、30%、32%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3243.14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4518.04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6082.61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6476.74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8660.44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13777.81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18916.91</w:t>
            </w:r>
          </w:p>
        </w:tc>
      </w:tr>
    </w:tbl>
    <w:p>
      <w:pPr>
        <w:pStyle w:val="2"/>
        <w:widowControl/>
        <w:spacing w:line="348" w:lineRule="exact" w:before="0" w:after="0"/>
        <w:ind w:firstLine="480"/>
        <w:jc w:val="both"/>
      </w:pPr>
      <w:r>
        <w:rPr>
          <w:rFonts w:ascii="Times New Roman" w:hAnsi="Times New Roman" w:eastAsia="方正仿宋_GBK"/>
          <w:b w:val="0"/>
          <w:sz w:val="24"/>
        </w:rPr>
        <w:t xml:space="preserve">较低电量节点主要由晚间正向高峰决定主变需求，电量增加先通过联络调整日间负荷分配，反向承载约束增强后转向主变补强。容载比达到2.43后主变保持710 MVA，继续提高电量主要增加储能吸收功率及联络，表明容量比值相同也可以对应不同配套工程。电量信息用于核定源荷场景，代表参数装机渗透率需与所采用的典型出力水平共同使用。</w:t>
      </w:r>
    </w:p>
    <w:p>
      <w:pPr>
        <w:pStyle w:val="2"/>
        <w:widowControl/>
        <w:spacing w:line="348" w:lineRule="exact" w:before="0" w:after="0"/>
        <w:ind w:firstLine="480"/>
        <w:jc w:val="both"/>
      </w:pPr>
      <w:r>
        <w:rPr>
          <w:rFonts w:ascii="Times New Roman" w:hAnsi="Times New Roman" w:eastAsia="方正仿宋_GBK"/>
          <w:b w:val="0"/>
          <w:sz w:val="24"/>
        </w:rPr>
        <w:t xml:space="preserve">保持电量渗透率40%，比较1～8 h的完整峰段序列。各节点均采用600 MVA主变和7项新增联络，容载比为2.05，持续支撑任务的变化由储能规模承担。</w:t>
      </w:r>
    </w:p>
    <w:p>
      <w:pPr>
        <w:pStyle w:val="2"/>
        <w:keepNext/>
        <w:spacing w:line="280" w:lineRule="exact" w:before="120" w:after="80"/>
        <w:ind w:firstLine="0"/>
        <w:jc w:val="center"/>
      </w:pPr>
      <w:r>
        <w:rPr>
          <w:rFonts w:ascii="Times New Roman" w:hAnsi="Times New Roman" w:eastAsia="宋体"/>
          <w:b w:val="0"/>
          <w:sz w:val="21"/>
        </w:rPr>
        <w:t xml:space="preserve">表5-78 固定主变与联络条件下的峰段支撑配置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95%峰值持续时间/h</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4018.39</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4083.56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4300.80</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4518.04</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4670.11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4800.46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4887.35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4952.53</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要求延长后，储能可用电量约束起作用，额定功率随所需柜数增加，费用相应提高。这组结果联系第3.5节较弱的时间—容载比相关：时间对主变容量的作用取决于设备替代条件，对储能定容则直接进入有效支撑功率计算。</w:t>
      </w:r>
    </w:p>
    <w:p>
      <w:pPr>
        <w:pStyle w:val="2"/>
        <w:widowControl/>
        <w:spacing w:line="348" w:lineRule="exact" w:before="0" w:after="0"/>
        <w:ind w:firstLine="480"/>
        <w:jc w:val="both"/>
      </w:pPr>
      <w:r>
        <w:rPr>
          <w:rFonts w:ascii="Times New Roman" w:hAnsi="Times New Roman" w:eastAsia="方正仿宋_GBK"/>
          <w:b w:val="0"/>
          <w:sz w:val="24"/>
        </w:rPr>
        <w:t xml:space="preserve">在电量40%、峰段4 h时分别改变线路和储能价格。完整价格序列均采用600 MVA主变、4.20 MW储能和7项联络，容载比2.05，费用范围如下。</w:t>
      </w:r>
    </w:p>
    <w:p>
      <w:pPr>
        <w:pStyle w:val="2"/>
        <w:keepNext/>
        <w:spacing w:line="280" w:lineRule="exact" w:before="120" w:after="80"/>
        <w:ind w:firstLine="0"/>
        <w:jc w:val="center"/>
      </w:pPr>
      <w:r>
        <w:rPr>
          <w:rFonts w:ascii="Times New Roman" w:hAnsi="Times New Roman" w:eastAsia="宋体"/>
          <w:b w:val="0"/>
          <w:sz w:val="21"/>
        </w:rPr>
        <w:t xml:space="preserve">表5-79 固定设备配置下的两类价格比较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变化条件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参考价格比例</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70%～130%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4264.30～4771.79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70%～130%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4244.32～4791.77</w:t>
            </w:r>
          </w:p>
        </w:tc>
      </w:tr>
    </w:tbl>
    <w:p>
      <w:pPr>
        <w:pStyle w:val="2"/>
        <w:widowControl/>
        <w:spacing w:line="348" w:lineRule="exact" w:before="0" w:after="0"/>
        <w:ind w:firstLine="480"/>
        <w:jc w:val="both"/>
      </w:pPr>
      <w:r>
        <w:rPr>
          <w:rFonts w:ascii="Times New Roman" w:hAnsi="Times New Roman" w:eastAsia="方正仿宋_GBK"/>
          <w:b w:val="0"/>
          <w:sz w:val="24"/>
        </w:rPr>
        <w:t xml:space="preserve">该组配置在所比较价格范围内保持，费用变化分别来自联络或储能采购及相应固定运维。相对投资指标有助于解释经济条件，主矩阵则通过五项源荷和网络参数归纳容量范围，工程应用结合当地价格核定完整方案费用。</w:t>
      </w:r>
    </w:p>
    <w:p>
      <w:pPr>
        <w:pStyle w:val="2"/>
        <w:widowControl/>
        <w:spacing w:line="348" w:lineRule="exact" w:before="0" w:after="0"/>
        <w:ind w:firstLine="480"/>
        <w:jc w:val="both"/>
      </w:pPr>
      <w:r>
        <w:rPr>
          <w:rFonts w:ascii="Times New Roman" w:hAnsi="Times New Roman" w:eastAsia="方正仿宋_GBK"/>
          <w:b w:val="0"/>
          <w:sz w:val="24"/>
        </w:rPr>
        <w:t xml:space="preserve">电量序列图进一步显示了主变容量平台与配套储能变化的关系。低电量节点采用较小主变规模，随着反向任务增强，主变逐步补强；达到710 MVA后，更高电量节点主要增加储能功率。此时相同容载比仍对应不同的设备支出和吸收能力，工程比选应保留配套措施。该组结果采用固定装机条件下的全年电量校准，与装机渗透率的独立取值分析分别提供源荷信息，二者在实际片区应用时需按同范围运行数据共同核定。</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energy_capacity_storage.png" id="0" name="Picture"/>
                    <pic:cNvPicPr>
                      <a:picLocks noChangeArrowheads="1" noChangeAspect="1"/>
                    </pic:cNvPicPr>
                  </pic:nvPicPr>
                  <pic:blipFill>
                    <a:blip r:embed="rId289"/>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图5-20 固定装机条件下电量节点对应的主变与储能配置</w:t>
      </w:r>
    </w:p>
    <w:p>
      <w:pPr>
        <w:pStyle w:val="4"/>
        <w:keepNext/>
        <w:numPr>
          <w:numId w:val="0"/>
        </w:numPr>
        <w:spacing w:line="480" w:lineRule="exact" w:before="160" w:after="120"/>
        <w:ind w:firstLine="0"/>
      </w:pPr>
      <w:bookmarkStart w:id="2108" w:name="h1108"/>
      <w:bookmarkStart w:id="290" w:name="规划建议"/>
      <w:r>
        <w:rPr>
          <w:rFonts w:ascii="Times New Roman" w:hAnsi="Times New Roman" w:eastAsia="方正仿宋_GBK"/>
          <w:b/>
          <w:sz w:val="32"/>
        </w:rPr>
        <w:t xml:space="preserve">5.7 规划建议</w:t>
      </w:r>
      <w:bookmarkEnd w:id="290"/>
      <w:bookmarkEnd w:id="2108"/>
    </w:p>
    <w:p>
      <w:pPr>
        <w:pStyle w:val="5"/>
        <w:keepNext/>
        <w:numPr>
          <w:numId w:val="0"/>
        </w:numPr>
        <w:spacing w:line="390" w:lineRule="exact" w:before="160" w:after="120"/>
        <w:ind w:firstLine="0"/>
      </w:pPr>
      <w:bookmarkStart w:id="291" w:name="按源荷条件和网络能力选取容量"/>
      <w:r>
        <w:rPr>
          <w:rFonts w:ascii="Times New Roman" w:hAnsi="Times New Roman" w:eastAsia="方正仿宋_GBK"/>
          <w:b/>
          <w:sz w:val="26"/>
        </w:rPr>
        <w:t xml:space="preserve">5.7.1 按源荷条件和网络能力选取容量</w:t>
      </w:r>
      <w:bookmarkEnd w:id="291"/>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pPr>
        <w:pStyle w:val="5"/>
        <w:keepNext/>
        <w:numPr>
          <w:numId w:val="0"/>
        </w:numPr>
        <w:spacing w:line="390" w:lineRule="exact" w:before="160" w:after="120"/>
        <w:ind w:firstLine="0"/>
      </w:pPr>
      <w:bookmarkStart w:id="292" w:name="统筹主变储能及联络建设"/>
      <w:r>
        <w:rPr>
          <w:rFonts w:ascii="Times New Roman" w:hAnsi="Times New Roman" w:eastAsia="方正仿宋_GBK"/>
          <w:b/>
          <w:sz w:val="26"/>
        </w:rPr>
        <w:t xml:space="preserve">5.7.2 统筹主变、储能及联络建设</w:t>
      </w:r>
      <w:bookmarkEnd w:id="292"/>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93" w:name="保留参数区间滚动更新计算依据"/>
      <w:r>
        <w:rPr>
          <w:rFonts w:ascii="Times New Roman" w:hAnsi="Times New Roman" w:eastAsia="方正仿宋_GBK"/>
          <w:b/>
          <w:sz w:val="26"/>
        </w:rPr>
        <w:t xml:space="preserve">5.7.3 保留参数区间，滚动更新计算依据</w:t>
      </w:r>
      <w:bookmarkEnd w:id="293"/>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94" w:name="推荐区间与具体设备的衔接"/>
      <w:r>
        <w:rPr>
          <w:rFonts w:ascii="Times New Roman" w:hAnsi="Times New Roman" w:eastAsia="方正仿宋_GBK"/>
          <w:b/>
          <w:sz w:val="26"/>
        </w:rPr>
        <w:t xml:space="preserve">5.7.4 推荐区间与具体设备的衔接</w:t>
      </w:r>
      <w:bookmarkEnd w:id="294"/>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95" w:name="邳州与市区建设措施的综合比较"/>
      <w:r>
        <w:rPr>
          <w:rFonts w:ascii="Times New Roman" w:hAnsi="Times New Roman" w:eastAsia="方正仿宋_GBK"/>
          <w:b/>
          <w:sz w:val="26"/>
        </w:rPr>
        <w:t xml:space="preserve">5.7.5 邳州与市区建设措施的综合比较</w:t>
      </w:r>
      <w:bookmarkEnd w:id="295"/>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邳州两类方案2025年主变容量分别为1704.00 MVA和1715.50 MVA，容载比1.78和1.79。弹性方案首年完成较多站内补强，2024年再净增11.50 MVA，2025年储能为7.31 MWh、累计新增联络13条；刚性方案储能为47.95 MWh、累计新增联络16条。兴塘等站提高最大单台主变停运后的剩余能力，减少了相应功率缺口及配套工程。</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市区弹性方案首年更换一台40 MVA主变为63 MVA，四年容量保持2923.00 MVA，2025年容载比1.91，刚性方案容量保持2900.00 MVA，前两年累计新增5条联络，2025年容载比1.90。两地区刚性可行方案费用合计21787.83万元，弹性为16248.62万元，减少5539.21万元，约25%。</w:t>
      </w:r>
    </w:p>
    <w:p>
      <w:pPr>
        <w:pStyle w:val="2"/>
        <w:widowControl/>
        <w:spacing w:line="348" w:lineRule="exact" w:before="0" w:after="0"/>
        <w:ind w:firstLine="480"/>
        <w:jc w:val="both"/>
      </w:pPr>
      <w:r>
        <w:rPr>
          <w:rFonts w:ascii="Times New Roman" w:hAnsi="Times New Roman" w:eastAsia="方正仿宋_GBK"/>
          <w:b w:val="0"/>
          <w:sz w:val="24"/>
        </w:rPr>
        <w:t xml:space="preserve">年度建设先满足当年需求，投运后持续在役的容量再供后续年份使用。负荷回落会提高同一容量对应的容载比，负荷恢复则消耗已有储备，整台主变投运又使容量按项目离散变化。因此，推荐区间用于前期比选，逐站工程与建设时点共同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123" w:name="h1123"/>
      <w:bookmarkStart w:id="296" w:name="第六章-结论与建议"/>
      <w:r>
        <w:rPr>
          <w:rFonts w:ascii="Times New Roman" w:hAnsi="Times New Roman" w:eastAsia="方正仿宋_GBK"/>
          <w:b/>
          <w:sz w:val="36"/>
        </w:rPr>
        <w:t xml:space="preserve">第六章 结论与建议</w:t>
      </w:r>
      <w:bookmarkEnd w:id="296"/>
      <w:bookmarkEnd w:id="2123"/>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125" w:name="h1125"/>
      <w:bookmarkStart w:id="297" w:name="主要研究结论"/>
      <w:r>
        <w:rPr>
          <w:rFonts w:ascii="Times New Roman" w:hAnsi="Times New Roman" w:eastAsia="方正仿宋_GBK"/>
          <w:b/>
          <w:sz w:val="32"/>
        </w:rPr>
        <w:t xml:space="preserve">6.1 主要研究结论</w:t>
      </w:r>
      <w:bookmarkEnd w:id="297"/>
      <w:bookmarkEnd w:id="2125"/>
    </w:p>
    <w:p>
      <w:pPr>
        <w:pStyle w:val="5"/>
        <w:keepNext/>
        <w:numPr>
          <w:numId w:val="0"/>
        </w:numPr>
        <w:spacing w:line="390" w:lineRule="exact" w:before="160" w:after="120"/>
        <w:ind w:firstLine="0"/>
      </w:pPr>
      <w:bookmarkStart w:id="298" w:name="容载比与局部容量压力应结合分析"/>
      <w:r>
        <w:rPr>
          <w:rFonts w:ascii="Times New Roman" w:hAnsi="Times New Roman" w:eastAsia="方正仿宋_GBK"/>
          <w:b/>
          <w:sz w:val="26"/>
        </w:rPr>
        <w:t xml:space="preserve">6.1.1 容载比与局部容量压力应结合分析</w:t>
      </w:r>
      <w:bookmarkEnd w:id="298"/>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99" w:name="弹性容量配置降低了所设条件下的方案费用"/>
      <w:r>
        <w:rPr>
          <w:rFonts w:ascii="Times New Roman" w:hAnsi="Times New Roman" w:eastAsia="方正仿宋_GBK"/>
          <w:b/>
          <w:sz w:val="26"/>
        </w:rPr>
        <w:t xml:space="preserve">6.1.2 弹性容量配置降低了所设条件下的方案费用</w:t>
      </w:r>
      <w:bookmarkEnd w:id="299"/>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在相同初始设备、实际年度负荷及逐站转供约束下，邳州刚性、弹性方案2025年主变容量分别为1704.00 MVA和1715.50 MVA，容载比1.78和1.79，市区弹性方案为2923.00 MVA、1.91，刚性为2900.00 MVA、1.90。弹性配置由承载需求和费用确定，容量随年度建设保持非减。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邳州弹性方案首年完成主变补强，减少后期配储，2025年储能额定能量7.31 MWh，刚性为47.95 MWh。市区弹性方案以一台主变更换替代刚性方案的5项新增联络。保留2021实际容量时，邳州弹性方案末年2148.50 MVA、7.74 MWh储能和3条新增联络，刚性为2027.00 MVA、201.24 MWh和4条；市区两类方案均利用3113.50 MVA存量及既有网络满足本次静态要求，新增费用为零。两地区刚性可行方案费用合计21787.83万元，弹性为16248.62万元，减少5539.21万元，约25%。</w:t>
      </w:r>
    </w:p>
    <w:p>
      <w:pPr>
        <w:pStyle w:val="5"/>
        <w:keepNext/>
        <w:numPr>
          <w:numId w:val="0"/>
        </w:numPr>
        <w:spacing w:line="390" w:lineRule="exact" w:before="160" w:after="120"/>
        <w:ind w:firstLine="0"/>
      </w:pPr>
      <w:bookmarkStart w:id="300"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300"/>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301" w:name="两层相关分析确定五项推广参数"/>
      <w:r>
        <w:rPr>
          <w:rFonts w:ascii="Times New Roman" w:hAnsi="Times New Roman" w:eastAsia="方正仿宋_GBK"/>
          <w:b/>
          <w:sz w:val="26"/>
        </w:rPr>
        <w:t xml:space="preserve">6.1.4 两层相关分析确定五项推广参数</w:t>
      </w:r>
      <w:bookmarkEnd w:id="301"/>
    </w:p>
    <w:p>
      <w:pPr>
        <w:pStyle w:val="FirstParagraph"/>
        <w:widowControl/>
        <w:spacing w:line="348" w:lineRule="exact" w:before="0" w:after="0"/>
        <w:ind w:firstLine="480"/>
        <w:jc w:val="both"/>
      </w:pPr>
      <w:r>
        <w:rPr>
          <w:rFonts w:ascii="Times New Roman" w:hAnsi="Times New Roman" w:eastAsia="方正仿宋_GBK"/>
          <w:b w:val="0"/>
          <w:sz w:val="24"/>
        </w:rPr>
        <w:t xml:space="preserve">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pPr>
        <w:pStyle w:val="2"/>
        <w:widowControl/>
        <w:spacing w:line="348" w:lineRule="exact" w:before="0" w:after="0"/>
        <w:ind w:firstLine="480"/>
        <w:jc w:val="both"/>
      </w:pPr>
      <w:r>
        <w:rPr>
          <w:rFonts w:ascii="Times New Roman" w:hAnsi="Times New Roman" w:eastAsia="方正仿宋_GBK"/>
          <w:b w:val="0"/>
          <w:sz w:val="24"/>
        </w:rPr>
        <w:t xml:space="preserve">五项与容载比的组内相关依次为0.88、－0.80、0.45、－0.74、0.52，分别对应反向承载、负荷发展、联络造价、网络支援和局部峰值任务。区间矩阵归纳电缆长度占比10%～90%的已计算节点，按负荷分散系数1.00、1.10、1.15分别列示，年最大净负荷平均增长率四档、装机渗透率三档与初始转供率四档组成三张表144个单元，归纳2、4、6 h支撑条件下的有限容量范围。另以两组设备重新选配的典型源荷条件分析18个细节点及8个转供区间，两组四档区间上下界均随初始转供率提高而下降，细节点保留平台和局部回升。查表后按实际站级缺口及可实施措施确定设备方案。</w:t>
      </w:r>
    </w:p>
    <w:p>
      <w:pPr>
        <w:pStyle w:val="4"/>
        <w:keepNext/>
        <w:numPr>
          <w:numId w:val="0"/>
        </w:numPr>
        <w:spacing w:line="480" w:lineRule="exact" w:before="160" w:after="120"/>
        <w:ind w:firstLine="0"/>
      </w:pPr>
      <w:bookmarkStart w:id="2139" w:name="h1139"/>
      <w:bookmarkStart w:id="302" w:name="规划应用建议"/>
      <w:r>
        <w:rPr>
          <w:rFonts w:ascii="Times New Roman" w:hAnsi="Times New Roman" w:eastAsia="方正仿宋_GBK"/>
          <w:b/>
          <w:sz w:val="32"/>
        </w:rPr>
        <w:t xml:space="preserve">6.2 规划应用建议</w:t>
      </w:r>
      <w:bookmarkEnd w:id="302"/>
      <w:bookmarkEnd w:id="2139"/>
    </w:p>
    <w:p>
      <w:pPr>
        <w:pStyle w:val="5"/>
        <w:keepNext/>
        <w:numPr>
          <w:numId w:val="0"/>
        </w:numPr>
        <w:spacing w:line="390" w:lineRule="exact" w:before="160" w:after="120"/>
        <w:ind w:firstLine="0"/>
      </w:pPr>
      <w:bookmarkStart w:id="303" w:name="按输入区间查表再落实设备方案"/>
      <w:r>
        <w:rPr>
          <w:rFonts w:ascii="Times New Roman" w:hAnsi="Times New Roman" w:eastAsia="方正仿宋_GBK"/>
          <w:b/>
          <w:sz w:val="26"/>
        </w:rPr>
        <w:t xml:space="preserve">6.2.1 按输入区间查表，再落实设备方案</w:t>
      </w:r>
      <w:bookmarkEnd w:id="303"/>
    </w:p>
    <w:p>
      <w:pPr>
        <w:pStyle w:val="FirstParagraph"/>
        <w:widowControl/>
        <w:spacing w:line="348" w:lineRule="exact" w:before="0" w:after="0"/>
        <w:ind w:firstLine="480"/>
        <w:jc w:val="both"/>
      </w:pPr>
      <w:r>
        <w:rPr>
          <w:rFonts w:ascii="Times New Roman" w:hAnsi="Times New Roman" w:eastAsia="方正仿宋_GBK"/>
          <w:b w:val="0"/>
          <w:sz w:val="24"/>
        </w:rPr>
        <w:t xml:space="preserve">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304" w:name="核实分区转供能力与储能支撑条件"/>
      <w:r>
        <w:rPr>
          <w:rFonts w:ascii="Times New Roman" w:hAnsi="Times New Roman" w:eastAsia="方正仿宋_GBK"/>
          <w:b/>
          <w:sz w:val="26"/>
        </w:rPr>
        <w:t xml:space="preserve">6.2.2 核实分区转供能力与储能支撑条件</w:t>
      </w:r>
      <w:bookmarkEnd w:id="304"/>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储能正向支撑持续时间采用邳州2 h、市区6 h，推广比较2、4、6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305" w:name="随数据和工程条件更新结果"/>
      <w:r>
        <w:rPr>
          <w:rFonts w:ascii="Times New Roman" w:hAnsi="Times New Roman" w:eastAsia="方正仿宋_GBK"/>
          <w:b/>
          <w:sz w:val="26"/>
        </w:rPr>
        <w:t xml:space="preserve">6.2.3 随数据和工程条件更新结果</w:t>
      </w:r>
      <w:bookmarkEnd w:id="305"/>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151" w:name="h1151"/>
      <w:bookmarkStart w:id="306" w:name="后续研究方向"/>
      <w:r>
        <w:rPr>
          <w:rFonts w:ascii="Times New Roman" w:hAnsi="Times New Roman" w:eastAsia="方正仿宋_GBK"/>
          <w:b/>
          <w:sz w:val="32"/>
        </w:rPr>
        <w:t xml:space="preserve">6.3 后续研究方向</w:t>
      </w:r>
      <w:bookmarkEnd w:id="306"/>
      <w:bookmarkEnd w:id="2151"/>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市区45个、邳州26个同期静态截面，覆盖地区和各站局部极值，既有等效通道及部分设备条件采用研究假设，后续结合真实接线补充逐时荷电状态、电压和保护校核。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307" w:name="深化储能运行与实际网络校核"/>
      <w:r>
        <w:rPr>
          <w:rFonts w:ascii="Times New Roman" w:hAnsi="Times New Roman" w:eastAsia="方正仿宋_GBK"/>
          <w:b/>
          <w:sz w:val="26"/>
        </w:rPr>
        <w:t xml:space="preserve">6.3.1 深化储能运行与实际网络校核</w:t>
      </w:r>
      <w:bookmarkEnd w:id="307"/>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308" w:name="拓展片区结构和经济参数"/>
      <w:r>
        <w:rPr>
          <w:rFonts w:ascii="Times New Roman" w:hAnsi="Times New Roman" w:eastAsia="方正仿宋_GBK"/>
          <w:b/>
          <w:sz w:val="26"/>
        </w:rPr>
        <w:t xml:space="preserve">6.3.2 拓展片区结构和经济参数</w:t>
      </w:r>
      <w:bookmarkEnd w:id="308"/>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157" w:name="h1157"/>
      <w:bookmarkStart w:id="309" w:name="参考文献"/>
      <w:r>
        <w:rPr>
          <w:rFonts w:ascii="Times New Roman" w:hAnsi="Times New Roman" w:eastAsia="方正仿宋_GBK"/>
          <w:b/>
          <w:sz w:val="36"/>
        </w:rPr>
        <w:t xml:space="preserve">参考文献</w:t>
      </w:r>
      <w:bookmarkEnd w:id="309"/>
      <w:bookmarkEnd w:id="2157"/>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国家能源局举行新闻发布会 介绍2026年一季度可再生能源并网运行情况[EB/OL].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[89]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[92]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[93]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[94]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204" Type="http://schemas.openxmlformats.org/officeDocument/2006/relationships/image" Target="media/rId204.png"/><Relationship Id="rId98" Type="http://schemas.openxmlformats.org/officeDocument/2006/relationships/image" Target="media/rId98.png"/><Relationship Id="rId114" Type="http://schemas.openxmlformats.org/officeDocument/2006/relationships/image" Target="media/rId114.png"/><Relationship Id="rId205" Type="http://schemas.openxmlformats.org/officeDocument/2006/relationships/image" Target="media/rId205.png"/><Relationship Id="rId137" Type="http://schemas.openxmlformats.org/officeDocument/2006/relationships/image" Target="media/rId137.png"/><Relationship Id="rId117" Type="http://schemas.openxmlformats.org/officeDocument/2006/relationships/image" Target="media/rId117.png"/><Relationship Id="rId113" Type="http://schemas.openxmlformats.org/officeDocument/2006/relationships/image" Target="media/rId113.png"/><Relationship Id="rId261" Type="http://schemas.openxmlformats.org/officeDocument/2006/relationships/image" Target="media/rId261.png"/><Relationship Id="rId283" Type="http://schemas.openxmlformats.org/officeDocument/2006/relationships/image" Target="media/rId283.png"/><Relationship Id="rId287" Type="http://schemas.openxmlformats.org/officeDocument/2006/relationships/image" Target="media/rId287.png"/><Relationship Id="rId285" Type="http://schemas.openxmlformats.org/officeDocument/2006/relationships/image" Target="media/rId285.png"/><Relationship Id="rId289" Type="http://schemas.openxmlformats.org/officeDocument/2006/relationships/image" Target="media/rId289.png"/><Relationship Id="rId279" Type="http://schemas.openxmlformats.org/officeDocument/2006/relationships/image" Target="media/rId279.png"/><Relationship Id="rId128" Type="http://schemas.openxmlformats.org/officeDocument/2006/relationships/image" Target="media/rId128.png"/><Relationship Id="rId281" Type="http://schemas.openxmlformats.org/officeDocument/2006/relationships/image" Target="media/rId281.png"/><Relationship Id="rId99" Type="http://schemas.openxmlformats.org/officeDocument/2006/relationships/image" Target="media/rId99.png"/><Relationship Id="rId143" Type="http://schemas.openxmlformats.org/officeDocument/2006/relationships/image" Target="media/rId143.png"/><Relationship Id="rId125" Type="http://schemas.openxmlformats.org/officeDocument/2006/relationships/image" Target="media/rId125.png"/><Relationship Id="rId264" Type="http://schemas.openxmlformats.org/officeDocument/2006/relationships/image" Target="media/rId264.png"/><Relationship Id="rId208" Type="http://schemas.openxmlformats.org/officeDocument/2006/relationships/image" Target="media/rId208.png"/><Relationship Id="rId179" Type="http://schemas.openxmlformats.org/officeDocument/2006/relationships/image" Target="media/rId179.png"/><Relationship Id="rId163" Type="http://schemas.openxmlformats.org/officeDocument/2006/relationships/image" Target="media/rId163.png"/><Relationship Id="rId110" Type="http://schemas.openxmlformats.org/officeDocument/2006/relationships/image" Target="media/rId110.png"/><Relationship Id="rId273" Type="http://schemas.openxmlformats.org/officeDocument/2006/relationships/image" Target="media/rId273.png"/><Relationship Id="rId209" Type="http://schemas.openxmlformats.org/officeDocument/2006/relationships/image" Target="media/rId209.png"/><Relationship Id="rId202" Type="http://schemas.openxmlformats.org/officeDocument/2006/relationships/image" Target="media/rId202.png"/><Relationship Id="rId135" Type="http://schemas.openxmlformats.org/officeDocument/2006/relationships/image" Target="media/rId135.png"/><Relationship Id="rId116" Type="http://schemas.openxmlformats.org/officeDocument/2006/relationships/image" Target="media/rId116.png"/><Relationship Id="rId112" Type="http://schemas.openxmlformats.org/officeDocument/2006/relationships/image" Target="media/rId112.png"/><Relationship Id="rId233" Type="http://schemas.openxmlformats.org/officeDocument/2006/relationships/image" Target="media/rId233.png"/><Relationship Id="rId211" Type="http://schemas.openxmlformats.org/officeDocument/2006/relationships/image" Target="media/rId211.png"/><Relationship Id="rId210" Type="http://schemas.openxmlformats.org/officeDocument/2006/relationships/image" Target="media/rId210.png"/><Relationship Id="rId275" Type="http://schemas.openxmlformats.org/officeDocument/2006/relationships/image" Target="media/rId275.png"/><Relationship Id="rId104" Type="http://schemas.openxmlformats.org/officeDocument/2006/relationships/image" Target="media/rId104.png"/><Relationship Id="rId145" Type="http://schemas.openxmlformats.org/officeDocument/2006/relationships/image" Target="media/rId145.png"/><Relationship Id="rId119" Type="http://schemas.openxmlformats.org/officeDocument/2006/relationships/image" Target="media/rId119.png"/><Relationship Id="rId169" Type="http://schemas.openxmlformats.org/officeDocument/2006/relationships/image" Target="media/rId169.png"/><Relationship Id="rId170" Type="http://schemas.openxmlformats.org/officeDocument/2006/relationships/image" Target="media/rId170.png"/><Relationship Id="rId42" Type="http://schemas.openxmlformats.org/officeDocument/2006/relationships/image" Target="media/rId42.png"/><Relationship Id="rId155" Type="http://schemas.openxmlformats.org/officeDocument/2006/relationships/image" Target="media/rId155.png"/><Relationship Id="rId157" Type="http://schemas.openxmlformats.org/officeDocument/2006/relationships/image" Target="media/rId157.png"/><Relationship Id="rId277" Type="http://schemas.openxmlformats.org/officeDocument/2006/relationships/image" Target="media/rId277.png"/><Relationship Id="rId268" Type="http://schemas.openxmlformats.org/officeDocument/2006/relationships/image" Target="media/rId26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153</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2026-10-16T05:05:09Z</dcterms:created>
  <dcterms:modified xsi:type="dcterms:W3CDTF">2026-10-16T05:05:09Z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