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2-1 </w:t>
      </w:r>
      <w:r>
        <w:rPr>
          <w:rFonts w:ascii="Microsoft YaHei" w:hAnsi="Microsoft YaHei" w:eastAsia="微软雅黑"/>
          <w:sz w:val="22"/>
        </w:rPr>
        <w:t>国内外研究主题与工程应用关注点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5"/>
        <w:gridCol w:w="1878"/>
        <w:gridCol w:w="2367"/>
        <w:gridCol w:w="2694"/>
      </w:tblGrid>
      <w:tr>
        <w:trPr>
          <w:cantSplit/>
          <w:tblHeader/>
        </w:trPr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研究主题</w:t>
            </w:r>
          </w:p>
        </w:tc>
        <w:tc>
          <w:tcPr>
            <w:tcW w:type="dxa" w:w="187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现有综述位置</w:t>
            </w:r>
          </w:p>
        </w:tc>
        <w:tc>
          <w:tcPr>
            <w:tcW w:type="dxa" w:w="2367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工程关注点</w:t>
            </w:r>
          </w:p>
        </w:tc>
        <w:tc>
          <w:tcPr>
            <w:tcW w:type="dxa" w:w="269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本课题研究内容</w:t>
            </w:r>
          </w:p>
        </w:tc>
      </w:tr>
      <w:tr>
        <w:trPr>
          <w:cantSplit/>
        </w:trPr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承载力评价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国外综述</w:t>
            </w:r>
            <w:r>
              <w:rPr>
                <w:rFonts w:ascii="Times New Roman" w:hAnsi="Times New Roman" w:eastAsia="微软雅黑"/>
                <w:sz w:val="18"/>
              </w:rPr>
              <w:t>2.1</w:t>
            </w:r>
            <w:r>
              <w:rPr>
                <w:rFonts w:ascii="Microsoft YaHei" w:hAnsi="Microsoft YaHei" w:eastAsia="微软雅黑"/>
                <w:sz w:val="18"/>
              </w:rPr>
              <w:t>；国内综述</w:t>
            </w:r>
            <w:r>
              <w:rPr>
                <w:rFonts w:ascii="Times New Roman" w:hAnsi="Times New Roman" w:eastAsia="微软雅黑"/>
                <w:sz w:val="18"/>
              </w:rPr>
              <w:t>3.2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接入容量、网络条件与评价边界</w:t>
            </w:r>
          </w:p>
        </w:tc>
        <w:tc>
          <w:tcPr>
            <w:tcW w:type="dxa" w:w="269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结合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容量配置开展规划比选</w:t>
            </w:r>
          </w:p>
        </w:tc>
      </w:tr>
      <w:tr>
        <w:trPr>
          <w:cantSplit/>
        </w:trPr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运行特征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国外综述</w:t>
            </w:r>
            <w:r>
              <w:rPr>
                <w:rFonts w:ascii="Times New Roman" w:hAnsi="Times New Roman" w:eastAsia="微软雅黑"/>
                <w:sz w:val="18"/>
              </w:rPr>
              <w:t>2.2</w:t>
            </w:r>
            <w:r>
              <w:rPr>
                <w:rFonts w:ascii="Microsoft YaHei" w:hAnsi="Microsoft YaHei" w:eastAsia="微软雅黑"/>
                <w:sz w:val="18"/>
              </w:rPr>
              <w:t>；国内综述</w:t>
            </w:r>
            <w:r>
              <w:rPr>
                <w:rFonts w:ascii="Times New Roman" w:hAnsi="Times New Roman" w:eastAsia="微软雅黑"/>
                <w:sz w:val="18"/>
              </w:rPr>
              <w:t>3.3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净负荷、反向潮流与电压问题</w:t>
            </w:r>
          </w:p>
        </w:tc>
        <w:tc>
          <w:tcPr>
            <w:tcW w:type="dxa" w:w="269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区分区域正向净峰与站级反向峰</w:t>
            </w:r>
          </w:p>
        </w:tc>
      </w:tr>
      <w:tr>
        <w:trPr>
          <w:cantSplit/>
        </w:trPr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灵活资源与网架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国外综述</w:t>
            </w:r>
            <w:r>
              <w:rPr>
                <w:rFonts w:ascii="Times New Roman" w:hAnsi="Times New Roman" w:eastAsia="微软雅黑"/>
                <w:sz w:val="18"/>
              </w:rPr>
              <w:t>2.3</w:t>
            </w:r>
            <w:r>
              <w:rPr>
                <w:rFonts w:ascii="Microsoft YaHei" w:hAnsi="Microsoft YaHei" w:eastAsia="微软雅黑"/>
                <w:sz w:val="18"/>
              </w:rPr>
              <w:t>；国内综述</w:t>
            </w:r>
            <w:r>
              <w:rPr>
                <w:rFonts w:ascii="Times New Roman" w:hAnsi="Times New Roman" w:eastAsia="微软雅黑"/>
                <w:sz w:val="18"/>
              </w:rPr>
              <w:t>3.4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储能、网络增强及协同配置</w:t>
            </w:r>
          </w:p>
        </w:tc>
        <w:tc>
          <w:tcPr>
            <w:tcW w:type="dxa" w:w="269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比较主变、储能及已具备资料的局部互济</w:t>
            </w:r>
          </w:p>
        </w:tc>
      </w:tr>
      <w:tr>
        <w:trPr>
          <w:cantSplit/>
        </w:trPr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费用与决策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国外综述</w:t>
            </w:r>
            <w:r>
              <w:rPr>
                <w:rFonts w:ascii="Times New Roman" w:hAnsi="Times New Roman" w:eastAsia="微软雅黑"/>
                <w:sz w:val="18"/>
              </w:rPr>
              <w:t>2.4</w:t>
            </w:r>
            <w:r>
              <w:rPr>
                <w:rFonts w:ascii="Microsoft YaHei" w:hAnsi="Microsoft YaHei" w:eastAsia="微软雅黑"/>
                <w:sz w:val="18"/>
              </w:rPr>
              <w:t>；国内综述</w:t>
            </w:r>
            <w:r>
              <w:rPr>
                <w:rFonts w:ascii="Times New Roman" w:hAnsi="Times New Roman" w:eastAsia="微软雅黑"/>
                <w:sz w:val="18"/>
              </w:rPr>
              <w:t>3.5</w:t>
            </w:r>
            <w:r>
              <w:rPr>
                <w:rFonts w:ascii="Microsoft YaHei" w:hAnsi="Microsoft YaHei" w:eastAsia="微软雅黑"/>
                <w:sz w:val="18"/>
              </w:rPr>
              <w:t>至</w:t>
            </w:r>
            <w:r>
              <w:rPr>
                <w:rFonts w:ascii="Times New Roman" w:hAnsi="Times New Roman" w:eastAsia="微软雅黑"/>
                <w:sz w:val="18"/>
              </w:rPr>
              <w:t>3.6</w:t>
            </w:r>
          </w:p>
        </w:tc>
        <w:tc>
          <w:tcPr>
            <w:tcW w:type="dxa" w:w="2367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投资、更新、运维与差异化投资</w:t>
            </w:r>
          </w:p>
        </w:tc>
        <w:tc>
          <w:tcPr>
            <w:tcW w:type="dxa" w:w="269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以统一评价期费用比较完整规划路径</w:t>
            </w:r>
          </w:p>
        </w:tc>
      </w:tr>
      <w:tr>
        <w:trPr>
          <w:cantSplit/>
        </w:trPr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区域案例</w:t>
            </w:r>
          </w:p>
        </w:tc>
        <w:tc>
          <w:tcPr>
            <w:tcW w:type="dxa" w:w="187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国内综述</w:t>
            </w:r>
            <w:r>
              <w:rPr>
                <w:rFonts w:ascii="Times New Roman" w:hAnsi="Times New Roman" w:eastAsia="微软雅黑"/>
                <w:sz w:val="18"/>
              </w:rPr>
              <w:t>3.7</w:t>
            </w:r>
            <w:r>
              <w:rPr>
                <w:rFonts w:ascii="Microsoft YaHei" w:hAnsi="Microsoft YaHei" w:eastAsia="微软雅黑"/>
                <w:sz w:val="18"/>
              </w:rPr>
              <w:t>；综述第</w:t>
            </w:r>
            <w:r>
              <w:rPr>
                <w:rFonts w:ascii="Times New Roman" w:hAnsi="Times New Roman" w:eastAsia="微软雅黑"/>
                <w:sz w:val="18"/>
              </w:rPr>
              <w:t>4</w:t>
            </w:r>
            <w:r>
              <w:rPr>
                <w:rFonts w:ascii="Microsoft YaHei" w:hAnsi="Microsoft YaHei" w:eastAsia="微软雅黑"/>
                <w:sz w:val="18"/>
              </w:rPr>
              <w:t>章</w:t>
            </w:r>
          </w:p>
        </w:tc>
        <w:tc>
          <w:tcPr>
            <w:tcW w:type="dxa" w:w="2367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研究尺度与案例应用</w:t>
            </w:r>
          </w:p>
        </w:tc>
        <w:tc>
          <w:tcPr>
            <w:tcW w:type="dxa" w:w="269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分析邳州及市区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站的配置差异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注：按现有研究综述归纳主题。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