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微软雅黑"/>
          <w:sz w:val="22"/>
        </w:rPr>
        <w:t>表</w:t>
      </w:r>
      <w:r>
        <w:rPr>
          <w:rFonts w:ascii="Times New Roman" w:hAnsi="Times New Roman" w:eastAsia="微软雅黑"/>
          <w:sz w:val="22"/>
        </w:rPr>
        <w:t xml:space="preserve">3-2 </w:t>
      </w:r>
      <w:r>
        <w:rPr>
          <w:rFonts w:ascii="Microsoft YaHei" w:hAnsi="Microsoft YaHei" w:eastAsia="微软雅黑"/>
          <w:sz w:val="22"/>
        </w:rPr>
        <w:t>各区域</w:t>
      </w:r>
      <w:r>
        <w:rPr>
          <w:rFonts w:ascii="Times New Roman" w:hAnsi="Times New Roman" w:eastAsia="微软雅黑"/>
          <w:sz w:val="22"/>
        </w:rPr>
        <w:t>110 kV</w:t>
      </w:r>
      <w:r>
        <w:rPr>
          <w:rFonts w:ascii="Microsoft YaHei" w:hAnsi="Microsoft YaHei" w:eastAsia="微软雅黑"/>
          <w:sz w:val="22"/>
        </w:rPr>
        <w:t>基础指标（</w:t>
      </w:r>
      <w:r>
        <w:rPr>
          <w:rFonts w:ascii="Times New Roman" w:hAnsi="Times New Roman" w:eastAsia="微软雅黑"/>
          <w:sz w:val="22"/>
        </w:rPr>
        <w:t>2025</w:t>
      </w:r>
      <w:r>
        <w:rPr>
          <w:rFonts w:ascii="Microsoft YaHei" w:hAnsi="Microsoft YaHei" w:eastAsia="微软雅黑"/>
          <w:sz w:val="22"/>
        </w:rPr>
        <w:t>年）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43"/>
        <w:gridCol w:w="1714"/>
        <w:gridCol w:w="1796"/>
        <w:gridCol w:w="1714"/>
        <w:gridCol w:w="1796"/>
      </w:tblGrid>
      <w:tr>
        <w:trPr>
          <w:cantSplit/>
          <w:tblHeader/>
        </w:trPr>
        <w:tc>
          <w:tcPr>
            <w:tcW w:type="dxa" w:w="1143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区域</w:t>
            </w:r>
          </w:p>
        </w:tc>
        <w:tc>
          <w:tcPr>
            <w:tcW w:type="dxa" w:w="1714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主变容量</w:t>
            </w:r>
            <w:r>
              <w:rPr>
                <w:rFonts w:ascii="Times New Roman" w:hAnsi="Times New Roman" w:eastAsia="微软雅黑"/>
                <w:sz w:val="18"/>
              </w:rPr>
              <w:br/>
            </w:r>
            <w:r>
              <w:rPr>
                <w:rFonts w:ascii="Microsoft YaHei" w:hAnsi="Microsoft YaHei" w:eastAsia="微软雅黑"/>
                <w:sz w:val="18"/>
              </w:rPr>
              <w:t>（</w:t>
            </w:r>
            <w:r>
              <w:rPr>
                <w:rFonts w:ascii="Times New Roman" w:hAnsi="Times New Roman" w:eastAsia="微软雅黑"/>
                <w:sz w:val="18"/>
              </w:rPr>
              <w:t>MVA</w:t>
            </w:r>
            <w:r>
              <w:rPr>
                <w:rFonts w:ascii="Microsoft YaHei" w:hAnsi="Microsoft YaHei" w:eastAsia="微软雅黑"/>
                <w:sz w:val="18"/>
              </w:rPr>
              <w:t>）</w:t>
            </w:r>
          </w:p>
        </w:tc>
        <w:tc>
          <w:tcPr>
            <w:tcW w:type="dxa" w:w="1796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降压峰</w:t>
            </w:r>
            <w:r>
              <w:rPr>
                <w:rFonts w:ascii="Times New Roman" w:hAnsi="Times New Roman" w:eastAsia="微软雅黑"/>
                <w:sz w:val="18"/>
              </w:rPr>
              <w:br/>
            </w:r>
            <w:r>
              <w:rPr>
                <w:rFonts w:ascii="Microsoft YaHei" w:hAnsi="Microsoft YaHei" w:eastAsia="微软雅黑"/>
                <w:sz w:val="18"/>
              </w:rPr>
              <w:t>（</w:t>
            </w:r>
            <w:r>
              <w:rPr>
                <w:rFonts w:ascii="Times New Roman" w:hAnsi="Times New Roman" w:eastAsia="微软雅黑"/>
                <w:sz w:val="18"/>
              </w:rPr>
              <w:t>MW</w:t>
            </w:r>
            <w:r>
              <w:rPr>
                <w:rFonts w:ascii="Microsoft YaHei" w:hAnsi="Microsoft YaHei" w:eastAsia="微软雅黑"/>
                <w:sz w:val="18"/>
              </w:rPr>
              <w:t>）</w:t>
            </w:r>
          </w:p>
        </w:tc>
        <w:tc>
          <w:tcPr>
            <w:tcW w:type="dxa" w:w="1714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原表容载比</w:t>
            </w:r>
            <w:r>
              <w:rPr>
                <w:rFonts w:ascii="Times New Roman" w:hAnsi="Times New Roman" w:eastAsia="微软雅黑"/>
                <w:sz w:val="18"/>
              </w:rPr>
              <w:br/>
            </w:r>
            <w:r>
              <w:rPr>
                <w:rFonts w:ascii="Microsoft YaHei" w:hAnsi="Microsoft YaHei" w:eastAsia="微软雅黑"/>
                <w:sz w:val="18"/>
              </w:rPr>
              <w:t>（</w:t>
            </w:r>
            <w:r>
              <w:rPr>
                <w:rFonts w:ascii="Times New Roman" w:hAnsi="Times New Roman" w:eastAsia="微软雅黑"/>
                <w:sz w:val="18"/>
              </w:rPr>
              <w:t>MVA/MW</w:t>
            </w:r>
            <w:r>
              <w:rPr>
                <w:rFonts w:ascii="Microsoft YaHei" w:hAnsi="Microsoft YaHei" w:eastAsia="微软雅黑"/>
                <w:sz w:val="18"/>
              </w:rPr>
              <w:t>）</w:t>
            </w:r>
          </w:p>
        </w:tc>
        <w:tc>
          <w:tcPr>
            <w:tcW w:type="dxa" w:w="1796"/>
            <w:tcBorders>
              <w:top w:val="single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  <w:jc w:val="center"/>
            </w:pPr>
            <w:r>
              <w:rPr>
                <w:rFonts w:ascii="Microsoft YaHei" w:hAnsi="Microsoft YaHei" w:eastAsia="微软雅黑"/>
                <w:sz w:val="18"/>
              </w:rPr>
              <w:t>容量</w:t>
            </w:r>
            <w:r>
              <w:rPr>
                <w:rFonts w:ascii="Times New Roman" w:hAnsi="Times New Roman" w:eastAsia="微软雅黑"/>
                <w:sz w:val="18"/>
              </w:rPr>
              <w:t>/</w:t>
            </w:r>
            <w:r>
              <w:rPr>
                <w:rFonts w:ascii="Microsoft YaHei" w:hAnsi="Microsoft YaHei" w:eastAsia="微软雅黑"/>
                <w:sz w:val="18"/>
              </w:rPr>
              <w:t>降压峰</w:t>
            </w:r>
            <w:r>
              <w:rPr>
                <w:rFonts w:ascii="Times New Roman" w:hAnsi="Times New Roman" w:eastAsia="微软雅黑"/>
                <w:sz w:val="18"/>
              </w:rPr>
              <w:br/>
            </w:r>
            <w:r>
              <w:rPr>
                <w:rFonts w:ascii="Microsoft YaHei" w:hAnsi="Microsoft YaHei" w:eastAsia="微软雅黑"/>
                <w:sz w:val="18"/>
              </w:rPr>
              <w:t>（</w:t>
            </w:r>
            <w:r>
              <w:rPr>
                <w:rFonts w:ascii="Times New Roman" w:hAnsi="Times New Roman" w:eastAsia="微软雅黑"/>
                <w:sz w:val="18"/>
              </w:rPr>
              <w:t>MVA/MW</w:t>
            </w:r>
            <w:r>
              <w:rPr>
                <w:rFonts w:ascii="Microsoft YaHei" w:hAnsi="Microsoft YaHei" w:eastAsia="微软雅黑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1143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市区</w:t>
            </w:r>
          </w:p>
        </w:tc>
        <w:tc>
          <w:tcPr>
            <w:tcW w:type="dxa" w:w="1714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3701.0</w:t>
            </w:r>
          </w:p>
        </w:tc>
        <w:tc>
          <w:tcPr>
            <w:tcW w:type="dxa" w:w="1796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1528.820</w:t>
            </w:r>
          </w:p>
        </w:tc>
        <w:tc>
          <w:tcPr>
            <w:tcW w:type="dxa" w:w="1714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2.420</w:t>
            </w:r>
          </w:p>
        </w:tc>
        <w:tc>
          <w:tcPr>
            <w:tcW w:type="dxa" w:w="1796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2.421</w:t>
            </w:r>
          </w:p>
        </w:tc>
      </w:tr>
      <w:tr>
        <w:trPr>
          <w:cantSplit/>
        </w:trPr>
        <w:tc>
          <w:tcPr>
            <w:tcW w:type="dxa" w:w="1143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贾汪</w:t>
            </w:r>
          </w:p>
        </w:tc>
        <w:tc>
          <w:tcPr>
            <w:tcW w:type="dxa" w:w="1714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966.5</w:t>
            </w:r>
          </w:p>
        </w:tc>
        <w:tc>
          <w:tcPr>
            <w:tcW w:type="dxa" w:w="1796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313.030</w:t>
            </w:r>
          </w:p>
        </w:tc>
        <w:tc>
          <w:tcPr>
            <w:tcW w:type="dxa" w:w="1714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3.090</w:t>
            </w:r>
          </w:p>
        </w:tc>
        <w:tc>
          <w:tcPr>
            <w:tcW w:type="dxa" w:w="1796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3.088</w:t>
            </w:r>
          </w:p>
        </w:tc>
      </w:tr>
      <w:tr>
        <w:trPr>
          <w:cantSplit/>
        </w:trPr>
        <w:tc>
          <w:tcPr>
            <w:tcW w:type="dxa" w:w="1143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邳州</w:t>
            </w:r>
          </w:p>
        </w:tc>
        <w:tc>
          <w:tcPr>
            <w:tcW w:type="dxa" w:w="1714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2139.5</w:t>
            </w:r>
          </w:p>
        </w:tc>
        <w:tc>
          <w:tcPr>
            <w:tcW w:type="dxa" w:w="1796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956.450</w:t>
            </w:r>
          </w:p>
        </w:tc>
        <w:tc>
          <w:tcPr>
            <w:tcW w:type="dxa" w:w="1714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2.240</w:t>
            </w:r>
          </w:p>
        </w:tc>
        <w:tc>
          <w:tcPr>
            <w:tcW w:type="dxa" w:w="1796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2.237</w:t>
            </w:r>
          </w:p>
        </w:tc>
      </w:tr>
      <w:tr>
        <w:trPr>
          <w:cantSplit/>
        </w:trPr>
        <w:tc>
          <w:tcPr>
            <w:tcW w:type="dxa" w:w="1143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新沂</w:t>
            </w:r>
          </w:p>
        </w:tc>
        <w:tc>
          <w:tcPr>
            <w:tcW w:type="dxa" w:w="1714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1979.5</w:t>
            </w:r>
          </w:p>
        </w:tc>
        <w:tc>
          <w:tcPr>
            <w:tcW w:type="dxa" w:w="1796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734.910</w:t>
            </w:r>
          </w:p>
        </w:tc>
        <w:tc>
          <w:tcPr>
            <w:tcW w:type="dxa" w:w="1714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2.690</w:t>
            </w:r>
          </w:p>
        </w:tc>
        <w:tc>
          <w:tcPr>
            <w:tcW w:type="dxa" w:w="1796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2.694</w:t>
            </w:r>
          </w:p>
        </w:tc>
      </w:tr>
      <w:tr>
        <w:trPr>
          <w:cantSplit/>
        </w:trPr>
        <w:tc>
          <w:tcPr>
            <w:tcW w:type="dxa" w:w="1143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铜山</w:t>
            </w:r>
          </w:p>
        </w:tc>
        <w:tc>
          <w:tcPr>
            <w:tcW w:type="dxa" w:w="1714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1877.0</w:t>
            </w:r>
          </w:p>
        </w:tc>
        <w:tc>
          <w:tcPr>
            <w:tcW w:type="dxa" w:w="1796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813.380</w:t>
            </w:r>
          </w:p>
        </w:tc>
        <w:tc>
          <w:tcPr>
            <w:tcW w:type="dxa" w:w="1714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2.310</w:t>
            </w:r>
          </w:p>
        </w:tc>
        <w:tc>
          <w:tcPr>
            <w:tcW w:type="dxa" w:w="1796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2.308</w:t>
            </w:r>
          </w:p>
        </w:tc>
      </w:tr>
      <w:tr>
        <w:trPr>
          <w:cantSplit/>
        </w:trPr>
        <w:tc>
          <w:tcPr>
            <w:tcW w:type="dxa" w:w="1143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丰县</w:t>
            </w:r>
          </w:p>
        </w:tc>
        <w:tc>
          <w:tcPr>
            <w:tcW w:type="dxa" w:w="1714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1425.0</w:t>
            </w:r>
          </w:p>
        </w:tc>
        <w:tc>
          <w:tcPr>
            <w:tcW w:type="dxa" w:w="1796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544.550</w:t>
            </w:r>
          </w:p>
        </w:tc>
        <w:tc>
          <w:tcPr>
            <w:tcW w:type="dxa" w:w="1714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2.620</w:t>
            </w:r>
          </w:p>
        </w:tc>
        <w:tc>
          <w:tcPr>
            <w:tcW w:type="dxa" w:w="1796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2.617</w:t>
            </w:r>
          </w:p>
        </w:tc>
      </w:tr>
      <w:tr>
        <w:trPr>
          <w:cantSplit/>
        </w:trPr>
        <w:tc>
          <w:tcPr>
            <w:tcW w:type="dxa" w:w="1143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沛县</w:t>
            </w:r>
          </w:p>
        </w:tc>
        <w:tc>
          <w:tcPr>
            <w:tcW w:type="dxa" w:w="1714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2094.0</w:t>
            </w:r>
          </w:p>
        </w:tc>
        <w:tc>
          <w:tcPr>
            <w:tcW w:type="dxa" w:w="1796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634.280</w:t>
            </w:r>
          </w:p>
        </w:tc>
        <w:tc>
          <w:tcPr>
            <w:tcW w:type="dxa" w:w="1714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3.300</w:t>
            </w:r>
          </w:p>
        </w:tc>
        <w:tc>
          <w:tcPr>
            <w:tcW w:type="dxa" w:w="1796"/>
            <w:tcBorders>
              <w:top w:val="nil" w:sz="6"/>
              <w:bottom w:val="nil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3.301</w:t>
            </w:r>
          </w:p>
        </w:tc>
      </w:tr>
      <w:tr>
        <w:trPr>
          <w:cantSplit/>
        </w:trPr>
        <w:tc>
          <w:tcPr>
            <w:tcW w:type="dxa" w:w="1143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微软雅黑"/>
                <w:sz w:val="18"/>
              </w:rPr>
              <w:t>睢宁</w:t>
            </w:r>
          </w:p>
        </w:tc>
        <w:tc>
          <w:tcPr>
            <w:tcW w:type="dxa" w:w="1714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1839.0</w:t>
            </w:r>
          </w:p>
        </w:tc>
        <w:tc>
          <w:tcPr>
            <w:tcW w:type="dxa" w:w="1796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759.560</w:t>
            </w:r>
          </w:p>
        </w:tc>
        <w:tc>
          <w:tcPr>
            <w:tcW w:type="dxa" w:w="1714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2.420</w:t>
            </w:r>
          </w:p>
        </w:tc>
        <w:tc>
          <w:tcPr>
            <w:tcW w:type="dxa" w:w="1796"/>
            <w:tcBorders>
              <w:top w:val="nil" w:sz="6"/>
              <w:bottom w:val="single" w:sz="6"/>
              <w:left w:val="nil" w:sz="6"/>
              <w:right w:val="nil" w:sz="6"/>
            </w:tcBorders>
          </w:tcPr>
          <w:p>
            <w:pPr>
              <w:spacing w:after="40" w:before="40" w:line="264" w:lineRule="auto"/>
            </w:pPr>
            <w:r>
              <w:rPr>
                <w:rFonts w:ascii="Times New Roman" w:hAnsi="Times New Roman" w:eastAsia="微软雅黑"/>
                <w:sz w:val="18"/>
              </w:rPr>
              <w:t>2.421</w:t>
            </w:r>
          </w:p>
        </w:tc>
      </w:tr>
    </w:tbl>
    <w:p>
      <w:r>
        <w:rPr>
          <w:rFonts w:ascii="Microsoft YaHei" w:hAnsi="Microsoft YaHei" w:eastAsia="微软雅黑"/>
          <w:sz w:val="16"/>
        </w:rPr>
        <w:t>注：按区域原表统计；原表比值保留原始舍入，末列另行计算。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