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sz w:val="22"/>
        </w:rPr>
        <w:t>表</w:t>
      </w:r>
      <w:r>
        <w:rPr>
          <w:rFonts w:ascii="Times New Roman" w:hAnsi="Times New Roman" w:eastAsia="微软雅黑"/>
          <w:sz w:val="22"/>
        </w:rPr>
        <w:t xml:space="preserve">3-3 </w:t>
      </w:r>
      <w:r>
        <w:rPr>
          <w:rFonts w:ascii="Microsoft YaHei" w:hAnsi="Microsoft YaHei" w:eastAsia="微软雅黑"/>
          <w:sz w:val="22"/>
        </w:rPr>
        <w:t>研究单元运行特征指标（</w:t>
      </w:r>
      <w:r>
        <w:rPr>
          <w:rFonts w:ascii="Times New Roman" w:hAnsi="Times New Roman" w:eastAsia="微软雅黑"/>
          <w:sz w:val="22"/>
        </w:rPr>
        <w:t>2025</w:t>
      </w:r>
      <w:r>
        <w:rPr>
          <w:rFonts w:ascii="Microsoft YaHei" w:hAnsi="Microsoft YaHei" w:eastAsia="微软雅黑"/>
          <w:sz w:val="22"/>
        </w:rPr>
        <w:t>年）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23"/>
        <w:gridCol w:w="1714"/>
        <w:gridCol w:w="1714"/>
        <w:gridCol w:w="1306"/>
        <w:gridCol w:w="1306"/>
      </w:tblGrid>
      <w:tr>
        <w:trPr>
          <w:cantSplit/>
          <w:tblHeader/>
        </w:trPr>
        <w:tc>
          <w:tcPr>
            <w:tcW w:type="dxa" w:w="2123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研究单元</w:t>
            </w:r>
          </w:p>
        </w:tc>
        <w:tc>
          <w:tcPr>
            <w:tcW w:type="dxa" w:w="1714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正向参考净峰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（</w:t>
            </w:r>
            <w:r>
              <w:rPr>
                <w:rFonts w:ascii="Times New Roman" w:hAnsi="Times New Roman" w:eastAsia="微软雅黑"/>
                <w:sz w:val="18"/>
              </w:rPr>
              <w:t>MW</w:t>
            </w:r>
            <w:r>
              <w:rPr>
                <w:rFonts w:ascii="Microsoft YaHei" w:hAnsi="Microsoft YaHei" w:eastAsia="微软雅黑"/>
                <w:sz w:val="18"/>
              </w:rPr>
              <w:t>）</w:t>
            </w:r>
          </w:p>
        </w:tc>
        <w:tc>
          <w:tcPr>
            <w:tcW w:type="dxa" w:w="1714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最大站反向峰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（</w:t>
            </w:r>
            <w:r>
              <w:rPr>
                <w:rFonts w:ascii="Times New Roman" w:hAnsi="Times New Roman" w:eastAsia="微软雅黑"/>
                <w:sz w:val="18"/>
              </w:rPr>
              <w:t>MW</w:t>
            </w:r>
            <w:r>
              <w:rPr>
                <w:rFonts w:ascii="Microsoft YaHei" w:hAnsi="Microsoft YaHei" w:eastAsia="微软雅黑"/>
                <w:sz w:val="18"/>
              </w:rPr>
              <w:t>）</w:t>
            </w:r>
          </w:p>
        </w:tc>
        <w:tc>
          <w:tcPr>
            <w:tcW w:type="dxa" w:w="1306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正向尖峰模板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（</w:t>
            </w:r>
            <w:r>
              <w:rPr>
                <w:rFonts w:ascii="Times New Roman" w:hAnsi="Times New Roman" w:eastAsia="微软雅黑"/>
                <w:sz w:val="18"/>
              </w:rPr>
              <w:t>h</w:t>
            </w:r>
            <w:r>
              <w:rPr>
                <w:rFonts w:ascii="Microsoft YaHei" w:hAnsi="Microsoft YaHei" w:eastAsia="微软雅黑"/>
                <w:sz w:val="18"/>
              </w:rPr>
              <w:t>）</w:t>
            </w:r>
          </w:p>
        </w:tc>
        <w:tc>
          <w:tcPr>
            <w:tcW w:type="dxa" w:w="1306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反向尖峰模板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（</w:t>
            </w:r>
            <w:r>
              <w:rPr>
                <w:rFonts w:ascii="Times New Roman" w:hAnsi="Times New Roman" w:eastAsia="微软雅黑"/>
                <w:sz w:val="18"/>
              </w:rPr>
              <w:t>h</w:t>
            </w:r>
            <w:r>
              <w:rPr>
                <w:rFonts w:ascii="Microsoft YaHei" w:hAnsi="Microsoft YaHei" w:eastAsia="微软雅黑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212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</w:t>
            </w:r>
            <w:r>
              <w:rPr>
                <w:rFonts w:ascii="Times New Roman" w:hAnsi="Times New Roman" w:eastAsia="微软雅黑"/>
                <w:sz w:val="18"/>
              </w:rPr>
              <w:t>110 kV</w:t>
            </w:r>
          </w:p>
        </w:tc>
        <w:tc>
          <w:tcPr>
            <w:tcW w:type="dxa" w:w="171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956.450</w:t>
            </w:r>
          </w:p>
        </w:tc>
        <w:tc>
          <w:tcPr>
            <w:tcW w:type="dxa" w:w="171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56.920</w:t>
            </w:r>
          </w:p>
        </w:tc>
        <w:tc>
          <w:tcPr>
            <w:tcW w:type="dxa" w:w="130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4</w:t>
            </w:r>
          </w:p>
        </w:tc>
        <w:tc>
          <w:tcPr>
            <w:tcW w:type="dxa" w:w="130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12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市区</w:t>
            </w:r>
            <w:r>
              <w:rPr>
                <w:rFonts w:ascii="Times New Roman" w:hAnsi="Times New Roman" w:eastAsia="微软雅黑"/>
                <w:sz w:val="18"/>
              </w:rPr>
              <w:t>29</w:t>
            </w:r>
            <w:r>
              <w:rPr>
                <w:rFonts w:ascii="Microsoft YaHei" w:hAnsi="Microsoft YaHei" w:eastAsia="微软雅黑"/>
                <w:sz w:val="18"/>
              </w:rPr>
              <w:t>站</w:t>
            </w:r>
            <w:r>
              <w:rPr>
                <w:rFonts w:ascii="Times New Roman" w:hAnsi="Times New Roman" w:eastAsia="微软雅黑"/>
                <w:sz w:val="18"/>
              </w:rPr>
              <w:t>110 kV</w:t>
            </w:r>
          </w:p>
        </w:tc>
        <w:tc>
          <w:tcPr>
            <w:tcW w:type="dxa" w:w="171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1307.315</w:t>
            </w:r>
          </w:p>
        </w:tc>
        <w:tc>
          <w:tcPr>
            <w:tcW w:type="dxa" w:w="171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30.557</w:t>
            </w:r>
          </w:p>
        </w:tc>
        <w:tc>
          <w:tcPr>
            <w:tcW w:type="dxa" w:w="130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5</w:t>
            </w:r>
          </w:p>
        </w:tc>
        <w:tc>
          <w:tcPr>
            <w:tcW w:type="dxa" w:w="130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23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</w:t>
            </w:r>
            <w:r>
              <w:rPr>
                <w:rFonts w:ascii="Times New Roman" w:hAnsi="Times New Roman" w:eastAsia="微软雅黑"/>
                <w:sz w:val="18"/>
              </w:rPr>
              <w:t>35 kV</w:t>
            </w:r>
            <w:r>
              <w:rPr>
                <w:rFonts w:ascii="Microsoft YaHei" w:hAnsi="Microsoft YaHei" w:eastAsia="微软雅黑"/>
                <w:sz w:val="18"/>
              </w:rPr>
              <w:t>（支撑层）</w:t>
            </w:r>
          </w:p>
        </w:tc>
        <w:tc>
          <w:tcPr>
            <w:tcW w:type="dxa" w:w="1714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147.650</w:t>
            </w:r>
          </w:p>
        </w:tc>
        <w:tc>
          <w:tcPr>
            <w:tcW w:type="dxa" w:w="1714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26.870</w:t>
            </w:r>
          </w:p>
        </w:tc>
        <w:tc>
          <w:tcPr>
            <w:tcW w:type="dxa" w:w="1306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</w:t>
            </w:r>
          </w:p>
        </w:tc>
        <w:tc>
          <w:tcPr>
            <w:tcW w:type="dxa" w:w="1306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</w:t>
            </w:r>
          </w:p>
        </w:tc>
      </w:tr>
    </w:tbl>
    <w:p>
      <w:r>
        <w:rPr>
          <w:rFonts w:ascii="Microsoft YaHei" w:hAnsi="Microsoft YaHei" w:eastAsia="微软雅黑"/>
          <w:sz w:val="16"/>
        </w:rPr>
        <w:t>注：尖峰时长按</w:t>
      </w:r>
      <w:r>
        <w:rPr>
          <w:rFonts w:ascii="Times New Roman" w:hAnsi="Times New Roman" w:eastAsia="微软雅黑"/>
          <w:sz w:val="16"/>
        </w:rPr>
        <w:t>2025</w:t>
      </w:r>
      <w:r>
        <w:rPr>
          <w:rFonts w:ascii="Microsoft YaHei" w:hAnsi="Microsoft YaHei" w:eastAsia="微软雅黑"/>
          <w:sz w:val="16"/>
        </w:rPr>
        <w:t>年站级模板，阈值为该方向峰值的</w:t>
      </w:r>
      <w:r>
        <w:rPr>
          <w:rFonts w:ascii="Times New Roman" w:hAnsi="Times New Roman" w:eastAsia="微软雅黑"/>
          <w:sz w:val="16"/>
        </w:rPr>
        <w:t>95%</w:t>
      </w:r>
      <w:r>
        <w:rPr>
          <w:rFonts w:ascii="Microsoft YaHei" w:hAnsi="Microsoft YaHei" w:eastAsia="微软雅黑"/>
          <w:sz w:val="16"/>
        </w:rP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