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4-1 </w:t>
      </w:r>
      <w:r>
        <w:rPr>
          <w:rFonts w:ascii="Microsoft YaHei" w:hAnsi="Microsoft YaHei" w:eastAsia="微软雅黑"/>
          <w:sz w:val="22"/>
        </w:rPr>
        <w:t>主要参数及来源性质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1225"/>
        <w:gridCol w:w="2204"/>
        <w:gridCol w:w="2367"/>
      </w:tblGrid>
      <w:tr>
        <w:trPr>
          <w:cantSplit/>
          <w:tblHeader/>
        </w:trPr>
        <w:tc>
          <w:tcPr>
            <w:tcW w:type="dxa" w:w="2367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参数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数值</w:t>
            </w:r>
          </w:p>
        </w:tc>
        <w:tc>
          <w:tcPr>
            <w:tcW w:type="dxa" w:w="220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单位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范围</w:t>
            </w:r>
          </w:p>
        </w:tc>
        <w:tc>
          <w:tcPr>
            <w:tcW w:type="dxa" w:w="2367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依据性质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主变投资折算系数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15.48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，万元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新购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工程案例折算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主变投资折算系数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16.573333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，万元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新购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工程案例折算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储能单柜价格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27.2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万元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柜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苏州招标最高限价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储能十柜价格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210.456262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万元</w:t>
            </w:r>
            <w:r>
              <w:rPr>
                <w:rFonts w:ascii="Times New Roman" w:hAnsi="Times New Roman" w:eastAsia="微软雅黑"/>
                <w:sz w:val="18"/>
              </w:rPr>
              <w:t>/10</w:t>
            </w:r>
            <w:r>
              <w:rPr>
                <w:rFonts w:ascii="Microsoft YaHei" w:hAnsi="Microsoft YaHei" w:eastAsia="微软雅黑"/>
                <w:sz w:val="18"/>
              </w:rPr>
              <w:t>柜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浏阳等效中标价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单柜额定功率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0.1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MW/</w:t>
            </w:r>
            <w:r>
              <w:rPr>
                <w:rFonts w:ascii="Microsoft YaHei" w:hAnsi="Microsoft YaHei" w:eastAsia="微软雅黑"/>
                <w:sz w:val="18"/>
              </w:rPr>
              <w:t>柜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设备规格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单柜额定能量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0.215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MWh/</w:t>
            </w:r>
            <w:r>
              <w:rPr>
                <w:rFonts w:ascii="Microsoft YaHei" w:hAnsi="Microsoft YaHei" w:eastAsia="微软雅黑"/>
                <w:sz w:val="18"/>
              </w:rPr>
              <w:t>柜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设备规格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候选新线长度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km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规划假设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新线单位投资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44.543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万元</w:t>
            </w:r>
            <w:r>
              <w:rPr>
                <w:rFonts w:ascii="Times New Roman" w:hAnsi="Times New Roman" w:eastAsia="微软雅黑"/>
                <w:sz w:val="18"/>
              </w:rPr>
              <w:t>/km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规划折算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年折现率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%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研究假设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线路寿命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年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研究假设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储能寿命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10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年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研究假设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新线年运维率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</w:t>
            </w:r>
          </w:p>
        </w:tc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%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研究假设</w:t>
            </w:r>
          </w:p>
        </w:tc>
      </w:tr>
      <w:tr>
        <w:trPr>
          <w:cantSplit/>
        </w:trPr>
        <w:tc>
          <w:tcPr>
            <w:tcW w:type="dxa" w:w="2367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储能年运维率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  <w:tc>
          <w:tcPr>
            <w:tcW w:type="dxa" w:w="220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%</w:t>
            </w:r>
          </w:p>
        </w:tc>
        <w:tc>
          <w:tcPr>
            <w:tcW w:type="dxa" w:w="2367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研究假设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注：主变按新购完整容量计价；储能报价锚点来自不同地区及年份。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