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4-2 </w:t>
      </w:r>
      <w:r>
        <w:rPr>
          <w:rFonts w:ascii="Microsoft YaHei" w:hAnsi="Microsoft YaHei" w:eastAsia="微软雅黑"/>
          <w:sz w:val="22"/>
        </w:rPr>
        <w:t>刚性与弹性规划方案设置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4"/>
        <w:gridCol w:w="980"/>
        <w:gridCol w:w="980"/>
        <w:gridCol w:w="1306"/>
        <w:gridCol w:w="1469"/>
        <w:gridCol w:w="1225"/>
      </w:tblGrid>
      <w:tr>
        <w:trPr>
          <w:cantSplit/>
          <w:tblHeader/>
        </w:trPr>
        <w:tc>
          <w:tcPr>
            <w:tcW w:type="dxa" w:w="220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研究单元</w:t>
            </w:r>
          </w:p>
        </w:tc>
        <w:tc>
          <w:tcPr>
            <w:tcW w:type="dxa" w:w="980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刚性比值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上限</w:t>
            </w:r>
          </w:p>
        </w:tc>
        <w:tc>
          <w:tcPr>
            <w:tcW w:type="dxa" w:w="980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弹性比值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上限</w:t>
            </w:r>
          </w:p>
        </w:tc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刚性累计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增配预算</w:t>
            </w:r>
          </w:p>
        </w:tc>
        <w:tc>
          <w:tcPr>
            <w:tcW w:type="dxa" w:w="1469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弹性增配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预算</w:t>
            </w:r>
          </w:p>
        </w:tc>
        <w:tc>
          <w:tcPr>
            <w:tcW w:type="dxa" w:w="122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停运恢复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9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2.0</w:t>
            </w:r>
          </w:p>
        </w:tc>
        <w:tc>
          <w:tcPr>
            <w:tcW w:type="dxa" w:w="9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3.2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3%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不设此项预算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60%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9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2.0</w:t>
            </w:r>
          </w:p>
        </w:tc>
        <w:tc>
          <w:tcPr>
            <w:tcW w:type="dxa" w:w="980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3.2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1%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不设此项预算</w:t>
            </w:r>
          </w:p>
        </w:tc>
        <w:tc>
          <w:tcPr>
            <w:tcW w:type="dxa" w:w="122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45%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980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2.0</w:t>
            </w:r>
          </w:p>
        </w:tc>
        <w:tc>
          <w:tcPr>
            <w:tcW w:type="dxa" w:w="980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3.2</w:t>
            </w:r>
          </w:p>
        </w:tc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30%</w:t>
            </w:r>
          </w:p>
        </w:tc>
        <w:tc>
          <w:tcPr>
            <w:tcW w:type="dxa" w:w="1469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不设此项预算</w:t>
            </w:r>
          </w:p>
        </w:tc>
        <w:tc>
          <w:tcPr>
            <w:tcW w:type="dxa" w:w="122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60%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注：两方案采用相同输入、候选措施及价格；上限、预算与恢复比例为研究设置。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