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4-3 </w:t>
      </w:r>
      <w:r>
        <w:rPr>
          <w:rFonts w:ascii="Microsoft YaHei" w:hAnsi="Microsoft YaHei" w:eastAsia="微软雅黑"/>
          <w:sz w:val="22"/>
        </w:rPr>
        <w:t>邳州</w:t>
      </w:r>
      <w:r>
        <w:rPr>
          <w:rFonts w:ascii="Times New Roman" w:hAnsi="Times New Roman" w:eastAsia="微软雅黑"/>
          <w:sz w:val="22"/>
        </w:rPr>
        <w:t>110 kV</w:t>
      </w:r>
      <w:r>
        <w:rPr>
          <w:rFonts w:ascii="Microsoft YaHei" w:hAnsi="Microsoft YaHei" w:eastAsia="微软雅黑"/>
          <w:sz w:val="22"/>
        </w:rPr>
        <w:t>价格情景与关键结果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33"/>
        <w:gridCol w:w="1878"/>
        <w:gridCol w:w="1225"/>
        <w:gridCol w:w="1225"/>
        <w:gridCol w:w="1143"/>
        <w:gridCol w:w="1061"/>
      </w:tblGrid>
      <w:tr>
        <w:trPr>
          <w:cantSplit/>
          <w:tblHeader/>
        </w:trPr>
        <w:tc>
          <w:tcPr>
            <w:tcW w:type="dxa" w:w="163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价格情景</w:t>
            </w:r>
          </w:p>
        </w:tc>
        <w:tc>
          <w:tcPr>
            <w:tcW w:type="dxa" w:w="1878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主变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储能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线路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价格系数</w:t>
            </w:r>
          </w:p>
        </w:tc>
        <w:tc>
          <w:tcPr>
            <w:tcW w:type="dxa" w:w="122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刚性费用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（万元）</w:t>
            </w:r>
          </w:p>
        </w:tc>
        <w:tc>
          <w:tcPr>
            <w:tcW w:type="dxa" w:w="122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弹性费用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（万元）</w:t>
            </w:r>
          </w:p>
        </w:tc>
        <w:tc>
          <w:tcPr>
            <w:tcW w:type="dxa" w:w="114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Times New Roman" w:hAnsi="Times New Roman" w:eastAsia="微软雅黑"/>
                <w:sz w:val="18"/>
              </w:rPr>
              <w:t>2025</w:t>
            </w:r>
            <w:r>
              <w:rPr>
                <w:rFonts w:ascii="Microsoft YaHei" w:hAnsi="Microsoft YaHei" w:eastAsia="微软雅黑"/>
                <w:sz w:val="18"/>
              </w:rPr>
              <w:t>推荐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比值</w:t>
            </w:r>
          </w:p>
        </w:tc>
        <w:tc>
          <w:tcPr>
            <w:tcW w:type="dxa" w:w="1061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Times New Roman" w:hAnsi="Times New Roman" w:eastAsia="微软雅黑"/>
                <w:sz w:val="18"/>
              </w:rPr>
              <w:t>2025</w:t>
            </w:r>
            <w:r>
              <w:rPr>
                <w:rFonts w:ascii="Microsoft YaHei" w:hAnsi="Microsoft YaHei" w:eastAsia="微软雅黑"/>
                <w:sz w:val="18"/>
              </w:rPr>
              <w:t>储能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（柜）</w:t>
            </w:r>
          </w:p>
        </w:tc>
      </w:tr>
      <w:tr>
        <w:trPr>
          <w:cantSplit/>
        </w:trPr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基准价格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1/1/1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5245.66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4410.44</w:t>
            </w:r>
          </w:p>
        </w:tc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2.191</w:t>
            </w:r>
          </w:p>
        </w:tc>
        <w:tc>
          <w:tcPr>
            <w:tcW w:type="dxa" w:w="106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主变价格×</w:t>
            </w:r>
            <w:r>
              <w:rPr>
                <w:rFonts w:ascii="Times New Roman" w:hAnsi="Times New Roman" w:eastAsia="微软雅黑"/>
                <w:sz w:val="18"/>
              </w:rPr>
              <w:t>0.7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0.7/1/1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4355.65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3260.98</w:t>
            </w:r>
          </w:p>
        </w:tc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2.209</w:t>
            </w:r>
          </w:p>
        </w:tc>
        <w:tc>
          <w:tcPr>
            <w:tcW w:type="dxa" w:w="106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储能价格×</w:t>
            </w:r>
            <w:r>
              <w:rPr>
                <w:rFonts w:ascii="Times New Roman" w:hAnsi="Times New Roman" w:eastAsia="微软雅黑"/>
                <w:sz w:val="18"/>
              </w:rPr>
              <w:t>1.5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1/1.5/1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6326.87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4615.75</w:t>
            </w:r>
          </w:p>
        </w:tc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2.209</w:t>
            </w:r>
          </w:p>
        </w:tc>
        <w:tc>
          <w:tcPr>
            <w:tcW w:type="dxa" w:w="106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63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线路价格×</w:t>
            </w:r>
            <w:r>
              <w:rPr>
                <w:rFonts w:ascii="Times New Roman" w:hAnsi="Times New Roman" w:eastAsia="微软雅黑"/>
                <w:sz w:val="18"/>
              </w:rPr>
              <w:t>1.5</w:t>
            </w:r>
          </w:p>
        </w:tc>
        <w:tc>
          <w:tcPr>
            <w:tcW w:type="dxa" w:w="1878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1/1/1.5</w:t>
            </w:r>
          </w:p>
        </w:tc>
        <w:tc>
          <w:tcPr>
            <w:tcW w:type="dxa" w:w="122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5303.93</w:t>
            </w:r>
          </w:p>
        </w:tc>
        <w:tc>
          <w:tcPr>
            <w:tcW w:type="dxa" w:w="122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4468.71</w:t>
            </w:r>
          </w:p>
        </w:tc>
        <w:tc>
          <w:tcPr>
            <w:tcW w:type="dxa" w:w="114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2.191</w:t>
            </w:r>
          </w:p>
        </w:tc>
        <w:tc>
          <w:tcPr>
            <w:tcW w:type="dxa" w:w="1061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35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注：费用为完整规划路径现值；配置为</w:t>
      </w:r>
      <w:r>
        <w:rPr>
          <w:rFonts w:ascii="Times New Roman" w:hAnsi="Times New Roman" w:eastAsia="微软雅黑"/>
          <w:sz w:val="16"/>
        </w:rPr>
        <w:t>2025</w:t>
      </w:r>
      <w:r>
        <w:rPr>
          <w:rFonts w:ascii="Microsoft YaHei" w:hAnsi="Microsoft YaHei" w:eastAsia="微软雅黑"/>
          <w:sz w:val="16"/>
        </w:rPr>
        <w:t>年弹性方案。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