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4-4 </w:t>
      </w:r>
      <w:r>
        <w:rPr>
          <w:rFonts w:ascii="Microsoft YaHei" w:hAnsi="Microsoft YaHei" w:eastAsia="微软雅黑"/>
          <w:sz w:val="22"/>
        </w:rPr>
        <w:t>两方案全寿命周期费用分项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653"/>
        <w:gridCol w:w="1469"/>
        <w:gridCol w:w="1306"/>
        <w:gridCol w:w="1306"/>
        <w:gridCol w:w="1388"/>
      </w:tblGrid>
      <w:tr>
        <w:trPr>
          <w:cantSplit/>
          <w:tblHeader/>
        </w:trPr>
        <w:tc>
          <w:tcPr>
            <w:tcW w:type="dxa" w:w="2041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研究单元</w:t>
            </w:r>
          </w:p>
        </w:tc>
        <w:tc>
          <w:tcPr>
            <w:tcW w:type="dxa" w:w="65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方案</w:t>
            </w:r>
          </w:p>
        </w:tc>
        <w:tc>
          <w:tcPr>
            <w:tcW w:type="dxa" w:w="1469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首次投资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现值（万元）</w:t>
            </w:r>
          </w:p>
        </w:tc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更新投资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现值（万元）</w:t>
            </w:r>
          </w:p>
        </w:tc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固定运维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现值（万元）</w:t>
            </w:r>
          </w:p>
        </w:tc>
        <w:tc>
          <w:tcPr>
            <w:tcW w:type="dxa" w:w="138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合计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现值（万元）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65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刚性方案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3940.27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648.64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656.75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5245.66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65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弹性方案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3573.49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330.33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506.61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4410.44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65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刚性方案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2328.94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452.12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430.09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3211.15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65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弹性方案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1722.53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0.00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189.76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1912.29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65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刚性方案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2819.25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456.74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461.48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3737.48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65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弹性方案</w:t>
            </w:r>
          </w:p>
        </w:tc>
        <w:tc>
          <w:tcPr>
            <w:tcW w:type="dxa" w:w="1469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1235.04</w:t>
            </w:r>
          </w:p>
        </w:tc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114.12</w:t>
            </w:r>
          </w:p>
        </w:tc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168.58</w:t>
            </w:r>
          </w:p>
        </w:tc>
        <w:tc>
          <w:tcPr>
            <w:tcW w:type="dxa" w:w="138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1517.74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</w:t>
      </w:r>
      <w:r>
        <w:rPr>
          <w:rFonts w:ascii="Times New Roman" w:hAnsi="Times New Roman" w:eastAsia="微软雅黑"/>
          <w:sz w:val="16"/>
        </w:rPr>
        <w:t>2022</w:t>
      </w:r>
      <w:r>
        <w:rPr>
          <w:rFonts w:ascii="Microsoft YaHei" w:hAnsi="Microsoft YaHei" w:eastAsia="微软雅黑"/>
          <w:sz w:val="16"/>
        </w:rPr>
        <w:t>至</w:t>
      </w:r>
      <w:r>
        <w:rPr>
          <w:rFonts w:ascii="Times New Roman" w:hAnsi="Times New Roman" w:eastAsia="微软雅黑"/>
          <w:sz w:val="16"/>
        </w:rPr>
        <w:t>2041</w:t>
      </w:r>
      <w:r>
        <w:rPr>
          <w:rFonts w:ascii="Microsoft YaHei" w:hAnsi="Microsoft YaHei" w:eastAsia="微软雅黑"/>
          <w:sz w:val="16"/>
        </w:rPr>
        <w:t>年评价期，折现至</w:t>
      </w:r>
      <w:r>
        <w:rPr>
          <w:rFonts w:ascii="Times New Roman" w:hAnsi="Times New Roman" w:eastAsia="微软雅黑"/>
          <w:sz w:val="16"/>
        </w:rPr>
        <w:t>2021</w:t>
      </w:r>
      <w:r>
        <w:rPr>
          <w:rFonts w:ascii="Microsoft YaHei" w:hAnsi="Microsoft YaHei" w:eastAsia="微软雅黑"/>
          <w:sz w:val="16"/>
        </w:rPr>
        <w:t>年；合计按未舍入分项计算，显示值可能存在尾差。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