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5-1 </w:t>
      </w:r>
      <w:r>
        <w:rPr>
          <w:rFonts w:ascii="Microsoft YaHei" w:hAnsi="Microsoft YaHei" w:eastAsia="微软雅黑"/>
          <w:sz w:val="22"/>
        </w:rPr>
        <w:t>各研究单元年度推荐结果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4"/>
        <w:gridCol w:w="735"/>
        <w:gridCol w:w="1633"/>
        <w:gridCol w:w="1469"/>
        <w:gridCol w:w="1388"/>
        <w:gridCol w:w="735"/>
      </w:tblGrid>
      <w:tr>
        <w:trPr>
          <w:cantSplit/>
          <w:tblHeader/>
        </w:trPr>
        <w:tc>
          <w:tcPr>
            <w:tcW w:type="dxa" w:w="220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研究单元</w:t>
            </w:r>
          </w:p>
        </w:tc>
        <w:tc>
          <w:tcPr>
            <w:tcW w:type="dxa" w:w="73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年</w:t>
            </w:r>
          </w:p>
        </w:tc>
        <w:tc>
          <w:tcPr>
            <w:tcW w:type="dxa" w:w="163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参考净峰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469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推荐容量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MVA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388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推荐比值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MVA/MW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735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储能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（柜）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2022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825.004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2084.5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2.527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2023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761.232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2084.5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2.738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2024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862.662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2084.5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2.416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2025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956.450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2096.0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2.191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2022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1224.840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2971.0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2.426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2023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1318.771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2981.0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2.260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2024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1239.404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2981.0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2.405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  <w:r>
              <w:rPr>
                <w:rFonts w:ascii="Times New Roman" w:hAnsi="Times New Roman" w:eastAsia="微软雅黑"/>
                <w:sz w:val="18"/>
              </w:rPr>
              <w:t>29</w:t>
            </w:r>
            <w:r>
              <w:rPr>
                <w:rFonts w:ascii="Microsoft YaHei" w:hAnsi="Microsoft YaHei" w:eastAsia="微软雅黑"/>
                <w:sz w:val="18"/>
              </w:rPr>
              <w:t>站</w:t>
            </w:r>
            <w:r>
              <w:rPr>
                <w:rFonts w:ascii="Times New Roman" w:hAnsi="Times New Roman" w:eastAsia="微软雅黑"/>
                <w:sz w:val="18"/>
              </w:rPr>
              <w:t>110 kV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2025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1307.315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2981.0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2.280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2022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124.718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251.0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2.013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2023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86.700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251.0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2.895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2024</w:t>
            </w:r>
          </w:p>
        </w:tc>
        <w:tc>
          <w:tcPr>
            <w:tcW w:type="dxa" w:w="163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128.362</w:t>
            </w:r>
          </w:p>
        </w:tc>
        <w:tc>
          <w:tcPr>
            <w:tcW w:type="dxa" w:w="1469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251.0</w:t>
            </w:r>
          </w:p>
        </w:tc>
        <w:tc>
          <w:tcPr>
            <w:tcW w:type="dxa" w:w="1388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1.955</w:t>
            </w:r>
          </w:p>
        </w:tc>
        <w:tc>
          <w:tcPr>
            <w:tcW w:type="dxa" w:w="735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0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  <w:r>
              <w:rPr>
                <w:rFonts w:ascii="Times New Roman" w:hAnsi="Times New Roman" w:eastAsia="微软雅黑"/>
                <w:sz w:val="18"/>
              </w:rPr>
              <w:t>35 kV</w:t>
            </w:r>
            <w:r>
              <w:rPr>
                <w:rFonts w:ascii="Microsoft YaHei" w:hAnsi="Microsoft YaHei" w:eastAsia="微软雅黑"/>
                <w:sz w:val="18"/>
              </w:rPr>
              <w:t>（支撑层）</w:t>
            </w:r>
          </w:p>
        </w:tc>
        <w:tc>
          <w:tcPr>
            <w:tcW w:type="dxa" w:w="73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2025</w:t>
            </w:r>
          </w:p>
        </w:tc>
        <w:tc>
          <w:tcPr>
            <w:tcW w:type="dxa" w:w="163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147.650</w:t>
            </w:r>
          </w:p>
        </w:tc>
        <w:tc>
          <w:tcPr>
            <w:tcW w:type="dxa" w:w="1469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268.0</w:t>
            </w:r>
          </w:p>
        </w:tc>
        <w:tc>
          <w:tcPr>
            <w:tcW w:type="dxa" w:w="1388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1.815</w:t>
            </w:r>
          </w:p>
        </w:tc>
        <w:tc>
          <w:tcPr>
            <w:tcW w:type="dxa" w:w="735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12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注：推荐结果来自各单元完整规划路径；</w:t>
      </w:r>
      <w:r>
        <w:rPr>
          <w:rFonts w:ascii="Times New Roman" w:hAnsi="Times New Roman" w:eastAsia="微软雅黑"/>
          <w:sz w:val="16"/>
        </w:rPr>
        <w:t>2022</w:t>
      </w:r>
      <w:r>
        <w:rPr>
          <w:rFonts w:ascii="Microsoft YaHei" w:hAnsi="Microsoft YaHei" w:eastAsia="微软雅黑"/>
          <w:sz w:val="16"/>
        </w:rPr>
        <w:t>年不补填缺少的装机指标。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