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5-2 </w:t>
      </w:r>
      <w:r>
        <w:rPr>
          <w:rFonts w:ascii="Microsoft YaHei" w:hAnsi="Microsoft YaHei" w:eastAsia="微软雅黑"/>
          <w:sz w:val="22"/>
        </w:rPr>
        <w:t>工程条件与容载比样本参考范围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6"/>
        <w:gridCol w:w="1695"/>
        <w:gridCol w:w="1174"/>
        <w:gridCol w:w="1565"/>
        <w:gridCol w:w="1565"/>
        <w:gridCol w:w="1043"/>
        <w:gridCol w:w="1304"/>
        <w:gridCol w:w="1565"/>
        <w:gridCol w:w="1174"/>
      </w:tblGrid>
      <w:tr>
        <w:trPr>
          <w:cantSplit/>
          <w:tblHeader/>
        </w:trPr>
        <w:tc>
          <w:tcPr>
            <w:tcW w:type="dxa" w:w="195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工程类型</w:t>
            </w:r>
          </w:p>
        </w:tc>
        <w:tc>
          <w:tcPr>
            <w:tcW w:type="dxa" w:w="169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区县源荷比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（降压峰近似）</w:t>
            </w:r>
          </w:p>
        </w:tc>
        <w:tc>
          <w:tcPr>
            <w:tcW w:type="dxa" w:w="117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净峰年均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增长率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%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56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正向参考净峰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56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最大站反向峰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04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正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反向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时长（</w:t>
            </w:r>
            <w:r>
              <w:rPr>
                <w:rFonts w:ascii="Times New Roman" w:hAnsi="Times New Roman" w:eastAsia="微软雅黑"/>
                <w:sz w:val="18"/>
              </w:rPr>
              <w:t>h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30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相对价格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主变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储能、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线路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储能</w:t>
            </w:r>
          </w:p>
        </w:tc>
        <w:tc>
          <w:tcPr>
            <w:tcW w:type="dxa" w:w="156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推荐比值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17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支持案例</w:t>
            </w:r>
          </w:p>
        </w:tc>
      </w:tr>
      <w:tr>
        <w:trPr>
          <w:cantSplit/>
        </w:trPr>
        <w:tc>
          <w:tcPr>
            <w:tcW w:type="dxa" w:w="195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br/>
              <w:t>110 kV</w:t>
            </w:r>
            <w:r>
              <w:rPr>
                <w:rFonts w:ascii="Microsoft YaHei" w:hAnsi="Microsoft YaHei" w:eastAsia="微软雅黑"/>
                <w:sz w:val="18"/>
              </w:rPr>
              <w:t>，无互济</w:t>
            </w:r>
          </w:p>
        </w:tc>
        <w:tc>
          <w:tcPr>
            <w:tcW w:type="dxa" w:w="169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0.164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0.322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-0.01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3.14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1239.403</w:t>
              <w:br/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1318.772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4.959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30.557</w:t>
            </w:r>
          </w:p>
        </w:tc>
        <w:tc>
          <w:tcPr>
            <w:tcW w:type="dxa" w:w="10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5/2</w:t>
            </w:r>
          </w:p>
        </w:tc>
        <w:tc>
          <w:tcPr>
            <w:tcW w:type="dxa" w:w="13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 / 1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2.260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2.406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  <w:r>
              <w:rPr>
                <w:rFonts w:ascii="Microsoft YaHei" w:hAnsi="Microsoft YaHei" w:eastAsia="微软雅黑"/>
                <w:sz w:val="18"/>
              </w:rPr>
              <w:t>个年度</w:t>
            </w:r>
            <w:r>
              <w:rPr>
                <w:rFonts w:ascii="Times New Roman" w:hAnsi="Times New Roman" w:eastAsia="微软雅黑"/>
                <w:sz w:val="18"/>
              </w:rPr>
              <w:br/>
              <w:t>1</w:t>
            </w:r>
            <w:r>
              <w:rPr>
                <w:rFonts w:ascii="Microsoft YaHei" w:hAnsi="Microsoft YaHei" w:eastAsia="微软雅黑"/>
                <w:sz w:val="18"/>
              </w:rPr>
              <w:t>条路径</w:t>
            </w:r>
          </w:p>
        </w:tc>
      </w:tr>
      <w:tr>
        <w:trPr>
          <w:cantSplit/>
        </w:trPr>
        <w:tc>
          <w:tcPr>
            <w:tcW w:type="dxa" w:w="195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  <w:br/>
            </w:r>
            <w:r>
              <w:rPr>
                <w:rFonts w:ascii="Microsoft YaHei" w:hAnsi="Microsoft YaHei" w:eastAsia="微软雅黑"/>
                <w:sz w:val="18"/>
              </w:rPr>
              <w:t>有互济，源荷≤</w:t>
            </w:r>
            <w:r>
              <w:rPr>
                <w:rFonts w:ascii="Times New Roman" w:hAnsi="Times New Roman" w:eastAsia="微软雅黑"/>
                <w:sz w:val="18"/>
              </w:rPr>
              <w:t>1</w:t>
            </w:r>
          </w:p>
        </w:tc>
        <w:tc>
          <w:tcPr>
            <w:tcW w:type="dxa" w:w="169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0.742</w:t>
            </w:r>
            <w:r>
              <w:rPr>
                <w:rFonts w:ascii="Microsoft YaHei" w:hAnsi="Microsoft YaHei" w:eastAsia="微软雅黑"/>
                <w:sz w:val="18"/>
              </w:rPr>
              <w:t>（点值）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1.99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761.232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11.446</w:t>
            </w:r>
          </w:p>
        </w:tc>
        <w:tc>
          <w:tcPr>
            <w:tcW w:type="dxa" w:w="10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4/3</w:t>
            </w:r>
          </w:p>
        </w:tc>
        <w:tc>
          <w:tcPr>
            <w:tcW w:type="dxa" w:w="13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 / 1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2.738</w:t>
            </w:r>
            <w:r>
              <w:rPr>
                <w:rFonts w:ascii="Microsoft YaHei" w:hAnsi="Microsoft YaHei" w:eastAsia="微软雅黑"/>
                <w:sz w:val="18"/>
              </w:rPr>
              <w:t>（点值）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</w:t>
            </w:r>
            <w:r>
              <w:rPr>
                <w:rFonts w:ascii="Microsoft YaHei" w:hAnsi="Microsoft YaHei" w:eastAsia="微软雅黑"/>
                <w:sz w:val="18"/>
              </w:rPr>
              <w:t>个年度</w:t>
            </w:r>
            <w:r>
              <w:rPr>
                <w:rFonts w:ascii="Times New Roman" w:hAnsi="Times New Roman" w:eastAsia="微软雅黑"/>
                <w:sz w:val="18"/>
              </w:rPr>
              <w:br/>
              <w:t>1</w:t>
            </w:r>
            <w:r>
              <w:rPr>
                <w:rFonts w:ascii="Microsoft YaHei" w:hAnsi="Microsoft YaHei" w:eastAsia="微软雅黑"/>
                <w:sz w:val="18"/>
              </w:rPr>
              <w:t>条路径</w:t>
            </w:r>
          </w:p>
        </w:tc>
      </w:tr>
      <w:tr>
        <w:trPr>
          <w:cantSplit/>
        </w:trPr>
        <w:tc>
          <w:tcPr>
            <w:tcW w:type="dxa" w:w="195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  <w:br/>
            </w:r>
            <w:r>
              <w:rPr>
                <w:rFonts w:ascii="Microsoft YaHei" w:hAnsi="Microsoft YaHei" w:eastAsia="微软雅黑"/>
                <w:sz w:val="18"/>
              </w:rPr>
              <w:t>有互济，源荷</w:t>
            </w:r>
            <w:r>
              <w:rPr>
                <w:rFonts w:ascii="Times New Roman" w:hAnsi="Times New Roman" w:eastAsia="微软雅黑"/>
                <w:sz w:val="18"/>
              </w:rPr>
              <w:t>&gt;1</w:t>
            </w:r>
          </w:p>
        </w:tc>
        <w:tc>
          <w:tcPr>
            <w:tcW w:type="dxa" w:w="169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1.305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1.631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5.63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6.93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862.661</w:t>
              <w:br/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956.450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33.528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56.920</w:t>
            </w:r>
          </w:p>
        </w:tc>
        <w:tc>
          <w:tcPr>
            <w:tcW w:type="dxa" w:w="10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4/3</w:t>
            </w:r>
          </w:p>
        </w:tc>
        <w:tc>
          <w:tcPr>
            <w:tcW w:type="dxa" w:w="13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 / 1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2.191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2.417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</w:t>
            </w:r>
            <w:r>
              <w:rPr>
                <w:rFonts w:ascii="Microsoft YaHei" w:hAnsi="Microsoft YaHei" w:eastAsia="微软雅黑"/>
                <w:sz w:val="18"/>
              </w:rPr>
              <w:t>个年度</w:t>
            </w:r>
            <w:r>
              <w:rPr>
                <w:rFonts w:ascii="Times New Roman" w:hAnsi="Times New Roman" w:eastAsia="微软雅黑"/>
                <w:sz w:val="18"/>
              </w:rPr>
              <w:br/>
              <w:t>1</w:t>
            </w:r>
            <w:r>
              <w:rPr>
                <w:rFonts w:ascii="Microsoft YaHei" w:hAnsi="Microsoft YaHei" w:eastAsia="微软雅黑"/>
                <w:sz w:val="18"/>
              </w:rPr>
              <w:t>条路径</w:t>
            </w:r>
          </w:p>
        </w:tc>
      </w:tr>
      <w:tr>
        <w:trPr>
          <w:cantSplit/>
        </w:trPr>
        <w:tc>
          <w:tcPr>
            <w:tcW w:type="dxa" w:w="195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  <w:br/>
            </w:r>
            <w:r>
              <w:rPr>
                <w:rFonts w:ascii="Microsoft YaHei" w:hAnsi="Microsoft YaHei" w:eastAsia="微软雅黑"/>
                <w:sz w:val="18"/>
              </w:rPr>
              <w:t>无互济，源荷≤</w:t>
            </w:r>
            <w:r>
              <w:rPr>
                <w:rFonts w:ascii="Times New Roman" w:hAnsi="Times New Roman" w:eastAsia="微软雅黑"/>
                <w:sz w:val="18"/>
              </w:rPr>
              <w:t>1</w:t>
            </w:r>
          </w:p>
        </w:tc>
        <w:tc>
          <w:tcPr>
            <w:tcW w:type="dxa" w:w="169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0.742</w:t>
            </w:r>
            <w:r>
              <w:rPr>
                <w:rFonts w:ascii="Microsoft YaHei" w:hAnsi="Microsoft YaHei" w:eastAsia="微软雅黑"/>
                <w:sz w:val="18"/>
              </w:rPr>
              <w:t>（点值）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3.61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86.700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6.803</w:t>
            </w:r>
          </w:p>
        </w:tc>
        <w:tc>
          <w:tcPr>
            <w:tcW w:type="dxa" w:w="10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3/2</w:t>
            </w:r>
          </w:p>
        </w:tc>
        <w:tc>
          <w:tcPr>
            <w:tcW w:type="dxa" w:w="13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 / 1</w:t>
            </w:r>
          </w:p>
        </w:tc>
        <w:tc>
          <w:tcPr>
            <w:tcW w:type="dxa" w:w="156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2.895</w:t>
            </w:r>
            <w:r>
              <w:rPr>
                <w:rFonts w:ascii="Microsoft YaHei" w:hAnsi="Microsoft YaHei" w:eastAsia="微软雅黑"/>
                <w:sz w:val="18"/>
              </w:rPr>
              <w:t>（点值）</w:t>
            </w:r>
          </w:p>
        </w:tc>
        <w:tc>
          <w:tcPr>
            <w:tcW w:type="dxa" w:w="117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</w:t>
            </w:r>
            <w:r>
              <w:rPr>
                <w:rFonts w:ascii="Microsoft YaHei" w:hAnsi="Microsoft YaHei" w:eastAsia="微软雅黑"/>
                <w:sz w:val="18"/>
              </w:rPr>
              <w:t>个年度</w:t>
            </w:r>
            <w:r>
              <w:rPr>
                <w:rFonts w:ascii="Times New Roman" w:hAnsi="Times New Roman" w:eastAsia="微软雅黑"/>
                <w:sz w:val="18"/>
              </w:rPr>
              <w:br/>
              <w:t>1</w:t>
            </w:r>
            <w:r>
              <w:rPr>
                <w:rFonts w:ascii="Microsoft YaHei" w:hAnsi="Microsoft YaHei" w:eastAsia="微软雅黑"/>
                <w:sz w:val="18"/>
              </w:rPr>
              <w:t>条路径</w:t>
            </w:r>
          </w:p>
        </w:tc>
      </w:tr>
      <w:tr>
        <w:trPr>
          <w:cantSplit/>
        </w:trPr>
        <w:tc>
          <w:tcPr>
            <w:tcW w:type="dxa" w:w="195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  <w:br/>
            </w:r>
            <w:r>
              <w:rPr>
                <w:rFonts w:ascii="Microsoft YaHei" w:hAnsi="Microsoft YaHei" w:eastAsia="微软雅黑"/>
                <w:sz w:val="18"/>
              </w:rPr>
              <w:t>无互济，源荷</w:t>
            </w:r>
            <w:r>
              <w:rPr>
                <w:rFonts w:ascii="Times New Roman" w:hAnsi="Times New Roman" w:eastAsia="微软雅黑"/>
                <w:sz w:val="18"/>
              </w:rPr>
              <w:t>&gt;1</w:t>
            </w:r>
          </w:p>
        </w:tc>
        <w:tc>
          <w:tcPr>
            <w:tcW w:type="dxa" w:w="169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1.305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1.631</w:t>
            </w:r>
          </w:p>
        </w:tc>
        <w:tc>
          <w:tcPr>
            <w:tcW w:type="dxa" w:w="117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16.28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16.71</w:t>
            </w:r>
          </w:p>
        </w:tc>
        <w:tc>
          <w:tcPr>
            <w:tcW w:type="dxa" w:w="156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128.361</w:t>
              <w:br/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147.650</w:t>
            </w:r>
          </w:p>
        </w:tc>
        <w:tc>
          <w:tcPr>
            <w:tcW w:type="dxa" w:w="156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18.868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26.870</w:t>
            </w:r>
          </w:p>
        </w:tc>
        <w:tc>
          <w:tcPr>
            <w:tcW w:type="dxa" w:w="104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3/2</w:t>
            </w:r>
          </w:p>
        </w:tc>
        <w:tc>
          <w:tcPr>
            <w:tcW w:type="dxa" w:w="130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 / 1</w:t>
            </w:r>
          </w:p>
        </w:tc>
        <w:tc>
          <w:tcPr>
            <w:tcW w:type="dxa" w:w="156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1.815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1.956</w:t>
            </w:r>
          </w:p>
        </w:tc>
        <w:tc>
          <w:tcPr>
            <w:tcW w:type="dxa" w:w="117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</w:t>
            </w:r>
            <w:r>
              <w:rPr>
                <w:rFonts w:ascii="Microsoft YaHei" w:hAnsi="Microsoft YaHei" w:eastAsia="微软雅黑"/>
                <w:sz w:val="18"/>
              </w:rPr>
              <w:t>个年度</w:t>
            </w:r>
            <w:r>
              <w:rPr>
                <w:rFonts w:ascii="Times New Roman" w:hAnsi="Times New Roman" w:eastAsia="微软雅黑"/>
                <w:sz w:val="18"/>
              </w:rPr>
              <w:br/>
              <w:t>1</w:t>
            </w:r>
            <w:r>
              <w:rPr>
                <w:rFonts w:ascii="Microsoft YaHei" w:hAnsi="Microsoft YaHei" w:eastAsia="微软雅黑"/>
                <w:sz w:val="18"/>
              </w:rPr>
              <w:t>条路径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</w:t>
      </w:r>
      <w:r>
        <w:rPr>
          <w:rFonts w:ascii="Times New Roman" w:hAnsi="Times New Roman" w:eastAsia="微软雅黑"/>
          <w:sz w:val="16"/>
        </w:rPr>
        <w:t>2023</w:t>
      </w:r>
      <w:r>
        <w:rPr>
          <w:rFonts w:ascii="Microsoft YaHei" w:hAnsi="Microsoft YaHei" w:eastAsia="微软雅黑"/>
          <w:sz w:val="16"/>
        </w:rPr>
        <w:t>至</w:t>
      </w:r>
      <w:r>
        <w:rPr>
          <w:rFonts w:ascii="Times New Roman" w:hAnsi="Times New Roman" w:eastAsia="微软雅黑"/>
          <w:sz w:val="16"/>
        </w:rPr>
        <w:t>2025</w:t>
      </w:r>
      <w:r>
        <w:rPr>
          <w:rFonts w:ascii="Microsoft YaHei" w:hAnsi="Microsoft YaHei" w:eastAsia="微软雅黑"/>
          <w:sz w:val="16"/>
        </w:rPr>
        <w:t>年已有案例范围；两类仅有点值，范围端点向外舍入。主变</w:t>
      </w:r>
      <w:r>
        <w:rPr>
          <w:rFonts w:ascii="Times New Roman" w:hAnsi="Times New Roman" w:eastAsia="微软雅黑"/>
          <w:sz w:val="16"/>
        </w:rPr>
        <w:t>/</w:t>
      </w:r>
      <w:r>
        <w:rPr>
          <w:rFonts w:ascii="Microsoft YaHei" w:hAnsi="Microsoft YaHei" w:eastAsia="微软雅黑"/>
          <w:sz w:val="16"/>
        </w:rPr>
        <w:t>储能与线路</w:t>
      </w:r>
      <w:r>
        <w:rPr>
          <w:rFonts w:ascii="Times New Roman" w:hAnsi="Times New Roman" w:eastAsia="微软雅黑"/>
          <w:sz w:val="16"/>
        </w:rPr>
        <w:t>/</w:t>
      </w:r>
      <w:r>
        <w:rPr>
          <w:rFonts w:ascii="Microsoft YaHei" w:hAnsi="Microsoft YaHei" w:eastAsia="微软雅黑"/>
          <w:sz w:val="16"/>
        </w:rPr>
        <w:t>储能均为基准价格系数之比。</w:t>
      </w:r>
    </w:p>
    <w:sectPr w:rsidR="00FC693F" w:rsidRPr="0006063C" w:rsidSect="00034616">
      <w:pgSz w:w="16838" w:h="11906" w:orient="landscape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