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sz w:val="22"/>
        </w:rPr>
        <w:t>表</w:t>
      </w:r>
      <w:r>
        <w:rPr>
          <w:rFonts w:ascii="Times New Roman" w:hAnsi="Times New Roman" w:eastAsia="微软雅黑"/>
          <w:sz w:val="22"/>
        </w:rPr>
        <w:t xml:space="preserve">5-3 </w:t>
      </w:r>
      <w:r>
        <w:rPr>
          <w:rFonts w:ascii="Microsoft YaHei" w:hAnsi="Microsoft YaHei" w:eastAsia="微软雅黑"/>
          <w:sz w:val="22"/>
        </w:rPr>
        <w:t>典型工程条件下的应用建议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96"/>
        <w:gridCol w:w="3021"/>
        <w:gridCol w:w="1225"/>
        <w:gridCol w:w="2123"/>
      </w:tblGrid>
      <w:tr>
        <w:trPr>
          <w:cantSplit/>
          <w:tblHeader/>
        </w:trPr>
        <w:tc>
          <w:tcPr>
            <w:tcW w:type="dxa" w:w="1796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工程条件</w:t>
            </w:r>
          </w:p>
        </w:tc>
        <w:tc>
          <w:tcPr>
            <w:tcW w:type="dxa" w:w="3021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规划应用建议</w:t>
            </w:r>
          </w:p>
        </w:tc>
        <w:tc>
          <w:tcPr>
            <w:tcW w:type="dxa" w:w="122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结果依据</w:t>
            </w:r>
          </w:p>
        </w:tc>
        <w:tc>
          <w:tcPr>
            <w:tcW w:type="dxa" w:w="2123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重点工程资料</w:t>
            </w:r>
          </w:p>
        </w:tc>
      </w:tr>
      <w:tr>
        <w:trPr>
          <w:cantSplit/>
        </w:trPr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110 kV</w:t>
            </w:r>
            <w:r>
              <w:rPr>
                <w:rFonts w:ascii="Microsoft YaHei" w:hAnsi="Microsoft YaHei" w:eastAsia="微软雅黑"/>
                <w:sz w:val="18"/>
              </w:rPr>
              <w:t>，具备互济候选</w:t>
            </w:r>
          </w:p>
        </w:tc>
        <w:tc>
          <w:tcPr>
            <w:tcW w:type="dxa" w:w="3021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先确认供受端余量及通道，再比选主变与储能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212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年度参考净峰、站级反向压力、区段负荷</w:t>
            </w:r>
          </w:p>
        </w:tc>
      </w:tr>
      <w:tr>
        <w:trPr>
          <w:cantSplit/>
        </w:trPr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110 kV</w:t>
            </w:r>
            <w:r>
              <w:rPr>
                <w:rFonts w:ascii="Microsoft YaHei" w:hAnsi="Microsoft YaHei" w:eastAsia="微软雅黑"/>
                <w:sz w:val="18"/>
              </w:rPr>
              <w:t>，无站间互济候选</w:t>
            </w:r>
          </w:p>
        </w:tc>
        <w:tc>
          <w:tcPr>
            <w:tcW w:type="dxa" w:w="3021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以存量容量、主变调整和储能配置共同比选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市区</w:t>
            </w:r>
            <w:r>
              <w:rPr>
                <w:rFonts w:ascii="Times New Roman" w:hAnsi="Times New Roman" w:eastAsia="微软雅黑"/>
                <w:sz w:val="18"/>
              </w:rPr>
              <w:t>29</w:t>
            </w:r>
            <w:r>
              <w:rPr>
                <w:rFonts w:ascii="Microsoft YaHei" w:hAnsi="Microsoft YaHei" w:eastAsia="微软雅黑"/>
                <w:sz w:val="18"/>
              </w:rPr>
              <w:t>站</w:t>
            </w:r>
          </w:p>
        </w:tc>
        <w:tc>
          <w:tcPr>
            <w:tcW w:type="dxa" w:w="212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样本设备、尖峰时长与完整费用路径</w:t>
            </w:r>
          </w:p>
        </w:tc>
      </w:tr>
      <w:tr>
        <w:trPr>
          <w:cantSplit/>
        </w:trPr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35 kV</w:t>
            </w:r>
            <w:r>
              <w:rPr>
                <w:rFonts w:ascii="Microsoft YaHei" w:hAnsi="Microsoft YaHei" w:eastAsia="微软雅黑"/>
                <w:sz w:val="18"/>
              </w:rPr>
              <w:t>支撑层</w:t>
            </w:r>
          </w:p>
        </w:tc>
        <w:tc>
          <w:tcPr>
            <w:tcW w:type="dxa" w:w="3021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单独计算容量、负荷与费用，支撑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  <w:r>
              <w:rPr>
                <w:rFonts w:ascii="Microsoft YaHei" w:hAnsi="Microsoft YaHei" w:eastAsia="微软雅黑"/>
                <w:sz w:val="18"/>
              </w:rPr>
              <w:t>规划分析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35 kV</w:t>
            </w:r>
          </w:p>
        </w:tc>
        <w:tc>
          <w:tcPr>
            <w:tcW w:type="dxa" w:w="212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上下级峰值及容量避免重复统计</w:t>
            </w:r>
          </w:p>
        </w:tc>
      </w:tr>
      <w:tr>
        <w:trPr>
          <w:cantSplit/>
        </w:trPr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区县源荷背景变化</w:t>
            </w:r>
          </w:p>
        </w:tc>
        <w:tc>
          <w:tcPr>
            <w:tcW w:type="dxa" w:w="3021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更新装机与降压峰，再核对站级负荷分布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八区县统计</w:t>
            </w:r>
          </w:p>
        </w:tc>
        <w:tc>
          <w:tcPr>
            <w:tcW w:type="dxa" w:w="212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区县比值与局部反向压力分别判断</w:t>
            </w:r>
          </w:p>
        </w:tc>
      </w:tr>
      <w:tr>
        <w:trPr>
          <w:cantSplit/>
        </w:trPr>
        <w:tc>
          <w:tcPr>
            <w:tcW w:type="dxa" w:w="1796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价格条件变化</w:t>
            </w:r>
          </w:p>
        </w:tc>
        <w:tc>
          <w:tcPr>
            <w:tcW w:type="dxa" w:w="3021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按实际工程价格重新比较完整规划路径</w:t>
            </w:r>
          </w:p>
        </w:tc>
        <w:tc>
          <w:tcPr>
            <w:tcW w:type="dxa" w:w="122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邳州价格情景</w:t>
            </w:r>
          </w:p>
        </w:tc>
        <w:tc>
          <w:tcPr>
            <w:tcW w:type="dxa" w:w="2123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主变、储能和线路价格向量</w:t>
            </w:r>
          </w:p>
        </w:tc>
      </w:tr>
    </w:tbl>
    <w:p>
      <w:r>
        <w:rPr>
          <w:rFonts w:ascii="Microsoft YaHei" w:hAnsi="Microsoft YaHei" w:eastAsia="微软雅黑"/>
          <w:sz w:val="16"/>
        </w:rPr>
        <w:t>注：推荐范围用于已有样本条件对照；新地区应结合实际设备与运行资料重新比选。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