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微软雅黑"/>
          <w:sz w:val="22"/>
        </w:rPr>
        <w:t>表</w:t>
      </w:r>
      <w:r>
        <w:rPr>
          <w:rFonts w:ascii="Times New Roman" w:hAnsi="Times New Roman" w:eastAsia="微软雅黑"/>
          <w:sz w:val="22"/>
        </w:rPr>
        <w:t xml:space="preserve">6-1 </w:t>
      </w:r>
      <w:r>
        <w:rPr>
          <w:rFonts w:ascii="Microsoft YaHei" w:hAnsi="Microsoft YaHei" w:eastAsia="微软雅黑"/>
          <w:sz w:val="22"/>
        </w:rPr>
        <w:t>典型区域案例的基础条件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04"/>
        <w:gridCol w:w="735"/>
        <w:gridCol w:w="1469"/>
        <w:gridCol w:w="1469"/>
        <w:gridCol w:w="1061"/>
        <w:gridCol w:w="1225"/>
      </w:tblGrid>
      <w:tr>
        <w:trPr>
          <w:cantSplit/>
          <w:tblHeader/>
        </w:trPr>
        <w:tc>
          <w:tcPr>
            <w:tcW w:type="dxa" w:w="2204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案例单元</w:t>
            </w:r>
          </w:p>
        </w:tc>
        <w:tc>
          <w:tcPr>
            <w:tcW w:type="dxa" w:w="735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站数</w:t>
            </w:r>
            <w:r>
              <w:rPr>
                <w:rFonts w:ascii="Times New Roman" w:hAnsi="Times New Roman" w:eastAsia="微软雅黑"/>
                <w:sz w:val="18"/>
              </w:rPr>
              <w:br/>
            </w:r>
            <w:r>
              <w:rPr>
                <w:rFonts w:ascii="Microsoft YaHei" w:hAnsi="Microsoft YaHei" w:eastAsia="微软雅黑"/>
                <w:sz w:val="18"/>
              </w:rPr>
              <w:t>（座）</w:t>
            </w:r>
          </w:p>
        </w:tc>
        <w:tc>
          <w:tcPr>
            <w:tcW w:type="dxa" w:w="1469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基期容量</w:t>
            </w:r>
            <w:r>
              <w:rPr>
                <w:rFonts w:ascii="Times New Roman" w:hAnsi="Times New Roman" w:eastAsia="微软雅黑"/>
                <w:sz w:val="18"/>
              </w:rPr>
              <w:br/>
            </w:r>
            <w:r>
              <w:rPr>
                <w:rFonts w:ascii="Microsoft YaHei" w:hAnsi="Microsoft YaHei" w:eastAsia="微软雅黑"/>
                <w:sz w:val="18"/>
              </w:rPr>
              <w:t>（</w:t>
            </w:r>
            <w:r>
              <w:rPr>
                <w:rFonts w:ascii="Times New Roman" w:hAnsi="Times New Roman" w:eastAsia="微软雅黑"/>
                <w:sz w:val="18"/>
              </w:rPr>
              <w:t>MVA</w:t>
            </w:r>
            <w:r>
              <w:rPr>
                <w:rFonts w:ascii="Microsoft YaHei" w:hAnsi="Microsoft YaHei" w:eastAsia="微软雅黑"/>
                <w:sz w:val="18"/>
              </w:rPr>
              <w:t>）</w:t>
            </w:r>
          </w:p>
        </w:tc>
        <w:tc>
          <w:tcPr>
            <w:tcW w:type="dxa" w:w="1469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正</w:t>
            </w:r>
            <w:r>
              <w:rPr>
                <w:rFonts w:ascii="Times New Roman" w:hAnsi="Times New Roman" w:eastAsia="微软雅黑"/>
                <w:sz w:val="18"/>
              </w:rPr>
              <w:t>/</w:t>
            </w:r>
            <w:r>
              <w:rPr>
                <w:rFonts w:ascii="Microsoft YaHei" w:hAnsi="Microsoft YaHei" w:eastAsia="微软雅黑"/>
                <w:sz w:val="18"/>
              </w:rPr>
              <w:t>反向尖峰</w:t>
            </w:r>
            <w:r>
              <w:rPr>
                <w:rFonts w:ascii="Times New Roman" w:hAnsi="Times New Roman" w:eastAsia="微软雅黑"/>
                <w:sz w:val="18"/>
              </w:rPr>
              <w:br/>
            </w:r>
            <w:r>
              <w:rPr>
                <w:rFonts w:ascii="Microsoft YaHei" w:hAnsi="Microsoft YaHei" w:eastAsia="微软雅黑"/>
                <w:sz w:val="18"/>
              </w:rPr>
              <w:t>模板（</w:t>
            </w:r>
            <w:r>
              <w:rPr>
                <w:rFonts w:ascii="Times New Roman" w:hAnsi="Times New Roman" w:eastAsia="微软雅黑"/>
                <w:sz w:val="18"/>
              </w:rPr>
              <w:t>h</w:t>
            </w:r>
            <w:r>
              <w:rPr>
                <w:rFonts w:ascii="Microsoft YaHei" w:hAnsi="Microsoft YaHei" w:eastAsia="微软雅黑"/>
                <w:sz w:val="18"/>
              </w:rPr>
              <w:t>）</w:t>
            </w:r>
          </w:p>
        </w:tc>
        <w:tc>
          <w:tcPr>
            <w:tcW w:type="dxa" w:w="1061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停运恢复</w:t>
            </w:r>
            <w:r>
              <w:rPr>
                <w:rFonts w:ascii="Times New Roman" w:hAnsi="Times New Roman" w:eastAsia="微软雅黑"/>
                <w:sz w:val="18"/>
              </w:rPr>
              <w:br/>
            </w:r>
            <w:r>
              <w:rPr>
                <w:rFonts w:ascii="Microsoft YaHei" w:hAnsi="Microsoft YaHei" w:eastAsia="微软雅黑"/>
                <w:sz w:val="18"/>
              </w:rPr>
              <w:t>比例</w:t>
            </w:r>
          </w:p>
        </w:tc>
        <w:tc>
          <w:tcPr>
            <w:tcW w:type="dxa" w:w="1225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互济条件</w:t>
            </w:r>
          </w:p>
        </w:tc>
      </w:tr>
      <w:tr>
        <w:trPr>
          <w:cantSplit/>
        </w:trPr>
        <w:tc>
          <w:tcPr>
            <w:tcW w:type="dxa" w:w="2204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邳州</w:t>
            </w:r>
            <w:r>
              <w:rPr>
                <w:rFonts w:ascii="Times New Roman" w:hAnsi="Times New Roman" w:eastAsia="微软雅黑"/>
                <w:sz w:val="18"/>
              </w:rPr>
              <w:t>110 kV</w:t>
            </w:r>
          </w:p>
        </w:tc>
        <w:tc>
          <w:tcPr>
            <w:tcW w:type="dxa" w:w="73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20</w:t>
            </w:r>
          </w:p>
        </w:tc>
        <w:tc>
          <w:tcPr>
            <w:tcW w:type="dxa" w:w="1469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2027.0</w:t>
            </w:r>
          </w:p>
        </w:tc>
        <w:tc>
          <w:tcPr>
            <w:tcW w:type="dxa" w:w="1469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4/3</w:t>
            </w:r>
          </w:p>
        </w:tc>
        <w:tc>
          <w:tcPr>
            <w:tcW w:type="dxa" w:w="1061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60%</w:t>
            </w:r>
          </w:p>
        </w:tc>
        <w:tc>
          <w:tcPr>
            <w:tcW w:type="dxa" w:w="122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既有及拟建候选</w:t>
            </w:r>
          </w:p>
        </w:tc>
      </w:tr>
      <w:tr>
        <w:trPr>
          <w:cantSplit/>
        </w:trPr>
        <w:tc>
          <w:tcPr>
            <w:tcW w:type="dxa" w:w="2204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市区</w:t>
            </w:r>
            <w:r>
              <w:rPr>
                <w:rFonts w:ascii="Times New Roman" w:hAnsi="Times New Roman" w:eastAsia="微软雅黑"/>
                <w:sz w:val="18"/>
              </w:rPr>
              <w:t>29</w:t>
            </w:r>
            <w:r>
              <w:rPr>
                <w:rFonts w:ascii="Microsoft YaHei" w:hAnsi="Microsoft YaHei" w:eastAsia="微软雅黑"/>
                <w:sz w:val="18"/>
              </w:rPr>
              <w:t>站</w:t>
            </w:r>
            <w:r>
              <w:rPr>
                <w:rFonts w:ascii="Times New Roman" w:hAnsi="Times New Roman" w:eastAsia="微软雅黑"/>
                <w:sz w:val="18"/>
              </w:rPr>
              <w:t>110 kV</w:t>
            </w:r>
          </w:p>
        </w:tc>
        <w:tc>
          <w:tcPr>
            <w:tcW w:type="dxa" w:w="735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29</w:t>
            </w:r>
          </w:p>
        </w:tc>
        <w:tc>
          <w:tcPr>
            <w:tcW w:type="dxa" w:w="1469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2948.0</w:t>
            </w:r>
          </w:p>
        </w:tc>
        <w:tc>
          <w:tcPr>
            <w:tcW w:type="dxa" w:w="1469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5/2</w:t>
            </w:r>
          </w:p>
        </w:tc>
        <w:tc>
          <w:tcPr>
            <w:tcW w:type="dxa" w:w="1061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45%</w:t>
            </w:r>
          </w:p>
        </w:tc>
        <w:tc>
          <w:tcPr>
            <w:tcW w:type="dxa" w:w="1225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无站间候选</w:t>
            </w:r>
          </w:p>
        </w:tc>
      </w:tr>
    </w:tbl>
    <w:p>
      <w:r>
        <w:rPr>
          <w:rFonts w:ascii="Microsoft YaHei" w:hAnsi="Microsoft YaHei" w:eastAsia="微软雅黑"/>
          <w:sz w:val="16"/>
        </w:rPr>
        <w:t>注：基期</w:t>
      </w:r>
      <w:r>
        <w:rPr>
          <w:rFonts w:ascii="Times New Roman" w:hAnsi="Times New Roman" w:eastAsia="微软雅黑"/>
          <w:sz w:val="16"/>
        </w:rPr>
        <w:t>2021</w:t>
      </w:r>
      <w:r>
        <w:rPr>
          <w:rFonts w:ascii="Microsoft YaHei" w:hAnsi="Microsoft YaHei" w:eastAsia="微软雅黑"/>
          <w:sz w:val="16"/>
        </w:rPr>
        <w:t>年；两案例按各自同边界数据比较。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