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sz w:val="22"/>
        </w:rPr>
        <w:t>表</w:t>
      </w:r>
      <w:r>
        <w:rPr>
          <w:rFonts w:ascii="Times New Roman" w:hAnsi="Times New Roman" w:eastAsia="微软雅黑"/>
          <w:sz w:val="22"/>
        </w:rPr>
        <w:t xml:space="preserve">6-2 </w:t>
      </w:r>
      <w:r>
        <w:rPr>
          <w:rFonts w:ascii="Microsoft YaHei" w:hAnsi="Microsoft YaHei" w:eastAsia="微软雅黑"/>
          <w:sz w:val="22"/>
        </w:rPr>
        <w:t>邳州</w:t>
      </w:r>
      <w:r>
        <w:rPr>
          <w:rFonts w:ascii="Times New Roman" w:hAnsi="Times New Roman" w:eastAsia="微软雅黑"/>
          <w:sz w:val="22"/>
        </w:rPr>
        <w:t>110 kV</w:t>
      </w:r>
      <w:r>
        <w:rPr>
          <w:rFonts w:ascii="Microsoft YaHei" w:hAnsi="Microsoft YaHei" w:eastAsia="微软雅黑"/>
          <w:sz w:val="22"/>
        </w:rPr>
        <w:t>两方案关键结果（</w:t>
      </w:r>
      <w:r>
        <w:rPr>
          <w:rFonts w:ascii="Times New Roman" w:hAnsi="Times New Roman" w:eastAsia="微软雅黑"/>
          <w:sz w:val="22"/>
        </w:rPr>
        <w:t>2025</w:t>
      </w:r>
      <w:r>
        <w:rPr>
          <w:rFonts w:ascii="Microsoft YaHei" w:hAnsi="Microsoft YaHei" w:eastAsia="微软雅黑"/>
          <w:sz w:val="22"/>
        </w:rPr>
        <w:t>年）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72"/>
        <w:gridCol w:w="1796"/>
        <w:gridCol w:w="1796"/>
      </w:tblGrid>
      <w:tr>
        <w:trPr>
          <w:cantSplit/>
          <w:tblHeader/>
        </w:trPr>
        <w:tc>
          <w:tcPr>
            <w:tcW w:type="dxa" w:w="4572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指标</w:t>
            </w:r>
          </w:p>
        </w:tc>
        <w:tc>
          <w:tcPr>
            <w:tcW w:type="dxa" w:w="1796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刚性方案</w:t>
            </w:r>
          </w:p>
        </w:tc>
        <w:tc>
          <w:tcPr>
            <w:tcW w:type="dxa" w:w="1796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弹性方案</w:t>
            </w:r>
          </w:p>
        </w:tc>
      </w:tr>
      <w:tr>
        <w:trPr>
          <w:cantSplit/>
        </w:trPr>
        <w:tc>
          <w:tcPr>
            <w:tcW w:type="dxa" w:w="4572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规划容量（</w:t>
            </w:r>
            <w:r>
              <w:rPr>
                <w:rFonts w:ascii="Times New Roman" w:hAnsi="Times New Roman" w:eastAsia="微软雅黑"/>
                <w:sz w:val="18"/>
              </w:rPr>
              <w:t>MVA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1533.5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2096.0</w:t>
            </w:r>
          </w:p>
        </w:tc>
      </w:tr>
      <w:tr>
        <w:trPr>
          <w:cantSplit/>
        </w:trPr>
        <w:tc>
          <w:tcPr>
            <w:tcW w:type="dxa" w:w="4572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规划参考容载比（</w:t>
            </w:r>
            <w:r>
              <w:rPr>
                <w:rFonts w:ascii="Times New Roman" w:hAnsi="Times New Roman" w:eastAsia="微软雅黑"/>
                <w:sz w:val="18"/>
              </w:rPr>
              <w:t>MVA/MW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1.603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2.191</w:t>
            </w:r>
          </w:p>
        </w:tc>
      </w:tr>
      <w:tr>
        <w:trPr>
          <w:cantSplit/>
        </w:trPr>
        <w:tc>
          <w:tcPr>
            <w:tcW w:type="dxa" w:w="4572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储能在役数量（柜）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69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35</w:t>
            </w:r>
          </w:p>
        </w:tc>
      </w:tr>
      <w:tr>
        <w:trPr>
          <w:cantSplit/>
        </w:trPr>
        <w:tc>
          <w:tcPr>
            <w:tcW w:type="dxa" w:w="4572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既有候选转供功率（</w:t>
            </w:r>
            <w:r>
              <w:rPr>
                <w:rFonts w:ascii="Times New Roman" w:hAnsi="Times New Roman" w:eastAsia="微软雅黑"/>
                <w:sz w:val="18"/>
              </w:rPr>
              <w:t>MW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4.497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4.497</w:t>
            </w:r>
          </w:p>
        </w:tc>
      </w:tr>
      <w:tr>
        <w:trPr>
          <w:cantSplit/>
        </w:trPr>
        <w:tc>
          <w:tcPr>
            <w:tcW w:type="dxa" w:w="4572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拟建候选转供功率（</w:t>
            </w:r>
            <w:r>
              <w:rPr>
                <w:rFonts w:ascii="Times New Roman" w:hAnsi="Times New Roman" w:eastAsia="微软雅黑"/>
                <w:sz w:val="18"/>
              </w:rPr>
              <w:t>MW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7.491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7.491</w:t>
            </w:r>
          </w:p>
        </w:tc>
      </w:tr>
      <w:tr>
        <w:trPr>
          <w:cantSplit/>
        </w:trPr>
        <w:tc>
          <w:tcPr>
            <w:tcW w:type="dxa" w:w="4572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完整路径费用现值（万元）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5245.66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4410.44</w:t>
            </w:r>
          </w:p>
        </w:tc>
      </w:tr>
      <w:tr>
        <w:trPr>
          <w:cantSplit/>
        </w:trPr>
        <w:tc>
          <w:tcPr>
            <w:tcW w:type="dxa" w:w="4572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费用降幅（</w:t>
            </w:r>
            <w:r>
              <w:rPr>
                <w:rFonts w:ascii="Times New Roman" w:hAnsi="Times New Roman" w:eastAsia="微软雅黑"/>
                <w:sz w:val="18"/>
              </w:rPr>
              <w:t>%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796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比较基准</w:t>
            </w:r>
          </w:p>
        </w:tc>
        <w:tc>
          <w:tcPr>
            <w:tcW w:type="dxa" w:w="1796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15.92</w:t>
            </w:r>
          </w:p>
        </w:tc>
      </w:tr>
    </w:tbl>
    <w:p>
      <w:r>
        <w:rPr>
          <w:rFonts w:ascii="Microsoft YaHei" w:hAnsi="Microsoft YaHei" w:eastAsia="微软雅黑"/>
          <w:sz w:val="16"/>
        </w:rPr>
        <w:t>注：配置为</w:t>
      </w:r>
      <w:r>
        <w:rPr>
          <w:rFonts w:ascii="Times New Roman" w:hAnsi="Times New Roman" w:eastAsia="微软雅黑"/>
          <w:sz w:val="16"/>
        </w:rPr>
        <w:t>2025</w:t>
      </w:r>
      <w:r>
        <w:rPr>
          <w:rFonts w:ascii="Microsoft YaHei" w:hAnsi="Microsoft YaHei" w:eastAsia="微软雅黑"/>
          <w:sz w:val="16"/>
        </w:rPr>
        <w:t>年；费用为</w:t>
      </w:r>
      <w:r>
        <w:rPr>
          <w:rFonts w:ascii="Times New Roman" w:hAnsi="Times New Roman" w:eastAsia="微软雅黑"/>
          <w:sz w:val="16"/>
        </w:rPr>
        <w:t>2022</w:t>
      </w:r>
      <w:r>
        <w:rPr>
          <w:rFonts w:ascii="Microsoft YaHei" w:hAnsi="Microsoft YaHei" w:eastAsia="微软雅黑"/>
          <w:sz w:val="16"/>
        </w:rPr>
        <w:t>至</w:t>
      </w:r>
      <w:r>
        <w:rPr>
          <w:rFonts w:ascii="Times New Roman" w:hAnsi="Times New Roman" w:eastAsia="微软雅黑"/>
          <w:sz w:val="16"/>
        </w:rPr>
        <w:t>2041</w:t>
      </w:r>
      <w:r>
        <w:rPr>
          <w:rFonts w:ascii="Microsoft YaHei" w:hAnsi="Microsoft YaHei" w:eastAsia="微软雅黑"/>
          <w:sz w:val="16"/>
        </w:rPr>
        <w:t>年评价期现值，折现至</w:t>
      </w:r>
      <w:r>
        <w:rPr>
          <w:rFonts w:ascii="Times New Roman" w:hAnsi="Times New Roman" w:eastAsia="微软雅黑"/>
          <w:sz w:val="16"/>
        </w:rPr>
        <w:t>2021</w:t>
      </w:r>
      <w:r>
        <w:rPr>
          <w:rFonts w:ascii="Microsoft YaHei" w:hAnsi="Microsoft YaHei" w:eastAsia="微软雅黑"/>
          <w:sz w:val="16"/>
        </w:rPr>
        <w:t>年。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