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6-3 </w:t>
      </w:r>
      <w:r>
        <w:rPr>
          <w:rFonts w:ascii="Microsoft YaHei" w:hAnsi="Microsoft YaHei" w:eastAsia="微软雅黑"/>
          <w:sz w:val="22"/>
        </w:rPr>
        <w:t>市区</w:t>
      </w:r>
      <w:r>
        <w:rPr>
          <w:rFonts w:ascii="Times New Roman" w:hAnsi="Times New Roman" w:eastAsia="微软雅黑"/>
          <w:sz w:val="22"/>
        </w:rPr>
        <w:t>29</w:t>
      </w:r>
      <w:r>
        <w:rPr>
          <w:rFonts w:ascii="Microsoft YaHei" w:hAnsi="Microsoft YaHei" w:eastAsia="微软雅黑"/>
          <w:sz w:val="22"/>
        </w:rPr>
        <w:t>站两方案关键结果（</w:t>
      </w:r>
      <w:r>
        <w:rPr>
          <w:rFonts w:ascii="Times New Roman" w:hAnsi="Times New Roman" w:eastAsia="微软雅黑"/>
          <w:sz w:val="22"/>
        </w:rPr>
        <w:t>2025</w:t>
      </w:r>
      <w:r>
        <w:rPr>
          <w:rFonts w:ascii="Microsoft YaHei" w:hAnsi="Microsoft YaHei" w:eastAsia="微软雅黑"/>
          <w:sz w:val="22"/>
        </w:rPr>
        <w:t>年）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72"/>
        <w:gridCol w:w="1796"/>
        <w:gridCol w:w="1796"/>
      </w:tblGrid>
      <w:tr>
        <w:trPr>
          <w:cantSplit/>
          <w:tblHeader/>
        </w:trPr>
        <w:tc>
          <w:tcPr>
            <w:tcW w:type="dxa" w:w="4572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指标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刚性方案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弹性方案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规划容量（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2450.0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2981.0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规划参考容载比（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1.874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2.280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储能在役数量（柜）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43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完整路径费用现值（万元）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3211.15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1912.29</w:t>
            </w:r>
          </w:p>
        </w:tc>
      </w:tr>
      <w:tr>
        <w:trPr>
          <w:cantSplit/>
        </w:trPr>
        <w:tc>
          <w:tcPr>
            <w:tcW w:type="dxa" w:w="4572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费用降幅（</w:t>
            </w:r>
            <w:r>
              <w:rPr>
                <w:rFonts w:ascii="Times New Roman" w:hAnsi="Times New Roman" w:eastAsia="微软雅黑"/>
                <w:sz w:val="18"/>
              </w:rPr>
              <w:t>%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比较基准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40.45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注：配置为</w:t>
      </w:r>
      <w:r>
        <w:rPr>
          <w:rFonts w:ascii="Times New Roman" w:hAnsi="Times New Roman" w:eastAsia="微软雅黑"/>
          <w:sz w:val="16"/>
        </w:rPr>
        <w:t>2025</w:t>
      </w:r>
      <w:r>
        <w:rPr>
          <w:rFonts w:ascii="Microsoft YaHei" w:hAnsi="Microsoft YaHei" w:eastAsia="微软雅黑"/>
          <w:sz w:val="16"/>
        </w:rPr>
        <w:t>年；费用为</w:t>
      </w:r>
      <w:r>
        <w:rPr>
          <w:rFonts w:ascii="Times New Roman" w:hAnsi="Times New Roman" w:eastAsia="微软雅黑"/>
          <w:sz w:val="16"/>
        </w:rPr>
        <w:t>2022</w:t>
      </w:r>
      <w:r>
        <w:rPr>
          <w:rFonts w:ascii="Microsoft YaHei" w:hAnsi="Microsoft YaHei" w:eastAsia="微软雅黑"/>
          <w:sz w:val="16"/>
        </w:rPr>
        <w:t>至</w:t>
      </w:r>
      <w:r>
        <w:rPr>
          <w:rFonts w:ascii="Times New Roman" w:hAnsi="Times New Roman" w:eastAsia="微软雅黑"/>
          <w:sz w:val="16"/>
        </w:rPr>
        <w:t>2041</w:t>
      </w:r>
      <w:r>
        <w:rPr>
          <w:rFonts w:ascii="Microsoft YaHei" w:hAnsi="Microsoft YaHei" w:eastAsia="微软雅黑"/>
          <w:sz w:val="16"/>
        </w:rPr>
        <w:t>年评价期现值，折现至</w:t>
      </w:r>
      <w:r>
        <w:rPr>
          <w:rFonts w:ascii="Times New Roman" w:hAnsi="Times New Roman" w:eastAsia="微软雅黑"/>
          <w:sz w:val="16"/>
        </w:rPr>
        <w:t>2021</w:t>
      </w:r>
      <w:r>
        <w:rPr>
          <w:rFonts w:ascii="Microsoft YaHei" w:hAnsi="Microsoft YaHei" w:eastAsia="微软雅黑"/>
          <w:sz w:val="16"/>
        </w:rPr>
        <w:t>年。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