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sz w:val="22"/>
        </w:rPr>
        <w:t>表</w:t>
      </w:r>
      <w:r>
        <w:rPr>
          <w:rFonts w:ascii="Times New Roman" w:hAnsi="Times New Roman" w:eastAsia="微软雅黑"/>
          <w:sz w:val="22"/>
        </w:rPr>
        <w:t xml:space="preserve">7-1 </w:t>
      </w:r>
      <w:r>
        <w:rPr>
          <w:rFonts w:ascii="Microsoft YaHei" w:hAnsi="Microsoft YaHei" w:eastAsia="微软雅黑"/>
          <w:sz w:val="22"/>
        </w:rPr>
        <w:t>主要研究结论及其依据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6"/>
        <w:gridCol w:w="4735"/>
        <w:gridCol w:w="2123"/>
      </w:tblGrid>
      <w:tr>
        <w:trPr>
          <w:cantSplit/>
          <w:tblHeader/>
        </w:trPr>
        <w:tc>
          <w:tcPr>
            <w:tcW w:type="dxa" w:w="1306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研究内容</w:t>
            </w:r>
          </w:p>
        </w:tc>
        <w:tc>
          <w:tcPr>
            <w:tcW w:type="dxa" w:w="473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主要结果</w:t>
            </w:r>
          </w:p>
        </w:tc>
        <w:tc>
          <w:tcPr>
            <w:tcW w:type="dxa" w:w="2123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图表依据</w:t>
            </w:r>
          </w:p>
        </w:tc>
      </w:tr>
      <w:tr>
        <w:trPr>
          <w:cantSplit/>
        </w:trPr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运行特征</w:t>
            </w:r>
          </w:p>
        </w:tc>
        <w:tc>
          <w:tcPr>
            <w:tcW w:type="dxa" w:w="4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区县装机背景、区域正向峰与站级反向压力分别分析</w:t>
            </w:r>
          </w:p>
        </w:tc>
        <w:tc>
          <w:tcPr>
            <w:tcW w:type="dxa" w:w="212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图</w:t>
            </w:r>
            <w:r>
              <w:rPr>
                <w:rFonts w:ascii="Times New Roman" w:hAnsi="Times New Roman" w:eastAsia="微软雅黑"/>
                <w:sz w:val="18"/>
              </w:rPr>
              <w:t>3-1</w:t>
            </w:r>
            <w:r>
              <w:rPr>
                <w:rFonts w:ascii="Microsoft YaHei" w:hAnsi="Microsoft YaHei" w:eastAsia="微软雅黑"/>
                <w:sz w:val="18"/>
              </w:rPr>
              <w:t>至图</w:t>
            </w:r>
            <w:r>
              <w:rPr>
                <w:rFonts w:ascii="Times New Roman" w:hAnsi="Times New Roman" w:eastAsia="微软雅黑"/>
                <w:sz w:val="18"/>
              </w:rPr>
              <w:t>3-5</w:t>
            </w:r>
            <w:r>
              <w:rPr>
                <w:rFonts w:ascii="Microsoft YaHei" w:hAnsi="Microsoft YaHei" w:eastAsia="微软雅黑"/>
                <w:sz w:val="18"/>
              </w:rPr>
              <w:t>；表</w:t>
            </w:r>
            <w:r>
              <w:rPr>
                <w:rFonts w:ascii="Times New Roman" w:hAnsi="Times New Roman" w:eastAsia="微软雅黑"/>
                <w:sz w:val="18"/>
              </w:rPr>
              <w:t>3-3</w:t>
            </w:r>
          </w:p>
        </w:tc>
      </w:tr>
      <w:tr>
        <w:trPr>
          <w:cantSplit/>
        </w:trPr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费用比较</w:t>
            </w:r>
          </w:p>
        </w:tc>
        <w:tc>
          <w:tcPr>
            <w:tcW w:type="dxa" w:w="4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弹性路径费用降幅：邳州</w:t>
            </w:r>
            <w:r>
              <w:rPr>
                <w:rFonts w:ascii="Times New Roman" w:hAnsi="Times New Roman" w:eastAsia="微软雅黑"/>
                <w:sz w:val="18"/>
              </w:rPr>
              <w:t>110 kV15.92%</w:t>
            </w:r>
            <w:r>
              <w:rPr>
                <w:rFonts w:ascii="Microsoft YaHei" w:hAnsi="Microsoft YaHei" w:eastAsia="微软雅黑"/>
                <w:sz w:val="18"/>
              </w:rPr>
              <w:t>；市区</w:t>
            </w:r>
            <w:r>
              <w:rPr>
                <w:rFonts w:ascii="Times New Roman" w:hAnsi="Times New Roman" w:eastAsia="微软雅黑"/>
                <w:sz w:val="18"/>
              </w:rPr>
              <w:t>29</w:t>
            </w:r>
            <w:r>
              <w:rPr>
                <w:rFonts w:ascii="Microsoft YaHei" w:hAnsi="Microsoft YaHei" w:eastAsia="微软雅黑"/>
                <w:sz w:val="18"/>
              </w:rPr>
              <w:t>站</w:t>
            </w:r>
            <w:r>
              <w:rPr>
                <w:rFonts w:ascii="Times New Roman" w:hAnsi="Times New Roman" w:eastAsia="微软雅黑"/>
                <w:sz w:val="18"/>
              </w:rPr>
              <w:t>110 kV40.45%</w:t>
            </w:r>
            <w:r>
              <w:rPr>
                <w:rFonts w:ascii="Microsoft YaHei" w:hAnsi="Microsoft YaHei" w:eastAsia="微软雅黑"/>
                <w:sz w:val="18"/>
              </w:rPr>
              <w:t>；邳州</w:t>
            </w:r>
            <w:r>
              <w:rPr>
                <w:rFonts w:ascii="Times New Roman" w:hAnsi="Times New Roman" w:eastAsia="微软雅黑"/>
                <w:sz w:val="18"/>
              </w:rPr>
              <w:t>35 kV59.39%</w:t>
            </w:r>
          </w:p>
        </w:tc>
        <w:tc>
          <w:tcPr>
            <w:tcW w:type="dxa" w:w="212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图</w:t>
            </w:r>
            <w:r>
              <w:rPr>
                <w:rFonts w:ascii="Times New Roman" w:hAnsi="Times New Roman" w:eastAsia="微软雅黑"/>
                <w:sz w:val="18"/>
              </w:rPr>
              <w:t>4-2</w:t>
            </w:r>
            <w:r>
              <w:rPr>
                <w:rFonts w:ascii="Microsoft YaHei" w:hAnsi="Microsoft YaHei" w:eastAsia="微软雅黑"/>
                <w:sz w:val="18"/>
              </w:rPr>
              <w:t>；表</w:t>
            </w:r>
            <w:r>
              <w:rPr>
                <w:rFonts w:ascii="Times New Roman" w:hAnsi="Times New Roman" w:eastAsia="微软雅黑"/>
                <w:sz w:val="18"/>
              </w:rPr>
              <w:t>4-4</w:t>
            </w:r>
          </w:p>
        </w:tc>
      </w:tr>
      <w:tr>
        <w:trPr>
          <w:cantSplit/>
        </w:trPr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片区建议</w:t>
            </w:r>
          </w:p>
        </w:tc>
        <w:tc>
          <w:tcPr>
            <w:tcW w:type="dxa" w:w="4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按工程条件形成五类年度样本参考范围</w:t>
            </w:r>
          </w:p>
        </w:tc>
        <w:tc>
          <w:tcPr>
            <w:tcW w:type="dxa" w:w="212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图</w:t>
            </w:r>
            <w:r>
              <w:rPr>
                <w:rFonts w:ascii="Times New Roman" w:hAnsi="Times New Roman" w:eastAsia="微软雅黑"/>
                <w:sz w:val="18"/>
              </w:rPr>
              <w:t>5-2</w:t>
            </w:r>
            <w:r>
              <w:rPr>
                <w:rFonts w:ascii="Microsoft YaHei" w:hAnsi="Microsoft YaHei" w:eastAsia="微软雅黑"/>
                <w:sz w:val="18"/>
              </w:rPr>
              <w:t>；表</w:t>
            </w:r>
            <w:r>
              <w:rPr>
                <w:rFonts w:ascii="Times New Roman" w:hAnsi="Times New Roman" w:eastAsia="微软雅黑"/>
                <w:sz w:val="18"/>
              </w:rPr>
              <w:t>5-2</w:t>
            </w:r>
            <w:r>
              <w:rPr>
                <w:rFonts w:ascii="Microsoft YaHei" w:hAnsi="Microsoft YaHei" w:eastAsia="微软雅黑"/>
                <w:sz w:val="18"/>
              </w:rPr>
              <w:t>至表</w:t>
            </w:r>
            <w:r>
              <w:rPr>
                <w:rFonts w:ascii="Times New Roman" w:hAnsi="Times New Roman" w:eastAsia="微软雅黑"/>
                <w:sz w:val="18"/>
              </w:rPr>
              <w:t>5-3</w:t>
            </w:r>
          </w:p>
        </w:tc>
      </w:tr>
      <w:tr>
        <w:trPr>
          <w:cantSplit/>
        </w:trPr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价格响应</w:t>
            </w:r>
          </w:p>
        </w:tc>
        <w:tc>
          <w:tcPr>
            <w:tcW w:type="dxa" w:w="4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  <w:r>
              <w:rPr>
                <w:rFonts w:ascii="Microsoft YaHei" w:hAnsi="Microsoft YaHei" w:eastAsia="微软雅黑"/>
                <w:sz w:val="18"/>
              </w:rPr>
              <w:t>主变降价或储能涨价情景的</w:t>
            </w:r>
            <w:r>
              <w:rPr>
                <w:rFonts w:ascii="Times New Roman" w:hAnsi="Times New Roman" w:eastAsia="微软雅黑"/>
                <w:sz w:val="18"/>
              </w:rPr>
              <w:t>2025</w:t>
            </w:r>
            <w:r>
              <w:rPr>
                <w:rFonts w:ascii="Microsoft YaHei" w:hAnsi="Microsoft YaHei" w:eastAsia="微软雅黑"/>
                <w:sz w:val="18"/>
              </w:rPr>
              <w:t>配置发生替代</w:t>
            </w:r>
          </w:p>
        </w:tc>
        <w:tc>
          <w:tcPr>
            <w:tcW w:type="dxa" w:w="212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图</w:t>
            </w:r>
            <w:r>
              <w:rPr>
                <w:rFonts w:ascii="Times New Roman" w:hAnsi="Times New Roman" w:eastAsia="微软雅黑"/>
                <w:sz w:val="18"/>
              </w:rPr>
              <w:t>4-5</w:t>
            </w:r>
            <w:r>
              <w:rPr>
                <w:rFonts w:ascii="Microsoft YaHei" w:hAnsi="Microsoft YaHei" w:eastAsia="微软雅黑"/>
                <w:sz w:val="18"/>
              </w:rPr>
              <w:t>至图</w:t>
            </w:r>
            <w:r>
              <w:rPr>
                <w:rFonts w:ascii="Times New Roman" w:hAnsi="Times New Roman" w:eastAsia="微软雅黑"/>
                <w:sz w:val="18"/>
              </w:rPr>
              <w:t>4-6</w:t>
            </w:r>
            <w:r>
              <w:rPr>
                <w:rFonts w:ascii="Microsoft YaHei" w:hAnsi="Microsoft YaHei" w:eastAsia="微软雅黑"/>
                <w:sz w:val="18"/>
              </w:rPr>
              <w:t>；表</w:t>
            </w:r>
            <w:r>
              <w:rPr>
                <w:rFonts w:ascii="Times New Roman" w:hAnsi="Times New Roman" w:eastAsia="微软雅黑"/>
                <w:sz w:val="18"/>
              </w:rPr>
              <w:t>4-3</w:t>
            </w:r>
          </w:p>
        </w:tc>
      </w:tr>
      <w:tr>
        <w:trPr>
          <w:cantSplit/>
        </w:trPr>
        <w:tc>
          <w:tcPr>
            <w:tcW w:type="dxa" w:w="1306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典型案例</w:t>
            </w:r>
          </w:p>
        </w:tc>
        <w:tc>
          <w:tcPr>
            <w:tcW w:type="dxa" w:w="473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邳州与市区</w:t>
            </w:r>
            <w:r>
              <w:rPr>
                <w:rFonts w:ascii="Times New Roman" w:hAnsi="Times New Roman" w:eastAsia="微软雅黑"/>
                <w:sz w:val="18"/>
              </w:rPr>
              <w:t>29</w:t>
            </w:r>
            <w:r>
              <w:rPr>
                <w:rFonts w:ascii="Microsoft YaHei" w:hAnsi="Microsoft YaHei" w:eastAsia="微软雅黑"/>
                <w:sz w:val="18"/>
              </w:rPr>
              <w:t>站的措施组合结合互济条件分别分析</w:t>
            </w:r>
          </w:p>
        </w:tc>
        <w:tc>
          <w:tcPr>
            <w:tcW w:type="dxa" w:w="2123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图</w:t>
            </w:r>
            <w:r>
              <w:rPr>
                <w:rFonts w:ascii="Times New Roman" w:hAnsi="Times New Roman" w:eastAsia="微软雅黑"/>
                <w:sz w:val="18"/>
              </w:rPr>
              <w:t>6-1</w:t>
            </w:r>
            <w:r>
              <w:rPr>
                <w:rFonts w:ascii="Microsoft YaHei" w:hAnsi="Microsoft YaHei" w:eastAsia="微软雅黑"/>
                <w:sz w:val="18"/>
              </w:rPr>
              <w:t>至图</w:t>
            </w:r>
            <w:r>
              <w:rPr>
                <w:rFonts w:ascii="Times New Roman" w:hAnsi="Times New Roman" w:eastAsia="微软雅黑"/>
                <w:sz w:val="18"/>
              </w:rPr>
              <w:t>6-3</w:t>
            </w:r>
            <w:r>
              <w:rPr>
                <w:rFonts w:ascii="Microsoft YaHei" w:hAnsi="Microsoft YaHei" w:eastAsia="微软雅黑"/>
                <w:sz w:val="18"/>
              </w:rPr>
              <w:t>；表</w:t>
            </w:r>
            <w:r>
              <w:rPr>
                <w:rFonts w:ascii="Times New Roman" w:hAnsi="Times New Roman" w:eastAsia="微软雅黑"/>
                <w:sz w:val="18"/>
              </w:rPr>
              <w:t>6-2</w:t>
            </w:r>
            <w:r>
              <w:rPr>
                <w:rFonts w:ascii="Microsoft YaHei" w:hAnsi="Microsoft YaHei" w:eastAsia="微软雅黑"/>
                <w:sz w:val="18"/>
              </w:rPr>
              <w:t>至表</w:t>
            </w:r>
            <w:r>
              <w:rPr>
                <w:rFonts w:ascii="Times New Roman" w:hAnsi="Times New Roman" w:eastAsia="微软雅黑"/>
                <w:sz w:val="18"/>
              </w:rPr>
              <w:t>6-3</w:t>
            </w:r>
          </w:p>
        </w:tc>
      </w:tr>
    </w:tbl>
    <w:p>
      <w:r>
        <w:rPr>
          <w:rFonts w:ascii="Microsoft YaHei" w:hAnsi="Microsoft YaHei" w:eastAsia="微软雅黑"/>
          <w:sz w:val="16"/>
        </w:rPr>
        <w:t>注：结论对应已分析区域与研究设置；市区结果仅代表</w:t>
      </w:r>
      <w:r>
        <w:rPr>
          <w:rFonts w:ascii="Times New Roman" w:hAnsi="Times New Roman" w:eastAsia="微软雅黑"/>
          <w:sz w:val="16"/>
        </w:rPr>
        <w:t>29</w:t>
      </w:r>
      <w:r>
        <w:rPr>
          <w:rFonts w:ascii="Microsoft YaHei" w:hAnsi="Microsoft YaHei" w:eastAsia="微软雅黑"/>
          <w:sz w:val="16"/>
        </w:rPr>
        <w:t>站样本。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