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11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15</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15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28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30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32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34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37</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38</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36"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h336 \h </w:instrText>
      </w:r>
      <w:r>
        <w:rPr>
          <w:rFonts w:ascii="Times New Roman" w:hAnsi="Times New Roman" w:eastAsia="方正仿宋_GBK"/>
          <w:b w:val="0"/>
          <w:sz w:val="24"/>
        </w:rPr>
        <w:fldChar w:fldCharType="separate"/>
      </w:r>
      <w:r>
        <w:rPr>
          <w:rFonts w:ascii="Times New Roman" w:hAnsi="Times New Roman" w:eastAsia="方正仿宋_GBK"/>
          <w:b w:val="0"/>
          <w:sz w:val="24"/>
        </w:rPr>
        <w:t>41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58"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h358 \h </w:instrText>
      </w:r>
      <w:r>
        <w:rPr>
          <w:rFonts w:ascii="Times New Roman" w:hAnsi="Times New Roman" w:eastAsia="方正仿宋_GBK"/>
          <w:b w:val="0"/>
          <w:sz w:val="24"/>
        </w:rPr>
        <w:fldChar w:fldCharType="separate"/>
      </w:r>
      <w:r>
        <w:rPr>
          <w:rFonts w:ascii="Times New Roman" w:hAnsi="Times New Roman" w:eastAsia="方正仿宋_GBK"/>
          <w:b w:val="0"/>
          <w:sz w:val="24"/>
        </w:rPr>
        <w:t>43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94"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h394 \h </w:instrText>
      </w:r>
      <w:r>
        <w:rPr>
          <w:rFonts w:ascii="Times New Roman" w:hAnsi="Times New Roman" w:eastAsia="方正仿宋_GBK"/>
          <w:b w:val="0"/>
          <w:sz w:val="24"/>
        </w:rPr>
        <w:fldChar w:fldCharType="separate"/>
      </w:r>
      <w:r>
        <w:rPr>
          <w:rFonts w:ascii="Times New Roman" w:hAnsi="Times New Roman" w:eastAsia="方正仿宋_GBK"/>
          <w:b w:val="0"/>
          <w:sz w:val="24"/>
        </w:rPr>
        <w:t>50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37"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h437 \h </w:instrText>
      </w:r>
      <w:r>
        <w:rPr>
          <w:rFonts w:ascii="Times New Roman" w:hAnsi="Times New Roman" w:eastAsia="方正仿宋_GBK"/>
          <w:b w:val="0"/>
          <w:sz w:val="24"/>
        </w:rPr>
        <w:fldChar w:fldCharType="separate"/>
      </w:r>
      <w:r>
        <w:rPr>
          <w:rFonts w:ascii="Times New Roman" w:hAnsi="Times New Roman" w:eastAsia="方正仿宋_GBK"/>
          <w:b w:val="0"/>
          <w:sz w:val="24"/>
        </w:rPr>
        <w:t>59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7"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h447 \h </w:instrText>
      </w:r>
      <w:r>
        <w:rPr>
          <w:rFonts w:ascii="Times New Roman" w:hAnsi="Times New Roman" w:eastAsia="方正仿宋_GBK"/>
          <w:b w:val="0"/>
          <w:sz w:val="24"/>
        </w:rPr>
        <w:fldChar w:fldCharType="separate"/>
      </w:r>
      <w:r>
        <w:rPr>
          <w:rFonts w:ascii="Times New Roman" w:hAnsi="Times New Roman" w:eastAsia="方正仿宋_GBK"/>
          <w:b w:val="0"/>
          <w:sz w:val="24"/>
        </w:rPr>
        <w:t>60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63"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h463 \h </w:instrText>
      </w:r>
      <w:r>
        <w:rPr>
          <w:rFonts w:ascii="Times New Roman" w:hAnsi="Times New Roman" w:eastAsia="方正仿宋_GBK"/>
          <w:b w:val="0"/>
          <w:sz w:val="24"/>
        </w:rPr>
        <w:fldChar w:fldCharType="separate"/>
      </w:r>
      <w:r>
        <w:rPr>
          <w:rFonts w:ascii="Times New Roman" w:hAnsi="Times New Roman" w:eastAsia="方正仿宋_GBK"/>
          <w:b w:val="0"/>
          <w:sz w:val="24"/>
        </w:rPr>
        <w:t>63</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491"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h491 \h </w:instrText>
      </w:r>
      <w:r>
        <w:rPr>
          <w:rFonts w:ascii="Times New Roman" w:hAnsi="Times New Roman" w:eastAsia="方正仿宋_GBK"/>
          <w:b/>
          <w:sz w:val="24"/>
        </w:rPr>
        <w:fldChar w:fldCharType="separate"/>
      </w:r>
      <w:r>
        <w:rPr>
          <w:rFonts w:ascii="Times New Roman" w:hAnsi="Times New Roman" w:eastAsia="方正仿宋_GBK"/>
          <w:b/>
          <w:sz w:val="24"/>
        </w:rPr>
        <w:t>68</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92"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h492 \h </w:instrText>
      </w:r>
      <w:r>
        <w:rPr>
          <w:rFonts w:ascii="Times New Roman" w:hAnsi="Times New Roman" w:eastAsia="方正仿宋_GBK"/>
          <w:b w:val="0"/>
          <w:sz w:val="24"/>
        </w:rPr>
        <w:fldChar w:fldCharType="separate"/>
      </w:r>
      <w:r>
        <w:rPr>
          <w:rFonts w:ascii="Times New Roman" w:hAnsi="Times New Roman" w:eastAsia="方正仿宋_GBK"/>
          <w:b w:val="0"/>
          <w:sz w:val="24"/>
        </w:rPr>
        <w:t>68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4"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h504 \h </w:instrText>
      </w:r>
      <w:r>
        <w:rPr>
          <w:rFonts w:ascii="Times New Roman" w:hAnsi="Times New Roman" w:eastAsia="方正仿宋_GBK"/>
          <w:b w:val="0"/>
          <w:sz w:val="24"/>
        </w:rPr>
        <w:fldChar w:fldCharType="separate"/>
      </w:r>
      <w:r>
        <w:rPr>
          <w:rFonts w:ascii="Times New Roman" w:hAnsi="Times New Roman" w:eastAsia="方正仿宋_GBK"/>
          <w:b w:val="0"/>
          <w:sz w:val="24"/>
        </w:rPr>
        <w:t>69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29"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h529 \h </w:instrText>
      </w:r>
      <w:r>
        <w:rPr>
          <w:rFonts w:ascii="Times New Roman" w:hAnsi="Times New Roman" w:eastAsia="方正仿宋_GBK"/>
          <w:b w:val="0"/>
          <w:sz w:val="24"/>
        </w:rPr>
        <w:fldChar w:fldCharType="separate"/>
      </w:r>
      <w:r>
        <w:rPr>
          <w:rFonts w:ascii="Times New Roman" w:hAnsi="Times New Roman" w:eastAsia="方正仿宋_GBK"/>
          <w:b w:val="0"/>
          <w:sz w:val="24"/>
        </w:rPr>
        <w:t>72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3"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h543 \h </w:instrText>
      </w:r>
      <w:r>
        <w:rPr>
          <w:rFonts w:ascii="Times New Roman" w:hAnsi="Times New Roman" w:eastAsia="方正仿宋_GBK"/>
          <w:b w:val="0"/>
          <w:sz w:val="24"/>
        </w:rPr>
        <w:fldChar w:fldCharType="separate"/>
      </w:r>
      <w:r>
        <w:rPr>
          <w:rFonts w:ascii="Times New Roman" w:hAnsi="Times New Roman" w:eastAsia="方正仿宋_GBK"/>
          <w:b w:val="0"/>
          <w:sz w:val="24"/>
        </w:rPr>
        <w:t>73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62"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h562 \h </w:instrText>
      </w:r>
      <w:r>
        <w:rPr>
          <w:rFonts w:ascii="Times New Roman" w:hAnsi="Times New Roman" w:eastAsia="方正仿宋_GBK"/>
          <w:b w:val="0"/>
          <w:sz w:val="24"/>
        </w:rPr>
        <w:fldChar w:fldCharType="separate"/>
      </w:r>
      <w:r>
        <w:rPr>
          <w:rFonts w:ascii="Times New Roman" w:hAnsi="Times New Roman" w:eastAsia="方正仿宋_GBK"/>
          <w:b w:val="0"/>
          <w:sz w:val="24"/>
        </w:rPr>
        <w:t>76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9"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h579 \h </w:instrText>
      </w:r>
      <w:r>
        <w:rPr>
          <w:rFonts w:ascii="Times New Roman" w:hAnsi="Times New Roman" w:eastAsia="方正仿宋_GBK"/>
          <w:b w:val="0"/>
          <w:sz w:val="24"/>
        </w:rPr>
        <w:fldChar w:fldCharType="separate"/>
      </w:r>
      <w:r>
        <w:rPr>
          <w:rFonts w:ascii="Times New Roman" w:hAnsi="Times New Roman" w:eastAsia="方正仿宋_GBK"/>
          <w:b w:val="0"/>
          <w:sz w:val="24"/>
        </w:rPr>
        <w:t>78</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08"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h608 \h </w:instrText>
      </w:r>
      <w:r>
        <w:rPr>
          <w:rFonts w:ascii="Times New Roman" w:hAnsi="Times New Roman" w:eastAsia="方正仿宋_GBK"/>
          <w:b/>
          <w:sz w:val="24"/>
        </w:rPr>
        <w:fldChar w:fldCharType="separate"/>
      </w:r>
      <w:r>
        <w:rPr>
          <w:rFonts w:ascii="Times New Roman" w:hAnsi="Times New Roman" w:eastAsia="方正仿宋_GBK"/>
          <w:b/>
          <w:sz w:val="24"/>
        </w:rPr>
        <w:t>82</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10"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h610 \h </w:instrText>
      </w:r>
      <w:r>
        <w:rPr>
          <w:rFonts w:ascii="Times New Roman" w:hAnsi="Times New Roman" w:eastAsia="方正仿宋_GBK"/>
          <w:b w:val="0"/>
          <w:sz w:val="24"/>
        </w:rPr>
        <w:fldChar w:fldCharType="separate"/>
      </w:r>
      <w:r>
        <w:rPr>
          <w:rFonts w:ascii="Times New Roman" w:hAnsi="Times New Roman" w:eastAsia="方正仿宋_GBK"/>
          <w:b w:val="0"/>
          <w:sz w:val="24"/>
        </w:rPr>
        <w:t>82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33"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h633 \h </w:instrText>
      </w:r>
      <w:r>
        <w:rPr>
          <w:rFonts w:ascii="Times New Roman" w:hAnsi="Times New Roman" w:eastAsia="方正仿宋_GBK"/>
          <w:b w:val="0"/>
          <w:sz w:val="24"/>
        </w:rPr>
        <w:fldChar w:fldCharType="separate"/>
      </w:r>
      <w:r>
        <w:rPr>
          <w:rFonts w:ascii="Times New Roman" w:hAnsi="Times New Roman" w:eastAsia="方正仿宋_GBK"/>
          <w:b w:val="0"/>
          <w:sz w:val="24"/>
        </w:rPr>
        <w:t>85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53"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h653 \h </w:instrText>
      </w:r>
      <w:r>
        <w:rPr>
          <w:rFonts w:ascii="Times New Roman" w:hAnsi="Times New Roman" w:eastAsia="方正仿宋_GBK"/>
          <w:b w:val="0"/>
          <w:sz w:val="24"/>
        </w:rPr>
        <w:fldChar w:fldCharType="separate"/>
      </w:r>
      <w:r>
        <w:rPr>
          <w:rFonts w:ascii="Times New Roman" w:hAnsi="Times New Roman" w:eastAsia="方正仿宋_GBK"/>
          <w:b w:val="0"/>
          <w:sz w:val="24"/>
        </w:rPr>
        <w:t>87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8"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h668 \h </w:instrText>
      </w:r>
      <w:r>
        <w:rPr>
          <w:rFonts w:ascii="Times New Roman" w:hAnsi="Times New Roman" w:eastAsia="方正仿宋_GBK"/>
          <w:b w:val="0"/>
          <w:sz w:val="24"/>
        </w:rPr>
        <w:fldChar w:fldCharType="separate"/>
      </w:r>
      <w:r>
        <w:rPr>
          <w:rFonts w:ascii="Times New Roman" w:hAnsi="Times New Roman" w:eastAsia="方正仿宋_GBK"/>
          <w:b w:val="0"/>
          <w:sz w:val="24"/>
        </w:rPr>
        <w:t>89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22"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h1022 \h </w:instrText>
      </w:r>
      <w:r>
        <w:rPr>
          <w:rFonts w:ascii="Times New Roman" w:hAnsi="Times New Roman" w:eastAsia="方正仿宋_GBK"/>
          <w:b w:val="0"/>
          <w:sz w:val="24"/>
        </w:rPr>
        <w:fldChar w:fldCharType="separate"/>
      </w:r>
      <w:r>
        <w:rPr>
          <w:rFonts w:ascii="Times New Roman" w:hAnsi="Times New Roman" w:eastAsia="方正仿宋_GBK"/>
          <w:b w:val="0"/>
          <w:sz w:val="24"/>
        </w:rPr>
        <w:t>149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44"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h1044 \h </w:instrText>
      </w:r>
      <w:r>
        <w:rPr>
          <w:rFonts w:ascii="Times New Roman" w:hAnsi="Times New Roman" w:eastAsia="方正仿宋_GBK"/>
          <w:b w:val="0"/>
          <w:sz w:val="24"/>
        </w:rPr>
        <w:fldChar w:fldCharType="separate"/>
      </w:r>
      <w:r>
        <w:rPr>
          <w:rFonts w:ascii="Times New Roman" w:hAnsi="Times New Roman" w:eastAsia="方正仿宋_GBK"/>
          <w:b w:val="0"/>
          <w:sz w:val="24"/>
        </w:rPr>
        <w:t>153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19"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h1119 \h </w:instrText>
      </w:r>
      <w:r>
        <w:rPr>
          <w:rFonts w:ascii="Times New Roman" w:hAnsi="Times New Roman" w:eastAsia="方正仿宋_GBK"/>
          <w:b w:val="0"/>
          <w:sz w:val="24"/>
        </w:rPr>
        <w:fldChar w:fldCharType="separate"/>
      </w:r>
      <w:r>
        <w:rPr>
          <w:rFonts w:ascii="Times New Roman" w:hAnsi="Times New Roman" w:eastAsia="方正仿宋_GBK"/>
          <w:b w:val="0"/>
          <w:sz w:val="24"/>
        </w:rPr>
        <w:t>170</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33"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h1133 \h </w:instrText>
      </w:r>
      <w:r>
        <w:rPr>
          <w:rFonts w:ascii="Times New Roman" w:hAnsi="Times New Roman" w:eastAsia="方正仿宋_GBK"/>
          <w:b/>
          <w:sz w:val="24"/>
        </w:rPr>
        <w:fldChar w:fldCharType="separate"/>
      </w:r>
      <w:r>
        <w:rPr>
          <w:rFonts w:ascii="Times New Roman" w:hAnsi="Times New Roman" w:eastAsia="方正仿宋_GBK"/>
          <w:b/>
          <w:sz w:val="24"/>
        </w:rPr>
        <w:t>172</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5"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h1135 \h </w:instrText>
      </w:r>
      <w:r>
        <w:rPr>
          <w:rFonts w:ascii="Times New Roman" w:hAnsi="Times New Roman" w:eastAsia="方正仿宋_GBK"/>
          <w:b w:val="0"/>
          <w:sz w:val="24"/>
        </w:rPr>
        <w:fldChar w:fldCharType="separate"/>
      </w:r>
      <w:r>
        <w:rPr>
          <w:rFonts w:ascii="Times New Roman" w:hAnsi="Times New Roman" w:eastAsia="方正仿宋_GBK"/>
          <w:b w:val="0"/>
          <w:sz w:val="24"/>
        </w:rPr>
        <w:t>172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9"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h1149 \h </w:instrText>
      </w:r>
      <w:r>
        <w:rPr>
          <w:rFonts w:ascii="Times New Roman" w:hAnsi="Times New Roman" w:eastAsia="方正仿宋_GBK"/>
          <w:b w:val="0"/>
          <w:sz w:val="24"/>
        </w:rPr>
        <w:fldChar w:fldCharType="separate"/>
      </w:r>
      <w:r>
        <w:rPr>
          <w:rFonts w:ascii="Times New Roman" w:hAnsi="Times New Roman" w:eastAsia="方正仿宋_GBK"/>
          <w:b w:val="0"/>
          <w:sz w:val="24"/>
        </w:rPr>
        <w:t>173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1"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h1161 \h </w:instrText>
      </w:r>
      <w:r>
        <w:rPr>
          <w:rFonts w:ascii="Times New Roman" w:hAnsi="Times New Roman" w:eastAsia="方正仿宋_GBK"/>
          <w:b w:val="0"/>
          <w:sz w:val="24"/>
        </w:rPr>
        <w:fldChar w:fldCharType="separate"/>
      </w:r>
      <w:r>
        <w:rPr>
          <w:rFonts w:ascii="Times New Roman" w:hAnsi="Times New Roman" w:eastAsia="方正仿宋_GBK"/>
          <w:b w:val="0"/>
          <w:sz w:val="24"/>
        </w:rPr>
        <w:t>174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67"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h1167 \h </w:instrText>
      </w:r>
      <w:r>
        <w:rPr>
          <w:rFonts w:ascii="Times New Roman" w:hAnsi="Times New Roman" w:eastAsia="方正仿宋_GBK"/>
          <w:b/>
          <w:sz w:val="24"/>
        </w:rPr>
        <w:fldChar w:fldCharType="separate"/>
      </w:r>
      <w:r>
        <w:rPr>
          <w:rFonts w:ascii="Times New Roman" w:hAnsi="Times New Roman" w:eastAsia="方正仿宋_GBK"/>
          <w:b/>
          <w:sz w:val="24"/>
        </w:rPr>
        <w:t>175</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在相同设备和运行约束下逐年比选，弹性方案先减少新增储能与联络配套费用，再在配套费用参考值的20%范围内优先减少联络，最后比较总费用。该条件为研究采用的工程优选方法。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2021—2025年资料用于分析负荷发展、光伏装机和设备运行特征。地区案例保留共同仿真起点，直接使用2022—2025年实际年度负荷，各年容量及建设规模由满足约束的优化结果确定，实际统计容量单独列示。</w:t>
      </w:r>
    </w:p>
    <w:p>
      <w:pPr>
        <w:pStyle w:val="2"/>
        <w:widowControl/>
        <w:spacing w:line="348" w:lineRule="exact" w:before="0" w:after="0"/>
        <w:ind w:firstLine="480"/>
        <w:jc w:val="both"/>
      </w:pPr>
      <w:r>
        <w:rPr>
          <w:rFonts w:ascii="Times New Roman" w:hAnsi="Times New Roman" w:eastAsia="方正仿宋_GBK"/>
          <w:b w:val="0"/>
          <w:sz w:val="24"/>
        </w:rPr>
        <w:t xml:space="preserve">基期主变按可选额定容量逐台配置，使地区主变总容量接近基期年网供最大负荷的两倍。基期负荷取2021年实际统计值。站级负荷沿用实际样本的空间分布，再按年度区域负荷标定。邳州和市区的刚性、弹性方案分别共用本地区的起点、负荷和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经济评价以2021年末为折现基准，评价截止于2041年。仿真第1—4年在计算文件中分别标记为2022—2025年，用于统一投运时间和现金流折现。主变、线路和储能的寿命、运维率采用第四章列明的研究参数[10,13,14]。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MVA等设备可保留，新购主变结合国网通用设备，采用31.50、50、63、80 MVA等候选规格并按站限制；扩建、联络投运状态及储能柜数为整数决策，源荷区段切换数为整数决策，转接功率由同期区段源荷确定。先以新增措施评价期费用现值为目标寻优，再按费用容差内的工程优选条件确定弹性方案，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地区案例按源荷区段共同切换负荷与光伏，年度正常及事故追加预案分别固定，并对转接后的正反向功率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逐年规划方案，给出年度主变容量、采购规模、储能配置、负荷转接及评价期费用。通用推荐矩阵集中列明电缆造价及储能支撑条件，分别给出三个负荷分散系数下的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地区案例按源荷区段同时切换用电负荷与区段内光伏，保持区县源荷总量；年度正常供区及事故追加预案分别固定，正反向容量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源荷区段按整数切换，转接功率随同期源荷变化，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案例以2021年实际地区容量为共同起点，2022—2035年承接上年在役设备逐年比选，历史阶段保留实际年度负荷变化，未来阶段采用区域预测比例缩放源荷。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r>
        <w:rPr>
          <w:rFonts w:ascii="Times New Roman" w:hAnsi="Times New Roman" w:eastAsia="方正仿宋_GBK"/>
          <w:b w:val="0"/>
          <w:sz w:val="24"/>
        </w:rPr>
        <w:t xml:space="preserve">其中，学者Zhu等对铜芯电缆、架空导线及铝合金电缆进行寿命费用评价，费用包括投资、运行维护、故障及报废，并以实际10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共同初始设备和2021年实际负荷下开展规划回算，基期容载比均约为2.00，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规划案例在各年8760小时序列上校核正常运行及各站最大单台主变N-1，保持站点之间的同小时功率关系。历史序列根据源荷模板及年度规模回算，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历史统计保留原始年度波动，用于计算负荷增长和解释运行特征。规划基期及2022—2035年负荷在第五章列示。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9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MVA实际容量为共同起点，2022—2035年按上年在役设备和当年源荷选择新增措施。2026年以后的区域预测比例作用于规划峰值与基准源荷曲线，计算和现状统计分别保留其适用范围。</w:t>
      </w:r>
    </w:p>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确定目标年负荷。地区案例与通用模板的用途不同，分别保留其负荷来源和计算条件。</w:t>
      </w:r>
    </w:p>
    <w:p>
      <w:pPr>
        <w:pStyle w:val="4"/>
        <w:keepNext/>
        <w:numPr>
          <w:numId w:val="0"/>
        </w:numPr>
        <w:spacing w:line="480" w:lineRule="exact" w:before="160" w:after="120"/>
        <w:ind w:firstLine="0"/>
      </w:pPr>
      <w:bookmarkStart w:id="1336" w:name="h336"/>
      <w:bookmarkStart w:id="102" w:name="分布式光伏装机与电量"/>
      <w:r>
        <w:rPr>
          <w:rFonts w:ascii="Times New Roman" w:hAnsi="Times New Roman" w:eastAsia="方正仿宋_GBK"/>
          <w:b/>
          <w:sz w:val="32"/>
        </w:rPr>
        <w:t xml:space="preserve">3.3 分布式光伏装机与电量</w:t>
      </w:r>
      <w:bookmarkEnd w:id="102"/>
      <w:bookmarkEnd w:id="1336"/>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-2）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e>
                </m:mr>
                <m:mr>
                  <m:e>
                    <m:r>
                      <m:rPr>
                        <m:nor m:val="1"/>
                      </m:rPr>
                      <w:rPr>
                        <w:rFonts w:ascii="Times New Roman" w:hAnsi="Times New Roman" w:cs="Times New Roman" w:eastAsia="方正仿宋_GBK"/>
                        <w:i w:val="1"/>
                        <w:iCs w:val="1"/>
                      </w:rPr>
                      <m:t>y</m:t>
                    </m:r>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表3-3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4"/>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，使用本月末和前月末容量均值；1月前月取2024年12月。式（3-3）为本研究积分估计方法，典型出力系数来自原始光伏曲线。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-5）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e>
                  <m:e>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58" w:name="h358"/>
      <w:bookmarkStart w:id="108" w:name="主变负载率与双向净负荷"/>
      <w:r>
        <w:rPr>
          <w:rFonts w:ascii="Times New Roman" w:hAnsi="Times New Roman" w:eastAsia="方正仿宋_GBK"/>
          <w:b/>
          <w:sz w:val="32"/>
        </w:rPr>
        <w:t xml:space="preserve">3.4 主变负载率与双向净负荷</w:t>
      </w:r>
      <w:bookmarkEnd w:id="108"/>
      <w:bookmarkEnd w:id="1358"/>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表3-4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1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e>
                  <m:e>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表3-5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110 kV变电站</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八义集变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12"/>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13"/>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表3-6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4"/>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6"/>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7"/>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表3-7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11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394" w:name="h394"/>
      <w:bookmarkStart w:id="121" w:name="核心参数依据与相关性分析"/>
      <w:r>
        <w:rPr>
          <w:rFonts w:ascii="Times New Roman" w:hAnsi="Times New Roman" w:eastAsia="方正仿宋_GBK"/>
          <w:b/>
          <w:sz w:val="32"/>
        </w:rPr>
        <w:t xml:space="preserve">3.5 核心参数依据与相关性分析</w:t>
      </w:r>
      <w:bookmarkEnd w:id="121"/>
      <w:bookmarkEnd w:id="1394"/>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p>
    <w:p>
      <w:pPr>
        <w:pStyle w:val="2"/>
        <w:keepNext/>
        <w:spacing w:line="280" w:lineRule="exact" w:before="120" w:after="80"/>
        <w:ind w:firstLine="0"/>
        <w:jc w:val="center"/>
      </w:pPr>
      <w:r>
        <w:rPr>
          <w:rFonts w:ascii="Times New Roman" w:hAnsi="Times New Roman" w:eastAsia="宋体"/>
          <w:b w:val="0"/>
          <w:sz w:val="21"/>
        </w:rPr>
        <w:t xml:space="preserve">表3-8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按式（3-6）计算；对应正向供电任务[4,5]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按式（3-6）计算；对应新能源反向输送任务[4,5]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表3-9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表3-10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FirstParagraph"/>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表3-11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1.00、1.05、1.10、1.15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FirstParagraph"/>
        <w:keepNext/>
        <w:spacing w:line="280" w:lineRule="exact" w:before="120" w:after="80"/>
        <w:ind w:firstLine="0"/>
        <w:jc w:val="center"/>
      </w:pPr>
      <w:r>
        <w:rPr>
          <w:rFonts w:ascii="Times New Roman" w:hAnsi="Times New Roman" w:eastAsia="宋体"/>
          <w:b w:val="0"/>
          <w:sz w:val="21"/>
        </w:rPr>
        <w:t xml:space="preserve">表3-12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125"/>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FirstParagraph"/>
        <w:keepNext/>
        <w:spacing w:line="280" w:lineRule="exact" w:before="120" w:after="80"/>
        <w:ind w:firstLine="0"/>
        <w:jc w:val="center"/>
      </w:pPr>
      <w:r>
        <w:rPr>
          <w:rFonts w:ascii="Times New Roman" w:hAnsi="Times New Roman" w:eastAsia="宋体"/>
          <w:b w:val="0"/>
          <w:sz w:val="21"/>
        </w:rPr>
        <w:t xml:space="preserve">表3-13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表3-14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表3-15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FirstParagraph"/>
        <w:keepNext/>
        <w:spacing w:line="280" w:lineRule="exact" w:before="120" w:after="80"/>
        <w:ind w:firstLine="0"/>
        <w:jc w:val="center"/>
      </w:pPr>
      <w:r>
        <w:rPr>
          <w:rFonts w:ascii="Times New Roman" w:hAnsi="Times New Roman" w:eastAsia="宋体"/>
          <w:b w:val="0"/>
          <w:sz w:val="21"/>
        </w:rPr>
        <w:t xml:space="preserve">表3-16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128"/>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表3-17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表3-18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1.00；1.10；1.15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37" w:name="h437"/>
      <w:bookmarkStart w:id="129" w:name="kv负荷转接资料与仿真条件"/>
      <w:r>
        <w:rPr>
          <w:rFonts w:ascii="Times New Roman" w:hAnsi="Times New Roman" w:eastAsia="方正仿宋_GBK"/>
          <w:b/>
          <w:sz w:val="32"/>
        </w:rPr>
        <w:t xml:space="preserve">3.6 10 kV负荷转接资料与仿真条件</w:t>
      </w:r>
      <w:bookmarkEnd w:id="129"/>
      <w:bookmarkEnd w:id="1437"/>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年度正常供区与各站故障追加切换预案固定，故障追加仅将故障站原属区段切换到直接邻站。各通道共同校核源端可切负荷、共享馈线余量和接收站容量，新增联络单项有效能力为7.49 MW，工程费用按地区电缆长度占比计算。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地区案例按源荷区段同时切换用电负荷和区段内光伏，按转接后的带符号净功率校核正向供电与反向容量。转出区段受本站可切换区段、既有MW预算及可用路径限制，区域内部转入与转出保持同小时平衡。</w:t>
      </w:r>
    </w:p>
    <w:p>
      <w:pPr>
        <w:pStyle w:val="4"/>
        <w:keepNext/>
        <w:numPr>
          <w:numId w:val="0"/>
        </w:numPr>
        <w:spacing w:line="480" w:lineRule="exact" w:before="160" w:after="120"/>
        <w:ind w:firstLine="0"/>
      </w:pPr>
      <w:bookmarkStart w:id="1447" w:name="h447"/>
      <w:bookmarkStart w:id="133" w:name="站级负载率与配置需求"/>
      <w:r>
        <w:rPr>
          <w:rFonts w:ascii="Times New Roman" w:hAnsi="Times New Roman" w:eastAsia="方正仿宋_GBK"/>
          <w:b/>
          <w:sz w:val="32"/>
        </w:rPr>
        <w:t xml:space="preserve">3.7 站级负载率与配置需求</w:t>
      </w:r>
      <w:bookmarkEnd w:id="133"/>
      <w:bookmarkEnd w:id="1447"/>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129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35"/>
                    <a:stretch>
                      <a:fillRect/>
                    </a:stretch>
                  </pic:blipFill>
                  <pic:spPr bwMode="auto">
                    <a:xfrm>
                      <a:off x="0" y="0"/>
                      <a:ext cx="5120640" cy="35112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4564684"/>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7"/>
                    <a:stretch>
                      <a:fillRect/>
                    </a:stretch>
                  </pic:blipFill>
                  <pic:spPr bwMode="auto">
                    <a:xfrm>
                      <a:off x="0" y="0"/>
                      <a:ext cx="5120640" cy="45646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FirstParagraph"/>
        <w:keepNext/>
        <w:spacing w:line="280" w:lineRule="exact" w:before="120" w:after="80"/>
        <w:ind w:firstLine="0"/>
        <w:jc w:val="center"/>
      </w:pPr>
      <w:r>
        <w:rPr>
          <w:rFonts w:ascii="Times New Roman" w:hAnsi="Times New Roman" w:eastAsia="宋体"/>
          <w:b w:val="0"/>
          <w:sz w:val="21"/>
        </w:rPr>
        <w:t xml:space="preserve">表3-19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FirstParagraph"/>
        <w:keepNext/>
        <w:spacing w:line="280" w:lineRule="exact" w:before="120" w:after="80"/>
        <w:ind w:firstLine="0"/>
        <w:jc w:val="center"/>
      </w:pPr>
      <w:r>
        <w:rPr>
          <w:rFonts w:ascii="Times New Roman" w:hAnsi="Times New Roman" w:eastAsia="宋体"/>
          <w:b w:val="0"/>
          <w:sz w:val="21"/>
        </w:rPr>
        <w:t xml:space="preserve">表3-20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pPr>
        <w:pStyle w:val="4"/>
        <w:keepNext/>
        <w:numPr>
          <w:numId w:val="0"/>
        </w:numPr>
        <w:spacing w:line="480" w:lineRule="exact" w:before="160" w:after="120"/>
        <w:ind w:firstLine="0"/>
      </w:pPr>
      <w:bookmarkStart w:id="1463" w:name="h463"/>
      <w:bookmarkStart w:id="141" w:name="运行特征的综合分析"/>
      <w:r>
        <w:rPr>
          <w:rFonts w:ascii="Times New Roman" w:hAnsi="Times New Roman" w:eastAsia="方正仿宋_GBK"/>
          <w:b/>
          <w:sz w:val="32"/>
        </w:rPr>
        <w:t xml:space="preserve">3.8 运行特征的综合分析</w:t>
      </w:r>
      <w:bookmarkEnd w:id="141"/>
      <w:bookmarkEnd w:id="1463"/>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表3-21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143"/>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表3-22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145"/>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MW，系数为1.11。两地区样本为1.00、1.10、1.15三个推广节点提供参照，其中1.15为本研究情景范围的上端。站间峰值越不同步，系数还可能高于1.15，实际取值应由同范围同期曲线计算。</w:t>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491" w:name="h491"/>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491"/>
    </w:p>
    <w:p>
      <w:pPr>
        <w:pStyle w:val="4"/>
        <w:keepNext/>
        <w:numPr>
          <w:numId w:val="0"/>
        </w:numPr>
        <w:spacing w:line="480" w:lineRule="exact" w:before="160" w:after="120"/>
        <w:ind w:firstLine="0"/>
      </w:pPr>
      <w:bookmarkStart w:id="1492" w:name="h492"/>
      <w:bookmarkStart w:id="149" w:name="成本模型的范围与建立原则"/>
      <w:r>
        <w:rPr>
          <w:rFonts w:ascii="Times New Roman" w:hAnsi="Times New Roman" w:eastAsia="方正仿宋_GBK"/>
          <w:b/>
          <w:sz w:val="32"/>
        </w:rPr>
        <w:t xml:space="preserve">4.1 成本模型的范围与建立原则</w:t>
      </w:r>
      <w:bookmarkEnd w:id="149"/>
      <w:bookmarkEnd w:id="1492"/>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04" w:name="h504"/>
      <w:bookmarkStart w:id="153" w:name="主变工程成本系数"/>
      <w:r>
        <w:rPr>
          <w:rFonts w:ascii="Times New Roman" w:hAnsi="Times New Roman" w:eastAsia="方正仿宋_GBK"/>
          <w:b/>
          <w:sz w:val="32"/>
        </w:rPr>
        <w:t xml:space="preserve">4.2 主变工程成本系数</w:t>
      </w:r>
      <w:bookmarkEnd w:id="153"/>
      <w:bookmarkEnd w:id="1504"/>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155"/>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157"/>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29" w:name="h529"/>
      <w:bookmarkStart w:id="160" w:name="kv联络工程费用"/>
      <w:r>
        <w:rPr>
          <w:rFonts w:ascii="Times New Roman" w:hAnsi="Times New Roman" w:eastAsia="方正仿宋_GBK"/>
          <w:b/>
          <w:sz w:val="32"/>
        </w:rPr>
        <w:t xml:space="preserve">4.3 10 kV联络工程费用</w:t>
      </w:r>
      <w:bookmarkEnd w:id="160"/>
      <w:bookmarkEnd w:id="1529"/>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163"/>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FirstParagraph"/>
        <w:widowControl/>
        <w:spacing w:line="348" w:lineRule="exact" w:before="0" w:after="0"/>
        <w:ind w:firstLine="480"/>
        <w:jc w:val="both"/>
      </w:pPr>
      <w:r>
        <w:rPr>
          <w:rFonts w:ascii="Times New Roman" w:hAnsi="Times New Roman" w:eastAsia="方正仿宋_GBK"/>
          <w:b w:val="0"/>
          <w:sz w:val="24"/>
        </w:rPr>
        <w:t xml:space="preserve">新增联络能力的取值依据邳州局部六条10 kV馈线的结构化资料、联络关系及区段明细。先按开关位置识别可切换区段，再核对区段负荷、线路允许电流和接收侧余量。墩振线23—24杆下游区段的2025年压力场景负荷汇总为7.49 MW，作为新增独立接收馈线的候选转移规模，低于按允许电流及0.95功率因数折算的有功容量9.05 MW。7.49 MW是该区段场景计算的参考规模，实际可转功率还受送受端馈线、路径共享和邻站主变余量共同限制。模型按具体送受端建立候选边，既有工程不重复计原建设费，新增边按投运年计费。</w:t>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43" w:name="h543"/>
      <w:bookmarkStart w:id="165" w:name="储能投资模型"/>
      <w:r>
        <w:rPr>
          <w:rFonts w:ascii="Times New Roman" w:hAnsi="Times New Roman" w:eastAsia="方正仿宋_GBK"/>
          <w:b/>
          <w:sz w:val="32"/>
        </w:rPr>
        <w:t xml:space="preserve">4.4 储能投资模型</w:t>
      </w:r>
      <w:bookmarkEnd w:id="165"/>
      <w:bookmarkEnd w:id="1543"/>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e>
                  <m:e>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6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170"/>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62" w:name="h562"/>
      <w:bookmarkStart w:id="172" w:name="参数变化与措施费用的联系"/>
      <w:r>
        <w:rPr>
          <w:rFonts w:ascii="Times New Roman" w:hAnsi="Times New Roman" w:eastAsia="方正仿宋_GBK"/>
          <w:b/>
          <w:sz w:val="32"/>
        </w:rPr>
        <w:t xml:space="preserve">4.5 参数变化与措施费用的联系</w:t>
      </w:r>
      <w:bookmarkEnd w:id="172"/>
      <w:bookmarkEnd w:id="1562"/>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79" w:name="h579"/>
      <w:bookmarkStart w:id="177" w:name="现金流现值计算"/>
      <w:r>
        <w:rPr>
          <w:rFonts w:ascii="Times New Roman" w:hAnsi="Times New Roman" w:eastAsia="方正仿宋_GBK"/>
          <w:b/>
          <w:sz w:val="32"/>
        </w:rPr>
        <w:t xml:space="preserve">4.6 现金流现值计算</w:t>
      </w:r>
      <w:bookmarkEnd w:id="177"/>
      <w:bookmarkEnd w:id="1579"/>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17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08" w:name="h608"/>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08"/>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10" w:name="h610"/>
      <w:bookmarkStart w:id="186" w:name="寻优问题与共同起点"/>
      <w:r>
        <w:rPr>
          <w:rFonts w:ascii="Times New Roman" w:hAnsi="Times New Roman" w:eastAsia="方正仿宋_GBK"/>
          <w:b/>
          <w:sz w:val="32"/>
        </w:rPr>
        <w:t xml:space="preserve">5.1 寻优问题与共同起点</w:t>
      </w:r>
      <w:bookmarkEnd w:id="186"/>
      <w:bookmarkEnd w:id="1610"/>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年的年度统计网供最大负荷，单位MW。2021—2025年采用同范围年度统计，2026—2035年采用区域负荷预测相对2025年的比例缩放规划峰值。</w:t>
      </w:r>
    </w:p>
    <w:p>
      <w:pPr>
        <w:pStyle w:val="2"/>
        <w:keepNext/>
        <w:spacing w:line="280" w:lineRule="exact" w:before="120" w:after="80"/>
        <w:ind w:firstLine="0"/>
        <w:jc w:val="center"/>
      </w:pPr>
      <w:r>
        <w:rPr>
          <w:rFonts w:ascii="Times New Roman" w:hAnsi="Times New Roman" w:eastAsia="宋体"/>
          <w:b w:val="0"/>
          <w:sz w:val="21"/>
        </w:rPr>
        <w:t xml:space="preserve">表5-1 两地区共同基期及规划年度</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2025年沿用站级小时样本。未来源荷按区域负荷预测及全市光伏装机相对2025年的比例缩放，站点空间分配继承基准模板。历史回算与未来预测均保留所采用的补值，年度规划峰值继续使用同范围年度统计及其预测外推值。</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刚性方案新增扩容上限取上年在役容量与当年规划峰值两倍的较大值，弹性方案取消这一新增容量上限；两方案同地区同年度的容载比下限一致。弹性方案先比较新增储能与联络配套费用，在配套费用参考值20%以内优先减少联络，再比较当年总费用。各年按本站源荷、候选主变、可扩建位置及可用通道形成具体可行配置。</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两方案共同的年度容载比下限，按同地区对应规划阶段设置，2021—2025年市区1.50、邳州1.70，2026—2030年市区1.60、邳州1.70，2031—2035年均为1.60。两方案均以同年规划峰值计算容载比，实际年度分档建议另按第5.4.3节对照[8]。</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新增联络转出区段</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全站区段数的20%以内</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研究情景假设，正常和事故追加共同占用</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反向承载计算系数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正常及健康站取0.80，故障站取1.00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锁定方案的静态容量校核条件</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配套费用参考值20%以内优先减少联络，再比较总费用</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研究工程优选条件</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33" w:name="h633"/>
      <w:bookmarkStart w:id="190" w:name="三类措施的选取与寻优方法"/>
      <w:r>
        <w:rPr>
          <w:rFonts w:ascii="Times New Roman" w:hAnsi="Times New Roman" w:eastAsia="方正仿宋_GBK"/>
          <w:b/>
          <w:sz w:val="32"/>
        </w:rPr>
        <w:t xml:space="preserve">5.2 三类措施的选取与寻优方法</w:t>
      </w:r>
      <w:bookmarkEnd w:id="190"/>
      <w:bookmarkEnd w:id="1633"/>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每个原主变安装位置从允许规格中选择一项，2022—2035年全期最多更换一次，更换后保持所购规格。该实施假设由两类方案共同采用，不同位置和第三台主变扩建按需求分年安排。更换按新购整台容量计费，新购主变容量扣除同期被替换容量后得到净增容量。储能柜数为整数，已投运储能及联络在后续年度持续在役。</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逐站全停转供资料的可转负荷MW值固定封顶，各年不随负荷增长自动放大。年度正常供区沿用基期校准区段，允许回切原属站；新增付费联络可以形成新的年度固定供区。正常转出与本站故障追加共用逐站既有能力、路径及馈线预算，事故追加仅从故障站原属源荷区段直接切换至邻站。</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e>
                  <m:e>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为投运状态，既有边取1。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保留已核实联络、按站对构建的既有等效通道及付费新增候选。源荷按原属站分为可切换区段，正常和事故追加切换合计受全站区段数约束，新增付费路径最多转出全站20%的源荷区段。每个代表馈线组最多5个区段、3个受端馈线和2座邻站，均为研究的聚合网络条件。实际可转能力由逐站收资MW上限、线路热限及接收余量共同限定。</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为转出及承接的区段净功率，单位MW。源荷区段内的负荷与光伏共同切换，正向为受电、负向为反送，区县内部转接保持同期源荷总量不变。年度正常及事故追加区段预案固定，实际功率随同小时源荷变化。</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53" w:name="h653"/>
      <w:bookmarkStart w:id="196" w:name="约束条件与求解流程"/>
      <w:r>
        <w:rPr>
          <w:rFonts w:ascii="Times New Roman" w:hAnsi="Times New Roman" w:eastAsia="方正仿宋_GBK"/>
          <w:b/>
          <w:sz w:val="32"/>
        </w:rPr>
        <w:t xml:space="preserve">5.3 约束条件与求解流程</w:t>
      </w:r>
      <w:bookmarkEnd w:id="196"/>
      <w:bookmarkEnd w:id="1653"/>
    </w:p>
    <w:p>
      <w:pPr>
        <w:pStyle w:val="5"/>
        <w:keepNext/>
        <w:numPr>
          <w:numId w:val="0"/>
        </w:numPr>
        <w:spacing w:line="390" w:lineRule="exact" w:before="160" w:after="120"/>
        <w:ind w:firstLine="0"/>
      </w:pPr>
      <w:bookmarkStart w:id="197" w:name="供电安全及供电能力约束"/>
      <w:r>
        <w:rPr>
          <w:rFonts w:ascii="Times New Roman" w:hAnsi="Times New Roman" w:eastAsia="方正仿宋_GBK"/>
          <w:b/>
          <w:sz w:val="26"/>
        </w:rPr>
        <w:t xml:space="preserve">5.3.1 供电安全及供电能力约束</w:t>
      </w:r>
      <w:bookmarkEnd w:id="197"/>
    </w:p>
    <w:p>
      <w:pPr>
        <w:pStyle w:val="FirstParagraph"/>
        <w:widowControl/>
        <w:spacing w:line="348" w:lineRule="exact" w:before="0" w:after="0"/>
        <w:ind w:firstLine="480"/>
        <w:jc w:val="both"/>
      </w:pPr>
      <w:r>
        <w:rPr>
          <w:rFonts w:ascii="Times New Roman" w:hAnsi="Times New Roman" w:eastAsia="方正仿宋_GBK"/>
          <w:b w:val="0"/>
          <w:sz w:val="24"/>
        </w:rPr>
        <w:t xml:space="preserve">工程运行要求为：正常运行主变负载率不超过80%，主变N-1时剩余主变短时负载率不超过130%。地区案例在各年8760小时源荷上分别校核正常和各站最大单台主变N-1。建设设备在同一年各工况间共享，正常供区及各站故障追加切换预案在年内固定，储能按对应方向的有效功率及持续时间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γ</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γ</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为反向容量系数，正常运行及故障工况中的健康站取0.80，故障站取1.00；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及健康站的反向容量系数依据2025年4月《配电网规划设计技术导则（修订稿）》第6.5.3条的设备反向潮流80%要求设置[8]。计算时储能吸收后的反送功率满足相应限值，故障站扣除最大单台后按剩余容量校核，正向按可用主变容量与储能放电能力校核。工程运行要求与设备静态承载结果结合实际接线、故障持续时间及运行规程核定。</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故障站与健康站逐站通过式（5-8）的校核。</w:t>
      </w:r>
    </w:p>
    <w:p>
      <w:pPr>
        <w:pStyle w:val="2"/>
        <w:widowControl/>
        <w:spacing w:line="348" w:lineRule="exact" w:before="0" w:after="0"/>
        <w:ind w:firstLine="480"/>
        <w:jc w:val="both"/>
      </w:pPr>
      <w:r>
        <w:rPr>
          <w:rFonts w:ascii="Times New Roman" w:hAnsi="Times New Roman" w:eastAsia="方正仿宋_GBK"/>
          <w:b w:val="0"/>
          <w:sz w:val="24"/>
        </w:rPr>
        <w:t xml:space="preserve">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每年根据当年源荷选择新增措施，将投运批次折算至2021年末、统一评价到2041年。刚性方案比较当年新增工程费用，弹性方案按第5.1.2节的配套费用及联络优选顺序取得可行配置，再比较总费用。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e>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计算结果按年度设备承接、容量非减、区段功率平衡、既有转供上限、共享馈线余量及接收站主变容量逐项复核，再以固定区段预案回代各年8760小时正常与故障工况。</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比选先载入2021年共同基期设备，2022年起每年固定已投运资产，载入当年负荷与光伏，选择允许的主变更换、扩建、储能和联络工程。正常供区与故障追加切换分别为全年固定预案，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储能柜数及源荷区段切换数采用整数变量。弹性方案每年先比较新增储能与联络配套费用，在该配套费用参考值的120%以内优先减少联络，再比较总费用，形成逐年工程可行方案。取得配置后，按主变实际采购量、储能新增柜数及联络投运批次复算费用，各年的选择只使用当年需求和上年资产。</w:t>
      </w:r>
    </w:p>
    <w:p>
      <w:pPr>
        <w:pStyle w:val="4"/>
        <w:keepNext/>
        <w:numPr>
          <w:numId w:val="0"/>
        </w:numPr>
        <w:spacing w:line="480" w:lineRule="exact" w:before="160" w:after="120"/>
        <w:ind w:firstLine="0"/>
      </w:pPr>
      <w:bookmarkStart w:id="1668" w:name="h668"/>
      <w:bookmarkStart w:id="200" w:name="寻优结果"/>
      <w:r>
        <w:rPr>
          <w:rFonts w:ascii="Times New Roman" w:hAnsi="Times New Roman" w:eastAsia="方正仿宋_GBK"/>
          <w:b/>
          <w:sz w:val="32"/>
        </w:rPr>
        <w:t xml:space="preserve">5.4 寻优结果</w:t>
      </w:r>
      <w:bookmarkEnd w:id="200"/>
      <w:bookmarkEnd w:id="1668"/>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MVA，至2035年主变容量为2901.00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表5-4 邳州逐年容量及措施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2562.50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2891.00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4423.94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8649.97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7916.60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8994.23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6833.63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41.71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5221.95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7993.09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9872.28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7554.51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132.44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7210.91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pPr>
        <w:pStyle w:val="2"/>
        <w:widowControl/>
        <w:spacing w:line="348" w:lineRule="exact" w:before="0" w:after="0"/>
        <w:ind w:firstLine="480"/>
        <w:jc w:val="both"/>
      </w:pPr>
      <w:r>
        <w:rPr>
          <w:rFonts w:ascii="Times New Roman" w:hAnsi="Times New Roman" w:eastAsia="方正仿宋_GBK"/>
          <w:b w:val="0"/>
          <w:sz w:val="24"/>
        </w:rPr>
        <w:t xml:space="preserve">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202"/>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MVA，至2035年主变容量为3608.50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204"/>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5607.41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6275.23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4876.09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3263.75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3952.56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4959.75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3471.86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5132.03</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pPr>
        <w:pStyle w:val="2"/>
        <w:widowControl/>
        <w:spacing w:line="348" w:lineRule="exact" w:before="0" w:after="0"/>
        <w:ind w:firstLine="480"/>
        <w:jc w:val="both"/>
      </w:pPr>
      <w:r>
        <w:rPr>
          <w:rFonts w:ascii="Times New Roman" w:hAnsi="Times New Roman" w:eastAsia="方正仿宋_GBK"/>
          <w:b w:val="0"/>
          <w:sz w:val="24"/>
        </w:rPr>
        <w:t xml:space="preserve">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205"/>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pPr>
        <w:pStyle w:val="2"/>
        <w:widowControl/>
        <w:spacing w:line="348" w:lineRule="exact" w:before="0" w:after="0"/>
        <w:ind w:firstLine="480"/>
        <w:jc w:val="both"/>
      </w:pPr>
      <w:r>
        <w:rPr>
          <w:rFonts w:ascii="Times New Roman" w:hAnsi="Times New Roman" w:eastAsia="方正仿宋_GBK"/>
          <w:b w:val="0"/>
          <w:sz w:val="24"/>
        </w:rPr>
        <w:t xml:space="preserve">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两地区2022—2035年新增工程按共同2041年评价截止期折现，刚性方案费用现值合计98006.53万元，弹性为95107.86万元，减少2898.67万元，降幅2.96%。</w:t>
      </w:r>
    </w:p>
    <w:p>
      <w:pPr>
        <w:pStyle w:val="2"/>
        <w:keepNext/>
        <w:spacing w:line="280" w:lineRule="exact" w:before="120" w:after="80"/>
        <w:ind w:firstLine="0"/>
        <w:jc w:val="center"/>
      </w:pPr>
      <w:r>
        <w:rPr>
          <w:rFonts w:ascii="Times New Roman" w:hAnsi="Times New Roman" w:eastAsia="宋体"/>
          <w:b w:val="0"/>
          <w:sz w:val="21"/>
        </w:rPr>
        <w:t xml:space="preserve">表5-9 两地区2022—2035年新增方案费用比较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keepNext/>
        <w:spacing w:line="280" w:lineRule="exact" w:before="120" w:after="80"/>
        <w:ind w:firstLine="0"/>
        <w:jc w:val="center"/>
      </w:pPr>
      <w:r>
        <w:rPr>
          <w:rFonts w:ascii="Times New Roman" w:hAnsi="Times New Roman" w:eastAsia="宋体"/>
          <w:b w:val="0"/>
          <w:sz w:val="21"/>
        </w:rPr>
        <w:t xml:space="preserve">表5-10 2035年在役措施及累计建设规模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208"/>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20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14938.49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38108.23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5322.97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23290.49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32491.48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1739.39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13399.40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5389.71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20847.73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22928.25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8657.65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邳州弹性方案相对刚性的费用变化为主变增加8352.01万元、储能减少5616.74万元、联络减少3583.59万元，合计减少848.32万元。费用差由各年度实际采购及投运批次形成，具体替代关系结合逐站设备与通道配置分析。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市区弹性方案相对刚性的费用变化为主变增加9528.85万元、储能增加610.89万元、联络减少12190.08万元，合计减少2050.35万元。费用差由各年度实际采购及投运批次形成，具体替代关系结合逐站设备与通道配置分析。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210"/>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注：列示历史回算年度及2030、2035年相对上一年的比值变化。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072384"/>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211"/>
                    <a:stretch>
                      <a:fillRect/>
                    </a:stretch>
                  </pic:blipFill>
                  <pic:spPr bwMode="auto">
                    <a:xfrm>
                      <a:off x="0" y="0"/>
                      <a:ext cx="5120640" cy="30723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邳州2035年储能额定能量的站点分布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逐站表格列示2021年基期及2025、2030、2035年代表年度设备配置，转接量对应同小时区域正向峰值的正常固定预案。全年校核保留所有8760小时，主变N-1按本站最大单台扣除，事故追加只切换故障站原属区段。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邳州20座站分别说明全期主变更换、扩建和储能增加的时点，结合2035年本站故障下全年最小余量工况分析支撑需求。表中储能为在役额定功率，正向有效支撑按邳州2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MVA。弹性方案2033年31.50 MVA更换为50.00 MVA。储能按本地支撑需求分批增加，新增额定功率为2032年0.30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MW，2035年分别为54.86 MW、58.51 MW。2035年刚性方案主变容量113.00 MVA、储能额定功率3.10 MW，弹性方案分别为113.00 MVA和0.30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44.64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MW。储能正向有效支撑功率为0.25 MW、反向有效吸收功率为0.30 MW。全年本站故障工况中最小余量为2.29 MW。该小时按采用的固定区段预案，本站转出-13.00 MW、承接0.00 MW，转接后净负荷为-45.51 MW。其中与土山变之间的主要通道承担4.88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两方案本站储能额定功率相差2.80 MW，差额与所列主变组合及年度固定转接任务共同形成局部供电安排。</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MW，2035年分别为102.33 MW、106.88 MW。2035年刚性方案主变容量193.00 MVA、储能额定功率0.00 MW，弹性方案分别为193.00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102.33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MW。全年本站故障工况中最小余量为6.57 MW。该小时按采用的固定区段预案，本站转出-6.11 MW、承接0.00 MW，转接后净负荷为-100.78 MW。其中与富山变之间的主要通道承担3.05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MW，2035年分别为44.65 MW、81.15 MW。2035年刚性方案主变容量113.00 MVA、储能额定功率2.00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MW、2031年7.20 MW、2032年11.30 MW、2033年16.70 MW、2034年3.90 MW、2035年15.10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MW，2035年分别为45.08 MW、132.85 MW。2035年刚性方案主变容量100.00 MVA、储能额定功率52.60 MW，弹性方案分别为100.00 MVA和56.30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MW。储能正向有效支撑功率为46.00 MW、反向有效吸收功率为56.30 MW。全年本站故障工况中最小余量为0.06 MW。该小时按采用的固定区段预案，本站转出-29.12 MW、承接0.00 MW，转接后净负荷为-103.74 MW。其中与邢楼变之间的主要通道承担7.28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两方案本站储能额定功率相差3.70 MW，差额与所列主变组合及年度固定转接任务共同形成局部供电安排。</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MW，2035年分别为135.67 MW、72.08 MW。2035年刚性方案主变容量163.00 MVA、储能额定功率2.60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128.42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MW。全年本站故障工况中最小余量为6.00 MW。该小时按采用的固定区段预案，本站转出51.87 MW、承接5.21 MW，转接后净负荷为89.00 MW。其中与邳州变之间的主要通道承担7.98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两方案本站储能额定功率相差2.60 MW，差额与所列主变组合及年度固定转接任务共同形成局部供电安排。</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MVA主变。储能按本地支撑需求分批增加，新增额定功率为2034年2.70 MW、2035年0.20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MW，2035年分别为87.71 MW、129.57 MW。2035年刚性方案主变容量163.00 MVA、储能额定功率16.60 MW，弹性方案分别为163.00 MVA和2.90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85.37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MW。储能正向有效支撑功率为2.37 MW、反向有效吸收功率为2.90 MW。全年本站故障工况中最小余量为0.39 MW。该小时按采用的固定区段预案，本站转出-30.23 MW、承接1.83 MW，转接后净负荷为-97.51 MW。其中与河湾变之间的主要通道承担8.64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两方案本站储能额定功率相差13.70 MW，差额与所列主变组合及年度固定转接任务共同形成局部供电安排。</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MVA。弹性方案2022—2035年保留初始主变组合。储能按本地支撑需求分批增加，新增额定功率为2029年0.30 MW、2032年0.40 MW、2034年0.10 MW、2035年3.30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MW，2035年分别为152.61 MW、28.13 MW。2035年刚性方案主变容量160.00 MVA、储能额定功率1.60 MW，弹性方案分别为160.00 MVA和4.10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MW。储能正向有效支撑功率为3.35 MW、反向有效吸收功率为4.10 MW。全年本站故障工况中最小余量为0.07 MW。该小时按采用的固定区段预案，本站转出73.33 MW、承接0.00 MW，转接后净负荷为79.28 MW。其中与河湾变之间的主要通道承担7.93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MVA。弹性方案2033年40.00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MW，2035年分别为58.78 MW、91.84 MW。2035年刚性方案主变容量113.00 MVA、储能额定功率0.10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MW，2035年分别为40.58 MW、81.24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MW。全年本站故障工况中最小余量为25.61 MW。该小时按采用的固定区段预案，本站转出-11.85 MW、承接0.00 MW，转接后净负荷为-69.39 MW。其中与大宋变之间的主要通道承担8.46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MW，2035年分别为107.73 MW、33.64 MW。2035年刚性方案主变容量143.00 MVA、储能额定功率0.10 MW，弹性方案分别为193.00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MW。全年本站故障工况中最小余量为17.57 MW。该小时按采用的固定区段预案，本站转出17.96 MW、承接0.00 MW，转接后净负荷为89.78 MW。其中与杜村变之间的主要通道承担5.99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MW，2035年分别为33.75 MW、85.38 MW。2035年刚性方案主变容量144.50 MVA、储能额定功率0.00 MW，弹性方案分别为163.00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MW，2035年分别为102.25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MW。全年本站故障工况中最小余量为1.51 MW。该小时按采用的固定区段预案，本站转出29.50 MW、承接1.74 MW，转接后净负荷为74.49 MW。其中与河湾变之间的主要通道承担7.87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MW、2031年1.60 MW、2032年4.20 MW、2033年4.40 MW、2034年2.50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MW，2035年分别为90.52 MW、91.45 MW。2035年刚性方案主变容量113.00 MVA、储能额定功率5.10 MW，弹性方案分别为113.00 MVA和13.30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MW。储能正向有效支撑功率为10.87 MW、反向有效吸收功率为10.87 MW。全年本站故障工况中最小余量为0.79 MW。该小时按采用的固定区段预案，本站转出-33.87 MW、承接0.00 MW，转接后净负荷为-57.58 MW。其中与大宋变之间的主要通道承担8.47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两方案本站储能额定功率相差8.20 MW，差额与所列主变组合及年度固定转接任务共同形成局部供电安排。</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MW，2035年分别为125.00 MW、170.04 MW。2035年刚性方案主变容量113.00 MVA、储能额定功率129.20 MW，弹性方案分别为126.00 MVA和114.10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MW。储能正向有效支撑功率为93.22 MW、反向有效吸收功率为93.22 MW。全年本站故障工况中最小余量为0.03 MW。该小时按采用的固定区段预案，本站转出-17.00 MW、承接0.00 MW，转接后净负荷为-153.04 MW。其中与汶河变之间的主要通道承担6.80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两方案本站储能额定功率相差15.10 MW，差额与所列主变组合及年度固定转接任务共同形成局部供电安排。</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MW、2031年1.20 MW、2032年9.70 MW、2033年11.70 MW、2034年14.20 MW、2035年9.20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MW，2035年分别为58.75 MW、112.61 MW。2035年刚性方案主变容量113.00 MVA、储能额定功率44.80 MW，弹性方案分别为113.00 MVA和46.80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MW。储能正向有效支撑功率为38.24 MW、反向有效吸收功率为38.24 MW。全年本站故障工况中最小余量为0.02 MW。该小时按采用的固定区段预案，本站转出-26.89 MW、承接0.00 MW，转接后净负荷为-85.72 MW。其中与八义集变之间的主要通道承担6.72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两方案本站储能额定功率相差2.00 MW，差额与所列主变组合及年度固定转接任务共同形成局部供电安排。</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MVA；2032年扩建第三台50.00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MW，2035年分别为38.21 MW、79.63 MW。2035年刚性方案主变容量150.00 MVA、储能额定功率1.50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MW。全年本站故障工况中最小余量为15.33 MW。该小时按采用的固定区段预案，本站转出-16.67 MW、承接-16.71 MW，转接后净负荷为-79.67 MW。其中与铁富变之间的主要通道承担9.26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两方案本站储能额定功率相差1.50 MW，差额与所列主变组合及年度固定转接任务共同形成局部供电安排。</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MVA。弹性方案2022—2035年保留初始主变组合。储能按本地支撑需求分批增加，新增额定功率为2034年1.30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MW，2035年分别为73.99 MW、15.63 MW。2035年刚性方案主变容量94.50 MVA、储能额定功率0.00 MW，弹性方案分别为94.50 MVA和1.30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2035年最大单台主变N-1后，弹性方案剩余主变容量为31.50 MVA，按0.95功率因数折算为29.93 MW。储能正向有效支撑功率为1.06 MW、反向有效吸收功率为1.30 MW。全年本站故障工况中最小余量为0.07 MW。该小时按采用的固定区段预案，本站转出44.00 MW、承接0.92 MW，转接后净负荷为30.92 MW。其中与杜村变之间的主要通道承担10.00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两方案本站储能额定功率相差1.30 MW，差额与所列主变组合及年度固定转接任务共同形成局部供电安排。</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MW、2032年0.30 MW、2034年0.60 MW、2035年13.70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MW，2035年分别为28.29 MW、95.87 MW。2035年刚性方案主变容量131.50 MVA、储能额定功率5.00 MW，弹性方案分别为113.00 MVA和14.70 MW。弹性方案本站主变容量较刚性减少18.50 MVA。</w:t>
      </w:r>
    </w:p>
    <w:p>
      <w:pPr>
        <w:pStyle w:val="2"/>
        <w:keepNext/>
        <w:spacing w:line="280" w:lineRule="exact" w:before="120" w:after="80"/>
        <w:ind w:firstLine="0"/>
        <w:jc w:val="center"/>
      </w:pPr>
      <w:r>
        <w:rPr>
          <w:rFonts w:ascii="Times New Roman" w:hAnsi="Times New Roman" w:eastAsia="宋体"/>
          <w:b w:val="0"/>
          <w:sz w:val="21"/>
        </w:rPr>
        <w:t xml:space="preserve">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MW。储能正向有效支撑功率为12.01 MW、反向有效吸收功率为8.01 MW。全年本站故障工况中最小余量为0.18 MW。该小时按采用的固定区段预案，本站转出-28.20 MW、承接0.00 MW，转接后净负荷为-67.67 MW。其中与汶河变之间的主要通道承担5.64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两方案本站储能额定功率相差9.70 MW，差额与所列主变组合及年度固定转接任务共同形成局部供电安排。</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MVA；2031年扩建第三台50.00 MVA主变；2035年40.00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MW，2035年分别为57.69 MW、92.41 MW。2035年刚性方案主变容量121.50 MVA、储能额定功率0.00 MW，弹性方案分别为131.50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57.69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2035年最大单台主变N-1后，弹性方案剩余主变容量为81.50 MVA，按0.95功率因数折算为77.43 MW。储能正向有效支撑功率为0.00 MW、反向有效吸收功率为0.00 MW。全年本站故障工况中最小余量为0.14 MW。该小时按采用的固定区段预案，本站转出-15.12 MW、承接0.00 MW，转接后净负荷为-77.29 MW。其中与宿羊山变之间的主要通道承担6.72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MW，2035年分别为50.74 MW、74.04 MW。2035年刚性方案主变容量113.00 MVA、储能额定功率0.00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MW。全年本站故障工况中最小余量为16.90 MW。该小时按采用的固定区段预案，本站转出0.00 MW、承接-4.06 MW，转接后净负荷为-78.10 MW。其中与宿羊山变之间的主要通道承担4.06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233"/>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邳州逐站初始与2035年方案的N-1剩余主变能力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MVA。储能按本地支撑需求分批增加，新增额定功率为2033年3.90 MW、2034年8.30 MW、2035年12.40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MW，2035年分别为47.02 MW、110.88 MW。2035年刚性方案主变容量126.00 MVA、储能额定功率18.40 MW，弹性方案分别为126.00 MVA和24.60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MW。储能正向有效支撑功率为6.70 MW、反向有效吸收功率为20.10 MW。全年本站故障工况中最小余量为0.05 MW。该小时按采用的固定区段预案，本站转出-30.98 MW、承接0.00 MW，转接后净负荷为-79.90 MW。其中与奎山变之间的主要通道承担11.41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MW，2035年分别为102.39 MW、61.95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MW。全年本站故障工况中最小余量为1.59 MW。该小时按采用的固定区段预案，本站转出8.98 MW、承接0.00 MW，转接后净负荷为93.41 MW。其中与龙湖变之间的主要通道承担5.39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MVA。储能按本地支撑需求分批增加，新增额定功率为2034年4.40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MW，2035年分别为149.87 MW、0.00 MW。2035年刚性方案主变容量160.00 MVA、储能额定功率0.00 MW，弹性方案分别为160.00 MVA和4.40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MW。储能正向有效支撑功率为1.20 MW、反向有效吸收功率为4.40 MW。全年本站故障工况中最小余量为1.26 MW。该小时按采用的固定区段预案，本站转出73.94 MW、承接0.00 MW，转接后净负荷为75.94 MW。其中与刘湾变之间的主要通道承担13.99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两方案本站储能额定功率相差4.40 MW，差额与所列主变组合及年度固定转接任务共同形成局部供电安排。</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MVA。储能按本地支撑需求分批增加，新增额定功率为2032年2.90 MW、2033年3.80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MW，2035年分别为139.24 MW、0.00 MW。2035年刚性方案主变容量160.00 MVA、储能额定功率13.00 MW，弹性方案分别为160.00 MVA和6.70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MW。储能正向有效支撑功率为1.82 MW、反向有效吸收功率为6.70 MW。全年本站故障工况中最小余量为0.25 MW。该小时按采用的固定区段预案，本站转出61.67 MW、承接0.00 MW，转接后净负荷为77.58 MW。其中与开元变之间的主要通道承担11.94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两方案本站储能额定功率相差6.30 MW，差额与所列主变组合及年度固定转接任务共同形成局部供电安排。</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MW，2035年分别为122.46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84.59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MW。全年本站故障工况中最小余量为0.94 MW。该小时按采用的固定区段预案，本站转出47.40 MW、承接0.00 MW，转接后净负荷为75.06 MW。其中与开元变之间的主要通道承担11.85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MVA。储能按本地支撑需求分批增加，新增额定功率为2033年0.80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MW，2035年分别为92.57 MW、0.00 MW。2035年刚性方案主变容量90.00 MVA、储能额定功率2.00 MW，弹性方案分别为100.00 MVA和0.80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MW。储能正向有效支撑功率为0.22 MW、反向有效吸收功率为0.80 MW。全年本站故障工况中最小余量为0.45 MW。该小时按采用的固定区段预案，本站转出45.30 MW、承接0.00 MW，转接后净负荷为47.27 MW。其中与彭场变之间的主要通道承担11.82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MVA。弹性方案2032年50.00 MVA更换为63.00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MW，2035年分别为124.19 MW、0.00 MW。2035年刚性方案主变容量113.00 MVA、储能额定功率0.90 MW，弹性方案分别为176.00 MVA和0.00 MW。弹性方案本站主变容量较刚性增加63.00 MVA。</w:t>
      </w:r>
    </w:p>
    <w:p>
      <w:pPr>
        <w:pStyle w:val="2"/>
        <w:keepNext/>
        <w:spacing w:line="280" w:lineRule="exact" w:before="120" w:after="80"/>
        <w:ind w:firstLine="0"/>
        <w:jc w:val="center"/>
      </w:pPr>
      <w:r>
        <w:rPr>
          <w:rFonts w:ascii="Times New Roman" w:hAnsi="Times New Roman" w:eastAsia="宋体"/>
          <w:b w:val="0"/>
          <w:sz w:val="21"/>
        </w:rPr>
        <w:t xml:space="preserve">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MW。全年本站故障工况中最小余量为1.10 MW。该小时按采用的固定区段预案，本站转出21.68 MW、承接3.75 MW，转接后净负荷为106.25 MW。其中与大庙变之间的主要通道承担9.86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MW，2035年分别为67.07 MW、38.19 MW。2035年刚性方案主变容量160.00 MVA、储能额定功率0.70 MW，弹性方案分别为100.00 MVA和0.00 MW。弹性方案本站主变容量较刚性减少60.00 MVA。</w:t>
      </w:r>
    </w:p>
    <w:p>
      <w:pPr>
        <w:pStyle w:val="2"/>
        <w:keepNext/>
        <w:spacing w:line="280" w:lineRule="exact" w:before="120" w:after="80"/>
        <w:ind w:firstLine="0"/>
        <w:jc w:val="center"/>
      </w:pPr>
      <w:r>
        <w:rPr>
          <w:rFonts w:ascii="Times New Roman" w:hAnsi="Times New Roman" w:eastAsia="宋体"/>
          <w:b w:val="0"/>
          <w:sz w:val="21"/>
        </w:rPr>
        <w:t xml:space="preserve">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MW。全年本站故障工况中最小余量为0.15 MW。该小时按采用的固定区段预案，本站转出19.73 MW、承接0.00 MW，转接后净负荷为47.35 MW。其中与翟山变之间的主要通道承担19.73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两方案本站储能额定功率相差0.70 MW，差额与所列主变组合及年度固定转接任务共同形成局部供电安排。</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MVA。弹性方案2033年31.50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MW，2035年分别为81.89 MW、0.00 MW。2035年刚性方案主变容量111.50 MVA、储能额定功率0.00 MW，弹性方案分别为130.00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MW。全年本站故障工况中最小余量为1.93 MW。该小时按采用的固定区段预案，本站转出39.95 MW、承接3.62 MW，转接后净负荷为45.57 MW。其中与翟山变之间的主要通道承担11.98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MW，2035年分别为121.93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112.10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MW。全年本站故障工况中最小余量为2.22 MW。该小时按采用的固定区段预案，本站转出49.90 MW、承接1.93 MW，转接后净负荷为73.78 MW。其中与翟山变之间的主要通道承担19.96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MW，2035年分别为103.71 MW、68.33 MW。2035年刚性方案主变容量153.00 MVA、储能额定功率2.50 MW，弹性方案分别为163.00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MW。全年本站故障工况中最小余量为12.34 MW。该小时按采用的固定区段预案，本站转出25.93 MW、承接4.88 MW，转接后净负荷为82.66 MW。其中与玉潭变之间的主要通道承担9.26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MW，2035年分别为46.35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MW。全年本站故障工况中最小余量为2.69 MW。该小时按采用的固定区段预案，本站转出13.52 MW、承接2.48 MW，转接后净负荷为35.31 MW。其中与惠民变之间的主要通道承担11.59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MW，2035年分别为16.31 MW、24.51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MW。全年本站故障工况中最小余量为4.09 MW。该小时按采用的固定区段预案，本站转出0.00 MW、承接19.65 MW，转接后净负荷为33.91 MW。其中与西郊变之间的主要通道承担3.93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MVA。弹性方案2035年扩建第三台50.00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MW，2035年分别为94.53 MW、0.00 MW。2035年刚性方案主变容量150.00 MVA、储能额定功率0.00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MVA。储能按本地支撑需求分批增加，新增额定功率为2035年1.40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MW，2035年分别为95.76 MW、0.00 MW。2035年刚性方案主变容量100.00 MVA、储能额定功率0.40 MW，弹性方案分别为100.00 MVA和1.40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MW。储能正向有效支撑功率为0.38 MW、反向有效吸收功率为1.40 MW。全年本站故障工况中最小余量为0.00 MW。该小时按采用的固定区段预案，本站转出47.88 MW、承接0.00 MW，转接后净负荷为47.88 MW。其中与彭场变之间的主要通道承担11.97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两方案本站储能额定功率相差1.00 MW，差额与所列主变组合及年度固定转接任务共同形成局部供电安排。</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MW，2035年分别为8.45 MW、0.35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MW。全年本站故障工况中最小余量为21.71 MW。该小时按采用的固定区段预案，本站转出0.00 MW、承接7.84 MW，转接后净负荷为16.29 MW。其中与统一变之间的主要通道承担3.92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MW，2035年分别为55.84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MW。全年本站故障工况中最小余量为1.62 MW。该小时按采用的固定区段预案，本站转出0.00 MW、承接19.23 MW，转接后净负荷为74.38 MW。其中与翟山变之间的主要通道承担3.98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MVA。弹性方案2022—2035年保留初始主变组合。储能按本地支撑需求分批增加，新增额定功率为2032年0.90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MW，2035年分别为160.20 MW、87.97 MW。2035年刚性方案主变容量160.00 MVA、储能额定功率0.00 MW，弹性方案分别为160.00 MVA和0.90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142.58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MW。储能正向有效支撑功率为0.25 MW、反向有效吸收功率为0.90 MW。全年本站故障工况中最小余量为0.23 MW。该小时按采用的固定区段预案，本站转出84.93 MW、承接0.74 MW，转接后净负荷为76.01 MW。其中与奎山变之间的主要通道承担15.44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两方案本站储能额定功率相差0.90 MW，差额与所列主变组合及年度固定转接任务共同形成局部供电安排。</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MVA；2032年50.00 MVA更换为63.00 MVA。储能按本地支撑需求分批增加，新增额定功率为2035年0.20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MW，2035年分别为106.98 MW、20.31 MW。2035年刚性方案主变容量150.00 MVA、储能额定功率2.90 MW，弹性方案分别为113.00 MVA和0.20 MW。弹性方案本站主变容量较刚性减少37.00 MVA。</w:t>
      </w:r>
    </w:p>
    <w:p>
      <w:pPr>
        <w:pStyle w:val="2"/>
        <w:keepNext/>
        <w:spacing w:line="280" w:lineRule="exact" w:before="120" w:after="80"/>
        <w:ind w:firstLine="0"/>
        <w:jc w:val="center"/>
      </w:pPr>
      <w:r>
        <w:rPr>
          <w:rFonts w:ascii="Times New Roman" w:hAnsi="Times New Roman" w:eastAsia="宋体"/>
          <w:b w:val="0"/>
          <w:sz w:val="21"/>
        </w:rPr>
        <w:t xml:space="preserve">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MW。储能正向有效支撑功率为0.05 MW、反向有效吸收功率为0.20 MW。全年本站故障工况中最小余量为0.01 MW。该小时按采用的固定区段预案，本站转出59.43 MW、承接0.00 MW，转接后净负荷为47.55 MW。其中与刘湾变之间的主要通道承担13.87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刚性方案在本站采用第三台主变，弹性方案保留两台结构，容量与配储差异需结合可用通道及邻站支援判断。</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MVA。储能按本地支撑需求分批增加，新增额定功率为2031年3.10 MW、2032年2.90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MW，2035年分别为135.34 MW、0.00 MW。2035年刚性方案主变容量130.00 MVA、储能额定功率0.00 MW，弹性方案分别为113.00 MVA和6.00 MW。弹性方案本站主变容量较刚性减少17.00 MVA。</w:t>
      </w:r>
    </w:p>
    <w:p>
      <w:pPr>
        <w:pStyle w:val="2"/>
        <w:keepNext/>
        <w:spacing w:line="280" w:lineRule="exact" w:before="120" w:after="80"/>
        <w:ind w:firstLine="0"/>
        <w:jc w:val="center"/>
      </w:pPr>
      <w:r>
        <w:rPr>
          <w:rFonts w:ascii="Times New Roman" w:hAnsi="Times New Roman" w:eastAsia="宋体"/>
          <w:b w:val="0"/>
          <w:sz w:val="21"/>
        </w:rPr>
        <w:t xml:space="preserve">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MW。储能正向有效支撑功率为1.63 MW、反向有效吸收功率为6.00 MW。全年本站故障工况中最小余量为1.37 MW。该小时按采用的固定区段预案，本站转出87.57 MW、承接0.00 MW，转接后净负荷为47.77 MW。其中与翟山变之间的主要通道承担15.92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两方案本站储能额定功率相差6.00 MW，差额与所列主变组合及年度固定转接任务共同形成局部供电安排。</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MVA。储能按本地支撑需求分批增加，新增额定功率为2034年0.90 MW、2035年2.70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MW，2035年分别为150.01 MW、0.00 MW。2035年刚性方案主变容量160.00 MVA、储能额定功率0.00 MW，弹性方案分别为160.00 MVA和3.60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136.78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MW。储能正向有效支撑功率为0.98 MW、反向有效吸收功率为3.60 MW。全年本站故障工况中最小余量为0.00 MW。该小时按采用的固定区段预案，本站转出73.03 MW、承接0.00 MW，转接后净负荷为76.98 MW。其中与古彭变之间的主要通道承担13.82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两方案本站储能额定功率相差3.60 MW，差额与所列主变组合及年度固定转接任务共同形成局部供电安排。</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MW，2035年分别为186.78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151.01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MW。全年本站故障工况中最小余量为0.49 MW。该小时按采用的固定区段预案，本站转出111.27 MW、承接0.00 MW，转接后净负荷为75.51 MW。其中与古彭变之间的主要通道承担13.91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MW，2035年分别为28.21 MW、0.00 MW。2035年刚性方案主变容量100.00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MW。全年本站故障工况中最小余量为1.10 MW。该小时按采用的固定区段预案，本站转出3.76 MW、承接21.98 MW，转接后净负荷为46.40 MW。其中与西郊变之间的主要通道承担3.97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MW，2035年分别为77.34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MW。全年本站故障工况中最小余量为0.32 MW。该小时按采用的固定区段预案，本站转出39.66 MW、承接0.00 MW，转接后净负荷为37.68 MW。其中与奎山变之间的主要通道承担15.86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MW，2035年分别为65.56 MW、0.00 MW。2035年刚性方案主变容量130.00 MVA、储能额定功率0.00 MW，弹性方案分别为130.00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MW。全年本站故障工况中最小余量为1.80 MW。该小时按采用的固定区段预案，本站转出23.84 MW、承接3.97 MW，转接后净负荷为45.70 MW。其中与刘湾变之间的主要通道承担13.91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MW，2035年分别为23.98 MW、18.55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MW。全年本站故障工况中最小余量为22.02 MW。该小时按采用的固定区段预案，本站转出7.99 MW、承接0.00 MW，转接后净负荷为15.98 MW。其中与大庙变之间的主要通道承担7.99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原始采用预案回代分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261"/>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市区逐站初始与2035年方案的N-1剩余主变能力</w:t>
      </w:r>
    </w:p>
    <w:p>
      <w:pPr>
        <w:pStyle w:val="5"/>
        <w:keepNext/>
        <w:numPr>
          <w:numId w:val="0"/>
        </w:numPr>
        <w:spacing w:line="390" w:lineRule="exact" w:before="160" w:after="120"/>
        <w:ind w:firstLine="0"/>
      </w:pPr>
      <w:bookmarkStart w:id="262" w:name="年度设备配置与站间差异"/>
      <w:r>
        <w:rPr>
          <w:rFonts w:ascii="Times New Roman" w:hAnsi="Times New Roman" w:eastAsia="方正仿宋_GBK"/>
          <w:b/>
          <w:sz w:val="26"/>
        </w:rPr>
        <w:t xml:space="preserve">5.4.7 年度设备配置与站间差异</w:t>
      </w:r>
      <w:bookmarkEnd w:id="262"/>
    </w:p>
    <w:p>
      <w:pPr>
        <w:pStyle w:val="FirstParagraph"/>
        <w:widowControl/>
        <w:spacing w:line="348" w:lineRule="exact" w:before="0" w:after="0"/>
        <w:ind w:firstLine="480"/>
        <w:jc w:val="both"/>
      </w:pPr>
      <w:r>
        <w:rPr>
          <w:rFonts w:ascii="Times New Roman" w:hAnsi="Times New Roman" w:eastAsia="方正仿宋_GBK"/>
          <w:b w:val="0"/>
          <w:sz w:val="24"/>
        </w:rPr>
        <w:t xml:space="preserve">区域总容量可以由更换较大主变、增加主变台数或两者结合形成。总容量相近的站，在最大单台主变N-1后的剩余容量也可能不同，因此需要同时列示设备组合与配储地点。</w:t>
      </w:r>
    </w:p>
    <w:p>
      <w:pPr>
        <w:pStyle w:val="2"/>
        <w:keepNext/>
        <w:spacing w:line="280" w:lineRule="exact" w:before="120" w:after="80"/>
        <w:ind w:firstLine="0"/>
        <w:jc w:val="center"/>
      </w:pPr>
      <w:r>
        <w:rPr>
          <w:rFonts w:ascii="Times New Roman" w:hAnsi="Times New Roman" w:eastAsia="宋体"/>
          <w:b w:val="0"/>
          <w:sz w:val="21"/>
        </w:rPr>
        <w:t xml:space="preserve">表5-59 2035年站级展示范围内主变台数与配储站数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两台主变站数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三台主变站占比</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配储站数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48.60</w:t>
            </w:r>
          </w:p>
        </w:tc>
      </w:tr>
    </w:tbl>
    <w:p>
      <w:pPr>
        <w:pStyle w:val="2"/>
        <w:widowControl/>
        <w:spacing w:line="348" w:lineRule="exact" w:before="0" w:after="0"/>
        <w:ind w:firstLine="480"/>
        <w:jc w:val="both"/>
      </w:pPr>
      <w:r>
        <w:rPr>
          <w:rFonts w:ascii="Times New Roman" w:hAnsi="Times New Roman" w:eastAsia="方正仿宋_GBK"/>
          <w:b w:val="0"/>
          <w:sz w:val="24"/>
        </w:rPr>
        <w:t xml:space="preserve">表中两台、三台主变站数按2035年实际采用组合统计。相同台数的站点仍可能采用不同额定容量，故障后剩余能力还需结合最大单台容量判断。配储站数与储能规模分别反映补充支撑的空间范围和总量。</w:t>
      </w:r>
    </w:p>
    <w:p>
      <w:pPr>
        <w:pStyle w:val="2"/>
        <w:widowControl/>
        <w:spacing w:line="348" w:lineRule="exact" w:before="0" w:after="0"/>
        <w:ind w:firstLine="480"/>
        <w:jc w:val="both"/>
      </w:pPr>
      <w:r>
        <w:rPr>
          <w:rFonts w:ascii="Times New Roman" w:hAnsi="Times New Roman" w:eastAsia="方正仿宋_GBK"/>
          <w:b w:val="0"/>
          <w:sz w:val="24"/>
        </w:rPr>
        <w:t xml:space="preserve">同一容载比可以由不同站内设备结构形成，因此区域推荐区间需与主变台数、规格及站间任务对应。逐站比较需求和建设选择后，再归纳区域指标，才能说明新增容量用于哪些站点，以及费用变化来自哪些措施。</w:t>
      </w:r>
    </w:p>
    <w:p>
      <w:pPr>
        <w:pStyle w:val="2"/>
        <w:widowControl/>
        <w:spacing w:line="348" w:lineRule="exact" w:before="0" w:after="0"/>
        <w:ind w:firstLine="480"/>
        <w:jc w:val="both"/>
      </w:pPr>
      <w:r>
        <w:rPr>
          <w:rFonts w:ascii="Times New Roman" w:hAnsi="Times New Roman" w:eastAsia="方正仿宋_GBK"/>
          <w:b w:val="0"/>
          <w:sz w:val="24"/>
        </w:rPr>
        <w:t xml:space="preserve">主变台数增加可以改变最大单台容量占本站总容量的比例，但是否扩建还取决于预留位置、邻站支援及工程费用。部分站保留两台主变，通过具体线路利用邻站余量；部分站更换主变或增加第三台，承担本地和邻站任务。逐站结果中的不同建设方式共同形成地区容载比。</w:t>
      </w:r>
    </w:p>
    <w:p>
      <w:pPr>
        <w:pStyle w:val="5"/>
        <w:keepNext/>
        <w:numPr>
          <w:numId w:val="0"/>
        </w:numPr>
        <w:spacing w:line="390" w:lineRule="exact" w:before="160" w:after="120"/>
        <w:ind w:firstLine="0"/>
      </w:pPr>
      <w:bookmarkStart w:id="263" w:name="保留2021实际容量的方案对照"/>
      <w:r>
        <w:rPr>
          <w:rFonts w:ascii="Times New Roman" w:hAnsi="Times New Roman" w:eastAsia="方正仿宋_GBK"/>
          <w:b/>
          <w:sz w:val="26"/>
        </w:rPr>
        <w:t xml:space="preserve">5.4.8 保留2021实际容量的方案对照</w:t>
      </w:r>
      <w:bookmarkEnd w:id="263"/>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两地区均保留2021年实际主变容量作为刚性、弹性的共同起点。以下汇总2021、2025、2030、2035年，完整逐年配置见第5.4.1、5.4.2节。基期新增措施均为零，2022年起各年工程继承上年在役设备。</w:t>
      </w:r>
    </w:p>
    <w:p>
      <w:pPr>
        <w:pStyle w:val="2"/>
        <w:keepNext/>
        <w:spacing w:line="280" w:lineRule="exact" w:before="120" w:after="80"/>
        <w:ind w:firstLine="0"/>
        <w:jc w:val="center"/>
      </w:pPr>
      <w:r>
        <w:rPr>
          <w:rFonts w:ascii="Times New Roman" w:hAnsi="Times New Roman" w:eastAsia="宋体"/>
          <w:b w:val="0"/>
          <w:sz w:val="21"/>
        </w:rPr>
        <w:t xml:space="preserve">表5-60 保留2021实际容量的代表年度汇总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年末主变/MVA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年末储能/MWh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累计新联络/条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未来输入来自区域负荷与光伏预测。2030年市区、邳州区域总负荷预测分别为3440.00 MW、1906.00 MW，相对2025年2850.00 MW、1556.00 MW的比例用于缩放同范围规划峰值，得到1845.31 MW、1171.59 MW。2035年区域预测分别为4150.00 MW、2293.00 MW，对应规划峰值2226.18 MW、1409.47 MW。上述为区域预测，站点空间分配沿用基准模板。</w:t>
      </w:r>
    </w:p>
    <w:p>
      <w:pPr>
        <w:pStyle w:val="2"/>
        <w:widowControl/>
        <w:spacing w:line="348" w:lineRule="exact" w:before="0" w:after="0"/>
        <w:ind w:firstLine="480"/>
        <w:jc w:val="both"/>
      </w:pPr>
      <w:r>
        <w:rPr>
          <w:rFonts w:ascii="Times New Roman" w:hAnsi="Times New Roman" w:eastAsia="方正仿宋_GBK"/>
          <w:b w:val="0"/>
          <w:sz w:val="24"/>
        </w:rPr>
        <w:t xml:space="preserve">光伏预测资料中全市2025、2030、2035年装机数值分别为709、1107、1840，原截图未标单位，本研究仅使用其相对2025年的增长倍数1.56和2.60。以第三章2025年地区装机为参照，市区2030、2035年情景规模分别为766.91 MW、1274.71 MW，邳州分别为2435.15 MW、4047.58 MW。两地区采用同一全市发展比例，作为光伏增长情景。</w:t>
      </w:r>
    </w:p>
    <w:p>
      <w:pPr>
        <w:pStyle w:val="2"/>
        <w:keepNext/>
        <w:spacing w:line="280" w:lineRule="exact" w:before="120" w:after="80"/>
        <w:ind w:firstLine="0"/>
        <w:jc w:val="center"/>
      </w:pPr>
      <w:r>
        <w:rPr>
          <w:rFonts w:ascii="Times New Roman" w:hAnsi="Times New Roman" w:eastAsia="宋体"/>
          <w:b w:val="0"/>
          <w:sz w:val="21"/>
        </w:rPr>
        <w:t xml:space="preserve">表5-61 保留2021实际容量的方案费用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两方案在各年采用相同源荷和容载比下限，差异来自新增容量控制和工程选择。市区2022年两方案新增费用均为零，其后逐年新增工程；邳州2021年事故支撑缺口在基线检验中单列，2022年起通过主变、储能及通道补强。2022—2035年累计费用由每年实际投运批次形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389120"/>
            <wp:effectExtent b="0" l="0" r="0" t="0"/>
            <wp:docPr descr="" title="" id="1" name="Picture"/>
            <a:graphic>
              <a:graphicData uri="http://schemas.openxmlformats.org/drawingml/2006/picture">
                <pic:pic>
                  <pic:nvPicPr>
                    <pic:cNvPr descr="研究报告/02图表/当前版/initial_capacity_cost_comparison.png" id="0" name="Picture"/>
                    <pic:cNvPicPr>
                      <a:picLocks noChangeArrowheads="1" noChangeAspect="1"/>
                    </pic:cNvPicPr>
                  </pic:nvPicPr>
                  <pic:blipFill>
                    <a:blip r:embed="rId264"/>
                    <a:stretch>
                      <a:fillRect/>
                    </a:stretch>
                  </pic:blipFill>
                  <pic:spPr bwMode="auto">
                    <a:xfrm>
                      <a:off x="0" y="0"/>
                      <a:ext cx="5120640" cy="43891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2021实际容量起点下两地区方案累计新增费用</w:t>
      </w:r>
    </w:p>
    <w:p>
      <w:pPr>
        <w:pStyle w:val="4"/>
        <w:keepNext/>
        <w:numPr>
          <w:numId w:val="0"/>
        </w:numPr>
        <w:spacing w:line="480" w:lineRule="exact" w:before="160" w:after="120"/>
        <w:ind w:firstLine="0"/>
      </w:pPr>
      <w:bookmarkStart w:id="2022" w:name="h1022"/>
      <w:bookmarkStart w:id="265" w:name="措施作用与工程衔接"/>
      <w:r>
        <w:rPr>
          <w:rFonts w:ascii="Times New Roman" w:hAnsi="Times New Roman" w:eastAsia="方正仿宋_GBK"/>
          <w:b/>
          <w:sz w:val="32"/>
        </w:rPr>
        <w:t xml:space="preserve">5.5 措施作用与工程衔接</w:t>
      </w:r>
      <w:bookmarkEnd w:id="265"/>
      <w:bookmarkEnd w:id="2022"/>
    </w:p>
    <w:p>
      <w:pPr>
        <w:pStyle w:val="5"/>
        <w:keepNext/>
        <w:numPr>
          <w:numId w:val="0"/>
        </w:numPr>
        <w:spacing w:line="390" w:lineRule="exact" w:before="160" w:after="120"/>
        <w:ind w:firstLine="0"/>
      </w:pPr>
      <w:bookmarkStart w:id="266" w:name="逐年负荷转接与站间任务"/>
      <w:r>
        <w:rPr>
          <w:rFonts w:ascii="Times New Roman" w:hAnsi="Times New Roman" w:eastAsia="方正仿宋_GBK"/>
          <w:b/>
          <w:sz w:val="26"/>
        </w:rPr>
        <w:t xml:space="preserve">5.5.1 逐年负荷转接与站间任务</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表5-62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注：列示代表年度，转接合计为沿已采用区段预案转接的净功率幅值之和。</w:t>
      </w:r>
    </w:p>
    <w:p>
      <w:pPr>
        <w:pStyle w:val="2"/>
        <w:keepNext/>
        <w:spacing w:line="280" w:lineRule="exact" w:before="120" w:after="80"/>
        <w:ind w:firstLine="0"/>
        <w:jc w:val="center"/>
      </w:pPr>
      <w:r>
        <w:rPr>
          <w:rFonts w:ascii="Times New Roman" w:hAnsi="Times New Roman" w:eastAsia="宋体"/>
          <w:b w:val="0"/>
          <w:sz w:val="21"/>
        </w:rPr>
        <w:t xml:space="preserve">表5-63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9.12</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注：列示代表年度，转接合计为沿已采用区段预案转接的净功率幅值之和。</w:t>
      </w:r>
    </w:p>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7" w:name="主变储能与联络的共同作用"/>
      <w:r>
        <w:rPr>
          <w:rFonts w:ascii="Times New Roman" w:hAnsi="Times New Roman" w:eastAsia="方正仿宋_GBK"/>
          <w:b/>
          <w:sz w:val="26"/>
        </w:rPr>
        <w:t xml:space="preserve">5.5.2 主变、储能与联络的共同作用</w:t>
      </w:r>
      <w:bookmarkEnd w:id="267"/>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MW，均未新增储能。该站两类方案的差异表现为故障后剩余主变能力，具体正反向转接任务由年度区段预案确定。</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268"/>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兴塘变2035年两方案的N-1剩余主变能力</w:t>
      </w:r>
    </w:p>
    <w:p>
      <w:pPr>
        <w:pStyle w:val="5"/>
        <w:keepNext/>
        <w:numPr>
          <w:numId w:val="0"/>
        </w:numPr>
        <w:spacing w:line="390" w:lineRule="exact" w:before="160" w:after="120"/>
        <w:ind w:firstLine="0"/>
      </w:pPr>
      <w:bookmarkStart w:id="269" w:name="储能支撑与必要转供量"/>
      <w:r>
        <w:rPr>
          <w:rFonts w:ascii="Times New Roman" w:hAnsi="Times New Roman" w:eastAsia="方正仿宋_GBK"/>
          <w:b/>
          <w:sz w:val="26"/>
        </w:rPr>
        <w:t xml:space="preserve">5.5.3 储能支撑与必要转供量</w:t>
      </w:r>
      <w:bookmarkEnd w:id="269"/>
    </w:p>
    <w:p>
      <w:pPr>
        <w:pStyle w:val="FirstParagraph"/>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pPr>
        <w:pStyle w:val="2"/>
        <w:keepNext/>
        <w:spacing w:line="280" w:lineRule="exact" w:before="120" w:after="80"/>
        <w:ind w:firstLine="0"/>
        <w:jc w:val="center"/>
      </w:pPr>
      <w:r>
        <w:rPr>
          <w:rFonts w:ascii="Times New Roman" w:hAnsi="Times New Roman" w:eastAsia="宋体"/>
          <w:b w:val="0"/>
          <w:sz w:val="21"/>
        </w:rPr>
        <w:t xml:space="preserve">表5-64 代表年度固定区段预案的最大转接功率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正常既有边/MW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N-1既有边/MW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49.88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174.49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81.41</w:t>
            </w:r>
          </w:p>
        </w:tc>
      </w:tr>
    </w:tbl>
    <w:p>
      <w:pPr>
        <w:pStyle w:val="2"/>
        <w:widowControl/>
        <w:spacing w:line="348" w:lineRule="exact" w:before="0" w:after="0"/>
        <w:ind w:firstLine="480"/>
        <w:jc w:val="both"/>
      </w:pPr>
      <w:r>
        <w:rPr>
          <w:rFonts w:ascii="Times New Roman" w:hAnsi="Times New Roman" w:eastAsia="方正仿宋_GBK"/>
          <w:b w:val="0"/>
          <w:sz w:val="24"/>
        </w:rPr>
        <w:t xml:space="preserve">注：沿采用的正常固定及事故追加预案回代8760小时，分别列出各列最大值。</w:t>
      </w:r>
    </w:p>
    <w:p>
      <w:pPr>
        <w:pStyle w:val="2"/>
        <w:widowControl/>
        <w:spacing w:line="348" w:lineRule="exact" w:before="0" w:after="0"/>
        <w:ind w:firstLine="480"/>
        <w:jc w:val="both"/>
      </w:pPr>
      <w:r>
        <w:rPr>
          <w:rFonts w:ascii="Times New Roman" w:hAnsi="Times New Roman" w:eastAsia="方正仿宋_GBK"/>
          <w:b w:val="0"/>
          <w:sz w:val="24"/>
        </w:rPr>
        <w:t xml:space="preserve">表中沿已采用的年度正常及事故追加区段预案，回代各年8760小时源荷，分别汇总正常和N-1工况中的转接峰值。总量与既有边两列分别取对应工况最大值，既有网络参与支援，新增联络按实际建设项目计费。</w:t>
      </w:r>
    </w:p>
    <w:p>
      <w:pPr>
        <w:pStyle w:val="2"/>
        <w:widowControl/>
        <w:spacing w:line="348" w:lineRule="exact" w:before="0" w:after="0"/>
        <w:ind w:firstLine="480"/>
        <w:jc w:val="both"/>
      </w:pPr>
      <w:r>
        <w:rPr>
          <w:rFonts w:ascii="Times New Roman" w:hAnsi="Times New Roman" w:eastAsia="方正仿宋_GBK"/>
          <w:b w:val="0"/>
          <w:sz w:val="24"/>
        </w:rPr>
        <w:t xml:space="preserve">固定预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pPr>
        <w:pStyle w:val="4"/>
        <w:keepNext/>
        <w:numPr>
          <w:numId w:val="0"/>
        </w:numPr>
        <w:spacing w:line="480" w:lineRule="exact" w:before="160" w:after="120"/>
        <w:ind w:firstLine="0"/>
      </w:pPr>
      <w:bookmarkStart w:id="2044" w:name="h1044"/>
      <w:bookmarkStart w:id="270" w:name="五参数推广矩阵"/>
      <w:r>
        <w:rPr>
          <w:rFonts w:ascii="Times New Roman" w:hAnsi="Times New Roman" w:eastAsia="方正仿宋_GBK"/>
          <w:b/>
          <w:sz w:val="32"/>
        </w:rPr>
        <w:t xml:space="preserve">5.6 五参数推广矩阵</w:t>
      </w:r>
      <w:bookmarkEnd w:id="270"/>
      <w:bookmarkEnd w:id="2044"/>
    </w:p>
    <w:p>
      <w:pPr>
        <w:pStyle w:val="5"/>
        <w:keepNext/>
        <w:numPr>
          <w:numId w:val="0"/>
        </w:numPr>
        <w:spacing w:line="390" w:lineRule="exact" w:before="160" w:after="120"/>
        <w:ind w:firstLine="0"/>
      </w:pPr>
      <w:bookmarkStart w:id="271" w:name="参数组织与推广模型"/>
      <w:r>
        <w:rPr>
          <w:rFonts w:ascii="Times New Roman" w:hAnsi="Times New Roman" w:eastAsia="方正仿宋_GBK"/>
          <w:b/>
          <w:sz w:val="26"/>
        </w:rPr>
        <w:t xml:space="preserve">5.6.1 参数组织与推广模型</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按这些条件归纳设备比选结果，形成容载比矩阵。</w:t>
      </w:r>
    </w:p>
    <w:p>
      <w:pPr>
        <w:pStyle w:val="2"/>
        <w:widowControl/>
        <w:spacing w:line="348" w:lineRule="exact" w:before="0" w:after="0"/>
        <w:ind w:firstLine="480"/>
        <w:jc w:val="both"/>
      </w:pPr>
      <w:r>
        <w:rPr>
          <w:rFonts w:ascii="Times New Roman" w:hAnsi="Times New Roman" w:eastAsia="方正仿宋_GBK"/>
          <w:b w:val="0"/>
          <w:sz w:val="24"/>
        </w:rPr>
        <w:t xml:space="preserve">区间矩阵采用五站存量设备模板，每站初始为两台50 MVA主变，总容量500.00 MVA。既有主变可保留或更换为63、80 MVA，各站允许扩建一台50 MVA主变。基期网供峰值250 MW，比选时点为基期后第4年。主变允许规格、扩建位置、馈线和间隔条件进入承载约束，主变、储能和新增联络按共同评价期费用比选。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表5-65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72" w:name="矩阵结果与查表方法"/>
      <w:r>
        <w:rPr>
          <w:rFonts w:ascii="Times New Roman" w:hAnsi="Times New Roman" w:eastAsia="方正仿宋_GBK"/>
          <w:b/>
          <w:sz w:val="26"/>
        </w:rPr>
        <w:t xml:space="preserve">5.6.2 矩阵结果与查表方法</w:t>
      </w:r>
      <w:bookmarkEnd w:id="272"/>
    </w:p>
    <w:p>
      <w:pPr>
        <w:pStyle w:val="FirstParagraph"/>
        <w:widowControl/>
        <w:spacing w:line="348" w:lineRule="exact" w:before="0" w:after="0"/>
        <w:ind w:firstLine="480"/>
        <w:jc w:val="both"/>
      </w:pPr>
      <w:r>
        <w:rPr>
          <w:rFonts w:ascii="Times New Roman" w:hAnsi="Times New Roman" w:eastAsia="方正仿宋_GBK"/>
          <w:b w:val="0"/>
          <w:sz w:val="24"/>
        </w:rPr>
        <w:t xml:space="preserve">矩阵按电缆长度占比≤10%、(10%,30%]、&gt;30%划分三档，每档分别列示负荷分散系数1.00、1.10、1.15的结果，共九张表。每张表以年最大净负荷平均增长率四档和装机渗透率三档选行，以初始转供率四档选列，形成48个区间单元，合计432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每格取对应已计算有效节点的容载比最小值和最大值，反映该组源荷与网络条件下的容量范围。电缆长度占比节点为10%、30%、50%、80%、90%，分别归入≤10%、(10%,30%]、&gt;30%三档，分区结果保留不同敷设造价引起的配置差异。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r>
        <w:rPr>
          <w:rFonts w:ascii="Times New Roman" w:hAnsi="Times New Roman" w:eastAsia="宋体"/>
          <w:b w:val="0"/>
          <w:sz w:val="21"/>
        </w:rPr>
        <w:t xml:space="preserve">表5-66 电缆长度占比≤10%、负荷分散系数1.00的容载比区间矩阵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电缆长度占比≤10%、负荷分散系数1.10的容载比区间矩阵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电缆长度占比≤10%、负荷分散系数1.15的容载比区间矩阵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表5-69 电缆长度占比(10%,30%]、负荷分散系数1.00的容载比区间矩阵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表5-70 电缆长度占比(10%,30%]、负荷分散系数1.10的容载比区间矩阵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表5-71 电缆长度占比(10%,30%]、负荷分散系数1.15的容载比区间矩阵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表5-72 电缆长度占比&gt;30%、负荷分散系数1.00的容载比区间矩阵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表5-73 电缆长度占比&gt;30%、负荷分散系数1.10的容载比区间矩阵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表5-74 电缆长度占比&gt;30%、负荷分散系数1.15的容载比区间矩阵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2.23～2.59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widowControl/>
        <w:spacing w:line="348" w:lineRule="exact" w:before="0" w:after="0"/>
        <w:ind w:firstLine="480"/>
        <w:jc w:val="both"/>
      </w:pPr>
      <w:r>
        <w:rPr>
          <w:rFonts w:ascii="Times New Roman" w:hAnsi="Times New Roman" w:eastAsia="方正仿宋_GBK"/>
          <w:b w:val="0"/>
          <w:sz w:val="24"/>
        </w:rPr>
        <w:t xml:space="preserve">相邻转供档的数值区间分别由各档中全部有效节点的最小值和最大值形成。比如电缆长度占比≤10%、负荷分散系数1.10、年最大净负荷平均增长率&gt;7%、装机渗透率(1,2]这一行，前三档为1.91～2.09、1.76～2.09、1.50～1.95。它们包含各档内不同源荷取点及设备组合，区间可以重叠。判别同一背景参数下转供能力的作用，应固定其余条件沿完整转供率序列比较，第5.6.4节进一步给出九个节点及四档区间。主变按整台额定容量投运，容量随转供条件变化可呈阶梯及平台。</w:t>
      </w:r>
    </w:p>
    <w:p>
      <w:pPr>
        <w:pStyle w:val="2"/>
        <w:widowControl/>
        <w:spacing w:line="348" w:lineRule="exact" w:before="0" w:after="0"/>
        <w:ind w:firstLine="480"/>
        <w:jc w:val="both"/>
      </w:pPr>
      <w:r>
        <w:rPr>
          <w:rFonts w:ascii="Times New Roman" w:hAnsi="Times New Roman" w:eastAsia="方正仿宋_GBK"/>
          <w:b w:val="0"/>
          <w:sz w:val="24"/>
        </w:rPr>
        <w:t xml:space="preserve">区间端点图以电缆长度占比&gt;30%、负荷分散系数1.10为例，按与矩阵相同的行列次序展示下界和上界，两图采用相同色阶。装机渗透率较高的行具有较大的反向容量任务，年最大净负荷平均增长率改变负荷规模及既有容量储备，转供条件则影响局部支援。端点由各单元同一电缆分区内不同造价及有限源荷节点的可行配置共同形成，读取区间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273"/>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电缆长度占比&gt;30%、负荷分散系数1.10下的矩阵端点</w:t>
      </w:r>
    </w:p>
    <w:p>
      <w:pPr>
        <w:pStyle w:val="5"/>
        <w:keepNext/>
        <w:numPr>
          <w:numId w:val="0"/>
        </w:numPr>
        <w:spacing w:line="390" w:lineRule="exact" w:before="160" w:after="120"/>
        <w:ind w:firstLine="0"/>
      </w:pPr>
      <w:bookmarkStart w:id="274" w:name="参数关联对应的设备变化"/>
      <w:r>
        <w:rPr>
          <w:rFonts w:ascii="Times New Roman" w:hAnsi="Times New Roman" w:eastAsia="方正仿宋_GBK"/>
          <w:b/>
          <w:sz w:val="26"/>
        </w:rPr>
        <w:t xml:space="preserve">5.6.3 参数关联对应的设备变化</w:t>
      </w:r>
      <w:bookmarkEnd w:id="274"/>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75"/>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6" w:name="固定源荷条件下的转供序列"/>
      <w:r>
        <w:rPr>
          <w:rFonts w:ascii="Times New Roman" w:hAnsi="Times New Roman" w:eastAsia="方正仿宋_GBK"/>
          <w:b/>
          <w:sz w:val="26"/>
        </w:rPr>
        <w:t xml:space="preserve">5.6.4 固定源荷条件下的转供序列</w:t>
      </w:r>
      <w:bookmarkEnd w:id="276"/>
    </w:p>
    <w:p>
      <w:pPr>
        <w:pStyle w:val="FirstParagraph"/>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四档归纳容载比推荐范围，共形成8个区间单元。两组区间上下界均随转供档位提高而逐档下降。</w:t>
      </w:r>
    </w:p>
    <w:p>
      <w:pPr>
        <w:pStyle w:val="2"/>
        <w:keepNext/>
        <w:spacing w:line="280" w:lineRule="exact" w:before="120" w:after="80"/>
        <w:ind w:firstLine="0"/>
        <w:jc w:val="center"/>
      </w:pPr>
      <w:r>
        <w:rPr>
          <w:rFonts w:ascii="Times New Roman" w:hAnsi="Times New Roman" w:eastAsia="宋体"/>
          <w:b w:val="0"/>
          <w:sz w:val="21"/>
        </w:rPr>
        <w:t xml:space="preserve">表5-75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1.86～1.96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1.43～1.66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1.26～1.36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1.33～1.36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1.25～1.26</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w:t>
      </w:r>
    </w:p>
    <w:p>
      <w:pPr>
        <w:pStyle w:val="2"/>
        <w:keepNext/>
        <w:spacing w:line="280" w:lineRule="exact" w:before="120" w:after="80"/>
        <w:ind w:firstLine="0"/>
        <w:jc w:val="center"/>
      </w:pPr>
      <w:r>
        <w:rPr>
          <w:rFonts w:ascii="Times New Roman" w:hAnsi="Times New Roman" w:eastAsia="宋体"/>
          <w:b w:val="0"/>
          <w:sz w:val="21"/>
        </w:rPr>
        <w:t xml:space="preserve">表5-76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表5-77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MVA，末个节点取消新增联络。两组均在四档转供率间形成不同的推荐区间，说明既有网络改善能够在各档体现为区域容量需求下降，同时改变新增工程组合。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27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8" w:name="装机渗透率与双向容量需求"/>
      <w:r>
        <w:rPr>
          <w:rFonts w:ascii="Times New Roman" w:hAnsi="Times New Roman" w:eastAsia="方正仿宋_GBK"/>
          <w:b/>
          <w:sz w:val="26"/>
        </w:rPr>
        <w:t xml:space="preserve">5.6.5 装机渗透率与双向容量需求</w:t>
      </w:r>
      <w:bookmarkEnd w:id="278"/>
    </w:p>
    <w:p>
      <w:pPr>
        <w:pStyle w:val="FirstParagraph"/>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表5-78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27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完整装机渗透率序列对应的主变与储能配置</w:t>
      </w:r>
    </w:p>
    <w:p>
      <w:pPr>
        <w:pStyle w:val="5"/>
        <w:keepNext/>
        <w:numPr>
          <w:numId w:val="0"/>
        </w:numPr>
        <w:spacing w:line="390" w:lineRule="exact" w:before="160" w:after="120"/>
        <w:ind w:firstLine="0"/>
      </w:pPr>
      <w:bookmarkStart w:id="280" w:name="年最大净负荷平均增长率与容量储备消耗"/>
      <w:r>
        <w:rPr>
          <w:rFonts w:ascii="Times New Roman" w:hAnsi="Times New Roman" w:eastAsia="方正仿宋_GBK"/>
          <w:b/>
          <w:sz w:val="26"/>
        </w:rPr>
        <w:t xml:space="preserve">5.6.6 年最大净负荷平均增长率与容量储备消耗</w:t>
      </w:r>
      <w:bookmarkEnd w:id="280"/>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表5-79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281"/>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年最大净负荷平均增长率与规划负荷、容量及容载比</w:t>
      </w:r>
    </w:p>
    <w:p>
      <w:pPr>
        <w:pStyle w:val="5"/>
        <w:keepNext/>
        <w:numPr>
          <w:numId w:val="0"/>
        </w:numPr>
        <w:spacing w:line="390" w:lineRule="exact" w:before="160" w:after="120"/>
        <w:ind w:firstLine="0"/>
      </w:pPr>
      <w:bookmarkStart w:id="282" w:name="电缆长度占比与联络主变替代"/>
      <w:r>
        <w:rPr>
          <w:rFonts w:ascii="Times New Roman" w:hAnsi="Times New Roman" w:eastAsia="方正仿宋_GBK"/>
          <w:b/>
          <w:sz w:val="26"/>
        </w:rPr>
        <w:t xml:space="preserve">5.6.7 电缆长度占比与联络、主变替代</w:t>
      </w:r>
      <w:bookmarkEnd w:id="282"/>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表5-80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283"/>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4" w:name="负荷分散系数与局部高峰承载"/>
      <w:r>
        <w:rPr>
          <w:rFonts w:ascii="Times New Roman" w:hAnsi="Times New Roman" w:eastAsia="方正仿宋_GBK"/>
          <w:b/>
          <w:sz w:val="26"/>
        </w:rPr>
        <w:t xml:space="preserve">5.6.8 负荷分散系数与局部高峰承载</w:t>
      </w:r>
      <w:bookmarkEnd w:id="284"/>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年最大净负荷平均增长率7%、电缆长度占比10%和初始转供率50%，比较负荷分散系数1.00、1.10、1.15的完整序列。三组容载比均高于2.00，且在两个相邻节点间均有响应。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表5-81 局部峰值分散程度对应的设备配置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24142.90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31153.91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34046.30</w:t>
            </w:r>
          </w:p>
        </w:tc>
      </w:tr>
    </w:tbl>
    <w:p>
      <w:pPr>
        <w:pStyle w:val="2"/>
        <w:widowControl/>
        <w:spacing w:line="348" w:lineRule="exact" w:before="0" w:after="0"/>
        <w:ind w:firstLine="480"/>
        <w:jc w:val="both"/>
      </w:pPr>
      <w:r>
        <w:rPr>
          <w:rFonts w:ascii="Times New Roman" w:hAnsi="Times New Roman" w:eastAsia="方正仿宋_GBK"/>
          <w:b w:val="0"/>
          <w:sz w:val="24"/>
        </w:rPr>
        <w:t xml:space="preserve">分散系数1.00时，710.00 MVA主变与9项新增联络共同支撑局部高峰，容载比为2.17。分散系数提高至1.10，主变增加76.00 MVA，并减少4项联络，容载比升至2.40。继续提高至1.15，主变再增加34.00 MVA，联络减少至3项，容载比达到2.50。两个变化节点均增加站内容量，说明局部高峰分布改变后，原有主变和网络组合需要调整。</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285"/>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图5-18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本组储能额定功率由73.30 MW增至90.60 MW、102.10 MW，与主变补强共同承担局部功率任务。联络数量减少反映部分支援转由站内设备承担，但新增主变和储能的费用仍使方案费用提高。由分散系数1.00至1.15，主变、储能费用现值分别增加4371.85万元、6256.54万元，线路费用减少724.99万元，合计费用增加9903.40万元。较大的主变总容量与较少的新增联络在同一方案中出现，其原因可以由设备组合和费用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矩阵分别列示三个分散系数定值，将局部高峰条件保留到查表结果。片区应用以同范围站级峰值及区域同时峰值核定该参数，再结合站间支援条件选择容量和配套措施。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19" w:name="h1119"/>
      <w:bookmarkStart w:id="286" w:name="规划建议"/>
      <w:r>
        <w:rPr>
          <w:rFonts w:ascii="Times New Roman" w:hAnsi="Times New Roman" w:eastAsia="方正仿宋_GBK"/>
          <w:b/>
          <w:sz w:val="32"/>
        </w:rPr>
        <w:t xml:space="preserve">5.7 规划建议</w:t>
      </w:r>
      <w:bookmarkEnd w:id="286"/>
      <w:bookmarkEnd w:id="2119"/>
    </w:p>
    <w:p>
      <w:pPr>
        <w:pStyle w:val="5"/>
        <w:keepNext/>
        <w:numPr>
          <w:numId w:val="0"/>
        </w:numPr>
        <w:spacing w:line="390" w:lineRule="exact" w:before="160" w:after="120"/>
        <w:ind w:firstLine="0"/>
      </w:pPr>
      <w:bookmarkStart w:id="287" w:name="按源荷条件和网络能力选取容量"/>
      <w:r>
        <w:rPr>
          <w:rFonts w:ascii="Times New Roman" w:hAnsi="Times New Roman" w:eastAsia="方正仿宋_GBK"/>
          <w:b/>
          <w:sz w:val="26"/>
        </w:rPr>
        <w:t xml:space="preserve">5.7.1 按源荷条件和网络能力选取容量</w:t>
      </w:r>
      <w:bookmarkEnd w:id="287"/>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88" w:name="统筹主变储能及联络建设"/>
      <w:r>
        <w:rPr>
          <w:rFonts w:ascii="Times New Roman" w:hAnsi="Times New Roman" w:eastAsia="方正仿宋_GBK"/>
          <w:b/>
          <w:sz w:val="26"/>
        </w:rPr>
        <w:t xml:space="preserve">5.7.2 统筹主变、储能及联络建设</w:t>
      </w:r>
      <w:bookmarkEnd w:id="288"/>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89" w:name="保留参数区间滚动更新计算依据"/>
      <w:r>
        <w:rPr>
          <w:rFonts w:ascii="Times New Roman" w:hAnsi="Times New Roman" w:eastAsia="方正仿宋_GBK"/>
          <w:b/>
          <w:sz w:val="26"/>
        </w:rPr>
        <w:t xml:space="preserve">5.7.3 保留参数区间，滚动更新计算依据</w:t>
      </w:r>
      <w:bookmarkEnd w:id="289"/>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90" w:name="推荐区间与具体设备的衔接"/>
      <w:r>
        <w:rPr>
          <w:rFonts w:ascii="Times New Roman" w:hAnsi="Times New Roman" w:eastAsia="方正仿宋_GBK"/>
          <w:b/>
          <w:sz w:val="26"/>
        </w:rPr>
        <w:t xml:space="preserve">5.7.4 推荐区间与具体设备的衔接</w:t>
      </w:r>
      <w:bookmarkEnd w:id="290"/>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91" w:name="邳州与市区建设措施的综合比较"/>
      <w:r>
        <w:rPr>
          <w:rFonts w:ascii="Times New Roman" w:hAnsi="Times New Roman" w:eastAsia="方正仿宋_GBK"/>
          <w:b/>
          <w:sz w:val="26"/>
        </w:rPr>
        <w:t xml:space="preserve">5.7.5 邳州与市区建设措施的综合比较</w:t>
      </w:r>
      <w:bookmarkEnd w:id="291"/>
    </w:p>
    <w:p>
      <w:pPr>
        <w:pStyle w:val="FirstParagraph"/>
        <w:widowControl/>
        <w:spacing w:line="348" w:lineRule="exact" w:before="0" w:after="0"/>
        <w:ind w:firstLine="480"/>
        <w:jc w:val="both"/>
      </w:pPr>
      <w:r>
        <w:rPr>
          <w:rFonts w:ascii="Times New Roman" w:hAnsi="Times New Roman" w:eastAsia="方正仿宋_GBK"/>
          <w:b w:val="0"/>
          <w:sz w:val="24"/>
        </w:rPr>
        <w:t xml:space="preserve">两地区以2021年实际容量为共同起点，2022—2035年按上年在役设备和当年源荷逐年比选。既有转供按逐站MW固定封顶，年度正常供区与事故追加预案分别固定，新增联络、共享馈线余量及接收站主变共同约束站间支援。</w:t>
      </w:r>
    </w:p>
    <w:p>
      <w:pPr>
        <w:pStyle w:val="2"/>
        <w:widowControl/>
        <w:spacing w:line="348" w:lineRule="exact" w:before="0" w:after="0"/>
        <w:ind w:firstLine="480"/>
        <w:jc w:val="both"/>
      </w:pPr>
      <w:r>
        <w:rPr>
          <w:rFonts w:ascii="Times New Roman" w:hAnsi="Times New Roman" w:eastAsia="方正仿宋_GBK"/>
          <w:b w:val="0"/>
          <w:sz w:val="24"/>
        </w:rPr>
        <w:t xml:space="preserve">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pPr>
        <w:pStyle w:val="2"/>
        <w:widowControl/>
        <w:spacing w:line="348" w:lineRule="exact" w:before="0" w:after="0"/>
        <w:ind w:firstLine="480"/>
        <w:jc w:val="both"/>
      </w:pPr>
      <w:r>
        <w:rPr>
          <w:rFonts w:ascii="Times New Roman" w:hAnsi="Times New Roman" w:eastAsia="方正仿宋_GBK"/>
          <w:b w:val="0"/>
          <w:sz w:val="24"/>
        </w:rPr>
        <w:t xml:space="preserve">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pPr>
        <w:pStyle w:val="3"/>
        <w:keepNext/>
        <w:pageBreakBefore/>
        <w:numPr>
          <w:numId w:val="0"/>
        </w:numPr>
        <w:spacing w:line="540" w:lineRule="exact" w:before="0" w:after="120"/>
        <w:ind w:firstLine="0"/>
      </w:pPr>
      <w:bookmarkStart w:id="2133" w:name="h1133"/>
      <w:bookmarkStart w:id="292" w:name="第六章-结论与建议"/>
      <w:r>
        <w:rPr>
          <w:rFonts w:ascii="Times New Roman" w:hAnsi="Times New Roman" w:eastAsia="方正仿宋_GBK"/>
          <w:b/>
          <w:sz w:val="36"/>
        </w:rPr>
        <w:t xml:space="preserve">第六章 结论与建议</w:t>
      </w:r>
      <w:bookmarkEnd w:id="292"/>
      <w:bookmarkEnd w:id="2133"/>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35" w:name="h1135"/>
      <w:bookmarkStart w:id="293" w:name="主要研究结论"/>
      <w:r>
        <w:rPr>
          <w:rFonts w:ascii="Times New Roman" w:hAnsi="Times New Roman" w:eastAsia="方正仿宋_GBK"/>
          <w:b/>
          <w:sz w:val="32"/>
        </w:rPr>
        <w:t xml:space="preserve">6.1 主要研究结论</w:t>
      </w:r>
      <w:bookmarkEnd w:id="293"/>
      <w:bookmarkEnd w:id="2135"/>
    </w:p>
    <w:p>
      <w:pPr>
        <w:pStyle w:val="5"/>
        <w:keepNext/>
        <w:numPr>
          <w:numId w:val="0"/>
        </w:numPr>
        <w:spacing w:line="390" w:lineRule="exact" w:before="160" w:after="120"/>
        <w:ind w:firstLine="0"/>
      </w:pPr>
      <w:bookmarkStart w:id="294" w:name="容载比与局部容量压力应结合分析"/>
      <w:r>
        <w:rPr>
          <w:rFonts w:ascii="Times New Roman" w:hAnsi="Times New Roman" w:eastAsia="方正仿宋_GBK"/>
          <w:b/>
          <w:sz w:val="26"/>
        </w:rPr>
        <w:t xml:space="preserve">6.1.1 容载比与局部容量压力应结合分析</w:t>
      </w:r>
      <w:bookmarkEnd w:id="294"/>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5" w:name="弹性容量配置降低了所设条件下的方案费用"/>
      <w:r>
        <w:rPr>
          <w:rFonts w:ascii="Times New Roman" w:hAnsi="Times New Roman" w:eastAsia="方正仿宋_GBK"/>
          <w:b/>
          <w:sz w:val="26"/>
        </w:rPr>
        <w:t xml:space="preserve">6.1.2 弹性容量配置降低了所设条件下的方案费用</w:t>
      </w:r>
      <w:bookmarkEnd w:id="295"/>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pPr>
        <w:pStyle w:val="5"/>
        <w:keepNext/>
        <w:numPr>
          <w:numId w:val="0"/>
        </w:numPr>
        <w:spacing w:line="390" w:lineRule="exact" w:before="160" w:after="120"/>
        <w:ind w:firstLine="0"/>
      </w:pPr>
      <w:bookmarkStart w:id="296"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6"/>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当前模型将转接功率绑定具体馈线和站间候选，既有边不重复计建设费用，新增边按投运年计费。共用馈线的联络共用可转负荷和接收余量，邻站主变同时通过容量校核。</w:t>
      </w:r>
    </w:p>
    <w:p>
      <w:pPr>
        <w:pStyle w:val="5"/>
        <w:keepNext/>
        <w:numPr>
          <w:numId w:val="0"/>
        </w:numPr>
        <w:spacing w:line="390" w:lineRule="exact" w:before="160" w:after="120"/>
        <w:ind w:firstLine="0"/>
      </w:pPr>
      <w:bookmarkStart w:id="297" w:name="两层相关分析确定五项推广参数"/>
      <w:r>
        <w:rPr>
          <w:rFonts w:ascii="Times New Roman" w:hAnsi="Times New Roman" w:eastAsia="方正仿宋_GBK"/>
          <w:b/>
          <w:sz w:val="26"/>
        </w:rPr>
        <w:t xml:space="preserve">6.1.4 两层相关分析确定五项推广参数</w:t>
      </w:r>
      <w:bookmarkEnd w:id="297"/>
    </w:p>
    <w:p>
      <w:pPr>
        <w:pStyle w:val="FirstParagraph"/>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区间矩阵按电缆长度占比≤10%、(10%,30%]、&gt;30%分区，每档分别列示负荷分散系数1.00、1.10、1.15，年最大净负荷平均增长率四档、装机渗透率三档与初始转供率四档组成九张表432个单元，反映相应条件下的有限容量范围。另以两组设备重新选配的典型源荷条件分析18个细节点及8个转供区间，两组四档区间上下界均随初始转供率提高而下降，细节点保留平台和局部回升。查表后按实际站级缺口及可实施措施确定设备方案。</w:t>
      </w:r>
    </w:p>
    <w:p>
      <w:pPr>
        <w:pStyle w:val="4"/>
        <w:keepNext/>
        <w:numPr>
          <w:numId w:val="0"/>
        </w:numPr>
        <w:spacing w:line="480" w:lineRule="exact" w:before="160" w:after="120"/>
        <w:ind w:firstLine="0"/>
      </w:pPr>
      <w:bookmarkStart w:id="2149" w:name="h1149"/>
      <w:bookmarkStart w:id="298" w:name="规划应用建议"/>
      <w:r>
        <w:rPr>
          <w:rFonts w:ascii="Times New Roman" w:hAnsi="Times New Roman" w:eastAsia="方正仿宋_GBK"/>
          <w:b/>
          <w:sz w:val="32"/>
        </w:rPr>
        <w:t xml:space="preserve">6.2 规划应用建议</w:t>
      </w:r>
      <w:bookmarkEnd w:id="298"/>
      <w:bookmarkEnd w:id="2149"/>
    </w:p>
    <w:p>
      <w:pPr>
        <w:pStyle w:val="5"/>
        <w:keepNext/>
        <w:numPr>
          <w:numId w:val="0"/>
        </w:numPr>
        <w:spacing w:line="390" w:lineRule="exact" w:before="160" w:after="120"/>
        <w:ind w:firstLine="0"/>
      </w:pPr>
      <w:bookmarkStart w:id="299" w:name="按输入区间查表再落实设备方案"/>
      <w:r>
        <w:rPr>
          <w:rFonts w:ascii="Times New Roman" w:hAnsi="Times New Roman" w:eastAsia="方正仿宋_GBK"/>
          <w:b/>
          <w:sz w:val="26"/>
        </w:rPr>
        <w:t xml:space="preserve">6.2.1 按输入区间查表，再落实设备方案</w:t>
      </w:r>
      <w:bookmarkEnd w:id="299"/>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300" w:name="核实分区转供能力与储能支撑条件"/>
      <w:r>
        <w:rPr>
          <w:rFonts w:ascii="Times New Roman" w:hAnsi="Times New Roman" w:eastAsia="方正仿宋_GBK"/>
          <w:b/>
          <w:sz w:val="26"/>
        </w:rPr>
        <w:t xml:space="preserve">6.2.2 核实分区转供能力与储能支撑条件</w:t>
      </w:r>
      <w:bookmarkEnd w:id="300"/>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地区案例储能正向支撑持续时间采用邳州2 h、市区6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301" w:name="随数据和工程条件更新结果"/>
      <w:r>
        <w:rPr>
          <w:rFonts w:ascii="Times New Roman" w:hAnsi="Times New Roman" w:eastAsia="方正仿宋_GBK"/>
          <w:b/>
          <w:sz w:val="26"/>
        </w:rPr>
        <w:t xml:space="preserve">6.2.3 随数据和工程条件更新结果</w:t>
      </w:r>
      <w:bookmarkEnd w:id="301"/>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161" w:name="h1161"/>
      <w:bookmarkStart w:id="302" w:name="后续研究方向"/>
      <w:r>
        <w:rPr>
          <w:rFonts w:ascii="Times New Roman" w:hAnsi="Times New Roman" w:eastAsia="方正仿宋_GBK"/>
          <w:b/>
          <w:sz w:val="32"/>
        </w:rPr>
        <w:t xml:space="preserve">6.3 后续研究方向</w:t>
      </w:r>
      <w:bookmarkEnd w:id="302"/>
      <w:bookmarkEnd w:id="2161"/>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以年度8760小时序列检验固定正常供区及各站最大单台N-1事故追加预案，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pPr>
        <w:pStyle w:val="5"/>
        <w:keepNext/>
        <w:numPr>
          <w:numId w:val="0"/>
        </w:numPr>
        <w:spacing w:line="390" w:lineRule="exact" w:before="160" w:after="120"/>
        <w:ind w:firstLine="0"/>
      </w:pPr>
      <w:bookmarkStart w:id="303" w:name="深化储能运行与实际网络校核"/>
      <w:r>
        <w:rPr>
          <w:rFonts w:ascii="Times New Roman" w:hAnsi="Times New Roman" w:eastAsia="方正仿宋_GBK"/>
          <w:b/>
          <w:sz w:val="26"/>
        </w:rPr>
        <w:t xml:space="preserve">6.3.1 深化储能运行与实际网络校核</w:t>
      </w:r>
      <w:bookmarkEnd w:id="303"/>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304" w:name="拓展片区结构和经济参数"/>
      <w:r>
        <w:rPr>
          <w:rFonts w:ascii="Times New Roman" w:hAnsi="Times New Roman" w:eastAsia="方正仿宋_GBK"/>
          <w:b/>
          <w:sz w:val="26"/>
        </w:rPr>
        <w:t xml:space="preserve">6.3.2 拓展片区结构和经济参数</w:t>
      </w:r>
      <w:bookmarkEnd w:id="304"/>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167" w:name="h1167"/>
      <w:bookmarkStart w:id="305" w:name="参考文献"/>
      <w:r>
        <w:rPr>
          <w:rFonts w:ascii="Times New Roman" w:hAnsi="Times New Roman" w:eastAsia="方正仿宋_GBK"/>
          <w:b/>
          <w:sz w:val="36"/>
        </w:rPr>
        <w:t xml:space="preserve">参考文献</w:t>
      </w:r>
      <w:bookmarkEnd w:id="305"/>
      <w:bookmarkEnd w:id="2167"/>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204" Type="http://schemas.openxmlformats.org/officeDocument/2006/relationships/image" Target="media/rId204.png"/><Relationship Id="rId98" Type="http://schemas.openxmlformats.org/officeDocument/2006/relationships/image" Target="media/rId98.png"/><Relationship Id="rId114" Type="http://schemas.openxmlformats.org/officeDocument/2006/relationships/image" Target="media/rId114.png"/><Relationship Id="rId283" Type="http://schemas.openxmlformats.org/officeDocument/2006/relationships/image" Target="media/rId283.png"/><Relationship Id="rId205" Type="http://schemas.openxmlformats.org/officeDocument/2006/relationships/image" Target="media/rId205.png"/><Relationship Id="rId137" Type="http://schemas.openxmlformats.org/officeDocument/2006/relationships/image" Target="media/rId137.png"/><Relationship Id="rId117" Type="http://schemas.openxmlformats.org/officeDocument/2006/relationships/image" Target="media/rId117.png"/><Relationship Id="rId113" Type="http://schemas.openxmlformats.org/officeDocument/2006/relationships/image" Target="media/rId113.png"/><Relationship Id="rId261" Type="http://schemas.openxmlformats.org/officeDocument/2006/relationships/image" Target="media/rId261.png"/><Relationship Id="rId285" Type="http://schemas.openxmlformats.org/officeDocument/2006/relationships/image" Target="media/rId285.png"/><Relationship Id="rId279" Type="http://schemas.openxmlformats.org/officeDocument/2006/relationships/image" Target="media/rId279.png"/><Relationship Id="rId128" Type="http://schemas.openxmlformats.org/officeDocument/2006/relationships/image" Target="media/rId128.png"/><Relationship Id="rId281" Type="http://schemas.openxmlformats.org/officeDocument/2006/relationships/image" Target="media/rId281.png"/><Relationship Id="rId99" Type="http://schemas.openxmlformats.org/officeDocument/2006/relationships/image" Target="media/rId99.png"/><Relationship Id="rId143" Type="http://schemas.openxmlformats.org/officeDocument/2006/relationships/image" Target="media/rId143.png"/><Relationship Id="rId125" Type="http://schemas.openxmlformats.org/officeDocument/2006/relationships/image" Target="media/rId125.png"/><Relationship Id="rId264" Type="http://schemas.openxmlformats.org/officeDocument/2006/relationships/image" Target="media/rId264.png"/><Relationship Id="rId208" Type="http://schemas.openxmlformats.org/officeDocument/2006/relationships/image" Target="media/rId208.png"/><Relationship Id="rId179" Type="http://schemas.openxmlformats.org/officeDocument/2006/relationships/image" Target="media/rId179.png"/><Relationship Id="rId163" Type="http://schemas.openxmlformats.org/officeDocument/2006/relationships/image" Target="media/rId163.png"/><Relationship Id="rId110" Type="http://schemas.openxmlformats.org/officeDocument/2006/relationships/image" Target="media/rId110.png"/><Relationship Id="rId273" Type="http://schemas.openxmlformats.org/officeDocument/2006/relationships/image" Target="media/rId273.png"/><Relationship Id="rId209" Type="http://schemas.openxmlformats.org/officeDocument/2006/relationships/image" Target="media/rId209.png"/><Relationship Id="rId202" Type="http://schemas.openxmlformats.org/officeDocument/2006/relationships/image" Target="media/rId202.png"/><Relationship Id="rId135" Type="http://schemas.openxmlformats.org/officeDocument/2006/relationships/image" Target="media/rId135.png"/><Relationship Id="rId116" Type="http://schemas.openxmlformats.org/officeDocument/2006/relationships/image" Target="media/rId116.png"/><Relationship Id="rId112" Type="http://schemas.openxmlformats.org/officeDocument/2006/relationships/image" Target="media/rId112.png"/><Relationship Id="rId233" Type="http://schemas.openxmlformats.org/officeDocument/2006/relationships/image" Target="media/rId233.png"/><Relationship Id="rId211" Type="http://schemas.openxmlformats.org/officeDocument/2006/relationships/image" Target="media/rId211.png"/><Relationship Id="rId210" Type="http://schemas.openxmlformats.org/officeDocument/2006/relationships/image" Target="media/rId210.png"/><Relationship Id="rId275" Type="http://schemas.openxmlformats.org/officeDocument/2006/relationships/image" Target="media/rId275.png"/><Relationship Id="rId104" Type="http://schemas.openxmlformats.org/officeDocument/2006/relationships/image" Target="media/rId104.png"/><Relationship Id="rId145" Type="http://schemas.openxmlformats.org/officeDocument/2006/relationships/image" Target="media/rId145.png"/><Relationship Id="rId119" Type="http://schemas.openxmlformats.org/officeDocument/2006/relationships/image" Target="media/rId119.png"/><Relationship Id="rId169" Type="http://schemas.openxmlformats.org/officeDocument/2006/relationships/image" Target="media/rId169.png"/><Relationship Id="rId170" Type="http://schemas.openxmlformats.org/officeDocument/2006/relationships/image" Target="media/rId170.png"/><Relationship Id="rId42" Type="http://schemas.openxmlformats.org/officeDocument/2006/relationships/image" Target="media/rId42.png"/><Relationship Id="rId155" Type="http://schemas.openxmlformats.org/officeDocument/2006/relationships/image" Target="media/rId155.png"/><Relationship Id="rId157" Type="http://schemas.openxmlformats.org/officeDocument/2006/relationships/image" Target="media/rId157.png"/><Relationship Id="rId277" Type="http://schemas.openxmlformats.org/officeDocument/2006/relationships/image" Target="media/rId277.png"/><Relationship Id="rId268" Type="http://schemas.openxmlformats.org/officeDocument/2006/relationships/image" Target="media/rId2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180</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2026-10-18T13:52:02Z</dcterms:created>
  <dcterms:modified xsi:type="dcterms:W3CDTF">2026-10-18T13:52:02Z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