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napToGrid w:val="0"/>
        <w:spacing w:line="440" w:lineRule="exact" w:before="0" w:after="100"/>
        <w:ind w:left="0" w:right="0" w:firstLine="0" w:hanging="0" w:leftChars="0" w:rightChars="0" w:firstLineChars="0" w:hangingChars="0" w:start="0" w:end="0" w:startChars="0" w:endChars="0"/>
        <w:jc w:val="center"/>
      </w:pPr>
      <w:r>
        <w:rPr>
          <w:rFonts w:ascii="Times New Roman" w:hAnsi="Times New Roman" w:eastAsia="方正仿宋_GBK"/>
          <w:b/>
          <w:color w:val="000000"/>
          <w:sz w:val="34"/>
        </w:rPr>
        <w:t>徐州地区110 kV电网容载比弹性指标优化研究</w:t>
      </w:r>
    </w:p>
    <w:p>
      <w:pPr>
        <w:keepNext/>
        <w:widowControl/>
        <w:snapToGrid w:val="0"/>
        <w:spacing w:line="320" w:lineRule="exact" w:before="0" w:after="240"/>
        <w:ind w:left="0" w:right="0" w:firstLine="0" w:hanging="0" w:leftChars="0" w:rightChars="0" w:firstLineChars="0" w:hangingChars="0" w:start="0" w:end="0" w:startChars="0" w:endChars="0"/>
        <w:jc w:val="center"/>
      </w:pPr>
      <w:r>
        <w:rPr>
          <w:rFonts w:ascii="Times New Roman" w:hAnsi="Times New Roman" w:eastAsia="方正仿宋_GBK"/>
          <w:b w:val="0"/>
          <w:color w:val="000000"/>
          <w:sz w:val="24"/>
        </w:rPr>
        <w:t>——供电公司专题讨论材料</w:t>
      </w:r>
    </w:p>
    <w:p>
      <w:pPr>
        <w:pStyle w:val="Heading1"/>
        <w:keepNext/>
        <w:widowControl/>
        <w:snapToGrid w:val="0"/>
        <w:spacing w:line="320" w:lineRule="exact" w:before="120" w:after="10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一、研究背景与核心问题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1.1 分布式新能源改变主变承担的供电任务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分布式光伏规模增加后，日间发电首先供给本地用户，主变正向受入功率随之下降；当本地发电超过本地用电时，剩余电力经主变反向输送。晚间及光伏低出力时，上级电网仍需承担较大的正向供电需求。主变容量因此需要同时满足正向供电、反向输送，以及最大单台主变退出运行（N-1）后的供电安全要求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光伏对年网供最大负荷的影响与峰值出现时刻有关：日间峰值可能降低或转移，晚间高峰仍需由电网承担。同时，日间反向输送可能增加局部容量需求。高渗透率地区的容量规划需要分别识别两个方向的运行任务，并校核故障后的剩余供电能力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1.2 区域容量储备需要落实到站级供电能力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容载比为同一地区、同一电压等级公用主变总容量（MVA）与年网供最大负荷（MW）之比，用于反映区域容量储备。本研究采用110 kV统计范围，年网供最大负荷按同范围年度降压负荷估计。（终稿第1.2、1.3节）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区域总容量反映总体储备，具体变电站能否满足供电需求，还取决于主变规格和台数、N-1后剩余容量及站间转供条件。轻载站的余量需要通过可用联络、可切换负荷和受端承接能力才能用于支援重载站。联络受限、邻站余量不足或局部反送压力较大时，区域内存在空余容量的同时，本站仍可能需要增容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1.3 一般容载比建议范围与实际容量需求的协调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DL/T 5729—2023《配电网规划设计技术导则》按负荷发展阶段给出容载比建议范围，并允许特定地区适当提高取值。2025年4月《配电网规划设计技术导则》修订资料进一步提出，建议范围内难以满足供电安全准则时，可结合实际适当提高。（终稿第1.2.2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局部反向输送或N-1供电需求可能要求增加主变容量，从而使区域容载比超过一般建议上限2.00。本项目据此研究：在满足相同供电安全要求的条件下，何种工程条件支持适度提高容量配置，以及相应规模如何由设备、网络和经济条件共同确定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1.4 通过主变、联络与储能联合比选形成容量方案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主变增容增加本站供电和反向承接能力，并可改善N-1后的剩余容量；10 kV联络将可切换负荷转移到邻站，利用区域已有容量；储能在一定持续时间内补充局部功率缺口。三类措施承担任务的方式不同，具有受设备及网络条件约束的替代关系。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本项目在相同技术约束下联合比较三类措施，确定评价期费用较优的具体设备组合，再由主变总容量与同年度年网供最大负荷计算容载比。研究以合理的容量配置和工程组合为目标，使容载比取值对应明确的供电任务、建设措施及费用依据。</w:t>
      </w:r>
    </w:p>
    <w:p>
      <w:pPr>
        <w:pStyle w:val="Heading1"/>
        <w:keepNext/>
        <w:pageBreakBefore/>
        <w:widowControl/>
        <w:snapToGrid w:val="0"/>
        <w:spacing w:line="320" w:lineRule="exact" w:before="120" w:after="10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二、研究对象与总体方法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2.1 两地区的源荷特征与研究重点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邳州2025年分布式光伏装机1559.64 MW，分布式电源装机渗透率估计为1.63，电量渗透率约40%；市区分别为491.18 MW、0.32和9%。装机渗透率为同范围分布式电源并网装机与用户最大负荷之比，电量渗透率为分布式电源年发电量与用户年用电量之比；前者无量纲，后者以百分比表示。用户最大负荷采用典型场景估计，用户电量采用样本外推估计。（终稿第3.3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代表光伏规模较大的县域，需同时关注晚间正向供电和日间反向输送；市区代表负荷较集中的城区，重点是正向供电、局部重载、N-1及邻站承接能力。设备统计中，两地区均有7台主变的年最大负载率达到80%及以上，局部压力需结合站级任务分析。（终稿表3-4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2.2 同一起点下的刚性与弹性方案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地区案例采用2022—2025年实际年度负荷回算。同一地区两类方案共用初始设备、候选网络和工程价格；邳州、市区模型初始主变容量分别为1463.50 MVA、2900.00 MVA。该起点用于统一方案比较，历史实际容量用于现状分析，后续规划容量由优化确定。下文建设过程均为模型回算安排。（终稿第5.1节）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刚性方案按当年负荷两倍控制新增扩容后的主变容量。负荷下降造成既有容量对应容载比超过2.00时，保留既有设备，形成被动超限。弹性容载比是在相同技术约束下，经评价期费用比较确定、允许适度偏离一般上限的研究取值；本次弹性方案在突破2.00的条件下联合比选，最大容量由允许设备规格及可扩建位置确定，具体容载比随设备方案形成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2.3 共同技术约束与储能支撑条件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模型分别组织区域正向峰值、日间最低净负荷两类静态工况，每一工况均校核正常运行及各站最大单台主变N-1。故障站采用剩余主变容量，健康邻站采用正常可用容量，负荷转接随工况重新安排。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转供同时受送端可切换负荷、馈线容量、联络通道和受端主变余量限制，共用馈线的联络共用其能力预算。区域内部转入、转出保持守恒；新能源保留原站归属，转出用电负荷后的潜在反向压力同步校核。市区部分馈线能力和设备条件采用研究假设，需以核定资料落实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正向储能统一采用4 h作为技术经济对照条件，有效支撑能力由额定功率（MW）和可用能量（MWh）共同限制；反向支撑按各站静态条件设置。95%峰值阈值为区域同步净负荷全年最大绝对值的95%，据补齐后的8760小时序列统计，邳州、市区最长连续近峰时长分别约2 h、6 h。该指标描述运行特征，实际储能定容需按局部功率缺口、持续过程及恢复条件计算。（终稿第3.4、5.2、5.3节）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2.4 统一评价期内比较技术可行方案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采用混合整数线性优化联合确定主变规格、储能柜数、联络建设及投运时点，供电安全和设备能力作为约束，以评价期费用最小为经济目标。主变、储能和10 kV联络的新增建设、固定运维及规定更新费用，按6%折现率折算至2021年末，评价截止2041年。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本次投运设备在评价期内未达到设定更新年限。费用范围尚未计入期末残值、存量设备运维变化、储能充电及损耗，也未抵扣收益。所列费用用于这一共同范围内的方案比较。（终稿第4.6节）</w:t>
      </w:r>
    </w:p>
    <w:p>
      <w:pPr>
        <w:pStyle w:val="Heading1"/>
        <w:keepNext/>
        <w:pageBreakBefore/>
        <w:widowControl/>
        <w:snapToGrid w:val="0"/>
        <w:spacing w:line="320" w:lineRule="exact" w:before="120" w:after="10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三、两地区方案比选结果与逐年建设过程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3.1 2025年配置与评价期费用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在上述共同条件下，两类方案形成表1所列2025年设备配置。容量、储能和联络为年末规模，费用现值对应2022—2025年新增措施至2041年的共同评价期。</w:t>
      </w:r>
    </w:p>
    <w:p>
      <w:pPr>
        <w:keepNext/>
        <w:widowControl/>
        <w:snapToGrid w:val="0"/>
        <w:spacing w:line="320" w:lineRule="exact" w:before="0" w:after="100"/>
        <w:ind w:left="0" w:right="0" w:firstLine="0" w:hanging="0" w:leftChars="0" w:rightChars="0" w:firstLineChars="0" w:hangingChars="0" w:start="0" w:end="0" w:startChars="0" w:end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表1 两地区方案结果（据终稿表5-4、5-6、5-8）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地区／方案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主变容量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容载比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储能额定功率</w:t>
              <w:br/>
              <w:t>MW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累计新增联络</w:t>
              <w:br/>
              <w:t>条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费用现值</w:t>
              <w:br/>
              <w:t>万元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邳州刚性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1782.50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1.86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32.90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61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34468.84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邳州弹性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1955.50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2.04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26103.52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市区刚性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2937.00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1.92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4.80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138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85750.47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市区弹性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2.17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64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58346.09</w:t>
            </w:r>
          </w:p>
        </w:tc>
      </w:tr>
    </w:tbl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两地区刚性方案费用现值合计120219.30万元，弹性方案为84449.61万元，减少35769.70万元，约30%。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3.2 费用下降的工程原因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弹性方案增加部分主变容量后，N-1后的剩余供电能力和承接邻站负荷的条件得到改善，储能与新增联络需求随之减少。在所用设备候选、网络、工程价格及4 h正向储能支撑条件下，储能和联络费用的减少超过主变费用增加，形成评价期总费用下降。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的费用下降由储能退出与联络减少共同形成。市区则以联络费用变化更为突出，其现值由80616.00万元降至37138.45万元，抵消主变费用由3862.44万元增至21083.57万元的增加。市区单条联络采用的研究费用高于邳州，减少联络建设在费用比较中的作用更大。（终稿第4.3节、表5-10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这一费用比较对应表1的具体可行方案。后续核定存量联络、工程价格和支撑条件后，应同步更新设备组合及费用；尤其市区缺少存量证明的候选联络，目前按新增投资计费，其核定结果会影响经济比较。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3.3 设备组合如何支撑这一结果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终稿逐站分析表明，邳州弹性方案中，戴庄变以增加主变容量减少反向及供电安全约束下的配储需求，杜村变和兴塘变扩建第三台主变；市区大庙变、惠民变、彭场变和拾屯变扩建第三台主变，其他站结合更换主变和站间支援满足任务。市区统一变保留少量储能，用于补充局部缺口。（终稿第5.4.4、5.4.5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主变容量按整台规格配置，增加台数还会改变最大单台主变退出后的剩余容量。不同站点因此采用更换、扩建或转供等不同措施，区域容载比是这些站级配置汇总后的结果。设备费用与供电作用需结合完整方案判断。</w:t>
      </w:r>
    </w:p>
    <w:p>
      <w:pPr>
        <w:pStyle w:val="Heading2"/>
        <w:keepNext/>
        <w:pageBreakBefore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3.4 邳州弹性方案的逐年建设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表2、表3区分当年新购、新增工程与年末在役规模。新购主变容量包含更换和扩建采购，净增容量需扣除被替换设备容量。</w:t>
      </w:r>
    </w:p>
    <w:p>
      <w:pPr>
        <w:keepNext/>
        <w:widowControl/>
        <w:snapToGrid w:val="0"/>
        <w:spacing w:line="320" w:lineRule="exact" w:before="0" w:after="100"/>
        <w:ind w:left="0" w:right="0" w:firstLine="0" w:hanging="0" w:leftChars="0" w:rightChars="0" w:firstLineChars="0" w:hangingChars="0" w:start="0" w:end="0" w:startChars="0" w:end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表2 邳州弹性方案年度措施（据终稿表5-4、5-5）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年份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当年新购主变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当年新增联络</w:t>
              <w:br/>
              <w:t>条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当年新增储能</w:t>
              <w:br/>
              <w:t>MW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年末主变容量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年末容载比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2022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855.00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21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2023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2024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1932.50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2.24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2025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63.00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6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1955.50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2.04</w:t>
            </w:r>
          </w:p>
        </w:tc>
      </w:tr>
    </w:tbl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邳州主要容量调整集中在2022年，年末容量达到1932.50 MVA。2023年未新增主变，负荷由825.00 MW回落至761.23 MW，使容载比升至2.54。2024年负荷恢复增长，既有容量继续承担供电任务，容载比降至2.24。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2025年新购63.00 MVA主变用于设备更换，净增容量23.00 MVA；同年负荷增至956.45 MW，容载比为2.04。后期联络建设随逐年需求补充，四年累计新增30条，未配置储能。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3.5 市区弹性方案的逐年建设</w:t>
      </w:r>
    </w:p>
    <w:p>
      <w:pPr>
        <w:keepNext/>
        <w:widowControl/>
        <w:snapToGrid w:val="0"/>
        <w:spacing w:line="320" w:lineRule="exact" w:before="0" w:after="100"/>
        <w:ind w:left="0" w:right="0" w:firstLine="0" w:hanging="0" w:leftChars="0" w:rightChars="0" w:firstLineChars="0" w:hangingChars="0" w:start="0" w:end="0" w:startChars="0" w:end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表3 市区弹性方案年度措施（据终稿表5-6、5-7）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年份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当年新购主变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当年新增联络</w:t>
              <w:br/>
              <w:t>条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当年新增储能</w:t>
              <w:br/>
              <w:t>MW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年末主变容量</w:t>
              <w:br/>
              <w:t>MVA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年末容载比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2022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823.00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53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2.32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2023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11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0.50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2.16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2024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2.29</w:t>
            </w:r>
          </w:p>
        </w:tc>
      </w:tr>
      <w:tr>
        <w:trPr>
          <w:cantSplit/>
        </w:trPr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2025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0.00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3324.00</w:t>
            </w:r>
          </w:p>
        </w:tc>
        <w:tc>
          <w:tcPr>
            <w:tcW w:type="dxa" w:w="1606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2.17</w:t>
            </w:r>
          </w:p>
        </w:tc>
      </w:tr>
    </w:tbl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市区主要主变调整集中在2022年，年末容量达到3324.00 MVA。2023年负荷升至1542.22 MW，新增11条联络和0.50 MW储能，补充当年局部供电需求；四年累计新增联络64条。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2024年主变容量保持不变，负荷回落至1449.40 MW，容载比回升至2.29；2025年负荷增加至1528.82 MW，容载比回落至2.17。2024—2025年沿用已有配置，无需继续新增主变、储能和联络。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两个地区的年度容载比均由容量投放与负荷变化共同决定。评价建设规模时，应同时观察主变净增容量、年度负荷、离散设备规格及N-1需求，将比值变化与具体建设行为对应起来。</w:t>
      </w:r>
    </w:p>
    <w:p>
      <w:pPr>
        <w:pStyle w:val="Heading1"/>
        <w:keepNext/>
        <w:pageBreakBefore/>
        <w:widowControl/>
        <w:snapToGrid w:val="0"/>
        <w:spacing w:line="320" w:lineRule="exact" w:before="120" w:after="10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四、结果反映的规划含义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4.1 容量配置由具体供电任务形成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各站正向负荷、反向功率、主变台数与规格、N-1后剩余容量、网络转供及储能支撑条件共同决定建设需求。规划应先形成满足逐站要求的可实施设备方案，再汇总主变容量，计算地区容载比。区域指标用于衡量总体储备，站级校核用于落实容量分配。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4.2 三类措施的替代程度取决于可提供的能力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主变增加本站供电能力和故障后剩余容量；联络利用邻站余量改善负荷空间分布；储能承担给定持续时间内的功率缺口。联络发挥作用需同时具备送端负荷可切换、馈线有容量、通道可用及受端主变有余量等条件。新增联络条数计量建设规模，实际转供功率按各运行工况及两端能力确定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正常方式下利用较少的联络可能承担故障支援，正常负载率较低的主变也可能承接邻站故障负荷。措施比选应覆盖正常和N-1工况，以实际可提供的支撑能力及其费用判断替代关系。（终稿第5.5节）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4.3 地区差异来自源荷、设备与网络条件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光伏规模较大，正向高峰和日间反送共同影响容量配置；市区以正向供电、局部重载和网络支援为主要任务，联络工程费用也更高。两地区分别保留自身设备结构、负荷空间分布及候选网络，由联合比选形成不同配置。这是“一片一策”的工程依据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邳州2.04、市区2.17对应各自2025年案例配置，适用条件见第二部分。其他片区需按自身条件选取容量范围，为此进一步采用独立五站模板开展参数推广。（终稿第5.6、5.7节）</w:t>
      </w:r>
    </w:p>
    <w:p>
      <w:pPr>
        <w:pStyle w:val="Heading1"/>
        <w:keepNext/>
        <w:widowControl/>
        <w:snapToGrid w:val="0"/>
        <w:spacing w:line="320" w:lineRule="exact" w:before="120" w:after="10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五、通用推荐矩阵及规划应用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5.1 六项参数及其规划作用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矩阵采用以下六项参数，统一对应电源规模、负荷发展、线路经济性、既有网络支援、储能持续支撑及负荷空间同时性。（终稿第3.5、5.6节）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（1）分布式电源装机渗透率：按第二部分定义表征电源与用户负荷的规模关系，影响日间反向容量需求。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（2）年最大净负荷平均增长率：由同范围起止年度年网供最大负荷按复合增长计算，以百分比表示；反映负荷发展，同时影响容量需求和容载比分母。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（3）线路成本系数：单位长度综合造价与架空参考基价之比，无量纲；用于反映不同敷设方式的联络工程经济性。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（4）初始转供率：基期既有可转负荷占相应负荷基数的比例，以百分比表示；推广中据此设置既有转供预算，实际能力落实到路径、馈线和邻站。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（5）储能支撑持续时间：要求储能连续提供支撑的时长，单位h；用于将可用能量折算为持续支撑功率。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（6）负荷分散系数：各站最大正向净负荷之和与同期区域同步曲线最大正向净负荷之比，无量纲且不小于1；反映站峰与区域同时峰值的差异。</w:t>
      </w:r>
    </w:p>
    <w:p>
      <w:pPr>
        <w:pStyle w:val="Heading2"/>
        <w:keepNext/>
        <w:pageBreakBefore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5.2 矩阵规模及本次展示条件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五站模板以每站两台50 MVA主变、区域基期网供峰值250 MW为初态，在所设源荷分布和候选网络下开展目标年静态比选。12600组参数组合形成648个参数区间单元，已计算容载比总体范围为2.01～3.28。该范围归纳所设模板、有限参数节点和候选设备的计算结果，应用于实际片区时需核对相应条件。（终稿第5.6.2、5.6.3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表4为完整矩阵的一个条件组合：线路成本系数为(1.65, 6.85]，储能支撑持续时间为(2 h, 4 h]，负荷分散系数≤1.10。各区间“(”表示不含左端点，“]”表示包含右端点。</w:t>
      </w:r>
    </w:p>
    <w:p>
      <w:pPr>
        <w:keepNext/>
        <w:widowControl/>
        <w:snapToGrid w:val="0"/>
        <w:spacing w:line="320" w:lineRule="exact" w:before="0" w:after="100"/>
        <w:ind w:left="0" w:right="0" w:firstLine="0" w:hanging="0" w:leftChars="0" w:rightChars="0" w:firstLineChars="0" w:hangingChars="0" w:start="0" w:end="0" w:startChars="0" w:endChars="0"/>
        <w:jc w:val="center"/>
      </w:pPr>
      <w:r>
        <w:rPr>
          <w:rFonts w:ascii="Times New Roman" w:hAnsi="Times New Roman" w:eastAsia="方正仿宋_GBK"/>
          <w:b w:val="0"/>
          <w:color w:val="000000"/>
          <w:sz w:val="21"/>
        </w:rPr>
        <w:t>表4 指定条件下的容载比计算范围（据终稿表5-71～5-73）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分布式电源</w:t>
              <w:br/>
              <w:t>装机渗透率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年最大净负荷</w:t>
              <w:br/>
              <w:t>平均增长率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  <w:br/>
              <w:t>≤30%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  <w:br/>
              <w:t>(30%, 50%]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/>
                <w:sz w:val="21"/>
              </w:rPr>
              <w:t>初始转供率</w:t>
              <w:br/>
              <w:t>&gt;50%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2.03～2.21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2.05～2.23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2.05～2.14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2.05～2.14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2.09～2.22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2.02～2.22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2.02～2.10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≤1.00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2.07～2.24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2.02～2.24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2.02～2.08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2.21～2.84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2.05～2.53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2.06～2.46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2.01～2.46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2.01～2.46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(1.00, 2.00]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2.07～2.32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2.03～2.32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2.03～2.32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≤2%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2.90～3.28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(2%, 4%]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2.80～2.92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(4%, 7%]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2.50～2.74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&gt;2.00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&gt;7%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  <w:tc>
          <w:tcPr>
            <w:tcW w:type="dxa" w:w="1928"/>
            <w:vAlign w:val="center"/>
          </w:tcPr>
          <w:p>
            <w:pPr>
              <w:snapToGrid w:val="0"/>
              <w:spacing w:before="60" w:after="60" w:line="252" w:lineRule="auto"/>
              <w:ind w:left="0" w:right="0" w:firstLine="0" w:hanging="0" w:leftChars="0" w:rightChars="0" w:firstLineChars="0" w:hangingChars="0" w:start="0" w:end="0" w:startChars="0" w:endChars="0"/>
              <w:jc w:val="center"/>
            </w:pPr>
            <w:r>
              <w:rPr>
                <w:rFonts w:ascii="Times New Roman" w:hAnsi="Times New Roman" w:eastAsia="方正仿宋_GBK"/>
                <w:b w:val="0"/>
                <w:sz w:val="21"/>
              </w:rPr>
              <w:t>2.31～2.74</w:t>
            </w:r>
          </w:p>
        </w:tc>
      </w:tr>
    </w:tbl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5.3 从参数变化理解推荐范围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较低装机渗透率下，提高初始转供率可利用更多邻站余量，部分条件下所需主变容量降低。表4中，装机渗透率≤1.00、年最大净负荷平均增长率处于(4%, 7%]时，提高初始转供率后容载比范围下移，体现既有网络支援对新增容量的替代作用。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装机渗透率较高时，日间反向功率增大，整体容量需求提高。由于用电负荷转接后电源仍归属原站，改善正向转供条件对反送压力的作用有限，需结合本站主变和储能共同判断。容载比与费用的关系随约束及措施组合变化，应按对应配置进行比较。（终稿第5.6.4、5.6.5节）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矩阵用于规划前期初步筛选容量范围，区间内数值由已计算节点归纳。实际设备、网络或参数超出已验证条件时，需补充计算后确定容量方案。</w:t>
      </w:r>
    </w:p>
    <w:p>
      <w:pPr>
        <w:pStyle w:val="Heading2"/>
        <w:keepNext/>
        <w:pageBreakBefore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5.4 推荐矩阵的实际使用步骤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（1）确定片区源荷条件。按同一电压等级、同一供电范围计算分布式电源装机渗透率、年最大净负荷平均增长率和负荷分散系数，统一年度负荷与电源统计范围。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（2）核实网络和经济条件。核定初始转供率、实际联络路径、馈线热限及邻站主变余量，结合线路敷设方式和单位造价确定线路成本系数，并按功率缺口与恢复条件确定储能支撑持续时间。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（3）查找对应单元。先按负荷分散系数选择分组，再确定其余五项参数所在区间，核对已计算节点和模板条件，形成前期容量比选范围。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（4）开展实际站级联合优化。以核实的在役设备为起点，将主变规格、台数、可扩建位置、联络工程和储能纳入统一比选，满足正常及N-1要求后比较评价期费用。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（5）形成最终方案。明确设备规模、建设时点及转供安排，以实际可实施的主变总容量除以同年度年网供最大负荷，得到最终容载比。工程设计阶段进一步核定连续运行、电压及保护配合条件。（终稿第6.2、6.3节）</w:t>
      </w:r>
    </w:p>
    <w:p>
      <w:pPr>
        <w:pStyle w:val="Heading1"/>
        <w:keepNext/>
        <w:widowControl/>
        <w:snapToGrid w:val="0"/>
        <w:spacing w:line="320" w:lineRule="exact" w:before="120" w:after="10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6"/>
        </w:rPr>
        <w:t>六、待与供电公司讨论的问题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6.1 两地区实际初始转供率如何核定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邳州局部六馈线样本测算可转比例约28%；市区40%为B类区域占主导背景下的研究参考值，实际转供率尚需分区负荷和存量网络资料支持。拟请确认已建联络、常态开环方式、可切换负荷块、馈线容量及邻站可承接能力，按一致的负荷基数核定两地区参数。（终稿第3.6、5.2.2节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6.2 市区电缆化率及线路成本如何取值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线路成本系数反映架空、电缆构成及单位长度综合造价。按研究采用的参考价格，电缆长度占比10%、90%分别约对应系数1.65、6.85。拟请确认市区典型联络线路的实际电缆比例、单位造价、典型路径长度和工程标准，以本地核定费用更新联络比选。（终稿第4.3、5.6.2节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6.3 存量联络与新增候选如何落实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拟请区分已建存量网络与需新增投资的候选，核实实际送受端、路径长度、馈线允许容量、开关和运行方式及受端主变余量。市区当前缺少存量证明的候选按新增建设计费，应据核实结果更新可用能力和投资范围。（终稿第5.2.3节）</w:t>
      </w:r>
    </w:p>
    <w:p>
      <w:pPr>
        <w:pStyle w:val="Heading2"/>
        <w:keepNext/>
        <w:widowControl/>
        <w:snapToGrid w:val="0"/>
        <w:spacing w:line="320" w:lineRule="exact" w:before="80" w:after="80"/>
        <w:ind w:left="0" w:right="0" w:firstLine="0" w:hanging="0" w:leftChars="0" w:rightChars="0" w:firstLineChars="0" w:hangingChars="0" w:start="0" w:end="0" w:startChars="0" w:endChars="0"/>
        <w:jc w:val="both"/>
      </w:pPr>
      <w:r>
        <w:rPr>
          <w:rFonts w:ascii="Times New Roman" w:hAnsi="Times New Roman" w:eastAsia="方正仿宋_GBK"/>
          <w:b/>
          <w:color w:val="000000"/>
          <w:sz w:val="23"/>
        </w:rPr>
        <w:t>6.4 储能实际支撑条件如何确定</w:t>
      </w:r>
    </w:p>
    <w:p>
      <w:pPr>
        <w:widowControl/>
        <w:snapToGrid w:val="0"/>
        <w:spacing w:line="320" w:lineRule="exact" w:before="0" w:after="100"/>
        <w:ind w:left="0" w:right="0" w:firstLine="460" w:leftChars="0" w:rightChars="0" w:firstLineChars="0" w:start="0" w:end="0" w:startChars="0" w:endChars="0"/>
        <w:jc w:val="both"/>
      </w:pPr>
      <w:r>
        <w:rPr>
          <w:rFonts w:ascii="Times New Roman" w:hAnsi="Times New Roman" w:eastAsia="方正仿宋_GBK"/>
          <w:b w:val="0"/>
          <w:color w:val="000000"/>
          <w:sz w:val="23"/>
        </w:rPr>
        <w:t>本次4 h为共同技术经济比较条件。拟请结合地区峰值持续特征、N-1后的实际功率缺口、故障恢复时间、可用荷电状态（SOC）及可用能量，核定正向放电和反向吸收所需支撑条件。当前模型采用静态折算，未开展逐时SOC仿真；后续按连续时序与保证可用能量核算工程规模。（终稿第3.4.5、6.3.1节）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/>
        <w:b w:val="0"/>
        <w:sz w:val="18"/>
      </w:rPr>
      <w:t xml:space="preserve">徐州地区110 kV电网弹性容载比研究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方正仿宋_GBK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