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DDE901">
      <w:pPr>
        <w:pStyle w:val="32"/>
        <w:keepNext/>
        <w:widowControl/>
        <w:snapToGrid w:val="0"/>
        <w:spacing w:before="0" w:after="100" w:line="440" w:lineRule="exact"/>
        <w:ind w:left="0" w:leftChars="0" w:right="0" w:rightChars="0" w:firstLine="0" w:firstLineChars="0"/>
        <w:jc w:val="center"/>
      </w:pPr>
      <w:r>
        <w:rPr>
          <w:rFonts w:ascii="Times New Roman" w:hAnsi="Times New Roman" w:eastAsia="方正仿宋_GBK"/>
          <w:b/>
          <w:color w:val="000000"/>
          <w:sz w:val="34"/>
        </w:rPr>
        <w:t>徐州地区110 kV电网容载比弹性指标优化研究</w:t>
      </w:r>
    </w:p>
    <w:p w14:paraId="7F367C00">
      <w:pPr>
        <w:keepNext/>
        <w:widowControl/>
        <w:snapToGrid w:val="0"/>
        <w:spacing w:before="0" w:after="240" w:line="320" w:lineRule="exact"/>
        <w:ind w:left="0" w:leftChars="0" w:right="0" w:rightChars="0" w:firstLine="0" w:firstLineChars="0"/>
        <w:jc w:val="center"/>
      </w:pPr>
      <w:r>
        <w:rPr>
          <w:rFonts w:ascii="Times New Roman" w:hAnsi="Times New Roman" w:eastAsia="方正仿宋_GBK"/>
          <w:b w:val="0"/>
          <w:color w:val="000000"/>
          <w:sz w:val="24"/>
        </w:rPr>
        <w:t>——供电公司专题讨论材料</w:t>
      </w:r>
    </w:p>
    <w:p w14:paraId="0BCCA24F">
      <w:pPr>
        <w:pStyle w:val="3"/>
        <w:keepNext/>
        <w:widowControl/>
        <w:snapToGrid w:val="0"/>
        <w:spacing w:before="120" w:after="100" w:line="320" w:lineRule="exact"/>
        <w:ind w:left="0" w:leftChars="0" w:right="0" w:rightChars="0" w:firstLine="0" w:firstLineChars="0"/>
        <w:jc w:val="both"/>
      </w:pPr>
      <w:r>
        <w:rPr>
          <w:rFonts w:ascii="Times New Roman" w:hAnsi="Times New Roman" w:eastAsia="方正仿宋_GBK"/>
          <w:b/>
          <w:color w:val="000000"/>
          <w:sz w:val="26"/>
        </w:rPr>
        <w:t>一、研究背景与核心问题</w:t>
      </w:r>
    </w:p>
    <w:p w14:paraId="522AA6CE">
      <w:pPr>
        <w:pStyle w:val="4"/>
        <w:keepNext/>
        <w:widowControl/>
        <w:snapToGrid w:val="0"/>
        <w:spacing w:before="80" w:after="80" w:line="320" w:lineRule="exact"/>
        <w:ind w:left="0" w:leftChars="0" w:right="0" w:rightChars="0" w:firstLine="0" w:firstLineChars="0"/>
        <w:jc w:val="both"/>
      </w:pPr>
      <w:commentRangeStart w:id="0"/>
      <w:r>
        <w:rPr>
          <w:rFonts w:ascii="Times New Roman" w:hAnsi="Times New Roman" w:eastAsia="方正仿宋_GBK"/>
          <w:b/>
          <w:color w:val="000000"/>
          <w:sz w:val="23"/>
        </w:rPr>
        <w:t>1.1 分布式新能源改变主变承担的供电任务</w:t>
      </w:r>
    </w:p>
    <w:p w14:paraId="6C5CEB6A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分布式光伏规模增加后，日间发电首先供给本地用户，主变正向受入功率随之下降；当本地发电超过本地用电时，剩余电力经主变反向输送。晚间及光伏低出力时，上级电网仍需承担较大的正向供电需求。主变容量因此需要同时满足正向供电、反向输送，以及最大单台主变退出运行（N-1）后的供电安全要求。</w:t>
      </w:r>
    </w:p>
    <w:p w14:paraId="34AAD738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光伏对年网供最大负荷的影响与峰值出现时刻有关：日间峰值可能降低或转移，晚间高峰仍需由电网承担。同时，日间反向输送可能增加局部容量需求。高渗透率地区的容量规划需要分别识别两个方向的运行任务，并校核故障后的剩余供电能力。</w:t>
      </w:r>
    </w:p>
    <w:p w14:paraId="1B7A10F3">
      <w:pPr>
        <w:pStyle w:val="4"/>
        <w:keepNext/>
        <w:widowControl/>
        <w:snapToGrid w:val="0"/>
        <w:spacing w:before="80" w:after="80" w:line="320" w:lineRule="exact"/>
        <w:ind w:left="0" w:leftChars="0" w:right="0" w:rightChars="0" w:firstLine="0" w:firstLine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1.2 区域容量储备需要落实到站级供电能力</w:t>
      </w:r>
    </w:p>
    <w:p w14:paraId="0D327661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容载比为同一地区、同一电压等级公用主变总容量（MVA）与年网供最大负荷（MW）之比，用于反映区域容量储备。本研究采用110 kV统计范围，年网供最大负荷按同范围年度降压负荷估计。（终稿第1.2、1.3节）</w:t>
      </w:r>
    </w:p>
    <w:p w14:paraId="5C11C5A1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区域总容量反映总体储备，具体变电站能否满足供电需求，还取决于主变规格和台数、N-1后剩余容量及站间转供条件。轻载站的余量需要通过可用联络、可切换负荷和受端承接能力才能用于支援重载站。联络受限、邻站余量不足或局部反送压力较大时，区域内存在空余容量的同时，本站仍可能需要增容。</w:t>
      </w:r>
      <w:commentRangeEnd w:id="0"/>
      <w:r>
        <w:rPr>
          <w:woUserID w:val="1"/>
        </w:rPr>
        <w:commentReference w:id="0"/>
      </w:r>
    </w:p>
    <w:p w14:paraId="3E45A256">
      <w:pPr>
        <w:pStyle w:val="4"/>
        <w:keepNext/>
        <w:widowControl/>
        <w:snapToGrid w:val="0"/>
        <w:spacing w:before="80" w:after="80" w:line="320" w:lineRule="exact"/>
        <w:ind w:left="0" w:leftChars="0" w:right="0" w:rightChars="0" w:firstLine="0" w:firstLine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1.3 一般容载比建议范围与实际容量需求的协调</w:t>
      </w:r>
    </w:p>
    <w:p w14:paraId="66231AD8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DL/T 5729—2023《配电网规划设计技术导则》按负荷发展阶段给出容载比建议范围，并允许特定地区适当提高取值。2025年4月《配电网规划设计技术导则》修订资料进一步提出，建议范围内难以满足供电安全准则时，可结合实际适当提高。（终稿第1.2.2节）</w:t>
      </w:r>
    </w:p>
    <w:p w14:paraId="616F6760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局部反向输送或N-1供电需求可能要求增加主变容量，从而使区域容载比超过一般建议上限2.00。本项目据此研究：在满足相同供电安全要求的条件下，何种工程条件支持适度提高容量配置，以及相应规模如何由设备、网络和经济条件共同确定。</w:t>
      </w:r>
    </w:p>
    <w:p w14:paraId="5F9DDAB0">
      <w:pPr>
        <w:pStyle w:val="4"/>
        <w:keepNext/>
        <w:widowControl/>
        <w:snapToGrid w:val="0"/>
        <w:spacing w:before="80" w:after="80" w:line="320" w:lineRule="exact"/>
        <w:ind w:left="0" w:leftChars="0" w:right="0" w:rightChars="0" w:firstLine="0" w:firstLine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1.4 通过主变、联络与储能联合比选形成容量方案</w:t>
      </w:r>
    </w:p>
    <w:p w14:paraId="1D7652B1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主变增容增加本站供电和反向承接能力，并可改善N-1后的剩余容量；10 kV联络将可切换负荷转移到邻站，利用区域已有容量；储能在一定持续时间内补充局部功率缺口。三类措施承担任务的方式不同，具有受设备及网络条件约束的替代关系。</w:t>
      </w:r>
    </w:p>
    <w:p w14:paraId="534315FB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本项目在相同技术约束下联合比较三类措施，确定评价期费用较优的具体设备组合，再由主变总容量与同年度年网供最大负荷计算容载比。研究以合理的容量配置和工程组合为目标，使容载比取值对应明确的供电任务、建设措施及费用依据。</w:t>
      </w:r>
    </w:p>
    <w:p w14:paraId="4BF0B2FF">
      <w:pPr>
        <w:pStyle w:val="3"/>
        <w:keepNext/>
        <w:pageBreakBefore/>
        <w:widowControl/>
        <w:snapToGrid w:val="0"/>
        <w:spacing w:before="120" w:after="100" w:line="320" w:lineRule="exact"/>
        <w:ind w:left="0" w:leftChars="0" w:right="0" w:rightChars="0" w:firstLine="0" w:firstLineChars="0"/>
        <w:jc w:val="both"/>
      </w:pPr>
      <w:r>
        <w:rPr>
          <w:rFonts w:ascii="Times New Roman" w:hAnsi="Times New Roman" w:eastAsia="方正仿宋_GBK"/>
          <w:b/>
          <w:color w:val="000000"/>
          <w:sz w:val="26"/>
        </w:rPr>
        <w:t>二、研究对象与总体方法</w:t>
      </w:r>
    </w:p>
    <w:p w14:paraId="50B57FD5">
      <w:pPr>
        <w:pStyle w:val="4"/>
        <w:keepNext/>
        <w:widowControl/>
        <w:snapToGrid w:val="0"/>
        <w:spacing w:before="80" w:after="80" w:line="320" w:lineRule="exact"/>
        <w:ind w:left="0" w:leftChars="0" w:right="0" w:rightChars="0" w:firstLine="0" w:firstLine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2.1 两地区的源荷特征与研究重点</w:t>
      </w:r>
    </w:p>
    <w:p w14:paraId="780C235A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邳州2025年分布式光伏装机1559.64 MW，分布式电源装机渗透率估计为1.63，电量渗透率约40%；市区分别为491.18 MW、0.32和9%。装机渗透率为同范围分布式电源并网装机与用户最大负荷之比，电量渗透率为分布式电源年发电量与用户年用电量之比；前者无量纲，后者以百分比表示。用户最大负荷采用典型场景估计，用户电量采用样本外推估计。（终稿第3.3节）</w:t>
      </w:r>
    </w:p>
    <w:p w14:paraId="4F4006A5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邳州代表光伏规模较大的县域，需同时关注晚间正向供电和日间反向输送；市区代表负荷较集中的城区，重点是正向供电、局部重载、N-1及邻站承接能力。设备统计中，两地区均有7台主变的年最大负载率达到80%及以上，局部压力需结合站级任务分析。（终稿表3-4）</w:t>
      </w:r>
    </w:p>
    <w:p w14:paraId="02E65D34">
      <w:pPr>
        <w:pStyle w:val="4"/>
        <w:keepNext/>
        <w:widowControl/>
        <w:snapToGrid w:val="0"/>
        <w:spacing w:before="80" w:after="80" w:line="320" w:lineRule="exact"/>
        <w:ind w:left="0" w:leftChars="0" w:right="0" w:rightChars="0" w:firstLine="0" w:firstLine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2.2 同一起点下的刚性与弹性方案</w:t>
      </w:r>
    </w:p>
    <w:p w14:paraId="10AFC97B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地区案例采用2022—2025年实际年度负荷</w:t>
      </w:r>
      <w:ins w:id="0" w:author="白日梦想家" w:date="2026-10-11T18:05:32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、</w:t>
        </w:r>
      </w:ins>
      <w:ins w:id="1" w:author="白日梦想家" w:date="2026-10-11T18:05:36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新能源</w:t>
        </w:r>
      </w:ins>
      <w:r>
        <w:rPr>
          <w:rFonts w:ascii="Times New Roman" w:hAnsi="Times New Roman" w:eastAsia="方正仿宋_GBK"/>
          <w:b w:val="0"/>
          <w:color w:val="000000"/>
          <w:sz w:val="23"/>
        </w:rPr>
        <w:t>回算。同一地区两类方案共用初始设备、候选网络和工程价格；邳州、市区模型初始主变容量分别为1463.50 MVA、2900.00 MVA。</w:t>
      </w:r>
      <w:del w:id="2" w:author="白日梦想家" w:date="2026-10-11T18:08:11Z">
        <w:r>
          <w:rPr>
            <w:rFonts w:ascii="Times New Roman" w:hAnsi="Times New Roman" w:eastAsia="方正仿宋_GBK"/>
            <w:b w:val="0"/>
            <w:color w:val="000000"/>
            <w:sz w:val="23"/>
          </w:rPr>
          <w:delText>该</w:delText>
        </w:r>
      </w:del>
      <w:r>
        <w:rPr>
          <w:rFonts w:ascii="Times New Roman" w:hAnsi="Times New Roman" w:eastAsia="方正仿宋_GBK"/>
          <w:b w:val="0"/>
          <w:color w:val="000000"/>
          <w:sz w:val="23"/>
        </w:rPr>
        <w:t>起点</w:t>
      </w:r>
      <w:ins w:id="3" w:author="白日梦想家" w:date="2026-10-11T18:08:19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容载比</w:t>
        </w:r>
      </w:ins>
      <w:ins w:id="4" w:author="白日梦想家" w:date="2026-10-11T18:08:20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均为</w:t>
        </w:r>
      </w:ins>
      <w:ins w:id="5" w:author="白日梦想家" w:date="2026-10-11T18:08:22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2.0，</w:t>
        </w:r>
      </w:ins>
      <w:r>
        <w:rPr>
          <w:rFonts w:ascii="Times New Roman" w:hAnsi="Times New Roman" w:eastAsia="方正仿宋_GBK"/>
          <w:b w:val="0"/>
          <w:color w:val="000000"/>
          <w:sz w:val="23"/>
        </w:rPr>
        <w:t>用于统一方案比较，历史实际容量用于现状分析，后续规划容量由优化确定。下文建设过程均为模型回算安排。（终稿第5.1节）</w:t>
      </w:r>
    </w:p>
    <w:p w14:paraId="37D94136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刚性方案按</w:t>
      </w:r>
      <w:ins w:id="6" w:author="白日梦想家" w:date="2026-10-11T18:05:05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容载比</w:t>
        </w:r>
      </w:ins>
      <w:ins w:id="7" w:author="白日梦想家" w:date="2026-10-11T18:05:07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2.0</w:t>
        </w:r>
      </w:ins>
      <w:del w:id="8" w:author="白日梦想家" w:date="2026-10-11T18:05:03Z">
        <w:r>
          <w:rPr>
            <w:rFonts w:ascii="Times New Roman" w:hAnsi="Times New Roman" w:eastAsia="方正仿宋_GBK"/>
            <w:b w:val="0"/>
            <w:color w:val="000000"/>
            <w:sz w:val="23"/>
          </w:rPr>
          <w:delText>当年负荷两倍控制新增扩容后的主变容量</w:delText>
        </w:r>
      </w:del>
      <w:ins w:id="9" w:author="白日梦想家" w:date="2026-10-11T18:05:14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控制</w:t>
        </w:r>
      </w:ins>
      <w:ins w:id="10" w:author="白日梦想家" w:date="2026-10-11T18:05:15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，</w:t>
        </w:r>
      </w:ins>
      <w:ins w:id="11" w:author="白日梦想家" w:date="2026-10-11T18:05:16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结合</w:t>
        </w:r>
      </w:ins>
      <w:ins w:id="12" w:author="白日梦想家" w:date="2026-10-11T18:05:18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配储</w:t>
        </w:r>
      </w:ins>
      <w:ins w:id="13" w:author="白日梦想家" w:date="2026-10-11T18:05:19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及</w:t>
        </w:r>
      </w:ins>
      <w:ins w:id="14" w:author="白日梦想家" w:date="2026-10-11T18:05:21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10</w:t>
        </w:r>
      </w:ins>
      <w:ins w:id="15" w:author="白日梦想家" w:date="2026-10-11T18:05:22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kV</w:t>
        </w:r>
      </w:ins>
      <w:ins w:id="16" w:author="白日梦想家" w:date="2026-10-11T18:05:23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联络</w:t>
        </w:r>
      </w:ins>
      <w:ins w:id="17" w:author="白日梦想家" w:date="2026-10-11T18:05:24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等</w:t>
        </w:r>
      </w:ins>
      <w:ins w:id="18" w:author="白日梦想家" w:date="2026-10-11T18:05:25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方式</w:t>
        </w:r>
      </w:ins>
      <w:del w:id="19" w:author="白日梦想家" w:date="2026-10-11T18:05:13Z">
        <w:r>
          <w:rPr>
            <w:rFonts w:ascii="Times New Roman" w:hAnsi="Times New Roman" w:eastAsia="方正仿宋_GBK"/>
            <w:b w:val="0"/>
            <w:color w:val="000000"/>
            <w:sz w:val="23"/>
          </w:rPr>
          <w:delText>。负荷下降造成既有容量对应容载比超过2.00时</w:delText>
        </w:r>
      </w:del>
      <w:r>
        <w:rPr>
          <w:rFonts w:ascii="Times New Roman" w:hAnsi="Times New Roman" w:eastAsia="方正仿宋_GBK"/>
          <w:b w:val="0"/>
          <w:color w:val="000000"/>
          <w:sz w:val="23"/>
        </w:rPr>
        <w:t>。弹性容载比</w:t>
      </w:r>
      <w:ins w:id="20" w:author="白日梦想家" w:date="2026-10-11T18:07:20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则</w:t>
        </w:r>
      </w:ins>
      <w:ins w:id="21" w:author="白日梦想家" w:date="2026-10-11T18:07:23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可以</w:t>
        </w:r>
      </w:ins>
      <w:del w:id="22" w:author="白日梦想家" w:date="2026-10-11T18:07:19Z">
        <w:r>
          <w:rPr>
            <w:rFonts w:ascii="Times New Roman" w:hAnsi="Times New Roman" w:eastAsia="方正仿宋_GBK"/>
            <w:b w:val="0"/>
            <w:color w:val="000000"/>
            <w:sz w:val="23"/>
          </w:rPr>
          <w:delText>是在</w:delText>
        </w:r>
      </w:del>
      <w:del w:id="23" w:author="白日梦想家" w:date="2026-10-11T18:07:18Z">
        <w:r>
          <w:rPr>
            <w:rFonts w:ascii="Times New Roman" w:hAnsi="Times New Roman" w:eastAsia="方正仿宋_GBK"/>
            <w:b w:val="0"/>
            <w:color w:val="000000"/>
            <w:sz w:val="23"/>
          </w:rPr>
          <w:delText>相同技术约束下，经评价期费用比较确定、允许适度偏离一般上限的研究取值；本次弹性方案在</w:delText>
        </w:r>
      </w:del>
      <w:r>
        <w:rPr>
          <w:rFonts w:ascii="Times New Roman" w:hAnsi="Times New Roman" w:eastAsia="方正仿宋_GBK"/>
          <w:b w:val="0"/>
          <w:color w:val="000000"/>
          <w:sz w:val="23"/>
        </w:rPr>
        <w:t>突破</w:t>
      </w:r>
      <w:ins w:id="24" w:author="白日梦想家" w:date="2026-10-11T18:07:28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容载比</w:t>
        </w:r>
      </w:ins>
      <w:r>
        <w:rPr>
          <w:rFonts w:ascii="Times New Roman" w:hAnsi="Times New Roman" w:eastAsia="方正仿宋_GBK"/>
          <w:b w:val="0"/>
          <w:color w:val="000000"/>
          <w:sz w:val="23"/>
        </w:rPr>
        <w:t>2.00的</w:t>
      </w:r>
      <w:ins w:id="25" w:author="白日梦想家" w:date="2026-10-11T18:07:33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限制</w:t>
        </w:r>
      </w:ins>
      <w:del w:id="26" w:author="白日梦想家" w:date="2026-10-11T18:07:32Z">
        <w:r>
          <w:rPr>
            <w:rFonts w:ascii="Times New Roman" w:hAnsi="Times New Roman" w:eastAsia="方正仿宋_GBK"/>
            <w:b w:val="0"/>
            <w:color w:val="000000"/>
            <w:sz w:val="23"/>
          </w:rPr>
          <w:delText>条件下</w:delText>
        </w:r>
      </w:del>
      <w:del w:id="27" w:author="白日梦想家" w:date="2026-10-11T18:07:38Z">
        <w:r>
          <w:rPr>
            <w:rFonts w:ascii="Times New Roman" w:hAnsi="Times New Roman" w:eastAsia="方正仿宋_GBK"/>
            <w:b w:val="0"/>
            <w:color w:val="000000"/>
            <w:sz w:val="23"/>
          </w:rPr>
          <w:delText>联合比选</w:delText>
        </w:r>
      </w:del>
      <w:r>
        <w:rPr>
          <w:rFonts w:ascii="Times New Roman" w:hAnsi="Times New Roman" w:eastAsia="方正仿宋_GBK"/>
          <w:b w:val="0"/>
          <w:color w:val="000000"/>
          <w:sz w:val="23"/>
        </w:rPr>
        <w:t>，最大容量由允许设备规格及可扩建位置确定，具体容载比</w:t>
      </w:r>
      <w:ins w:id="28" w:author="白日梦想家" w:date="2026-10-11T18:07:45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通过</w:t>
        </w:r>
      </w:ins>
      <w:ins w:id="29" w:author="白日梦想家" w:date="2026-10-11T18:07:48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寻优</w:t>
        </w:r>
      </w:ins>
      <w:ins w:id="30" w:author="白日梦想家" w:date="2026-10-11T18:07:50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确定</w:t>
        </w:r>
      </w:ins>
      <w:del w:id="31" w:author="白日梦想家" w:date="2026-10-11T18:07:44Z">
        <w:r>
          <w:rPr>
            <w:rFonts w:ascii="Times New Roman" w:hAnsi="Times New Roman" w:eastAsia="方正仿宋_GBK"/>
            <w:b w:val="0"/>
            <w:color w:val="000000"/>
            <w:sz w:val="23"/>
          </w:rPr>
          <w:delText>随设备方案</w:delText>
        </w:r>
      </w:del>
      <w:del w:id="32" w:author="白日梦想家" w:date="2026-10-11T18:07:51Z">
        <w:r>
          <w:rPr>
            <w:rFonts w:ascii="Times New Roman" w:hAnsi="Times New Roman" w:eastAsia="方正仿宋_GBK"/>
            <w:b w:val="0"/>
            <w:color w:val="000000"/>
            <w:sz w:val="23"/>
          </w:rPr>
          <w:delText>形成</w:delText>
        </w:r>
      </w:del>
      <w:r>
        <w:rPr>
          <w:rFonts w:ascii="Times New Roman" w:hAnsi="Times New Roman" w:eastAsia="方正仿宋_GBK"/>
          <w:b w:val="0"/>
          <w:color w:val="000000"/>
          <w:sz w:val="23"/>
        </w:rPr>
        <w:t>。</w:t>
      </w:r>
    </w:p>
    <w:p w14:paraId="080D6D09">
      <w:pPr>
        <w:pStyle w:val="4"/>
        <w:keepNext/>
        <w:widowControl/>
        <w:snapToGrid w:val="0"/>
        <w:spacing w:before="80" w:after="80" w:line="320" w:lineRule="exact"/>
        <w:ind w:left="0" w:leftChars="0" w:right="0" w:rightChars="0" w:firstLine="0" w:firstLine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2.3 共同技术约束与储能支撑条件</w:t>
      </w:r>
    </w:p>
    <w:p w14:paraId="62F9EDDF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模型分别组织区域正向峰值、日间最低净负荷两类静态工况，每一工况均校核正常运行及各站最大单台主变N-1。故障站采用剩余主变容量，健康邻站采用正常可用容量，负荷转接随工况重新安排。</w:t>
      </w:r>
    </w:p>
    <w:p w14:paraId="0E98AD42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转供同时受送端可切换负荷、馈线容量、联络通道和受端主变余量限制，共用馈线的联络共用其能力预算。区域内部转入、转出</w:t>
      </w:r>
      <w:ins w:id="33" w:author="白日梦想家" w:date="2026-10-11T18:14:16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负荷</w:t>
        </w:r>
      </w:ins>
      <w:r>
        <w:rPr>
          <w:rFonts w:ascii="Times New Roman" w:hAnsi="Times New Roman" w:eastAsia="方正仿宋_GBK"/>
          <w:b w:val="0"/>
          <w:color w:val="000000"/>
          <w:sz w:val="23"/>
        </w:rPr>
        <w:t>保持</w:t>
      </w:r>
      <w:ins w:id="34" w:author="白日梦想家" w:date="2026-10-11T18:14:20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恒定</w:t>
        </w:r>
      </w:ins>
      <w:del w:id="35" w:author="白日梦想家" w:date="2026-10-11T18:14:19Z">
        <w:r>
          <w:rPr>
            <w:rFonts w:ascii="Times New Roman" w:hAnsi="Times New Roman" w:eastAsia="方正仿宋_GBK"/>
            <w:b w:val="0"/>
            <w:color w:val="000000"/>
            <w:sz w:val="23"/>
          </w:rPr>
          <w:delText>守恒</w:delText>
        </w:r>
      </w:del>
      <w:r>
        <w:rPr>
          <w:rFonts w:ascii="Times New Roman" w:hAnsi="Times New Roman" w:eastAsia="方正仿宋_GBK"/>
          <w:b w:val="0"/>
          <w:color w:val="000000"/>
          <w:sz w:val="23"/>
        </w:rPr>
        <w:t>；新能源保留原站归属，转出用电负荷后的潜在反向压力同步校核。</w:t>
      </w:r>
      <w:ins w:id="36" w:author="白日梦想家" w:date="2026-10-11T18:15:39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邳州</w:t>
        </w:r>
      </w:ins>
      <w:ins w:id="37" w:author="白日梦想家" w:date="2026-10-11T18:15:40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的</w:t>
        </w:r>
      </w:ins>
      <w:ins w:id="38" w:author="白日梦想家" w:date="2026-10-11T18:15:41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负荷</w:t>
        </w:r>
      </w:ins>
      <w:ins w:id="39" w:author="白日梦想家" w:date="2026-10-11T18:15:42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转供</w:t>
        </w:r>
      </w:ins>
      <w:ins w:id="40" w:author="白日梦想家" w:date="2026-10-11T18:15:43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能力</w:t>
        </w:r>
      </w:ins>
      <w:ins w:id="41" w:author="白日梦想家" w:date="2026-10-11T18:15:54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结合</w:t>
        </w:r>
      </w:ins>
      <w:ins w:id="42" w:author="白日梦想家" w:date="2026-10-11T18:15:56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邳州</w:t>
        </w:r>
      </w:ins>
      <w:ins w:id="43" w:author="白日梦想家" w:date="2026-10-11T18:15:57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实际</w:t>
        </w:r>
      </w:ins>
      <w:ins w:id="44" w:author="白日梦想家" w:date="2026-10-11T18:15:59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区域</w:t>
        </w:r>
      </w:ins>
      <w:ins w:id="45" w:author="白日梦想家" w:date="2026-10-11T18:16:00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电网</w:t>
        </w:r>
      </w:ins>
      <w:ins w:id="46" w:author="白日梦想家" w:date="2026-10-11T18:16:02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转供</w:t>
        </w:r>
      </w:ins>
      <w:ins w:id="47" w:author="白日梦想家" w:date="2026-10-11T18:16:03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能力</w:t>
        </w:r>
      </w:ins>
      <w:ins w:id="48" w:author="白日梦想家" w:date="2026-10-11T18:16:04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进行</w:t>
        </w:r>
      </w:ins>
      <w:ins w:id="49" w:author="白日梦想家" w:date="2026-10-11T18:16:06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测算</w:t>
        </w:r>
      </w:ins>
      <w:ins w:id="50" w:author="白日梦想家" w:date="2026-10-11T18:16:07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，</w:t>
        </w:r>
      </w:ins>
      <w:r>
        <w:rPr>
          <w:rFonts w:ascii="Times New Roman" w:hAnsi="Times New Roman" w:eastAsia="方正仿宋_GBK"/>
          <w:b w:val="0"/>
          <w:color w:val="000000"/>
          <w:sz w:val="23"/>
        </w:rPr>
        <w:t>市区</w:t>
      </w:r>
      <w:ins w:id="51" w:author="白日梦想家" w:date="2026-10-11T18:15:19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的</w:t>
        </w:r>
      </w:ins>
      <w:ins w:id="52" w:author="白日梦想家" w:date="2026-10-11T18:15:20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负荷</w:t>
        </w:r>
      </w:ins>
      <w:ins w:id="53" w:author="白日梦想家" w:date="2026-10-11T18:15:22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转供能力</w:t>
        </w:r>
      </w:ins>
      <w:del w:id="54" w:author="白日梦想家" w:date="2026-10-11T18:15:17Z">
        <w:r>
          <w:rPr>
            <w:rFonts w:ascii="Times New Roman" w:hAnsi="Times New Roman" w:eastAsia="方正仿宋_GBK"/>
            <w:b w:val="0"/>
            <w:color w:val="000000"/>
            <w:sz w:val="23"/>
          </w:rPr>
          <w:delText>部分馈线能力和设备条件</w:delText>
        </w:r>
      </w:del>
      <w:ins w:id="55" w:author="白日梦想家" w:date="2026-10-11T18:15:28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结合</w:t>
        </w:r>
      </w:ins>
      <w:ins w:id="56" w:author="白日梦想家" w:date="2026-10-11T18:15:29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规程</w:t>
        </w:r>
      </w:ins>
      <w:del w:id="57" w:author="白日梦想家" w:date="2026-10-11T18:15:27Z">
        <w:r>
          <w:rPr>
            <w:rFonts w:ascii="Times New Roman" w:hAnsi="Times New Roman" w:eastAsia="方正仿宋_GBK"/>
            <w:b w:val="0"/>
            <w:color w:val="000000"/>
            <w:sz w:val="23"/>
          </w:rPr>
          <w:delText>采用</w:delText>
        </w:r>
      </w:del>
      <w:del w:id="58" w:author="白日梦想家" w:date="2026-10-11T18:15:31Z">
        <w:r>
          <w:rPr>
            <w:rFonts w:ascii="Times New Roman" w:hAnsi="Times New Roman" w:eastAsia="方正仿宋_GBK"/>
            <w:b w:val="0"/>
            <w:color w:val="000000"/>
            <w:sz w:val="23"/>
          </w:rPr>
          <w:delText>研究</w:delText>
        </w:r>
      </w:del>
      <w:r>
        <w:rPr>
          <w:rFonts w:ascii="Times New Roman" w:hAnsi="Times New Roman" w:eastAsia="方正仿宋_GBK"/>
          <w:b w:val="0"/>
          <w:color w:val="000000"/>
          <w:sz w:val="23"/>
        </w:rPr>
        <w:t>假设</w:t>
      </w:r>
      <w:ins w:id="59" w:author="白日梦想家" w:date="2026-10-11T18:15:32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为</w:t>
        </w:r>
      </w:ins>
      <w:ins w:id="60" w:author="白日梦想家" w:date="2026-10-11T20:56:48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4</w:t>
        </w:r>
      </w:ins>
      <w:ins w:id="61" w:author="白日梦想家" w:date="2026-10-11T18:15:34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0%</w:t>
        </w:r>
      </w:ins>
      <w:del w:id="62" w:author="白日梦想家" w:date="2026-10-11T18:15:37Z">
        <w:r>
          <w:rPr>
            <w:rFonts w:ascii="Times New Roman" w:hAnsi="Times New Roman" w:eastAsia="方正仿宋_GBK"/>
            <w:b w:val="0"/>
            <w:color w:val="000000"/>
            <w:sz w:val="23"/>
          </w:rPr>
          <w:delText>，需以核定资料落实</w:delText>
        </w:r>
      </w:del>
      <w:r>
        <w:rPr>
          <w:rFonts w:ascii="Times New Roman" w:hAnsi="Times New Roman" w:eastAsia="方正仿宋_GBK"/>
          <w:b w:val="0"/>
          <w:color w:val="000000"/>
          <w:sz w:val="23"/>
        </w:rPr>
        <w:t>。</w:t>
      </w:r>
    </w:p>
    <w:p w14:paraId="4EFA7819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正向储能统一采用4 h作为技术经济对照条件，有效支撑能力由额定功率（MW）和可用能量（MWh）共同限制；反向支撑按各站静态条件设置。95%峰值阈值为区域同步净负荷全年最大绝对值的95%，据补齐后的8760小时序列统计，邳州、市区最长连续近峰时长分别约2 h、6 h。该指标描述运行特征，实际储能定容需按局部功率缺口、持续过程及恢复条件计算。（终稿第3.4、5.2、5.3节）</w:t>
      </w:r>
    </w:p>
    <w:p w14:paraId="4485FE85">
      <w:pPr>
        <w:pStyle w:val="4"/>
        <w:keepNext/>
        <w:widowControl/>
        <w:snapToGrid w:val="0"/>
        <w:spacing w:before="80" w:after="80" w:line="320" w:lineRule="exact"/>
        <w:ind w:left="0" w:leftChars="0" w:right="0" w:rightChars="0" w:firstLine="0" w:firstLine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2.4 统一评价期内比较技术可行方案</w:t>
      </w:r>
    </w:p>
    <w:p w14:paraId="7434ED3A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采用混合整数线性优化联合确定主变规格、储能柜数、联络建设及投运时点，供电安全和设备能力作为约束，以评价期费用最小为经济目标。主变、储能和10 kV联络的新增建设、固定运维及规定更新费用，按6%折现率折算至2021年末，</w:t>
      </w:r>
      <w:commentRangeStart w:id="1"/>
      <w:r>
        <w:rPr>
          <w:rFonts w:ascii="Times New Roman" w:hAnsi="Times New Roman" w:eastAsia="方正仿宋_GBK"/>
          <w:b w:val="0"/>
          <w:color w:val="000000"/>
          <w:sz w:val="23"/>
        </w:rPr>
        <w:t>评价截止2041年</w:t>
      </w:r>
      <w:commentRangeEnd w:id="1"/>
      <w:r>
        <w:rPr>
          <w:woUserID w:val="1"/>
        </w:rPr>
        <w:commentReference w:id="1"/>
      </w:r>
      <w:r>
        <w:rPr>
          <w:rFonts w:ascii="Times New Roman" w:hAnsi="Times New Roman" w:eastAsia="方正仿宋_GBK"/>
          <w:b w:val="0"/>
          <w:color w:val="000000"/>
          <w:sz w:val="23"/>
        </w:rPr>
        <w:t>。</w:t>
      </w:r>
    </w:p>
    <w:p w14:paraId="7AF2A3AA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本次投运设备在评价期内未达到设定更新年限。费用范围尚未计入期末残值、存量设备运维变化、储能充电及损耗，也未抵扣收益。所列费用用于这一共同范围内的方案比较。（终稿第4.6节）</w:t>
      </w:r>
    </w:p>
    <w:p w14:paraId="17BAE5C0">
      <w:pPr>
        <w:pStyle w:val="3"/>
        <w:keepNext/>
        <w:pageBreakBefore/>
        <w:widowControl/>
        <w:snapToGrid w:val="0"/>
        <w:spacing w:before="120" w:after="100" w:line="320" w:lineRule="exact"/>
        <w:ind w:left="0" w:leftChars="0" w:right="0" w:rightChars="0" w:firstLine="0" w:firstLineChars="0"/>
        <w:jc w:val="both"/>
      </w:pPr>
      <w:r>
        <w:rPr>
          <w:rFonts w:ascii="Times New Roman" w:hAnsi="Times New Roman" w:eastAsia="方正仿宋_GBK"/>
          <w:b/>
          <w:color w:val="000000"/>
          <w:sz w:val="26"/>
        </w:rPr>
        <w:t>三、两地区方案比选结果与逐年建设过程</w:t>
      </w:r>
    </w:p>
    <w:p w14:paraId="61AA709A">
      <w:pPr>
        <w:pStyle w:val="4"/>
        <w:keepNext/>
        <w:widowControl/>
        <w:snapToGrid w:val="0"/>
        <w:spacing w:before="80" w:after="80" w:line="320" w:lineRule="exact"/>
        <w:ind w:left="0" w:leftChars="0" w:right="0" w:rightChars="0" w:firstLine="0" w:firstLine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3.1 2025年配置与评价期费用</w:t>
      </w:r>
    </w:p>
    <w:p w14:paraId="68912964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在上述共同条件下，两类方案形成表1所列2025年设备配置。容量、储能和联络为年末规模，费用现值对应2022—2025年新增措施至2041年的共同评价期。</w:t>
      </w:r>
    </w:p>
    <w:p w14:paraId="7EBAD69D">
      <w:pPr>
        <w:keepNext/>
        <w:widowControl/>
        <w:snapToGrid w:val="0"/>
        <w:spacing w:before="0" w:after="100" w:line="320" w:lineRule="exact"/>
        <w:ind w:left="0" w:leftChars="0" w:right="0" w:rightChars="0" w:firstLine="0" w:firstLineChars="0"/>
        <w:jc w:val="center"/>
      </w:pPr>
      <w:r>
        <w:rPr>
          <w:rFonts w:ascii="Times New Roman" w:hAnsi="Times New Roman" w:eastAsia="方正仿宋_GBK"/>
          <w:b w:val="0"/>
          <w:color w:val="000000"/>
          <w:sz w:val="21"/>
        </w:rPr>
        <w:t>表1 两地区方案结果（据终稿表5-4、5-6、5-8）</w:t>
      </w:r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6"/>
        <w:gridCol w:w="1606"/>
        <w:gridCol w:w="1606"/>
        <w:gridCol w:w="1606"/>
        <w:gridCol w:w="1606"/>
        <w:gridCol w:w="1606"/>
      </w:tblGrid>
      <w:tr w14:paraId="21D70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1606" w:type="dxa"/>
            <w:vAlign w:val="center"/>
          </w:tcPr>
          <w:p w14:paraId="47313C6A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地区／方案</w:t>
            </w:r>
          </w:p>
        </w:tc>
        <w:tc>
          <w:tcPr>
            <w:tcW w:w="1606" w:type="dxa"/>
            <w:vAlign w:val="center"/>
          </w:tcPr>
          <w:p w14:paraId="087333A1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主变容量</w:t>
            </w:r>
            <w:r>
              <w:rPr>
                <w:rFonts w:ascii="Times New Roman" w:hAnsi="Times New Roman" w:eastAsia="方正仿宋_GBK"/>
                <w:b/>
                <w:sz w:val="21"/>
              </w:rPr>
              <w:br w:type="textWrapping"/>
            </w:r>
            <w:r>
              <w:rPr>
                <w:rFonts w:ascii="Times New Roman" w:hAnsi="Times New Roman" w:eastAsia="方正仿宋_GBK"/>
                <w:b/>
                <w:sz w:val="21"/>
              </w:rPr>
              <w:t>MVA</w:t>
            </w:r>
          </w:p>
        </w:tc>
        <w:tc>
          <w:tcPr>
            <w:tcW w:w="1606" w:type="dxa"/>
            <w:vAlign w:val="center"/>
          </w:tcPr>
          <w:p w14:paraId="43C4A0F1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容载比</w:t>
            </w:r>
          </w:p>
        </w:tc>
        <w:tc>
          <w:tcPr>
            <w:tcW w:w="1606" w:type="dxa"/>
            <w:vAlign w:val="center"/>
          </w:tcPr>
          <w:p w14:paraId="4D0EAAD1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储能额定功率</w:t>
            </w:r>
            <w:r>
              <w:rPr>
                <w:rFonts w:ascii="Times New Roman" w:hAnsi="Times New Roman" w:eastAsia="方正仿宋_GBK"/>
                <w:b/>
                <w:sz w:val="21"/>
              </w:rPr>
              <w:br w:type="textWrapping"/>
            </w:r>
            <w:r>
              <w:rPr>
                <w:rFonts w:ascii="Times New Roman" w:hAnsi="Times New Roman" w:eastAsia="方正仿宋_GBK"/>
                <w:b/>
                <w:sz w:val="21"/>
              </w:rPr>
              <w:t>MW</w:t>
            </w:r>
          </w:p>
        </w:tc>
        <w:tc>
          <w:tcPr>
            <w:tcW w:w="1606" w:type="dxa"/>
            <w:vAlign w:val="center"/>
          </w:tcPr>
          <w:p w14:paraId="4A029015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累计新增联络</w:t>
            </w:r>
            <w:r>
              <w:rPr>
                <w:rFonts w:ascii="Times New Roman" w:hAnsi="Times New Roman" w:eastAsia="方正仿宋_GBK"/>
                <w:b/>
                <w:sz w:val="21"/>
              </w:rPr>
              <w:br w:type="textWrapping"/>
            </w:r>
            <w:r>
              <w:rPr>
                <w:rFonts w:ascii="Times New Roman" w:hAnsi="Times New Roman" w:eastAsia="方正仿宋_GBK"/>
                <w:b/>
                <w:sz w:val="21"/>
              </w:rPr>
              <w:t>条</w:t>
            </w:r>
          </w:p>
        </w:tc>
        <w:tc>
          <w:tcPr>
            <w:tcW w:w="1606" w:type="dxa"/>
            <w:vAlign w:val="center"/>
          </w:tcPr>
          <w:p w14:paraId="600C89B4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费用现值</w:t>
            </w:r>
            <w:r>
              <w:rPr>
                <w:rFonts w:ascii="Times New Roman" w:hAnsi="Times New Roman" w:eastAsia="方正仿宋_GBK"/>
                <w:b/>
                <w:sz w:val="21"/>
              </w:rPr>
              <w:br w:type="textWrapping"/>
            </w:r>
            <w:r>
              <w:rPr>
                <w:rFonts w:ascii="Times New Roman" w:hAnsi="Times New Roman" w:eastAsia="方正仿宋_GBK"/>
                <w:b/>
                <w:sz w:val="21"/>
              </w:rPr>
              <w:t>万元</w:t>
            </w:r>
          </w:p>
        </w:tc>
      </w:tr>
      <w:tr w14:paraId="670C82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606" w:type="dxa"/>
            <w:vAlign w:val="center"/>
          </w:tcPr>
          <w:p w14:paraId="1C896B84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邳州刚性</w:t>
            </w:r>
          </w:p>
        </w:tc>
        <w:tc>
          <w:tcPr>
            <w:tcW w:w="1606" w:type="dxa"/>
            <w:vAlign w:val="center"/>
          </w:tcPr>
          <w:p w14:paraId="27E621C0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1782.50</w:t>
            </w:r>
          </w:p>
        </w:tc>
        <w:tc>
          <w:tcPr>
            <w:tcW w:w="1606" w:type="dxa"/>
            <w:vAlign w:val="center"/>
          </w:tcPr>
          <w:p w14:paraId="1F7783AB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1.86</w:t>
            </w:r>
          </w:p>
        </w:tc>
        <w:tc>
          <w:tcPr>
            <w:tcW w:w="1606" w:type="dxa"/>
            <w:vAlign w:val="center"/>
          </w:tcPr>
          <w:p w14:paraId="65F0844D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32.90</w:t>
            </w:r>
          </w:p>
        </w:tc>
        <w:tc>
          <w:tcPr>
            <w:tcW w:w="1606" w:type="dxa"/>
            <w:vAlign w:val="center"/>
          </w:tcPr>
          <w:p w14:paraId="39EFBE16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61</w:t>
            </w:r>
          </w:p>
        </w:tc>
        <w:tc>
          <w:tcPr>
            <w:tcW w:w="1606" w:type="dxa"/>
            <w:vAlign w:val="center"/>
          </w:tcPr>
          <w:p w14:paraId="62DD5C0C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34468.84</w:t>
            </w:r>
          </w:p>
        </w:tc>
      </w:tr>
      <w:tr w14:paraId="691D7B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606" w:type="dxa"/>
            <w:vAlign w:val="center"/>
          </w:tcPr>
          <w:p w14:paraId="23713F98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邳州弹性</w:t>
            </w:r>
          </w:p>
        </w:tc>
        <w:tc>
          <w:tcPr>
            <w:tcW w:w="1606" w:type="dxa"/>
            <w:vAlign w:val="center"/>
          </w:tcPr>
          <w:p w14:paraId="4359DABA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1955.50</w:t>
            </w:r>
          </w:p>
        </w:tc>
        <w:tc>
          <w:tcPr>
            <w:tcW w:w="1606" w:type="dxa"/>
            <w:vAlign w:val="center"/>
          </w:tcPr>
          <w:p w14:paraId="43029CEF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2.04</w:t>
            </w:r>
          </w:p>
        </w:tc>
        <w:tc>
          <w:tcPr>
            <w:tcW w:w="1606" w:type="dxa"/>
            <w:vAlign w:val="center"/>
          </w:tcPr>
          <w:p w14:paraId="05AC6A6B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w="1606" w:type="dxa"/>
            <w:vAlign w:val="center"/>
          </w:tcPr>
          <w:p w14:paraId="7FB92AE1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30</w:t>
            </w:r>
          </w:p>
        </w:tc>
        <w:tc>
          <w:tcPr>
            <w:tcW w:w="1606" w:type="dxa"/>
            <w:vAlign w:val="center"/>
          </w:tcPr>
          <w:p w14:paraId="17F341E0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26103.52</w:t>
            </w:r>
          </w:p>
        </w:tc>
      </w:tr>
      <w:tr w14:paraId="2B061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606" w:type="dxa"/>
            <w:vAlign w:val="center"/>
          </w:tcPr>
          <w:p w14:paraId="4CED7AFE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市区刚性</w:t>
            </w:r>
          </w:p>
        </w:tc>
        <w:tc>
          <w:tcPr>
            <w:tcW w:w="1606" w:type="dxa"/>
            <w:vAlign w:val="center"/>
          </w:tcPr>
          <w:p w14:paraId="43C20752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2937.00</w:t>
            </w:r>
          </w:p>
        </w:tc>
        <w:tc>
          <w:tcPr>
            <w:tcW w:w="1606" w:type="dxa"/>
            <w:vAlign w:val="center"/>
          </w:tcPr>
          <w:p w14:paraId="6637EE65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1.92</w:t>
            </w:r>
          </w:p>
        </w:tc>
        <w:tc>
          <w:tcPr>
            <w:tcW w:w="1606" w:type="dxa"/>
            <w:vAlign w:val="center"/>
          </w:tcPr>
          <w:p w14:paraId="0F404DBA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4.80</w:t>
            </w:r>
          </w:p>
        </w:tc>
        <w:tc>
          <w:tcPr>
            <w:tcW w:w="1606" w:type="dxa"/>
            <w:vAlign w:val="center"/>
          </w:tcPr>
          <w:p w14:paraId="1CA56CF1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138</w:t>
            </w:r>
          </w:p>
        </w:tc>
        <w:tc>
          <w:tcPr>
            <w:tcW w:w="1606" w:type="dxa"/>
            <w:vAlign w:val="center"/>
          </w:tcPr>
          <w:p w14:paraId="29FC9BDA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85750.47</w:t>
            </w:r>
          </w:p>
        </w:tc>
      </w:tr>
      <w:tr w14:paraId="771B43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606" w:type="dxa"/>
            <w:vAlign w:val="center"/>
          </w:tcPr>
          <w:p w14:paraId="125917D5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市区弹性</w:t>
            </w:r>
          </w:p>
        </w:tc>
        <w:tc>
          <w:tcPr>
            <w:tcW w:w="1606" w:type="dxa"/>
            <w:vAlign w:val="center"/>
          </w:tcPr>
          <w:p w14:paraId="4B25967E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3324.00</w:t>
            </w:r>
          </w:p>
        </w:tc>
        <w:tc>
          <w:tcPr>
            <w:tcW w:w="1606" w:type="dxa"/>
            <w:vAlign w:val="center"/>
          </w:tcPr>
          <w:p w14:paraId="7C36FD78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2.17</w:t>
            </w:r>
          </w:p>
        </w:tc>
        <w:tc>
          <w:tcPr>
            <w:tcW w:w="1606" w:type="dxa"/>
            <w:vAlign w:val="center"/>
          </w:tcPr>
          <w:p w14:paraId="46C3D16E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0.50</w:t>
            </w:r>
          </w:p>
        </w:tc>
        <w:tc>
          <w:tcPr>
            <w:tcW w:w="1606" w:type="dxa"/>
            <w:vAlign w:val="center"/>
          </w:tcPr>
          <w:p w14:paraId="176AE099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64</w:t>
            </w:r>
          </w:p>
        </w:tc>
        <w:tc>
          <w:tcPr>
            <w:tcW w:w="1606" w:type="dxa"/>
            <w:vAlign w:val="center"/>
          </w:tcPr>
          <w:p w14:paraId="3B321663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58346.09</w:t>
            </w:r>
          </w:p>
        </w:tc>
      </w:tr>
    </w:tbl>
    <w:p w14:paraId="3CB4E58B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两地区刚性方案费用现值合计120219.30万元，弹性方案为84449.61万元，减少35769.70万元，约30%。</w:t>
      </w:r>
    </w:p>
    <w:p w14:paraId="030C6536">
      <w:pPr>
        <w:pStyle w:val="4"/>
        <w:keepNext/>
        <w:widowControl/>
        <w:snapToGrid w:val="0"/>
        <w:spacing w:before="80" w:after="80" w:line="320" w:lineRule="exact"/>
        <w:ind w:left="0" w:leftChars="0" w:right="0" w:rightChars="0" w:firstLine="0" w:firstLine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3.2 费用下降的工程原因</w:t>
      </w:r>
    </w:p>
    <w:p w14:paraId="18BAE957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弹性方案增加部分主变容量后，N-1后的剩余供电能力和承接邻站负荷的条件得到改善，储能与新增联络需求随之减少。在所用设备候选、网络、工程价格及4 h正向储能支撑条件下，储能和联络费用的减少超过主变费用增加，形成评价期总费用下降。</w:t>
      </w:r>
    </w:p>
    <w:p w14:paraId="5CBFF1E5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邳州的费用下降由储能退出与联络减少共同形成。市区则以联络费用变化更为突出，其现值由80616.00万元降至37138.45万元，抵消主变费用由3862.44万元增至21083.57万元的增加。市区</w:t>
      </w:r>
      <w:ins w:id="63" w:author="白日梦想家" w:date="2026-10-11T18:31:58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由于</w:t>
        </w:r>
      </w:ins>
      <w:ins w:id="64" w:author="白日梦想家" w:date="2026-10-11T18:32:02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电缆</w:t>
        </w:r>
      </w:ins>
      <w:ins w:id="65" w:author="白日梦想家" w:date="2026-10-11T18:32:03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占比</w:t>
        </w:r>
      </w:ins>
      <w:ins w:id="66" w:author="白日梦想家" w:date="2026-10-11T18:32:06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高，</w:t>
        </w:r>
      </w:ins>
      <w:r>
        <w:rPr>
          <w:rFonts w:ascii="Times New Roman" w:hAnsi="Times New Roman" w:eastAsia="方正仿宋_GBK"/>
          <w:b w:val="0"/>
          <w:color w:val="000000"/>
          <w:sz w:val="23"/>
        </w:rPr>
        <w:t>单条联络</w:t>
      </w:r>
      <w:del w:id="67" w:author="白日梦想家" w:date="2026-10-11T18:32:11Z">
        <w:r>
          <w:rPr>
            <w:rFonts w:ascii="Times New Roman" w:hAnsi="Times New Roman" w:eastAsia="方正仿宋_GBK"/>
            <w:b w:val="0"/>
            <w:color w:val="000000"/>
            <w:sz w:val="23"/>
          </w:rPr>
          <w:delText>采用的研究费</w:delText>
        </w:r>
      </w:del>
      <w:ins w:id="68" w:author="白日梦想家" w:date="2026-10-11T18:32:13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费用</w:t>
        </w:r>
      </w:ins>
      <w:del w:id="69" w:author="白日梦想家" w:date="2026-10-11T18:32:12Z">
        <w:r>
          <w:rPr>
            <w:rFonts w:ascii="Times New Roman" w:hAnsi="Times New Roman" w:eastAsia="方正仿宋_GBK"/>
            <w:b w:val="0"/>
            <w:color w:val="000000"/>
            <w:sz w:val="23"/>
          </w:rPr>
          <w:delText>用</w:delText>
        </w:r>
      </w:del>
      <w:r>
        <w:rPr>
          <w:rFonts w:ascii="Times New Roman" w:hAnsi="Times New Roman" w:eastAsia="方正仿宋_GBK"/>
          <w:b w:val="0"/>
          <w:color w:val="000000"/>
          <w:sz w:val="23"/>
        </w:rPr>
        <w:t>高于邳州，减少联络建设在费用比较中的作用更大。（终稿第4.3节、表5-10）</w:t>
      </w:r>
    </w:p>
    <w:p w14:paraId="4EDCF337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这一费用比较对应表1的具体可行方案。后续核定存量联络、工程价格和支撑条件后，应同步更新设备组合及费用；尤其市区缺少存量证明的候选联络，目前按新增投资计费，其核定结果会影响经济比较。</w:t>
      </w:r>
    </w:p>
    <w:p w14:paraId="65BB27EE">
      <w:pPr>
        <w:pStyle w:val="4"/>
        <w:keepNext/>
        <w:widowControl/>
        <w:snapToGrid w:val="0"/>
        <w:spacing w:before="80" w:after="80" w:line="320" w:lineRule="exact"/>
        <w:ind w:left="0" w:leftChars="0" w:right="0" w:rightChars="0" w:firstLine="0" w:firstLine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3.3 设备组合如何支撑这一结果</w:t>
      </w:r>
    </w:p>
    <w:p w14:paraId="4F5918A2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终稿逐站分析表明，邳州弹性方案中，戴庄变以增加主变容量减少反向及供电安全约束下的配储需求，杜村变和兴塘变扩建第三台主变；市区大庙变、惠民变、彭场变和拾屯变扩建第三台主变，其他站结合更换主变和站间支援满足任务。市区统一变保留少量储能，用于补充局部缺口。（终稿第5.4.4、5.4.5节）</w:t>
      </w:r>
    </w:p>
    <w:p w14:paraId="125DCA80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主变容量按整台规格配置，增加台数还会改变最大单台主变</w:t>
      </w:r>
      <w:ins w:id="70" w:author="白日梦想家" w:date="2026-10-11T18:31:22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N-</w:t>
        </w:r>
      </w:ins>
      <w:ins w:id="71" w:author="白日梦想家" w:date="2026-10-11T18:31:23Z">
        <w:r>
          <w:rPr>
            <w:rFonts w:hint="eastAsia"/>
            <w:b w:val="0"/>
            <w:color w:val="000000"/>
            <w:sz w:val="23"/>
            <w:lang w:eastAsia="zh"/>
            <w:woUserID w:val="1"/>
          </w:rPr>
          <w:t>1</w:t>
        </w:r>
      </w:ins>
      <w:del w:id="72" w:author="白日梦想家" w:date="2026-10-11T18:31:21Z">
        <w:r>
          <w:rPr>
            <w:rFonts w:ascii="Times New Roman" w:hAnsi="Times New Roman" w:eastAsia="方正仿宋_GBK"/>
            <w:b w:val="0"/>
            <w:color w:val="000000"/>
            <w:sz w:val="23"/>
          </w:rPr>
          <w:delText>退出</w:delText>
        </w:r>
      </w:del>
      <w:r>
        <w:rPr>
          <w:rFonts w:ascii="Times New Roman" w:hAnsi="Times New Roman" w:eastAsia="方正仿宋_GBK"/>
          <w:b w:val="0"/>
          <w:color w:val="000000"/>
          <w:sz w:val="23"/>
        </w:rPr>
        <w:t>后的剩余容量。不同站点因此采用更换、扩建或转供等不同措施，区域容载比是这些站级配置汇总后的结果。设备费用与供电作用需结合完整方案判断。</w:t>
      </w:r>
    </w:p>
    <w:p w14:paraId="6256A95F">
      <w:pPr>
        <w:pStyle w:val="4"/>
        <w:keepNext/>
        <w:pageBreakBefore/>
        <w:widowControl/>
        <w:snapToGrid w:val="0"/>
        <w:spacing w:before="80" w:after="80" w:line="320" w:lineRule="exact"/>
        <w:ind w:left="0" w:leftChars="0" w:right="0" w:rightChars="0" w:firstLine="0" w:firstLine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3.4 邳州弹性方案的逐年建设</w:t>
      </w:r>
    </w:p>
    <w:p w14:paraId="708804D2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表2、表3区分当年新购、新增工程与年末在役规模。新购主变容量包含更换和扩建采购，净增容量需扣除被替换设备容量。</w:t>
      </w:r>
    </w:p>
    <w:p w14:paraId="2BDCD877">
      <w:pPr>
        <w:keepNext/>
        <w:widowControl/>
        <w:snapToGrid w:val="0"/>
        <w:spacing w:before="0" w:after="100" w:line="320" w:lineRule="exact"/>
        <w:ind w:left="0" w:leftChars="0" w:right="0" w:rightChars="0" w:firstLine="0" w:firstLineChars="0"/>
        <w:jc w:val="center"/>
      </w:pPr>
      <w:r>
        <w:rPr>
          <w:rFonts w:ascii="Times New Roman" w:hAnsi="Times New Roman" w:eastAsia="方正仿宋_GBK"/>
          <w:b w:val="0"/>
          <w:color w:val="000000"/>
          <w:sz w:val="21"/>
        </w:rPr>
        <w:t>表2 邳州弹性方案年度措施（据终稿表5-4、5-5）</w:t>
      </w:r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6"/>
        <w:gridCol w:w="1606"/>
        <w:gridCol w:w="1606"/>
        <w:gridCol w:w="1606"/>
        <w:gridCol w:w="1606"/>
        <w:gridCol w:w="1606"/>
      </w:tblGrid>
      <w:tr w14:paraId="0B0604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1606" w:type="dxa"/>
            <w:vAlign w:val="center"/>
          </w:tcPr>
          <w:p w14:paraId="2E35A4EF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年份</w:t>
            </w:r>
          </w:p>
        </w:tc>
        <w:tc>
          <w:tcPr>
            <w:tcW w:w="1606" w:type="dxa"/>
            <w:vAlign w:val="center"/>
          </w:tcPr>
          <w:p w14:paraId="0BE9AF94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当年新购主变</w:t>
            </w:r>
            <w:r>
              <w:rPr>
                <w:rFonts w:ascii="Times New Roman" w:hAnsi="Times New Roman" w:eastAsia="方正仿宋_GBK"/>
                <w:b/>
                <w:sz w:val="21"/>
              </w:rPr>
              <w:br w:type="textWrapping"/>
            </w:r>
            <w:r>
              <w:rPr>
                <w:rFonts w:ascii="Times New Roman" w:hAnsi="Times New Roman" w:eastAsia="方正仿宋_GBK"/>
                <w:b/>
                <w:sz w:val="21"/>
              </w:rPr>
              <w:t>MVA</w:t>
            </w:r>
          </w:p>
        </w:tc>
        <w:tc>
          <w:tcPr>
            <w:tcW w:w="1606" w:type="dxa"/>
            <w:vAlign w:val="center"/>
          </w:tcPr>
          <w:p w14:paraId="4482983B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当年新增联络</w:t>
            </w:r>
            <w:r>
              <w:rPr>
                <w:rFonts w:ascii="Times New Roman" w:hAnsi="Times New Roman" w:eastAsia="方正仿宋_GBK"/>
                <w:b/>
                <w:sz w:val="21"/>
              </w:rPr>
              <w:br w:type="textWrapping"/>
            </w:r>
            <w:r>
              <w:rPr>
                <w:rFonts w:ascii="Times New Roman" w:hAnsi="Times New Roman" w:eastAsia="方正仿宋_GBK"/>
                <w:b/>
                <w:sz w:val="21"/>
              </w:rPr>
              <w:t>条</w:t>
            </w:r>
          </w:p>
        </w:tc>
        <w:tc>
          <w:tcPr>
            <w:tcW w:w="1606" w:type="dxa"/>
            <w:vAlign w:val="center"/>
          </w:tcPr>
          <w:p w14:paraId="2AB7B836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当年新增储能</w:t>
            </w:r>
            <w:r>
              <w:rPr>
                <w:rFonts w:ascii="Times New Roman" w:hAnsi="Times New Roman" w:eastAsia="方正仿宋_GBK"/>
                <w:b/>
                <w:sz w:val="21"/>
              </w:rPr>
              <w:br w:type="textWrapping"/>
            </w:r>
            <w:r>
              <w:rPr>
                <w:rFonts w:ascii="Times New Roman" w:hAnsi="Times New Roman" w:eastAsia="方正仿宋_GBK"/>
                <w:b/>
                <w:sz w:val="21"/>
              </w:rPr>
              <w:t>MW</w:t>
            </w:r>
          </w:p>
        </w:tc>
        <w:tc>
          <w:tcPr>
            <w:tcW w:w="1606" w:type="dxa"/>
            <w:vAlign w:val="center"/>
          </w:tcPr>
          <w:p w14:paraId="49EEE15E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年末主变容量</w:t>
            </w:r>
            <w:r>
              <w:rPr>
                <w:rFonts w:ascii="Times New Roman" w:hAnsi="Times New Roman" w:eastAsia="方正仿宋_GBK"/>
                <w:b/>
                <w:sz w:val="21"/>
              </w:rPr>
              <w:br w:type="textWrapping"/>
            </w:r>
            <w:r>
              <w:rPr>
                <w:rFonts w:ascii="Times New Roman" w:hAnsi="Times New Roman" w:eastAsia="方正仿宋_GBK"/>
                <w:b/>
                <w:sz w:val="21"/>
              </w:rPr>
              <w:t>MVA</w:t>
            </w:r>
          </w:p>
        </w:tc>
        <w:tc>
          <w:tcPr>
            <w:tcW w:w="1606" w:type="dxa"/>
            <w:vAlign w:val="center"/>
          </w:tcPr>
          <w:p w14:paraId="58D8B691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年末容载比</w:t>
            </w:r>
          </w:p>
        </w:tc>
      </w:tr>
      <w:tr w14:paraId="185EC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606" w:type="dxa"/>
            <w:vAlign w:val="center"/>
          </w:tcPr>
          <w:p w14:paraId="3656E519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2022</w:t>
            </w:r>
          </w:p>
        </w:tc>
        <w:tc>
          <w:tcPr>
            <w:tcW w:w="1606" w:type="dxa"/>
            <w:vAlign w:val="center"/>
          </w:tcPr>
          <w:p w14:paraId="1330400D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855.00</w:t>
            </w:r>
          </w:p>
        </w:tc>
        <w:tc>
          <w:tcPr>
            <w:tcW w:w="1606" w:type="dxa"/>
            <w:vAlign w:val="center"/>
          </w:tcPr>
          <w:p w14:paraId="69E6C3D2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21</w:t>
            </w:r>
          </w:p>
        </w:tc>
        <w:tc>
          <w:tcPr>
            <w:tcW w:w="1606" w:type="dxa"/>
            <w:vAlign w:val="center"/>
          </w:tcPr>
          <w:p w14:paraId="651BD423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w="1606" w:type="dxa"/>
            <w:vAlign w:val="center"/>
          </w:tcPr>
          <w:p w14:paraId="2FB56810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1932.50</w:t>
            </w:r>
          </w:p>
        </w:tc>
        <w:tc>
          <w:tcPr>
            <w:tcW w:w="1606" w:type="dxa"/>
            <w:vAlign w:val="center"/>
          </w:tcPr>
          <w:p w14:paraId="1EE1F6F9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2.34</w:t>
            </w:r>
          </w:p>
        </w:tc>
      </w:tr>
      <w:tr w14:paraId="4369A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606" w:type="dxa"/>
            <w:vAlign w:val="center"/>
          </w:tcPr>
          <w:p w14:paraId="0C4CF096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2023</w:t>
            </w:r>
          </w:p>
        </w:tc>
        <w:tc>
          <w:tcPr>
            <w:tcW w:w="1606" w:type="dxa"/>
            <w:vAlign w:val="center"/>
          </w:tcPr>
          <w:p w14:paraId="628A6041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w="1606" w:type="dxa"/>
            <w:vAlign w:val="center"/>
          </w:tcPr>
          <w:p w14:paraId="73A70122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</w:t>
            </w:r>
          </w:p>
        </w:tc>
        <w:tc>
          <w:tcPr>
            <w:tcW w:w="1606" w:type="dxa"/>
            <w:vAlign w:val="center"/>
          </w:tcPr>
          <w:p w14:paraId="101D0ADA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w="1606" w:type="dxa"/>
            <w:vAlign w:val="center"/>
          </w:tcPr>
          <w:p w14:paraId="695DD29F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1932.50</w:t>
            </w:r>
          </w:p>
        </w:tc>
        <w:tc>
          <w:tcPr>
            <w:tcW w:w="1606" w:type="dxa"/>
            <w:vAlign w:val="center"/>
          </w:tcPr>
          <w:p w14:paraId="203CE515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2.54</w:t>
            </w:r>
          </w:p>
        </w:tc>
      </w:tr>
      <w:tr w14:paraId="5954B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606" w:type="dxa"/>
            <w:vAlign w:val="center"/>
          </w:tcPr>
          <w:p w14:paraId="2E3AAF97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2024</w:t>
            </w:r>
          </w:p>
        </w:tc>
        <w:tc>
          <w:tcPr>
            <w:tcW w:w="1606" w:type="dxa"/>
            <w:vAlign w:val="center"/>
          </w:tcPr>
          <w:p w14:paraId="43E1C52E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w="1606" w:type="dxa"/>
            <w:vAlign w:val="center"/>
          </w:tcPr>
          <w:p w14:paraId="2B12B8B7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</w:t>
            </w:r>
          </w:p>
        </w:tc>
        <w:tc>
          <w:tcPr>
            <w:tcW w:w="1606" w:type="dxa"/>
            <w:vAlign w:val="center"/>
          </w:tcPr>
          <w:p w14:paraId="7BF29F0E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w="1606" w:type="dxa"/>
            <w:vAlign w:val="center"/>
          </w:tcPr>
          <w:p w14:paraId="7976419A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1932.50</w:t>
            </w:r>
          </w:p>
        </w:tc>
        <w:tc>
          <w:tcPr>
            <w:tcW w:w="1606" w:type="dxa"/>
            <w:vAlign w:val="center"/>
          </w:tcPr>
          <w:p w14:paraId="1DE14D9A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2.24</w:t>
            </w:r>
          </w:p>
        </w:tc>
      </w:tr>
      <w:tr w14:paraId="1E136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606" w:type="dxa"/>
            <w:vAlign w:val="center"/>
          </w:tcPr>
          <w:p w14:paraId="205B4731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2025</w:t>
            </w:r>
          </w:p>
        </w:tc>
        <w:tc>
          <w:tcPr>
            <w:tcW w:w="1606" w:type="dxa"/>
            <w:vAlign w:val="center"/>
          </w:tcPr>
          <w:p w14:paraId="2E9E58D9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63.00</w:t>
            </w:r>
          </w:p>
        </w:tc>
        <w:tc>
          <w:tcPr>
            <w:tcW w:w="1606" w:type="dxa"/>
            <w:vAlign w:val="center"/>
          </w:tcPr>
          <w:p w14:paraId="42693A49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6</w:t>
            </w:r>
          </w:p>
        </w:tc>
        <w:tc>
          <w:tcPr>
            <w:tcW w:w="1606" w:type="dxa"/>
            <w:vAlign w:val="center"/>
          </w:tcPr>
          <w:p w14:paraId="454D87DB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w="1606" w:type="dxa"/>
            <w:vAlign w:val="center"/>
          </w:tcPr>
          <w:p w14:paraId="60435D6C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1955.50</w:t>
            </w:r>
          </w:p>
        </w:tc>
        <w:tc>
          <w:tcPr>
            <w:tcW w:w="1606" w:type="dxa"/>
            <w:vAlign w:val="center"/>
          </w:tcPr>
          <w:p w14:paraId="03733F9A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2.04</w:t>
            </w:r>
          </w:p>
        </w:tc>
      </w:tr>
    </w:tbl>
    <w:p w14:paraId="41505523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邳州主要容量调整集中在2022年，年末容量达到1932.50 MVA。2023年未新增主变，负荷由825.00 MW回落至761.23 MW，使容载比升至2.54。2024年负荷恢复增长，既有容量继续承担供电任务，容载比降至2.24。</w:t>
      </w:r>
    </w:p>
    <w:p w14:paraId="07AEE9F4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2025年新购63.00 MVA主变用于设备更换，净增容量23.00 MVA；同年负荷增至956.45 MW，容载比为2.04。后期联络建设随逐年需求补充，四年累计新增30条，未配置储能。</w:t>
      </w:r>
    </w:p>
    <w:p w14:paraId="4BCD51FE">
      <w:pPr>
        <w:pStyle w:val="4"/>
        <w:keepNext/>
        <w:widowControl/>
        <w:snapToGrid w:val="0"/>
        <w:spacing w:before="80" w:after="80" w:line="320" w:lineRule="exact"/>
        <w:ind w:left="0" w:leftChars="0" w:right="0" w:rightChars="0" w:firstLine="0" w:firstLine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3.5 市区弹性方案的逐年建设</w:t>
      </w:r>
    </w:p>
    <w:p w14:paraId="219E3639">
      <w:pPr>
        <w:keepNext/>
        <w:widowControl/>
        <w:snapToGrid w:val="0"/>
        <w:spacing w:before="0" w:after="100" w:line="320" w:lineRule="exact"/>
        <w:ind w:left="0" w:leftChars="0" w:right="0" w:rightChars="0" w:firstLine="0" w:firstLineChars="0"/>
        <w:jc w:val="center"/>
      </w:pPr>
      <w:r>
        <w:rPr>
          <w:rFonts w:ascii="Times New Roman" w:hAnsi="Times New Roman" w:eastAsia="方正仿宋_GBK"/>
          <w:b w:val="0"/>
          <w:color w:val="000000"/>
          <w:sz w:val="21"/>
        </w:rPr>
        <w:t>表3 市区弹性方案年度措施（据终稿表5-6、5-7）</w:t>
      </w:r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6"/>
        <w:gridCol w:w="1606"/>
        <w:gridCol w:w="1606"/>
        <w:gridCol w:w="1606"/>
        <w:gridCol w:w="1606"/>
        <w:gridCol w:w="1606"/>
      </w:tblGrid>
      <w:tr w14:paraId="21C61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1606" w:type="dxa"/>
            <w:vAlign w:val="center"/>
          </w:tcPr>
          <w:p w14:paraId="04C1D981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年份</w:t>
            </w:r>
          </w:p>
        </w:tc>
        <w:tc>
          <w:tcPr>
            <w:tcW w:w="1606" w:type="dxa"/>
            <w:vAlign w:val="center"/>
          </w:tcPr>
          <w:p w14:paraId="6C7A70F7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当年新购主变</w:t>
            </w:r>
            <w:r>
              <w:rPr>
                <w:rFonts w:ascii="Times New Roman" w:hAnsi="Times New Roman" w:eastAsia="方正仿宋_GBK"/>
                <w:b/>
                <w:sz w:val="21"/>
              </w:rPr>
              <w:br w:type="textWrapping"/>
            </w:r>
            <w:r>
              <w:rPr>
                <w:rFonts w:ascii="Times New Roman" w:hAnsi="Times New Roman" w:eastAsia="方正仿宋_GBK"/>
                <w:b/>
                <w:sz w:val="21"/>
              </w:rPr>
              <w:t>MVA</w:t>
            </w:r>
          </w:p>
        </w:tc>
        <w:tc>
          <w:tcPr>
            <w:tcW w:w="1606" w:type="dxa"/>
            <w:vAlign w:val="center"/>
          </w:tcPr>
          <w:p w14:paraId="0EEF2F39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当年新增联络</w:t>
            </w:r>
            <w:r>
              <w:rPr>
                <w:rFonts w:ascii="Times New Roman" w:hAnsi="Times New Roman" w:eastAsia="方正仿宋_GBK"/>
                <w:b/>
                <w:sz w:val="21"/>
              </w:rPr>
              <w:br w:type="textWrapping"/>
            </w:r>
            <w:r>
              <w:rPr>
                <w:rFonts w:ascii="Times New Roman" w:hAnsi="Times New Roman" w:eastAsia="方正仿宋_GBK"/>
                <w:b/>
                <w:sz w:val="21"/>
              </w:rPr>
              <w:t>条</w:t>
            </w:r>
          </w:p>
        </w:tc>
        <w:tc>
          <w:tcPr>
            <w:tcW w:w="1606" w:type="dxa"/>
            <w:vAlign w:val="center"/>
          </w:tcPr>
          <w:p w14:paraId="0514D8D9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当年新增储能</w:t>
            </w:r>
            <w:r>
              <w:rPr>
                <w:rFonts w:ascii="Times New Roman" w:hAnsi="Times New Roman" w:eastAsia="方正仿宋_GBK"/>
                <w:b/>
                <w:sz w:val="21"/>
              </w:rPr>
              <w:br w:type="textWrapping"/>
            </w:r>
            <w:r>
              <w:rPr>
                <w:rFonts w:ascii="Times New Roman" w:hAnsi="Times New Roman" w:eastAsia="方正仿宋_GBK"/>
                <w:b/>
                <w:sz w:val="21"/>
              </w:rPr>
              <w:t>MW</w:t>
            </w:r>
          </w:p>
        </w:tc>
        <w:tc>
          <w:tcPr>
            <w:tcW w:w="1606" w:type="dxa"/>
            <w:vAlign w:val="center"/>
          </w:tcPr>
          <w:p w14:paraId="7FA92CF2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年末主变容量</w:t>
            </w:r>
            <w:r>
              <w:rPr>
                <w:rFonts w:ascii="Times New Roman" w:hAnsi="Times New Roman" w:eastAsia="方正仿宋_GBK"/>
                <w:b/>
                <w:sz w:val="21"/>
              </w:rPr>
              <w:br w:type="textWrapping"/>
            </w:r>
            <w:r>
              <w:rPr>
                <w:rFonts w:ascii="Times New Roman" w:hAnsi="Times New Roman" w:eastAsia="方正仿宋_GBK"/>
                <w:b/>
                <w:sz w:val="21"/>
              </w:rPr>
              <w:t>MVA</w:t>
            </w:r>
          </w:p>
        </w:tc>
        <w:tc>
          <w:tcPr>
            <w:tcW w:w="1606" w:type="dxa"/>
            <w:vAlign w:val="center"/>
          </w:tcPr>
          <w:p w14:paraId="347B9A84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年末容载比</w:t>
            </w:r>
          </w:p>
        </w:tc>
      </w:tr>
      <w:tr w14:paraId="20AB9C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606" w:type="dxa"/>
            <w:vAlign w:val="center"/>
          </w:tcPr>
          <w:p w14:paraId="5C74C6E0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2022</w:t>
            </w:r>
          </w:p>
        </w:tc>
        <w:tc>
          <w:tcPr>
            <w:tcW w:w="1606" w:type="dxa"/>
            <w:vAlign w:val="center"/>
          </w:tcPr>
          <w:p w14:paraId="5CF1B05E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823.00</w:t>
            </w:r>
          </w:p>
        </w:tc>
        <w:tc>
          <w:tcPr>
            <w:tcW w:w="1606" w:type="dxa"/>
            <w:vAlign w:val="center"/>
          </w:tcPr>
          <w:p w14:paraId="59BBD7BB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53</w:t>
            </w:r>
          </w:p>
        </w:tc>
        <w:tc>
          <w:tcPr>
            <w:tcW w:w="1606" w:type="dxa"/>
            <w:vAlign w:val="center"/>
          </w:tcPr>
          <w:p w14:paraId="1156C97D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w="1606" w:type="dxa"/>
            <w:vAlign w:val="center"/>
          </w:tcPr>
          <w:p w14:paraId="70ECC433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3324.00</w:t>
            </w:r>
          </w:p>
        </w:tc>
        <w:tc>
          <w:tcPr>
            <w:tcW w:w="1606" w:type="dxa"/>
            <w:vAlign w:val="center"/>
          </w:tcPr>
          <w:p w14:paraId="76C1E6EE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2.32</w:t>
            </w:r>
          </w:p>
        </w:tc>
      </w:tr>
      <w:tr w14:paraId="71940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606" w:type="dxa"/>
            <w:vAlign w:val="center"/>
          </w:tcPr>
          <w:p w14:paraId="0B3D31B8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2023</w:t>
            </w:r>
          </w:p>
        </w:tc>
        <w:tc>
          <w:tcPr>
            <w:tcW w:w="1606" w:type="dxa"/>
            <w:vAlign w:val="center"/>
          </w:tcPr>
          <w:p w14:paraId="0D2F761C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w="1606" w:type="dxa"/>
            <w:vAlign w:val="center"/>
          </w:tcPr>
          <w:p w14:paraId="007A42CC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11</w:t>
            </w:r>
          </w:p>
        </w:tc>
        <w:tc>
          <w:tcPr>
            <w:tcW w:w="1606" w:type="dxa"/>
            <w:vAlign w:val="center"/>
          </w:tcPr>
          <w:p w14:paraId="584C38EC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0.50</w:t>
            </w:r>
          </w:p>
        </w:tc>
        <w:tc>
          <w:tcPr>
            <w:tcW w:w="1606" w:type="dxa"/>
            <w:vAlign w:val="center"/>
          </w:tcPr>
          <w:p w14:paraId="366E5CC4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3324.00</w:t>
            </w:r>
          </w:p>
        </w:tc>
        <w:tc>
          <w:tcPr>
            <w:tcW w:w="1606" w:type="dxa"/>
            <w:vAlign w:val="center"/>
          </w:tcPr>
          <w:p w14:paraId="67760A87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2.16</w:t>
            </w:r>
          </w:p>
        </w:tc>
      </w:tr>
      <w:tr w14:paraId="58569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606" w:type="dxa"/>
            <w:vAlign w:val="center"/>
          </w:tcPr>
          <w:p w14:paraId="144B5B58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2024</w:t>
            </w:r>
          </w:p>
        </w:tc>
        <w:tc>
          <w:tcPr>
            <w:tcW w:w="1606" w:type="dxa"/>
            <w:vAlign w:val="center"/>
          </w:tcPr>
          <w:p w14:paraId="380F4216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w="1606" w:type="dxa"/>
            <w:vAlign w:val="center"/>
          </w:tcPr>
          <w:p w14:paraId="54BBFD65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</w:t>
            </w:r>
          </w:p>
        </w:tc>
        <w:tc>
          <w:tcPr>
            <w:tcW w:w="1606" w:type="dxa"/>
            <w:vAlign w:val="center"/>
          </w:tcPr>
          <w:p w14:paraId="7701758D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w="1606" w:type="dxa"/>
            <w:vAlign w:val="center"/>
          </w:tcPr>
          <w:p w14:paraId="00B04EC8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3324.00</w:t>
            </w:r>
          </w:p>
        </w:tc>
        <w:tc>
          <w:tcPr>
            <w:tcW w:w="1606" w:type="dxa"/>
            <w:vAlign w:val="center"/>
          </w:tcPr>
          <w:p w14:paraId="5887E8A2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2.29</w:t>
            </w:r>
          </w:p>
        </w:tc>
      </w:tr>
      <w:tr w14:paraId="5D0FC0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606" w:type="dxa"/>
            <w:vAlign w:val="center"/>
          </w:tcPr>
          <w:p w14:paraId="7678F526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2025</w:t>
            </w:r>
          </w:p>
        </w:tc>
        <w:tc>
          <w:tcPr>
            <w:tcW w:w="1606" w:type="dxa"/>
            <w:vAlign w:val="center"/>
          </w:tcPr>
          <w:p w14:paraId="19113DD9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w="1606" w:type="dxa"/>
            <w:vAlign w:val="center"/>
          </w:tcPr>
          <w:p w14:paraId="2EE7A1A0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</w:t>
            </w:r>
          </w:p>
        </w:tc>
        <w:tc>
          <w:tcPr>
            <w:tcW w:w="1606" w:type="dxa"/>
            <w:vAlign w:val="center"/>
          </w:tcPr>
          <w:p w14:paraId="2B1B26DC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w="1606" w:type="dxa"/>
            <w:vAlign w:val="center"/>
          </w:tcPr>
          <w:p w14:paraId="38E2B57F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3324.00</w:t>
            </w:r>
          </w:p>
        </w:tc>
        <w:tc>
          <w:tcPr>
            <w:tcW w:w="1606" w:type="dxa"/>
            <w:vAlign w:val="center"/>
          </w:tcPr>
          <w:p w14:paraId="3BECD2B1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2.17</w:t>
            </w:r>
          </w:p>
        </w:tc>
      </w:tr>
    </w:tbl>
    <w:p w14:paraId="757B5EED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市区主要主变调整集中在2022年，年末容量达到3324.00 MVA。2023年负荷升至1542.22 MW，新增11条联络和0.50 MW储能，补充当年局部供电需求；四年累计新增联络64条。</w:t>
      </w:r>
    </w:p>
    <w:p w14:paraId="239556AB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2024年主变容量保持不变，负荷回落至1449.40 MW，容载比回升至2.29；2025年负荷增加至1528.82 MW，容载比回落至2.17。2024—2025年沿用已有配置，无需继续新增主变、储能和联络。</w:t>
      </w:r>
    </w:p>
    <w:p w14:paraId="072042A6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两个地区的年度容载比均由容量投放与负荷变化共同决定。评价建设规模时，应同时观察主变净增容量、年度负荷、离散设备规格及N-1需求，将比值变化与具体建设行为对应起来。</w:t>
      </w:r>
    </w:p>
    <w:p w14:paraId="329040A8">
      <w:pPr>
        <w:pStyle w:val="3"/>
        <w:keepNext/>
        <w:pageBreakBefore/>
        <w:widowControl/>
        <w:snapToGrid w:val="0"/>
        <w:spacing w:before="120" w:after="100" w:line="320" w:lineRule="exact"/>
        <w:ind w:left="0" w:leftChars="0" w:right="0" w:rightChars="0" w:firstLine="0" w:firstLineChars="0"/>
        <w:jc w:val="both"/>
      </w:pPr>
      <w:r>
        <w:rPr>
          <w:rFonts w:ascii="Times New Roman" w:hAnsi="Times New Roman" w:eastAsia="方正仿宋_GBK"/>
          <w:b/>
          <w:color w:val="000000"/>
          <w:sz w:val="26"/>
        </w:rPr>
        <w:t>四、结果反映的规划含义</w:t>
      </w:r>
    </w:p>
    <w:p w14:paraId="2534BF76">
      <w:pPr>
        <w:pStyle w:val="4"/>
        <w:keepNext/>
        <w:widowControl/>
        <w:snapToGrid w:val="0"/>
        <w:spacing w:before="80" w:after="80" w:line="320" w:lineRule="exact"/>
        <w:ind w:left="0" w:leftChars="0" w:right="0" w:rightChars="0" w:firstLine="0" w:firstLine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4.1 容量配置由具体供电任务形成</w:t>
      </w:r>
    </w:p>
    <w:p w14:paraId="097D0B34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各站正向负荷、反向功率、主变台数与规格、N-1后剩余容量、网络转供及储能支撑条件共同决定建设需求。规划应先形成满足逐站要求的可实施设备方案，再汇总主变容量，计算地区容载比。区域指标用于衡量总体储备，站级校核用于落实容量分配。</w:t>
      </w:r>
    </w:p>
    <w:p w14:paraId="38F083C2">
      <w:pPr>
        <w:pStyle w:val="4"/>
        <w:keepNext/>
        <w:widowControl/>
        <w:snapToGrid w:val="0"/>
        <w:spacing w:before="80" w:after="80" w:line="320" w:lineRule="exact"/>
        <w:ind w:left="0" w:leftChars="0" w:right="0" w:rightChars="0" w:firstLine="0" w:firstLine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4.2 三类措施的替代程度取决于可提供的能力</w:t>
      </w:r>
    </w:p>
    <w:p w14:paraId="02821AED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主变增加本站供电能力和故障后剩余容量；联络利用邻站余量改善负荷空间分布；储能承担给定持续时间内的功率缺口。联络发挥作用需同时具备送端负荷可切换、馈线有容量、通道可用及受端主变有余量等条件。新增联络条数计量建设规模，实际转供功率按各运行工况及两端能力确定。</w:t>
      </w:r>
    </w:p>
    <w:p w14:paraId="58A9DD65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正常方式下利用较少的联络可能承担故障支援，正常负载率较低的主变也可能承接邻站故障负荷。措施比选应覆盖正常和N-1工况，以实际可提供的支撑能力及其费用判断替代关系。（终稿第5.5节）</w:t>
      </w:r>
    </w:p>
    <w:p w14:paraId="5FB36A11">
      <w:pPr>
        <w:pStyle w:val="4"/>
        <w:keepNext/>
        <w:widowControl/>
        <w:snapToGrid w:val="0"/>
        <w:spacing w:before="80" w:after="80" w:line="320" w:lineRule="exact"/>
        <w:ind w:left="0" w:leftChars="0" w:right="0" w:rightChars="0" w:firstLine="0" w:firstLine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4.3 地区差异来自源荷、设备与网络条件</w:t>
      </w:r>
    </w:p>
    <w:p w14:paraId="60B443D0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邳州光伏规模较大，正向高峰和日间反送共同影响容量配置；市区以正向供电、局部重载和网络支援为主要任务，联络工程费用也更高。两地区分别保留自身设备结构、负荷空间分布及候选网络，由联合比选形成不同配置。这是“一片一策”的工程依据。</w:t>
      </w:r>
    </w:p>
    <w:p w14:paraId="74982D64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邳州2.04、市区2.17对应各自2025年案例配置，适用条件见第二部分。其他片区需按自身条件选取容量范围，为此进一步采用独立五站模板开展参数推广。（终稿第5.6、5.7节）</w:t>
      </w:r>
    </w:p>
    <w:p w14:paraId="08808B60">
      <w:pPr>
        <w:pStyle w:val="3"/>
        <w:keepNext/>
        <w:widowControl/>
        <w:snapToGrid w:val="0"/>
        <w:spacing w:before="120" w:after="100" w:line="320" w:lineRule="exact"/>
        <w:ind w:left="0" w:leftChars="0" w:right="0" w:rightChars="0" w:firstLine="0" w:firstLineChars="0"/>
        <w:jc w:val="both"/>
      </w:pPr>
      <w:r>
        <w:rPr>
          <w:rFonts w:ascii="Times New Roman" w:hAnsi="Times New Roman" w:eastAsia="方正仿宋_GBK"/>
          <w:b/>
          <w:color w:val="000000"/>
          <w:sz w:val="26"/>
        </w:rPr>
        <w:t>五、通用推荐矩阵及规划应用</w:t>
      </w:r>
    </w:p>
    <w:p w14:paraId="77AFB461">
      <w:pPr>
        <w:pStyle w:val="4"/>
        <w:keepNext/>
        <w:widowControl/>
        <w:snapToGrid w:val="0"/>
        <w:spacing w:before="80" w:after="80" w:line="320" w:lineRule="exact"/>
        <w:ind w:left="0" w:leftChars="0" w:right="0" w:rightChars="0" w:firstLine="0" w:firstLine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5.1 六项参数及其规划作用</w:t>
      </w:r>
    </w:p>
    <w:p w14:paraId="67CC3FB0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commentRangeStart w:id="2"/>
      <w:r>
        <w:rPr>
          <w:rFonts w:ascii="Times New Roman" w:hAnsi="Times New Roman" w:eastAsia="方正仿宋_GBK"/>
          <w:b w:val="0"/>
          <w:color w:val="000000"/>
          <w:sz w:val="23"/>
        </w:rPr>
        <w:t>矩阵采用以下六项参数，统一对应电源规模、负荷发展、线路经济性、既有网络支援、储能持续支撑及负荷空间同时性。（终稿第3.5、5.6节）</w:t>
      </w:r>
      <w:commentRangeEnd w:id="2"/>
      <w:r>
        <w:rPr>
          <w:woUserID w:val="1"/>
        </w:rPr>
        <w:commentReference w:id="2"/>
      </w:r>
    </w:p>
    <w:p w14:paraId="51BD185A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（1）分布式电源装机渗透率：按第二部分定义表征电源与用户负荷的规模关系，影响日间反向容量需求。</w:t>
      </w:r>
    </w:p>
    <w:p w14:paraId="17A28792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（2）年最大净负荷平均增长率：由同范围起止年度年网供最大负荷按复合增长计算，以百分比表示；反映负荷发展，同时影响容量需求和容载比分母。</w:t>
      </w:r>
    </w:p>
    <w:p w14:paraId="721AEA54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（3）线路成本系数：单位长度综合造价与架空参考基价之比，无量纲；用于反映不同敷设方式的联络工程经济性。</w:t>
      </w:r>
    </w:p>
    <w:p w14:paraId="27BC0843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（4）初始转供率：基期既有可转负荷占相应负荷基数的比例，以百分比表示；推广中据此设置既有转供预算，实际能力落实到路径、馈线和邻站。</w:t>
      </w:r>
    </w:p>
    <w:p w14:paraId="5F17E9F7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（5）储能支撑持续时间：要求储能连续提供支撑的时长，单位h；用于将可用能量折算为持续支撑功率。</w:t>
      </w:r>
    </w:p>
    <w:p w14:paraId="6905C75A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（6）负荷分散系数：各站最大正向净负荷之和与同期区域同步曲线最大正向净负荷之比，无量纲且不小于1；反映站峰与区域同时峰值的差异。</w:t>
      </w:r>
    </w:p>
    <w:p w14:paraId="3B18EF70">
      <w:pPr>
        <w:pStyle w:val="4"/>
        <w:keepNext/>
        <w:pageBreakBefore/>
        <w:widowControl/>
        <w:snapToGrid w:val="0"/>
        <w:spacing w:before="80" w:after="80" w:line="320" w:lineRule="exact"/>
        <w:ind w:left="0" w:leftChars="0" w:right="0" w:rightChars="0" w:firstLine="0" w:firstLine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5.2 矩阵规模及本次展示条件</w:t>
      </w:r>
    </w:p>
    <w:p w14:paraId="28158A79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五站模板以每站两台50 MVA主变、区域基期网供峰值250 MW为初态，在所设源荷分布和候选网络下开展目标年静态比选。12600组参数组合形成648个参数区间单元，已计算容载比总体范围为2.01～3.28。该范围归纳所设模板、有限参数节点和候选设备的计算结果，应用于实际片区时需核对相应条件。（终稿第5.6.2、5.6.3节）</w:t>
      </w:r>
    </w:p>
    <w:p w14:paraId="5F238490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表4为完整矩阵的一个条件组合：</w:t>
      </w:r>
      <w:commentRangeStart w:id="3"/>
      <w:r>
        <w:rPr>
          <w:rFonts w:ascii="Times New Roman" w:hAnsi="Times New Roman" w:eastAsia="方正仿宋_GBK"/>
          <w:b w:val="0"/>
          <w:color w:val="000000"/>
          <w:sz w:val="23"/>
        </w:rPr>
        <w:t>线路成本系数为(1.65, 6.85]</w:t>
      </w:r>
      <w:commentRangeEnd w:id="3"/>
      <w:r>
        <w:rPr>
          <w:woUserID w:val="1"/>
        </w:rPr>
        <w:commentReference w:id="3"/>
      </w:r>
      <w:r>
        <w:rPr>
          <w:rFonts w:ascii="Times New Roman" w:hAnsi="Times New Roman" w:eastAsia="方正仿宋_GBK"/>
          <w:b w:val="0"/>
          <w:color w:val="000000"/>
          <w:sz w:val="23"/>
        </w:rPr>
        <w:t>，储能支撑持续时间为(2 h, 4 h]，负荷分散系数≤1.10。各区间“(”表示不含左端点，“]”表示包含右端点。</w:t>
      </w:r>
    </w:p>
    <w:p w14:paraId="59B22696">
      <w:pPr>
        <w:keepNext/>
        <w:widowControl/>
        <w:snapToGrid w:val="0"/>
        <w:spacing w:before="0" w:after="100" w:line="320" w:lineRule="exact"/>
        <w:ind w:left="0" w:leftChars="0" w:right="0" w:rightChars="0" w:firstLine="0" w:firstLineChars="0"/>
        <w:jc w:val="center"/>
      </w:pPr>
      <w:r>
        <w:rPr>
          <w:rFonts w:ascii="Times New Roman" w:hAnsi="Times New Roman" w:eastAsia="方正仿宋_GBK"/>
          <w:b w:val="0"/>
          <w:color w:val="000000"/>
          <w:sz w:val="21"/>
        </w:rPr>
        <w:t>表4 指定条件下的容载比计算范围（据终稿表5-71～5-73）</w:t>
      </w:r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928"/>
        <w:gridCol w:w="1928"/>
        <w:gridCol w:w="1928"/>
        <w:gridCol w:w="1928"/>
      </w:tblGrid>
      <w:tr w14:paraId="5772F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1928" w:type="dxa"/>
            <w:vAlign w:val="center"/>
          </w:tcPr>
          <w:p w14:paraId="4CB2CA8A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分布式电源</w:t>
            </w:r>
            <w:r>
              <w:rPr>
                <w:rFonts w:ascii="Times New Roman" w:hAnsi="Times New Roman" w:eastAsia="方正仿宋_GBK"/>
                <w:b/>
                <w:sz w:val="21"/>
              </w:rPr>
              <w:br w:type="textWrapping"/>
            </w:r>
            <w:r>
              <w:rPr>
                <w:rFonts w:ascii="Times New Roman" w:hAnsi="Times New Roman" w:eastAsia="方正仿宋_GBK"/>
                <w:b/>
                <w:sz w:val="21"/>
              </w:rPr>
              <w:t>装机渗透率</w:t>
            </w:r>
          </w:p>
        </w:tc>
        <w:tc>
          <w:tcPr>
            <w:tcW w:w="1928" w:type="dxa"/>
            <w:vAlign w:val="center"/>
          </w:tcPr>
          <w:p w14:paraId="2B7A2EE4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年最大净负荷</w:t>
            </w:r>
            <w:r>
              <w:rPr>
                <w:rFonts w:ascii="Times New Roman" w:hAnsi="Times New Roman" w:eastAsia="方正仿宋_GBK"/>
                <w:b/>
                <w:sz w:val="21"/>
              </w:rPr>
              <w:br w:type="textWrapping"/>
            </w:r>
            <w:r>
              <w:rPr>
                <w:rFonts w:ascii="Times New Roman" w:hAnsi="Times New Roman" w:eastAsia="方正仿宋_GBK"/>
                <w:b/>
                <w:sz w:val="21"/>
              </w:rPr>
              <w:t>平均增长率</w:t>
            </w:r>
          </w:p>
        </w:tc>
        <w:tc>
          <w:tcPr>
            <w:tcW w:w="1928" w:type="dxa"/>
            <w:vAlign w:val="center"/>
          </w:tcPr>
          <w:p w14:paraId="18DF8D9A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commentRangeStart w:id="4"/>
            <w:r>
              <w:rPr>
                <w:rFonts w:ascii="Times New Roman" w:hAnsi="Times New Roman" w:eastAsia="方正仿宋_GBK"/>
                <w:b/>
                <w:sz w:val="21"/>
              </w:rPr>
              <w:t>初始转供率</w:t>
            </w:r>
            <w:r>
              <w:rPr>
                <w:rFonts w:ascii="Times New Roman" w:hAnsi="Times New Roman" w:eastAsia="方正仿宋_GBK"/>
                <w:b/>
                <w:sz w:val="21"/>
              </w:rPr>
              <w:br w:type="textWrapping"/>
            </w:r>
            <w:r>
              <w:rPr>
                <w:rFonts w:ascii="Times New Roman" w:hAnsi="Times New Roman" w:eastAsia="方正仿宋_GBK"/>
                <w:b/>
                <w:sz w:val="21"/>
              </w:rPr>
              <w:t>≤30%</w:t>
            </w:r>
          </w:p>
        </w:tc>
        <w:tc>
          <w:tcPr>
            <w:tcW w:w="1928" w:type="dxa"/>
            <w:vAlign w:val="center"/>
          </w:tcPr>
          <w:p w14:paraId="25FD4D74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初始转供率</w:t>
            </w:r>
            <w:r>
              <w:rPr>
                <w:rFonts w:ascii="Times New Roman" w:hAnsi="Times New Roman" w:eastAsia="方正仿宋_GBK"/>
                <w:b/>
                <w:sz w:val="21"/>
              </w:rPr>
              <w:br w:type="textWrapping"/>
            </w:r>
            <w:r>
              <w:rPr>
                <w:rFonts w:ascii="Times New Roman" w:hAnsi="Times New Roman" w:eastAsia="方正仿宋_GBK"/>
                <w:b/>
                <w:sz w:val="21"/>
              </w:rPr>
              <w:t>(30%, 50%]</w:t>
            </w:r>
          </w:p>
        </w:tc>
        <w:tc>
          <w:tcPr>
            <w:tcW w:w="1928" w:type="dxa"/>
            <w:vAlign w:val="center"/>
          </w:tcPr>
          <w:p w14:paraId="4673F8B1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  <w:rPr>
                <w:woUserID w:val="1"/>
              </w:rPr>
            </w:pPr>
            <w:r>
              <w:rPr>
                <w:rFonts w:ascii="Times New Roman" w:hAnsi="Times New Roman" w:eastAsia="方正仿宋_GBK"/>
                <w:b/>
                <w:sz w:val="21"/>
                <w:woUserID w:val="1"/>
              </w:rPr>
              <w:t>初始转供率</w:t>
            </w:r>
            <w:r>
              <w:rPr>
                <w:rFonts w:ascii="Times New Roman" w:hAnsi="Times New Roman" w:eastAsia="方正仿宋_GBK"/>
                <w:b/>
                <w:sz w:val="21"/>
                <w:woUserID w:val="1"/>
              </w:rPr>
              <w:br w:type="textWrapping"/>
            </w:r>
            <w:r>
              <w:rPr>
                <w:rFonts w:ascii="Times New Roman" w:hAnsi="Times New Roman" w:eastAsia="方正仿宋_GBK"/>
                <w:b/>
                <w:sz w:val="21"/>
                <w:woUserID w:val="1"/>
              </w:rPr>
              <w:t>&gt;50%</w:t>
            </w:r>
            <w:commentRangeEnd w:id="4"/>
            <w:r>
              <w:rPr>
                <w:woUserID w:val="1"/>
              </w:rPr>
              <w:commentReference w:id="4"/>
            </w:r>
          </w:p>
        </w:tc>
      </w:tr>
      <w:tr w14:paraId="2C9C5B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928" w:type="dxa"/>
            <w:vAlign w:val="center"/>
          </w:tcPr>
          <w:p w14:paraId="0466D842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≤1.00</w:t>
            </w:r>
          </w:p>
        </w:tc>
        <w:tc>
          <w:tcPr>
            <w:tcW w:w="1928" w:type="dxa"/>
            <w:vAlign w:val="center"/>
          </w:tcPr>
          <w:p w14:paraId="4372A4B7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≤2%</w:t>
            </w:r>
          </w:p>
        </w:tc>
        <w:tc>
          <w:tcPr>
            <w:tcW w:w="1928" w:type="dxa"/>
            <w:vAlign w:val="center"/>
          </w:tcPr>
          <w:p w14:paraId="171B02A1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2.03～2.21</w:t>
            </w:r>
          </w:p>
        </w:tc>
        <w:tc>
          <w:tcPr>
            <w:tcW w:w="1928" w:type="dxa"/>
            <w:vAlign w:val="center"/>
          </w:tcPr>
          <w:p w14:paraId="0FE88BA0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2.03～2.21</w:t>
            </w:r>
          </w:p>
        </w:tc>
        <w:tc>
          <w:tcPr>
            <w:tcW w:w="1928" w:type="dxa"/>
            <w:vAlign w:val="center"/>
          </w:tcPr>
          <w:p w14:paraId="0FA97DCD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2.03～2.21</w:t>
            </w:r>
          </w:p>
        </w:tc>
      </w:tr>
      <w:tr w14:paraId="633B0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928" w:type="dxa"/>
            <w:vAlign w:val="center"/>
          </w:tcPr>
          <w:p w14:paraId="7F1A8E12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≤1.00</w:t>
            </w:r>
          </w:p>
        </w:tc>
        <w:tc>
          <w:tcPr>
            <w:tcW w:w="1928" w:type="dxa"/>
            <w:vAlign w:val="center"/>
          </w:tcPr>
          <w:p w14:paraId="51239749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(2%, 4%]</w:t>
            </w:r>
          </w:p>
        </w:tc>
        <w:tc>
          <w:tcPr>
            <w:tcW w:w="1928" w:type="dxa"/>
            <w:vAlign w:val="center"/>
          </w:tcPr>
          <w:p w14:paraId="3A6CCEDE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2.05～2.23</w:t>
            </w:r>
          </w:p>
        </w:tc>
        <w:tc>
          <w:tcPr>
            <w:tcW w:w="1928" w:type="dxa"/>
            <w:vAlign w:val="center"/>
          </w:tcPr>
          <w:p w14:paraId="59D3F000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2.05～2.14</w:t>
            </w:r>
          </w:p>
        </w:tc>
        <w:tc>
          <w:tcPr>
            <w:tcW w:w="1928" w:type="dxa"/>
            <w:vAlign w:val="center"/>
          </w:tcPr>
          <w:p w14:paraId="521307F1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2.05～2.14</w:t>
            </w:r>
          </w:p>
        </w:tc>
      </w:tr>
      <w:tr w14:paraId="7984D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928" w:type="dxa"/>
            <w:vAlign w:val="center"/>
          </w:tcPr>
          <w:p w14:paraId="09908D74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≤1.00</w:t>
            </w:r>
          </w:p>
        </w:tc>
        <w:tc>
          <w:tcPr>
            <w:tcW w:w="1928" w:type="dxa"/>
            <w:vAlign w:val="center"/>
          </w:tcPr>
          <w:p w14:paraId="4488884F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(4%, 7%]</w:t>
            </w:r>
          </w:p>
        </w:tc>
        <w:tc>
          <w:tcPr>
            <w:tcW w:w="1928" w:type="dxa"/>
            <w:vAlign w:val="center"/>
          </w:tcPr>
          <w:p w14:paraId="174773D7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2.09～2.22</w:t>
            </w:r>
          </w:p>
        </w:tc>
        <w:tc>
          <w:tcPr>
            <w:tcW w:w="1928" w:type="dxa"/>
            <w:vAlign w:val="center"/>
          </w:tcPr>
          <w:p w14:paraId="7C464434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2.02～2.22</w:t>
            </w:r>
          </w:p>
        </w:tc>
        <w:tc>
          <w:tcPr>
            <w:tcW w:w="1928" w:type="dxa"/>
            <w:vAlign w:val="center"/>
          </w:tcPr>
          <w:p w14:paraId="623FDB55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2.02～2.10</w:t>
            </w:r>
          </w:p>
        </w:tc>
      </w:tr>
      <w:tr w14:paraId="159447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928" w:type="dxa"/>
            <w:vAlign w:val="center"/>
          </w:tcPr>
          <w:p w14:paraId="215440AF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≤1.00</w:t>
            </w:r>
          </w:p>
        </w:tc>
        <w:tc>
          <w:tcPr>
            <w:tcW w:w="1928" w:type="dxa"/>
            <w:vAlign w:val="center"/>
          </w:tcPr>
          <w:p w14:paraId="43A5FDD1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&gt;7%</w:t>
            </w:r>
          </w:p>
        </w:tc>
        <w:tc>
          <w:tcPr>
            <w:tcW w:w="1928" w:type="dxa"/>
            <w:vAlign w:val="center"/>
          </w:tcPr>
          <w:p w14:paraId="110007FC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2.07～2.24</w:t>
            </w:r>
          </w:p>
        </w:tc>
        <w:tc>
          <w:tcPr>
            <w:tcW w:w="1928" w:type="dxa"/>
            <w:vAlign w:val="center"/>
          </w:tcPr>
          <w:p w14:paraId="1D0C71BC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2.02～2.24</w:t>
            </w:r>
          </w:p>
        </w:tc>
        <w:tc>
          <w:tcPr>
            <w:tcW w:w="1928" w:type="dxa"/>
            <w:vAlign w:val="center"/>
          </w:tcPr>
          <w:p w14:paraId="061A2A05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2.02～2.08</w:t>
            </w:r>
          </w:p>
        </w:tc>
      </w:tr>
      <w:tr w14:paraId="0338ED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928" w:type="dxa"/>
            <w:vAlign w:val="center"/>
          </w:tcPr>
          <w:p w14:paraId="5723D570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(1.00, 2.00]</w:t>
            </w:r>
          </w:p>
        </w:tc>
        <w:tc>
          <w:tcPr>
            <w:tcW w:w="1928" w:type="dxa"/>
            <w:vAlign w:val="center"/>
          </w:tcPr>
          <w:p w14:paraId="47BC92D7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≤2%</w:t>
            </w:r>
          </w:p>
        </w:tc>
        <w:tc>
          <w:tcPr>
            <w:tcW w:w="1928" w:type="dxa"/>
            <w:vAlign w:val="center"/>
          </w:tcPr>
          <w:p w14:paraId="15E60C52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2.21～2.84</w:t>
            </w:r>
          </w:p>
        </w:tc>
        <w:tc>
          <w:tcPr>
            <w:tcW w:w="1928" w:type="dxa"/>
            <w:vAlign w:val="center"/>
          </w:tcPr>
          <w:p w14:paraId="25E70F8E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2.21～2.84</w:t>
            </w:r>
          </w:p>
        </w:tc>
        <w:tc>
          <w:tcPr>
            <w:tcW w:w="1928" w:type="dxa"/>
            <w:vAlign w:val="center"/>
          </w:tcPr>
          <w:p w14:paraId="47FA177A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2.21～2.84</w:t>
            </w:r>
          </w:p>
        </w:tc>
      </w:tr>
      <w:tr w14:paraId="19810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928" w:type="dxa"/>
            <w:vAlign w:val="center"/>
          </w:tcPr>
          <w:p w14:paraId="4EE976AD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(1.00, 2.00]</w:t>
            </w:r>
          </w:p>
        </w:tc>
        <w:tc>
          <w:tcPr>
            <w:tcW w:w="1928" w:type="dxa"/>
            <w:vAlign w:val="center"/>
          </w:tcPr>
          <w:p w14:paraId="2BCBCA97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(2%, 4%]</w:t>
            </w:r>
          </w:p>
        </w:tc>
        <w:tc>
          <w:tcPr>
            <w:tcW w:w="1928" w:type="dxa"/>
            <w:vAlign w:val="center"/>
          </w:tcPr>
          <w:p w14:paraId="158BF9D3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2.05～2.53</w:t>
            </w:r>
          </w:p>
        </w:tc>
        <w:tc>
          <w:tcPr>
            <w:tcW w:w="1928" w:type="dxa"/>
            <w:vAlign w:val="center"/>
          </w:tcPr>
          <w:p w14:paraId="625C85B6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2.05～2.53</w:t>
            </w:r>
          </w:p>
        </w:tc>
        <w:tc>
          <w:tcPr>
            <w:tcW w:w="1928" w:type="dxa"/>
            <w:vAlign w:val="center"/>
          </w:tcPr>
          <w:p w14:paraId="14DF70E7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2.05～2.53</w:t>
            </w:r>
          </w:p>
        </w:tc>
      </w:tr>
      <w:tr w14:paraId="3020A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928" w:type="dxa"/>
            <w:vAlign w:val="center"/>
          </w:tcPr>
          <w:p w14:paraId="0BE069F0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(1.00, 2.00]</w:t>
            </w:r>
          </w:p>
        </w:tc>
        <w:tc>
          <w:tcPr>
            <w:tcW w:w="1928" w:type="dxa"/>
            <w:vAlign w:val="center"/>
          </w:tcPr>
          <w:p w14:paraId="06A2B97A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(4%, 7%]</w:t>
            </w:r>
          </w:p>
        </w:tc>
        <w:tc>
          <w:tcPr>
            <w:tcW w:w="1928" w:type="dxa"/>
            <w:vAlign w:val="center"/>
          </w:tcPr>
          <w:p w14:paraId="63834BC9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2.06～2.46</w:t>
            </w:r>
          </w:p>
        </w:tc>
        <w:tc>
          <w:tcPr>
            <w:tcW w:w="1928" w:type="dxa"/>
            <w:vAlign w:val="center"/>
          </w:tcPr>
          <w:p w14:paraId="17E56B9C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2.01～2.46</w:t>
            </w:r>
          </w:p>
        </w:tc>
        <w:tc>
          <w:tcPr>
            <w:tcW w:w="1928" w:type="dxa"/>
            <w:vAlign w:val="center"/>
          </w:tcPr>
          <w:p w14:paraId="6751C5CC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2.01～2.46</w:t>
            </w:r>
          </w:p>
        </w:tc>
      </w:tr>
      <w:tr w14:paraId="0770D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928" w:type="dxa"/>
            <w:vAlign w:val="center"/>
          </w:tcPr>
          <w:p w14:paraId="58ED1A84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(1.00, 2.00]</w:t>
            </w:r>
          </w:p>
        </w:tc>
        <w:tc>
          <w:tcPr>
            <w:tcW w:w="1928" w:type="dxa"/>
            <w:vAlign w:val="center"/>
          </w:tcPr>
          <w:p w14:paraId="5E4D9B6C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&gt;7%</w:t>
            </w:r>
          </w:p>
        </w:tc>
        <w:tc>
          <w:tcPr>
            <w:tcW w:w="1928" w:type="dxa"/>
            <w:vAlign w:val="center"/>
          </w:tcPr>
          <w:p w14:paraId="13571E09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2.07～2.32</w:t>
            </w:r>
          </w:p>
        </w:tc>
        <w:tc>
          <w:tcPr>
            <w:tcW w:w="1928" w:type="dxa"/>
            <w:vAlign w:val="center"/>
          </w:tcPr>
          <w:p w14:paraId="74791978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2.03～2.32</w:t>
            </w:r>
          </w:p>
        </w:tc>
        <w:tc>
          <w:tcPr>
            <w:tcW w:w="1928" w:type="dxa"/>
            <w:vAlign w:val="center"/>
          </w:tcPr>
          <w:p w14:paraId="61A43B37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2.03～2.32</w:t>
            </w:r>
          </w:p>
        </w:tc>
      </w:tr>
      <w:tr w14:paraId="51D10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928" w:type="dxa"/>
            <w:vAlign w:val="center"/>
          </w:tcPr>
          <w:p w14:paraId="626FEABF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&gt;2.00</w:t>
            </w:r>
          </w:p>
        </w:tc>
        <w:tc>
          <w:tcPr>
            <w:tcW w:w="1928" w:type="dxa"/>
            <w:vAlign w:val="center"/>
          </w:tcPr>
          <w:p w14:paraId="78C95ED0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≤2%</w:t>
            </w:r>
          </w:p>
        </w:tc>
        <w:tc>
          <w:tcPr>
            <w:tcW w:w="1928" w:type="dxa"/>
            <w:vAlign w:val="center"/>
          </w:tcPr>
          <w:p w14:paraId="177D0945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2.90～3.28</w:t>
            </w:r>
          </w:p>
        </w:tc>
        <w:tc>
          <w:tcPr>
            <w:tcW w:w="1928" w:type="dxa"/>
            <w:vAlign w:val="center"/>
          </w:tcPr>
          <w:p w14:paraId="1E852955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2.90～3.28</w:t>
            </w:r>
          </w:p>
        </w:tc>
        <w:tc>
          <w:tcPr>
            <w:tcW w:w="1928" w:type="dxa"/>
            <w:vAlign w:val="center"/>
          </w:tcPr>
          <w:p w14:paraId="59726720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2.90～3.28</w:t>
            </w:r>
          </w:p>
        </w:tc>
      </w:tr>
      <w:tr w14:paraId="03AF5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928" w:type="dxa"/>
            <w:vAlign w:val="center"/>
          </w:tcPr>
          <w:p w14:paraId="78812F1D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&gt;2.00</w:t>
            </w:r>
          </w:p>
        </w:tc>
        <w:tc>
          <w:tcPr>
            <w:tcW w:w="1928" w:type="dxa"/>
            <w:vAlign w:val="center"/>
          </w:tcPr>
          <w:p w14:paraId="46371121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(2%, 4%]</w:t>
            </w:r>
          </w:p>
        </w:tc>
        <w:tc>
          <w:tcPr>
            <w:tcW w:w="1928" w:type="dxa"/>
            <w:vAlign w:val="center"/>
          </w:tcPr>
          <w:p w14:paraId="48759D2B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2.80～2.92</w:t>
            </w:r>
          </w:p>
        </w:tc>
        <w:tc>
          <w:tcPr>
            <w:tcW w:w="1928" w:type="dxa"/>
            <w:vAlign w:val="center"/>
          </w:tcPr>
          <w:p w14:paraId="643C71E1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2.80～2.92</w:t>
            </w:r>
          </w:p>
        </w:tc>
        <w:tc>
          <w:tcPr>
            <w:tcW w:w="1928" w:type="dxa"/>
            <w:vAlign w:val="center"/>
          </w:tcPr>
          <w:p w14:paraId="5EED64D8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2.80～2.92</w:t>
            </w:r>
          </w:p>
        </w:tc>
      </w:tr>
      <w:tr w14:paraId="696AB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928" w:type="dxa"/>
            <w:vAlign w:val="center"/>
          </w:tcPr>
          <w:p w14:paraId="657A1589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&gt;2.00</w:t>
            </w:r>
          </w:p>
        </w:tc>
        <w:tc>
          <w:tcPr>
            <w:tcW w:w="1928" w:type="dxa"/>
            <w:vAlign w:val="center"/>
          </w:tcPr>
          <w:p w14:paraId="08BDCD12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(4%, 7%]</w:t>
            </w:r>
          </w:p>
        </w:tc>
        <w:tc>
          <w:tcPr>
            <w:tcW w:w="1928" w:type="dxa"/>
            <w:vAlign w:val="center"/>
          </w:tcPr>
          <w:p w14:paraId="47D35B18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2.50～2.74</w:t>
            </w:r>
          </w:p>
        </w:tc>
        <w:tc>
          <w:tcPr>
            <w:tcW w:w="1928" w:type="dxa"/>
            <w:vAlign w:val="center"/>
          </w:tcPr>
          <w:p w14:paraId="08B943A0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2.50～2.74</w:t>
            </w:r>
          </w:p>
        </w:tc>
        <w:tc>
          <w:tcPr>
            <w:tcW w:w="1928" w:type="dxa"/>
            <w:vAlign w:val="center"/>
          </w:tcPr>
          <w:p w14:paraId="3173B77D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2.50～2.74</w:t>
            </w:r>
          </w:p>
        </w:tc>
      </w:tr>
      <w:tr w14:paraId="3FB8B1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928" w:type="dxa"/>
            <w:vAlign w:val="center"/>
          </w:tcPr>
          <w:p w14:paraId="6E84C866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&gt;2.00</w:t>
            </w:r>
          </w:p>
        </w:tc>
        <w:tc>
          <w:tcPr>
            <w:tcW w:w="1928" w:type="dxa"/>
            <w:vAlign w:val="center"/>
          </w:tcPr>
          <w:p w14:paraId="3B432232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&gt;7%</w:t>
            </w:r>
          </w:p>
        </w:tc>
        <w:tc>
          <w:tcPr>
            <w:tcW w:w="1928" w:type="dxa"/>
            <w:vAlign w:val="center"/>
          </w:tcPr>
          <w:p w14:paraId="6B92A01B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2.31～2.74</w:t>
            </w:r>
          </w:p>
        </w:tc>
        <w:tc>
          <w:tcPr>
            <w:tcW w:w="1928" w:type="dxa"/>
            <w:vAlign w:val="center"/>
          </w:tcPr>
          <w:p w14:paraId="031464A0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2.31～2.74</w:t>
            </w:r>
          </w:p>
        </w:tc>
        <w:tc>
          <w:tcPr>
            <w:tcW w:w="1928" w:type="dxa"/>
            <w:vAlign w:val="center"/>
          </w:tcPr>
          <w:p w14:paraId="1C9C6FDC">
            <w:pPr>
              <w:snapToGrid w:val="0"/>
              <w:spacing w:before="60" w:after="60" w:line="252" w:lineRule="auto"/>
              <w:ind w:left="0" w:leftChars="0" w:right="0" w:rightChars="0" w:firstLine="0" w:firstLine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2.31～2.74</w:t>
            </w:r>
          </w:p>
        </w:tc>
      </w:tr>
    </w:tbl>
    <w:p w14:paraId="60B0A4EC">
      <w:pPr>
        <w:pStyle w:val="4"/>
        <w:keepNext/>
        <w:widowControl/>
        <w:snapToGrid w:val="0"/>
        <w:spacing w:before="80" w:after="80" w:line="320" w:lineRule="exact"/>
        <w:ind w:left="0" w:leftChars="0" w:right="0" w:rightChars="0" w:firstLine="0" w:firstLine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5.3 从参数变化理解推荐范围</w:t>
      </w:r>
    </w:p>
    <w:p w14:paraId="5533F7A2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较低装机渗透率下，提高初始转供率可利用更多邻站余量，部分条件下所需主变容量降低。表4中，装机渗透率≤1.00、年最大净负荷平均增长率处于(4%, 7%]时，提高初始转供率后容载比范围下移，体现既有网络支援对新增容量的替代作用。</w:t>
      </w:r>
    </w:p>
    <w:p w14:paraId="089D1FCD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装机渗透率较高时，日间反向功率增大，整体容量需求提高。由于用电负荷转接后电源仍归属原站，改善正向转供条件对反送压力的作用有限，需结合本站主变和储能共同判断。容载比与费用的关系随约束及措施组合变化，应按对应配置进行比较。（终稿第5.6.4、5.6.5节）</w:t>
      </w:r>
    </w:p>
    <w:p w14:paraId="21FFCCF4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矩阵用于规划前期初步筛选容量范围，区间内数值由已计算节点归纳。实际设备、网络或参数超出已验证条件时，需补充计算后确定容量方案。</w:t>
      </w:r>
    </w:p>
    <w:p w14:paraId="128E78FA">
      <w:pPr>
        <w:pStyle w:val="4"/>
        <w:keepNext/>
        <w:pageBreakBefore/>
        <w:widowControl/>
        <w:snapToGrid w:val="0"/>
        <w:spacing w:before="80" w:after="80" w:line="320" w:lineRule="exact"/>
        <w:ind w:left="0" w:leftChars="0" w:right="0" w:rightChars="0" w:firstLine="0" w:firstLine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5.4 推荐矩阵的实际使用步骤</w:t>
      </w:r>
    </w:p>
    <w:p w14:paraId="3F4BA32C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（1）确定片区源荷条件。按同一电压等级、同一供电范围计算分布式电源装机渗透率、年最大净负荷平均增长率和负荷分散系数，统一年度负荷与电源统计范围。</w:t>
      </w:r>
    </w:p>
    <w:p w14:paraId="2588C552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（2）核实网络和经济条件。核定初始转供率、实际联络路径、馈线热限及邻站主变余量，结合线路敷设方式和单位造价确定线路成本系数，并按功率缺口与恢复条件确定储能支撑持续时间。</w:t>
      </w:r>
    </w:p>
    <w:p w14:paraId="6B20EACD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（3）查找对应单元。先按负荷分散系数选择分组，再确定其余五项参数所在区间，核对已计算节点和模板条件，形成前期容量比选范围。</w:t>
      </w:r>
    </w:p>
    <w:p w14:paraId="0302B68C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（4）开展实际站级联合优化。以核实的在役设备为起点，将主变规格、台数、可扩建位置、联络工程和储能纳入统一比选，满足正常及N-1要求后比较评价期费用。</w:t>
      </w:r>
    </w:p>
    <w:p w14:paraId="1C44B0F3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（5）形成最终方案。明确设备规模、建设时点及转供安排，以实际可实施的主变总容量除以同年度年网供最大负荷，得到最终容载比。工程设计阶段进一步核定连续运行、电压及保护配合条件。（终稿第6.2、6.3节）</w:t>
      </w:r>
    </w:p>
    <w:p w14:paraId="09148136">
      <w:pPr>
        <w:pStyle w:val="3"/>
        <w:keepNext/>
        <w:widowControl/>
        <w:snapToGrid w:val="0"/>
        <w:spacing w:before="120" w:after="100" w:line="320" w:lineRule="exact"/>
        <w:ind w:left="0" w:leftChars="0" w:right="0" w:rightChars="0" w:firstLine="0" w:firstLineChars="0"/>
        <w:jc w:val="both"/>
      </w:pPr>
      <w:r>
        <w:rPr>
          <w:rFonts w:ascii="Times New Roman" w:hAnsi="Times New Roman" w:eastAsia="方正仿宋_GBK"/>
          <w:b/>
          <w:color w:val="000000"/>
          <w:sz w:val="26"/>
        </w:rPr>
        <w:t>六、待与供电公司讨论的问题</w:t>
      </w:r>
    </w:p>
    <w:p w14:paraId="579D4EB7">
      <w:pPr>
        <w:pStyle w:val="4"/>
        <w:keepNext/>
        <w:widowControl/>
        <w:snapToGrid w:val="0"/>
        <w:spacing w:before="80" w:after="80" w:line="320" w:lineRule="exact"/>
        <w:ind w:left="0" w:leftChars="0" w:right="0" w:rightChars="0" w:firstLine="0" w:firstLine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6.1 两地区实际初始转供率如何核定</w:t>
      </w:r>
    </w:p>
    <w:p w14:paraId="65F2FCBE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邳州局部六馈线样本测算可转比例约28%；市区40%为B类区域占主导背景下的研究参考值，实际转供率尚需分区负荷和存量网络资料支持。拟请确认已建联络、常态开环方式、可切换负荷块、馈线容量及邻站可承接能力，按一致的负荷基数核定两地区参数。（终稿第3.6、5.2.2节）</w:t>
      </w:r>
    </w:p>
    <w:p w14:paraId="0B606FC4">
      <w:pPr>
        <w:pStyle w:val="4"/>
        <w:keepNext/>
        <w:widowControl/>
        <w:snapToGrid w:val="0"/>
        <w:spacing w:before="80" w:after="80" w:line="320" w:lineRule="exact"/>
        <w:ind w:left="0" w:leftChars="0" w:right="0" w:rightChars="0" w:firstLine="0" w:firstLine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6.2 市区电缆化率及线路成本如何取值</w:t>
      </w:r>
    </w:p>
    <w:p w14:paraId="491315A2">
      <w:pPr>
        <w:widowControl/>
        <w:snapToGrid w:val="0"/>
        <w:spacing w:before="0" w:after="100" w:line="320" w:lineRule="exact"/>
        <w:ind w:left="0" w:leftChars="0" w:right="0" w:rightChars="0" w:firstLine="460" w:firstLine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线路成本系数反映架空、电缆构成及单位长度综合造价。按研究采用的参考价格，电缆长度占比10%、90%分别约对应系数1.65、6.85。拟请确认市区典型联络线路的实际电缆比例、单位造价、典型路径长度和工程标准，以本地核定费用更新联络比选。（终稿第4.3、5.6.2节）</w:t>
      </w:r>
    </w:p>
    <w:sectPr>
      <w:footerReference r:id="rId7" w:type="default"/>
      <w:pgSz w:w="11906" w:h="16838"/>
      <w:pgMar w:top="1020" w:right="1134" w:bottom="1020" w:left="1134" w:header="720" w:footer="720" w:gutter="0"/>
      <w:cols w:space="720" w:num="1"/>
      <w:docGrid w:linePitch="360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白日梦想家" w:date="2026-10-11T20:58:54Z" w:initials="">
    <w:p w14:paraId="25E07EFB">
      <w:pPr>
        <w:pStyle w:val="17"/>
        <w:rPr>
          <w:rFonts w:hint="eastAsia" w:eastAsia="方正仿宋_GBK"/>
          <w:lang w:eastAsia="zh"/>
        </w:rPr>
      </w:pPr>
      <w:bookmarkStart w:id="0" w:name="_T1262487654_233911019"/>
      <w:r>
        <w:rPr>
          <w:rFonts w:hint="eastAsia"/>
          <w:lang w:eastAsia="zh"/>
        </w:rPr>
        <w:t>对于供电公司的人，这属于尝试，一笔带过就可以</w:t>
      </w:r>
      <w:bookmarkStart w:id="5" w:name="_GoBack"/>
      <w:bookmarkEnd w:id="5"/>
    </w:p>
    <w:bookmarkEnd w:id="0"/>
  </w:comment>
  <w:comment w:id="1" w:author="白日梦想家" w:date="2026-10-11T18:23:00Z" w:initials="">
    <w:p w14:paraId="19688FD8">
      <w:pPr>
        <w:pStyle w:val="17"/>
        <w:rPr>
          <w:rFonts w:hint="eastAsia" w:eastAsia="方正仿宋_GBK"/>
          <w:lang w:eastAsia="zh"/>
        </w:rPr>
      </w:pPr>
      <w:bookmarkStart w:id="1" w:name="_T2051580615_233911019"/>
      <w:r>
        <w:rPr>
          <w:rFonts w:hint="eastAsia"/>
          <w:lang w:eastAsia="zh"/>
        </w:rPr>
        <w:t>上次提过，设备的全寿命周期是40年，储能一般是25年。</w:t>
      </w:r>
    </w:p>
    <w:bookmarkEnd w:id="1"/>
  </w:comment>
  <w:comment w:id="2" w:author="白日梦想家" w:date="2026-10-11T20:53:38Z" w:initials="">
    <w:p w14:paraId="5B3EF9D0">
      <w:pPr>
        <w:pStyle w:val="17"/>
        <w:rPr>
          <w:rFonts w:hint="eastAsia" w:eastAsia="方正仿宋_GBK"/>
          <w:lang w:eastAsia="zh"/>
        </w:rPr>
      </w:pPr>
      <w:bookmarkStart w:id="2" w:name="_T2044279141_233911019"/>
      <w:r>
        <w:rPr>
          <w:rFonts w:hint="eastAsia"/>
          <w:lang w:eastAsia="zh"/>
        </w:rPr>
        <w:t>补充6项参数选取的原因，通过其与容载比的关联性高以及各参数之间关联性低来说明</w:t>
      </w:r>
    </w:p>
    <w:bookmarkEnd w:id="2"/>
  </w:comment>
  <w:comment w:id="3" w:author="白日梦想家" w:date="2026-10-11T20:50:07Z" w:initials="">
    <w:p w14:paraId="5E99FC53">
      <w:pPr>
        <w:pStyle w:val="17"/>
        <w:rPr>
          <w:rFonts w:hint="eastAsia" w:eastAsia="方正仿宋_GBK"/>
          <w:lang w:eastAsia="zh"/>
        </w:rPr>
      </w:pPr>
      <w:bookmarkStart w:id="3" w:name="_T1333662286_233911019"/>
      <w:r>
        <w:rPr>
          <w:rFonts w:hint="eastAsia"/>
          <w:lang w:eastAsia="zh"/>
        </w:rPr>
        <w:t>线路成本系数差距这么大，为什么可以作为恒定边界条件？储能支撑时间也是如此。另外线路成本系数可否改成电缆化率水平？</w:t>
      </w:r>
    </w:p>
    <w:bookmarkEnd w:id="3"/>
  </w:comment>
  <w:comment w:id="4" w:author="白日梦想家" w:date="2026-10-11T20:48:36Z" w:initials="">
    <w:p w14:paraId="70913DF1">
      <w:pPr>
        <w:pStyle w:val="17"/>
        <w:rPr>
          <w:rFonts w:hint="eastAsia" w:eastAsia="方正仿宋_GBK"/>
          <w:lang w:eastAsia="zh"/>
        </w:rPr>
      </w:pPr>
      <w:bookmarkStart w:id="4" w:name="_T1673675071_233911019"/>
      <w:r>
        <w:rPr>
          <w:rFonts w:hint="eastAsia"/>
          <w:lang w:eastAsia="zh"/>
        </w:rPr>
        <w:t>感觉转供率的变化，对容载比的结果影响有限啊？</w:t>
      </w:r>
    </w:p>
    <w:bookmarkEnd w:id="4"/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25E07EFB" w15:done="0"/>
  <w15:commentEx w15:paraId="19688FD8" w15:done="0"/>
  <w15:commentEx w15:paraId="5B3EF9D0" w15:done="0"/>
  <w15:commentEx w15:paraId="5E99FC53" w15:done="0"/>
  <w15:commentEx w15:paraId="70913DF1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Wingdings">
    <w:altName w:val="Kingsoft Confett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Kingsoft Confetti">
    <w:panose1 w:val="0500010001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Cambria">
    <w:altName w:val="Georgia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ＭＳ 明朝">
    <w:altName w:val="Georgia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Georgia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方正仿宋_GBK">
    <w:altName w:val="Georgia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Georgia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ＭＳ 明朝">
    <w:altName w:val="Georgia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ＭＳ ゴシック">
    <w:altName w:val="Georgia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2647C4">
    <w:pPr>
      <w:pStyle w:val="25"/>
      <w:jc w:val="center"/>
    </w:pPr>
    <w:r>
      <w:rPr>
        <w:rFonts w:ascii="Times New Roman" w:hAnsi="Times New Roman" w:eastAsia="方正仿宋_GBK"/>
        <w:b w:val="0"/>
        <w:sz w:val="18"/>
      </w:rPr>
      <w:t xml:space="preserve">徐州地区110 kV电网弹性容载比研究  · 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白日梦想家">
    <w15:presenceInfo w15:providerId="WPS Office" w15:userId="88663306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trackRevision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7FFCA6E"/>
    <w:rsid w:val="587FAA01"/>
    <w:rsid w:val="6DFCE7E0"/>
    <w:rsid w:val="6F6E5AE2"/>
    <w:rsid w:val="756F51F8"/>
    <w:rsid w:val="77D6F0F6"/>
    <w:rsid w:val="7BFB81E8"/>
    <w:rsid w:val="7F7FA2EF"/>
    <w:rsid w:val="7FC98BB4"/>
    <w:rsid w:val="BDEF9DC2"/>
    <w:rsid w:val="BF67B36D"/>
    <w:rsid w:val="BF768C76"/>
    <w:rsid w:val="DEDDD59E"/>
    <w:rsid w:val="F9EE8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方正仿宋_GBK" w:cstheme="minorBidi"/>
      <w:sz w:val="23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Times New Roman" w:hAnsi="Times New Roman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annotation text"/>
    <w:basedOn w:val="1"/>
    <w:semiHidden/>
    <w:unhideWhenUsed/>
    <w:uiPriority w:val="99"/>
    <w:pPr>
      <w:jc w:val="left"/>
    </w:pPr>
  </w:style>
  <w:style w:type="paragraph" w:styleId="18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9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0">
    <w:name w:val="Body Text"/>
    <w:basedOn w:val="1"/>
    <w:link w:val="145"/>
    <w:unhideWhenUsed/>
    <w:uiPriority w:val="99"/>
    <w:pPr>
      <w:spacing w:after="120"/>
    </w:pPr>
  </w:style>
  <w:style w:type="paragraph" w:styleId="21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2">
    <w:name w:val="List 2"/>
    <w:basedOn w:val="1"/>
    <w:unhideWhenUsed/>
    <w:uiPriority w:val="99"/>
    <w:pPr>
      <w:ind w:left="720" w:hanging="360"/>
      <w:contextualSpacing/>
    </w:pPr>
  </w:style>
  <w:style w:type="paragraph" w:styleId="23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5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uiPriority w:val="99"/>
    <w:pPr>
      <w:ind w:left="360" w:hanging="360"/>
      <w:contextualSpacing/>
    </w:pPr>
  </w:style>
  <w:style w:type="paragraph" w:styleId="29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30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1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6"/>
    <w:uiPriority w:val="99"/>
  </w:style>
  <w:style w:type="character" w:customStyle="1" w:styleId="137">
    <w:name w:val="Footer Char"/>
    <w:basedOn w:val="133"/>
    <w:link w:val="25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7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20"/>
    <w:uiPriority w:val="99"/>
  </w:style>
  <w:style w:type="character" w:customStyle="1" w:styleId="146">
    <w:name w:val="Body Text 2 Char"/>
    <w:basedOn w:val="133"/>
    <w:link w:val="29"/>
    <w:uiPriority w:val="99"/>
  </w:style>
  <w:style w:type="character" w:customStyle="1" w:styleId="147">
    <w:name w:val="Body Text 3 Char"/>
    <w:basedOn w:val="133"/>
    <w:link w:val="18"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uiPriority w:val="99"/>
    <w:rPr>
      <w:rFonts w:ascii="Times New Roman" w:hAnsi="Times New Roman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theme" Target="theme/theme1.xml"/><Relationship Id="rId7" Type="http://schemas.openxmlformats.org/officeDocument/2006/relationships/footer" Target="foot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2" Type="http://schemas.microsoft.com/office/2011/relationships/people" Target="people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0</Words>
  <Characters>0</Characters>
  <Lines>0</Lines>
  <Paragraphs>0</Paragraphs>
  <TotalTime>0</TotalTime>
  <ScaleCrop>false</ScaleCrop>
  <LinksUpToDate>false</LinksUpToDate>
  <CharactersWithSpaces>0</CharactersWithSpaces>
  <Application>WPS Office WWO_wpscloud_20261009125621-c73fd9270f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郑长睿</cp:lastModifiedBy>
  <dcterms:modified xsi:type="dcterms:W3CDTF">2026-10-11T20:59:14Z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2052-12.9.0.29208</vt:lpwstr>
  </property>
  <property fmtid="{D5CDD505-2E9C-101B-9397-08002B2CF9AE}" pid="3" name="ICV">
    <vt:lpwstr>2319EB78480CFBDD2288CB6AA88C3C0F_43</vt:lpwstr>
  </property>
</Properties>
</file>