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93" w:lineRule="auto" w:after="100"/>
        <w:jc w:val="center"/>
      </w:pPr>
      <w:r>
        <w:rPr>
          <w:rFonts w:ascii="Times New Roman" w:hAnsi="Times New Roman" w:eastAsia="方正仿宋_GBK"/>
          <w:b/>
          <w:sz w:val="34"/>
        </w:rPr>
        <w:t>徐州地区110 kV电网弹性容载比研究</w:t>
      </w:r>
    </w:p>
    <w:p>
      <w:pPr>
        <w:keepNext/>
        <w:spacing w:line="293" w:lineRule="auto" w:after="240"/>
        <w:jc w:val="center"/>
      </w:pPr>
      <w:r>
        <w:rPr>
          <w:rFonts w:ascii="Times New Roman" w:hAnsi="Times New Roman" w:eastAsia="方正仿宋_GBK"/>
          <w:b w:val="0"/>
          <w:sz w:val="22"/>
        </w:rPr>
        <w:t>供电公司讨论材料</w:t>
      </w:r>
    </w:p>
    <w:p>
      <w:pPr>
        <w:keepNext/>
        <w:spacing w:line="293" w:lineRule="auto" w:after="100" w:before="120"/>
        <w:jc w:val="both"/>
      </w:pPr>
      <w:r>
        <w:rPr>
          <w:rFonts w:ascii="Times New Roman" w:hAnsi="Times New Roman" w:eastAsia="方正仿宋_GBK"/>
          <w:b/>
          <w:sz w:val="26"/>
        </w:rPr>
        <w:t>研究背景与拟解决的问题</w:t>
      </w:r>
    </w:p>
    <w:p>
      <w:pPr>
        <w:spacing w:line="293" w:lineRule="auto" w:after="100"/>
        <w:ind w:firstLine="460"/>
        <w:jc w:val="both"/>
      </w:pPr>
      <w:r>
        <w:rPr>
          <w:rFonts w:ascii="Times New Roman" w:hAnsi="Times New Roman" w:eastAsia="方正仿宋_GBK"/>
          <w:b w:val="0"/>
          <w:sz w:val="23"/>
        </w:rPr>
        <w:t>随着分布式光伏规模化接入，本地发电承担部分日间用电，主变受入功率随之下降；光伏出力超过本地负荷时，剩余电力经主变反送。光伏出力较低的晚间，电网仍需承担用电高峰。因此，110 kV容量规划需要同时满足正向供电、反向输送和主变故障后的供电需求。</w:t>
      </w:r>
    </w:p>
    <w:p>
      <w:pPr>
        <w:spacing w:line="293" w:lineRule="auto" w:after="100"/>
        <w:ind w:firstLine="460"/>
        <w:jc w:val="both"/>
      </w:pPr>
      <w:r>
        <w:rPr>
          <w:rFonts w:ascii="Times New Roman" w:hAnsi="Times New Roman" w:eastAsia="方正仿宋_GBK"/>
          <w:b w:val="0"/>
          <w:sz w:val="23"/>
        </w:rPr>
        <w:t>容载比是同一地区110 kV公用主变总容量（MVA）与年网供最大负荷（MW）之比，用于衡量区域容量储备。局部反向负荷或故障供电需求可能要求增容，增加主变容量又会抬高容载比，形成容量需求与一般建议上限2.00之间的协调问题。2025年4月《配电网规划设计技术导则》修订资料提出，建议范围内难以满足供电安全准则时，可结合实际适当提高取值。</w:t>
      </w:r>
    </w:p>
    <w:p>
      <w:pPr>
        <w:spacing w:line="293" w:lineRule="auto" w:after="100"/>
        <w:ind w:firstLine="460"/>
        <w:jc w:val="both"/>
      </w:pPr>
      <w:r>
        <w:rPr>
          <w:rFonts w:ascii="Times New Roman" w:hAnsi="Times New Roman" w:eastAsia="方正仿宋_GBK"/>
          <w:b w:val="0"/>
          <w:sz w:val="23"/>
        </w:rPr>
        <w:t>增容会增加主变投资，也可能减少储能和联络建设需求，取值需由完整方案的技术经济比较确定。本研究选择光伏规模较大的邳州和负荷较集中的徐州市区，在相同供电安全条件下比较两类容量方案，分析主变、联络与储能的替代关系，形成分片区的容载比建议。</w:t>
      </w:r>
    </w:p>
    <w:p>
      <w:pPr>
        <w:keepNext/>
        <w:spacing w:line="293" w:lineRule="auto" w:after="100" w:before="120"/>
        <w:jc w:val="both"/>
      </w:pPr>
      <w:r>
        <w:rPr>
          <w:rFonts w:ascii="Times New Roman" w:hAnsi="Times New Roman" w:eastAsia="方正仿宋_GBK"/>
          <w:b/>
          <w:sz w:val="26"/>
        </w:rPr>
        <w:t>比选方案与共同条件</w:t>
      </w:r>
    </w:p>
    <w:p>
      <w:pPr>
        <w:spacing w:line="293" w:lineRule="auto" w:after="100"/>
        <w:ind w:firstLine="460"/>
        <w:jc w:val="both"/>
      </w:pPr>
      <w:r>
        <w:rPr>
          <w:rFonts w:ascii="Times New Roman" w:hAnsi="Times New Roman" w:eastAsia="方正仿宋_GBK"/>
          <w:b w:val="0"/>
          <w:sz w:val="23"/>
        </w:rPr>
        <w:t>为比较容载比取值对建设方案的影响，采用2022—2025年实际年度负荷回算，两类方案共用各地区的初始设备和候选网络。正向峰值、日间最低净负荷两类静态工况均校核正常运行和最大单台主变退出运行（N-1）。刚性方案以2.00控制新增主变后的容载比；弹性方案在突破2.00的条件下比选容量与措施组合。负荷回落造成的既有容量被动超限保留。</w:t>
      </w:r>
    </w:p>
    <w:p>
      <w:pPr>
        <w:spacing w:line="293" w:lineRule="auto" w:after="100"/>
        <w:ind w:firstLine="460"/>
        <w:jc w:val="both"/>
      </w:pPr>
      <w:r>
        <w:rPr>
          <w:rFonts w:ascii="Times New Roman" w:hAnsi="Times New Roman" w:eastAsia="方正仿宋_GBK"/>
          <w:b w:val="0"/>
          <w:sz w:val="23"/>
        </w:rPr>
        <w:t>主变增容增加本站容量，联络利用邻站可用容量，储能补充一定时间内的功率缺口。三类措施按相同供电任务比较，以费用最低选择组合；正向储能支撑统一取4 h，按额定功率和可用电量共同核定。费用按6%折现率计算至2041年，计入建设、固定运维和规定更新费用。</w:t>
      </w:r>
    </w:p>
    <w:p>
      <w:pPr>
        <w:keepNext/>
        <w:spacing w:line="293" w:lineRule="auto" w:after="100" w:before="120"/>
        <w:jc w:val="both"/>
      </w:pPr>
      <w:r>
        <w:rPr>
          <w:rFonts w:ascii="Times New Roman" w:hAnsi="Times New Roman" w:eastAsia="方正仿宋_GBK"/>
          <w:b/>
          <w:sz w:val="26"/>
        </w:rPr>
        <w:t>两地区比选结果</w:t>
      </w:r>
    </w:p>
    <w:p>
      <w:pPr>
        <w:spacing w:line="293" w:lineRule="auto" w:after="100"/>
        <w:ind w:firstLine="460"/>
        <w:jc w:val="both"/>
      </w:pPr>
      <w:r>
        <w:rPr>
          <w:rFonts w:ascii="Times New Roman" w:hAnsi="Times New Roman" w:eastAsia="方正仿宋_GBK"/>
          <w:b w:val="0"/>
          <w:sz w:val="23"/>
        </w:rPr>
        <w:t>按上述条件得到的模型回算方案，其2025年配置如下。</w:t>
      </w:r>
    </w:p>
    <w:tbl>
      <w:tblPr>
        <w:tblStyle w:val="TableGrid"/>
        <w:tblW w:type="auto" w:w="0"/>
        <w:tblLook w:firstColumn="1" w:firstRow="1" w:lastColumn="0" w:lastRow="0" w:noHBand="0" w:noVBand="1" w:val="04A0"/>
      </w:tblPr>
      <w:tblGrid>
        <w:gridCol w:w="1606"/>
        <w:gridCol w:w="1606"/>
        <w:gridCol w:w="1606"/>
        <w:gridCol w:w="1606"/>
        <w:gridCol w:w="1606"/>
        <w:gridCol w:w="1606"/>
      </w:tblGrid>
      <w:tr>
        <w:trPr>
          <w:cantSplit/>
          <w:tblHeader/>
        </w:trPr>
        <w:tc>
          <w:tcPr>
            <w:tcW w:type="dxa" w:w="1606"/>
            <w:vAlign w:val="center"/>
          </w:tcPr>
          <w:p>
            <w:pPr>
              <w:spacing w:after="60" w:before="60" w:line="252" w:lineRule="auto"/>
              <w:jc w:val="center"/>
            </w:pPr>
            <w:r>
              <w:rPr>
                <w:rFonts w:ascii="Times New Roman" w:hAnsi="Times New Roman" w:eastAsia="方正仿宋_GBK"/>
                <w:b/>
                <w:sz w:val="21"/>
              </w:rPr>
              <w:t>地区／方案</w:t>
            </w:r>
          </w:p>
        </w:tc>
        <w:tc>
          <w:tcPr>
            <w:tcW w:type="dxa" w:w="1606"/>
            <w:vAlign w:val="center"/>
          </w:tcPr>
          <w:p>
            <w:pPr>
              <w:spacing w:after="60" w:before="60" w:line="252" w:lineRule="auto"/>
              <w:jc w:val="center"/>
            </w:pPr>
            <w:r>
              <w:rPr>
                <w:rFonts w:ascii="Times New Roman" w:hAnsi="Times New Roman" w:eastAsia="方正仿宋_GBK"/>
                <w:b/>
                <w:sz w:val="21"/>
              </w:rPr>
              <w:t>主变容量</w:t>
              <w:br/>
              <w:t>MVA</w:t>
            </w:r>
          </w:p>
        </w:tc>
        <w:tc>
          <w:tcPr>
            <w:tcW w:type="dxa" w:w="1606"/>
            <w:vAlign w:val="center"/>
          </w:tcPr>
          <w:p>
            <w:pPr>
              <w:spacing w:after="60" w:before="60" w:line="252" w:lineRule="auto"/>
              <w:jc w:val="center"/>
            </w:pPr>
            <w:r>
              <w:rPr>
                <w:rFonts w:ascii="Times New Roman" w:hAnsi="Times New Roman" w:eastAsia="方正仿宋_GBK"/>
                <w:b/>
                <w:sz w:val="21"/>
              </w:rPr>
              <w:t>容载比</w:t>
            </w:r>
          </w:p>
        </w:tc>
        <w:tc>
          <w:tcPr>
            <w:tcW w:type="dxa" w:w="1606"/>
            <w:vAlign w:val="center"/>
          </w:tcPr>
          <w:p>
            <w:pPr>
              <w:spacing w:after="60" w:before="60" w:line="252" w:lineRule="auto"/>
              <w:jc w:val="center"/>
            </w:pPr>
            <w:r>
              <w:rPr>
                <w:rFonts w:ascii="Times New Roman" w:hAnsi="Times New Roman" w:eastAsia="方正仿宋_GBK"/>
                <w:b/>
                <w:sz w:val="21"/>
              </w:rPr>
              <w:t>储能功率</w:t>
              <w:br/>
              <w:t>MW</w:t>
            </w:r>
          </w:p>
        </w:tc>
        <w:tc>
          <w:tcPr>
            <w:tcW w:type="dxa" w:w="1606"/>
            <w:vAlign w:val="center"/>
          </w:tcPr>
          <w:p>
            <w:pPr>
              <w:spacing w:after="60" w:before="60" w:line="252" w:lineRule="auto"/>
              <w:jc w:val="center"/>
            </w:pPr>
            <w:r>
              <w:rPr>
                <w:rFonts w:ascii="Times New Roman" w:hAnsi="Times New Roman" w:eastAsia="方正仿宋_GBK"/>
                <w:b/>
                <w:sz w:val="21"/>
              </w:rPr>
              <w:t>累计新增联络</w:t>
              <w:br/>
              <w:t>条</w:t>
            </w:r>
          </w:p>
        </w:tc>
        <w:tc>
          <w:tcPr>
            <w:tcW w:type="dxa" w:w="1606"/>
            <w:vAlign w:val="center"/>
          </w:tcPr>
          <w:p>
            <w:pPr>
              <w:spacing w:after="60" w:before="60" w:line="252" w:lineRule="auto"/>
              <w:jc w:val="center"/>
            </w:pPr>
            <w:r>
              <w:rPr>
                <w:rFonts w:ascii="Times New Roman" w:hAnsi="Times New Roman" w:eastAsia="方正仿宋_GBK"/>
                <w:b/>
                <w:sz w:val="21"/>
              </w:rPr>
              <w:t>费用现值</w:t>
              <w:br/>
              <w:t>万元</w:t>
            </w:r>
          </w:p>
        </w:tc>
      </w:tr>
      <w:tr>
        <w:trPr>
          <w:cantSplit/>
        </w:trPr>
        <w:tc>
          <w:tcPr>
            <w:tcW w:type="dxa" w:w="1606"/>
            <w:vAlign w:val="center"/>
          </w:tcPr>
          <w:p>
            <w:pPr>
              <w:spacing w:after="60" w:before="60" w:line="252" w:lineRule="auto"/>
              <w:jc w:val="center"/>
            </w:pPr>
            <w:r>
              <w:rPr>
                <w:rFonts w:ascii="Times New Roman" w:hAnsi="Times New Roman" w:eastAsia="方正仿宋_GBK"/>
                <w:b w:val="0"/>
                <w:sz w:val="21"/>
              </w:rPr>
              <w:t>邳州刚性</w:t>
            </w:r>
          </w:p>
        </w:tc>
        <w:tc>
          <w:tcPr>
            <w:tcW w:type="dxa" w:w="1606"/>
            <w:vAlign w:val="center"/>
          </w:tcPr>
          <w:p>
            <w:pPr>
              <w:spacing w:after="60" w:before="60" w:line="252" w:lineRule="auto"/>
              <w:jc w:val="center"/>
            </w:pPr>
            <w:r>
              <w:rPr>
                <w:rFonts w:ascii="Times New Roman" w:hAnsi="Times New Roman" w:eastAsia="方正仿宋_GBK"/>
                <w:b w:val="0"/>
                <w:sz w:val="21"/>
              </w:rPr>
              <w:t>1782.50</w:t>
            </w:r>
          </w:p>
        </w:tc>
        <w:tc>
          <w:tcPr>
            <w:tcW w:type="dxa" w:w="1606"/>
            <w:vAlign w:val="center"/>
          </w:tcPr>
          <w:p>
            <w:pPr>
              <w:spacing w:after="60" w:before="60" w:line="252" w:lineRule="auto"/>
              <w:jc w:val="center"/>
            </w:pPr>
            <w:r>
              <w:rPr>
                <w:rFonts w:ascii="Times New Roman" w:hAnsi="Times New Roman" w:eastAsia="方正仿宋_GBK"/>
                <w:b w:val="0"/>
                <w:sz w:val="21"/>
              </w:rPr>
              <w:t>1.86</w:t>
            </w:r>
          </w:p>
        </w:tc>
        <w:tc>
          <w:tcPr>
            <w:tcW w:type="dxa" w:w="1606"/>
            <w:vAlign w:val="center"/>
          </w:tcPr>
          <w:p>
            <w:pPr>
              <w:spacing w:after="60" w:before="60" w:line="252" w:lineRule="auto"/>
              <w:jc w:val="center"/>
            </w:pPr>
            <w:r>
              <w:rPr>
                <w:rFonts w:ascii="Times New Roman" w:hAnsi="Times New Roman" w:eastAsia="方正仿宋_GBK"/>
                <w:b w:val="0"/>
                <w:sz w:val="21"/>
              </w:rPr>
              <w:t>32.90</w:t>
            </w:r>
          </w:p>
        </w:tc>
        <w:tc>
          <w:tcPr>
            <w:tcW w:type="dxa" w:w="1606"/>
            <w:vAlign w:val="center"/>
          </w:tcPr>
          <w:p>
            <w:pPr>
              <w:spacing w:after="60" w:before="60" w:line="252" w:lineRule="auto"/>
              <w:jc w:val="center"/>
            </w:pPr>
            <w:r>
              <w:rPr>
                <w:rFonts w:ascii="Times New Roman" w:hAnsi="Times New Roman" w:eastAsia="方正仿宋_GBK"/>
                <w:b w:val="0"/>
                <w:sz w:val="21"/>
              </w:rPr>
              <w:t>61</w:t>
            </w:r>
          </w:p>
        </w:tc>
        <w:tc>
          <w:tcPr>
            <w:tcW w:type="dxa" w:w="1606"/>
            <w:vAlign w:val="center"/>
          </w:tcPr>
          <w:p>
            <w:pPr>
              <w:spacing w:after="60" w:before="60" w:line="252" w:lineRule="auto"/>
              <w:jc w:val="center"/>
            </w:pPr>
            <w:r>
              <w:rPr>
                <w:rFonts w:ascii="Times New Roman" w:hAnsi="Times New Roman" w:eastAsia="方正仿宋_GBK"/>
                <w:b w:val="0"/>
                <w:sz w:val="21"/>
              </w:rPr>
              <w:t>34468.84</w:t>
            </w:r>
          </w:p>
        </w:tc>
      </w:tr>
      <w:tr>
        <w:trPr>
          <w:cantSplit/>
        </w:trPr>
        <w:tc>
          <w:tcPr>
            <w:tcW w:type="dxa" w:w="1606"/>
            <w:vAlign w:val="center"/>
          </w:tcPr>
          <w:p>
            <w:pPr>
              <w:spacing w:after="60" w:before="60" w:line="252" w:lineRule="auto"/>
              <w:jc w:val="center"/>
            </w:pPr>
            <w:r>
              <w:rPr>
                <w:rFonts w:ascii="Times New Roman" w:hAnsi="Times New Roman" w:eastAsia="方正仿宋_GBK"/>
                <w:b w:val="0"/>
                <w:sz w:val="21"/>
              </w:rPr>
              <w:t>邳州弹性</w:t>
            </w:r>
          </w:p>
        </w:tc>
        <w:tc>
          <w:tcPr>
            <w:tcW w:type="dxa" w:w="1606"/>
            <w:vAlign w:val="center"/>
          </w:tcPr>
          <w:p>
            <w:pPr>
              <w:spacing w:after="60" w:before="60" w:line="252" w:lineRule="auto"/>
              <w:jc w:val="center"/>
            </w:pPr>
            <w:r>
              <w:rPr>
                <w:rFonts w:ascii="Times New Roman" w:hAnsi="Times New Roman" w:eastAsia="方正仿宋_GBK"/>
                <w:b w:val="0"/>
                <w:sz w:val="21"/>
              </w:rPr>
              <w:t>1955.50</w:t>
            </w:r>
          </w:p>
        </w:tc>
        <w:tc>
          <w:tcPr>
            <w:tcW w:type="dxa" w:w="1606"/>
            <w:vAlign w:val="center"/>
          </w:tcPr>
          <w:p>
            <w:pPr>
              <w:spacing w:after="60" w:before="60" w:line="252" w:lineRule="auto"/>
              <w:jc w:val="center"/>
            </w:pPr>
            <w:r>
              <w:rPr>
                <w:rFonts w:ascii="Times New Roman" w:hAnsi="Times New Roman" w:eastAsia="方正仿宋_GBK"/>
                <w:b w:val="0"/>
                <w:sz w:val="21"/>
              </w:rPr>
              <w:t>2.04</w:t>
            </w:r>
          </w:p>
        </w:tc>
        <w:tc>
          <w:tcPr>
            <w:tcW w:type="dxa" w:w="1606"/>
            <w:vAlign w:val="center"/>
          </w:tcPr>
          <w:p>
            <w:pPr>
              <w:spacing w:after="60" w:before="60" w:line="252" w:lineRule="auto"/>
              <w:jc w:val="center"/>
            </w:pPr>
            <w:r>
              <w:rPr>
                <w:rFonts w:ascii="Times New Roman" w:hAnsi="Times New Roman" w:eastAsia="方正仿宋_GBK"/>
                <w:b w:val="0"/>
                <w:sz w:val="21"/>
              </w:rPr>
              <w:t>0.00</w:t>
            </w:r>
          </w:p>
        </w:tc>
        <w:tc>
          <w:tcPr>
            <w:tcW w:type="dxa" w:w="1606"/>
            <w:vAlign w:val="center"/>
          </w:tcPr>
          <w:p>
            <w:pPr>
              <w:spacing w:after="60" w:before="60" w:line="252" w:lineRule="auto"/>
              <w:jc w:val="center"/>
            </w:pPr>
            <w:r>
              <w:rPr>
                <w:rFonts w:ascii="Times New Roman" w:hAnsi="Times New Roman" w:eastAsia="方正仿宋_GBK"/>
                <w:b w:val="0"/>
                <w:sz w:val="21"/>
              </w:rPr>
              <w:t>30</w:t>
            </w:r>
          </w:p>
        </w:tc>
        <w:tc>
          <w:tcPr>
            <w:tcW w:type="dxa" w:w="1606"/>
            <w:vAlign w:val="center"/>
          </w:tcPr>
          <w:p>
            <w:pPr>
              <w:spacing w:after="60" w:before="60" w:line="252" w:lineRule="auto"/>
              <w:jc w:val="center"/>
            </w:pPr>
            <w:r>
              <w:rPr>
                <w:rFonts w:ascii="Times New Roman" w:hAnsi="Times New Roman" w:eastAsia="方正仿宋_GBK"/>
                <w:b w:val="0"/>
                <w:sz w:val="21"/>
              </w:rPr>
              <w:t>26103.52</w:t>
            </w:r>
          </w:p>
        </w:tc>
      </w:tr>
      <w:tr>
        <w:trPr>
          <w:cantSplit/>
        </w:trPr>
        <w:tc>
          <w:tcPr>
            <w:tcW w:type="dxa" w:w="1606"/>
            <w:vAlign w:val="center"/>
          </w:tcPr>
          <w:p>
            <w:pPr>
              <w:spacing w:after="60" w:before="60" w:line="252" w:lineRule="auto"/>
              <w:jc w:val="center"/>
            </w:pPr>
            <w:r>
              <w:rPr>
                <w:rFonts w:ascii="Times New Roman" w:hAnsi="Times New Roman" w:eastAsia="方正仿宋_GBK"/>
                <w:b w:val="0"/>
                <w:sz w:val="21"/>
              </w:rPr>
              <w:t>市区刚性</w:t>
            </w:r>
          </w:p>
        </w:tc>
        <w:tc>
          <w:tcPr>
            <w:tcW w:type="dxa" w:w="1606"/>
            <w:vAlign w:val="center"/>
          </w:tcPr>
          <w:p>
            <w:pPr>
              <w:spacing w:after="60" w:before="60" w:line="252" w:lineRule="auto"/>
              <w:jc w:val="center"/>
            </w:pPr>
            <w:r>
              <w:rPr>
                <w:rFonts w:ascii="Times New Roman" w:hAnsi="Times New Roman" w:eastAsia="方正仿宋_GBK"/>
                <w:b w:val="0"/>
                <w:sz w:val="21"/>
              </w:rPr>
              <w:t>2937.00</w:t>
            </w:r>
          </w:p>
        </w:tc>
        <w:tc>
          <w:tcPr>
            <w:tcW w:type="dxa" w:w="1606"/>
            <w:vAlign w:val="center"/>
          </w:tcPr>
          <w:p>
            <w:pPr>
              <w:spacing w:after="60" w:before="60" w:line="252" w:lineRule="auto"/>
              <w:jc w:val="center"/>
            </w:pPr>
            <w:r>
              <w:rPr>
                <w:rFonts w:ascii="Times New Roman" w:hAnsi="Times New Roman" w:eastAsia="方正仿宋_GBK"/>
                <w:b w:val="0"/>
                <w:sz w:val="21"/>
              </w:rPr>
              <w:t>1.92</w:t>
            </w:r>
          </w:p>
        </w:tc>
        <w:tc>
          <w:tcPr>
            <w:tcW w:type="dxa" w:w="1606"/>
            <w:vAlign w:val="center"/>
          </w:tcPr>
          <w:p>
            <w:pPr>
              <w:spacing w:after="60" w:before="60" w:line="252" w:lineRule="auto"/>
              <w:jc w:val="center"/>
            </w:pPr>
            <w:r>
              <w:rPr>
                <w:rFonts w:ascii="Times New Roman" w:hAnsi="Times New Roman" w:eastAsia="方正仿宋_GBK"/>
                <w:b w:val="0"/>
                <w:sz w:val="21"/>
              </w:rPr>
              <w:t>4.80</w:t>
            </w:r>
          </w:p>
        </w:tc>
        <w:tc>
          <w:tcPr>
            <w:tcW w:type="dxa" w:w="1606"/>
            <w:vAlign w:val="center"/>
          </w:tcPr>
          <w:p>
            <w:pPr>
              <w:spacing w:after="60" w:before="60" w:line="252" w:lineRule="auto"/>
              <w:jc w:val="center"/>
            </w:pPr>
            <w:r>
              <w:rPr>
                <w:rFonts w:ascii="Times New Roman" w:hAnsi="Times New Roman" w:eastAsia="方正仿宋_GBK"/>
                <w:b w:val="0"/>
                <w:sz w:val="21"/>
              </w:rPr>
              <w:t>138</w:t>
            </w:r>
          </w:p>
        </w:tc>
        <w:tc>
          <w:tcPr>
            <w:tcW w:type="dxa" w:w="1606"/>
            <w:vAlign w:val="center"/>
          </w:tcPr>
          <w:p>
            <w:pPr>
              <w:spacing w:after="60" w:before="60" w:line="252" w:lineRule="auto"/>
              <w:jc w:val="center"/>
            </w:pPr>
            <w:r>
              <w:rPr>
                <w:rFonts w:ascii="Times New Roman" w:hAnsi="Times New Roman" w:eastAsia="方正仿宋_GBK"/>
                <w:b w:val="0"/>
                <w:sz w:val="21"/>
              </w:rPr>
              <w:t>85750.47</w:t>
            </w:r>
          </w:p>
        </w:tc>
      </w:tr>
      <w:tr>
        <w:trPr>
          <w:cantSplit/>
        </w:trPr>
        <w:tc>
          <w:tcPr>
            <w:tcW w:type="dxa" w:w="1606"/>
            <w:vAlign w:val="center"/>
          </w:tcPr>
          <w:p>
            <w:pPr>
              <w:spacing w:after="60" w:before="60" w:line="252" w:lineRule="auto"/>
              <w:jc w:val="center"/>
            </w:pPr>
            <w:r>
              <w:rPr>
                <w:rFonts w:ascii="Times New Roman" w:hAnsi="Times New Roman" w:eastAsia="方正仿宋_GBK"/>
                <w:b w:val="0"/>
                <w:sz w:val="21"/>
              </w:rPr>
              <w:t>市区弹性</w:t>
            </w:r>
          </w:p>
        </w:tc>
        <w:tc>
          <w:tcPr>
            <w:tcW w:type="dxa" w:w="1606"/>
            <w:vAlign w:val="center"/>
          </w:tcPr>
          <w:p>
            <w:pPr>
              <w:spacing w:after="60" w:before="60" w:line="252" w:lineRule="auto"/>
              <w:jc w:val="center"/>
            </w:pPr>
            <w:r>
              <w:rPr>
                <w:rFonts w:ascii="Times New Roman" w:hAnsi="Times New Roman" w:eastAsia="方正仿宋_GBK"/>
                <w:b w:val="0"/>
                <w:sz w:val="21"/>
              </w:rPr>
              <w:t>3324.00</w:t>
            </w:r>
          </w:p>
        </w:tc>
        <w:tc>
          <w:tcPr>
            <w:tcW w:type="dxa" w:w="1606"/>
            <w:vAlign w:val="center"/>
          </w:tcPr>
          <w:p>
            <w:pPr>
              <w:spacing w:after="60" w:before="60" w:line="252" w:lineRule="auto"/>
              <w:jc w:val="center"/>
            </w:pPr>
            <w:r>
              <w:rPr>
                <w:rFonts w:ascii="Times New Roman" w:hAnsi="Times New Roman" w:eastAsia="方正仿宋_GBK"/>
                <w:b w:val="0"/>
                <w:sz w:val="21"/>
              </w:rPr>
              <w:t>2.17</w:t>
            </w:r>
          </w:p>
        </w:tc>
        <w:tc>
          <w:tcPr>
            <w:tcW w:type="dxa" w:w="1606"/>
            <w:vAlign w:val="center"/>
          </w:tcPr>
          <w:p>
            <w:pPr>
              <w:spacing w:after="60" w:before="60" w:line="252" w:lineRule="auto"/>
              <w:jc w:val="center"/>
            </w:pPr>
            <w:r>
              <w:rPr>
                <w:rFonts w:ascii="Times New Roman" w:hAnsi="Times New Roman" w:eastAsia="方正仿宋_GBK"/>
                <w:b w:val="0"/>
                <w:sz w:val="21"/>
              </w:rPr>
              <w:t>0.50</w:t>
            </w:r>
          </w:p>
        </w:tc>
        <w:tc>
          <w:tcPr>
            <w:tcW w:type="dxa" w:w="1606"/>
            <w:vAlign w:val="center"/>
          </w:tcPr>
          <w:p>
            <w:pPr>
              <w:spacing w:after="60" w:before="60" w:line="252" w:lineRule="auto"/>
              <w:jc w:val="center"/>
            </w:pPr>
            <w:r>
              <w:rPr>
                <w:rFonts w:ascii="Times New Roman" w:hAnsi="Times New Roman" w:eastAsia="方正仿宋_GBK"/>
                <w:b w:val="0"/>
                <w:sz w:val="21"/>
              </w:rPr>
              <w:t>64</w:t>
            </w:r>
          </w:p>
        </w:tc>
        <w:tc>
          <w:tcPr>
            <w:tcW w:type="dxa" w:w="1606"/>
            <w:vAlign w:val="center"/>
          </w:tcPr>
          <w:p>
            <w:pPr>
              <w:spacing w:after="60" w:before="60" w:line="252" w:lineRule="auto"/>
              <w:jc w:val="center"/>
            </w:pPr>
            <w:r>
              <w:rPr>
                <w:rFonts w:ascii="Times New Roman" w:hAnsi="Times New Roman" w:eastAsia="方正仿宋_GBK"/>
                <w:b w:val="0"/>
                <w:sz w:val="21"/>
              </w:rPr>
              <w:t>58346.09</w:t>
            </w:r>
          </w:p>
        </w:tc>
      </w:tr>
    </w:tbl>
    <w:p>
      <w:pPr>
        <w:spacing w:line="293" w:lineRule="auto" w:after="100"/>
        <w:ind w:firstLine="460"/>
        <w:jc w:val="both"/>
      </w:pPr>
      <w:r>
        <w:rPr>
          <w:rFonts w:ascii="Times New Roman" w:hAnsi="Times New Roman" w:eastAsia="方正仿宋_GBK"/>
          <w:b w:val="0"/>
          <w:sz w:val="23"/>
        </w:rPr>
        <w:t>两地区费用现值合计由120219.30万元降至84449.61万元，减少35769.70万元，约30%。邳州和市区分别减少8365.32万元、27404.38万元。</w:t>
      </w:r>
    </w:p>
    <w:p>
      <w:r>
        <w:br w:type="page"/>
      </w:r>
    </w:p>
    <w:p>
      <w:pPr>
        <w:keepNext/>
        <w:spacing w:line="293" w:lineRule="auto" w:after="100" w:before="120"/>
        <w:jc w:val="both"/>
      </w:pPr>
      <w:r>
        <w:rPr>
          <w:rFonts w:ascii="Times New Roman" w:hAnsi="Times New Roman" w:eastAsia="方正仿宋_GBK"/>
          <w:b/>
          <w:sz w:val="26"/>
        </w:rPr>
        <w:t>两地区弹性方案的逐年建设措施</w:t>
      </w:r>
    </w:p>
    <w:p>
      <w:pPr>
        <w:spacing w:line="293" w:lineRule="auto" w:after="100"/>
        <w:ind w:firstLine="460"/>
        <w:jc w:val="both"/>
      </w:pPr>
      <w:r>
        <w:rPr>
          <w:rFonts w:ascii="Times New Roman" w:hAnsi="Times New Roman" w:eastAsia="方正仿宋_GBK"/>
          <w:b w:val="0"/>
          <w:sz w:val="23"/>
        </w:rPr>
        <w:t>表中列示各年新购主变、新增联络和新增储能，以及年末容量与容载比。新购主变容量包括更换和扩建所购设备的容量。</w:t>
      </w:r>
    </w:p>
    <w:p>
      <w:pPr>
        <w:keepNext/>
        <w:spacing w:line="293" w:lineRule="auto" w:after="80" w:before="80"/>
        <w:jc w:val="both"/>
      </w:pPr>
      <w:r>
        <w:rPr>
          <w:rFonts w:ascii="Times New Roman" w:hAnsi="Times New Roman" w:eastAsia="方正仿宋_GBK"/>
          <w:b/>
          <w:sz w:val="23"/>
        </w:rPr>
        <w:t>邳州案例</w:t>
      </w:r>
    </w:p>
    <w:tbl>
      <w:tblPr>
        <w:tblStyle w:val="TableGrid"/>
        <w:tblW w:type="auto" w:w="0"/>
        <w:tblLook w:firstColumn="1" w:firstRow="1" w:lastColumn="0" w:lastRow="0" w:noHBand="0" w:noVBand="1" w:val="04A0"/>
      </w:tblPr>
      <w:tblGrid>
        <w:gridCol w:w="1606"/>
        <w:gridCol w:w="1606"/>
        <w:gridCol w:w="1606"/>
        <w:gridCol w:w="1606"/>
        <w:gridCol w:w="1606"/>
        <w:gridCol w:w="1606"/>
      </w:tblGrid>
      <w:tr>
        <w:trPr>
          <w:cantSplit/>
          <w:tblHeader/>
        </w:trPr>
        <w:tc>
          <w:tcPr>
            <w:tcW w:type="dxa" w:w="1606"/>
            <w:vAlign w:val="center"/>
          </w:tcPr>
          <w:p>
            <w:pPr>
              <w:spacing w:after="60" w:before="60" w:line="252" w:lineRule="auto"/>
              <w:jc w:val="center"/>
            </w:pPr>
            <w:r>
              <w:rPr>
                <w:rFonts w:ascii="Times New Roman" w:hAnsi="Times New Roman" w:eastAsia="方正仿宋_GBK"/>
                <w:b/>
                <w:sz w:val="21"/>
              </w:rPr>
              <w:t>年份</w:t>
            </w:r>
          </w:p>
        </w:tc>
        <w:tc>
          <w:tcPr>
            <w:tcW w:type="dxa" w:w="1606"/>
            <w:vAlign w:val="center"/>
          </w:tcPr>
          <w:p>
            <w:pPr>
              <w:spacing w:after="60" w:before="60" w:line="252" w:lineRule="auto"/>
              <w:jc w:val="center"/>
            </w:pPr>
            <w:r>
              <w:rPr>
                <w:rFonts w:ascii="Times New Roman" w:hAnsi="Times New Roman" w:eastAsia="方正仿宋_GBK"/>
                <w:b/>
                <w:sz w:val="21"/>
              </w:rPr>
              <w:t>当年新购主变</w:t>
              <w:br/>
              <w:t>MVA</w:t>
            </w:r>
          </w:p>
        </w:tc>
        <w:tc>
          <w:tcPr>
            <w:tcW w:type="dxa" w:w="1606"/>
            <w:vAlign w:val="center"/>
          </w:tcPr>
          <w:p>
            <w:pPr>
              <w:spacing w:after="60" w:before="60" w:line="252" w:lineRule="auto"/>
              <w:jc w:val="center"/>
            </w:pPr>
            <w:r>
              <w:rPr>
                <w:rFonts w:ascii="Times New Roman" w:hAnsi="Times New Roman" w:eastAsia="方正仿宋_GBK"/>
                <w:b/>
                <w:sz w:val="21"/>
              </w:rPr>
              <w:t>当年新增联络</w:t>
              <w:br/>
              <w:t>条</w:t>
            </w:r>
          </w:p>
        </w:tc>
        <w:tc>
          <w:tcPr>
            <w:tcW w:type="dxa" w:w="1606"/>
            <w:vAlign w:val="center"/>
          </w:tcPr>
          <w:p>
            <w:pPr>
              <w:spacing w:after="60" w:before="60" w:line="252" w:lineRule="auto"/>
              <w:jc w:val="center"/>
            </w:pPr>
            <w:r>
              <w:rPr>
                <w:rFonts w:ascii="Times New Roman" w:hAnsi="Times New Roman" w:eastAsia="方正仿宋_GBK"/>
                <w:b/>
                <w:sz w:val="21"/>
              </w:rPr>
              <w:t>当年新增储能</w:t>
              <w:br/>
              <w:t>MW</w:t>
            </w:r>
          </w:p>
        </w:tc>
        <w:tc>
          <w:tcPr>
            <w:tcW w:type="dxa" w:w="1606"/>
            <w:vAlign w:val="center"/>
          </w:tcPr>
          <w:p>
            <w:pPr>
              <w:spacing w:after="60" w:before="60" w:line="252" w:lineRule="auto"/>
              <w:jc w:val="center"/>
            </w:pPr>
            <w:r>
              <w:rPr>
                <w:rFonts w:ascii="Times New Roman" w:hAnsi="Times New Roman" w:eastAsia="方正仿宋_GBK"/>
                <w:b/>
                <w:sz w:val="21"/>
              </w:rPr>
              <w:t>年末主变容量</w:t>
              <w:br/>
              <w:t>MVA</w:t>
            </w:r>
          </w:p>
        </w:tc>
        <w:tc>
          <w:tcPr>
            <w:tcW w:type="dxa" w:w="1606"/>
            <w:vAlign w:val="center"/>
          </w:tcPr>
          <w:p>
            <w:pPr>
              <w:spacing w:after="60" w:before="60" w:line="252" w:lineRule="auto"/>
              <w:jc w:val="center"/>
            </w:pPr>
            <w:r>
              <w:rPr>
                <w:rFonts w:ascii="Times New Roman" w:hAnsi="Times New Roman" w:eastAsia="方正仿宋_GBK"/>
                <w:b/>
                <w:sz w:val="21"/>
              </w:rPr>
              <w:t>年末容载比</w:t>
            </w:r>
          </w:p>
        </w:tc>
      </w:tr>
      <w:tr>
        <w:trPr>
          <w:cantSplit/>
        </w:trPr>
        <w:tc>
          <w:tcPr>
            <w:tcW w:type="dxa" w:w="1606"/>
            <w:vAlign w:val="center"/>
          </w:tcPr>
          <w:p>
            <w:pPr>
              <w:spacing w:after="60" w:before="60" w:line="252" w:lineRule="auto"/>
              <w:jc w:val="center"/>
            </w:pPr>
            <w:r>
              <w:rPr>
                <w:rFonts w:ascii="Times New Roman" w:hAnsi="Times New Roman" w:eastAsia="方正仿宋_GBK"/>
                <w:b w:val="0"/>
                <w:sz w:val="21"/>
              </w:rPr>
              <w:t>2022</w:t>
            </w:r>
          </w:p>
        </w:tc>
        <w:tc>
          <w:tcPr>
            <w:tcW w:type="dxa" w:w="1606"/>
            <w:vAlign w:val="center"/>
          </w:tcPr>
          <w:p>
            <w:pPr>
              <w:spacing w:after="60" w:before="60" w:line="252" w:lineRule="auto"/>
              <w:jc w:val="center"/>
            </w:pPr>
            <w:r>
              <w:rPr>
                <w:rFonts w:ascii="Times New Roman" w:hAnsi="Times New Roman" w:eastAsia="方正仿宋_GBK"/>
                <w:b w:val="0"/>
                <w:sz w:val="21"/>
              </w:rPr>
              <w:t>855.00</w:t>
            </w:r>
          </w:p>
        </w:tc>
        <w:tc>
          <w:tcPr>
            <w:tcW w:type="dxa" w:w="1606"/>
            <w:vAlign w:val="center"/>
          </w:tcPr>
          <w:p>
            <w:pPr>
              <w:spacing w:after="60" w:before="60" w:line="252" w:lineRule="auto"/>
              <w:jc w:val="center"/>
            </w:pPr>
            <w:r>
              <w:rPr>
                <w:rFonts w:ascii="Times New Roman" w:hAnsi="Times New Roman" w:eastAsia="方正仿宋_GBK"/>
                <w:b w:val="0"/>
                <w:sz w:val="21"/>
              </w:rPr>
              <w:t>21</w:t>
            </w:r>
          </w:p>
        </w:tc>
        <w:tc>
          <w:tcPr>
            <w:tcW w:type="dxa" w:w="1606"/>
            <w:vAlign w:val="center"/>
          </w:tcPr>
          <w:p>
            <w:pPr>
              <w:spacing w:after="60" w:before="60" w:line="252" w:lineRule="auto"/>
              <w:jc w:val="center"/>
            </w:pPr>
            <w:r>
              <w:rPr>
                <w:rFonts w:ascii="Times New Roman" w:hAnsi="Times New Roman" w:eastAsia="方正仿宋_GBK"/>
                <w:b w:val="0"/>
                <w:sz w:val="21"/>
              </w:rPr>
              <w:t>0.00</w:t>
            </w:r>
          </w:p>
        </w:tc>
        <w:tc>
          <w:tcPr>
            <w:tcW w:type="dxa" w:w="1606"/>
            <w:vAlign w:val="center"/>
          </w:tcPr>
          <w:p>
            <w:pPr>
              <w:spacing w:after="60" w:before="60" w:line="252" w:lineRule="auto"/>
              <w:jc w:val="center"/>
            </w:pPr>
            <w:r>
              <w:rPr>
                <w:rFonts w:ascii="Times New Roman" w:hAnsi="Times New Roman" w:eastAsia="方正仿宋_GBK"/>
                <w:b w:val="0"/>
                <w:sz w:val="21"/>
              </w:rPr>
              <w:t>1932.50</w:t>
            </w:r>
          </w:p>
        </w:tc>
        <w:tc>
          <w:tcPr>
            <w:tcW w:type="dxa" w:w="1606"/>
            <w:vAlign w:val="center"/>
          </w:tcPr>
          <w:p>
            <w:pPr>
              <w:spacing w:after="60" w:before="60" w:line="252" w:lineRule="auto"/>
              <w:jc w:val="center"/>
            </w:pPr>
            <w:r>
              <w:rPr>
                <w:rFonts w:ascii="Times New Roman" w:hAnsi="Times New Roman" w:eastAsia="方正仿宋_GBK"/>
                <w:b w:val="0"/>
                <w:sz w:val="21"/>
              </w:rPr>
              <w:t>2.34</w:t>
            </w:r>
          </w:p>
        </w:tc>
      </w:tr>
      <w:tr>
        <w:trPr>
          <w:cantSplit/>
        </w:trPr>
        <w:tc>
          <w:tcPr>
            <w:tcW w:type="dxa" w:w="1606"/>
            <w:vAlign w:val="center"/>
          </w:tcPr>
          <w:p>
            <w:pPr>
              <w:spacing w:after="60" w:before="60" w:line="252" w:lineRule="auto"/>
              <w:jc w:val="center"/>
            </w:pPr>
            <w:r>
              <w:rPr>
                <w:rFonts w:ascii="Times New Roman" w:hAnsi="Times New Roman" w:eastAsia="方正仿宋_GBK"/>
                <w:b w:val="0"/>
                <w:sz w:val="21"/>
              </w:rPr>
              <w:t>2023</w:t>
            </w:r>
          </w:p>
        </w:tc>
        <w:tc>
          <w:tcPr>
            <w:tcW w:type="dxa" w:w="1606"/>
            <w:vAlign w:val="center"/>
          </w:tcPr>
          <w:p>
            <w:pPr>
              <w:spacing w:after="60" w:before="60" w:line="252" w:lineRule="auto"/>
              <w:jc w:val="center"/>
            </w:pPr>
            <w:r>
              <w:rPr>
                <w:rFonts w:ascii="Times New Roman" w:hAnsi="Times New Roman" w:eastAsia="方正仿宋_GBK"/>
                <w:b w:val="0"/>
                <w:sz w:val="21"/>
              </w:rPr>
              <w:t>0.00</w:t>
            </w:r>
          </w:p>
        </w:tc>
        <w:tc>
          <w:tcPr>
            <w:tcW w:type="dxa" w:w="1606"/>
            <w:vAlign w:val="center"/>
          </w:tcPr>
          <w:p>
            <w:pPr>
              <w:spacing w:after="60" w:before="60" w:line="252" w:lineRule="auto"/>
              <w:jc w:val="center"/>
            </w:pPr>
            <w:r>
              <w:rPr>
                <w:rFonts w:ascii="Times New Roman" w:hAnsi="Times New Roman" w:eastAsia="方正仿宋_GBK"/>
                <w:b w:val="0"/>
                <w:sz w:val="21"/>
              </w:rPr>
              <w:t>1</w:t>
            </w:r>
          </w:p>
        </w:tc>
        <w:tc>
          <w:tcPr>
            <w:tcW w:type="dxa" w:w="1606"/>
            <w:vAlign w:val="center"/>
          </w:tcPr>
          <w:p>
            <w:pPr>
              <w:spacing w:after="60" w:before="60" w:line="252" w:lineRule="auto"/>
              <w:jc w:val="center"/>
            </w:pPr>
            <w:r>
              <w:rPr>
                <w:rFonts w:ascii="Times New Roman" w:hAnsi="Times New Roman" w:eastAsia="方正仿宋_GBK"/>
                <w:b w:val="0"/>
                <w:sz w:val="21"/>
              </w:rPr>
              <w:t>0.00</w:t>
            </w:r>
          </w:p>
        </w:tc>
        <w:tc>
          <w:tcPr>
            <w:tcW w:type="dxa" w:w="1606"/>
            <w:vAlign w:val="center"/>
          </w:tcPr>
          <w:p>
            <w:pPr>
              <w:spacing w:after="60" w:before="60" w:line="252" w:lineRule="auto"/>
              <w:jc w:val="center"/>
            </w:pPr>
            <w:r>
              <w:rPr>
                <w:rFonts w:ascii="Times New Roman" w:hAnsi="Times New Roman" w:eastAsia="方正仿宋_GBK"/>
                <w:b w:val="0"/>
                <w:sz w:val="21"/>
              </w:rPr>
              <w:t>1932.50</w:t>
            </w:r>
          </w:p>
        </w:tc>
        <w:tc>
          <w:tcPr>
            <w:tcW w:type="dxa" w:w="1606"/>
            <w:vAlign w:val="center"/>
          </w:tcPr>
          <w:p>
            <w:pPr>
              <w:spacing w:after="60" w:before="60" w:line="252" w:lineRule="auto"/>
              <w:jc w:val="center"/>
            </w:pPr>
            <w:r>
              <w:rPr>
                <w:rFonts w:ascii="Times New Roman" w:hAnsi="Times New Roman" w:eastAsia="方正仿宋_GBK"/>
                <w:b w:val="0"/>
                <w:sz w:val="21"/>
              </w:rPr>
              <w:t>2.54</w:t>
            </w:r>
          </w:p>
        </w:tc>
      </w:tr>
      <w:tr>
        <w:trPr>
          <w:cantSplit/>
        </w:trPr>
        <w:tc>
          <w:tcPr>
            <w:tcW w:type="dxa" w:w="1606"/>
            <w:vAlign w:val="center"/>
          </w:tcPr>
          <w:p>
            <w:pPr>
              <w:spacing w:after="60" w:before="60" w:line="252" w:lineRule="auto"/>
              <w:jc w:val="center"/>
            </w:pPr>
            <w:r>
              <w:rPr>
                <w:rFonts w:ascii="Times New Roman" w:hAnsi="Times New Roman" w:eastAsia="方正仿宋_GBK"/>
                <w:b w:val="0"/>
                <w:sz w:val="21"/>
              </w:rPr>
              <w:t>2024</w:t>
            </w:r>
          </w:p>
        </w:tc>
        <w:tc>
          <w:tcPr>
            <w:tcW w:type="dxa" w:w="1606"/>
            <w:vAlign w:val="center"/>
          </w:tcPr>
          <w:p>
            <w:pPr>
              <w:spacing w:after="60" w:before="60" w:line="252" w:lineRule="auto"/>
              <w:jc w:val="center"/>
            </w:pPr>
            <w:r>
              <w:rPr>
                <w:rFonts w:ascii="Times New Roman" w:hAnsi="Times New Roman" w:eastAsia="方正仿宋_GBK"/>
                <w:b w:val="0"/>
                <w:sz w:val="21"/>
              </w:rPr>
              <w:t>0.00</w:t>
            </w:r>
          </w:p>
        </w:tc>
        <w:tc>
          <w:tcPr>
            <w:tcW w:type="dxa" w:w="1606"/>
            <w:vAlign w:val="center"/>
          </w:tcPr>
          <w:p>
            <w:pPr>
              <w:spacing w:after="60" w:before="60" w:line="252" w:lineRule="auto"/>
              <w:jc w:val="center"/>
            </w:pPr>
            <w:r>
              <w:rPr>
                <w:rFonts w:ascii="Times New Roman" w:hAnsi="Times New Roman" w:eastAsia="方正仿宋_GBK"/>
                <w:b w:val="0"/>
                <w:sz w:val="21"/>
              </w:rPr>
              <w:t>2</w:t>
            </w:r>
          </w:p>
        </w:tc>
        <w:tc>
          <w:tcPr>
            <w:tcW w:type="dxa" w:w="1606"/>
            <w:vAlign w:val="center"/>
          </w:tcPr>
          <w:p>
            <w:pPr>
              <w:spacing w:after="60" w:before="60" w:line="252" w:lineRule="auto"/>
              <w:jc w:val="center"/>
            </w:pPr>
            <w:r>
              <w:rPr>
                <w:rFonts w:ascii="Times New Roman" w:hAnsi="Times New Roman" w:eastAsia="方正仿宋_GBK"/>
                <w:b w:val="0"/>
                <w:sz w:val="21"/>
              </w:rPr>
              <w:t>0.00</w:t>
            </w:r>
          </w:p>
        </w:tc>
        <w:tc>
          <w:tcPr>
            <w:tcW w:type="dxa" w:w="1606"/>
            <w:vAlign w:val="center"/>
          </w:tcPr>
          <w:p>
            <w:pPr>
              <w:spacing w:after="60" w:before="60" w:line="252" w:lineRule="auto"/>
              <w:jc w:val="center"/>
            </w:pPr>
            <w:r>
              <w:rPr>
                <w:rFonts w:ascii="Times New Roman" w:hAnsi="Times New Roman" w:eastAsia="方正仿宋_GBK"/>
                <w:b w:val="0"/>
                <w:sz w:val="21"/>
              </w:rPr>
              <w:t>1932.50</w:t>
            </w:r>
          </w:p>
        </w:tc>
        <w:tc>
          <w:tcPr>
            <w:tcW w:type="dxa" w:w="1606"/>
            <w:vAlign w:val="center"/>
          </w:tcPr>
          <w:p>
            <w:pPr>
              <w:spacing w:after="60" w:before="60" w:line="252" w:lineRule="auto"/>
              <w:jc w:val="center"/>
            </w:pPr>
            <w:r>
              <w:rPr>
                <w:rFonts w:ascii="Times New Roman" w:hAnsi="Times New Roman" w:eastAsia="方正仿宋_GBK"/>
                <w:b w:val="0"/>
                <w:sz w:val="21"/>
              </w:rPr>
              <w:t>2.24</w:t>
            </w:r>
          </w:p>
        </w:tc>
      </w:tr>
      <w:tr>
        <w:trPr>
          <w:cantSplit/>
        </w:trPr>
        <w:tc>
          <w:tcPr>
            <w:tcW w:type="dxa" w:w="1606"/>
            <w:vAlign w:val="center"/>
          </w:tcPr>
          <w:p>
            <w:pPr>
              <w:spacing w:after="60" w:before="60" w:line="252" w:lineRule="auto"/>
              <w:jc w:val="center"/>
            </w:pPr>
            <w:r>
              <w:rPr>
                <w:rFonts w:ascii="Times New Roman" w:hAnsi="Times New Roman" w:eastAsia="方正仿宋_GBK"/>
                <w:b w:val="0"/>
                <w:sz w:val="21"/>
              </w:rPr>
              <w:t>2025</w:t>
            </w:r>
          </w:p>
        </w:tc>
        <w:tc>
          <w:tcPr>
            <w:tcW w:type="dxa" w:w="1606"/>
            <w:vAlign w:val="center"/>
          </w:tcPr>
          <w:p>
            <w:pPr>
              <w:spacing w:after="60" w:before="60" w:line="252" w:lineRule="auto"/>
              <w:jc w:val="center"/>
            </w:pPr>
            <w:r>
              <w:rPr>
                <w:rFonts w:ascii="Times New Roman" w:hAnsi="Times New Roman" w:eastAsia="方正仿宋_GBK"/>
                <w:b w:val="0"/>
                <w:sz w:val="21"/>
              </w:rPr>
              <w:t>63.00</w:t>
            </w:r>
          </w:p>
        </w:tc>
        <w:tc>
          <w:tcPr>
            <w:tcW w:type="dxa" w:w="1606"/>
            <w:vAlign w:val="center"/>
          </w:tcPr>
          <w:p>
            <w:pPr>
              <w:spacing w:after="60" w:before="60" w:line="252" w:lineRule="auto"/>
              <w:jc w:val="center"/>
            </w:pPr>
            <w:r>
              <w:rPr>
                <w:rFonts w:ascii="Times New Roman" w:hAnsi="Times New Roman" w:eastAsia="方正仿宋_GBK"/>
                <w:b w:val="0"/>
                <w:sz w:val="21"/>
              </w:rPr>
              <w:t>6</w:t>
            </w:r>
          </w:p>
        </w:tc>
        <w:tc>
          <w:tcPr>
            <w:tcW w:type="dxa" w:w="1606"/>
            <w:vAlign w:val="center"/>
          </w:tcPr>
          <w:p>
            <w:pPr>
              <w:spacing w:after="60" w:before="60" w:line="252" w:lineRule="auto"/>
              <w:jc w:val="center"/>
            </w:pPr>
            <w:r>
              <w:rPr>
                <w:rFonts w:ascii="Times New Roman" w:hAnsi="Times New Roman" w:eastAsia="方正仿宋_GBK"/>
                <w:b w:val="0"/>
                <w:sz w:val="21"/>
              </w:rPr>
              <w:t>0.00</w:t>
            </w:r>
          </w:p>
        </w:tc>
        <w:tc>
          <w:tcPr>
            <w:tcW w:type="dxa" w:w="1606"/>
            <w:vAlign w:val="center"/>
          </w:tcPr>
          <w:p>
            <w:pPr>
              <w:spacing w:after="60" w:before="60" w:line="252" w:lineRule="auto"/>
              <w:jc w:val="center"/>
            </w:pPr>
            <w:r>
              <w:rPr>
                <w:rFonts w:ascii="Times New Roman" w:hAnsi="Times New Roman" w:eastAsia="方正仿宋_GBK"/>
                <w:b w:val="0"/>
                <w:sz w:val="21"/>
              </w:rPr>
              <w:t>1955.50</w:t>
            </w:r>
          </w:p>
        </w:tc>
        <w:tc>
          <w:tcPr>
            <w:tcW w:type="dxa" w:w="1606"/>
            <w:vAlign w:val="center"/>
          </w:tcPr>
          <w:p>
            <w:pPr>
              <w:spacing w:after="60" w:before="60" w:line="252" w:lineRule="auto"/>
              <w:jc w:val="center"/>
            </w:pPr>
            <w:r>
              <w:rPr>
                <w:rFonts w:ascii="Times New Roman" w:hAnsi="Times New Roman" w:eastAsia="方正仿宋_GBK"/>
                <w:b w:val="0"/>
                <w:sz w:val="21"/>
              </w:rPr>
              <w:t>2.04</w:t>
            </w:r>
          </w:p>
        </w:tc>
      </w:tr>
    </w:tbl>
    <w:p>
      <w:pPr>
        <w:spacing w:line="293" w:lineRule="auto" w:after="100"/>
        <w:ind w:firstLine="460"/>
        <w:jc w:val="both"/>
      </w:pPr>
      <w:r>
        <w:rPr>
          <w:rFonts w:ascii="Times New Roman" w:hAnsi="Times New Roman" w:eastAsia="方正仿宋_GBK"/>
          <w:b w:val="0"/>
          <w:sz w:val="23"/>
        </w:rPr>
        <w:t>邳州的主要容量调整集中在2022年，年末主变容量达到1932.50 MVA。2023年负荷回落、主变容量不变，容载比升至2.54；2024年随负荷回升降至2.24。2025年新购主变63 MVA用于设备更换，净增容量23 MVA，全年负荷继续增长，年末容载比为2.04；同年新增6条联络以安排站间转供。四年累计建设联络30条，未配置储能。</w:t>
      </w:r>
    </w:p>
    <w:p>
      <w:pPr>
        <w:keepNext/>
        <w:spacing w:line="293" w:lineRule="auto" w:after="80" w:before="80"/>
        <w:jc w:val="both"/>
      </w:pPr>
      <w:r>
        <w:rPr>
          <w:rFonts w:ascii="Times New Roman" w:hAnsi="Times New Roman" w:eastAsia="方正仿宋_GBK"/>
          <w:b/>
          <w:sz w:val="23"/>
        </w:rPr>
        <w:t>市区案例</w:t>
      </w:r>
    </w:p>
    <w:tbl>
      <w:tblPr>
        <w:tblStyle w:val="TableGrid"/>
        <w:tblW w:type="auto" w:w="0"/>
        <w:tblLook w:firstColumn="1" w:firstRow="1" w:lastColumn="0" w:lastRow="0" w:noHBand="0" w:noVBand="1" w:val="04A0"/>
      </w:tblPr>
      <w:tblGrid>
        <w:gridCol w:w="1606"/>
        <w:gridCol w:w="1606"/>
        <w:gridCol w:w="1606"/>
        <w:gridCol w:w="1606"/>
        <w:gridCol w:w="1606"/>
        <w:gridCol w:w="1606"/>
      </w:tblGrid>
      <w:tr>
        <w:trPr>
          <w:cantSplit/>
          <w:tblHeader/>
        </w:trPr>
        <w:tc>
          <w:tcPr>
            <w:tcW w:type="dxa" w:w="1606"/>
            <w:vAlign w:val="center"/>
          </w:tcPr>
          <w:p>
            <w:pPr>
              <w:spacing w:after="60" w:before="60" w:line="252" w:lineRule="auto"/>
              <w:jc w:val="center"/>
            </w:pPr>
            <w:r>
              <w:rPr>
                <w:rFonts w:ascii="Times New Roman" w:hAnsi="Times New Roman" w:eastAsia="方正仿宋_GBK"/>
                <w:b/>
                <w:sz w:val="21"/>
              </w:rPr>
              <w:t>年份</w:t>
            </w:r>
          </w:p>
        </w:tc>
        <w:tc>
          <w:tcPr>
            <w:tcW w:type="dxa" w:w="1606"/>
            <w:vAlign w:val="center"/>
          </w:tcPr>
          <w:p>
            <w:pPr>
              <w:spacing w:after="60" w:before="60" w:line="252" w:lineRule="auto"/>
              <w:jc w:val="center"/>
            </w:pPr>
            <w:r>
              <w:rPr>
                <w:rFonts w:ascii="Times New Roman" w:hAnsi="Times New Roman" w:eastAsia="方正仿宋_GBK"/>
                <w:b/>
                <w:sz w:val="21"/>
              </w:rPr>
              <w:t>当年新购主变</w:t>
              <w:br/>
              <w:t>MVA</w:t>
            </w:r>
          </w:p>
        </w:tc>
        <w:tc>
          <w:tcPr>
            <w:tcW w:type="dxa" w:w="1606"/>
            <w:vAlign w:val="center"/>
          </w:tcPr>
          <w:p>
            <w:pPr>
              <w:spacing w:after="60" w:before="60" w:line="252" w:lineRule="auto"/>
              <w:jc w:val="center"/>
            </w:pPr>
            <w:r>
              <w:rPr>
                <w:rFonts w:ascii="Times New Roman" w:hAnsi="Times New Roman" w:eastAsia="方正仿宋_GBK"/>
                <w:b/>
                <w:sz w:val="21"/>
              </w:rPr>
              <w:t>当年新增联络</w:t>
              <w:br/>
              <w:t>条</w:t>
            </w:r>
          </w:p>
        </w:tc>
        <w:tc>
          <w:tcPr>
            <w:tcW w:type="dxa" w:w="1606"/>
            <w:vAlign w:val="center"/>
          </w:tcPr>
          <w:p>
            <w:pPr>
              <w:spacing w:after="60" w:before="60" w:line="252" w:lineRule="auto"/>
              <w:jc w:val="center"/>
            </w:pPr>
            <w:r>
              <w:rPr>
                <w:rFonts w:ascii="Times New Roman" w:hAnsi="Times New Roman" w:eastAsia="方正仿宋_GBK"/>
                <w:b/>
                <w:sz w:val="21"/>
              </w:rPr>
              <w:t>当年新增储能</w:t>
              <w:br/>
              <w:t>MW</w:t>
            </w:r>
          </w:p>
        </w:tc>
        <w:tc>
          <w:tcPr>
            <w:tcW w:type="dxa" w:w="1606"/>
            <w:vAlign w:val="center"/>
          </w:tcPr>
          <w:p>
            <w:pPr>
              <w:spacing w:after="60" w:before="60" w:line="252" w:lineRule="auto"/>
              <w:jc w:val="center"/>
            </w:pPr>
            <w:r>
              <w:rPr>
                <w:rFonts w:ascii="Times New Roman" w:hAnsi="Times New Roman" w:eastAsia="方正仿宋_GBK"/>
                <w:b/>
                <w:sz w:val="21"/>
              </w:rPr>
              <w:t>年末主变容量</w:t>
              <w:br/>
              <w:t>MVA</w:t>
            </w:r>
          </w:p>
        </w:tc>
        <w:tc>
          <w:tcPr>
            <w:tcW w:type="dxa" w:w="1606"/>
            <w:vAlign w:val="center"/>
          </w:tcPr>
          <w:p>
            <w:pPr>
              <w:spacing w:after="60" w:before="60" w:line="252" w:lineRule="auto"/>
              <w:jc w:val="center"/>
            </w:pPr>
            <w:r>
              <w:rPr>
                <w:rFonts w:ascii="Times New Roman" w:hAnsi="Times New Roman" w:eastAsia="方正仿宋_GBK"/>
                <w:b/>
                <w:sz w:val="21"/>
              </w:rPr>
              <w:t>年末容载比</w:t>
            </w:r>
          </w:p>
        </w:tc>
      </w:tr>
      <w:tr>
        <w:trPr>
          <w:cantSplit/>
        </w:trPr>
        <w:tc>
          <w:tcPr>
            <w:tcW w:type="dxa" w:w="1606"/>
            <w:vAlign w:val="center"/>
          </w:tcPr>
          <w:p>
            <w:pPr>
              <w:spacing w:after="60" w:before="60" w:line="252" w:lineRule="auto"/>
              <w:jc w:val="center"/>
            </w:pPr>
            <w:r>
              <w:rPr>
                <w:rFonts w:ascii="Times New Roman" w:hAnsi="Times New Roman" w:eastAsia="方正仿宋_GBK"/>
                <w:b w:val="0"/>
                <w:sz w:val="21"/>
              </w:rPr>
              <w:t>2022</w:t>
            </w:r>
          </w:p>
        </w:tc>
        <w:tc>
          <w:tcPr>
            <w:tcW w:type="dxa" w:w="1606"/>
            <w:vAlign w:val="center"/>
          </w:tcPr>
          <w:p>
            <w:pPr>
              <w:spacing w:after="60" w:before="60" w:line="252" w:lineRule="auto"/>
              <w:jc w:val="center"/>
            </w:pPr>
            <w:r>
              <w:rPr>
                <w:rFonts w:ascii="Times New Roman" w:hAnsi="Times New Roman" w:eastAsia="方正仿宋_GBK"/>
                <w:b w:val="0"/>
                <w:sz w:val="21"/>
              </w:rPr>
              <w:t>823.00</w:t>
            </w:r>
          </w:p>
        </w:tc>
        <w:tc>
          <w:tcPr>
            <w:tcW w:type="dxa" w:w="1606"/>
            <w:vAlign w:val="center"/>
          </w:tcPr>
          <w:p>
            <w:pPr>
              <w:spacing w:after="60" w:before="60" w:line="252" w:lineRule="auto"/>
              <w:jc w:val="center"/>
            </w:pPr>
            <w:r>
              <w:rPr>
                <w:rFonts w:ascii="Times New Roman" w:hAnsi="Times New Roman" w:eastAsia="方正仿宋_GBK"/>
                <w:b w:val="0"/>
                <w:sz w:val="21"/>
              </w:rPr>
              <w:t>53</w:t>
            </w:r>
          </w:p>
        </w:tc>
        <w:tc>
          <w:tcPr>
            <w:tcW w:type="dxa" w:w="1606"/>
            <w:vAlign w:val="center"/>
          </w:tcPr>
          <w:p>
            <w:pPr>
              <w:spacing w:after="60" w:before="60" w:line="252" w:lineRule="auto"/>
              <w:jc w:val="center"/>
            </w:pPr>
            <w:r>
              <w:rPr>
                <w:rFonts w:ascii="Times New Roman" w:hAnsi="Times New Roman" w:eastAsia="方正仿宋_GBK"/>
                <w:b w:val="0"/>
                <w:sz w:val="21"/>
              </w:rPr>
              <w:t>0.00</w:t>
            </w:r>
          </w:p>
        </w:tc>
        <w:tc>
          <w:tcPr>
            <w:tcW w:type="dxa" w:w="1606"/>
            <w:vAlign w:val="center"/>
          </w:tcPr>
          <w:p>
            <w:pPr>
              <w:spacing w:after="60" w:before="60" w:line="252" w:lineRule="auto"/>
              <w:jc w:val="center"/>
            </w:pPr>
            <w:r>
              <w:rPr>
                <w:rFonts w:ascii="Times New Roman" w:hAnsi="Times New Roman" w:eastAsia="方正仿宋_GBK"/>
                <w:b w:val="0"/>
                <w:sz w:val="21"/>
              </w:rPr>
              <w:t>3324.00</w:t>
            </w:r>
          </w:p>
        </w:tc>
        <w:tc>
          <w:tcPr>
            <w:tcW w:type="dxa" w:w="1606"/>
            <w:vAlign w:val="center"/>
          </w:tcPr>
          <w:p>
            <w:pPr>
              <w:spacing w:after="60" w:before="60" w:line="252" w:lineRule="auto"/>
              <w:jc w:val="center"/>
            </w:pPr>
            <w:r>
              <w:rPr>
                <w:rFonts w:ascii="Times New Roman" w:hAnsi="Times New Roman" w:eastAsia="方正仿宋_GBK"/>
                <w:b w:val="0"/>
                <w:sz w:val="21"/>
              </w:rPr>
              <w:t>2.32</w:t>
            </w:r>
          </w:p>
        </w:tc>
      </w:tr>
      <w:tr>
        <w:trPr>
          <w:cantSplit/>
        </w:trPr>
        <w:tc>
          <w:tcPr>
            <w:tcW w:type="dxa" w:w="1606"/>
            <w:vAlign w:val="center"/>
          </w:tcPr>
          <w:p>
            <w:pPr>
              <w:spacing w:after="60" w:before="60" w:line="252" w:lineRule="auto"/>
              <w:jc w:val="center"/>
            </w:pPr>
            <w:r>
              <w:rPr>
                <w:rFonts w:ascii="Times New Roman" w:hAnsi="Times New Roman" w:eastAsia="方正仿宋_GBK"/>
                <w:b w:val="0"/>
                <w:sz w:val="21"/>
              </w:rPr>
              <w:t>2023</w:t>
            </w:r>
          </w:p>
        </w:tc>
        <w:tc>
          <w:tcPr>
            <w:tcW w:type="dxa" w:w="1606"/>
            <w:vAlign w:val="center"/>
          </w:tcPr>
          <w:p>
            <w:pPr>
              <w:spacing w:after="60" w:before="60" w:line="252" w:lineRule="auto"/>
              <w:jc w:val="center"/>
            </w:pPr>
            <w:r>
              <w:rPr>
                <w:rFonts w:ascii="Times New Roman" w:hAnsi="Times New Roman" w:eastAsia="方正仿宋_GBK"/>
                <w:b w:val="0"/>
                <w:sz w:val="21"/>
              </w:rPr>
              <w:t>0.00</w:t>
            </w:r>
          </w:p>
        </w:tc>
        <w:tc>
          <w:tcPr>
            <w:tcW w:type="dxa" w:w="1606"/>
            <w:vAlign w:val="center"/>
          </w:tcPr>
          <w:p>
            <w:pPr>
              <w:spacing w:after="60" w:before="60" w:line="252" w:lineRule="auto"/>
              <w:jc w:val="center"/>
            </w:pPr>
            <w:r>
              <w:rPr>
                <w:rFonts w:ascii="Times New Roman" w:hAnsi="Times New Roman" w:eastAsia="方正仿宋_GBK"/>
                <w:b w:val="0"/>
                <w:sz w:val="21"/>
              </w:rPr>
              <w:t>11</w:t>
            </w:r>
          </w:p>
        </w:tc>
        <w:tc>
          <w:tcPr>
            <w:tcW w:type="dxa" w:w="1606"/>
            <w:vAlign w:val="center"/>
          </w:tcPr>
          <w:p>
            <w:pPr>
              <w:spacing w:after="60" w:before="60" w:line="252" w:lineRule="auto"/>
              <w:jc w:val="center"/>
            </w:pPr>
            <w:r>
              <w:rPr>
                <w:rFonts w:ascii="Times New Roman" w:hAnsi="Times New Roman" w:eastAsia="方正仿宋_GBK"/>
                <w:b w:val="0"/>
                <w:sz w:val="21"/>
              </w:rPr>
              <w:t>0.50</w:t>
            </w:r>
          </w:p>
        </w:tc>
        <w:tc>
          <w:tcPr>
            <w:tcW w:type="dxa" w:w="1606"/>
            <w:vAlign w:val="center"/>
          </w:tcPr>
          <w:p>
            <w:pPr>
              <w:spacing w:after="60" w:before="60" w:line="252" w:lineRule="auto"/>
              <w:jc w:val="center"/>
            </w:pPr>
            <w:r>
              <w:rPr>
                <w:rFonts w:ascii="Times New Roman" w:hAnsi="Times New Roman" w:eastAsia="方正仿宋_GBK"/>
                <w:b w:val="0"/>
                <w:sz w:val="21"/>
              </w:rPr>
              <w:t>3324.00</w:t>
            </w:r>
          </w:p>
        </w:tc>
        <w:tc>
          <w:tcPr>
            <w:tcW w:type="dxa" w:w="1606"/>
            <w:vAlign w:val="center"/>
          </w:tcPr>
          <w:p>
            <w:pPr>
              <w:spacing w:after="60" w:before="60" w:line="252" w:lineRule="auto"/>
              <w:jc w:val="center"/>
            </w:pPr>
            <w:r>
              <w:rPr>
                <w:rFonts w:ascii="Times New Roman" w:hAnsi="Times New Roman" w:eastAsia="方正仿宋_GBK"/>
                <w:b w:val="0"/>
                <w:sz w:val="21"/>
              </w:rPr>
              <w:t>2.16</w:t>
            </w:r>
          </w:p>
        </w:tc>
      </w:tr>
      <w:tr>
        <w:trPr>
          <w:cantSplit/>
        </w:trPr>
        <w:tc>
          <w:tcPr>
            <w:tcW w:type="dxa" w:w="1606"/>
            <w:vAlign w:val="center"/>
          </w:tcPr>
          <w:p>
            <w:pPr>
              <w:spacing w:after="60" w:before="60" w:line="252" w:lineRule="auto"/>
              <w:jc w:val="center"/>
            </w:pPr>
            <w:r>
              <w:rPr>
                <w:rFonts w:ascii="Times New Roman" w:hAnsi="Times New Roman" w:eastAsia="方正仿宋_GBK"/>
                <w:b w:val="0"/>
                <w:sz w:val="21"/>
              </w:rPr>
              <w:t>2024</w:t>
            </w:r>
          </w:p>
        </w:tc>
        <w:tc>
          <w:tcPr>
            <w:tcW w:type="dxa" w:w="1606"/>
            <w:vAlign w:val="center"/>
          </w:tcPr>
          <w:p>
            <w:pPr>
              <w:spacing w:after="60" w:before="60" w:line="252" w:lineRule="auto"/>
              <w:jc w:val="center"/>
            </w:pPr>
            <w:r>
              <w:rPr>
                <w:rFonts w:ascii="Times New Roman" w:hAnsi="Times New Roman" w:eastAsia="方正仿宋_GBK"/>
                <w:b w:val="0"/>
                <w:sz w:val="21"/>
              </w:rPr>
              <w:t>0.00</w:t>
            </w:r>
          </w:p>
        </w:tc>
        <w:tc>
          <w:tcPr>
            <w:tcW w:type="dxa" w:w="1606"/>
            <w:vAlign w:val="center"/>
          </w:tcPr>
          <w:p>
            <w:pPr>
              <w:spacing w:after="60" w:before="60" w:line="252" w:lineRule="auto"/>
              <w:jc w:val="center"/>
            </w:pPr>
            <w:r>
              <w:rPr>
                <w:rFonts w:ascii="Times New Roman" w:hAnsi="Times New Roman" w:eastAsia="方正仿宋_GBK"/>
                <w:b w:val="0"/>
                <w:sz w:val="21"/>
              </w:rPr>
              <w:t>0</w:t>
            </w:r>
          </w:p>
        </w:tc>
        <w:tc>
          <w:tcPr>
            <w:tcW w:type="dxa" w:w="1606"/>
            <w:vAlign w:val="center"/>
          </w:tcPr>
          <w:p>
            <w:pPr>
              <w:spacing w:after="60" w:before="60" w:line="252" w:lineRule="auto"/>
              <w:jc w:val="center"/>
            </w:pPr>
            <w:r>
              <w:rPr>
                <w:rFonts w:ascii="Times New Roman" w:hAnsi="Times New Roman" w:eastAsia="方正仿宋_GBK"/>
                <w:b w:val="0"/>
                <w:sz w:val="21"/>
              </w:rPr>
              <w:t>0.00</w:t>
            </w:r>
          </w:p>
        </w:tc>
        <w:tc>
          <w:tcPr>
            <w:tcW w:type="dxa" w:w="1606"/>
            <w:vAlign w:val="center"/>
          </w:tcPr>
          <w:p>
            <w:pPr>
              <w:spacing w:after="60" w:before="60" w:line="252" w:lineRule="auto"/>
              <w:jc w:val="center"/>
            </w:pPr>
            <w:r>
              <w:rPr>
                <w:rFonts w:ascii="Times New Roman" w:hAnsi="Times New Roman" w:eastAsia="方正仿宋_GBK"/>
                <w:b w:val="0"/>
                <w:sz w:val="21"/>
              </w:rPr>
              <w:t>3324.00</w:t>
            </w:r>
          </w:p>
        </w:tc>
        <w:tc>
          <w:tcPr>
            <w:tcW w:type="dxa" w:w="1606"/>
            <w:vAlign w:val="center"/>
          </w:tcPr>
          <w:p>
            <w:pPr>
              <w:spacing w:after="60" w:before="60" w:line="252" w:lineRule="auto"/>
              <w:jc w:val="center"/>
            </w:pPr>
            <w:r>
              <w:rPr>
                <w:rFonts w:ascii="Times New Roman" w:hAnsi="Times New Roman" w:eastAsia="方正仿宋_GBK"/>
                <w:b w:val="0"/>
                <w:sz w:val="21"/>
              </w:rPr>
              <w:t>2.29</w:t>
            </w:r>
          </w:p>
        </w:tc>
      </w:tr>
      <w:tr>
        <w:trPr>
          <w:cantSplit/>
        </w:trPr>
        <w:tc>
          <w:tcPr>
            <w:tcW w:type="dxa" w:w="1606"/>
            <w:vAlign w:val="center"/>
          </w:tcPr>
          <w:p>
            <w:pPr>
              <w:spacing w:after="60" w:before="60" w:line="252" w:lineRule="auto"/>
              <w:jc w:val="center"/>
            </w:pPr>
            <w:r>
              <w:rPr>
                <w:rFonts w:ascii="Times New Roman" w:hAnsi="Times New Roman" w:eastAsia="方正仿宋_GBK"/>
                <w:b w:val="0"/>
                <w:sz w:val="21"/>
              </w:rPr>
              <w:t>2025</w:t>
            </w:r>
          </w:p>
        </w:tc>
        <w:tc>
          <w:tcPr>
            <w:tcW w:type="dxa" w:w="1606"/>
            <w:vAlign w:val="center"/>
          </w:tcPr>
          <w:p>
            <w:pPr>
              <w:spacing w:after="60" w:before="60" w:line="252" w:lineRule="auto"/>
              <w:jc w:val="center"/>
            </w:pPr>
            <w:r>
              <w:rPr>
                <w:rFonts w:ascii="Times New Roman" w:hAnsi="Times New Roman" w:eastAsia="方正仿宋_GBK"/>
                <w:b w:val="0"/>
                <w:sz w:val="21"/>
              </w:rPr>
              <w:t>0.00</w:t>
            </w:r>
          </w:p>
        </w:tc>
        <w:tc>
          <w:tcPr>
            <w:tcW w:type="dxa" w:w="1606"/>
            <w:vAlign w:val="center"/>
          </w:tcPr>
          <w:p>
            <w:pPr>
              <w:spacing w:after="60" w:before="60" w:line="252" w:lineRule="auto"/>
              <w:jc w:val="center"/>
            </w:pPr>
            <w:r>
              <w:rPr>
                <w:rFonts w:ascii="Times New Roman" w:hAnsi="Times New Roman" w:eastAsia="方正仿宋_GBK"/>
                <w:b w:val="0"/>
                <w:sz w:val="21"/>
              </w:rPr>
              <w:t>0</w:t>
            </w:r>
          </w:p>
        </w:tc>
        <w:tc>
          <w:tcPr>
            <w:tcW w:type="dxa" w:w="1606"/>
            <w:vAlign w:val="center"/>
          </w:tcPr>
          <w:p>
            <w:pPr>
              <w:spacing w:after="60" w:before="60" w:line="252" w:lineRule="auto"/>
              <w:jc w:val="center"/>
            </w:pPr>
            <w:r>
              <w:rPr>
                <w:rFonts w:ascii="Times New Roman" w:hAnsi="Times New Roman" w:eastAsia="方正仿宋_GBK"/>
                <w:b w:val="0"/>
                <w:sz w:val="21"/>
              </w:rPr>
              <w:t>0.00</w:t>
            </w:r>
          </w:p>
        </w:tc>
        <w:tc>
          <w:tcPr>
            <w:tcW w:type="dxa" w:w="1606"/>
            <w:vAlign w:val="center"/>
          </w:tcPr>
          <w:p>
            <w:pPr>
              <w:spacing w:after="60" w:before="60" w:line="252" w:lineRule="auto"/>
              <w:jc w:val="center"/>
            </w:pPr>
            <w:r>
              <w:rPr>
                <w:rFonts w:ascii="Times New Roman" w:hAnsi="Times New Roman" w:eastAsia="方正仿宋_GBK"/>
                <w:b w:val="0"/>
                <w:sz w:val="21"/>
              </w:rPr>
              <w:t>3324.00</w:t>
            </w:r>
          </w:p>
        </w:tc>
        <w:tc>
          <w:tcPr>
            <w:tcW w:type="dxa" w:w="1606"/>
            <w:vAlign w:val="center"/>
          </w:tcPr>
          <w:p>
            <w:pPr>
              <w:spacing w:after="60" w:before="60" w:line="252" w:lineRule="auto"/>
              <w:jc w:val="center"/>
            </w:pPr>
            <w:r>
              <w:rPr>
                <w:rFonts w:ascii="Times New Roman" w:hAnsi="Times New Roman" w:eastAsia="方正仿宋_GBK"/>
                <w:b w:val="0"/>
                <w:sz w:val="21"/>
              </w:rPr>
              <w:t>2.17</w:t>
            </w:r>
          </w:p>
        </w:tc>
      </w:tr>
    </w:tbl>
    <w:p>
      <w:pPr>
        <w:spacing w:line="293" w:lineRule="auto" w:after="100"/>
        <w:ind w:firstLine="460"/>
        <w:jc w:val="both"/>
      </w:pPr>
      <w:r>
        <w:rPr>
          <w:rFonts w:ascii="Times New Roman" w:hAnsi="Times New Roman" w:eastAsia="方正仿宋_GBK"/>
          <w:b w:val="0"/>
          <w:sz w:val="23"/>
        </w:rPr>
        <w:t>市区在2022年完成主变调整，容量由初始2900.00 MVA增至3324.00 MVA；2023年新增11条联络和0.50 MW储能，满足当年较高负荷下的局部需求。2024—2025年沿用已有配置，容载比随年度负荷分别为2.29和2.17。四年累计建设联络64条。</w:t>
      </w:r>
    </w:p>
    <w:p>
      <w:pPr>
        <w:keepNext/>
        <w:spacing w:line="293" w:lineRule="auto" w:after="100" w:before="120"/>
        <w:jc w:val="both"/>
      </w:pPr>
      <w:r>
        <w:rPr>
          <w:rFonts w:ascii="Times New Roman" w:hAnsi="Times New Roman" w:eastAsia="方正仿宋_GBK"/>
          <w:b/>
          <w:sz w:val="26"/>
        </w:rPr>
        <w:t>结果反映的规划含义</w:t>
      </w:r>
    </w:p>
    <w:p>
      <w:pPr>
        <w:spacing w:line="293" w:lineRule="auto" w:after="100"/>
        <w:ind w:firstLine="460"/>
        <w:jc w:val="both"/>
      </w:pPr>
      <w:r>
        <w:rPr>
          <w:rFonts w:ascii="Times New Roman" w:hAnsi="Times New Roman" w:eastAsia="方正仿宋_GBK"/>
          <w:b w:val="0"/>
          <w:sz w:val="23"/>
        </w:rPr>
        <w:t>与刚性方案相比，弹性方案增加部分主变容量后，储能和新增联络需求减少。邳州储能功率由32.90 MW降至零，市区由4.80 MW降至0.50 MW；新增联络分别减少31条、74条。在本次设备和价格条件下，储能与联络的费用节省超过主变费用增加，评价期总费用随之降低。</w:t>
      </w:r>
    </w:p>
    <w:p>
      <w:pPr>
        <w:spacing w:line="293" w:lineRule="auto" w:after="100"/>
        <w:ind w:firstLine="460"/>
        <w:jc w:val="both"/>
      </w:pPr>
      <w:r>
        <w:rPr>
          <w:rFonts w:ascii="Times New Roman" w:hAnsi="Times New Roman" w:eastAsia="方正仿宋_GBK"/>
          <w:b w:val="0"/>
          <w:sz w:val="23"/>
        </w:rPr>
        <w:t>上述替代关系取决于站点任务及支援条件。邳州需同时关注正向供电与日间反向输送，市区重点分析具体联络路径、馈线可转负荷和邻站余量。补齐后的区域小时曲线显示，两地区95%峰值最长连续时段分别为2 h和6 h，提示支撑需求具有地区差异；储能规模按本站功率缺口及故障恢复时间确定。</w:t>
      </w:r>
    </w:p>
    <w:p>
      <w:r>
        <w:br w:type="page"/>
      </w:r>
    </w:p>
    <w:p>
      <w:pPr>
        <w:keepNext/>
        <w:spacing w:line="293" w:lineRule="auto" w:after="100" w:before="120"/>
        <w:jc w:val="both"/>
      </w:pPr>
      <w:r>
        <w:rPr>
          <w:rFonts w:ascii="Times New Roman" w:hAnsi="Times New Roman" w:eastAsia="方正仿宋_GBK"/>
          <w:b/>
          <w:sz w:val="26"/>
        </w:rPr>
        <w:t>容载比推荐区间及应用</w:t>
      </w:r>
    </w:p>
    <w:p>
      <w:pPr>
        <w:spacing w:line="293" w:lineRule="auto" w:after="100"/>
        <w:ind w:firstLine="460"/>
        <w:jc w:val="both"/>
      </w:pPr>
      <w:r>
        <w:rPr>
          <w:rFonts w:ascii="Times New Roman" w:hAnsi="Times New Roman" w:eastAsia="方正仿宋_GBK"/>
          <w:b w:val="0"/>
          <w:sz w:val="23"/>
        </w:rPr>
        <w:t>为分析不同片区条件下的取值，采用五站模板改变分布式电源装机渗透率、年最大净负荷平均增长率、线路成本系数、初始转供率、储能支撑持续时间及负荷分散系数，12600组组合形成648个分类单元。以下摘录线路成本系数大于1.65且不大于6.85、储能支撑持续时间大于2 h且不大于4 h、负荷分散系数不大于1.10的推荐参考区间。</w:t>
      </w:r>
    </w:p>
    <w:tbl>
      <w:tblPr>
        <w:tblStyle w:val="TableGrid"/>
        <w:tblW w:type="auto" w:w="0"/>
        <w:tblLook w:firstColumn="1" w:firstRow="1" w:lastColumn="0" w:lastRow="0" w:noHBand="0" w:noVBand="1" w:val="04A0"/>
      </w:tblPr>
      <w:tblGrid>
        <w:gridCol w:w="1928"/>
        <w:gridCol w:w="1928"/>
        <w:gridCol w:w="1928"/>
        <w:gridCol w:w="1928"/>
        <w:gridCol w:w="1928"/>
      </w:tblGrid>
      <w:tr>
        <w:trPr>
          <w:cantSplit/>
          <w:tblHeader/>
        </w:trPr>
        <w:tc>
          <w:tcPr>
            <w:tcW w:type="dxa" w:w="1928"/>
            <w:vAlign w:val="center"/>
          </w:tcPr>
          <w:p>
            <w:pPr>
              <w:spacing w:after="60" w:before="60" w:line="252" w:lineRule="auto"/>
              <w:jc w:val="center"/>
            </w:pPr>
            <w:r>
              <w:rPr>
                <w:rFonts w:ascii="Times New Roman" w:hAnsi="Times New Roman" w:eastAsia="方正仿宋_GBK"/>
                <w:b/>
                <w:sz w:val="21"/>
              </w:rPr>
              <w:t>分布式电源</w:t>
              <w:br/>
              <w:t>装机渗透率</w:t>
            </w:r>
          </w:p>
        </w:tc>
        <w:tc>
          <w:tcPr>
            <w:tcW w:type="dxa" w:w="1928"/>
            <w:vAlign w:val="center"/>
          </w:tcPr>
          <w:p>
            <w:pPr>
              <w:spacing w:after="60" w:before="60" w:line="252" w:lineRule="auto"/>
              <w:jc w:val="center"/>
            </w:pPr>
            <w:r>
              <w:rPr>
                <w:rFonts w:ascii="Times New Roman" w:hAnsi="Times New Roman" w:eastAsia="方正仿宋_GBK"/>
                <w:b/>
                <w:sz w:val="21"/>
              </w:rPr>
              <w:t>年最大净负荷</w:t>
              <w:br/>
              <w:t>平均增长率</w:t>
            </w:r>
          </w:p>
        </w:tc>
        <w:tc>
          <w:tcPr>
            <w:tcW w:type="dxa" w:w="1928"/>
            <w:vAlign w:val="center"/>
          </w:tcPr>
          <w:p>
            <w:pPr>
              <w:spacing w:after="60" w:before="60" w:line="252" w:lineRule="auto"/>
              <w:jc w:val="center"/>
            </w:pPr>
            <w:r>
              <w:rPr>
                <w:rFonts w:ascii="Times New Roman" w:hAnsi="Times New Roman" w:eastAsia="方正仿宋_GBK"/>
                <w:b/>
                <w:sz w:val="21"/>
              </w:rPr>
              <w:t>初始转供率</w:t>
              <w:br/>
              <w:t>≤30%</w:t>
            </w:r>
          </w:p>
        </w:tc>
        <w:tc>
          <w:tcPr>
            <w:tcW w:type="dxa" w:w="1928"/>
            <w:vAlign w:val="center"/>
          </w:tcPr>
          <w:p>
            <w:pPr>
              <w:spacing w:after="60" w:before="60" w:line="252" w:lineRule="auto"/>
              <w:jc w:val="center"/>
            </w:pPr>
            <w:r>
              <w:rPr>
                <w:rFonts w:ascii="Times New Roman" w:hAnsi="Times New Roman" w:eastAsia="方正仿宋_GBK"/>
                <w:b/>
                <w:sz w:val="21"/>
              </w:rPr>
              <w:t>初始转供率</w:t>
              <w:br/>
              <w:t>(30%, 50%]</w:t>
            </w:r>
          </w:p>
        </w:tc>
        <w:tc>
          <w:tcPr>
            <w:tcW w:type="dxa" w:w="1928"/>
            <w:vAlign w:val="center"/>
          </w:tcPr>
          <w:p>
            <w:pPr>
              <w:spacing w:after="60" w:before="60" w:line="252" w:lineRule="auto"/>
              <w:jc w:val="center"/>
            </w:pPr>
            <w:r>
              <w:rPr>
                <w:rFonts w:ascii="Times New Roman" w:hAnsi="Times New Roman" w:eastAsia="方正仿宋_GBK"/>
                <w:b/>
                <w:sz w:val="21"/>
              </w:rPr>
              <w:t>初始转供率</w:t>
              <w:br/>
              <w:t>&gt;50%</w:t>
            </w:r>
          </w:p>
        </w:tc>
      </w:tr>
      <w:tr>
        <w:trPr>
          <w:cantSplit/>
        </w:trPr>
        <w:tc>
          <w:tcPr>
            <w:tcW w:type="dxa" w:w="1928"/>
            <w:vAlign w:val="center"/>
          </w:tcPr>
          <w:p>
            <w:pPr>
              <w:spacing w:after="60" w:before="60" w:line="252" w:lineRule="auto"/>
              <w:jc w:val="center"/>
            </w:pPr>
            <w:r>
              <w:rPr>
                <w:rFonts w:ascii="Times New Roman" w:hAnsi="Times New Roman" w:eastAsia="方正仿宋_GBK"/>
                <w:b w:val="0"/>
                <w:sz w:val="21"/>
              </w:rPr>
              <w:t>≤1.00</w:t>
            </w:r>
          </w:p>
        </w:tc>
        <w:tc>
          <w:tcPr>
            <w:tcW w:type="dxa" w:w="1928"/>
            <w:vAlign w:val="center"/>
          </w:tcPr>
          <w:p>
            <w:pPr>
              <w:spacing w:after="60" w:before="60" w:line="252" w:lineRule="auto"/>
              <w:jc w:val="center"/>
            </w:pPr>
            <w:r>
              <w:rPr>
                <w:rFonts w:ascii="Times New Roman" w:hAnsi="Times New Roman" w:eastAsia="方正仿宋_GBK"/>
                <w:b w:val="0"/>
                <w:sz w:val="21"/>
              </w:rPr>
              <w:t>≤2%</w:t>
            </w:r>
          </w:p>
        </w:tc>
        <w:tc>
          <w:tcPr>
            <w:tcW w:type="dxa" w:w="1928"/>
            <w:vAlign w:val="center"/>
          </w:tcPr>
          <w:p>
            <w:pPr>
              <w:spacing w:after="60" w:before="60" w:line="252" w:lineRule="auto"/>
              <w:jc w:val="center"/>
            </w:pPr>
            <w:r>
              <w:rPr>
                <w:rFonts w:ascii="Times New Roman" w:hAnsi="Times New Roman" w:eastAsia="方正仿宋_GBK"/>
                <w:b w:val="0"/>
                <w:sz w:val="21"/>
              </w:rPr>
              <w:t>2.03～2.21</w:t>
            </w:r>
          </w:p>
        </w:tc>
        <w:tc>
          <w:tcPr>
            <w:tcW w:type="dxa" w:w="1928"/>
            <w:vAlign w:val="center"/>
          </w:tcPr>
          <w:p>
            <w:pPr>
              <w:spacing w:after="60" w:before="60" w:line="252" w:lineRule="auto"/>
              <w:jc w:val="center"/>
            </w:pPr>
            <w:r>
              <w:rPr>
                <w:rFonts w:ascii="Times New Roman" w:hAnsi="Times New Roman" w:eastAsia="方正仿宋_GBK"/>
                <w:b w:val="0"/>
                <w:sz w:val="21"/>
              </w:rPr>
              <w:t>2.03～2.21</w:t>
            </w:r>
          </w:p>
        </w:tc>
        <w:tc>
          <w:tcPr>
            <w:tcW w:type="dxa" w:w="1928"/>
            <w:vAlign w:val="center"/>
          </w:tcPr>
          <w:p>
            <w:pPr>
              <w:spacing w:after="60" w:before="60" w:line="252" w:lineRule="auto"/>
              <w:jc w:val="center"/>
            </w:pPr>
            <w:r>
              <w:rPr>
                <w:rFonts w:ascii="Times New Roman" w:hAnsi="Times New Roman" w:eastAsia="方正仿宋_GBK"/>
                <w:b w:val="0"/>
                <w:sz w:val="21"/>
              </w:rPr>
              <w:t>2.03～2.21</w:t>
            </w:r>
          </w:p>
        </w:tc>
      </w:tr>
      <w:tr>
        <w:trPr>
          <w:cantSplit/>
        </w:trPr>
        <w:tc>
          <w:tcPr>
            <w:tcW w:type="dxa" w:w="1928"/>
            <w:vAlign w:val="center"/>
          </w:tcPr>
          <w:p>
            <w:pPr>
              <w:spacing w:after="60" w:before="60" w:line="252" w:lineRule="auto"/>
              <w:jc w:val="center"/>
            </w:pPr>
            <w:r>
              <w:rPr>
                <w:rFonts w:ascii="Times New Roman" w:hAnsi="Times New Roman" w:eastAsia="方正仿宋_GBK"/>
                <w:b w:val="0"/>
                <w:sz w:val="21"/>
              </w:rPr>
              <w:t>≤1.00</w:t>
            </w:r>
          </w:p>
        </w:tc>
        <w:tc>
          <w:tcPr>
            <w:tcW w:type="dxa" w:w="1928"/>
            <w:vAlign w:val="center"/>
          </w:tcPr>
          <w:p>
            <w:pPr>
              <w:spacing w:after="60" w:before="60" w:line="252" w:lineRule="auto"/>
              <w:jc w:val="center"/>
            </w:pPr>
            <w:r>
              <w:rPr>
                <w:rFonts w:ascii="Times New Roman" w:hAnsi="Times New Roman" w:eastAsia="方正仿宋_GBK"/>
                <w:b w:val="0"/>
                <w:sz w:val="21"/>
              </w:rPr>
              <w:t>(2%, 4%]</w:t>
            </w:r>
          </w:p>
        </w:tc>
        <w:tc>
          <w:tcPr>
            <w:tcW w:type="dxa" w:w="1928"/>
            <w:vAlign w:val="center"/>
          </w:tcPr>
          <w:p>
            <w:pPr>
              <w:spacing w:after="60" w:before="60" w:line="252" w:lineRule="auto"/>
              <w:jc w:val="center"/>
            </w:pPr>
            <w:r>
              <w:rPr>
                <w:rFonts w:ascii="Times New Roman" w:hAnsi="Times New Roman" w:eastAsia="方正仿宋_GBK"/>
                <w:b w:val="0"/>
                <w:sz w:val="21"/>
              </w:rPr>
              <w:t>2.05～2.23</w:t>
            </w:r>
          </w:p>
        </w:tc>
        <w:tc>
          <w:tcPr>
            <w:tcW w:type="dxa" w:w="1928"/>
            <w:vAlign w:val="center"/>
          </w:tcPr>
          <w:p>
            <w:pPr>
              <w:spacing w:after="60" w:before="60" w:line="252" w:lineRule="auto"/>
              <w:jc w:val="center"/>
            </w:pPr>
            <w:r>
              <w:rPr>
                <w:rFonts w:ascii="Times New Roman" w:hAnsi="Times New Roman" w:eastAsia="方正仿宋_GBK"/>
                <w:b w:val="0"/>
                <w:sz w:val="21"/>
              </w:rPr>
              <w:t>2.05～2.14</w:t>
            </w:r>
          </w:p>
        </w:tc>
        <w:tc>
          <w:tcPr>
            <w:tcW w:type="dxa" w:w="1928"/>
            <w:vAlign w:val="center"/>
          </w:tcPr>
          <w:p>
            <w:pPr>
              <w:spacing w:after="60" w:before="60" w:line="252" w:lineRule="auto"/>
              <w:jc w:val="center"/>
            </w:pPr>
            <w:r>
              <w:rPr>
                <w:rFonts w:ascii="Times New Roman" w:hAnsi="Times New Roman" w:eastAsia="方正仿宋_GBK"/>
                <w:b w:val="0"/>
                <w:sz w:val="21"/>
              </w:rPr>
              <w:t>2.05～2.14</w:t>
            </w:r>
          </w:p>
        </w:tc>
      </w:tr>
      <w:tr>
        <w:trPr>
          <w:cantSplit/>
        </w:trPr>
        <w:tc>
          <w:tcPr>
            <w:tcW w:type="dxa" w:w="1928"/>
            <w:vAlign w:val="center"/>
          </w:tcPr>
          <w:p>
            <w:pPr>
              <w:spacing w:after="60" w:before="60" w:line="252" w:lineRule="auto"/>
              <w:jc w:val="center"/>
            </w:pPr>
            <w:r>
              <w:rPr>
                <w:rFonts w:ascii="Times New Roman" w:hAnsi="Times New Roman" w:eastAsia="方正仿宋_GBK"/>
                <w:b w:val="0"/>
                <w:sz w:val="21"/>
              </w:rPr>
              <w:t>≤1.00</w:t>
            </w:r>
          </w:p>
        </w:tc>
        <w:tc>
          <w:tcPr>
            <w:tcW w:type="dxa" w:w="1928"/>
            <w:vAlign w:val="center"/>
          </w:tcPr>
          <w:p>
            <w:pPr>
              <w:spacing w:after="60" w:before="60" w:line="252" w:lineRule="auto"/>
              <w:jc w:val="center"/>
            </w:pPr>
            <w:r>
              <w:rPr>
                <w:rFonts w:ascii="Times New Roman" w:hAnsi="Times New Roman" w:eastAsia="方正仿宋_GBK"/>
                <w:b w:val="0"/>
                <w:sz w:val="21"/>
              </w:rPr>
              <w:t>(4%, 7%]</w:t>
            </w:r>
          </w:p>
        </w:tc>
        <w:tc>
          <w:tcPr>
            <w:tcW w:type="dxa" w:w="1928"/>
            <w:vAlign w:val="center"/>
          </w:tcPr>
          <w:p>
            <w:pPr>
              <w:spacing w:after="60" w:before="60" w:line="252" w:lineRule="auto"/>
              <w:jc w:val="center"/>
            </w:pPr>
            <w:r>
              <w:rPr>
                <w:rFonts w:ascii="Times New Roman" w:hAnsi="Times New Roman" w:eastAsia="方正仿宋_GBK"/>
                <w:b w:val="0"/>
                <w:sz w:val="21"/>
              </w:rPr>
              <w:t>2.09～2.22</w:t>
            </w:r>
          </w:p>
        </w:tc>
        <w:tc>
          <w:tcPr>
            <w:tcW w:type="dxa" w:w="1928"/>
            <w:vAlign w:val="center"/>
          </w:tcPr>
          <w:p>
            <w:pPr>
              <w:spacing w:after="60" w:before="60" w:line="252" w:lineRule="auto"/>
              <w:jc w:val="center"/>
            </w:pPr>
            <w:r>
              <w:rPr>
                <w:rFonts w:ascii="Times New Roman" w:hAnsi="Times New Roman" w:eastAsia="方正仿宋_GBK"/>
                <w:b w:val="0"/>
                <w:sz w:val="21"/>
              </w:rPr>
              <w:t>2.02～2.22</w:t>
            </w:r>
          </w:p>
        </w:tc>
        <w:tc>
          <w:tcPr>
            <w:tcW w:type="dxa" w:w="1928"/>
            <w:vAlign w:val="center"/>
          </w:tcPr>
          <w:p>
            <w:pPr>
              <w:spacing w:after="60" w:before="60" w:line="252" w:lineRule="auto"/>
              <w:jc w:val="center"/>
            </w:pPr>
            <w:r>
              <w:rPr>
                <w:rFonts w:ascii="Times New Roman" w:hAnsi="Times New Roman" w:eastAsia="方正仿宋_GBK"/>
                <w:b w:val="0"/>
                <w:sz w:val="21"/>
              </w:rPr>
              <w:t>2.02～2.10</w:t>
            </w:r>
          </w:p>
        </w:tc>
      </w:tr>
      <w:tr>
        <w:trPr>
          <w:cantSplit/>
        </w:trPr>
        <w:tc>
          <w:tcPr>
            <w:tcW w:type="dxa" w:w="1928"/>
            <w:vAlign w:val="center"/>
          </w:tcPr>
          <w:p>
            <w:pPr>
              <w:spacing w:after="60" w:before="60" w:line="252" w:lineRule="auto"/>
              <w:jc w:val="center"/>
            </w:pPr>
            <w:r>
              <w:rPr>
                <w:rFonts w:ascii="Times New Roman" w:hAnsi="Times New Roman" w:eastAsia="方正仿宋_GBK"/>
                <w:b w:val="0"/>
                <w:sz w:val="21"/>
              </w:rPr>
              <w:t>≤1.00</w:t>
            </w:r>
          </w:p>
        </w:tc>
        <w:tc>
          <w:tcPr>
            <w:tcW w:type="dxa" w:w="1928"/>
            <w:vAlign w:val="center"/>
          </w:tcPr>
          <w:p>
            <w:pPr>
              <w:spacing w:after="60" w:before="60" w:line="252" w:lineRule="auto"/>
              <w:jc w:val="center"/>
            </w:pPr>
            <w:r>
              <w:rPr>
                <w:rFonts w:ascii="Times New Roman" w:hAnsi="Times New Roman" w:eastAsia="方正仿宋_GBK"/>
                <w:b w:val="0"/>
                <w:sz w:val="21"/>
              </w:rPr>
              <w:t>&gt;7%</w:t>
            </w:r>
          </w:p>
        </w:tc>
        <w:tc>
          <w:tcPr>
            <w:tcW w:type="dxa" w:w="1928"/>
            <w:vAlign w:val="center"/>
          </w:tcPr>
          <w:p>
            <w:pPr>
              <w:spacing w:after="60" w:before="60" w:line="252" w:lineRule="auto"/>
              <w:jc w:val="center"/>
            </w:pPr>
            <w:r>
              <w:rPr>
                <w:rFonts w:ascii="Times New Roman" w:hAnsi="Times New Roman" w:eastAsia="方正仿宋_GBK"/>
                <w:b w:val="0"/>
                <w:sz w:val="21"/>
              </w:rPr>
              <w:t>2.07～2.24</w:t>
            </w:r>
          </w:p>
        </w:tc>
        <w:tc>
          <w:tcPr>
            <w:tcW w:type="dxa" w:w="1928"/>
            <w:vAlign w:val="center"/>
          </w:tcPr>
          <w:p>
            <w:pPr>
              <w:spacing w:after="60" w:before="60" w:line="252" w:lineRule="auto"/>
              <w:jc w:val="center"/>
            </w:pPr>
            <w:r>
              <w:rPr>
                <w:rFonts w:ascii="Times New Roman" w:hAnsi="Times New Roman" w:eastAsia="方正仿宋_GBK"/>
                <w:b w:val="0"/>
                <w:sz w:val="21"/>
              </w:rPr>
              <w:t>2.02～2.24</w:t>
            </w:r>
          </w:p>
        </w:tc>
        <w:tc>
          <w:tcPr>
            <w:tcW w:type="dxa" w:w="1928"/>
            <w:vAlign w:val="center"/>
          </w:tcPr>
          <w:p>
            <w:pPr>
              <w:spacing w:after="60" w:before="60" w:line="252" w:lineRule="auto"/>
              <w:jc w:val="center"/>
            </w:pPr>
            <w:r>
              <w:rPr>
                <w:rFonts w:ascii="Times New Roman" w:hAnsi="Times New Roman" w:eastAsia="方正仿宋_GBK"/>
                <w:b w:val="0"/>
                <w:sz w:val="21"/>
              </w:rPr>
              <w:t>2.02～2.08</w:t>
            </w:r>
          </w:p>
        </w:tc>
      </w:tr>
      <w:tr>
        <w:trPr>
          <w:cantSplit/>
        </w:trPr>
        <w:tc>
          <w:tcPr>
            <w:tcW w:type="dxa" w:w="1928"/>
            <w:vAlign w:val="center"/>
          </w:tcPr>
          <w:p>
            <w:pPr>
              <w:spacing w:after="60" w:before="60" w:line="252" w:lineRule="auto"/>
              <w:jc w:val="center"/>
            </w:pPr>
            <w:r>
              <w:rPr>
                <w:rFonts w:ascii="Times New Roman" w:hAnsi="Times New Roman" w:eastAsia="方正仿宋_GBK"/>
                <w:b w:val="0"/>
                <w:sz w:val="21"/>
              </w:rPr>
              <w:t>(1.00, 2.00]</w:t>
            </w:r>
          </w:p>
        </w:tc>
        <w:tc>
          <w:tcPr>
            <w:tcW w:type="dxa" w:w="1928"/>
            <w:vAlign w:val="center"/>
          </w:tcPr>
          <w:p>
            <w:pPr>
              <w:spacing w:after="60" w:before="60" w:line="252" w:lineRule="auto"/>
              <w:jc w:val="center"/>
            </w:pPr>
            <w:r>
              <w:rPr>
                <w:rFonts w:ascii="Times New Roman" w:hAnsi="Times New Roman" w:eastAsia="方正仿宋_GBK"/>
                <w:b w:val="0"/>
                <w:sz w:val="21"/>
              </w:rPr>
              <w:t>≤2%</w:t>
            </w:r>
          </w:p>
        </w:tc>
        <w:tc>
          <w:tcPr>
            <w:tcW w:type="dxa" w:w="1928"/>
            <w:vAlign w:val="center"/>
          </w:tcPr>
          <w:p>
            <w:pPr>
              <w:spacing w:after="60" w:before="60" w:line="252" w:lineRule="auto"/>
              <w:jc w:val="center"/>
            </w:pPr>
            <w:r>
              <w:rPr>
                <w:rFonts w:ascii="Times New Roman" w:hAnsi="Times New Roman" w:eastAsia="方正仿宋_GBK"/>
                <w:b w:val="0"/>
                <w:sz w:val="21"/>
              </w:rPr>
              <w:t>2.21～2.84</w:t>
            </w:r>
          </w:p>
        </w:tc>
        <w:tc>
          <w:tcPr>
            <w:tcW w:type="dxa" w:w="1928"/>
            <w:vAlign w:val="center"/>
          </w:tcPr>
          <w:p>
            <w:pPr>
              <w:spacing w:after="60" w:before="60" w:line="252" w:lineRule="auto"/>
              <w:jc w:val="center"/>
            </w:pPr>
            <w:r>
              <w:rPr>
                <w:rFonts w:ascii="Times New Roman" w:hAnsi="Times New Roman" w:eastAsia="方正仿宋_GBK"/>
                <w:b w:val="0"/>
                <w:sz w:val="21"/>
              </w:rPr>
              <w:t>2.21～2.84</w:t>
            </w:r>
          </w:p>
        </w:tc>
        <w:tc>
          <w:tcPr>
            <w:tcW w:type="dxa" w:w="1928"/>
            <w:vAlign w:val="center"/>
          </w:tcPr>
          <w:p>
            <w:pPr>
              <w:spacing w:after="60" w:before="60" w:line="252" w:lineRule="auto"/>
              <w:jc w:val="center"/>
            </w:pPr>
            <w:r>
              <w:rPr>
                <w:rFonts w:ascii="Times New Roman" w:hAnsi="Times New Roman" w:eastAsia="方正仿宋_GBK"/>
                <w:b w:val="0"/>
                <w:sz w:val="21"/>
              </w:rPr>
              <w:t>2.21～2.84</w:t>
            </w:r>
          </w:p>
        </w:tc>
      </w:tr>
      <w:tr>
        <w:trPr>
          <w:cantSplit/>
        </w:trPr>
        <w:tc>
          <w:tcPr>
            <w:tcW w:type="dxa" w:w="1928"/>
            <w:vAlign w:val="center"/>
          </w:tcPr>
          <w:p>
            <w:pPr>
              <w:spacing w:after="60" w:before="60" w:line="252" w:lineRule="auto"/>
              <w:jc w:val="center"/>
            </w:pPr>
            <w:r>
              <w:rPr>
                <w:rFonts w:ascii="Times New Roman" w:hAnsi="Times New Roman" w:eastAsia="方正仿宋_GBK"/>
                <w:b w:val="0"/>
                <w:sz w:val="21"/>
              </w:rPr>
              <w:t>(1.00, 2.00]</w:t>
            </w:r>
          </w:p>
        </w:tc>
        <w:tc>
          <w:tcPr>
            <w:tcW w:type="dxa" w:w="1928"/>
            <w:vAlign w:val="center"/>
          </w:tcPr>
          <w:p>
            <w:pPr>
              <w:spacing w:after="60" w:before="60" w:line="252" w:lineRule="auto"/>
              <w:jc w:val="center"/>
            </w:pPr>
            <w:r>
              <w:rPr>
                <w:rFonts w:ascii="Times New Roman" w:hAnsi="Times New Roman" w:eastAsia="方正仿宋_GBK"/>
                <w:b w:val="0"/>
                <w:sz w:val="21"/>
              </w:rPr>
              <w:t>(2%, 4%]</w:t>
            </w:r>
          </w:p>
        </w:tc>
        <w:tc>
          <w:tcPr>
            <w:tcW w:type="dxa" w:w="1928"/>
            <w:vAlign w:val="center"/>
          </w:tcPr>
          <w:p>
            <w:pPr>
              <w:spacing w:after="60" w:before="60" w:line="252" w:lineRule="auto"/>
              <w:jc w:val="center"/>
            </w:pPr>
            <w:r>
              <w:rPr>
                <w:rFonts w:ascii="Times New Roman" w:hAnsi="Times New Roman" w:eastAsia="方正仿宋_GBK"/>
                <w:b w:val="0"/>
                <w:sz w:val="21"/>
              </w:rPr>
              <w:t>2.05～2.53</w:t>
            </w:r>
          </w:p>
        </w:tc>
        <w:tc>
          <w:tcPr>
            <w:tcW w:type="dxa" w:w="1928"/>
            <w:vAlign w:val="center"/>
          </w:tcPr>
          <w:p>
            <w:pPr>
              <w:spacing w:after="60" w:before="60" w:line="252" w:lineRule="auto"/>
              <w:jc w:val="center"/>
            </w:pPr>
            <w:r>
              <w:rPr>
                <w:rFonts w:ascii="Times New Roman" w:hAnsi="Times New Roman" w:eastAsia="方正仿宋_GBK"/>
                <w:b w:val="0"/>
                <w:sz w:val="21"/>
              </w:rPr>
              <w:t>2.05～2.53</w:t>
            </w:r>
          </w:p>
        </w:tc>
        <w:tc>
          <w:tcPr>
            <w:tcW w:type="dxa" w:w="1928"/>
            <w:vAlign w:val="center"/>
          </w:tcPr>
          <w:p>
            <w:pPr>
              <w:spacing w:after="60" w:before="60" w:line="252" w:lineRule="auto"/>
              <w:jc w:val="center"/>
            </w:pPr>
            <w:r>
              <w:rPr>
                <w:rFonts w:ascii="Times New Roman" w:hAnsi="Times New Roman" w:eastAsia="方正仿宋_GBK"/>
                <w:b w:val="0"/>
                <w:sz w:val="21"/>
              </w:rPr>
              <w:t>2.05～2.53</w:t>
            </w:r>
          </w:p>
        </w:tc>
      </w:tr>
      <w:tr>
        <w:trPr>
          <w:cantSplit/>
        </w:trPr>
        <w:tc>
          <w:tcPr>
            <w:tcW w:type="dxa" w:w="1928"/>
            <w:vAlign w:val="center"/>
          </w:tcPr>
          <w:p>
            <w:pPr>
              <w:spacing w:after="60" w:before="60" w:line="252" w:lineRule="auto"/>
              <w:jc w:val="center"/>
            </w:pPr>
            <w:r>
              <w:rPr>
                <w:rFonts w:ascii="Times New Roman" w:hAnsi="Times New Roman" w:eastAsia="方正仿宋_GBK"/>
                <w:b w:val="0"/>
                <w:sz w:val="21"/>
              </w:rPr>
              <w:t>(1.00, 2.00]</w:t>
            </w:r>
          </w:p>
        </w:tc>
        <w:tc>
          <w:tcPr>
            <w:tcW w:type="dxa" w:w="1928"/>
            <w:vAlign w:val="center"/>
          </w:tcPr>
          <w:p>
            <w:pPr>
              <w:spacing w:after="60" w:before="60" w:line="252" w:lineRule="auto"/>
              <w:jc w:val="center"/>
            </w:pPr>
            <w:r>
              <w:rPr>
                <w:rFonts w:ascii="Times New Roman" w:hAnsi="Times New Roman" w:eastAsia="方正仿宋_GBK"/>
                <w:b w:val="0"/>
                <w:sz w:val="21"/>
              </w:rPr>
              <w:t>(4%, 7%]</w:t>
            </w:r>
          </w:p>
        </w:tc>
        <w:tc>
          <w:tcPr>
            <w:tcW w:type="dxa" w:w="1928"/>
            <w:vAlign w:val="center"/>
          </w:tcPr>
          <w:p>
            <w:pPr>
              <w:spacing w:after="60" w:before="60" w:line="252" w:lineRule="auto"/>
              <w:jc w:val="center"/>
            </w:pPr>
            <w:r>
              <w:rPr>
                <w:rFonts w:ascii="Times New Roman" w:hAnsi="Times New Roman" w:eastAsia="方正仿宋_GBK"/>
                <w:b w:val="0"/>
                <w:sz w:val="21"/>
              </w:rPr>
              <w:t>2.06～2.46</w:t>
            </w:r>
          </w:p>
        </w:tc>
        <w:tc>
          <w:tcPr>
            <w:tcW w:type="dxa" w:w="1928"/>
            <w:vAlign w:val="center"/>
          </w:tcPr>
          <w:p>
            <w:pPr>
              <w:spacing w:after="60" w:before="60" w:line="252" w:lineRule="auto"/>
              <w:jc w:val="center"/>
            </w:pPr>
            <w:r>
              <w:rPr>
                <w:rFonts w:ascii="Times New Roman" w:hAnsi="Times New Roman" w:eastAsia="方正仿宋_GBK"/>
                <w:b w:val="0"/>
                <w:sz w:val="21"/>
              </w:rPr>
              <w:t>2.01～2.46</w:t>
            </w:r>
          </w:p>
        </w:tc>
        <w:tc>
          <w:tcPr>
            <w:tcW w:type="dxa" w:w="1928"/>
            <w:vAlign w:val="center"/>
          </w:tcPr>
          <w:p>
            <w:pPr>
              <w:spacing w:after="60" w:before="60" w:line="252" w:lineRule="auto"/>
              <w:jc w:val="center"/>
            </w:pPr>
            <w:r>
              <w:rPr>
                <w:rFonts w:ascii="Times New Roman" w:hAnsi="Times New Roman" w:eastAsia="方正仿宋_GBK"/>
                <w:b w:val="0"/>
                <w:sz w:val="21"/>
              </w:rPr>
              <w:t>2.01～2.46</w:t>
            </w:r>
          </w:p>
        </w:tc>
      </w:tr>
      <w:tr>
        <w:trPr>
          <w:cantSplit/>
        </w:trPr>
        <w:tc>
          <w:tcPr>
            <w:tcW w:type="dxa" w:w="1928"/>
            <w:vAlign w:val="center"/>
          </w:tcPr>
          <w:p>
            <w:pPr>
              <w:spacing w:after="60" w:before="60" w:line="252" w:lineRule="auto"/>
              <w:jc w:val="center"/>
            </w:pPr>
            <w:r>
              <w:rPr>
                <w:rFonts w:ascii="Times New Roman" w:hAnsi="Times New Roman" w:eastAsia="方正仿宋_GBK"/>
                <w:b w:val="0"/>
                <w:sz w:val="21"/>
              </w:rPr>
              <w:t>(1.00, 2.00]</w:t>
            </w:r>
          </w:p>
        </w:tc>
        <w:tc>
          <w:tcPr>
            <w:tcW w:type="dxa" w:w="1928"/>
            <w:vAlign w:val="center"/>
          </w:tcPr>
          <w:p>
            <w:pPr>
              <w:spacing w:after="60" w:before="60" w:line="252" w:lineRule="auto"/>
              <w:jc w:val="center"/>
            </w:pPr>
            <w:r>
              <w:rPr>
                <w:rFonts w:ascii="Times New Roman" w:hAnsi="Times New Roman" w:eastAsia="方正仿宋_GBK"/>
                <w:b w:val="0"/>
                <w:sz w:val="21"/>
              </w:rPr>
              <w:t>&gt;7%</w:t>
            </w:r>
          </w:p>
        </w:tc>
        <w:tc>
          <w:tcPr>
            <w:tcW w:type="dxa" w:w="1928"/>
            <w:vAlign w:val="center"/>
          </w:tcPr>
          <w:p>
            <w:pPr>
              <w:spacing w:after="60" w:before="60" w:line="252" w:lineRule="auto"/>
              <w:jc w:val="center"/>
            </w:pPr>
            <w:r>
              <w:rPr>
                <w:rFonts w:ascii="Times New Roman" w:hAnsi="Times New Roman" w:eastAsia="方正仿宋_GBK"/>
                <w:b w:val="0"/>
                <w:sz w:val="21"/>
              </w:rPr>
              <w:t>2.07～2.32</w:t>
            </w:r>
          </w:p>
        </w:tc>
        <w:tc>
          <w:tcPr>
            <w:tcW w:type="dxa" w:w="1928"/>
            <w:vAlign w:val="center"/>
          </w:tcPr>
          <w:p>
            <w:pPr>
              <w:spacing w:after="60" w:before="60" w:line="252" w:lineRule="auto"/>
              <w:jc w:val="center"/>
            </w:pPr>
            <w:r>
              <w:rPr>
                <w:rFonts w:ascii="Times New Roman" w:hAnsi="Times New Roman" w:eastAsia="方正仿宋_GBK"/>
                <w:b w:val="0"/>
                <w:sz w:val="21"/>
              </w:rPr>
              <w:t>2.03～2.32</w:t>
            </w:r>
          </w:p>
        </w:tc>
        <w:tc>
          <w:tcPr>
            <w:tcW w:type="dxa" w:w="1928"/>
            <w:vAlign w:val="center"/>
          </w:tcPr>
          <w:p>
            <w:pPr>
              <w:spacing w:after="60" w:before="60" w:line="252" w:lineRule="auto"/>
              <w:jc w:val="center"/>
            </w:pPr>
            <w:r>
              <w:rPr>
                <w:rFonts w:ascii="Times New Roman" w:hAnsi="Times New Roman" w:eastAsia="方正仿宋_GBK"/>
                <w:b w:val="0"/>
                <w:sz w:val="21"/>
              </w:rPr>
              <w:t>2.03～2.32</w:t>
            </w:r>
          </w:p>
        </w:tc>
      </w:tr>
      <w:tr>
        <w:trPr>
          <w:cantSplit/>
        </w:trPr>
        <w:tc>
          <w:tcPr>
            <w:tcW w:type="dxa" w:w="1928"/>
            <w:vAlign w:val="center"/>
          </w:tcPr>
          <w:p>
            <w:pPr>
              <w:spacing w:after="60" w:before="60" w:line="252" w:lineRule="auto"/>
              <w:jc w:val="center"/>
            </w:pPr>
            <w:r>
              <w:rPr>
                <w:rFonts w:ascii="Times New Roman" w:hAnsi="Times New Roman" w:eastAsia="方正仿宋_GBK"/>
                <w:b w:val="0"/>
                <w:sz w:val="21"/>
              </w:rPr>
              <w:t>&gt;2.00</w:t>
            </w:r>
          </w:p>
        </w:tc>
        <w:tc>
          <w:tcPr>
            <w:tcW w:type="dxa" w:w="1928"/>
            <w:vAlign w:val="center"/>
          </w:tcPr>
          <w:p>
            <w:pPr>
              <w:spacing w:after="60" w:before="60" w:line="252" w:lineRule="auto"/>
              <w:jc w:val="center"/>
            </w:pPr>
            <w:r>
              <w:rPr>
                <w:rFonts w:ascii="Times New Roman" w:hAnsi="Times New Roman" w:eastAsia="方正仿宋_GBK"/>
                <w:b w:val="0"/>
                <w:sz w:val="21"/>
              </w:rPr>
              <w:t>≤2%</w:t>
            </w:r>
          </w:p>
        </w:tc>
        <w:tc>
          <w:tcPr>
            <w:tcW w:type="dxa" w:w="1928"/>
            <w:vAlign w:val="center"/>
          </w:tcPr>
          <w:p>
            <w:pPr>
              <w:spacing w:after="60" w:before="60" w:line="252" w:lineRule="auto"/>
              <w:jc w:val="center"/>
            </w:pPr>
            <w:r>
              <w:rPr>
                <w:rFonts w:ascii="Times New Roman" w:hAnsi="Times New Roman" w:eastAsia="方正仿宋_GBK"/>
                <w:b w:val="0"/>
                <w:sz w:val="21"/>
              </w:rPr>
              <w:t>2.90～3.28</w:t>
            </w:r>
          </w:p>
        </w:tc>
        <w:tc>
          <w:tcPr>
            <w:tcW w:type="dxa" w:w="1928"/>
            <w:vAlign w:val="center"/>
          </w:tcPr>
          <w:p>
            <w:pPr>
              <w:spacing w:after="60" w:before="60" w:line="252" w:lineRule="auto"/>
              <w:jc w:val="center"/>
            </w:pPr>
            <w:r>
              <w:rPr>
                <w:rFonts w:ascii="Times New Roman" w:hAnsi="Times New Roman" w:eastAsia="方正仿宋_GBK"/>
                <w:b w:val="0"/>
                <w:sz w:val="21"/>
              </w:rPr>
              <w:t>2.90～3.28</w:t>
            </w:r>
          </w:p>
        </w:tc>
        <w:tc>
          <w:tcPr>
            <w:tcW w:type="dxa" w:w="1928"/>
            <w:vAlign w:val="center"/>
          </w:tcPr>
          <w:p>
            <w:pPr>
              <w:spacing w:after="60" w:before="60" w:line="252" w:lineRule="auto"/>
              <w:jc w:val="center"/>
            </w:pPr>
            <w:r>
              <w:rPr>
                <w:rFonts w:ascii="Times New Roman" w:hAnsi="Times New Roman" w:eastAsia="方正仿宋_GBK"/>
                <w:b w:val="0"/>
                <w:sz w:val="21"/>
              </w:rPr>
              <w:t>2.90～3.28</w:t>
            </w:r>
          </w:p>
        </w:tc>
      </w:tr>
      <w:tr>
        <w:trPr>
          <w:cantSplit/>
        </w:trPr>
        <w:tc>
          <w:tcPr>
            <w:tcW w:type="dxa" w:w="1928"/>
            <w:vAlign w:val="center"/>
          </w:tcPr>
          <w:p>
            <w:pPr>
              <w:spacing w:after="60" w:before="60" w:line="252" w:lineRule="auto"/>
              <w:jc w:val="center"/>
            </w:pPr>
            <w:r>
              <w:rPr>
                <w:rFonts w:ascii="Times New Roman" w:hAnsi="Times New Roman" w:eastAsia="方正仿宋_GBK"/>
                <w:b w:val="0"/>
                <w:sz w:val="21"/>
              </w:rPr>
              <w:t>&gt;2.00</w:t>
            </w:r>
          </w:p>
        </w:tc>
        <w:tc>
          <w:tcPr>
            <w:tcW w:type="dxa" w:w="1928"/>
            <w:vAlign w:val="center"/>
          </w:tcPr>
          <w:p>
            <w:pPr>
              <w:spacing w:after="60" w:before="60" w:line="252" w:lineRule="auto"/>
              <w:jc w:val="center"/>
            </w:pPr>
            <w:r>
              <w:rPr>
                <w:rFonts w:ascii="Times New Roman" w:hAnsi="Times New Roman" w:eastAsia="方正仿宋_GBK"/>
                <w:b w:val="0"/>
                <w:sz w:val="21"/>
              </w:rPr>
              <w:t>(2%, 4%]</w:t>
            </w:r>
          </w:p>
        </w:tc>
        <w:tc>
          <w:tcPr>
            <w:tcW w:type="dxa" w:w="1928"/>
            <w:vAlign w:val="center"/>
          </w:tcPr>
          <w:p>
            <w:pPr>
              <w:spacing w:after="60" w:before="60" w:line="252" w:lineRule="auto"/>
              <w:jc w:val="center"/>
            </w:pPr>
            <w:r>
              <w:rPr>
                <w:rFonts w:ascii="Times New Roman" w:hAnsi="Times New Roman" w:eastAsia="方正仿宋_GBK"/>
                <w:b w:val="0"/>
                <w:sz w:val="21"/>
              </w:rPr>
              <w:t>2.80～2.92</w:t>
            </w:r>
          </w:p>
        </w:tc>
        <w:tc>
          <w:tcPr>
            <w:tcW w:type="dxa" w:w="1928"/>
            <w:vAlign w:val="center"/>
          </w:tcPr>
          <w:p>
            <w:pPr>
              <w:spacing w:after="60" w:before="60" w:line="252" w:lineRule="auto"/>
              <w:jc w:val="center"/>
            </w:pPr>
            <w:r>
              <w:rPr>
                <w:rFonts w:ascii="Times New Roman" w:hAnsi="Times New Roman" w:eastAsia="方正仿宋_GBK"/>
                <w:b w:val="0"/>
                <w:sz w:val="21"/>
              </w:rPr>
              <w:t>2.80～2.92</w:t>
            </w:r>
          </w:p>
        </w:tc>
        <w:tc>
          <w:tcPr>
            <w:tcW w:type="dxa" w:w="1928"/>
            <w:vAlign w:val="center"/>
          </w:tcPr>
          <w:p>
            <w:pPr>
              <w:spacing w:after="60" w:before="60" w:line="252" w:lineRule="auto"/>
              <w:jc w:val="center"/>
            </w:pPr>
            <w:r>
              <w:rPr>
                <w:rFonts w:ascii="Times New Roman" w:hAnsi="Times New Roman" w:eastAsia="方正仿宋_GBK"/>
                <w:b w:val="0"/>
                <w:sz w:val="21"/>
              </w:rPr>
              <w:t>2.80～2.92</w:t>
            </w:r>
          </w:p>
        </w:tc>
      </w:tr>
      <w:tr>
        <w:trPr>
          <w:cantSplit/>
        </w:trPr>
        <w:tc>
          <w:tcPr>
            <w:tcW w:type="dxa" w:w="1928"/>
            <w:vAlign w:val="center"/>
          </w:tcPr>
          <w:p>
            <w:pPr>
              <w:spacing w:after="60" w:before="60" w:line="252" w:lineRule="auto"/>
              <w:jc w:val="center"/>
            </w:pPr>
            <w:r>
              <w:rPr>
                <w:rFonts w:ascii="Times New Roman" w:hAnsi="Times New Roman" w:eastAsia="方正仿宋_GBK"/>
                <w:b w:val="0"/>
                <w:sz w:val="21"/>
              </w:rPr>
              <w:t>&gt;2.00</w:t>
            </w:r>
          </w:p>
        </w:tc>
        <w:tc>
          <w:tcPr>
            <w:tcW w:type="dxa" w:w="1928"/>
            <w:vAlign w:val="center"/>
          </w:tcPr>
          <w:p>
            <w:pPr>
              <w:spacing w:after="60" w:before="60" w:line="252" w:lineRule="auto"/>
              <w:jc w:val="center"/>
            </w:pPr>
            <w:r>
              <w:rPr>
                <w:rFonts w:ascii="Times New Roman" w:hAnsi="Times New Roman" w:eastAsia="方正仿宋_GBK"/>
                <w:b w:val="0"/>
                <w:sz w:val="21"/>
              </w:rPr>
              <w:t>(4%, 7%]</w:t>
            </w:r>
          </w:p>
        </w:tc>
        <w:tc>
          <w:tcPr>
            <w:tcW w:type="dxa" w:w="1928"/>
            <w:vAlign w:val="center"/>
          </w:tcPr>
          <w:p>
            <w:pPr>
              <w:spacing w:after="60" w:before="60" w:line="252" w:lineRule="auto"/>
              <w:jc w:val="center"/>
            </w:pPr>
            <w:r>
              <w:rPr>
                <w:rFonts w:ascii="Times New Roman" w:hAnsi="Times New Roman" w:eastAsia="方正仿宋_GBK"/>
                <w:b w:val="0"/>
                <w:sz w:val="21"/>
              </w:rPr>
              <w:t>2.50～2.74</w:t>
            </w:r>
          </w:p>
        </w:tc>
        <w:tc>
          <w:tcPr>
            <w:tcW w:type="dxa" w:w="1928"/>
            <w:vAlign w:val="center"/>
          </w:tcPr>
          <w:p>
            <w:pPr>
              <w:spacing w:after="60" w:before="60" w:line="252" w:lineRule="auto"/>
              <w:jc w:val="center"/>
            </w:pPr>
            <w:r>
              <w:rPr>
                <w:rFonts w:ascii="Times New Roman" w:hAnsi="Times New Roman" w:eastAsia="方正仿宋_GBK"/>
                <w:b w:val="0"/>
                <w:sz w:val="21"/>
              </w:rPr>
              <w:t>2.50～2.74</w:t>
            </w:r>
          </w:p>
        </w:tc>
        <w:tc>
          <w:tcPr>
            <w:tcW w:type="dxa" w:w="1928"/>
            <w:vAlign w:val="center"/>
          </w:tcPr>
          <w:p>
            <w:pPr>
              <w:spacing w:after="60" w:before="60" w:line="252" w:lineRule="auto"/>
              <w:jc w:val="center"/>
            </w:pPr>
            <w:r>
              <w:rPr>
                <w:rFonts w:ascii="Times New Roman" w:hAnsi="Times New Roman" w:eastAsia="方正仿宋_GBK"/>
                <w:b w:val="0"/>
                <w:sz w:val="21"/>
              </w:rPr>
              <w:t>2.50～2.74</w:t>
            </w:r>
          </w:p>
        </w:tc>
      </w:tr>
      <w:tr>
        <w:trPr>
          <w:cantSplit/>
        </w:trPr>
        <w:tc>
          <w:tcPr>
            <w:tcW w:type="dxa" w:w="1928"/>
            <w:vAlign w:val="center"/>
          </w:tcPr>
          <w:p>
            <w:pPr>
              <w:spacing w:after="60" w:before="60" w:line="252" w:lineRule="auto"/>
              <w:jc w:val="center"/>
            </w:pPr>
            <w:r>
              <w:rPr>
                <w:rFonts w:ascii="Times New Roman" w:hAnsi="Times New Roman" w:eastAsia="方正仿宋_GBK"/>
                <w:b w:val="0"/>
                <w:sz w:val="21"/>
              </w:rPr>
              <w:t>&gt;2.00</w:t>
            </w:r>
          </w:p>
        </w:tc>
        <w:tc>
          <w:tcPr>
            <w:tcW w:type="dxa" w:w="1928"/>
            <w:vAlign w:val="center"/>
          </w:tcPr>
          <w:p>
            <w:pPr>
              <w:spacing w:after="60" w:before="60" w:line="252" w:lineRule="auto"/>
              <w:jc w:val="center"/>
            </w:pPr>
            <w:r>
              <w:rPr>
                <w:rFonts w:ascii="Times New Roman" w:hAnsi="Times New Roman" w:eastAsia="方正仿宋_GBK"/>
                <w:b w:val="0"/>
                <w:sz w:val="21"/>
              </w:rPr>
              <w:t>&gt;7%</w:t>
            </w:r>
          </w:p>
        </w:tc>
        <w:tc>
          <w:tcPr>
            <w:tcW w:type="dxa" w:w="1928"/>
            <w:vAlign w:val="center"/>
          </w:tcPr>
          <w:p>
            <w:pPr>
              <w:spacing w:after="60" w:before="60" w:line="252" w:lineRule="auto"/>
              <w:jc w:val="center"/>
            </w:pPr>
            <w:r>
              <w:rPr>
                <w:rFonts w:ascii="Times New Roman" w:hAnsi="Times New Roman" w:eastAsia="方正仿宋_GBK"/>
                <w:b w:val="0"/>
                <w:sz w:val="21"/>
              </w:rPr>
              <w:t>2.31～2.74</w:t>
            </w:r>
          </w:p>
        </w:tc>
        <w:tc>
          <w:tcPr>
            <w:tcW w:type="dxa" w:w="1928"/>
            <w:vAlign w:val="center"/>
          </w:tcPr>
          <w:p>
            <w:pPr>
              <w:spacing w:after="60" w:before="60" w:line="252" w:lineRule="auto"/>
              <w:jc w:val="center"/>
            </w:pPr>
            <w:r>
              <w:rPr>
                <w:rFonts w:ascii="Times New Roman" w:hAnsi="Times New Roman" w:eastAsia="方正仿宋_GBK"/>
                <w:b w:val="0"/>
                <w:sz w:val="21"/>
              </w:rPr>
              <w:t>2.31～2.74</w:t>
            </w:r>
          </w:p>
        </w:tc>
        <w:tc>
          <w:tcPr>
            <w:tcW w:type="dxa" w:w="1928"/>
            <w:vAlign w:val="center"/>
          </w:tcPr>
          <w:p>
            <w:pPr>
              <w:spacing w:after="60" w:before="60" w:line="252" w:lineRule="auto"/>
              <w:jc w:val="center"/>
            </w:pPr>
            <w:r>
              <w:rPr>
                <w:rFonts w:ascii="Times New Roman" w:hAnsi="Times New Roman" w:eastAsia="方正仿宋_GBK"/>
                <w:b w:val="0"/>
                <w:sz w:val="21"/>
              </w:rPr>
              <w:t>2.31～2.74</w:t>
            </w:r>
          </w:p>
        </w:tc>
      </w:tr>
    </w:tbl>
    <w:p>
      <w:pPr>
        <w:spacing w:line="293" w:lineRule="auto" w:after="100"/>
        <w:ind w:firstLine="460"/>
        <w:jc w:val="both"/>
      </w:pPr>
      <w:r>
        <w:rPr>
          <w:rFonts w:ascii="Times New Roman" w:hAnsi="Times New Roman" w:eastAsia="方正仿宋_GBK"/>
          <w:b w:val="0"/>
          <w:sz w:val="23"/>
        </w:rPr>
        <w:t>较低装机渗透率下，提高初始转供率可降低部分区间的容量需求。例如，装机渗透率不大于1.00、增长率大于4%且不大于7%时，初始转供率不大于30%的容载比范围为2.09～2.22，超过50%时为2.02～2.10。较高装机渗透率下，反向功率需求较强，相应容量范围整体提高。</w:t>
      </w:r>
    </w:p>
    <w:p>
      <w:pPr>
        <w:spacing w:line="293" w:lineRule="auto" w:after="100"/>
        <w:ind w:firstLine="460"/>
        <w:jc w:val="both"/>
      </w:pPr>
      <w:r>
        <w:rPr>
          <w:rFonts w:ascii="Times New Roman" w:hAnsi="Times New Roman" w:eastAsia="方正仿宋_GBK"/>
          <w:b w:val="0"/>
          <w:sz w:val="23"/>
        </w:rPr>
        <w:t>推荐区间用于相应模板条件下的初步比选，再按片区实际主变规格、联络能力及扩建条件落实设备和投运时序。邳州2.04、市区2.17则来自各自设备、负荷和网络条件下的2025年案例配置。</w:t>
      </w:r>
    </w:p>
    <w:p>
      <w:pPr>
        <w:spacing w:line="293" w:lineRule="auto" w:after="100"/>
        <w:ind w:firstLine="460"/>
        <w:jc w:val="both"/>
      </w:pPr>
      <w:r>
        <w:rPr>
          <w:rFonts w:ascii="Times New Roman" w:hAnsi="Times New Roman" w:eastAsia="方正仿宋_GBK"/>
          <w:b w:val="0"/>
          <w:sz w:val="23"/>
        </w:rPr>
        <w:t>初始转供率影响既有网络可承担的负荷，电缆化率通过线路成本系数影响新增联络费用。当前参考基价下，电缆长度占比10%、90%分别对应系数1.65、6.85。将推荐区间用于当地规划，需要明确两地区转供率和市区线路敷设比例，作为下一步比选的输入。</w:t>
      </w:r>
    </w:p>
    <w:p>
      <w:pPr>
        <w:keepNext/>
        <w:spacing w:line="293" w:lineRule="auto" w:after="100" w:before="120"/>
        <w:jc w:val="both"/>
      </w:pPr>
      <w:r>
        <w:rPr>
          <w:rFonts w:ascii="Times New Roman" w:hAnsi="Times New Roman" w:eastAsia="方正仿宋_GBK"/>
          <w:b/>
          <w:sz w:val="26"/>
        </w:rPr>
        <w:t>待与电力公司讨论</w:t>
      </w:r>
    </w:p>
    <w:p>
      <w:pPr>
        <w:spacing w:line="293" w:lineRule="auto" w:after="100"/>
        <w:ind w:firstLine="460"/>
        <w:jc w:val="both"/>
      </w:pPr>
      <w:r>
        <w:rPr>
          <w:rFonts w:ascii="Times New Roman" w:hAnsi="Times New Roman" w:eastAsia="方正仿宋_GBK"/>
          <w:b w:val="0"/>
          <w:sz w:val="23"/>
        </w:rPr>
        <w:t>1、市区、邳州的转供率如何考虑？</w:t>
      </w:r>
    </w:p>
    <w:p>
      <w:pPr>
        <w:spacing w:line="293" w:lineRule="auto" w:after="100"/>
        <w:ind w:firstLine="460"/>
        <w:jc w:val="both"/>
      </w:pPr>
      <w:r>
        <w:rPr>
          <w:rFonts w:ascii="Times New Roman" w:hAnsi="Times New Roman" w:eastAsia="方正仿宋_GBK"/>
          <w:b w:val="0"/>
          <w:sz w:val="23"/>
        </w:rPr>
        <w:t>2、市区的电缆化率如何考虑（电缆和架空线比例）？</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方正仿宋_GBK"/>
        <w:b w:val="0"/>
        <w:sz w:val="18"/>
      </w:rPr>
      <w:t xml:space="preserve">徐州地区110 kV电网弹性容载比研究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方正仿宋_GBK"/>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