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ECF487">
      <w:pPr>
        <w:spacing w:before="0" w:after="60" w:line="23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48"/>
        </w:rPr>
        <w:t xml:space="preserve">Engineering-Prior-Guided NSGA-II for Differentiated Capacity-Load Ratio Optimization in a County-Level 110-kV Grid under High Distributed PV </w:t>
      </w:r>
      <w:bookmarkStart w:id="0" w:name="_GoBack"/>
      <w:bookmarkEnd w:id="0"/>
      <w:r>
        <w:rPr>
          <w:rFonts w:hint="default" w:ascii="Times New Roman" w:hAnsi="Times New Roman" w:eastAsia="Times New Roman" w:cs="Times New Roman"/>
          <w:b w:val="0"/>
          <w:i w:val="0"/>
          <w:smallCaps w:val="0"/>
          <w:sz w:val="48"/>
        </w:rPr>
        <w:t>Penetration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Layout w:type="fixed"/>
      </w:tblPr>
      <w:tblGrid>
        <w:gridCol w:w="3485"/>
        <w:gridCol w:w="3485"/>
        <w:gridCol w:w="3485"/>
      </w:tblGrid>
      <w:tr>
        <w:tc>
          <w:tcPr>
            <w:tcW w:type="dxa" w:w="3485"/>
          </w:tcPr>
          <w:p>
            <w:pPr>
              <w:spacing w:before="0" w:after="0" w:line="240" w:lineRule="auto"/>
              <w:jc w:val="center"/>
            </w:pPr>
            <w:r>
              <w:rPr>
                <w:rFonts w:ascii="Times New Roman" w:hAnsi="Times New Roman"/>
                <w:i w:val="0"/>
                <w:sz w:val="20"/>
              </w:rPr>
              <w:t>1</w:t>
            </w:r>
            <w:r>
              <w:rPr>
                <w:rFonts w:ascii="Times New Roman" w:hAnsi="Times New Roman"/>
                <w:i w:val="0"/>
                <w:sz w:val="20"/>
                <w:vertAlign w:val="superscript"/>
              </w:rPr>
              <w:t>st</w:t>
            </w:r>
            <w:r>
              <w:rPr>
                <w:rFonts w:ascii="Times New Roman" w:hAnsi="Times New Roman"/>
                <w:i w:val="0"/>
                <w:sz w:val="20"/>
              </w:rPr>
              <w:t xml:space="preserve"> Heng Xu</w:t>
            </w:r>
          </w:p>
          <w:p>
            <w:pPr>
              <w:spacing w:before="0" w:after="0" w:line="240" w:lineRule="auto"/>
              <w:jc w:val="center"/>
            </w:pPr>
            <w:r>
              <w:rPr>
                <w:rFonts w:ascii="Times New Roman" w:hAnsi="Times New Roman"/>
                <w:i/>
                <w:sz w:val="20"/>
              </w:rPr>
              <w:t>School of Electrical Engineering</w:t>
            </w:r>
          </w:p>
          <w:p>
            <w:pPr>
              <w:spacing w:before="0" w:after="0" w:line="240" w:lineRule="auto"/>
              <w:jc w:val="center"/>
            </w:pPr>
            <w:r>
              <w:rPr>
                <w:rFonts w:ascii="Times New Roman" w:hAnsi="Times New Roman"/>
                <w:i/>
                <w:sz w:val="20"/>
              </w:rPr>
              <w:t>China University of Mining and Technology</w:t>
            </w:r>
          </w:p>
          <w:p>
            <w:pPr>
              <w:spacing w:before="0" w:after="0" w:line="240" w:lineRule="auto"/>
              <w:jc w:val="center"/>
            </w:pPr>
            <w:r>
              <w:rPr>
                <w:rFonts w:ascii="Times New Roman" w:hAnsi="Times New Roman"/>
                <w:i w:val="0"/>
                <w:sz w:val="20"/>
              </w:rPr>
              <w:t>Xuzhou, China</w:t>
            </w:r>
          </w:p>
          <w:p>
            <w:pPr>
              <w:spacing w:before="0" w:after="0" w:line="240" w:lineRule="auto"/>
              <w:jc w:val="center"/>
            </w:pPr>
            <w:r>
              <w:rPr>
                <w:rFonts w:ascii="Times New Roman" w:hAnsi="Times New Roman"/>
                <w:i w:val="0"/>
                <w:sz w:val="20"/>
              </w:rPr>
              <w:t>ts24230188p31@cumt.edu.cn</w:t>
            </w:r>
          </w:p>
        </w:tc>
        <w:tc>
          <w:tcPr>
            <w:tcW w:type="dxa" w:w="3485"/>
          </w:tcPr>
          <w:p>
            <w:pPr>
              <w:spacing w:before="0" w:after="0" w:line="240" w:lineRule="auto"/>
              <w:jc w:val="center"/>
            </w:pPr>
            <w:r>
              <w:rPr>
                <w:rFonts w:ascii="Times New Roman" w:hAnsi="Times New Roman"/>
                <w:i w:val="0"/>
                <w:sz w:val="20"/>
              </w:rPr>
              <w:t>2</w:t>
            </w:r>
            <w:r>
              <w:rPr>
                <w:rFonts w:ascii="Times New Roman" w:hAnsi="Times New Roman"/>
                <w:i w:val="0"/>
                <w:sz w:val="20"/>
                <w:vertAlign w:val="superscript"/>
              </w:rPr>
              <w:t>nd</w:t>
            </w:r>
            <w:r>
              <w:rPr>
                <w:rFonts w:ascii="Times New Roman" w:hAnsi="Times New Roman"/>
                <w:i w:val="0"/>
                <w:sz w:val="20"/>
              </w:rPr>
              <w:t xml:space="preserve"> Second Author</w:t>
            </w:r>
          </w:p>
          <w:p>
            <w:pPr>
              <w:spacing w:before="0" w:after="0" w:line="240" w:lineRule="auto"/>
              <w:jc w:val="center"/>
            </w:pPr>
            <w:r>
              <w:rPr>
                <w:rFonts w:ascii="Times New Roman" w:hAnsi="Times New Roman"/>
                <w:i/>
                <w:sz w:val="20"/>
              </w:rPr>
              <w:t>School of Electrical Engineering</w:t>
            </w:r>
          </w:p>
          <w:p>
            <w:pPr>
              <w:spacing w:before="0" w:after="0" w:line="240" w:lineRule="auto"/>
              <w:jc w:val="center"/>
            </w:pPr>
            <w:r>
              <w:rPr>
                <w:rFonts w:ascii="Times New Roman" w:hAnsi="Times New Roman"/>
                <w:i/>
                <w:sz w:val="20"/>
              </w:rPr>
              <w:t>China University of Mining and Technology</w:t>
            </w:r>
          </w:p>
          <w:p>
            <w:pPr>
              <w:spacing w:before="0" w:after="0" w:line="240" w:lineRule="auto"/>
              <w:jc w:val="center"/>
            </w:pPr>
            <w:r>
              <w:rPr>
                <w:rFonts w:ascii="Times New Roman" w:hAnsi="Times New Roman"/>
                <w:i w:val="0"/>
                <w:sz w:val="20"/>
              </w:rPr>
              <w:t>Xuzhou, China</w:t>
            </w:r>
          </w:p>
          <w:p>
            <w:pPr>
              <w:spacing w:before="0" w:after="0" w:line="240" w:lineRule="auto"/>
              <w:jc w:val="center"/>
            </w:pPr>
            <w:r>
              <w:rPr>
                <w:rFonts w:ascii="Times New Roman" w:hAnsi="Times New Roman"/>
                <w:i w:val="0"/>
                <w:sz w:val="20"/>
              </w:rPr>
              <w:t>coauthor2@cumt.edu.cn</w:t>
            </w:r>
          </w:p>
        </w:tc>
        <w:tc>
          <w:tcPr>
            <w:tcW w:type="dxa" w:w="3485"/>
          </w:tcPr>
          <w:p>
            <w:pPr>
              <w:spacing w:before="0" w:after="0" w:line="240" w:lineRule="auto"/>
              <w:jc w:val="center"/>
            </w:pPr>
            <w:r>
              <w:rPr>
                <w:rFonts w:ascii="Times New Roman" w:hAnsi="Times New Roman"/>
                <w:i w:val="0"/>
                <w:sz w:val="20"/>
              </w:rPr>
              <w:t>3</w:t>
            </w:r>
            <w:r>
              <w:rPr>
                <w:rFonts w:ascii="Times New Roman" w:hAnsi="Times New Roman"/>
                <w:i w:val="0"/>
                <w:sz w:val="20"/>
                <w:vertAlign w:val="superscript"/>
              </w:rPr>
              <w:t>rd</w:t>
            </w:r>
            <w:r>
              <w:rPr>
                <w:rFonts w:ascii="Times New Roman" w:hAnsi="Times New Roman"/>
                <w:i w:val="0"/>
                <w:sz w:val="20"/>
              </w:rPr>
              <w:t xml:space="preserve"> Third Author</w:t>
            </w:r>
          </w:p>
          <w:p>
            <w:pPr>
              <w:spacing w:before="0" w:after="0" w:line="240" w:lineRule="auto"/>
              <w:jc w:val="center"/>
            </w:pPr>
            <w:r>
              <w:rPr>
                <w:rFonts w:ascii="Times New Roman" w:hAnsi="Times New Roman"/>
                <w:i/>
                <w:sz w:val="20"/>
              </w:rPr>
              <w:t>School of Electrical Engineering</w:t>
            </w:r>
          </w:p>
          <w:p>
            <w:pPr>
              <w:spacing w:before="0" w:after="0" w:line="240" w:lineRule="auto"/>
              <w:jc w:val="center"/>
            </w:pPr>
            <w:r>
              <w:rPr>
                <w:rFonts w:ascii="Times New Roman" w:hAnsi="Times New Roman"/>
                <w:i/>
                <w:sz w:val="20"/>
              </w:rPr>
              <w:t>China University of Mining and Technology</w:t>
            </w:r>
          </w:p>
          <w:p>
            <w:pPr>
              <w:spacing w:before="0" w:after="0" w:line="240" w:lineRule="auto"/>
              <w:jc w:val="center"/>
            </w:pPr>
            <w:r>
              <w:rPr>
                <w:rFonts w:ascii="Times New Roman" w:hAnsi="Times New Roman"/>
                <w:i w:val="0"/>
                <w:sz w:val="20"/>
              </w:rPr>
              <w:t>Xuzhou, China</w:t>
            </w:r>
          </w:p>
          <w:p>
            <w:pPr>
              <w:spacing w:before="0" w:after="0" w:line="240" w:lineRule="auto"/>
              <w:jc w:val="center"/>
            </w:pPr>
            <w:r>
              <w:rPr>
                <w:rFonts w:ascii="Times New Roman" w:hAnsi="Times New Roman"/>
                <w:i w:val="0"/>
                <w:sz w:val="20"/>
              </w:rPr>
              <w:t>coauthor3@cumt.edu.cn</w:t>
            </w:r>
          </w:p>
        </w:tc>
      </w:tr>
      <w:tr>
        <w:tc>
          <w:tcPr>
            <w:tcW w:type="dxa" w:w="3485"/>
          </w:tcPr>
          <w:p>
            <w:pPr>
              <w:spacing w:before="160" w:after="0" w:line="240" w:lineRule="auto"/>
              <w:jc w:val="center"/>
            </w:pPr>
            <w:r>
              <w:rPr>
                <w:rFonts w:ascii="Times New Roman" w:hAnsi="Times New Roman"/>
                <w:i w:val="0"/>
                <w:sz w:val="20"/>
              </w:rPr>
              <w:t>4</w:t>
            </w:r>
            <w:r>
              <w:rPr>
                <w:rFonts w:ascii="Times New Roman" w:hAnsi="Times New Roman"/>
                <w:i w:val="0"/>
                <w:sz w:val="20"/>
                <w:vertAlign w:val="superscript"/>
              </w:rPr>
              <w:t>th</w:t>
            </w:r>
            <w:r>
              <w:rPr>
                <w:rFonts w:ascii="Times New Roman" w:hAnsi="Times New Roman"/>
                <w:i w:val="0"/>
                <w:sz w:val="20"/>
              </w:rPr>
              <w:t xml:space="preserve"> Fourth Author</w:t>
            </w:r>
          </w:p>
          <w:p>
            <w:pPr>
              <w:spacing w:before="0" w:after="0" w:line="240" w:lineRule="auto"/>
              <w:jc w:val="center"/>
            </w:pPr>
            <w:r>
              <w:rPr>
                <w:rFonts w:ascii="Times New Roman" w:hAnsi="Times New Roman"/>
                <w:i/>
                <w:sz w:val="20"/>
              </w:rPr>
              <w:t>School of Electrical Engineering</w:t>
            </w:r>
          </w:p>
          <w:p>
            <w:pPr>
              <w:spacing w:before="0" w:after="0" w:line="240" w:lineRule="auto"/>
              <w:jc w:val="center"/>
            </w:pPr>
            <w:r>
              <w:rPr>
                <w:rFonts w:ascii="Times New Roman" w:hAnsi="Times New Roman"/>
                <w:i/>
                <w:sz w:val="20"/>
              </w:rPr>
              <w:t>China University of Mining and Technology</w:t>
            </w:r>
          </w:p>
          <w:p>
            <w:pPr>
              <w:spacing w:before="0" w:after="0" w:line="240" w:lineRule="auto"/>
              <w:jc w:val="center"/>
            </w:pPr>
            <w:r>
              <w:rPr>
                <w:rFonts w:ascii="Times New Roman" w:hAnsi="Times New Roman"/>
                <w:i w:val="0"/>
                <w:sz w:val="20"/>
              </w:rPr>
              <w:t>Xuzhou, China</w:t>
            </w:r>
          </w:p>
          <w:p>
            <w:pPr>
              <w:spacing w:before="0" w:after="0" w:line="240" w:lineRule="auto"/>
              <w:jc w:val="center"/>
            </w:pPr>
            <w:r>
              <w:rPr>
                <w:rFonts w:ascii="Times New Roman" w:hAnsi="Times New Roman"/>
                <w:i w:val="0"/>
                <w:sz w:val="20"/>
              </w:rPr>
              <w:t>coauthor4@cumt.edu.cn</w:t>
            </w:r>
          </w:p>
        </w:tc>
        <w:tc>
          <w:tcPr>
            <w:tcW w:type="dxa" w:w="3485"/>
          </w:tcPr>
          <w:p>
            <w:pPr>
              <w:spacing w:before="160" w:after="0" w:line="240" w:lineRule="auto"/>
              <w:jc w:val="center"/>
            </w:pPr>
            <w:r>
              <w:rPr>
                <w:rFonts w:ascii="Times New Roman" w:hAnsi="Times New Roman"/>
                <w:i w:val="0"/>
                <w:sz w:val="20"/>
              </w:rPr>
              <w:t>5</w:t>
            </w:r>
            <w:r>
              <w:rPr>
                <w:rFonts w:ascii="Times New Roman" w:hAnsi="Times New Roman"/>
                <w:i w:val="0"/>
                <w:sz w:val="20"/>
                <w:vertAlign w:val="superscript"/>
              </w:rPr>
              <w:t>th</w:t>
            </w:r>
            <w:r>
              <w:rPr>
                <w:rFonts w:ascii="Times New Roman" w:hAnsi="Times New Roman"/>
                <w:i w:val="0"/>
                <w:sz w:val="20"/>
              </w:rPr>
              <w:t xml:space="preserve"> Fifth Author</w:t>
            </w:r>
          </w:p>
          <w:p>
            <w:pPr>
              <w:spacing w:before="0" w:after="0" w:line="240" w:lineRule="auto"/>
              <w:jc w:val="center"/>
            </w:pPr>
            <w:r>
              <w:rPr>
                <w:rFonts w:ascii="Times New Roman" w:hAnsi="Times New Roman"/>
                <w:i/>
                <w:sz w:val="20"/>
              </w:rPr>
              <w:t>School of Electrical Engineering</w:t>
            </w:r>
          </w:p>
          <w:p>
            <w:pPr>
              <w:spacing w:before="0" w:after="0" w:line="240" w:lineRule="auto"/>
              <w:jc w:val="center"/>
            </w:pPr>
            <w:r>
              <w:rPr>
                <w:rFonts w:ascii="Times New Roman" w:hAnsi="Times New Roman"/>
                <w:i/>
                <w:sz w:val="20"/>
              </w:rPr>
              <w:t>China University of Mining and Technology</w:t>
            </w:r>
          </w:p>
          <w:p>
            <w:pPr>
              <w:spacing w:before="0" w:after="0" w:line="240" w:lineRule="auto"/>
              <w:jc w:val="center"/>
            </w:pPr>
            <w:r>
              <w:rPr>
                <w:rFonts w:ascii="Times New Roman" w:hAnsi="Times New Roman"/>
                <w:i w:val="0"/>
                <w:sz w:val="20"/>
              </w:rPr>
              <w:t>Xuzhou, China</w:t>
            </w:r>
          </w:p>
          <w:p>
            <w:pPr>
              <w:spacing w:before="0" w:after="0" w:line="240" w:lineRule="auto"/>
              <w:jc w:val="center"/>
            </w:pPr>
            <w:r>
              <w:rPr>
                <w:rFonts w:ascii="Times New Roman" w:hAnsi="Times New Roman"/>
                <w:i w:val="0"/>
                <w:sz w:val="20"/>
              </w:rPr>
              <w:t>coauthor5@cumt.edu.cn</w:t>
            </w:r>
          </w:p>
        </w:tc>
        <w:tc>
          <w:tcPr>
            <w:tcW w:type="dxa" w:w="3485"/>
          </w:tcPr>
          <w:p>
            <w:pPr>
              <w:spacing w:before="160" w:after="0" w:line="240" w:lineRule="auto"/>
              <w:jc w:val="center"/>
            </w:pPr>
            <w:r>
              <w:rPr>
                <w:rFonts w:ascii="Times New Roman" w:hAnsi="Times New Roman"/>
                <w:i w:val="0"/>
                <w:sz w:val="20"/>
              </w:rPr>
              <w:t>6</w:t>
            </w:r>
            <w:r>
              <w:rPr>
                <w:rFonts w:ascii="Times New Roman" w:hAnsi="Times New Roman"/>
                <w:i w:val="0"/>
                <w:sz w:val="20"/>
                <w:vertAlign w:val="superscript"/>
              </w:rPr>
              <w:t>th</w:t>
            </w:r>
            <w:r>
              <w:rPr>
                <w:rFonts w:ascii="Times New Roman" w:hAnsi="Times New Roman"/>
                <w:i w:val="0"/>
                <w:sz w:val="20"/>
              </w:rPr>
              <w:t xml:space="preserve"> Sixth Author</w:t>
            </w:r>
          </w:p>
          <w:p>
            <w:pPr>
              <w:spacing w:before="0" w:after="0" w:line="240" w:lineRule="auto"/>
              <w:jc w:val="center"/>
            </w:pPr>
            <w:r>
              <w:rPr>
                <w:rFonts w:ascii="Times New Roman" w:hAnsi="Times New Roman"/>
                <w:i/>
                <w:sz w:val="20"/>
              </w:rPr>
              <w:t>School of Electrical Engineering</w:t>
            </w:r>
          </w:p>
          <w:p>
            <w:pPr>
              <w:spacing w:before="0" w:after="0" w:line="240" w:lineRule="auto"/>
              <w:jc w:val="center"/>
            </w:pPr>
            <w:r>
              <w:rPr>
                <w:rFonts w:ascii="Times New Roman" w:hAnsi="Times New Roman"/>
                <w:i/>
                <w:sz w:val="20"/>
              </w:rPr>
              <w:t>China University of Mining and Technology</w:t>
            </w:r>
          </w:p>
          <w:p>
            <w:pPr>
              <w:spacing w:before="0" w:after="0" w:line="240" w:lineRule="auto"/>
              <w:jc w:val="center"/>
            </w:pPr>
            <w:r>
              <w:rPr>
                <w:rFonts w:ascii="Times New Roman" w:hAnsi="Times New Roman"/>
                <w:i w:val="0"/>
                <w:sz w:val="20"/>
              </w:rPr>
              <w:t>Xuzhou, China</w:t>
            </w:r>
          </w:p>
          <w:p>
            <w:pPr>
              <w:spacing w:before="0" w:after="0" w:line="240" w:lineRule="auto"/>
              <w:jc w:val="center"/>
            </w:pPr>
            <w:r>
              <w:rPr>
                <w:rFonts w:ascii="Times New Roman" w:hAnsi="Times New Roman"/>
                <w:i w:val="0"/>
                <w:sz w:val="20"/>
              </w:rPr>
              <w:t>coauthor6@cumt.edu.cn</w:t>
            </w:r>
          </w:p>
        </w:tc>
      </w:tr>
    </w:tbl>
    <w:p w14:paraId="0ECFC848">
      <w:pPr>
        <w:rPr>
          <w:rFonts w:hint="default" w:ascii="Times New Roman" w:hAnsi="Times New Roman" w:cs="Times New Roman"/>
        </w:rPr>
        <w:sectPr>
          <w:pgSz w:w="12240" w:h="15840"/>
          <w:pgMar w:top="1080" w:right="893" w:bottom="1440" w:left="893" w:header="720" w:footer="720" w:gutter="0"/>
          <w:cols w:space="720" w:num="1"/>
          <w:docGrid w:linePitch="360" w:charSpace="0"/>
        </w:sectPr>
      </w:pPr>
    </w:p>
    <w:p w14:paraId="5EB4C81E">
      <w:pPr>
        <w:spacing w:before="0" w:after="60" w:line="240" w:lineRule="auto"/>
        <w:jc w:val="both"/>
        <w:rPr>
          <w:rFonts w:hint="default" w:ascii="Times New Roman" w:hAnsi="Times New Roman" w:cs="Times New Roman"/>
        </w:rPr>
      </w:pPr>
      <w:r>
        <w:rPr>
          <w:rFonts w:hint="default" w:ascii="Times New Roman" w:hAnsi="Times New Roman" w:eastAsia="Times New Roman" w:cs="Times New Roman"/>
          <w:b/>
          <w:i/>
          <w:smallCaps w:val="0"/>
          <w:sz w:val="18"/>
        </w:rPr>
        <w:t xml:space="preserve">Abstract—High penetration of distributed photovoltaic (PV) generation can cause reverse power flow in county-level 110-kV grids and alter supply adequacy under N-1 contingencies. This study jointly optimizes differentiated capacity-load ratios (CLRs) and storage ratings by minimizing annualized cost and expected energy not supplied (EENS). Engineering-Prior-Guided NSGA-II (EPG-NSGA-II) introduces engineering-prior population seeding and feasibility repair to improve constrained search. On a public-data-informed county-level test system, a selected Pareto solution reduces annualized cost by 13.1% at the same EENS. For </w:t>
      </w:r>
      <m:oMath>
        <m:r>
          <w:rPr>
            <w:sz w:val="18"/>
            <w:szCs w:val="18"/>
          </w:rPr>
          <m:t>K</m:t>
        </m:r>
        <m:r>
          <m:rPr>
            <m:sty m:val="p"/>
          </m:rPr>
          <w:rPr>
            <w:sz w:val="18"/>
            <w:szCs w:val="18"/>
          </w:rPr>
          <m:t>=</m:t>
        </m:r>
        <m:r>
          <w:rPr>
            <w:sz w:val="18"/>
            <w:szCs w:val="18"/>
          </w:rPr>
          <m:t>40</m:t>
        </m:r>
      </m:oMath>
      <w:r>
        <w:rPr>
          <w:rFonts w:hint="default" w:ascii="Times New Roman" w:hAnsi="Times New Roman" w:eastAsia="Times New Roman" w:cs="Times New Roman"/>
          <w:b/>
          <w:i/>
          <w:smallCaps w:val="0"/>
          <w:sz w:val="18"/>
        </w:rPr>
        <w:t xml:space="preserve">, EPG-NSGA-II achieves a 4.8% higher mean final hypervolume than standard NSGA-II and reaches the latter's 800-generation final level in about 84 generations.</w:t>
      </w:r>
    </w:p>
    <w:p w14:paraId="1D7C4C76">
      <w:pPr>
        <w:spacing w:before="0" w:after="80" w:line="240" w:lineRule="auto"/>
        <w:jc w:val="both"/>
        <w:rPr>
          <w:rFonts w:hint="default" w:ascii="Times New Roman" w:hAnsi="Times New Roman" w:cs="Times New Roman"/>
        </w:rPr>
      </w:pPr>
      <w:r>
        <w:rPr>
          <w:rFonts w:hint="default" w:ascii="Times New Roman" w:hAnsi="Times New Roman" w:eastAsia="Times New Roman" w:cs="Times New Roman"/>
          <w:b/>
          <w:i/>
          <w:smallCaps w:val="0"/>
          <w:sz w:val="18"/>
        </w:rPr>
        <w:t>Index Terms</w:t>
      </w:r>
      <w:r>
        <w:rPr>
          <w:rFonts w:hint="default" w:ascii="Times New Roman" w:hAnsi="Times New Roman" w:eastAsia="Times New Roman" w:cs="Times New Roman"/>
          <w:b/>
          <w:i w:val="0"/>
          <w:smallCaps w:val="0"/>
          <w:sz w:val="18"/>
        </w:rPr>
        <w:t>—Capacity-load ratio, distributed photovoltaic generation, multiobjective optimization, reverse power flow, 110-kV grid planning.</w:t>
      </w:r>
    </w:p>
    <w:p w14:paraId="3E05E10F">
      <w:pPr>
        <w:spacing w:before="60" w:after="20"/>
        <w:jc w:val="center"/>
        <w:rPr>
          <w:rFonts w:hint="default" w:ascii="Times New Roman" w:hAnsi="Times New Roman" w:cs="Times New Roman"/>
        </w:rPr>
      </w:pPr>
      <w:r>
        <w:rPr>
          <w:rFonts w:hint="default" w:ascii="Times New Roman" w:hAnsi="Times New Roman" w:eastAsia="Times New Roman" w:cs="Times New Roman"/>
          <w:b w:val="0"/>
          <w:i w:val="0"/>
          <w:smallCaps/>
          <w:sz w:val="18"/>
        </w:rPr>
        <w:t>I.  INTRODUCTION</w:t>
      </w:r>
    </w:p>
    <w:p w14:paraId="0C07D510">
      <w:pPr>
        <w:spacing w:before="0" w:after="0" w:line="240" w:lineRule="auto"/>
        <w:ind w:firstLineChars="150"/>
        <w:jc w:val="both"/>
        <w:rPr>
          <w:rFonts w:hint="default" w:ascii="Times New Roman" w:hAnsi="Times New Roman" w:cs="Times New Roman"/>
        </w:rPr>
      </w:pPr>
      <w:r>
        <w:rPr>
          <w:rFonts w:hint="default" w:ascii="Times New Roman" w:hAnsi="Times New Roman" w:eastAsia="Times New Roman" w:cs="Times New Roman"/>
          <w:b w:val="0"/>
          <w:i w:val="0"/>
          <w:smallCaps w:val="0"/>
          <w:sz w:val="20"/>
        </w:rPr>
        <w:t>High distributed-PV penetration can cause midday export and reverse power flow at 110-kV substations, altering supply adequacy under N-1 contingencies [1]. A uniform CLR may overinvest at substations with moderate generation-to-load ratios yet fail to reflect reverse-flow limits at substations with high PV penetration [2], [3]. Evolutionary multiobjective optimization directly searches the cost–adequacy trade-off [2]–[4], and prior search knowledge can further improve its efficiency [5]. Under coupled engineering constraints, however, random initialization and variation generate many infeasible solutions.</w:t>
      </w:r>
    </w:p>
    <w:p w14:paraId="666B67A2">
      <w:pPr>
        <w:spacing w:before="0" w:after="0" w:line="240" w:lineRule="auto"/>
        <w:ind w:firstLineChars="150"/>
        <w:jc w:val="both"/>
        <w:rPr>
          <w:rFonts w:hint="default" w:ascii="Times New Roman" w:hAnsi="Times New Roman" w:cs="Times New Roman"/>
        </w:rPr>
      </w:pPr>
      <w:r>
        <w:rPr>
          <w:rFonts w:hint="eastAsia" w:ascii="Times New Roman" w:hAnsi="Times New Roman" w:eastAsia="宋体" w:cs="Times New Roman"/>
          <w:b w:val="0"/>
          <w:i w:val="0"/>
          <w:smallCaps w:val="0"/>
          <w:sz w:val="20"/>
          <w:lang w:val="en-US" w:eastAsia="zh-CN"/>
        </w:rPr>
        <w:t>EPG-NSGA-II retains the standard variation, non-dominated sorting, and crowding-distance selection of NSGA-II while adding two problem-specific operators: engineering-prior population seeding and feasibility repair. The bi-objective model optimizes station-specific CLRs and storage ratings under aggregate-CLR and reverse-flow constraints, with EENS measuring N-1 supply inadequacy. Comparative and ablation studies are conducted on a public-data-informed county-level test system.</w:t>
      </w:r>
      <w:r>
        <w:rPr>
          <w:rFonts w:hint="default" w:ascii="Times New Roman" w:hAnsi="Times New Roman" w:eastAsia="Times New Roman" w:cs="Times New Roman"/>
          <w:b w:val="0"/>
          <w:i w:val="0"/>
          <w:smallCaps w:val="0"/>
          <w:sz w:val="20"/>
        </w:rPr>
      </w:r>
      <w:r>
        <w:rPr>
          <w:rFonts w:hint="eastAsia" w:ascii="Times New Roman" w:hAnsi="Times New Roman" w:eastAsia="宋体" w:cs="Times New Roman"/>
          <w:b w:val="0"/>
          <w:i w:val="0"/>
          <w:smallCaps w:val="0"/>
          <w:sz w:val="20"/>
          <w:lang w:val="en-US" w:eastAsia="zh-CN"/>
        </w:rPr>
      </w:r>
      <w:r>
        <w:rPr>
          <w:rFonts w:hint="default" w:ascii="Times New Roman" w:hAnsi="Times New Roman" w:eastAsia="Times New Roman" w:cs="Times New Roman"/>
          <w:b w:val="0"/>
          <w:i w:val="0"/>
          <w:smallCaps w:val="0"/>
          <w:sz w:val="20"/>
        </w:rPr>
      </w:r>
      <w:r>
        <w:rPr>
          <w:rFonts w:hint="eastAsia" w:ascii="Times New Roman" w:hAnsi="Times New Roman" w:eastAsia="宋体" w:cs="Times New Roman"/>
          <w:b w:val="0"/>
          <w:i w:val="0"/>
          <w:smallCaps w:val="0"/>
          <w:sz w:val="20"/>
          <w:lang w:val="en-US" w:eastAsia="zh-CN"/>
        </w:rPr>
      </w:r>
      <w:r>
        <w:rPr>
          <w:rFonts w:hint="default" w:ascii="Times New Roman" w:hAnsi="Times New Roman" w:eastAsia="Times New Roman" w:cs="Times New Roman"/>
          <w:b w:val="0"/>
          <w:i w:val="0"/>
          <w:smallCaps w:val="0"/>
          <w:sz w:val="20"/>
        </w:rPr>
      </w:r>
      <w:r>
        <w:rPr>
          <w:rFonts w:hint="eastAsia" w:ascii="Times New Roman" w:hAnsi="Times New Roman" w:eastAsia="宋体" w:cs="Times New Roman"/>
          <w:b w:val="0"/>
          <w:i w:val="0"/>
          <w:smallCaps w:val="0"/>
          <w:sz w:val="20"/>
          <w:lang w:val="en-US" w:eastAsia="zh-CN"/>
        </w:rPr>
      </w:r>
      <w:r>
        <w:rPr>
          <w:rFonts w:hint="default" w:ascii="Times New Roman" w:hAnsi="Times New Roman" w:eastAsia="Times New Roman" w:cs="Times New Roman"/>
          <w:b w:val="0"/>
          <w:i w:val="0"/>
          <w:smallCaps w:val="0"/>
          <w:sz w:val="20"/>
        </w:rPr>
      </w:r>
    </w:p>
    <w:p w14:paraId="78E08A46">
      <w:pPr>
        <w:spacing w:before="60" w:after="20"/>
        <w:jc w:val="center"/>
        <w:rPr>
          <w:rFonts w:hint="default" w:ascii="Times New Roman" w:hAnsi="Times New Roman" w:cs="Times New Roman"/>
        </w:rPr>
      </w:pPr>
      <w:r>
        <w:rPr>
          <w:rFonts w:hint="default" w:ascii="Times New Roman" w:hAnsi="Times New Roman" w:eastAsia="Times New Roman" w:cs="Times New Roman"/>
          <w:b w:val="0"/>
          <w:i w:val="0"/>
          <w:smallCaps/>
          <w:sz w:val="18"/>
        </w:rPr>
        <w:t>II.  ENGINEERING-PRIOR-GUIDED NSGA-II</w:t>
      </w:r>
    </w:p>
    <w:p w14:paraId="28DE3553">
      <w:pPr>
        <w:spacing w:before="40" w:after="20"/>
        <w:jc w:val="left"/>
        <w:rPr>
          <w:rFonts w:hint="default" w:ascii="Times New Roman" w:hAnsi="Times New Roman" w:cs="Times New Roman"/>
        </w:rPr>
      </w:pPr>
      <w:r>
        <w:rPr>
          <w:rFonts w:hint="default" w:ascii="Times New Roman" w:hAnsi="Times New Roman" w:eastAsia="Times New Roman" w:cs="Times New Roman"/>
          <w:b w:val="0"/>
          <w:i/>
          <w:smallCaps w:val="0"/>
          <w:sz w:val="18"/>
        </w:rPr>
        <w:t>A.  Planning Model</w:t>
      </w:r>
    </w:p>
    <w:p w14:paraId="5BF3FA44">
      <w:pPr>
        <w:spacing w:before="0" w:after="0" w:line="240" w:lineRule="auto"/>
        <w:ind w:firstLineChars="150"/>
        <w:jc w:val="both"/>
        <w:rPr>
          <w:rFonts w:hint="default" w:ascii="Times New Roman" w:hAnsi="Times New Roman" w:eastAsia="Times New Roman" w:cs="Times New Roman"/>
          <w:b w:val="0"/>
          <w:i w:val="0"/>
          <w:smallCaps w:val="0"/>
          <w:sz w:val="20"/>
        </w:rPr>
      </w:pPr>
      <w:r>
        <w:rPr>
          <w:rFonts w:hint="default" w:ascii="Times New Roman" w:hAnsi="Times New Roman" w:eastAsia="Times New Roman" w:cs="Times New Roman"/>
          <w:b w:val="0"/>
          <w:i w:val="0"/>
          <w:smallCaps w:val="0"/>
          <w:sz w:val="20"/>
        </w:rPr>
        <w:t xml:space="preserve">The county-level grid contains </w:t>
      </w:r>
      <m:oMath>
        <m:r>
          <w:rPr>
            <w:sz w:val="20"/>
            <w:szCs w:val="20"/>
          </w:rPr>
          <m:t>K</m:t>
        </m:r>
      </m:oMath>
      <w:r>
        <w:rPr>
          <w:rFonts w:hint="default" w:ascii="Times New Roman" w:hAnsi="Times New Roman" w:eastAsia="Times New Roman" w:cs="Times New Roman"/>
          <w:b w:val="0"/>
          <w:i w:val="0"/>
          <w:smallCaps w:val="0"/>
          <w:sz w:val="20"/>
        </w:rPr>
        <w:t xml:space="preserve"> 110-kV substations. At station </w:t>
      </w:r>
      <m:oMath>
        <m:r>
          <w:rPr>
            <w:sz w:val="20"/>
            <w:szCs w:val="20"/>
          </w:rPr>
          <m:t>j</m:t>
        </m:r>
      </m:oMath>
      <w:r>
        <w:rPr>
          <w:rFonts w:hint="default" w:ascii="Times New Roman" w:hAnsi="Times New Roman" w:eastAsia="Times New Roman" w:cs="Times New Roman"/>
          <w:b w:val="0"/>
          <w:i w:val="0"/>
          <w:smallCaps w:val="0"/>
          <w:sz w:val="20"/>
        </w:rPr>
        <w:t xml:space="preserve">, </w:t>
      </w:r>
      <m:oMath>
        <m:sSub>
          <m:e>
            <m:r>
              <w:rPr>
                <w:sz w:val="20"/>
                <w:szCs w:val="20"/>
              </w:rPr>
              <m:t>R</m:t>
            </m:r>
          </m:e>
          <m:sub>
            <m:r>
              <w:rPr>
                <w:sz w:val="20"/>
                <w:szCs w:val="20"/>
              </w:rPr>
              <m:t>j</m:t>
            </m:r>
          </m:sub>
        </m:sSub>
      </m:oMath>
      <w:r>
        <w:rPr>
          <w:rFonts w:hint="default" w:ascii="Times New Roman" w:hAnsi="Times New Roman" w:eastAsia="Times New Roman" w:cs="Times New Roman"/>
          <w:b w:val="0"/>
          <w:i w:val="0"/>
          <w:smallCaps w:val="0"/>
          <w:sz w:val="20"/>
        </w:rPr>
        <w:t xml:space="preserve"> is the CLR, defined as planned transformer capacity divided by forecast peak load; </w:t>
      </w:r>
      <m:oMath>
        <m:sSub>
          <m:e>
            <m:r>
              <w:rPr>
                <w:sz w:val="20"/>
                <w:szCs w:val="20"/>
              </w:rPr>
              <m:t>P</m:t>
            </m:r>
          </m:e>
          <m:sub>
            <m:r>
              <w:rPr>
                <w:sz w:val="20"/>
                <w:szCs w:val="20"/>
              </w:rPr>
              <m:t>j</m:t>
            </m:r>
          </m:sub>
        </m:sSub>
      </m:oMath>
      <w:r>
        <w:rPr>
          <w:rFonts w:hint="default" w:ascii="Times New Roman" w:hAnsi="Times New Roman" w:eastAsia="Times New Roman" w:cs="Times New Roman"/>
          <w:b w:val="0"/>
          <w:i w:val="0"/>
          <w:smallCaps w:val="0"/>
          <w:sz w:val="20"/>
        </w:rPr>
        <w:t xml:space="preserve"> is the storage power rating; and </w:t>
      </w:r>
      <m:oMath>
        <m:sSubSup>
          <m:e>
            <m:r>
              <w:rPr>
                <w:sz w:val="20"/>
                <w:szCs w:val="20"/>
              </w:rPr>
              <m:t>L</m:t>
            </m:r>
          </m:e>
          <m:sub>
            <m:r>
              <w:rPr>
                <w:sz w:val="20"/>
                <w:szCs w:val="20"/>
              </w:rPr>
              <m:t>j</m:t>
            </m:r>
          </m:sub>
          <m:sup>
            <m:r>
              <w:rPr>
                <w:sz w:val="20"/>
                <w:szCs w:val="20"/>
              </w:rPr>
              <m:t>p</m:t>
            </m:r>
          </m:sup>
        </m:sSubSup>
      </m:oMath>
      <w:r>
        <w:rPr>
          <w:rFonts w:hint="default" w:ascii="Times New Roman" w:hAnsi="Times New Roman" w:eastAsia="Times New Roman" w:cs="Times New Roman"/>
          <w:b w:val="0"/>
          <w:i w:val="0"/>
          <w:smallCaps w:val="0"/>
          <w:sz w:val="20"/>
        </w:rPr>
        <w:t xml:space="preserve"> is the five-year forecast peak load obtained using 5% annual growth. CLRs vary across substations but satisfy the load-weighted aggregate band.</w:t>
      </w:r>
    </w:p>
    <w:p w14:paraId="3094BF51">
      <w:pPr>
        <w:spacing w:before="0" w:after="0" w:line="240" w:lineRule="auto"/>
        <w:ind w:firstLineChars="150"/>
        <w:jc w:val="both"/>
        <w:rPr>
          <w:rFonts w:hint="default" w:ascii="Times New Roman" w:hAnsi="Times New Roman" w:eastAsia="Times New Roman" w:cs="Times New Roman"/>
          <w:b w:val="0"/>
          <w:i w:val="0"/>
          <w:smallCaps w:val="0"/>
          <w:sz w:val="20"/>
        </w:rPr>
      </w:pPr>
      <w:r>
        <w:rPr>
          <w:rFonts w:hint="default" w:ascii="Times New Roman" w:hAnsi="Times New Roman" w:eastAsia="Times New Roman" w:cs="Times New Roman"/>
          <w:b w:val="0"/>
          <w:i w:val="0"/>
          <w:smallCaps w:val="0"/>
          <w:sz w:val="20"/>
        </w:rPr>
        <w:t xml:space="preserve">The pre-storage midday reverse injection at station </w:t>
      </w:r>
      <m:oMath>
        <m:r>
          <m:rPr>
            <m:nor/>
          </m:rPr>
          <w:rPr>
            <w:rFonts w:hint="default" w:ascii="Times New Roman" w:hAnsi="Times New Roman" w:cs="Times New Roman"/>
            <w:b w:val="0"/>
            <w:bCs w:val="0"/>
            <w:i/>
            <w:sz w:val="20"/>
          </w:rPr>
          <m:t>j</m:t>
        </m:r>
      </m:oMath>
      <w:r>
        <w:rPr>
          <w:rFonts w:hint="default" w:ascii="Times New Roman" w:hAnsi="Times New Roman" w:eastAsia="Times New Roman" w:cs="Times New Roman"/>
          <w:b w:val="0"/>
          <w:i w:val="0"/>
          <w:smallCaps w:val="0"/>
          <w:sz w:val="20"/>
        </w:rPr>
        <w:t xml:space="preserve"> is denoted by </w:t>
      </w:r>
      <m:oMath>
        <m:sSubSup>
          <m:sSubSupPr>
            <m:ctrlPr>
              <w:rPr>
                <w:rFonts w:hint="default" w:ascii="Cambria Math" w:hAnsi="Cambria Math" w:cs="Times New Roman"/>
                <w:b w:val="0"/>
                <w:bCs w:val="0"/>
                <w:sz w:val="20"/>
              </w:rPr>
            </m:ctrlPr>
          </m:sSubSupPr>
          <m:e>
            <m:r>
              <m:rPr/>
              <w:rPr>
                <w:rFonts w:hint="default" w:ascii="Cambria Math" w:hAnsi="Cambria Math" w:eastAsia="宋体" w:cs="Times New Roman"/>
                <w:sz w:val="20"/>
                <w:lang w:val="en-US" w:eastAsia="zh-CN"/>
              </w:rPr>
              <m:t>r</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up>
            <m:r>
              <m:rPr>
                <m:nor/>
                <m:sty m:val="p"/>
              </m:rPr>
              <w:rPr>
                <w:rFonts w:hint="default" w:ascii="Times New Roman" w:hAnsi="Times New Roman" w:cs="Times New Roman"/>
                <w:b w:val="0"/>
                <w:bCs w:val="0"/>
                <w:i w:val="0"/>
                <w:sz w:val="20"/>
              </w:rPr>
              <m:t>0</m:t>
            </m:r>
            <m:ctrlPr>
              <w:rPr>
                <w:rFonts w:hint="default" w:ascii="Cambria Math" w:hAnsi="Cambria Math" w:cs="Times New Roman"/>
                <w:b w:val="0"/>
                <w:bCs w:val="0"/>
                <w:sz w:val="20"/>
              </w:rPr>
            </m:ctrlPr>
          </m:sup>
        </m:sSubSup>
      </m:oMath>
      <w:r>
        <w:rPr>
          <w:rFonts w:hint="default" w:ascii="Times New Roman" w:hAnsi="Times New Roman" w:eastAsia="Times New Roman" w:cs="Times New Roman"/>
          <w:b w:val="0"/>
          <w:i w:val="0"/>
          <w:smallCaps w:val="0"/>
          <w:sz w:val="20"/>
        </w:rPr>
        <w:t>. After storage absorption, the residual reverse power flow</w:t>
      </w:r>
      <w:r>
        <m:rPr/>
        <w:rPr>
          <w:rFonts w:hint="eastAsia" w:hAnsi="Cambria Math" w:eastAsia="宋体"/>
          <w:i w:val="0"/>
          <w:sz w:val="20"/>
          <w:lang w:val="en-US" w:eastAsia="zh-CN"/>
        </w:rPr>
        <w:t xml:space="preserve"> </w:t>
      </w:r>
      <w:r>
        <w:rPr>
          <w:rFonts w:hint="default" w:ascii="Times New Roman" w:hAnsi="Times New Roman" w:eastAsia="Times New Roman" w:cs="Times New Roman"/>
          <w:b w:val="0"/>
          <w:i w:val="0"/>
          <w:smallCaps w:val="0"/>
          <w:sz w:val="20"/>
        </w:rPr>
        <w:t>is given by</w:t>
      </w:r>
    </w:p>
    <w:tbl>
      <w:tblPr>
        <w:tblStyle w:val="32"/>
        <w:tblW w:w="4762" w:type="dxa"/>
        <w:jc w:val="center"/>
        <w:tblLayout w:type="fixed"/>
        <w:tblCellMar>
          <w:top w:w="0" w:type="dxa"/>
          <w:left w:w="108" w:type="dxa"/>
          <w:bottom w:w="0" w:type="dxa"/>
          <w:right w:w="108" w:type="dxa"/>
        </w:tblCellMar>
      </w:tblPr>
      <w:tblGrid>
        <w:gridCol w:w="113"/>
        <w:gridCol w:w="4081"/>
        <w:gridCol w:w="566"/>
      </w:tblGrid>
      <w:tr w14:paraId="0652E67E">
        <w:tblPrEx>
          <w:tblCellMar>
            <w:top w:w="0" w:type="dxa"/>
            <w:left w:w="108" w:type="dxa"/>
            <w:bottom w:w="0" w:type="dxa"/>
            <w:right w:w="108" w:type="dxa"/>
          </w:tblCellMar>
        </w:tblPrEx>
        <w:trPr>
          <w:jc w:val="center"/>
        </w:trPr>
        <w:tc>
          <w:tcPr>
            <w:tcW w:w="113" w:type="dxa"/>
            <w:vAlign w:val="center"/>
          </w:tcPr>
          <w:p w14:paraId="4DA754B2">
            <w:pPr>
              <w:rPr>
                <w:rFonts w:hint="default" w:ascii="Times New Roman" w:hAnsi="Times New Roman" w:cs="Times New Roman"/>
              </w:rPr>
            </w:pPr>
          </w:p>
        </w:tc>
        <w:tc>
          <w:tcPr>
            <w:tcW w:w="4082" w:type="dxa"/>
            <w:vAlign w:val="center"/>
          </w:tcPr>
          <w:p w14:paraId="1C680C7F">
            <w:pPr>
              <w:keepNext w:val="0"/>
              <w:keepLines w:val="0"/>
              <w:pageBreakBefore w:val="0"/>
              <w:widowControl/>
              <w:kinsoku/>
              <w:wordWrap/>
              <w:overflowPunct/>
              <w:topLinePunct w:val="0"/>
              <w:autoSpaceDE/>
              <w:autoSpaceDN/>
              <w:bidi w:val="0"/>
              <w:adjustRightInd/>
              <w:snapToGrid/>
              <w:spacing w:before="0" w:after="0" w:line="240" w:lineRule="exact"/>
              <w:jc w:val="center"/>
              <w:textAlignment w:val="auto"/>
              <w:rPr>
                <w:rFonts w:hint="default" w:ascii="Times New Roman" w:hAnsi="Times New Roman" w:eastAsia="宋体" w:cs="Times New Roman"/>
                <w:lang w:val="en-US" w:eastAsia="zh-CN"/>
              </w:rPr>
            </w:pPr>
            <m:oMathPara>
              <m:oMath>
                <m:sSub>
                  <m:sSubPr>
                    <m:ctrlPr>
                      <w:rPr>
                        <w:rFonts w:hint="default" w:ascii="Cambria Math" w:hAnsi="Cambria Math" w:eastAsia="宋体"/>
                        <w:b w:val="0"/>
                        <w:bCs w:val="0"/>
                        <w:sz w:val="20"/>
                      </w:rPr>
                    </m:ctrlPr>
                  </m:sSubPr>
                  <m:e>
                    <m:acc>
                      <m:accPr>
                        <m:chr m:val="̃"/>
                        <m:ctrlPr>
                          <w:rPr>
                            <w:rFonts w:hint="default" w:ascii="Cambria Math" w:hAnsi="Cambria Math" w:eastAsia="宋体"/>
                            <w:b w:val="0"/>
                            <w:bCs w:val="0"/>
                            <w:sz w:val="20"/>
                          </w:rPr>
                        </m:ctrlPr>
                      </m:accPr>
                      <m:e>
                        <m:r>
                          <m:rPr/>
                          <w:rPr>
                            <w:rFonts w:hint="default" w:ascii="Cambria Math" w:hAnsi="Cambria Math" w:eastAsia="宋体"/>
                            <w:sz w:val="20"/>
                          </w:rPr>
                          <m:t>r</m:t>
                        </m:r>
                        <m:ctrlPr>
                          <w:rPr>
                            <w:rFonts w:ascii="Cambria Math" w:hAnsi="Cambria Math" w:eastAsia="宋体"/>
                            <w:b w:val="0"/>
                            <w:bCs w:val="0"/>
                            <w:sz w:val="20"/>
                          </w:rPr>
                        </m:ctrlPr>
                      </m:e>
                    </m:acc>
                    <m:ctrlPr>
                      <w:rPr>
                        <w:rFonts w:hint="default" w:ascii="Cambria Math" w:hAnsi="Cambria Math" w:eastAsia="宋体"/>
                        <w:b w:val="0"/>
                        <w:bCs w:val="0"/>
                        <w:sz w:val="20"/>
                      </w:rPr>
                    </m:ctrlPr>
                  </m:e>
                  <m:sub>
                    <m:r>
                      <m:rPr/>
                      <w:rPr>
                        <w:rFonts w:hint="default" w:ascii="Cambria Math" w:hAnsi="Cambria Math" w:eastAsia="宋体"/>
                        <w:sz w:val="20"/>
                      </w:rPr>
                      <m:t>j</m:t>
                    </m:r>
                    <m:ctrlPr>
                      <w:rPr>
                        <w:rFonts w:hint="default" w:ascii="Cambria Math" w:hAnsi="Cambria Math" w:eastAsia="宋体"/>
                        <w:b w:val="0"/>
                        <w:bCs w:val="0"/>
                        <w:sz w:val="20"/>
                      </w:rPr>
                    </m:ctrlPr>
                  </m:sub>
                </m:sSub>
                <m:r>
                  <m:rPr/>
                  <w:rPr>
                    <w:rFonts w:hint="default" w:ascii="Cambria Math" w:hAnsi="Cambria Math" w:eastAsia="宋体"/>
                    <w:sz w:val="20"/>
                  </w:rPr>
                  <m:t>(</m:t>
                </m:r>
                <m:sSub>
                  <m:sSubPr>
                    <m:ctrlPr>
                      <w:rPr>
                        <w:rFonts w:hint="default" w:ascii="Cambria Math" w:hAnsi="Cambria Math" w:eastAsia="宋体"/>
                        <w:b w:val="0"/>
                        <w:bCs w:val="0"/>
                        <w:sz w:val="20"/>
                      </w:rPr>
                    </m:ctrlPr>
                  </m:sSubPr>
                  <m:e>
                    <m:r>
                      <m:rPr/>
                      <w:rPr>
                        <w:rFonts w:hint="default" w:ascii="Cambria Math" w:hAnsi="Cambria Math" w:eastAsia="宋体"/>
                        <w:sz w:val="20"/>
                      </w:rPr>
                      <m:t>P</m:t>
                    </m:r>
                    <m:ctrlPr>
                      <w:rPr>
                        <w:rFonts w:hint="default" w:ascii="Cambria Math" w:hAnsi="Cambria Math" w:eastAsia="宋体"/>
                        <w:b w:val="0"/>
                        <w:bCs w:val="0"/>
                        <w:sz w:val="20"/>
                      </w:rPr>
                    </m:ctrlPr>
                  </m:e>
                  <m:sub>
                    <m:r>
                      <m:rPr/>
                      <w:rPr>
                        <w:rFonts w:hint="default" w:ascii="Cambria Math" w:hAnsi="Cambria Math" w:eastAsia="宋体"/>
                        <w:sz w:val="20"/>
                      </w:rPr>
                      <m:t>j</m:t>
                    </m:r>
                    <m:ctrlPr>
                      <w:rPr>
                        <w:rFonts w:hint="default" w:ascii="Cambria Math" w:hAnsi="Cambria Math" w:eastAsia="宋体"/>
                        <w:b w:val="0"/>
                        <w:bCs w:val="0"/>
                        <w:sz w:val="20"/>
                      </w:rPr>
                    </m:ctrlPr>
                  </m:sub>
                </m:sSub>
                <m:r>
                  <m:rPr/>
                  <w:rPr>
                    <w:rFonts w:hint="default" w:ascii="Cambria Math" w:hAnsi="Cambria Math" w:eastAsia="宋体"/>
                    <w:sz w:val="20"/>
                  </w:rPr>
                  <m:t>)=max{0,</m:t>
                </m:r>
                <m:sSubSup>
                  <m:sSubSupPr>
                    <m:ctrlPr>
                      <w:rPr>
                        <w:rFonts w:hint="default" w:ascii="Cambria Math" w:hAnsi="Cambria Math" w:eastAsia="宋体"/>
                        <w:b w:val="0"/>
                        <w:bCs w:val="0"/>
                        <w:sz w:val="20"/>
                      </w:rPr>
                    </m:ctrlPr>
                  </m:sSubSupPr>
                  <m:e>
                    <m:r>
                      <m:rPr/>
                      <w:rPr>
                        <w:rFonts w:hint="default" w:ascii="Cambria Math" w:hAnsi="Cambria Math" w:eastAsia="宋体"/>
                        <w:sz w:val="20"/>
                      </w:rPr>
                      <m:t>r</m:t>
                    </m:r>
                    <m:ctrlPr>
                      <w:rPr>
                        <w:rFonts w:hint="default" w:ascii="Cambria Math" w:hAnsi="Cambria Math" w:eastAsia="宋体"/>
                        <w:b w:val="0"/>
                        <w:bCs w:val="0"/>
                        <w:sz w:val="20"/>
                      </w:rPr>
                    </m:ctrlPr>
                  </m:e>
                  <m:sub>
                    <m:r>
                      <m:rPr/>
                      <w:rPr>
                        <w:rFonts w:hint="default" w:ascii="Cambria Math" w:hAnsi="Cambria Math" w:eastAsia="宋体"/>
                        <w:sz w:val="20"/>
                      </w:rPr>
                      <m:t>j</m:t>
                    </m:r>
                    <m:ctrlPr>
                      <w:rPr>
                        <w:rFonts w:hint="default" w:ascii="Cambria Math" w:hAnsi="Cambria Math" w:eastAsia="宋体"/>
                        <w:b w:val="0"/>
                        <w:bCs w:val="0"/>
                        <w:sz w:val="20"/>
                      </w:rPr>
                    </m:ctrlPr>
                  </m:sub>
                  <m:sup>
                    <m:r>
                      <m:rPr/>
                      <w:rPr>
                        <w:rFonts w:hint="default" w:ascii="Cambria Math" w:hAnsi="Cambria Math" w:eastAsia="宋体"/>
                        <w:sz w:val="20"/>
                      </w:rPr>
                      <m:t>0</m:t>
                    </m:r>
                    <m:ctrlPr>
                      <w:rPr>
                        <w:rFonts w:hint="default" w:ascii="Cambria Math" w:hAnsi="Cambria Math" w:eastAsia="宋体"/>
                        <w:b w:val="0"/>
                        <w:bCs w:val="0"/>
                        <w:sz w:val="20"/>
                      </w:rPr>
                    </m:ctrlPr>
                  </m:sup>
                </m:sSubSup>
                <m:r>
                  <m:rPr/>
                  <w:rPr>
                    <w:rFonts w:hint="default" w:ascii="Cambria Math" w:hAnsi="Cambria Math" w:eastAsia="宋体"/>
                    <w:sz w:val="20"/>
                  </w:rPr>
                  <m:t>−</m:t>
                </m:r>
                <m:sSub>
                  <m:sSubPr>
                    <m:ctrlPr>
                      <w:rPr>
                        <w:rFonts w:hint="default" w:ascii="Cambria Math" w:hAnsi="Cambria Math" w:eastAsia="宋体"/>
                        <w:b w:val="0"/>
                        <w:bCs w:val="0"/>
                        <w:sz w:val="20"/>
                      </w:rPr>
                    </m:ctrlPr>
                  </m:sSubPr>
                  <m:e>
                    <m:r>
                      <m:rPr/>
                      <w:rPr>
                        <w:rFonts w:hint="default" w:ascii="Cambria Math" w:hAnsi="Cambria Math" w:eastAsia="宋体"/>
                        <w:sz w:val="20"/>
                      </w:rPr>
                      <m:t>P</m:t>
                    </m:r>
                    <m:ctrlPr>
                      <w:rPr>
                        <w:rFonts w:hint="default" w:ascii="Cambria Math" w:hAnsi="Cambria Math" w:eastAsia="宋体"/>
                        <w:b w:val="0"/>
                        <w:bCs w:val="0"/>
                        <w:sz w:val="20"/>
                      </w:rPr>
                    </m:ctrlPr>
                  </m:e>
                  <m:sub>
                    <m:r>
                      <m:rPr/>
                      <w:rPr>
                        <w:rFonts w:hint="default" w:ascii="Cambria Math" w:hAnsi="Cambria Math" w:eastAsia="宋体"/>
                        <w:sz w:val="20"/>
                      </w:rPr>
                      <m:t>j</m:t>
                    </m:r>
                    <m:ctrlPr>
                      <w:rPr>
                        <w:rFonts w:hint="default" w:ascii="Cambria Math" w:hAnsi="Cambria Math" w:eastAsia="宋体"/>
                        <w:b w:val="0"/>
                        <w:bCs w:val="0"/>
                        <w:sz w:val="20"/>
                      </w:rPr>
                    </m:ctrlPr>
                  </m:sub>
                </m:sSub>
                <m:r>
                  <m:rPr/>
                  <w:rPr>
                    <w:rFonts w:hint="default" w:ascii="Cambria Math" w:hAnsi="Cambria Math" w:eastAsia="宋体"/>
                    <w:sz w:val="20"/>
                  </w:rPr>
                  <m:t>}</m:t>
                </m:r>
                <m:r>
                  <m:rPr/>
                  <w:rPr>
                    <w:rFonts w:hint="default" w:ascii="Cambria Math" w:hAnsi="Cambria Math" w:eastAsia="宋体"/>
                    <w:sz w:val="20"/>
                    <w:lang w:val="en-US" w:eastAsia="zh-CN"/>
                  </w:rPr>
                  <m:t xml:space="preserve"> .</m:t>
                </m:r>
              </m:oMath>
            </m:oMathPara>
          </w:p>
        </w:tc>
        <w:tc>
          <w:tcPr>
            <w:tcW w:w="567" w:type="dxa"/>
            <w:vAlign w:val="center"/>
          </w:tcPr>
          <w:p w14:paraId="30FF3EE5">
            <w:pPr>
              <w:keepNext w:val="0"/>
              <w:keepLines w:val="0"/>
              <w:pageBreakBefore w:val="0"/>
              <w:widowControl/>
              <w:kinsoku/>
              <w:wordWrap/>
              <w:overflowPunct/>
              <w:topLinePunct w:val="0"/>
              <w:autoSpaceDE/>
              <w:autoSpaceDN/>
              <w:bidi w:val="0"/>
              <w:adjustRightInd/>
              <w:snapToGrid/>
              <w:spacing w:before="0" w:after="0" w:line="240" w:lineRule="exact"/>
              <w:jc w:val="center"/>
              <w:textAlignment w:val="auto"/>
              <w:rPr>
                <w:rFonts w:hint="default" w:ascii="Times New Roman" w:hAnsi="Times New Roman" w:cs="Times New Roman"/>
              </w:rPr>
            </w:pPr>
            <w:r>
              <w:rPr>
                <w:rFonts w:hint="default" w:ascii="Times New Roman" w:hAnsi="Times New Roman" w:eastAsia="Times New Roman" w:cs="Times New Roman"/>
                <w:b w:val="0"/>
                <w:i w:val="0"/>
                <w:smallCaps w:val="0"/>
                <w:sz w:val="20"/>
              </w:rPr>
              <w:t>(1)</w:t>
            </w:r>
          </w:p>
        </w:tc>
      </w:tr>
    </w:tbl>
    <w:p w14:paraId="460A97CE">
      <w:pPr>
        <w:spacing w:before="0" w:after="40" w:line="240" w:lineRule="auto"/>
        <w:jc w:val="both"/>
        <w:rPr>
          <w:rFonts w:hint="default" w:ascii="Times New Roman" w:hAnsi="Times New Roman" w:cs="Times New Roman"/>
        </w:rPr>
      </w:pPr>
      <w:r>
        <w:rPr>
          <w:rFonts w:hint="default" w:ascii="Times New Roman" w:hAnsi="Times New Roman" w:eastAsia="Times New Roman" w:cs="Times New Roman"/>
          <w:b w:val="0"/>
          <w:i w:val="0"/>
          <w:smallCaps w:val="0"/>
          <w:sz w:val="20"/>
        </w:rPr>
        <w:t xml:space="preserve">Here </w:t>
      </w:r>
      <m:oMath>
        <m:sSub>
          <m:e>
            <m:acc>
              <m:accPr>
                <m:chr m:val="̃"/>
              </m:accPr>
              <m:e>
                <m:r>
                  <w:rPr>
                    <w:sz w:val="20"/>
                    <w:szCs w:val="20"/>
                  </w:rPr>
                  <m:t>r</m:t>
                </m:r>
              </m:e>
            </m:acc>
          </m:e>
          <m:sub>
            <m:r>
              <w:rPr>
                <w:sz w:val="20"/>
                <w:szCs w:val="20"/>
              </w:rPr>
              <m:t>j</m:t>
            </m:r>
          </m:sub>
        </m:sSub>
        <m:r>
          <m:rPr>
            <m:sty m:val="p"/>
          </m:rPr>
          <w:rPr>
            <w:sz w:val="20"/>
            <w:szCs w:val="20"/>
          </w:rPr>
          <m:t>(</m:t>
        </m:r>
        <m:sSub>
          <m:e>
            <m:r>
              <w:rPr>
                <w:sz w:val="20"/>
                <w:szCs w:val="20"/>
              </w:rPr>
              <m:t>P</m:t>
            </m:r>
          </m:e>
          <m:sub>
            <m:r>
              <w:rPr>
                <w:sz w:val="20"/>
                <w:szCs w:val="20"/>
              </w:rPr>
              <m:t>j</m:t>
            </m:r>
          </m:sub>
        </m:sSub>
        <m:r>
          <m:rPr>
            <m:sty m:val="p"/>
          </m:rPr>
          <w:rPr>
            <w:sz w:val="20"/>
            <w:szCs w:val="20"/>
          </w:rPr>
          <m:t>)</m:t>
        </m:r>
      </m:oMath>
      <w:r>
        <w:rPr>
          <w:rFonts w:hint="default" w:ascii="Times New Roman" w:hAnsi="Times New Roman" w:eastAsia="Times New Roman" w:cs="Times New Roman"/>
          <w:b w:val="0"/>
          <w:i w:val="0"/>
          <w:smallCaps w:val="0"/>
          <w:sz w:val="20"/>
        </w:rPr>
        <w:t xml:space="preserve"> is the residual reverse power flow after storage, and the load-weighted aggregate CLR is constrained by band (2),</w:t>
      </w:r>
    </w:p>
    <w:tbl>
      <w:tblPr>
        <w:tblStyle w:val="32"/>
        <w:tblW w:w="4762" w:type="dxa"/>
        <w:jc w:val="center"/>
        <w:tblLayout w:type="fixed"/>
        <w:tblCellMar>
          <w:top w:w="0" w:type="dxa"/>
          <w:left w:w="108" w:type="dxa"/>
          <w:bottom w:w="0" w:type="dxa"/>
          <w:right w:w="108" w:type="dxa"/>
        </w:tblCellMar>
      </w:tblPr>
      <w:tblGrid>
        <w:gridCol w:w="113"/>
        <w:gridCol w:w="4081"/>
        <w:gridCol w:w="566"/>
      </w:tblGrid>
      <w:tr w14:paraId="32F09891">
        <w:tblPrEx>
          <w:tblCellMar>
            <w:top w:w="0" w:type="dxa"/>
            <w:left w:w="108" w:type="dxa"/>
            <w:bottom w:w="0" w:type="dxa"/>
            <w:right w:w="108" w:type="dxa"/>
          </w:tblCellMar>
        </w:tblPrEx>
        <w:trPr>
          <w:trHeight w:val="680" w:hRule="atLeast"/>
          <w:jc w:val="center"/>
        </w:trPr>
        <w:tc>
          <w:tcPr>
            <w:tcW w:w="113" w:type="dxa"/>
            <w:vAlign w:val="center"/>
          </w:tcPr>
          <w:p w14:paraId="11280504">
            <w:pPr>
              <w:rPr>
                <w:rFonts w:hint="default" w:ascii="Times New Roman" w:hAnsi="Times New Roman" w:cs="Times New Roman"/>
              </w:rPr>
            </w:pPr>
          </w:p>
        </w:tc>
        <w:tc>
          <w:tcPr>
            <w:tcW w:w="4082" w:type="dxa"/>
            <w:vAlign w:val="center"/>
          </w:tcPr>
          <w:p w14:paraId="2F6EFBA5">
            <w:pPr>
              <w:keepNext w:val="0"/>
              <w:keepLines w:val="0"/>
              <w:pageBreakBefore w:val="0"/>
              <w:widowControl/>
              <w:kinsoku/>
              <w:wordWrap/>
              <w:overflowPunct/>
              <w:topLinePunct w:val="0"/>
              <w:autoSpaceDE/>
              <w:autoSpaceDN/>
              <w:bidi w:val="0"/>
              <w:adjustRightInd/>
              <w:snapToGrid/>
              <w:spacing w:before="0" w:after="0" w:line="240" w:lineRule="exact"/>
              <w:jc w:val="center"/>
              <w:textAlignment w:val="auto"/>
              <w:rPr>
                <w:rFonts w:hint="eastAsia" w:ascii="Times New Roman" w:hAnsi="Times New Roman" w:eastAsia="宋体" w:cs="Times New Roman"/>
                <w:lang w:val="en-US" w:eastAsia="zh-CN"/>
              </w:rPr>
            </w:pPr>
            <m:oMathPara>
              <m:oMathParaPr>
                <m:jc m:val="center"/>
              </m:oMathParaPr>
              <m:oMath>
                <m:r>
                  <w:rPr>
                    <w:sz w:val="20"/>
                    <w:szCs w:val="20"/>
                  </w:rPr>
                  <m:t>1.8</m:t>
                </m:r>
                <m:r>
                  <m:rPr>
                    <m:sty m:val="p"/>
                  </m:rPr>
                  <w:rPr>
                    <w:sz w:val="20"/>
                    <w:szCs w:val="20"/>
                  </w:rPr>
                  <m:t>≤</m:t>
                </m:r>
                <m:nary>
                  <m:naryPr>
                    <m:chr m:val="∑"/>
                    <m:limLoc m:val="undOvr"/>
                    <m:subHide m:val="0"/>
                    <m:supHide m:val="1"/>
                  </m:naryPr>
                  <m:sub>
                    <m:r>
                      <w:rPr>
                        <w:sz w:val="20"/>
                        <w:szCs w:val="20"/>
                      </w:rPr>
                      <m:t>j</m:t>
                    </m:r>
                  </m:sub>
                  <m:sup>
                    <m:r>
                      <w:rPr>
                        <w:sz w:val="20"/>
                        <w:szCs w:val="20"/>
                      </w:rPr>
                      <m:t>​</m:t>
                    </m:r>
                  </m:sup>
                  <m:e>
                    <m:sSub>
                      <m:e>
                        <m:r>
                          <w:rPr>
                            <w:sz w:val="20"/>
                            <w:szCs w:val="20"/>
                          </w:rPr>
                          <m:t>R</m:t>
                        </m:r>
                      </m:e>
                      <m:sub>
                        <m:r>
                          <w:rPr>
                            <w:sz w:val="20"/>
                            <w:szCs w:val="20"/>
                          </w:rPr>
                          <m:t>j</m:t>
                        </m:r>
                      </m:sub>
                    </m:sSub>
                  </m:e>
                </m:nary>
                <m:sSubSup>
                  <m:e>
                    <m:r>
                      <w:rPr>
                        <w:sz w:val="20"/>
                        <w:szCs w:val="20"/>
                      </w:rPr>
                      <m:t>L</m:t>
                    </m:r>
                  </m:e>
                  <m:sub>
                    <m:r>
                      <w:rPr>
                        <w:sz w:val="20"/>
                        <w:szCs w:val="20"/>
                      </w:rPr>
                      <m:t>j</m:t>
                    </m:r>
                  </m:sub>
                  <m:sup>
                    <m:r>
                      <w:rPr>
                        <w:sz w:val="20"/>
                        <w:szCs w:val="20"/>
                      </w:rPr>
                      <m:t>p</m:t>
                    </m:r>
                  </m:sup>
                </m:sSubSup>
                <m:r>
                  <w:rPr>
                    <w:sz w:val="20"/>
                    <w:szCs w:val="20"/>
                  </w:rPr>
                  <m:t> </m:t>
                </m:r>
                <m:r>
                  <m:rPr>
                    <m:sty m:val="p"/>
                  </m:rPr>
                  <w:rPr>
                    <w:sz w:val="20"/>
                    <w:szCs w:val="20"/>
                  </w:rPr>
                  <m:t>/</m:t>
                </m:r>
                <m:r>
                  <w:rPr>
                    <w:sz w:val="20"/>
                    <w:szCs w:val="20"/>
                  </w:rPr>
                  <m:t> </m:t>
                </m:r>
                <m:r>
                  <m:rPr>
                    <m:sty m:val="p"/>
                  </m:rPr>
                  <w:rPr>
                    <w:sz w:val="20"/>
                    <w:szCs w:val="20"/>
                  </w:rPr>
                  <m:t>(</m:t>
                </m:r>
                <m:r>
                  <w:rPr>
                    <w:sz w:val="20"/>
                    <w:szCs w:val="20"/>
                  </w:rPr>
                  <m:t>δ</m:t>
                </m:r>
                <m:nary>
                  <m:naryPr>
                    <m:chr m:val="∑"/>
                    <m:limLoc m:val="undOvr"/>
                    <m:subHide m:val="0"/>
                    <m:supHide m:val="1"/>
                  </m:naryPr>
                  <m:sub>
                    <m:r>
                      <w:rPr>
                        <w:sz w:val="20"/>
                        <w:szCs w:val="20"/>
                      </w:rPr>
                      <m:t>j</m:t>
                    </m:r>
                  </m:sub>
                  <m:sup>
                    <m:r>
                      <w:rPr>
                        <w:sz w:val="20"/>
                        <w:szCs w:val="20"/>
                      </w:rPr>
                      <m:t>​</m:t>
                    </m:r>
                  </m:sup>
                  <m:e>
                    <m:sSubSup>
                      <m:e>
                        <m:r>
                          <w:rPr>
                            <w:sz w:val="20"/>
                            <w:szCs w:val="20"/>
                          </w:rPr>
                          <m:t>L</m:t>
                        </m:r>
                      </m:e>
                      <m:sub>
                        <m:r>
                          <w:rPr>
                            <w:sz w:val="20"/>
                            <w:szCs w:val="20"/>
                          </w:rPr>
                          <m:t>j</m:t>
                        </m:r>
                      </m:sub>
                      <m:sup>
                        <m:r>
                          <w:rPr>
                            <w:sz w:val="20"/>
                            <w:szCs w:val="20"/>
                          </w:rPr>
                          <m:t>p</m:t>
                        </m:r>
                      </m:sup>
                    </m:sSubSup>
                  </m:e>
                </m:nary>
                <m:r>
                  <m:rPr>
                    <m:sty m:val="p"/>
                  </m:rPr>
                  <w:rPr>
                    <w:sz w:val="20"/>
                    <w:szCs w:val="20"/>
                  </w:rPr>
                  <m:t>)</m:t>
                </m:r>
                <m:r>
                  <m:rPr>
                    <m:sty m:val="p"/>
                  </m:rPr>
                  <w:rPr>
                    <w:sz w:val="20"/>
                    <w:szCs w:val="20"/>
                  </w:rPr>
                  <m:t>≤</m:t>
                </m:r>
                <m:r>
                  <w:rPr>
                    <w:sz w:val="20"/>
                    <w:szCs w:val="20"/>
                  </w:rPr>
                  <m:t>2.2</m:t>
                </m:r>
              </m:oMath>
            </m:oMathPara>
          </w:p>
        </w:tc>
        <w:tc>
          <w:tcPr>
            <w:tcW w:w="567" w:type="dxa"/>
            <w:vAlign w:val="center"/>
          </w:tcPr>
          <w:p w14:paraId="7CB62EB0">
            <w:pPr>
              <w:keepNext w:val="0"/>
              <w:keepLines w:val="0"/>
              <w:pageBreakBefore w:val="0"/>
              <w:widowControl/>
              <w:kinsoku/>
              <w:wordWrap/>
              <w:overflowPunct/>
              <w:topLinePunct w:val="0"/>
              <w:autoSpaceDE/>
              <w:autoSpaceDN/>
              <w:bidi w:val="0"/>
              <w:adjustRightInd/>
              <w:snapToGrid/>
              <w:spacing w:before="0" w:after="0" w:line="240" w:lineRule="exact"/>
              <w:jc w:val="center"/>
              <w:textAlignment w:val="auto"/>
              <w:rPr>
                <w:rFonts w:hint="default" w:ascii="Times New Roman" w:hAnsi="Times New Roman" w:cs="Times New Roman"/>
              </w:rPr>
            </w:pPr>
            <w:r>
              <w:rPr>
                <w:rFonts w:hint="default" w:ascii="Times New Roman" w:hAnsi="Times New Roman" w:eastAsia="Times New Roman" w:cs="Times New Roman"/>
                <w:b w:val="0"/>
                <w:i w:val="0"/>
                <w:smallCaps w:val="0"/>
                <w:sz w:val="20"/>
              </w:rPr>
              <w:t>(2)</w:t>
            </w:r>
          </w:p>
        </w:tc>
      </w:tr>
    </w:tbl>
    <w:p w14:paraId="4AD47D07">
      <w:pPr>
        <w:spacing w:before="0" w:after="40" w:line="240" w:lineRule="auto"/>
        <w:jc w:val="both"/>
        <w:rPr>
          <w:rFonts w:hint="default" w:ascii="Times New Roman" w:hAnsi="Times New Roman" w:cs="Times New Roman"/>
        </w:rPr>
      </w:pPr>
      <w:r>
        <w:rPr>
          <w:rFonts w:hint="default" w:ascii="Times New Roman" w:hAnsi="Times New Roman" w:eastAsia="Times New Roman" w:cs="Times New Roman"/>
          <w:b w:val="0"/>
          <w:i w:val="0"/>
          <w:smallCaps w:val="0"/>
          <w:sz w:val="20"/>
        </w:rPr>
        <w:t xml:space="preserve">Here </w:t>
      </w:r>
      <m:oMath>
        <m:r>
          <w:rPr>
            <w:sz w:val="20"/>
            <w:szCs w:val="20"/>
          </w:rPr>
          <m:t>δ</m:t>
        </m:r>
        <m:r>
          <m:rPr>
            <m:sty m:val="p"/>
          </m:rPr>
          <w:rPr>
            <w:sz w:val="20"/>
            <w:szCs w:val="20"/>
          </w:rPr>
          <m:t>=</m:t>
        </m:r>
        <m:r>
          <w:rPr>
            <w:sz w:val="20"/>
            <w:szCs w:val="20"/>
          </w:rPr>
          <m:t>0.85</m:t>
        </m:r>
      </m:oMath>
      <w:r>
        <w:rPr>
          <w:rFonts w:hint="default" w:ascii="Times New Roman" w:hAnsi="Times New Roman" w:eastAsia="Times New Roman" w:cs="Times New Roman"/>
          <w:b w:val="0"/>
          <w:i w:val="0"/>
          <w:smallCaps w:val="0"/>
          <w:sz w:val="20"/>
        </w:rPr>
        <w:t xml:space="preserve"> is the county load-coincidence factor. Residual reverse power flow is limited at the station and upstream levels,</w:t>
      </w:r>
    </w:p>
    <w:tbl>
      <w:tblPr>
        <w:tblStyle w:val="32"/>
        <w:tblW w:w="4762" w:type="dxa"/>
        <w:jc w:val="center"/>
        <w:tblLayout w:type="fixed"/>
        <w:tblCellMar>
          <w:top w:w="0" w:type="dxa"/>
          <w:left w:w="108" w:type="dxa"/>
          <w:bottom w:w="0" w:type="dxa"/>
          <w:right w:w="108" w:type="dxa"/>
        </w:tblCellMar>
      </w:tblPr>
      <w:tblGrid>
        <w:gridCol w:w="113"/>
        <w:gridCol w:w="4081"/>
        <w:gridCol w:w="566"/>
      </w:tblGrid>
      <w:tr w14:paraId="44EB5896">
        <w:tblPrEx>
          <w:tblCellMar>
            <w:top w:w="0" w:type="dxa"/>
            <w:left w:w="108" w:type="dxa"/>
            <w:bottom w:w="0" w:type="dxa"/>
            <w:right w:w="108" w:type="dxa"/>
          </w:tblCellMar>
        </w:tblPrEx>
        <w:trPr>
          <w:trHeight w:val="1020" w:hRule="atLeast"/>
          <w:jc w:val="center"/>
        </w:trPr>
        <w:tc>
          <w:tcPr>
            <w:tcW w:w="113" w:type="dxa"/>
            <w:vAlign w:val="center"/>
          </w:tcPr>
          <w:p w14:paraId="2BE59312">
            <w:pPr>
              <w:rPr>
                <w:rFonts w:hint="default" w:ascii="Times New Roman" w:hAnsi="Times New Roman" w:cs="Times New Roman"/>
                <w:sz w:val="20"/>
                <w:szCs w:val="20"/>
              </w:rPr>
            </w:pPr>
          </w:p>
        </w:tc>
        <w:tc>
          <w:tcPr>
            <w:tcW w:w="4082" w:type="dxa"/>
            <w:vAlign w:val="center"/>
          </w:tcPr>
          <w:p w14:paraId="45A2F6A7">
            <w:pPr>
              <w:keepNext w:val="0"/>
              <w:keepLines w:val="0"/>
              <w:pageBreakBefore w:val="0"/>
              <w:widowControl/>
              <w:kinsoku/>
              <w:wordWrap/>
              <w:overflowPunct/>
              <w:topLinePunct w:val="0"/>
              <w:autoSpaceDE/>
              <w:autoSpaceDN/>
              <w:bidi w:val="0"/>
              <w:adjustRightInd/>
              <w:snapToGrid/>
              <w:spacing w:before="0" w:after="100"/>
              <w:jc w:val="center"/>
              <w:textAlignment w:val="auto"/>
              <w:rPr>
                <w:rFonts w:hint="default" w:ascii="Times New Roman" w:hAnsi="Times New Roman" w:cs="Times New Roman"/>
                <w:sz w:val="20"/>
                <w:szCs w:val="20"/>
              </w:rPr>
            </w:pPr>
            <m:oMathPara>
              <m:oMath>
                <m:sSub>
                  <m:sSubPr>
                    <m:ctrlPr>
                      <w:rPr>
                        <w:rFonts w:hint="default" w:ascii="Cambria Math" w:hAnsi="Cambria Math" w:cs="Times New Roman"/>
                        <w:b w:val="0"/>
                        <w:bCs w:val="0"/>
                        <w:i/>
                        <w:iCs/>
                        <w:sz w:val="20"/>
                      </w:rPr>
                    </m:ctrlPr>
                  </m:sSubPr>
                  <m:e>
                    <m:acc>
                      <m:accPr>
                        <m:chr m:val="̃"/>
                        <m:ctrlPr>
                          <w:rPr>
                            <w:rFonts w:hint="default" w:ascii="Cambria Math" w:hAnsi="Cambria Math" w:cs="Times New Roman"/>
                            <w:b w:val="0"/>
                            <w:bCs w:val="0"/>
                            <w:i/>
                            <w:iCs/>
                            <w:sz w:val="20"/>
                          </w:rPr>
                        </m:ctrlPr>
                      </m:accPr>
                      <m:e>
                        <m:r>
                          <m:rPr>
                            <m:nor/>
                          </m:rPr>
                          <w:rPr>
                            <w:rFonts w:hint="default" w:ascii="Times New Roman" w:hAnsi="Times New Roman" w:cs="Times New Roman"/>
                            <w:b w:val="0"/>
                            <w:bCs w:val="0"/>
                            <w:i/>
                            <w:iCs/>
                            <w:sz w:val="20"/>
                          </w:rPr>
                          <m:t>r</m:t>
                        </m:r>
                        <m:ctrlPr>
                          <w:rPr>
                            <w:rFonts w:hint="default" w:ascii="Cambria Math" w:hAnsi="Cambria Math" w:cs="Times New Roman"/>
                            <w:b w:val="0"/>
                            <w:bCs w:val="0"/>
                            <w:i/>
                            <w:iCs/>
                            <w:sz w:val="20"/>
                          </w:rPr>
                        </m:ctrlPr>
                      </m:e>
                    </m:acc>
                    <m:ctrlPr>
                      <w:rPr>
                        <w:rFonts w:hint="default" w:ascii="Cambria Math" w:hAnsi="Cambria Math" w:cs="Times New Roman"/>
                        <w:b w:val="0"/>
                        <w:bCs w:val="0"/>
                        <w:i/>
                        <w:iCs/>
                        <w:sz w:val="20"/>
                      </w:rPr>
                    </m:ctrlPr>
                  </m:e>
                  <m:sub>
                    <m:r>
                      <m:rPr>
                        <m:nor/>
                      </m:rPr>
                      <w:rPr>
                        <w:rFonts w:hint="default" w:ascii="Times New Roman" w:hAnsi="Times New Roman" w:cs="Times New Roman"/>
                        <w:b w:val="0"/>
                        <w:bCs w:val="0"/>
                        <w:i/>
                        <w:iCs/>
                        <w:sz w:val="20"/>
                      </w:rPr>
                      <m:t>j</m:t>
                    </m:r>
                    <m:ctrlPr>
                      <w:rPr>
                        <w:rFonts w:hint="default" w:ascii="Cambria Math" w:hAnsi="Cambria Math" w:cs="Times New Roman"/>
                        <w:b w:val="0"/>
                        <w:bCs w:val="0"/>
                        <w:i/>
                        <w:iCs/>
                        <w:sz w:val="20"/>
                      </w:rPr>
                    </m:ctrlPr>
                  </m:sub>
                </m:sSub>
                <m:r>
                  <m:rPr>
                    <m:nor/>
                  </m:rPr>
                  <w:rPr>
                    <w:rFonts w:hint="default" w:ascii="Times New Roman" w:hAnsi="Times New Roman" w:cs="Times New Roman"/>
                    <w:b w:val="0"/>
                    <w:bCs w:val="0"/>
                    <w:i/>
                    <w:iCs/>
                    <w:sz w:val="20"/>
                  </w:rPr>
                  <m:t>(</m:t>
                </m:r>
                <m:sSub>
                  <m:sSubPr>
                    <m:ctrlPr>
                      <w:rPr>
                        <w:rFonts w:hint="default" w:ascii="Cambria Math" w:hAnsi="Cambria Math" w:cs="Times New Roman"/>
                        <w:b w:val="0"/>
                        <w:bCs w:val="0"/>
                        <w:i/>
                        <w:iCs/>
                        <w:sz w:val="20"/>
                      </w:rPr>
                    </m:ctrlPr>
                  </m:sSubPr>
                  <m:e>
                    <m:r>
                      <m:rPr>
                        <m:nor/>
                      </m:rPr>
                      <w:rPr>
                        <w:rFonts w:hint="default" w:ascii="Times New Roman" w:hAnsi="Times New Roman" w:cs="Times New Roman"/>
                        <w:b w:val="0"/>
                        <w:bCs w:val="0"/>
                        <w:i/>
                        <w:iCs/>
                        <w:sz w:val="20"/>
                      </w:rPr>
                      <m:t>P</m:t>
                    </m:r>
                    <m:ctrlPr>
                      <w:rPr>
                        <w:rFonts w:hint="default" w:ascii="Cambria Math" w:hAnsi="Cambria Math" w:cs="Times New Roman"/>
                        <w:b w:val="0"/>
                        <w:bCs w:val="0"/>
                        <w:i/>
                        <w:iCs/>
                        <w:sz w:val="20"/>
                      </w:rPr>
                    </m:ctrlPr>
                  </m:e>
                  <m:sub>
                    <m:r>
                      <m:rPr>
                        <m:nor/>
                      </m:rPr>
                      <w:rPr>
                        <w:rFonts w:hint="default" w:ascii="Times New Roman" w:hAnsi="Times New Roman" w:cs="Times New Roman"/>
                        <w:b w:val="0"/>
                        <w:bCs w:val="0"/>
                        <w:i/>
                        <w:iCs/>
                        <w:sz w:val="20"/>
                      </w:rPr>
                      <m:t>j</m:t>
                    </m:r>
                    <m:ctrlPr>
                      <w:rPr>
                        <w:rFonts w:hint="default" w:ascii="Cambria Math" w:hAnsi="Cambria Math" w:cs="Times New Roman"/>
                        <w:b w:val="0"/>
                        <w:bCs w:val="0"/>
                        <w:i/>
                        <w:iCs/>
                        <w:sz w:val="20"/>
                      </w:rPr>
                    </m:ctrlPr>
                  </m:sub>
                </m:sSub>
                <m:r>
                  <m:rPr>
                    <m:nor/>
                  </m:rPr>
                  <w:rPr>
                    <w:rFonts w:hint="default" w:ascii="Times New Roman" w:hAnsi="Times New Roman" w:cs="Times New Roman"/>
                    <w:b w:val="0"/>
                    <w:bCs w:val="0"/>
                    <w:i/>
                    <w:iCs/>
                    <w:sz w:val="20"/>
                  </w:rPr>
                  <m:t>)</m:t>
                </m:r>
                <m:r>
                  <m:rPr>
                    <m:nor/>
                    <m:sty m:val="p"/>
                  </m:rPr>
                  <w:rPr>
                    <w:rFonts w:ascii="Cambria Math" w:hAnsi="Cambria Math" w:cs="Times New Roman"/>
                    <w:b w:val="0"/>
                    <w:bCs w:val="0"/>
                    <w:i w:val="0"/>
                    <w:iCs/>
                    <w:sz w:val="20"/>
                  </w:rPr>
                  <m:t>≤</m:t>
                </m:r>
                <m:r>
                  <m:rPr>
                    <m:nor/>
                  </m:rPr>
                  <w:rPr>
                    <w:rFonts w:hint="default" w:ascii="Times New Roman" w:hAnsi="Times New Roman" w:cs="Times New Roman"/>
                    <w:b w:val="0"/>
                    <w:bCs w:val="0"/>
                    <w:i/>
                    <w:iCs/>
                    <w:sz w:val="20"/>
                  </w:rPr>
                  <m:t>β</m:t>
                </m:r>
                <m:sSub>
                  <m:sSubPr>
                    <m:ctrlPr>
                      <w:rPr>
                        <w:rFonts w:hint="default" w:ascii="Cambria Math" w:hAnsi="Cambria Math" w:cs="Times New Roman"/>
                        <w:b w:val="0"/>
                        <w:bCs w:val="0"/>
                        <w:i/>
                        <w:iCs/>
                        <w:sz w:val="20"/>
                      </w:rPr>
                    </m:ctrlPr>
                  </m:sSubPr>
                  <m:e>
                    <m:r>
                      <m:rPr>
                        <m:nor/>
                      </m:rPr>
                      <w:rPr>
                        <w:rFonts w:hint="default" w:ascii="Times New Roman" w:hAnsi="Times New Roman" w:cs="Times New Roman"/>
                        <w:b w:val="0"/>
                        <w:bCs w:val="0"/>
                        <w:i/>
                        <w:iCs/>
                        <w:sz w:val="20"/>
                      </w:rPr>
                      <m:t>R</m:t>
                    </m:r>
                    <m:ctrlPr>
                      <w:rPr>
                        <w:rFonts w:hint="default" w:ascii="Cambria Math" w:hAnsi="Cambria Math" w:cs="Times New Roman"/>
                        <w:b w:val="0"/>
                        <w:bCs w:val="0"/>
                        <w:i/>
                        <w:iCs/>
                        <w:sz w:val="20"/>
                      </w:rPr>
                    </m:ctrlPr>
                  </m:e>
                  <m:sub>
                    <m:r>
                      <m:rPr>
                        <m:nor/>
                      </m:rPr>
                      <w:rPr>
                        <w:rFonts w:hint="default" w:ascii="Times New Roman" w:hAnsi="Times New Roman" w:cs="Times New Roman"/>
                        <w:b w:val="0"/>
                        <w:bCs w:val="0"/>
                        <w:i/>
                        <w:iCs/>
                        <w:sz w:val="20"/>
                      </w:rPr>
                      <m:t>j</m:t>
                    </m:r>
                    <m:ctrlPr>
                      <w:rPr>
                        <w:rFonts w:hint="default" w:ascii="Cambria Math" w:hAnsi="Cambria Math" w:cs="Times New Roman"/>
                        <w:b w:val="0"/>
                        <w:bCs w:val="0"/>
                        <w:i/>
                        <w:iCs/>
                        <w:sz w:val="20"/>
                      </w:rPr>
                    </m:ctrlPr>
                  </m:sub>
                </m:sSub>
                <m:sSubSup>
                  <m:sSubSupPr>
                    <m:ctrlPr>
                      <w:rPr>
                        <w:rFonts w:hint="default" w:ascii="Cambria Math" w:hAnsi="Cambria Math" w:cs="Times New Roman"/>
                        <w:b w:val="0"/>
                        <w:bCs w:val="0"/>
                        <w:i/>
                        <w:iCs/>
                        <w:sz w:val="20"/>
                      </w:rPr>
                    </m:ctrlPr>
                  </m:sSubSupPr>
                  <m:e>
                    <m:r>
                      <m:rPr>
                        <m:nor/>
                      </m:rPr>
                      <w:rPr>
                        <w:rFonts w:hint="default" w:ascii="Times New Roman" w:hAnsi="Times New Roman" w:cs="Times New Roman"/>
                        <w:b w:val="0"/>
                        <w:bCs w:val="0"/>
                        <w:i/>
                        <w:iCs/>
                        <w:sz w:val="20"/>
                      </w:rPr>
                      <m:t>L</m:t>
                    </m:r>
                    <m:ctrlPr>
                      <w:rPr>
                        <w:rFonts w:hint="default" w:ascii="Cambria Math" w:hAnsi="Cambria Math" w:cs="Times New Roman"/>
                        <w:b w:val="0"/>
                        <w:bCs w:val="0"/>
                        <w:i/>
                        <w:iCs/>
                        <w:sz w:val="20"/>
                      </w:rPr>
                    </m:ctrlPr>
                  </m:e>
                  <m:sub>
                    <m:r>
                      <m:rPr>
                        <m:nor/>
                      </m:rPr>
                      <w:rPr>
                        <w:rFonts w:hint="default" w:ascii="Times New Roman" w:hAnsi="Times New Roman" w:cs="Times New Roman"/>
                        <w:b w:val="0"/>
                        <w:bCs w:val="0"/>
                        <w:i/>
                        <w:iCs/>
                        <w:sz w:val="20"/>
                      </w:rPr>
                      <m:t>j</m:t>
                    </m:r>
                    <m:ctrlPr>
                      <w:rPr>
                        <w:rFonts w:hint="default" w:ascii="Cambria Math" w:hAnsi="Cambria Math" w:cs="Times New Roman"/>
                        <w:b w:val="0"/>
                        <w:bCs w:val="0"/>
                        <w:i/>
                        <w:iCs/>
                        <w:sz w:val="20"/>
                      </w:rPr>
                    </m:ctrlPr>
                  </m:sub>
                  <m:sup>
                    <m:r>
                      <m:rPr>
                        <m:nor/>
                      </m:rPr>
                      <w:rPr>
                        <w:rFonts w:hint="default" w:ascii="Times New Roman" w:hAnsi="Times New Roman" w:cs="Times New Roman"/>
                        <w:b w:val="0"/>
                        <w:bCs w:val="0"/>
                        <w:i/>
                        <w:iCs/>
                        <w:sz w:val="20"/>
                      </w:rPr>
                      <m:t>p</m:t>
                    </m:r>
                    <m:ctrlPr>
                      <w:rPr>
                        <w:rFonts w:hint="default" w:ascii="Cambria Math" w:hAnsi="Cambria Math" w:cs="Times New Roman"/>
                        <w:b w:val="0"/>
                        <w:bCs w:val="0"/>
                        <w:i/>
                        <w:iCs/>
                        <w:sz w:val="20"/>
                      </w:rPr>
                    </m:ctrlPr>
                  </m:sup>
                </m:sSubSup>
              </m:oMath>
            </m:oMathPara>
          </w:p>
          <w:p w14:paraId="1A5695D7">
            <w:pPr>
              <w:keepNext w:val="0"/>
              <w:keepLines w:val="0"/>
              <w:pageBreakBefore w:val="0"/>
              <w:widowControl/>
              <w:kinsoku/>
              <w:wordWrap/>
              <w:overflowPunct/>
              <w:topLinePunct w:val="0"/>
              <w:autoSpaceDE/>
              <w:autoSpaceDN/>
              <w:bidi w:val="0"/>
              <w:adjustRightInd/>
              <w:snapToGrid/>
              <w:spacing w:before="0" w:after="200" w:line="240" w:lineRule="exact"/>
              <w:jc w:val="center"/>
              <w:textAlignment w:val="auto"/>
              <w:rPr>
                <w:rFonts w:hint="default" w:ascii="Times New Roman" w:hAnsi="Times New Roman" w:eastAsia="宋体" w:cs="Times New Roman"/>
                <w:sz w:val="20"/>
                <w:szCs w:val="20"/>
                <w:lang w:val="en-US" w:eastAsia="zh-CN"/>
              </w:rPr>
            </w:pPr>
            <m:oMathPara>
              <m:oMath>
                <m:r>
                  <m:rPr>
                    <m:nor/>
                  </m:rPr>
                  <w:rPr>
                    <w:rFonts w:hint="default" w:ascii="Times New Roman" w:hAnsi="Times New Roman" w:cs="Times New Roman"/>
                    <w:b w:val="0"/>
                    <w:bCs w:val="0"/>
                    <w:i/>
                    <w:sz w:val="20"/>
                  </w:rPr>
                  <m:t>η</m:t>
                </m:r>
                <m:nary>
                  <m:naryPr>
                    <m:chr m:val="∑"/>
                    <m:limLoc m:val="undOvr"/>
                    <m:supHide m:val="1"/>
                    <m:ctrlPr>
                      <w:rPr>
                        <w:rFonts w:hint="default" w:ascii="Cambria Math" w:hAnsi="Cambria Math" w:cs="Times New Roman"/>
                        <w:b w:val="0"/>
                        <w:bCs w:val="0"/>
                        <w:sz w:val="20"/>
                      </w:rPr>
                    </m:ctrlPr>
                  </m:naryPr>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up>
                    <m:ctrlPr>
                      <w:rPr>
                        <w:rFonts w:hint="default" w:ascii="Cambria Math" w:hAnsi="Cambria Math" w:cs="Times New Roman"/>
                        <w:b w:val="0"/>
                        <w:bCs w:val="0"/>
                        <w:sz w:val="20"/>
                      </w:rPr>
                    </m:ctrlPr>
                  </m:sup>
                  <m:e>
                    <m:sSub>
                      <m:sSubPr>
                        <m:ctrlPr>
                          <w:rPr>
                            <w:rFonts w:hint="default" w:ascii="Cambria Math" w:hAnsi="Cambria Math" w:cs="Times New Roman"/>
                            <w:b w:val="0"/>
                            <w:bCs w:val="0"/>
                            <w:sz w:val="20"/>
                          </w:rPr>
                        </m:ctrlPr>
                      </m:sSubPr>
                      <m:e>
                        <m:acc>
                          <m:accPr>
                            <m:chr m:val="̃"/>
                            <m:ctrlPr>
                              <w:rPr>
                                <w:rFonts w:hint="default" w:ascii="Cambria Math" w:hAnsi="Cambria Math" w:cs="Times New Roman"/>
                                <w:b w:val="0"/>
                                <w:bCs w:val="0"/>
                                <w:sz w:val="20"/>
                              </w:rPr>
                            </m:ctrlPr>
                          </m:accPr>
                          <m:e>
                            <m:r>
                              <m:rPr>
                                <m:nor/>
                              </m:rPr>
                              <w:rPr>
                                <w:rFonts w:hint="default" w:ascii="Times New Roman" w:hAnsi="Times New Roman" w:cs="Times New Roman"/>
                                <w:b w:val="0"/>
                                <w:bCs w:val="0"/>
                                <w:i/>
                                <w:sz w:val="20"/>
                              </w:rPr>
                              <m:t>r</m:t>
                            </m:r>
                            <m:ctrlPr>
                              <w:rPr>
                                <w:rFonts w:hint="default" w:ascii="Cambria Math" w:hAnsi="Cambria Math" w:cs="Times New Roman"/>
                                <w:b w:val="0"/>
                                <w:bCs w:val="0"/>
                                <w:sz w:val="20"/>
                              </w:rPr>
                            </m:ctrlPr>
                          </m:e>
                        </m:acc>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Sub>
                    <m:ctrlPr>
                      <w:rPr>
                        <w:rFonts w:hint="default" w:ascii="Cambria Math" w:hAnsi="Cambria Math" w:cs="Times New Roman"/>
                        <w:b w:val="0"/>
                        <w:bCs w:val="0"/>
                        <w:sz w:val="20"/>
                      </w:rPr>
                    </m:ctrlPr>
                  </m:e>
                </m:nary>
                <m:r>
                  <m:rPr>
                    <m:nor/>
                    <m:sty m:val="p"/>
                  </m:rPr>
                  <w:rPr>
                    <w:rFonts w:hint="default" w:ascii="Times New Roman" w:hAnsi="Times New Roman" w:cs="Times New Roman"/>
                    <w:b w:val="0"/>
                    <w:bCs w:val="0"/>
                    <w:i w:val="0"/>
                    <w:sz w:val="20"/>
                  </w:rPr>
                  <m:t>(</m:t>
                </m:r>
                <m:sSub>
                  <m:sSubPr>
                    <m:ctrlPr>
                      <w:rPr>
                        <w:rFonts w:hint="default" w:ascii="Cambria Math" w:hAnsi="Cambria Math" w:cs="Times New Roman"/>
                        <w:b w:val="0"/>
                        <w:bCs w:val="0"/>
                        <w:sz w:val="20"/>
                      </w:rPr>
                    </m:ctrlPr>
                  </m:sSubPr>
                  <m:e>
                    <m:r>
                      <m:rPr>
                        <m:nor/>
                      </m:rPr>
                      <w:rPr>
                        <w:rFonts w:hint="default" w:ascii="Times New Roman" w:hAnsi="Times New Roman" w:cs="Times New Roman"/>
                        <w:b w:val="0"/>
                        <w:bCs w:val="0"/>
                        <w:i/>
                        <w:sz w:val="20"/>
                      </w:rPr>
                      <m:t>P</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Sub>
                <m:r>
                  <m:rPr>
                    <m:nor/>
                    <m:sty m:val="p"/>
                  </m:rPr>
                  <w:rPr>
                    <w:rFonts w:hint="default" w:ascii="Times New Roman" w:hAnsi="Times New Roman" w:cs="Times New Roman"/>
                    <w:b w:val="0"/>
                    <w:bCs w:val="0"/>
                    <w:i w:val="0"/>
                    <w:sz w:val="20"/>
                  </w:rPr>
                  <m:t>)</m:t>
                </m:r>
                <m:r>
                  <m:rPr>
                    <m:nor/>
                    <m:sty m:val="p"/>
                  </m:rPr>
                  <w:rPr>
                    <w:rFonts w:ascii="Cambria Math" w:hAnsi="Cambria Math" w:cs="Times New Roman"/>
                    <w:b w:val="0"/>
                    <w:bCs w:val="0"/>
                    <w:i w:val="0"/>
                    <w:iCs w:val="0"/>
                    <w:sz w:val="20"/>
                  </w:rPr>
                  <m:t>≤</m:t>
                </m:r>
                <m:r>
                  <m:rPr>
                    <m:nor/>
                  </m:rPr>
                  <w:rPr>
                    <w:rFonts w:hint="default" w:ascii="Times New Roman" w:hAnsi="Times New Roman" w:cs="Times New Roman"/>
                    <w:b w:val="0"/>
                    <w:bCs w:val="0"/>
                    <w:i/>
                    <w:sz w:val="20"/>
                  </w:rPr>
                  <m:t>β</m:t>
                </m:r>
                <m:sSub>
                  <m:sSubPr>
                    <m:ctrlPr>
                      <w:rPr>
                        <w:rFonts w:hint="default" w:ascii="Cambria Math" w:hAnsi="Cambria Math" w:cs="Times New Roman"/>
                        <w:b w:val="0"/>
                        <w:bCs w:val="0"/>
                        <w:sz w:val="20"/>
                      </w:rPr>
                    </m:ctrlPr>
                  </m:sSubPr>
                  <m:e>
                    <m:r>
                      <m:rPr>
                        <m:nor/>
                      </m:rPr>
                      <w:rPr>
                        <w:rFonts w:hint="default" w:ascii="Times New Roman" w:hAnsi="Times New Roman" w:cs="Times New Roman"/>
                        <w:b w:val="0"/>
                        <w:bCs w:val="0"/>
                        <w:i/>
                        <w:sz w:val="20"/>
                      </w:rPr>
                      <m:t>R</m:t>
                    </m:r>
                    <m:ctrlPr>
                      <w:rPr>
                        <w:rFonts w:hint="default" w:ascii="Cambria Math" w:hAnsi="Cambria Math" w:cs="Times New Roman"/>
                        <w:b w:val="0"/>
                        <w:bCs w:val="0"/>
                        <w:sz w:val="20"/>
                      </w:rPr>
                    </m:ctrlPr>
                  </m:e>
                  <m:sub>
                    <m:r>
                      <m:rPr>
                        <m:nor/>
                        <m:sty m:val="p"/>
                      </m:rPr>
                      <w:rPr>
                        <w:rFonts w:hint="default" w:ascii="Times New Roman" w:hAnsi="Times New Roman" w:cs="Times New Roman"/>
                        <w:b w:val="0"/>
                        <w:bCs w:val="0"/>
                        <w:i w:val="0"/>
                        <w:sz w:val="20"/>
                      </w:rPr>
                      <m:t>220</m:t>
                    </m:r>
                    <m:ctrlPr>
                      <w:rPr>
                        <w:rFonts w:hint="default" w:ascii="Cambria Math" w:hAnsi="Cambria Math" w:cs="Times New Roman"/>
                        <w:b w:val="0"/>
                        <w:bCs w:val="0"/>
                        <w:sz w:val="20"/>
                      </w:rPr>
                    </m:ctrlPr>
                  </m:sub>
                </m:sSub>
                <m:r>
                  <m:rPr>
                    <m:nor/>
                  </m:rPr>
                  <w:rPr>
                    <w:rFonts w:hint="default" w:ascii="Times New Roman" w:hAnsi="Times New Roman" w:cs="Times New Roman"/>
                    <w:b w:val="0"/>
                    <w:bCs w:val="0"/>
                    <w:i/>
                    <w:sz w:val="20"/>
                  </w:rPr>
                  <m:t>δ</m:t>
                </m:r>
                <m:nary>
                  <m:naryPr>
                    <m:chr m:val="∑"/>
                    <m:limLoc m:val="undOvr"/>
                    <m:supHide m:val="1"/>
                    <m:ctrlPr>
                      <w:rPr>
                        <w:rFonts w:hint="default" w:ascii="Cambria Math" w:hAnsi="Cambria Math" w:cs="Times New Roman"/>
                        <w:b w:val="0"/>
                        <w:bCs w:val="0"/>
                        <w:sz w:val="20"/>
                      </w:rPr>
                    </m:ctrlPr>
                  </m:naryPr>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up>
                    <m:ctrlPr>
                      <w:rPr>
                        <w:rFonts w:hint="default" w:ascii="Cambria Math" w:hAnsi="Cambria Math" w:cs="Times New Roman"/>
                        <w:b w:val="0"/>
                        <w:bCs w:val="0"/>
                        <w:sz w:val="20"/>
                      </w:rPr>
                    </m:ctrlPr>
                  </m:sup>
                  <m:e>
                    <m:sSubSup>
                      <m:sSubSupPr>
                        <m:ctrlPr>
                          <w:rPr>
                            <w:rFonts w:hint="default" w:ascii="Cambria Math" w:hAnsi="Cambria Math" w:cs="Times New Roman"/>
                            <w:b w:val="0"/>
                            <w:bCs w:val="0"/>
                            <w:sz w:val="20"/>
                          </w:rPr>
                        </m:ctrlPr>
                      </m:sSubSupPr>
                      <m:e>
                        <m:r>
                          <m:rPr>
                            <m:nor/>
                          </m:rPr>
                          <w:rPr>
                            <w:rFonts w:hint="default" w:ascii="Times New Roman" w:hAnsi="Times New Roman" w:cs="Times New Roman"/>
                            <w:b w:val="0"/>
                            <w:bCs w:val="0"/>
                            <w:i/>
                            <w:sz w:val="20"/>
                          </w:rPr>
                          <m:t>L</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up>
                        <m:r>
                          <m:rPr>
                            <m:nor/>
                          </m:rPr>
                          <w:rPr>
                            <w:rFonts w:hint="default" w:ascii="Times New Roman" w:hAnsi="Times New Roman" w:cs="Times New Roman"/>
                            <w:b w:val="0"/>
                            <w:bCs w:val="0"/>
                            <w:i/>
                            <w:sz w:val="20"/>
                          </w:rPr>
                          <m:t>p</m:t>
                        </m:r>
                        <m:ctrlPr>
                          <w:rPr>
                            <w:rFonts w:hint="default" w:ascii="Cambria Math" w:hAnsi="Cambria Math" w:cs="Times New Roman"/>
                            <w:b w:val="0"/>
                            <w:bCs w:val="0"/>
                            <w:sz w:val="20"/>
                          </w:rPr>
                        </m:ctrlPr>
                      </m:sup>
                    </m:sSubSup>
                    <m:ctrlPr>
                      <w:rPr>
                        <w:rFonts w:hint="default" w:ascii="Cambria Math" w:hAnsi="Cambria Math" w:cs="Times New Roman"/>
                        <w:b w:val="0"/>
                        <w:bCs w:val="0"/>
                        <w:sz w:val="20"/>
                      </w:rPr>
                    </m:ctrlPr>
                  </m:e>
                </m:nary>
                <m:r>
                  <m:rPr>
                    <m:sty m:val="p"/>
                  </m:rPr>
                  <w:rPr>
                    <w:rFonts w:hint="default" w:ascii="Cambria Math" w:hAnsi="Cambria Math" w:eastAsia="宋体" w:cs="Times New Roman"/>
                    <w:sz w:val="20"/>
                    <w:lang w:val="en-US" w:eastAsia="zh-CN"/>
                  </w:rPr>
                  <m:t xml:space="preserve"> .</m:t>
                </m:r>
              </m:oMath>
            </m:oMathPara>
          </w:p>
        </w:tc>
        <w:tc>
          <w:tcPr>
            <w:tcW w:w="567" w:type="dxa"/>
            <w:vAlign w:val="center"/>
          </w:tcPr>
          <w:p w14:paraId="06A1525D">
            <w:pPr>
              <w:keepNext w:val="0"/>
              <w:keepLines w:val="0"/>
              <w:pageBreakBefore w:val="0"/>
              <w:widowControl/>
              <w:kinsoku/>
              <w:wordWrap/>
              <w:overflowPunct/>
              <w:topLinePunct w:val="0"/>
              <w:autoSpaceDE/>
              <w:autoSpaceDN/>
              <w:bidi w:val="0"/>
              <w:adjustRightInd/>
              <w:snapToGrid/>
              <w:spacing w:before="0" w:after="0" w:line="240" w:lineRule="exact"/>
              <w:jc w:val="center"/>
              <w:textAlignment w:val="auto"/>
              <w:rPr>
                <w:rFonts w:hint="default" w:ascii="Times New Roman" w:hAnsi="Times New Roman" w:cs="Times New Roman"/>
                <w:sz w:val="20"/>
                <w:szCs w:val="20"/>
              </w:rPr>
            </w:pPr>
            <w:r>
              <w:rPr>
                <w:rFonts w:hint="default" w:ascii="Times New Roman" w:hAnsi="Times New Roman" w:eastAsia="Times New Roman" w:cs="Times New Roman"/>
                <w:b w:val="0"/>
                <w:i w:val="0"/>
                <w:smallCaps w:val="0"/>
                <w:sz w:val="20"/>
                <w:szCs w:val="20"/>
              </w:rPr>
              <w:t>(3)</w:t>
            </w:r>
          </w:p>
        </w:tc>
      </w:tr>
    </w:tbl>
    <w:p w14:paraId="6E74987E">
      <w:pPr>
        <w:spacing w:before="0" w:after="40" w:line="240" w:lineRule="auto"/>
        <w:jc w:val="both"/>
        <w:rPr>
          <w:rFonts w:hint="default" w:ascii="Times New Roman" w:hAnsi="Times New Roman" w:eastAsia="Times New Roman" w:cs="Times New Roman"/>
          <w:b w:val="0"/>
          <w:i w:val="0"/>
          <w:smallCaps w:val="0"/>
          <w:sz w:val="20"/>
        </w:rPr>
      </w:pPr>
      <w:r>
        <w:rPr>
          <w:rFonts w:hint="default" w:ascii="Times New Roman" w:hAnsi="Times New Roman" w:eastAsia="Times New Roman" w:cs="Times New Roman"/>
          <w:b w:val="0"/>
          <w:i w:val="0"/>
          <w:smallCaps w:val="0"/>
          <w:sz w:val="20"/>
        </w:rPr>
        <w:t xml:space="preserve">where </w:t>
      </w:r>
      <m:oMath>
        <m:r>
          <w:rPr>
            <w:sz w:val="20"/>
            <w:szCs w:val="20"/>
          </w:rPr>
          <m:t>β</m:t>
        </m:r>
        <m:r>
          <m:rPr>
            <m:sty m:val="p"/>
          </m:rPr>
          <w:rPr>
            <w:sz w:val="20"/>
            <w:szCs w:val="20"/>
          </w:rPr>
          <m:t>=</m:t>
        </m:r>
        <m:r>
          <w:rPr>
            <w:sz w:val="20"/>
            <w:szCs w:val="20"/>
          </w:rPr>
          <m:t>0.85</m:t>
        </m:r>
      </m:oMath>
      <w:r>
        <w:rPr>
          <w:rFonts w:hint="default" w:ascii="Times New Roman" w:hAnsi="Times New Roman" w:eastAsia="Times New Roman" w:cs="Times New Roman"/>
          <w:b w:val="0"/>
          <w:i w:val="0"/>
          <w:smallCaps w:val="0"/>
          <w:sz w:val="20"/>
        </w:rPr>
        <w:t xml:space="preserve"> is the transformer reverse-loading limit, </w:t>
      </w:r>
      <m:oMath>
        <m:sSub>
          <m:e>
            <m:r>
              <w:rPr>
                <w:sz w:val="20"/>
                <w:szCs w:val="20"/>
              </w:rPr>
              <m:t>R</m:t>
            </m:r>
          </m:e>
          <m:sub>
            <m:r>
              <w:rPr>
                <w:sz w:val="20"/>
                <w:szCs w:val="20"/>
              </w:rPr>
              <m:t>220</m:t>
            </m:r>
          </m:sub>
        </m:sSub>
        <m:r>
          <m:rPr>
            <m:sty m:val="p"/>
          </m:rPr>
          <w:rPr>
            <w:sz w:val="20"/>
            <w:szCs w:val="20"/>
          </w:rPr>
          <m:t>=</m:t>
        </m:r>
        <m:r>
          <w:rPr>
            <w:sz w:val="20"/>
            <w:szCs w:val="20"/>
          </w:rPr>
          <m:t>1.8</m:t>
        </m:r>
      </m:oMath>
      <w:r>
        <w:rPr>
          <w:rFonts w:hint="default" w:ascii="Times New Roman" w:hAnsi="Times New Roman" w:eastAsia="Times New Roman" w:cs="Times New Roman"/>
          <w:b w:val="0"/>
          <w:i w:val="0"/>
          <w:smallCaps w:val="0"/>
          <w:sz w:val="20"/>
        </w:rPr>
        <w:t xml:space="preserve"> the upper-level CLR, and </w:t>
      </w:r>
      <m:oMath>
        <m:r>
          <w:rPr>
            <w:sz w:val="20"/>
            <w:szCs w:val="20"/>
          </w:rPr>
          <m:t>η</m:t>
        </m:r>
        <m:r>
          <m:rPr>
            <m:sty m:val="p"/>
          </m:rPr>
          <w:rPr>
            <w:sz w:val="20"/>
            <w:szCs w:val="20"/>
          </w:rPr>
          <m:t>=</m:t>
        </m:r>
        <m:r>
          <w:rPr>
            <w:sz w:val="20"/>
            <w:szCs w:val="20"/>
          </w:rPr>
          <m:t>1.0</m:t>
        </m:r>
      </m:oMath>
      <w:r>
        <w:rPr>
          <w:rFonts w:hint="default" w:ascii="Times New Roman" w:hAnsi="Times New Roman" w:eastAsia="Times New Roman" w:cs="Times New Roman"/>
          <w:b w:val="0"/>
          <w:i w:val="0"/>
          <w:smallCaps w:val="0"/>
          <w:sz w:val="20"/>
        </w:rPr>
        <w:t xml:space="preserve"> the reverse-power coincidence factor.</w:t>
      </w:r>
    </w:p>
    <w:p w14:paraId="329A7E21">
      <w:pPr>
        <w:spacing w:before="0" w:after="0" w:line="240" w:lineRule="auto"/>
        <w:ind w:firstLineChars="150"/>
        <w:jc w:val="both"/>
        <w:rPr>
          <w:rFonts w:hint="default" w:ascii="Times New Roman" w:hAnsi="Times New Roman" w:cs="Times New Roman"/>
        </w:rPr>
      </w:pPr>
      <w:r>
        <w:rPr>
          <w:rFonts w:hint="default" w:ascii="Times New Roman" w:hAnsi="Times New Roman" w:eastAsia="Times New Roman" w:cs="Times New Roman"/>
          <w:b w:val="0"/>
          <w:i w:val="0"/>
          <w:smallCaps w:val="0"/>
          <w:sz w:val="20"/>
        </w:rPr>
        <w:t>The two conflicting objectives are annualized cost and expected energy not supplied under N-1 contingencies,</w:t>
      </w:r>
    </w:p>
    <w:tbl>
      <w:tblPr>
        <w:tblStyle w:val="32"/>
        <w:tblW w:w="4762" w:type="dxa"/>
        <w:jc w:val="center"/>
        <w:tblLayout w:type="fixed"/>
        <w:tblCellMar>
          <w:top w:w="0" w:type="dxa"/>
          <w:left w:w="108" w:type="dxa"/>
          <w:bottom w:w="0" w:type="dxa"/>
          <w:right w:w="108" w:type="dxa"/>
        </w:tblCellMar>
      </w:tblPr>
      <w:tblGrid>
        <w:gridCol w:w="113"/>
        <w:gridCol w:w="4081"/>
        <w:gridCol w:w="566"/>
      </w:tblGrid>
      <w:tr w14:paraId="53445053">
        <w:tblPrEx>
          <w:tblCellMar>
            <w:top w:w="0" w:type="dxa"/>
            <w:left w:w="108" w:type="dxa"/>
            <w:bottom w:w="0" w:type="dxa"/>
            <w:right w:w="108" w:type="dxa"/>
          </w:tblCellMar>
        </w:tblPrEx>
        <w:trPr>
          <w:trHeight w:val="1814" w:hRule="atLeast"/>
          <w:jc w:val="center"/>
        </w:trPr>
        <w:tc>
          <w:tcPr>
            <w:tcW w:w="113" w:type="dxa"/>
            <w:vAlign w:val="center"/>
          </w:tcPr>
          <w:p w14:paraId="2D211515">
            <w:pPr>
              <w:rPr>
                <w:rFonts w:hint="default" w:ascii="Times New Roman" w:hAnsi="Times New Roman" w:cs="Times New Roman"/>
              </w:rPr>
            </w:pPr>
          </w:p>
        </w:tc>
        <w:tc>
          <w:tcPr>
            <w:tcW w:w="4082" w:type="dxa"/>
            <w:vAlign w:val="center"/>
          </w:tcPr>
          <w:p w14:paraId="65AFCC09">
            <w:pPr>
              <w:keepNext w:val="0"/>
              <w:keepLines w:val="0"/>
              <w:pageBreakBefore w:val="0"/>
              <w:widowControl/>
              <w:kinsoku/>
              <w:wordWrap/>
              <w:overflowPunct/>
              <w:topLinePunct w:val="0"/>
              <w:autoSpaceDE/>
              <w:autoSpaceDN/>
              <w:bidi w:val="0"/>
              <w:adjustRightInd/>
              <w:snapToGrid/>
              <w:spacing w:before="0" w:after="0" w:line="240" w:lineRule="exact"/>
              <w:jc w:val="center"/>
              <w:textAlignment w:val="auto"/>
              <w:rPr>
                <w:rFonts w:hint="default" w:ascii="Times New Roman" w:hAnsi="Times New Roman" w:cs="Times New Roman"/>
              </w:rPr>
            </w:pPr>
            <m:oMathPara>
              <m:oMathParaPr>
                <m:jc m:val="center"/>
              </m:oMathParaPr>
              <m:oMath>
                <m:r>
                  <m:rPr>
                    <m:nor/>
                    <m:sty m:val="p"/>
                  </m:rPr>
                  <w:rPr>
                    <w:rFonts w:hint="default" w:ascii="Times New Roman" w:hAnsi="Times New Roman" w:cs="Times New Roman"/>
                    <w:b w:val="0"/>
                    <w:i w:val="0"/>
                    <w:sz w:val="20"/>
                    <w:szCs w:val="20"/>
                  </w:rPr>
                  <m:t>min (</m:t>
                </m:r>
                <m:sSub>
                  <m:sSubPr>
                    <m:ctrlPr>
                      <w:rPr>
                        <w:rFonts w:hint="default" w:ascii="Cambria Math" w:hAnsi="Cambria Math" w:cs="Times New Roman"/>
                        <w:sz w:val="20"/>
                        <w:szCs w:val="20"/>
                      </w:rPr>
                    </m:ctrlPr>
                  </m:sSubPr>
                  <m:e>
                    <m:r>
                      <m:rPr>
                        <m:nor/>
                      </m:rPr>
                      <w:rPr>
                        <w:rFonts w:hint="default" w:ascii="Times New Roman" w:hAnsi="Times New Roman" w:cs="Times New Roman"/>
                        <w:i/>
                        <w:sz w:val="20"/>
                        <w:szCs w:val="20"/>
                      </w:rPr>
                      <m:t>f</m:t>
                    </m:r>
                    <m:ctrlPr>
                      <w:rPr>
                        <w:rFonts w:hint="default" w:ascii="Cambria Math" w:hAnsi="Cambria Math" w:cs="Times New Roman"/>
                        <w:sz w:val="20"/>
                        <w:szCs w:val="20"/>
                      </w:rPr>
                    </m:ctrlPr>
                  </m:e>
                  <m:sub>
                    <m:r>
                      <m:rPr>
                        <m:nor/>
                        <m:sty m:val="p"/>
                      </m:rPr>
                      <w:rPr>
                        <w:rFonts w:hint="default" w:ascii="Times New Roman" w:hAnsi="Times New Roman" w:cs="Times New Roman"/>
                        <w:b w:val="0"/>
                        <w:i w:val="0"/>
                        <w:sz w:val="20"/>
                        <w:szCs w:val="20"/>
                      </w:rPr>
                      <m:t>1</m:t>
                    </m:r>
                    <m:ctrlPr>
                      <w:rPr>
                        <w:rFonts w:hint="default" w:ascii="Cambria Math" w:hAnsi="Cambria Math" w:cs="Times New Roman"/>
                        <w:sz w:val="20"/>
                        <w:szCs w:val="20"/>
                      </w:rPr>
                    </m:ctrlPr>
                  </m:sub>
                </m:sSub>
                <m:r>
                  <m:rPr>
                    <m:nor/>
                    <m:sty m:val="p"/>
                  </m:rPr>
                  <w:rPr>
                    <w:rFonts w:hint="default" w:ascii="Times New Roman" w:hAnsi="Times New Roman" w:eastAsia="宋体" w:cs="Times New Roman"/>
                    <w:b w:val="0"/>
                    <w:i w:val="0"/>
                    <w:sz w:val="20"/>
                    <w:szCs w:val="20"/>
                    <w:lang w:val="en-US" w:eastAsia="zh-CN"/>
                  </w:rPr>
                  <m:t>,</m:t>
                </m:r>
                <m:r>
                  <m:rPr>
                    <m:nor/>
                    <m:sty m:val="p"/>
                  </m:rPr>
                  <w:rPr>
                    <w:rFonts w:hint="default" w:ascii="Times New Roman" w:hAnsi="Times New Roman" w:cs="Times New Roman"/>
                    <w:b w:val="0"/>
                    <w:i w:val="0"/>
                    <w:sz w:val="20"/>
                    <w:szCs w:val="20"/>
                  </w:rPr>
                  <m:t> </m:t>
                </m:r>
                <m:sSub>
                  <m:sSubPr>
                    <m:ctrlPr>
                      <w:rPr>
                        <w:rFonts w:hint="default" w:ascii="Cambria Math" w:hAnsi="Cambria Math" w:cs="Times New Roman"/>
                        <w:sz w:val="20"/>
                        <w:szCs w:val="20"/>
                      </w:rPr>
                    </m:ctrlPr>
                  </m:sSubPr>
                  <m:e>
                    <m:r>
                      <m:rPr>
                        <m:nor/>
                      </m:rPr>
                      <w:rPr>
                        <w:rFonts w:hint="default" w:ascii="Times New Roman" w:hAnsi="Times New Roman" w:cs="Times New Roman"/>
                        <w:i/>
                        <w:sz w:val="20"/>
                        <w:szCs w:val="20"/>
                      </w:rPr>
                      <m:t>f</m:t>
                    </m:r>
                    <m:ctrlPr>
                      <w:rPr>
                        <w:rFonts w:hint="default" w:ascii="Cambria Math" w:hAnsi="Cambria Math" w:cs="Times New Roman"/>
                        <w:sz w:val="20"/>
                        <w:szCs w:val="20"/>
                      </w:rPr>
                    </m:ctrlPr>
                  </m:e>
                  <m:sub>
                    <m:r>
                      <m:rPr>
                        <m:nor/>
                        <m:sty m:val="p"/>
                      </m:rPr>
                      <w:rPr>
                        <w:rFonts w:hint="default" w:ascii="Times New Roman" w:hAnsi="Times New Roman" w:cs="Times New Roman"/>
                        <w:b w:val="0"/>
                        <w:i w:val="0"/>
                        <w:sz w:val="20"/>
                        <w:szCs w:val="20"/>
                      </w:rPr>
                      <m:t>2</m:t>
                    </m:r>
                    <m:ctrlPr>
                      <w:rPr>
                        <w:rFonts w:hint="default" w:ascii="Cambria Math" w:hAnsi="Cambria Math" w:cs="Times New Roman"/>
                        <w:sz w:val="20"/>
                        <w:szCs w:val="20"/>
                      </w:rPr>
                    </m:ctrlPr>
                  </m:sub>
                </m:sSub>
                <m:r>
                  <m:rPr>
                    <m:nor/>
                    <m:sty m:val="p"/>
                  </m:rPr>
                  <w:rPr>
                    <w:rFonts w:hint="default" w:ascii="Times New Roman" w:hAnsi="Times New Roman" w:cs="Times New Roman"/>
                    <w:b w:val="0"/>
                    <w:i w:val="0"/>
                    <w:sz w:val="20"/>
                    <w:szCs w:val="20"/>
                  </w:rPr>
                  <m:t>)</m:t>
                </m:r>
              </m:oMath>
            </m:oMathPara>
          </w:p>
          <w:p w14:paraId="4D3903BB">
            <w:pPr>
              <w:keepNext w:val="0"/>
              <w:keepLines w:val="0"/>
              <w:pageBreakBefore w:val="0"/>
              <w:widowControl/>
              <w:kinsoku/>
              <w:wordWrap/>
              <w:overflowPunct/>
              <w:topLinePunct w:val="0"/>
              <w:autoSpaceDE/>
              <w:autoSpaceDN/>
              <w:bidi w:val="0"/>
              <w:adjustRightInd/>
              <w:snapToGrid/>
              <w:spacing w:before="0" w:after="0" w:line="460" w:lineRule="exact"/>
              <w:jc w:val="center"/>
              <w:textAlignment w:val="auto"/>
              <w:rPr>
                <w:rFonts w:hint="default" w:ascii="Times New Roman" w:hAnsi="Times New Roman" w:cs="Times New Roman"/>
              </w:rPr>
            </w:pPr>
            <m:oMathPara>
              <m:oMath>
                <m:sSub>
                  <m:sSubPr>
                    <m:ctrlPr>
                      <w:rPr>
                        <w:rFonts w:hint="default" w:ascii="Cambria Math" w:hAnsi="Cambria Math" w:cs="Times New Roman"/>
                        <w:b w:val="0"/>
                        <w:bCs w:val="0"/>
                        <w:sz w:val="20"/>
                      </w:rPr>
                    </m:ctrlPr>
                  </m:sSubPr>
                  <m:e>
                    <m:r>
                      <m:rPr>
                        <m:nor/>
                      </m:rPr>
                      <w:rPr>
                        <w:rFonts w:hint="default" w:ascii="Times New Roman" w:hAnsi="Times New Roman" w:cs="Times New Roman"/>
                        <w:b w:val="0"/>
                        <w:bCs w:val="0"/>
                        <w:i/>
                        <w:sz w:val="20"/>
                      </w:rPr>
                      <m:t>f</m:t>
                    </m:r>
                    <m:ctrlPr>
                      <w:rPr>
                        <w:rFonts w:hint="default" w:ascii="Cambria Math" w:hAnsi="Cambria Math" w:cs="Times New Roman"/>
                        <w:b w:val="0"/>
                        <w:bCs w:val="0"/>
                        <w:sz w:val="20"/>
                      </w:rPr>
                    </m:ctrlPr>
                  </m:e>
                  <m:sub>
                    <m:r>
                      <m:rPr>
                        <m:nor/>
                        <m:sty m:val="p"/>
                      </m:rPr>
                      <w:rPr>
                        <w:rFonts w:hint="default" w:ascii="Times New Roman" w:hAnsi="Times New Roman" w:cs="Times New Roman"/>
                        <w:b w:val="0"/>
                        <w:bCs w:val="0"/>
                        <w:i w:val="0"/>
                        <w:sz w:val="20"/>
                      </w:rPr>
                      <m:t>1</m:t>
                    </m:r>
                    <m:ctrlPr>
                      <w:rPr>
                        <w:rFonts w:hint="default" w:ascii="Cambria Math" w:hAnsi="Cambria Math" w:cs="Times New Roman"/>
                        <w:b w:val="0"/>
                        <w:bCs w:val="0"/>
                        <w:sz w:val="20"/>
                      </w:rPr>
                    </m:ctrlPr>
                  </m:sub>
                </m:sSub>
                <m:r>
                  <m:rPr>
                    <m:nor/>
                    <m:sty m:val="p"/>
                  </m:rPr>
                  <w:rPr>
                    <w:rFonts w:hint="default" w:ascii="Times New Roman" w:hAnsi="Times New Roman" w:cs="Times New Roman"/>
                    <w:b w:val="0"/>
                    <w:bCs w:val="0"/>
                    <w:i w:val="0"/>
                    <w:sz w:val="20"/>
                  </w:rPr>
                  <m:t>=</m:t>
                </m:r>
                <m:nary>
                  <m:naryPr>
                    <m:chr m:val="∑"/>
                    <m:limLoc m:val="undOvr"/>
                    <m:supHide m:val="1"/>
                    <m:ctrlPr>
                      <w:rPr>
                        <w:rFonts w:hint="default" w:ascii="Cambria Math" w:hAnsi="Cambria Math" w:cs="Times New Roman"/>
                        <w:b w:val="0"/>
                        <w:bCs w:val="0"/>
                        <w:sz w:val="20"/>
                      </w:rPr>
                    </m:ctrlPr>
                  </m:naryPr>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up>
                    <m:ctrlPr>
                      <w:rPr>
                        <w:rFonts w:hint="default" w:ascii="Cambria Math" w:hAnsi="Cambria Math" w:cs="Times New Roman"/>
                        <w:b w:val="0"/>
                        <w:bCs w:val="0"/>
                        <w:sz w:val="20"/>
                      </w:rPr>
                    </m:ctrlPr>
                  </m:sup>
                  <m:e>
                    <m:r>
                      <m:rPr>
                        <m:nor/>
                        <m:sty m:val="p"/>
                      </m:rPr>
                      <w:rPr>
                        <w:rFonts w:hint="default" w:ascii="Times New Roman" w:hAnsi="Times New Roman" w:cs="Times New Roman"/>
                        <w:b w:val="0"/>
                        <w:bCs w:val="0"/>
                        <w:i w:val="0"/>
                        <w:sz w:val="20"/>
                      </w:rPr>
                      <m:t>(</m:t>
                    </m:r>
                    <m:ctrlPr>
                      <w:rPr>
                        <w:rFonts w:hint="default" w:ascii="Cambria Math" w:hAnsi="Cambria Math" w:cs="Times New Roman"/>
                        <w:b w:val="0"/>
                        <w:bCs w:val="0"/>
                        <w:sz w:val="20"/>
                      </w:rPr>
                    </m:ctrlPr>
                  </m:e>
                </m:nary>
                <m:sSub>
                  <m:sSubPr>
                    <m:ctrlPr>
                      <w:rPr>
                        <w:rFonts w:hint="default" w:ascii="Cambria Math" w:hAnsi="Cambria Math" w:cs="Times New Roman"/>
                        <w:b w:val="0"/>
                        <w:bCs w:val="0"/>
                        <w:sz w:val="20"/>
                      </w:rPr>
                    </m:ctrlPr>
                  </m:sSubPr>
                  <m:e>
                    <m:r>
                      <m:rPr>
                        <m:nor/>
                      </m:rPr>
                      <w:rPr>
                        <w:rFonts w:hint="default" w:ascii="Times New Roman" w:hAnsi="Times New Roman" w:cs="Times New Roman"/>
                        <w:b w:val="0"/>
                        <w:bCs w:val="0"/>
                        <w:i/>
                        <w:sz w:val="20"/>
                      </w:rPr>
                      <m:t>c</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R</m:t>
                    </m:r>
                    <m:ctrlPr>
                      <w:rPr>
                        <w:rFonts w:hint="default" w:ascii="Cambria Math" w:hAnsi="Cambria Math" w:cs="Times New Roman"/>
                        <w:b w:val="0"/>
                        <w:bCs w:val="0"/>
                        <w:sz w:val="20"/>
                      </w:rPr>
                    </m:ctrlPr>
                  </m:sub>
                </m:sSub>
                <m:sSub>
                  <m:sSubPr>
                    <m:ctrlPr>
                      <w:rPr>
                        <w:rFonts w:hint="default" w:ascii="Cambria Math" w:hAnsi="Cambria Math" w:cs="Times New Roman"/>
                        <w:b w:val="0"/>
                        <w:bCs w:val="0"/>
                        <w:sz w:val="20"/>
                      </w:rPr>
                    </m:ctrlPr>
                  </m:sSubPr>
                  <m:e>
                    <m:r>
                      <m:rPr>
                        <m:nor/>
                      </m:rPr>
                      <w:rPr>
                        <w:rFonts w:hint="default" w:ascii="Times New Roman" w:hAnsi="Times New Roman" w:cs="Times New Roman"/>
                        <w:b w:val="0"/>
                        <w:bCs w:val="0"/>
                        <w:i/>
                        <w:sz w:val="20"/>
                      </w:rPr>
                      <m:t>R</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Sub>
                <m:sSubSup>
                  <m:sSubSupPr>
                    <m:ctrlPr>
                      <w:rPr>
                        <w:rFonts w:hint="default" w:ascii="Cambria Math" w:hAnsi="Cambria Math" w:cs="Times New Roman"/>
                        <w:b w:val="0"/>
                        <w:bCs w:val="0"/>
                        <w:sz w:val="20"/>
                      </w:rPr>
                    </m:ctrlPr>
                  </m:sSubSupPr>
                  <m:e>
                    <m:r>
                      <m:rPr>
                        <m:nor/>
                      </m:rPr>
                      <w:rPr>
                        <w:rFonts w:hint="default" w:ascii="Times New Roman" w:hAnsi="Times New Roman" w:cs="Times New Roman"/>
                        <w:b w:val="0"/>
                        <w:bCs w:val="0"/>
                        <w:i/>
                        <w:sz w:val="20"/>
                      </w:rPr>
                      <m:t>L</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up>
                    <m:r>
                      <m:rPr>
                        <m:nor/>
                      </m:rPr>
                      <w:rPr>
                        <w:rFonts w:hint="default" w:ascii="Times New Roman" w:hAnsi="Times New Roman" w:cs="Times New Roman"/>
                        <w:b w:val="0"/>
                        <w:bCs w:val="0"/>
                        <w:i/>
                        <w:sz w:val="20"/>
                      </w:rPr>
                      <m:t>p</m:t>
                    </m:r>
                    <m:ctrlPr>
                      <w:rPr>
                        <w:rFonts w:hint="default" w:ascii="Cambria Math" w:hAnsi="Cambria Math" w:cs="Times New Roman"/>
                        <w:b w:val="0"/>
                        <w:bCs w:val="0"/>
                        <w:sz w:val="20"/>
                      </w:rPr>
                    </m:ctrlPr>
                  </m:sup>
                </m:sSubSup>
                <m:r>
                  <m:rPr>
                    <m:nor/>
                    <m:sty m:val="p"/>
                  </m:rPr>
                  <w:rPr>
                    <w:rFonts w:hint="default" w:ascii="Times New Roman" w:hAnsi="Times New Roman" w:cs="Times New Roman"/>
                    <w:b w:val="0"/>
                    <w:bCs w:val="0"/>
                    <w:i w:val="0"/>
                    <w:sz w:val="20"/>
                  </w:rPr>
                  <m:t>+</m:t>
                </m:r>
                <m:sSub>
                  <m:sSubPr>
                    <m:ctrlPr>
                      <w:rPr>
                        <w:rFonts w:hint="default" w:ascii="Cambria Math" w:hAnsi="Cambria Math" w:cs="Times New Roman"/>
                        <w:b w:val="0"/>
                        <w:bCs w:val="0"/>
                        <w:sz w:val="20"/>
                      </w:rPr>
                    </m:ctrlPr>
                  </m:sSubPr>
                  <m:e>
                    <m:r>
                      <m:rPr>
                        <m:nor/>
                      </m:rPr>
                      <w:rPr>
                        <w:rFonts w:hint="default" w:ascii="Times New Roman" w:hAnsi="Times New Roman" w:cs="Times New Roman"/>
                        <w:b w:val="0"/>
                        <w:bCs w:val="0"/>
                        <w:i/>
                        <w:sz w:val="20"/>
                      </w:rPr>
                      <m:t>c</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P</m:t>
                    </m:r>
                    <m:ctrlPr>
                      <w:rPr>
                        <w:rFonts w:hint="default" w:ascii="Cambria Math" w:hAnsi="Cambria Math" w:cs="Times New Roman"/>
                        <w:b w:val="0"/>
                        <w:bCs w:val="0"/>
                        <w:sz w:val="20"/>
                      </w:rPr>
                    </m:ctrlPr>
                  </m:sub>
                </m:sSub>
                <m:sSub>
                  <m:sSubPr>
                    <m:ctrlPr>
                      <w:rPr>
                        <w:rFonts w:hint="default" w:ascii="Cambria Math" w:hAnsi="Cambria Math" w:cs="Times New Roman"/>
                        <w:b w:val="0"/>
                        <w:bCs w:val="0"/>
                        <w:sz w:val="20"/>
                      </w:rPr>
                    </m:ctrlPr>
                  </m:sSubPr>
                  <m:e>
                    <m:r>
                      <m:rPr>
                        <m:nor/>
                      </m:rPr>
                      <w:rPr>
                        <w:rFonts w:hint="default" w:ascii="Times New Roman" w:hAnsi="Times New Roman" w:cs="Times New Roman"/>
                        <w:b w:val="0"/>
                        <w:bCs w:val="0"/>
                        <w:i/>
                        <w:sz w:val="20"/>
                      </w:rPr>
                      <m:t>P</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Sub>
                <m:r>
                  <m:rPr>
                    <m:nor/>
                    <m:sty m:val="p"/>
                  </m:rPr>
                  <w:rPr>
                    <w:rFonts w:hint="default" w:ascii="Times New Roman" w:hAnsi="Times New Roman" w:cs="Times New Roman"/>
                    <w:b w:val="0"/>
                    <w:bCs w:val="0"/>
                    <w:i w:val="0"/>
                    <w:sz w:val="20"/>
                  </w:rPr>
                  <m:t>+</m:t>
                </m:r>
                <m:sSubSup>
                  <m:sSubSupPr>
                    <m:ctrlPr>
                      <w:rPr>
                        <w:rFonts w:hint="default" w:ascii="Cambria Math" w:hAnsi="Cambria Math" w:cs="Times New Roman"/>
                        <w:b w:val="0"/>
                        <w:bCs w:val="0"/>
                        <w:sz w:val="20"/>
                      </w:rPr>
                    </m:ctrlPr>
                  </m:sSubSupPr>
                  <m:e>
                    <m:r>
                      <m:rPr>
                        <m:nor/>
                      </m:rPr>
                      <w:rPr>
                        <w:rFonts w:hint="default" w:ascii="Times New Roman" w:hAnsi="Times New Roman" w:cs="Times New Roman"/>
                        <w:b w:val="0"/>
                        <w:bCs w:val="0"/>
                        <w:i/>
                        <w:sz w:val="20"/>
                      </w:rPr>
                      <m:t>C</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up>
                    <m:r>
                      <m:rPr>
                        <m:nor/>
                      </m:rPr>
                      <w:rPr>
                        <w:rFonts w:hint="default" w:ascii="Times New Roman" w:hAnsi="Times New Roman" w:cs="Times New Roman"/>
                        <w:b w:val="0"/>
                        <w:bCs w:val="0"/>
                        <w:i/>
                        <w:sz w:val="20"/>
                      </w:rPr>
                      <m:t>loss</m:t>
                    </m:r>
                    <m:ctrlPr>
                      <w:rPr>
                        <w:rFonts w:hint="default" w:ascii="Cambria Math" w:hAnsi="Cambria Math" w:cs="Times New Roman"/>
                        <w:b w:val="0"/>
                        <w:bCs w:val="0"/>
                        <w:sz w:val="20"/>
                      </w:rPr>
                    </m:ctrlPr>
                  </m:sup>
                </m:sSubSup>
                <m:r>
                  <m:rPr>
                    <m:nor/>
                    <m:sty m:val="p"/>
                  </m:rPr>
                  <w:rPr>
                    <w:rFonts w:hint="default" w:ascii="Times New Roman" w:hAnsi="Times New Roman" w:cs="Times New Roman"/>
                    <w:b w:val="0"/>
                    <w:bCs w:val="0"/>
                    <w:i w:val="0"/>
                    <w:sz w:val="20"/>
                  </w:rPr>
                  <m:t>+</m:t>
                </m:r>
                <m:sSubSup>
                  <m:sSubSupPr>
                    <m:ctrlPr>
                      <w:rPr>
                        <w:rFonts w:hint="default" w:ascii="Cambria Math" w:hAnsi="Cambria Math" w:cs="Times New Roman"/>
                        <w:b w:val="0"/>
                        <w:bCs w:val="0"/>
                        <w:sz w:val="20"/>
                      </w:rPr>
                    </m:ctrlPr>
                  </m:sSubSupPr>
                  <m:e>
                    <m:r>
                      <m:rPr>
                        <m:nor/>
                      </m:rPr>
                      <w:rPr>
                        <w:rFonts w:hint="default" w:ascii="Times New Roman" w:hAnsi="Times New Roman" w:cs="Times New Roman"/>
                        <w:b w:val="0"/>
                        <w:bCs w:val="0"/>
                        <w:i/>
                        <w:sz w:val="20"/>
                      </w:rPr>
                      <m:t>C</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up>
                    <m:r>
                      <m:rPr>
                        <m:nor/>
                      </m:rPr>
                      <w:rPr>
                        <w:rFonts w:hint="default" w:ascii="Times New Roman" w:hAnsi="Times New Roman" w:cs="Times New Roman"/>
                        <w:b w:val="0"/>
                        <w:bCs w:val="0"/>
                        <w:i/>
                        <w:sz w:val="20"/>
                      </w:rPr>
                      <m:t>om</m:t>
                    </m:r>
                    <m:ctrlPr>
                      <w:rPr>
                        <w:rFonts w:hint="default" w:ascii="Cambria Math" w:hAnsi="Cambria Math" w:cs="Times New Roman"/>
                        <w:b w:val="0"/>
                        <w:bCs w:val="0"/>
                        <w:sz w:val="20"/>
                      </w:rPr>
                    </m:ctrlPr>
                  </m:sup>
                </m:sSubSup>
                <m:r>
                  <m:rPr>
                    <m:nor/>
                    <m:sty m:val="p"/>
                  </m:rPr>
                  <w:rPr>
                    <w:rFonts w:hint="default" w:ascii="Times New Roman" w:hAnsi="Times New Roman" w:cs="Times New Roman"/>
                    <w:b w:val="0"/>
                    <w:bCs w:val="0"/>
                    <w:i w:val="0"/>
                    <w:sz w:val="20"/>
                  </w:rPr>
                  <m:t>)</m:t>
                </m:r>
              </m:oMath>
            </m:oMathPara>
          </w:p>
          <w:p w14:paraId="16015861">
            <w:pPr>
              <w:keepNext w:val="0"/>
              <w:keepLines w:val="0"/>
              <w:pageBreakBefore w:val="0"/>
              <w:widowControl/>
              <w:kinsoku/>
              <w:wordWrap/>
              <w:overflowPunct/>
              <w:topLinePunct w:val="0"/>
              <w:autoSpaceDE/>
              <w:autoSpaceDN/>
              <w:bidi w:val="0"/>
              <w:adjustRightInd/>
              <w:snapToGrid/>
              <w:spacing w:before="0" w:after="100" w:line="460" w:lineRule="exact"/>
              <w:jc w:val="center"/>
              <w:textAlignment w:val="auto"/>
              <w:rPr>
                <w:rFonts w:hint="default" w:ascii="Times New Roman" w:hAnsi="Times New Roman" w:eastAsia="宋体" w:cs="Times New Roman"/>
                <w:lang w:val="en-US" w:eastAsia="zh-CN"/>
              </w:rPr>
            </w:pPr>
            <m:oMathPara>
              <m:oMathParaPr>
                <m:jc m:val="center"/>
              </m:oMathParaPr>
              <m:oMath>
                <m:sSub>
                  <m:e>
                    <m:r>
                      <w:rPr>
                        <w:sz w:val="20"/>
                        <w:szCs w:val="20"/>
                      </w:rPr>
                      <m:t>f</m:t>
                    </m:r>
                  </m:e>
                  <m:sub>
                    <m:r>
                      <w:rPr>
                        <w:sz w:val="20"/>
                        <w:szCs w:val="20"/>
                      </w:rPr>
                      <m:t>2</m:t>
                    </m:r>
                  </m:sub>
                </m:sSub>
                <m:r>
                  <m:rPr>
                    <m:sty m:val="p"/>
                  </m:rPr>
                  <w:rPr>
                    <w:sz w:val="20"/>
                    <w:szCs w:val="20"/>
                  </w:rPr>
                  <m:t>=</m:t>
                </m:r>
                <m:nary>
                  <m:naryPr>
                    <m:chr m:val="∑"/>
                    <m:limLoc m:val="undOvr"/>
                    <m:subHide m:val="0"/>
                    <m:supHide m:val="1"/>
                  </m:naryPr>
                  <m:sub>
                    <m:r>
                      <w:rPr>
                        <w:sz w:val="20"/>
                        <w:szCs w:val="20"/>
                      </w:rPr>
                      <m:t>j</m:t>
                    </m:r>
                  </m:sub>
                  <m:sup>
                    <m:r>
                      <w:rPr>
                        <w:sz w:val="20"/>
                        <w:szCs w:val="20"/>
                      </w:rPr>
                      <m:t>​</m:t>
                    </m:r>
                  </m:sup>
                  <m:e>
                    <m:sSub>
                      <m:e>
                        <m:r>
                          <m:rPr>
                            <m:nor/>
                            <m:sty m:val="p"/>
                          </m:rPr>
                          <w:rPr>
                            <w:sz w:val="20"/>
                            <w:szCs w:val="20"/>
                          </w:rPr>
                          <m:t>EENS</m:t>
                        </m:r>
                      </m:e>
                      <m:sub>
                        <m:r>
                          <w:rPr>
                            <w:sz w:val="20"/>
                            <w:szCs w:val="20"/>
                          </w:rPr>
                          <m:t>j</m:t>
                        </m:r>
                      </m:sub>
                    </m:sSub>
                  </m:e>
                </m:nary>
              </m:oMath>
            </m:oMathPara>
          </w:p>
        </w:tc>
        <w:tc>
          <w:tcPr>
            <w:tcW w:w="567" w:type="dxa"/>
            <w:vAlign w:val="center"/>
          </w:tcPr>
          <w:p w14:paraId="4C9C0BA5">
            <w:pPr>
              <w:keepNext w:val="0"/>
              <w:keepLines w:val="0"/>
              <w:pageBreakBefore w:val="0"/>
              <w:widowControl/>
              <w:kinsoku/>
              <w:wordWrap/>
              <w:overflowPunct/>
              <w:topLinePunct w:val="0"/>
              <w:autoSpaceDE/>
              <w:autoSpaceDN/>
              <w:bidi w:val="0"/>
              <w:adjustRightInd/>
              <w:snapToGrid/>
              <w:spacing w:before="0" w:after="0" w:line="240" w:lineRule="exact"/>
              <w:jc w:val="center"/>
              <w:textAlignment w:val="auto"/>
              <w:rPr>
                <w:rFonts w:hint="default" w:ascii="Times New Roman" w:hAnsi="Times New Roman" w:cs="Times New Roman"/>
              </w:rPr>
            </w:pPr>
            <w:r>
              <w:rPr>
                <w:rFonts w:hint="default" w:ascii="Times New Roman" w:hAnsi="Times New Roman" w:eastAsia="Times New Roman" w:cs="Times New Roman"/>
                <w:b w:val="0"/>
                <w:i w:val="0"/>
                <w:smallCaps w:val="0"/>
                <w:sz w:val="20"/>
              </w:rPr>
              <w:t>(4)</w:t>
            </w:r>
          </w:p>
        </w:tc>
      </w:tr>
    </w:tbl>
    <w:p w14:paraId="19DBD709">
      <w:pPr>
        <w:spacing w:before="0" w:after="40" w:line="240" w:lineRule="auto"/>
        <w:jc w:val="both"/>
        <w:rPr>
          <w:rFonts w:hint="default" w:ascii="Times New Roman" w:hAnsi="Times New Roman" w:cs="Times New Roman"/>
        </w:rPr>
      </w:pPr>
      <w:r>
        <w:rPr>
          <w:rFonts w:hint="default" w:ascii="Times New Roman" w:hAnsi="Times New Roman" w:eastAsia="Times New Roman" w:cs="Times New Roman"/>
          <w:b w:val="0"/>
          <w:i w:val="0"/>
          <w:smallCaps w:val="0"/>
          <w:sz w:val="20"/>
        </w:rPr>
        <w:t xml:space="preserve">Here, </w:t>
      </w:r>
      <m:oMath>
        <m:sSub>
          <m:e>
            <m:r>
              <w:rPr>
                <w:sz w:val="20"/>
                <w:szCs w:val="20"/>
              </w:rPr>
              <m:t>c</m:t>
            </m:r>
          </m:e>
          <m:sub>
            <m:r>
              <w:rPr>
                <w:sz w:val="20"/>
                <w:szCs w:val="20"/>
              </w:rPr>
              <m:t>R</m:t>
            </m:r>
          </m:sub>
        </m:sSub>
      </m:oMath>
      <w:r>
        <w:rPr>
          <w:rFonts w:hint="default" w:ascii="Times New Roman" w:hAnsi="Times New Roman" w:eastAsia="Times New Roman" w:cs="Times New Roman"/>
          <w:b w:val="0"/>
          <w:i w:val="0"/>
          <w:smallCaps w:val="0"/>
          <w:sz w:val="20"/>
        </w:rPr>
        <w:t xml:space="preserve"> and </w:t>
      </w:r>
      <m:oMath>
        <m:sSub>
          <m:e>
            <m:r>
              <w:rPr>
                <w:sz w:val="20"/>
                <w:szCs w:val="20"/>
              </w:rPr>
              <m:t>c</m:t>
            </m:r>
          </m:e>
          <m:sub>
            <m:r>
              <w:rPr>
                <w:sz w:val="20"/>
                <w:szCs w:val="20"/>
              </w:rPr>
              <m:t>P</m:t>
            </m:r>
          </m:sub>
        </m:sSub>
      </m:oMath>
      <w:r>
        <w:rPr>
          <w:rFonts w:hint="default" w:ascii="Times New Roman" w:hAnsi="Times New Roman" w:eastAsia="Times New Roman" w:cs="Times New Roman"/>
          <w:b w:val="0"/>
          <w:i w:val="0"/>
          <w:smallCaps w:val="0"/>
          <w:sz w:val="20"/>
        </w:rPr>
        <w:t xml:space="preserve"> are annualized unit costs, and </w:t>
      </w:r>
      <m:oMath>
        <m:sSubSup>
          <m:e>
            <m:r>
              <w:rPr>
                <w:sz w:val="20"/>
                <w:szCs w:val="20"/>
              </w:rPr>
              <m:t>C</m:t>
            </m:r>
          </m:e>
          <m:sub>
            <m:r>
              <w:rPr>
                <w:sz w:val="20"/>
                <w:szCs w:val="20"/>
              </w:rPr>
              <m:t>j</m:t>
            </m:r>
          </m:sub>
          <m:sup>
            <m:r>
              <w:rPr>
                <w:sz w:val="20"/>
                <w:szCs w:val="20"/>
              </w:rPr>
              <m:t>l</m:t>
            </m:r>
            <m:r>
              <w:rPr>
                <w:sz w:val="20"/>
                <w:szCs w:val="20"/>
              </w:rPr>
              <m:t>o</m:t>
            </m:r>
            <m:r>
              <w:rPr>
                <w:sz w:val="20"/>
                <w:szCs w:val="20"/>
              </w:rPr>
              <m:t>s</m:t>
            </m:r>
            <m:r>
              <w:rPr>
                <w:sz w:val="20"/>
                <w:szCs w:val="20"/>
              </w:rPr>
              <m:t>s</m:t>
            </m:r>
          </m:sup>
        </m:sSubSup>
      </m:oMath>
      <w:r>
        <w:rPr>
          <w:rFonts w:hint="default" w:ascii="Times New Roman" w:hAnsi="Times New Roman" w:eastAsia="Times New Roman" w:cs="Times New Roman"/>
          <w:b w:val="0"/>
          <w:i w:val="0"/>
          <w:smallCaps w:val="0"/>
          <w:sz w:val="20"/>
        </w:rPr>
        <w:t xml:space="preserve"> and </w:t>
      </w:r>
      <m:oMath>
        <m:sSubSup>
          <m:e>
            <m:r>
              <w:rPr>
                <w:sz w:val="20"/>
                <w:szCs w:val="20"/>
              </w:rPr>
              <m:t>C</m:t>
            </m:r>
          </m:e>
          <m:sub>
            <m:r>
              <w:rPr>
                <w:sz w:val="20"/>
                <w:szCs w:val="20"/>
              </w:rPr>
              <m:t>j</m:t>
            </m:r>
          </m:sub>
          <m:sup>
            <m:r>
              <w:rPr>
                <w:sz w:val="20"/>
                <w:szCs w:val="20"/>
              </w:rPr>
              <m:t>o</m:t>
            </m:r>
            <m:r>
              <w:rPr>
                <w:sz w:val="20"/>
                <w:szCs w:val="20"/>
              </w:rPr>
              <m:t>m</m:t>
            </m:r>
          </m:sup>
        </m:sSubSup>
      </m:oMath>
      <w:r>
        <w:rPr>
          <w:rFonts w:hint="default" w:ascii="Times New Roman" w:hAnsi="Times New Roman" w:eastAsia="Times New Roman" w:cs="Times New Roman"/>
          <w:b w:val="0"/>
          <w:i w:val="0"/>
          <w:smallCaps w:val="0"/>
          <w:sz w:val="20"/>
        </w:rPr>
        <w:t xml:space="preserve"> are annual loss and O&amp;M costs; </w:t>
      </w:r>
      <m:oMath>
        <m:sSub>
          <m:e>
            <m:r>
              <w:rPr>
                <w:sz w:val="20"/>
                <w:szCs w:val="20"/>
              </w:rPr>
              <m:t>f</m:t>
            </m:r>
          </m:e>
          <m:sub>
            <m:r>
              <w:rPr>
                <w:sz w:val="20"/>
                <w:szCs w:val="20"/>
              </w:rPr>
              <m:t>2</m:t>
            </m:r>
          </m:sub>
        </m:sSub>
      </m:oMath>
      <w:r>
        <w:rPr>
          <w:rFonts w:hint="default" w:ascii="Times New Roman" w:hAnsi="Times New Roman" w:eastAsia="Times New Roman" w:cs="Times New Roman"/>
          <w:b w:val="0"/>
          <w:i w:val="0"/>
          <w:smallCaps w:val="0"/>
          <w:sz w:val="20"/>
        </w:rPr>
        <w:t xml:space="preserve"> is the total EENS under N-1 contingencies,</w:t>
      </w:r>
    </w:p>
    <w:tbl>
      <w:tblPr>
        <w:tblStyle w:val="32"/>
        <w:tblW w:w="4762" w:type="dxa"/>
        <w:jc w:val="center"/>
        <w:tblLayout w:type="fixed"/>
        <w:tblCellMar>
          <w:top w:w="0" w:type="dxa"/>
          <w:left w:w="108" w:type="dxa"/>
          <w:bottom w:w="0" w:type="dxa"/>
          <w:right w:w="108" w:type="dxa"/>
        </w:tblCellMar>
      </w:tblPr>
      <w:tblGrid>
        <w:gridCol w:w="113"/>
        <w:gridCol w:w="4081"/>
        <w:gridCol w:w="566"/>
      </w:tblGrid>
      <w:tr w14:paraId="7D77E0A0">
        <w:tblPrEx>
          <w:tblCellMar>
            <w:top w:w="0" w:type="dxa"/>
            <w:left w:w="108" w:type="dxa"/>
            <w:bottom w:w="0" w:type="dxa"/>
            <w:right w:w="108" w:type="dxa"/>
          </w:tblCellMar>
        </w:tblPrEx>
        <w:trPr>
          <w:trHeight w:val="794" w:hRule="exact"/>
          <w:jc w:val="center"/>
        </w:trPr>
        <w:tc>
          <w:tcPr>
            <w:tcW w:w="113" w:type="dxa"/>
            <w:vAlign w:val="center"/>
          </w:tcPr>
          <w:p w14:paraId="2E4B2560">
            <w:pPr>
              <w:rPr>
                <w:rFonts w:hint="default" w:ascii="Times New Roman" w:hAnsi="Times New Roman" w:cs="Times New Roman"/>
              </w:rPr>
            </w:pPr>
          </w:p>
        </w:tc>
        <w:tc>
          <w:tcPr>
            <w:tcW w:w="4082" w:type="dxa"/>
            <w:vAlign w:val="center"/>
          </w:tcPr>
          <w:p w14:paraId="60BC98D2">
            <w:pPr>
              <w:keepNext w:val="0"/>
              <w:keepLines w:val="0"/>
              <w:pageBreakBefore w:val="0"/>
              <w:widowControl/>
              <w:kinsoku/>
              <w:wordWrap/>
              <w:overflowPunct/>
              <w:topLinePunct w:val="0"/>
              <w:autoSpaceDE/>
              <w:autoSpaceDN/>
              <w:bidi w:val="0"/>
              <w:adjustRightInd/>
              <w:snapToGrid/>
              <w:spacing w:before="0" w:after="100" w:line="240" w:lineRule="exact"/>
              <w:jc w:val="center"/>
              <w:textAlignment w:val="auto"/>
              <w:rPr>
                <w:rFonts w:hint="default" w:ascii="Times New Roman" w:hAnsi="Times New Roman" w:eastAsia="宋体" w:cs="Times New Roman"/>
                <w:lang w:val="en-US" w:eastAsia="zh-CN"/>
              </w:rPr>
            </w:pPr>
            <m:oMathPara>
              <m:oMath>
                <m:sSub>
                  <m:sSubPr>
                    <m:ctrlPr>
                      <w:rPr>
                        <w:rFonts w:hint="default" w:ascii="Cambria Math" w:hAnsi="Cambria Math" w:cs="Times New Roman"/>
                        <w:b w:val="0"/>
                        <w:bCs w:val="0"/>
                        <w:sz w:val="20"/>
                      </w:rPr>
                    </m:ctrlPr>
                  </m:sSubPr>
                  <m:e>
                    <m:r>
                      <m:rPr>
                        <m:nor/>
                      </m:rPr>
                      <w:rPr>
                        <w:rFonts w:hint="default" w:ascii="Times New Roman" w:hAnsi="Times New Roman" w:cs="Times New Roman"/>
                        <w:b w:val="0"/>
                        <w:bCs w:val="0"/>
                        <w:i/>
                        <w:sz w:val="20"/>
                      </w:rPr>
                      <m:t>EENS</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Sub>
                <m:r>
                  <m:rPr>
                    <m:nor/>
                    <m:sty m:val="p"/>
                  </m:rPr>
                  <w:rPr>
                    <w:rFonts w:hint="default" w:ascii="Times New Roman" w:hAnsi="Times New Roman" w:cs="Times New Roman"/>
                    <w:b w:val="0"/>
                    <w:bCs w:val="0"/>
                    <w:i w:val="0"/>
                    <w:sz w:val="20"/>
                  </w:rPr>
                  <m:t>=</m:t>
                </m:r>
                <m:nary>
                  <m:naryPr>
                    <m:chr m:val="∑"/>
                    <m:limLoc m:val="undOvr"/>
                    <m:supHide m:val="1"/>
                    <m:ctrlPr>
                      <w:rPr>
                        <w:rFonts w:hint="default" w:ascii="Cambria Math" w:hAnsi="Cambria Math" w:cs="Times New Roman"/>
                        <w:b w:val="0"/>
                        <w:bCs w:val="0"/>
                        <w:sz w:val="20"/>
                      </w:rPr>
                    </m:ctrlPr>
                  </m:naryPr>
                  <m:sub>
                    <m:r>
                      <m:rPr>
                        <m:nor/>
                      </m:rPr>
                      <w:rPr>
                        <w:rFonts w:hint="default" w:ascii="Times New Roman" w:hAnsi="Times New Roman" w:cs="Times New Roman"/>
                        <w:b w:val="0"/>
                        <w:bCs w:val="0"/>
                        <w:i/>
                        <w:sz w:val="20"/>
                      </w:rPr>
                      <m:t>s</m:t>
                    </m:r>
                    <m:r>
                      <m:rPr>
                        <m:nor/>
                        <m:sty m:val="p"/>
                      </m:rPr>
                      <w:rPr>
                        <w:rFonts w:hint="default" w:ascii="Times New Roman" w:hAnsi="Times New Roman" w:cs="Times New Roman"/>
                        <w:b w:val="0"/>
                        <w:bCs w:val="0"/>
                        <w:i w:val="0"/>
                        <w:sz w:val="20"/>
                      </w:rPr>
                      <m:t>∈</m:t>
                    </m:r>
                    <m:sSub>
                      <m:sSubPr>
                        <m:ctrlPr>
                          <w:rPr>
                            <w:rFonts w:hint="default" w:ascii="Cambria Math" w:hAnsi="Cambria Math" w:cs="Times New Roman"/>
                            <w:b w:val="0"/>
                            <w:bCs w:val="0"/>
                            <w:sz w:val="20"/>
                          </w:rPr>
                        </m:ctrlPr>
                      </m:sSubPr>
                      <m:e>
                        <m:r>
                          <m:rPr/>
                          <w:rPr>
                            <w:rFonts w:ascii="Cambria Math" w:hAnsi="Cambria Math" w:cs="Times New Roman"/>
                            <w:sz w:val="20"/>
                          </w:rPr>
                          <m:t>Ω</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Sub>
                    <m:ctrlPr>
                      <w:rPr>
                        <w:rFonts w:hint="default" w:ascii="Cambria Math" w:hAnsi="Cambria Math" w:cs="Times New Roman"/>
                        <w:b w:val="0"/>
                        <w:bCs w:val="0"/>
                        <w:sz w:val="20"/>
                      </w:rPr>
                    </m:ctrlPr>
                  </m:sub>
                  <m:sup>
                    <m:ctrlPr>
                      <w:rPr>
                        <w:rFonts w:hint="default" w:ascii="Cambria Math" w:hAnsi="Cambria Math" w:cs="Times New Roman"/>
                        <w:b w:val="0"/>
                        <w:bCs w:val="0"/>
                        <w:sz w:val="20"/>
                      </w:rPr>
                    </m:ctrlPr>
                  </m:sup>
                  <m:e>
                    <m:sSub>
                      <m:sSubPr>
                        <m:ctrlPr>
                          <w:rPr>
                            <w:rFonts w:hint="default" w:ascii="Cambria Math" w:hAnsi="Cambria Math" w:cs="Times New Roman"/>
                            <w:b w:val="0"/>
                            <w:bCs w:val="0"/>
                            <w:sz w:val="20"/>
                          </w:rPr>
                        </m:ctrlPr>
                      </m:sSubPr>
                      <m:e>
                        <m:r>
                          <m:rPr>
                            <m:nor/>
                          </m:rPr>
                          <w:rPr>
                            <w:rFonts w:hint="default" w:ascii="Times New Roman" w:hAnsi="Times New Roman" w:cs="Times New Roman"/>
                            <w:b w:val="0"/>
                            <w:bCs w:val="0"/>
                            <w:i/>
                            <w:sz w:val="20"/>
                          </w:rPr>
                          <m:t>p</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s</m:t>
                        </m:r>
                        <m:ctrlPr>
                          <w:rPr>
                            <w:rFonts w:hint="default" w:ascii="Cambria Math" w:hAnsi="Cambria Math" w:cs="Times New Roman"/>
                            <w:b w:val="0"/>
                            <w:bCs w:val="0"/>
                            <w:sz w:val="20"/>
                          </w:rPr>
                        </m:ctrlPr>
                      </m:sub>
                    </m:sSub>
                    <m:ctrlPr>
                      <w:rPr>
                        <w:rFonts w:hint="default" w:ascii="Cambria Math" w:hAnsi="Cambria Math" w:cs="Times New Roman"/>
                        <w:b w:val="0"/>
                        <w:bCs w:val="0"/>
                        <w:sz w:val="20"/>
                      </w:rPr>
                    </m:ctrlPr>
                  </m:e>
                </m:nary>
                <m:sSub>
                  <m:sSubPr>
                    <m:ctrlPr>
                      <w:rPr>
                        <w:rFonts w:hint="default" w:ascii="Cambria Math" w:hAnsi="Cambria Math" w:cs="Times New Roman"/>
                        <w:b w:val="0"/>
                        <w:bCs w:val="0"/>
                        <w:sz w:val="20"/>
                      </w:rPr>
                    </m:ctrlPr>
                  </m:sSubPr>
                  <m:e>
                    <m:r>
                      <m:rPr>
                        <m:nor/>
                        <m:sty m:val="p"/>
                      </m:rPr>
                      <w:rPr>
                        <w:rFonts w:hint="default" w:ascii="Times New Roman" w:hAnsi="Times New Roman" w:cs="Times New Roman"/>
                        <w:b w:val="0"/>
                        <w:bCs w:val="0"/>
                        <w:i w:val="0"/>
                        <w:sz w:val="20"/>
                      </w:rPr>
                      <m:t>h</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s</m:t>
                    </m:r>
                    <m:ctrlPr>
                      <w:rPr>
                        <w:rFonts w:hint="default" w:ascii="Cambria Math" w:hAnsi="Cambria Math" w:cs="Times New Roman"/>
                        <w:b w:val="0"/>
                        <w:bCs w:val="0"/>
                        <w:sz w:val="20"/>
                      </w:rPr>
                    </m:ctrlPr>
                  </m:sub>
                </m:sSub>
                <m:r>
                  <m:rPr>
                    <m:nor/>
                  </m:rPr>
                  <w:rPr>
                    <w:rFonts w:hint="default" w:ascii="Times New Roman" w:hAnsi="Times New Roman" w:cs="Times New Roman"/>
                    <w:b w:val="0"/>
                    <w:bCs w:val="0"/>
                    <w:i/>
                    <w:sz w:val="20"/>
                  </w:rPr>
                  <m:t>max</m:t>
                </m:r>
                <m:r>
                  <m:rPr>
                    <m:nor/>
                    <m:sty m:val="p"/>
                  </m:rPr>
                  <w:rPr>
                    <w:rFonts w:hint="default" w:ascii="Times New Roman" w:hAnsi="Times New Roman" w:cs="Times New Roman"/>
                    <w:b w:val="0"/>
                    <w:bCs w:val="0"/>
                    <w:i w:val="0"/>
                    <w:sz w:val="20"/>
                  </w:rPr>
                  <m:t>{0,</m:t>
                </m:r>
                <m:sSubSup>
                  <m:sSubSupPr>
                    <m:ctrlPr>
                      <w:rPr>
                        <w:rFonts w:hint="default" w:ascii="Cambria Math" w:hAnsi="Cambria Math" w:cs="Times New Roman"/>
                        <w:b w:val="0"/>
                        <w:bCs w:val="0"/>
                        <w:sz w:val="20"/>
                      </w:rPr>
                    </m:ctrlPr>
                  </m:sSubSupPr>
                  <m:e>
                    <m:r>
                      <m:rPr>
                        <m:nor/>
                      </m:rPr>
                      <w:rPr>
                        <w:rFonts w:hint="default" w:ascii="Times New Roman" w:hAnsi="Times New Roman" w:cs="Times New Roman"/>
                        <w:b w:val="0"/>
                        <w:bCs w:val="0"/>
                        <w:i/>
                        <w:sz w:val="20"/>
                      </w:rPr>
                      <m:t>L</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up>
                    <m:r>
                      <m:rPr>
                        <m:nor/>
                      </m:rPr>
                      <w:rPr>
                        <w:rFonts w:hint="default" w:ascii="Times New Roman" w:hAnsi="Times New Roman" w:cs="Times New Roman"/>
                        <w:b w:val="0"/>
                        <w:bCs w:val="0"/>
                        <w:i/>
                        <w:sz w:val="20"/>
                      </w:rPr>
                      <m:t>p</m:t>
                    </m:r>
                    <m:ctrlPr>
                      <w:rPr>
                        <w:rFonts w:hint="default" w:ascii="Cambria Math" w:hAnsi="Cambria Math" w:cs="Times New Roman"/>
                        <w:b w:val="0"/>
                        <w:bCs w:val="0"/>
                        <w:sz w:val="20"/>
                      </w:rPr>
                    </m:ctrlPr>
                  </m:sup>
                </m:sSubSup>
                <m:r>
                  <m:rPr>
                    <m:nor/>
                    <m:sty m:val="p"/>
                  </m:rPr>
                  <w:rPr>
                    <w:rFonts w:hint="default" w:ascii="Times New Roman" w:hAnsi="Times New Roman" w:cs="Times New Roman"/>
                    <w:b w:val="0"/>
                    <w:bCs w:val="0"/>
                    <w:i w:val="0"/>
                    <w:sz w:val="20"/>
                  </w:rPr>
                  <m:t>−</m:t>
                </m:r>
                <m:sSub>
                  <m:sSubPr>
                    <m:ctrlPr>
                      <w:rPr>
                        <w:rFonts w:hint="default" w:ascii="Cambria Math" w:hAnsi="Cambria Math" w:cs="Times New Roman"/>
                        <w:b w:val="0"/>
                        <w:bCs w:val="0"/>
                        <w:sz w:val="20"/>
                      </w:rPr>
                    </m:ctrlPr>
                  </m:sSubPr>
                  <m:e>
                    <m:r>
                      <m:rPr>
                        <m:nor/>
                      </m:rPr>
                      <w:rPr>
                        <w:rFonts w:hint="default" w:ascii="Times New Roman" w:hAnsi="Times New Roman" w:cs="Times New Roman"/>
                        <w:b w:val="0"/>
                        <w:bCs w:val="0"/>
                        <w:i/>
                        <w:sz w:val="20"/>
                      </w:rPr>
                      <m:t>S</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j</m:t>
                    </m:r>
                    <m:r>
                      <m:rPr>
                        <m:nor/>
                        <m:sty m:val="p"/>
                      </m:rPr>
                      <w:rPr>
                        <w:rFonts w:hint="default" w:ascii="Times New Roman" w:hAnsi="Times New Roman" w:cs="Times New Roman"/>
                        <w:b w:val="0"/>
                        <w:bCs w:val="0"/>
                        <w:i w:val="0"/>
                        <w:sz w:val="20"/>
                      </w:rPr>
                      <m:t>,</m:t>
                    </m:r>
                    <m:r>
                      <m:rPr>
                        <m:nor/>
                      </m:rPr>
                      <w:rPr>
                        <w:rFonts w:hint="default" w:ascii="Times New Roman" w:hAnsi="Times New Roman" w:cs="Times New Roman"/>
                        <w:b w:val="0"/>
                        <w:bCs w:val="0"/>
                        <w:i/>
                        <w:sz w:val="20"/>
                      </w:rPr>
                      <m:t>s</m:t>
                    </m:r>
                    <m:ctrlPr>
                      <w:rPr>
                        <w:rFonts w:hint="default" w:ascii="Cambria Math" w:hAnsi="Cambria Math" w:cs="Times New Roman"/>
                        <w:b w:val="0"/>
                        <w:bCs w:val="0"/>
                        <w:sz w:val="20"/>
                      </w:rPr>
                    </m:ctrlPr>
                  </m:sub>
                </m:sSub>
                <m:r>
                  <m:rPr>
                    <m:nor/>
                    <m:sty m:val="p"/>
                  </m:rPr>
                  <w:rPr>
                    <w:rFonts w:hint="default" w:ascii="Times New Roman" w:hAnsi="Times New Roman" w:cs="Times New Roman"/>
                    <w:b w:val="0"/>
                    <w:bCs w:val="0"/>
                    <w:i w:val="0"/>
                    <w:sz w:val="20"/>
                  </w:rPr>
                  <m:t>}</m:t>
                </m:r>
                <m:r>
                  <m:rPr>
                    <m:nor/>
                    <m:sty m:val="p"/>
                  </m:rPr>
                  <w:rPr>
                    <w:rFonts w:hint="default" w:ascii="Times New Roman" w:hAnsi="Times New Roman" w:eastAsia="宋体" w:cs="Times New Roman"/>
                    <w:b w:val="0"/>
                    <w:bCs w:val="0"/>
                    <w:i w:val="0"/>
                    <w:sz w:val="20"/>
                    <w:lang w:val="en-US" w:eastAsia="zh-CN"/>
                  </w:rPr>
                  <m:t xml:space="preserve"> .</m:t>
                </m:r>
              </m:oMath>
            </m:oMathPara>
          </w:p>
        </w:tc>
        <w:tc>
          <w:tcPr>
            <w:tcW w:w="567" w:type="dxa"/>
            <w:vAlign w:val="center"/>
          </w:tcPr>
          <w:p w14:paraId="4CEE077B">
            <w:pPr>
              <w:keepNext w:val="0"/>
              <w:keepLines w:val="0"/>
              <w:pageBreakBefore w:val="0"/>
              <w:widowControl/>
              <w:kinsoku/>
              <w:wordWrap/>
              <w:overflowPunct/>
              <w:topLinePunct w:val="0"/>
              <w:autoSpaceDE/>
              <w:autoSpaceDN/>
              <w:bidi w:val="0"/>
              <w:adjustRightInd/>
              <w:snapToGrid/>
              <w:spacing w:before="0" w:after="0" w:line="240" w:lineRule="exact"/>
              <w:jc w:val="center"/>
              <w:textAlignment w:val="auto"/>
              <w:rPr>
                <w:rFonts w:hint="default" w:ascii="Times New Roman" w:hAnsi="Times New Roman" w:cs="Times New Roman"/>
              </w:rPr>
            </w:pPr>
            <w:r>
              <w:rPr>
                <w:rFonts w:hint="default" w:ascii="Times New Roman" w:hAnsi="Times New Roman" w:eastAsia="Times New Roman" w:cs="Times New Roman"/>
                <w:b w:val="0"/>
                <w:i w:val="0"/>
                <w:smallCaps w:val="0"/>
                <w:sz w:val="20"/>
              </w:rPr>
              <w:t>(5)</w:t>
            </w:r>
          </w:p>
        </w:tc>
      </w:tr>
    </w:tbl>
    <w:p w14:paraId="782DE444">
      <w:pPr>
        <w:spacing w:before="0" w:after="40" w:line="240" w:lineRule="auto"/>
        <w:jc w:val="both"/>
        <w:rPr>
          <w:rFonts w:hint="default" w:ascii="Times New Roman" w:hAnsi="Times New Roman" w:eastAsia="Times New Roman" w:cs="Times New Roman"/>
          <w:b w:val="0"/>
          <w:i w:val="0"/>
          <w:smallCaps w:val="0"/>
          <w:sz w:val="20"/>
        </w:rPr>
      </w:pPr>
      <w:r>
        <w:rPr>
          <w:rFonts w:hint="default" w:ascii="Times New Roman" w:hAnsi="Times New Roman" w:eastAsia="Times New Roman" w:cs="Times New Roman"/>
          <w:b w:val="0"/>
          <w:i w:val="0"/>
          <w:smallCaps w:val="0"/>
          <w:sz w:val="20"/>
        </w:rPr>
        <w:t xml:space="preserve">In (5), </w:t>
      </w:r>
      <m:oMath>
        <m:sSub>
          <m:e>
            <m:r>
              <w:rPr>
                <w:sz w:val="20"/>
                <w:szCs w:val="20"/>
              </w:rPr>
              <m:t>Ω</m:t>
            </m:r>
          </m:e>
          <m:sub>
            <m:r>
              <w:rPr>
                <w:sz w:val="20"/>
                <w:szCs w:val="20"/>
              </w:rPr>
              <m:t>j</m:t>
            </m:r>
          </m:sub>
        </m:sSub>
      </m:oMath>
      <w:r>
        <w:rPr>
          <w:rFonts w:hint="default" w:ascii="Times New Roman" w:hAnsi="Times New Roman" w:eastAsia="Times New Roman" w:cs="Times New Roman"/>
          <w:b w:val="0"/>
          <w:i w:val="0"/>
          <w:smallCaps w:val="0"/>
          <w:sz w:val="20"/>
        </w:rPr>
        <w:t xml:space="preserve"> is the outage-state set, </w:t>
      </w:r>
      <m:oMath>
        <m:sSub>
          <m:e>
            <m:r>
              <w:rPr>
                <w:sz w:val="20"/>
                <w:szCs w:val="20"/>
              </w:rPr>
              <m:t>p</m:t>
            </m:r>
          </m:e>
          <m:sub>
            <m:r>
              <w:rPr>
                <w:sz w:val="20"/>
                <w:szCs w:val="20"/>
              </w:rPr>
              <m:t>s</m:t>
            </m:r>
          </m:sub>
        </m:sSub>
      </m:oMath>
      <w:r>
        <w:rPr>
          <w:rFonts w:hint="default" w:ascii="Times New Roman" w:hAnsi="Times New Roman" w:eastAsia="Times New Roman" w:cs="Times New Roman"/>
          <w:b w:val="0"/>
          <w:i w:val="0"/>
          <w:smallCaps w:val="0"/>
          <w:sz w:val="20"/>
        </w:rPr>
        <w:t xml:space="preserve"> and </w:t>
      </w:r>
      <m:oMath>
        <m:sSub>
          <m:e>
            <m:r>
              <w:rPr>
                <w:sz w:val="20"/>
                <w:szCs w:val="20"/>
              </w:rPr>
              <m:t>h</m:t>
            </m:r>
          </m:e>
          <m:sub>
            <m:r>
              <w:rPr>
                <w:sz w:val="20"/>
                <w:szCs w:val="20"/>
              </w:rPr>
              <m:t>s</m:t>
            </m:r>
          </m:sub>
        </m:sSub>
      </m:oMath>
      <w:r>
        <w:rPr>
          <w:rFonts w:hint="default" w:ascii="Times New Roman" w:hAnsi="Times New Roman" w:eastAsia="Times New Roman" w:cs="Times New Roman"/>
          <w:b w:val="0"/>
          <w:i w:val="0"/>
          <w:smallCaps w:val="0"/>
          <w:sz w:val="20"/>
        </w:rPr>
        <w:t xml:space="preserve"> the probability and duration of state </w:t>
      </w:r>
      <m:oMath>
        <m:r>
          <w:rPr>
            <w:sz w:val="20"/>
            <w:szCs w:val="20"/>
          </w:rPr>
          <m:t>s</m:t>
        </m:r>
      </m:oMath>
      <w:r>
        <w:rPr>
          <w:rFonts w:hint="default" w:ascii="Times New Roman" w:hAnsi="Times New Roman" w:eastAsia="Times New Roman" w:cs="Times New Roman"/>
          <w:b w:val="0"/>
          <w:i w:val="0"/>
          <w:smallCaps w:val="0"/>
          <w:sz w:val="20"/>
        </w:rPr>
        <w:t xml:space="preserve">, and </w:t>
      </w:r>
      <m:oMath>
        <m:sSub>
          <m:e>
            <m:r>
              <w:rPr>
                <w:sz w:val="20"/>
                <w:szCs w:val="20"/>
              </w:rPr>
              <m:t>S</m:t>
            </m:r>
          </m:e>
          <m:sub>
            <m:r>
              <w:rPr>
                <w:sz w:val="20"/>
                <w:szCs w:val="20"/>
              </w:rPr>
              <m:t>j</m:t>
            </m:r>
            <m:r>
              <m:rPr>
                <m:sty m:val="p"/>
              </m:rPr>
              <w:rPr>
                <w:sz w:val="20"/>
                <w:szCs w:val="20"/>
              </w:rPr>
              <m:t>,</m:t>
            </m:r>
            <m:r>
              <w:rPr>
                <w:sz w:val="20"/>
                <w:szCs w:val="20"/>
              </w:rPr>
              <m:t>s</m:t>
            </m:r>
          </m:sub>
        </m:sSub>
      </m:oMath>
      <w:r>
        <w:rPr>
          <w:rFonts w:hint="default" w:ascii="Times New Roman" w:hAnsi="Times New Roman" w:eastAsia="Times New Roman" w:cs="Times New Roman"/>
          <w:b w:val="0"/>
          <w:i w:val="0"/>
          <w:smallCaps w:val="0"/>
          <w:sz w:val="20"/>
        </w:rPr>
        <w:t xml:space="preserve"> the available transformer and tie-line supply.</w:t>
      </w:r>
    </w:p>
    <w:p w14:paraId="0E2F1F8D">
      <w:pPr>
        <w:spacing w:before="0" w:after="40" w:line="240" w:lineRule="auto"/>
        <w:jc w:val="both"/>
        <w:rPr>
          <w:rFonts w:hint="default" w:ascii="Times New Roman" w:hAnsi="Times New Roman" w:cs="Times New Roman"/>
        </w:rPr>
      </w:pPr>
      <w:r>
        <w:rPr>
          <w:rFonts w:hint="default" w:ascii="Times New Roman" w:hAnsi="Times New Roman" w:eastAsia="Times New Roman" w:cs="Times New Roman"/>
          <w:b w:val="0"/>
          <w:i w:val="0"/>
          <w:smallCaps w:val="0"/>
          <w:sz w:val="20"/>
        </w:rPr>
        <w:t>Storage mitigates reverse power flow but is not credited as firm capacity under N-1 contingencies.</w:t>
      </w:r>
    </w:p>
    <w:p w14:paraId="231AA41C">
      <w:pPr>
        <w:spacing w:before="40" w:after="20"/>
        <w:jc w:val="left"/>
        <w:rPr>
          <w:rFonts w:hint="default" w:ascii="Times New Roman" w:hAnsi="Times New Roman" w:cs="Times New Roman"/>
        </w:rPr>
      </w:pPr>
      <w:r>
        <w:rPr>
          <w:rFonts w:hint="default" w:ascii="Times New Roman" w:hAnsi="Times New Roman" w:eastAsia="Times New Roman" w:cs="Times New Roman"/>
          <w:b w:val="0"/>
          <w:i/>
          <w:smallCaps w:val="0"/>
          <w:sz w:val="18"/>
        </w:rPr>
        <w:t>B.  EPG-NSGA-II Procedure</w:t>
      </w:r>
    </w:p>
    <w:p w14:paraId="3E1649FF">
      <w:pPr>
        <w:spacing w:before="0" w:after="0" w:line="240" w:lineRule="auto"/>
        <w:ind w:firstLineChars="150"/>
        <w:jc w:val="both"/>
        <w:rPr>
          <w:rFonts w:hint="eastAsia" w:ascii="Times New Roman" w:hAnsi="Times New Roman" w:eastAsia="宋体" w:cs="Times New Roman"/>
          <w:lang w:val="en-US" w:eastAsia="zh-CN"/>
        </w:rPr>
      </w:pPr>
      <w:r>
        <w:rPr>
          <w:rFonts w:hint="default" w:ascii="Times New Roman" w:hAnsi="Times New Roman" w:eastAsia="Times New Roman" w:cs="Times New Roman"/>
          <w:b w:val="0"/>
          <w:i w:val="0"/>
          <w:smallCaps w:val="0"/>
          <w:sz w:val="20"/>
        </w:rPr>
        <w:t xml:space="preserve">EPG-NSGA-II retains the standard variation, non-dominated sorting, and crowding-distance selection of NSGA-II [4]. It introduces engineering-prior population seeding for initialization and feasibility repair for both the initial and offspring populations. Let </w:t>
      </w:r>
      <m:oMath>
        <m:r>
          <m:rPr>
            <m:nor/>
            <m:sty m:val="p"/>
          </m:rPr>
          <w:rPr>
            <w:sz w:val="20"/>
            <w:szCs w:val="20"/>
          </w:rPr>
          <m:t>clip</m:t>
        </m:r>
        <m:r>
          <m:rPr>
            <m:sty m:val="p"/>
          </m:rPr>
          <w:rPr>
            <w:sz w:val="20"/>
            <w:szCs w:val="20"/>
          </w:rPr>
          <m:t>(</m:t>
        </m:r>
        <m:r>
          <w:rPr>
            <w:sz w:val="20"/>
            <w:szCs w:val="20"/>
          </w:rPr>
          <m:t>x</m:t>
        </m:r>
        <m:r>
          <m:rPr>
            <m:sty m:val="p"/>
          </m:rPr>
          <w:rPr>
            <w:sz w:val="20"/>
            <w:szCs w:val="20"/>
          </w:rPr>
          <m:t>,</m:t>
        </m:r>
        <m:r>
          <w:rPr>
            <w:sz w:val="20"/>
            <w:szCs w:val="20"/>
          </w:rPr>
          <m:t>a</m:t>
        </m:r>
        <m:r>
          <m:rPr>
            <m:sty m:val="p"/>
          </m:rPr>
          <w:rPr>
            <w:sz w:val="20"/>
            <w:szCs w:val="20"/>
          </w:rPr>
          <m:t>,</m:t>
        </m:r>
        <m:r>
          <w:rPr>
            <w:sz w:val="20"/>
            <w:szCs w:val="20"/>
          </w:rPr>
          <m:t>b</m:t>
        </m:r>
        <m:r>
          <m:rPr>
            <m:sty m:val="p"/>
          </m:rPr>
          <w:rPr>
            <w:sz w:val="20"/>
            <w:szCs w:val="20"/>
          </w:rPr>
          <m:t>)</m:t>
        </m:r>
        <m:r>
          <m:rPr>
            <m:sty m:val="p"/>
          </m:rPr>
          <w:rPr>
            <w:sz w:val="20"/>
            <w:szCs w:val="20"/>
          </w:rPr>
          <m:t>=</m:t>
        </m:r>
        <m:r>
          <m:rPr>
            <m:nor/>
            <m:sty m:val="p"/>
          </m:rPr>
          <w:rPr>
            <w:sz w:val="20"/>
            <w:szCs w:val="20"/>
          </w:rPr>
          <m:t>min</m:t>
        </m:r>
        <m:r>
          <m:rPr>
            <m:sty m:val="p"/>
          </m:rPr>
          <w:rPr>
            <w:sz w:val="20"/>
            <w:szCs w:val="20"/>
          </w:rPr>
          <m:t>{</m:t>
        </m:r>
        <m:r>
          <w:rPr>
            <w:sz w:val="20"/>
            <w:szCs w:val="20"/>
          </w:rPr>
          <m:t>b</m:t>
        </m:r>
        <m:r>
          <m:rPr>
            <m:sty m:val="p"/>
          </m:rPr>
          <w:rPr>
            <w:sz w:val="20"/>
            <w:szCs w:val="20"/>
          </w:rPr>
          <m:t>,</m:t>
        </m:r>
        <m:r>
          <m:rPr>
            <m:nor/>
            <m:sty m:val="p"/>
          </m:rPr>
          <w:rPr>
            <w:sz w:val="20"/>
            <w:szCs w:val="20"/>
          </w:rPr>
          <m:t>max</m:t>
        </m:r>
        <m:r>
          <m:rPr>
            <m:sty m:val="p"/>
          </m:rPr>
          <w:rPr>
            <w:sz w:val="20"/>
            <w:szCs w:val="20"/>
          </w:rPr>
          <m:t>{</m:t>
        </m:r>
        <m:r>
          <w:rPr>
            <w:sz w:val="20"/>
            <w:szCs w:val="20"/>
          </w:rPr>
          <m:t>a</m:t>
        </m:r>
        <m:r>
          <m:rPr>
            <m:sty m:val="p"/>
          </m:rPr>
          <w:rPr>
            <w:sz w:val="20"/>
            <w:szCs w:val="20"/>
          </w:rPr>
          <m:t>,</m:t>
        </m:r>
        <m:r>
          <w:rPr>
            <w:sz w:val="20"/>
            <w:szCs w:val="20"/>
          </w:rPr>
          <m:t>x</m:t>
        </m:r>
        <m:r>
          <m:rPr>
            <m:sty m:val="p"/>
          </m:rPr>
          <w:rPr>
            <w:sz w:val="20"/>
            <w:szCs w:val="20"/>
          </w:rPr>
          <m:t>}</m:t>
        </m:r>
        <m:r>
          <m:rPr>
            <m:sty m:val="p"/>
          </m:rPr>
          <w:rPr>
            <w:sz w:val="20"/>
            <w:szCs w:val="20"/>
          </w:rPr>
          <m:t>}</m:t>
        </m:r>
      </m:oMath>
      <w:r>
        <w:rPr>
          <w:rFonts w:hint="default" w:ascii="Times New Roman" w:hAnsi="Times New Roman" w:eastAsia="Times New Roman" w:cs="Times New Roman"/>
          <w:b w:val="0"/>
          <w:i w:val="0"/>
          <w:smallCaps w:val="0"/>
          <w:sz w:val="20"/>
        </w:rPr>
        <w:t xml:space="preserve"> and </w:t>
      </w:r>
      <m:oMath>
        <m:r>
          <m:rPr>
            <m:sty m:val="p"/>
          </m:rPr>
          <w:rPr>
            <w:sz w:val="20"/>
            <w:szCs w:val="20"/>
          </w:rPr>
          <m:t>[</m:t>
        </m:r>
        <m:r>
          <w:rPr>
            <w:sz w:val="20"/>
            <w:szCs w:val="20"/>
          </w:rPr>
          <m:t>x</m:t>
        </m:r>
        <m:sSub>
          <m:e>
            <m:r>
              <m:rPr>
                <m:sty m:val="p"/>
              </m:rPr>
              <w:rPr>
                <w:sz w:val="20"/>
                <w:szCs w:val="20"/>
              </w:rPr>
              <m:t>]</m:t>
            </m:r>
          </m:e>
          <m:sub>
            <m:r>
              <m:rPr>
                <m:sty m:val="p"/>
              </m:rPr>
              <w:rPr>
                <w:sz w:val="20"/>
                <w:szCs w:val="20"/>
              </w:rPr>
              <m:t>+</m:t>
            </m:r>
          </m:sub>
        </m:sSub>
        <m:r>
          <m:rPr>
            <m:sty m:val="p"/>
          </m:rPr>
          <w:rPr>
            <w:sz w:val="20"/>
            <w:szCs w:val="20"/>
          </w:rPr>
          <m:t>=</m:t>
        </m:r>
        <m:r>
          <m:rPr>
            <m:nor/>
            <m:sty m:val="p"/>
          </m:rPr>
          <w:rPr>
            <w:sz w:val="20"/>
            <w:szCs w:val="20"/>
          </w:rPr>
          <m:t>max</m:t>
        </m:r>
        <m:r>
          <m:rPr>
            <m:sty m:val="p"/>
          </m:rPr>
          <w:rPr>
            <w:sz w:val="20"/>
            <w:szCs w:val="20"/>
          </w:rPr>
          <m:t>{</m:t>
        </m:r>
        <m:r>
          <w:rPr>
            <w:sz w:val="20"/>
            <w:szCs w:val="20"/>
          </w:rPr>
          <m:t>0</m:t>
        </m:r>
        <m:r>
          <m:rPr>
            <m:sty m:val="p"/>
          </m:rPr>
          <w:rPr>
            <w:sz w:val="20"/>
            <w:szCs w:val="20"/>
          </w:rPr>
          <m:t>,</m:t>
        </m:r>
        <m:r>
          <w:rPr>
            <w:sz w:val="20"/>
            <w:szCs w:val="20"/>
          </w:rPr>
          <m:t>x</m:t>
        </m:r>
        <m:r>
          <m:rPr>
            <m:sty m:val="p"/>
          </m:rPr>
          <w:rPr>
            <w:sz w:val="20"/>
            <w:szCs w:val="20"/>
          </w:rPr>
          <m:t>}</m:t>
        </m:r>
      </m:oMath>
      <w:r>
        <w:rPr>
          <w:rFonts w:hint="default" w:ascii="Times New Roman" w:hAnsi="Times New Roman" w:eastAsia="Times New Roman" w:cs="Times New Roman"/>
          <w:b w:val="0"/>
          <w:i w:val="0"/>
          <w:smallCaps w:val="0"/>
          <w:sz w:val="20"/>
        </w:rPr>
        <w:t xml:space="preserve">.</w:t>
      </w:r>
    </w:p>
    <w:tbl>
      <w:tblPr>
        <w:tblStyle w:val="32"/>
        <w:tblW w:w="5046" w:type="dxa"/>
        <w:jc w:val="center"/>
        <w:tblLayout w:type="fixed"/>
        <w:tblCellMar>
          <w:top w:w="0" w:type="dxa"/>
          <w:left w:w="108" w:type="dxa"/>
          <w:bottom w:w="0" w:type="dxa"/>
          <w:right w:w="108" w:type="dxa"/>
        </w:tblCellMar>
      </w:tblPr>
      <w:tblGrid>
        <w:gridCol w:w="5046"/>
      </w:tblGrid>
      <w:tr w14:paraId="5CC1FBEA">
        <w:tblPrEx>
          <w:tblCellMar>
            <w:top w:w="0" w:type="dxa"/>
            <w:left w:w="108" w:type="dxa"/>
            <w:bottom w:w="0" w:type="dxa"/>
            <w:right w:w="108" w:type="dxa"/>
          </w:tblCellMar>
        </w:tblPrEx>
        <w:trPr>
          <w:cantSplit/>
          <w:trHeight w:val="397" w:hRule="atLeast"/>
          <w:jc w:val="center"/>
        </w:trPr>
        <w:tc>
          <w:tcPr>
            <w:tcW w:w="5046" w:type="dxa"/>
            <w:tcBorders>
              <w:top w:val="single" w:color="000000" w:sz="12" w:space="0"/>
              <w:bottom w:val="single" w:color="000000" w:sz="4" w:space="0"/>
            </w:tcBorders>
            <w:vAlign w:val="center"/>
          </w:tcPr>
          <w:p w14:paraId="40F8AFD9">
            <w:pPr>
              <w:keepNext/>
              <w:spacing w:before="20" w:after="20"/>
              <w:jc w:val="both"/>
              <w:rPr>
                <w:rFonts w:hint="default" w:ascii="Times New Roman" w:hAnsi="Times New Roman" w:cs="Times New Roman"/>
              </w:rPr>
            </w:pPr>
            <w:r>
              <w:rPr>
                <w:rFonts w:hint="default" w:ascii="Times New Roman" w:hAnsi="Times New Roman" w:eastAsia="Times New Roman" w:cs="Times New Roman"/>
                <w:b/>
                <w:i w:val="0"/>
                <w:smallCaps w:val="0"/>
                <w:sz w:val="16"/>
              </w:rPr>
              <w:t>Algorithm 1  Engineering-Prior Seeding and Feasibility Repair</w:t>
            </w:r>
            <w:r>
              <w:rPr>
                <w:rFonts w:hint="default" w:ascii="Times New Roman" w:hAnsi="Times New Roman" w:eastAsia="宋体" w:cs="Times New Roman"/>
                <w:b/>
                <w:i w:val="0"/>
                <w:smallCaps w:val="0"/>
                <w:sz w:val="16"/>
                <w:lang w:val="en-US" w:eastAsia="zh-CN"/>
              </w:rPr>
            </w:r>
            <w:r>
              <w:rPr>
                <w:rFonts w:hint="default" w:ascii="Times New Roman" w:hAnsi="Times New Roman" w:eastAsia="Times New Roman" w:cs="Times New Roman"/>
                <w:b w:val="0"/>
                <w:i w:val="0"/>
                <w:smallCaps w:val="0"/>
                <w:sz w:val="16"/>
              </w:rPr>
            </w:r>
          </w:p>
        </w:tc>
      </w:tr>
      <w:tr w14:paraId="7F0960E3">
        <w:tblPrEx>
          <w:tblCellMar>
            <w:top w:w="0" w:type="dxa"/>
            <w:left w:w="108" w:type="dxa"/>
            <w:bottom w:w="0" w:type="dxa"/>
            <w:right w:w="108" w:type="dxa"/>
          </w:tblCellMar>
        </w:tblPrEx>
        <w:trPr>
          <w:cantSplit/>
          <w:trHeight w:val="397" w:hRule="atLeast"/>
          <w:jc w:val="center"/>
        </w:trPr>
        <w:tc>
          <w:tcPr>
            <w:tcW w:w="5046" w:type="dxa"/>
            <w:tcBorders>
              <w:bottom w:val="single" w:color="000000" w:sz="12" w:space="0"/>
            </w:tcBorders>
          </w:tcPr>
          <w:p w14:paraId="4F6625A4">
            <w:pPr>
              <w:spacing w:before="0" w:after="0" w:line="240" w:lineRule="auto"/>
              <w:ind w:left="300" w:hanging="300"/>
              <w:rPr>
                <w:rFonts w:hint="default" w:ascii="Times New Roman" w:hAnsi="Times New Roman" w:cs="Times New Roman"/>
              </w:rPr>
            </w:pPr>
            <w:r>
              <w:rPr>
                <w:rFonts w:ascii="Times New Roman" w:hAnsi="Times New Roman"/>
                <w:b/>
                <w:sz w:val="15"/>
                <w:szCs w:val="15"/>
              </w:rPr>
              <w:t xml:space="preserve">Input:</w:t>
            </w:r>
            <w:r>
              <w:rPr>
                <w:rFonts w:ascii="Times New Roman" w:hAnsi="Times New Roman"/>
                <w:sz w:val="15"/>
                <w:szCs w:val="15"/>
              </w:rPr>
              <w:t xml:space="preserve"> planning data </w:t>
            </w:r>
            <m:oMath>
              <m:r>
                <w:rPr>
                  <w:sz w:val="15"/>
                  <w:szCs w:val="15"/>
                </w:rPr>
                <m:t>D</m:t>
              </m:r>
            </m:oMath>
            <w:r>
              <w:rPr>
                <w:rFonts w:ascii="Times New Roman" w:hAnsi="Times New Roman"/>
                <w:sz w:val="15"/>
                <w:szCs w:val="15"/>
              </w:rPr>
              <w:t xml:space="preserve">, population size </w:t>
            </w:r>
            <m:oMath>
              <m:r>
                <w:rPr>
                  <w:sz w:val="15"/>
                  <w:szCs w:val="15"/>
                </w:rPr>
                <m:t>N</m:t>
              </m:r>
            </m:oMath>
            <w:r>
              <w:rPr>
                <w:rFonts w:ascii="Times New Roman" w:hAnsi="Times New Roman"/>
                <w:sz w:val="15"/>
                <w:szCs w:val="15"/>
              </w:rPr>
              <w:t xml:space="preserve">, and variable bounds.</w:t>
            </w:r>
          </w:p>
          <w:p w14:paraId="5B51D7F6">
            <w:pPr>
              <w:spacing w:before="0" w:after="0" w:line="240" w:lineRule="auto"/>
              <w:ind w:left="300" w:hanging="300"/>
              <w:rPr>
                <w:rFonts w:hint="default" w:ascii="Times New Roman" w:hAnsi="Times New Roman" w:cs="Times New Roman"/>
              </w:rPr>
            </w:pPr>
            <w:r>
              <w:rPr>
                <w:rFonts w:ascii="Times New Roman" w:hAnsi="Times New Roman"/>
                <w:b/>
                <w:sz w:val="15"/>
                <w:szCs w:val="15"/>
              </w:rPr>
              <w:t xml:space="preserve">Output:</w:t>
            </w:r>
            <w:r>
              <w:rPr>
                <w:rFonts w:ascii="Times New Roman" w:hAnsi="Times New Roman"/>
                <w:sz w:val="15"/>
                <w:szCs w:val="15"/>
              </w:rPr>
              <w:t xml:space="preserve"> repaired initial population </w:t>
            </w:r>
            <m:oMath>
              <m:sSub>
                <m:e>
                  <m:r>
                    <m:rPr>
                      <m:sty m:val="p"/>
                      <m:scr m:val="script"/>
                    </m:rPr>
                    <w:rPr>
                      <w:sz w:val="15"/>
                      <w:szCs w:val="15"/>
                    </w:rPr>
                    <m:t>P</m:t>
                  </m:r>
                </m:e>
                <m:sub>
                  <m:r>
                    <w:rPr>
                      <w:sz w:val="15"/>
                      <w:szCs w:val="15"/>
                    </w:rPr>
                    <m:t>0</m:t>
                  </m:r>
                </m:sub>
              </m:sSub>
            </m:oMath>
            <w:r>
              <w:rPr>
                <w:rFonts w:ascii="Times New Roman" w:hAnsi="Times New Roman"/>
                <w:sz w:val="15"/>
                <w:szCs w:val="15"/>
              </w:rPr>
              <w:t xml:space="preserve">.</w:t>
            </w:r>
          </w:p>
          <w:p w14:paraId="201A411E">
            <w:pPr>
              <w:spacing w:before="0" w:after="0" w:line="240" w:lineRule="auto"/>
              <w:ind w:left="300" w:hanging="300"/>
              <w:rPr>
                <w:rFonts w:hint="default" w:ascii="Times New Roman" w:hAnsi="Times New Roman" w:cs="Times New Roman"/>
              </w:rPr>
            </w:pPr>
            <w:r>
              <w:rPr>
                <w:rFonts w:ascii="Times New Roman" w:hAnsi="Times New Roman"/>
                <w:sz w:val="15"/>
                <w:szCs w:val="15"/>
              </w:rPr>
              <w:t xml:space="preserve">1: </w:t>
            </w:r>
            <m:oMath>
              <m:sSub>
                <m:e>
                  <m:r>
                    <m:rPr>
                      <m:sty m:val="p"/>
                      <m:scr m:val="script"/>
                    </m:rPr>
                    <w:rPr>
                      <w:sz w:val="15"/>
                      <w:szCs w:val="15"/>
                    </w:rPr>
                    <m:t>P</m:t>
                  </m:r>
                </m:e>
                <m:sub>
                  <m:r>
                    <w:rPr>
                      <w:sz w:val="15"/>
                      <w:szCs w:val="15"/>
                    </w:rPr>
                    <m:t>0</m:t>
                  </m:r>
                </m:sub>
              </m:sSub>
              <m:r>
                <m:rPr>
                  <m:sty m:val="p"/>
                </m:rPr>
                <w:rPr>
                  <w:sz w:val="15"/>
                  <w:szCs w:val="15"/>
                </w:rPr>
                <m:t>←</m:t>
              </m:r>
              <m:r>
                <m:rPr>
                  <m:sty m:val="p"/>
                </m:rPr>
                <w:rPr>
                  <w:sz w:val="15"/>
                  <w:szCs w:val="15"/>
                </w:rPr>
                <m:t>⌀</m:t>
              </m:r>
            </m:oMath>
          </w:p>
          <w:p w14:paraId="59E0DA40">
            <w:pPr>
              <w:spacing w:before="0" w:after="0" w:line="240" w:lineRule="auto"/>
              <w:ind w:left="300" w:hanging="300"/>
              <w:rPr>
                <w:rFonts w:hint="default" w:ascii="Times New Roman" w:hAnsi="Times New Roman" w:cs="Times New Roman"/>
              </w:rPr>
            </w:pPr>
            <w:r>
              <w:rPr>
                <w:rFonts w:ascii="Times New Roman" w:hAnsi="Times New Roman"/>
                <w:sz w:val="15"/>
                <w:szCs w:val="15"/>
              </w:rPr>
              <w:t xml:space="preserve">2: </w:t>
            </w:r>
            <w:r>
              <w:rPr>
                <w:rFonts w:ascii="Times New Roman" w:hAnsi="Times New Roman"/>
                <w:b/>
                <w:sz w:val="15"/>
                <w:szCs w:val="15"/>
              </w:rPr>
              <w:t xml:space="preserve">for </w:t>
            </w:r>
            <m:oMath>
              <m:r>
                <w:rPr>
                  <w:sz w:val="15"/>
                  <w:szCs w:val="15"/>
                </w:rPr>
                <m:t>i</m:t>
              </m:r>
              <m:r>
                <m:rPr>
                  <m:sty m:val="p"/>
                </m:rPr>
                <w:rPr>
                  <w:sz w:val="15"/>
                  <w:szCs w:val="15"/>
                </w:rPr>
                <m:t>=</m:t>
              </m:r>
              <m:r>
                <w:rPr>
                  <w:sz w:val="15"/>
                  <w:szCs w:val="15"/>
                </w:rPr>
                <m:t>1</m:t>
              </m:r>
              <m:r>
                <m:rPr>
                  <m:sty m:val="p"/>
                </m:rPr>
                <w:rPr>
                  <w:sz w:val="15"/>
                  <w:szCs w:val="15"/>
                </w:rPr>
                <m:t>,</m:t>
              </m:r>
              <m:r>
                <m:rPr>
                  <m:sty m:val="p"/>
                </m:rPr>
                <w:rPr>
                  <w:sz w:val="15"/>
                  <w:szCs w:val="15"/>
                </w:rPr>
                <m:t>…</m:t>
              </m:r>
              <m:r>
                <m:rPr>
                  <m:sty m:val="p"/>
                </m:rPr>
                <w:rPr>
                  <w:sz w:val="15"/>
                  <w:szCs w:val="15"/>
                </w:rPr>
                <m:t>,</m:t>
              </m:r>
              <m:r>
                <w:rPr>
                  <w:sz w:val="15"/>
                  <w:szCs w:val="15"/>
                </w:rPr>
                <m:t>N</m:t>
              </m:r>
            </m:oMath>
            <w:r>
              <w:rPr>
                <w:rFonts w:ascii="Times New Roman" w:hAnsi="Times New Roman"/>
                <w:b/>
                <w:sz w:val="15"/>
                <w:szCs w:val="15"/>
              </w:rPr>
              <w:t xml:space="preserve"> do</w:t>
            </w:r>
          </w:p>
          <w:p w14:paraId="58A0777D">
            <w:pPr>
              <w:spacing w:before="0" w:after="0" w:line="240" w:lineRule="auto"/>
              <w:ind w:left="300" w:hanging="300"/>
              <w:rPr>
                <w:rFonts w:hint="default" w:ascii="Times New Roman" w:hAnsi="Times New Roman" w:cs="Times New Roman"/>
              </w:rPr>
            </w:pPr>
            <w:r>
              <w:rPr>
                <w:rFonts w:ascii="Times New Roman" w:hAnsi="Times New Roman"/>
                <w:sz w:val="15"/>
                <w:szCs w:val="15"/>
              </w:rPr>
              <w:t xml:space="preserve">3:  </w:t>
            </w:r>
            <m:oMath>
              <m:sSub>
                <m:e>
                  <m:acc>
                    <m:accPr>
                      <m:chr m:val="̃"/>
                    </m:accPr>
                    <m:e>
                      <m:r>
                        <m:rPr>
                          <m:sty m:val="b"/>
                        </m:rPr>
                        <w:rPr>
                          <w:sz w:val="15"/>
                          <w:szCs w:val="15"/>
                        </w:rPr>
                        <m:t>R</m:t>
                      </m:r>
                    </m:e>
                  </m:acc>
                </m:e>
                <m:sub>
                  <m:r>
                    <w:rPr>
                      <w:sz w:val="15"/>
                      <w:szCs w:val="15"/>
                    </w:rPr>
                    <m:t>i</m:t>
                  </m:r>
                </m:sub>
              </m:sSub>
              <m:r>
                <m:rPr>
                  <m:sty m:val="p"/>
                </m:rPr>
                <w:rPr>
                  <w:sz w:val="15"/>
                  <w:szCs w:val="15"/>
                </w:rPr>
                <m:t>∼</m:t>
              </m:r>
              <m:r>
                <m:rPr>
                  <m:sty m:val="p"/>
                  <m:scr m:val="script"/>
                </m:rPr>
                <w:rPr>
                  <w:sz w:val="15"/>
                  <w:szCs w:val="15"/>
                </w:rPr>
                <m:t>U</m:t>
              </m:r>
              <m:r>
                <m:rPr>
                  <m:sty m:val="p"/>
                </m:rPr>
                <w:rPr>
                  <w:sz w:val="15"/>
                  <w:szCs w:val="15"/>
                </w:rPr>
                <m:t>(</m:t>
              </m:r>
              <m:r>
                <m:rPr>
                  <m:sty m:val="p"/>
                </m:rPr>
                <w:rPr>
                  <w:sz w:val="15"/>
                  <w:szCs w:val="15"/>
                </w:rPr>
                <m:t>[</m:t>
              </m:r>
              <m:sSub>
                <m:e>
                  <m:r>
                    <w:rPr>
                      <w:sz w:val="15"/>
                      <w:szCs w:val="15"/>
                    </w:rPr>
                    <m:t>R</m:t>
                  </m:r>
                </m:e>
                <m:sub>
                  <m:r>
                    <m:rPr>
                      <m:nor/>
                      <m:sty m:val="p"/>
                    </m:rPr>
                    <w:rPr>
                      <w:sz w:val="15"/>
                      <w:szCs w:val="15"/>
                    </w:rPr>
                    <m:t>min</m:t>
                  </m:r>
                </m:sub>
              </m:sSub>
              <m:r>
                <m:rPr>
                  <m:sty m:val="p"/>
                </m:rPr>
                <w:rPr>
                  <w:sz w:val="15"/>
                  <w:szCs w:val="15"/>
                </w:rPr>
                <m:t>,</m:t>
              </m:r>
              <m:sSub>
                <m:e>
                  <m:r>
                    <w:rPr>
                      <w:sz w:val="15"/>
                      <w:szCs w:val="15"/>
                    </w:rPr>
                    <m:t>R</m:t>
                  </m:r>
                </m:e>
                <m:sub>
                  <m:r>
                    <m:rPr>
                      <m:nor/>
                      <m:sty m:val="p"/>
                    </m:rPr>
                    <w:rPr>
                      <w:sz w:val="15"/>
                      <w:szCs w:val="15"/>
                    </w:rPr>
                    <m:t>max</m:t>
                  </m:r>
                </m:sub>
              </m:sSub>
              <m:r>
                <m:rPr>
                  <m:sty m:val="p"/>
                </m:rPr>
                <w:rPr>
                  <w:sz w:val="15"/>
                  <w:szCs w:val="15"/>
                </w:rPr>
                <m:t>]</m:t>
              </m:r>
              <m:r>
                <m:rPr>
                  <m:sty m:val="p"/>
                </m:rPr>
                <w:rPr>
                  <w:sz w:val="15"/>
                  <w:szCs w:val="15"/>
                </w:rPr>
                <m:t>)</m:t>
              </m:r>
            </m:oMath>
          </w:p>
          <w:p w14:paraId="2C79067A">
            <w:pPr>
              <w:spacing w:before="0" w:after="0" w:line="240" w:lineRule="auto"/>
              <w:ind w:left="300" w:hanging="300"/>
              <w:rPr>
                <w:rFonts w:hint="default" w:ascii="Times New Roman" w:hAnsi="Times New Roman" w:cs="Times New Roman"/>
              </w:rPr>
            </w:pPr>
            <w:r>
              <w:rPr>
                <w:rFonts w:ascii="Times New Roman" w:hAnsi="Times New Roman"/>
                <w:sz w:val="15"/>
                <w:szCs w:val="15"/>
              </w:rPr>
              <w:t xml:space="preserve">4:  </w:t>
            </w:r>
            <m:oMath>
              <m:sSub>
                <m:e>
                  <m:r>
                    <m:rPr>
                      <m:sty m:val="b"/>
                    </m:rPr>
                    <w:rPr>
                      <w:sz w:val="15"/>
                      <w:szCs w:val="15"/>
                    </w:rPr>
                    <m:t>R</m:t>
                  </m:r>
                </m:e>
                <m:sub>
                  <m:r>
                    <w:rPr>
                      <w:sz w:val="15"/>
                      <w:szCs w:val="15"/>
                    </w:rPr>
                    <m:t>i</m:t>
                  </m:r>
                </m:sub>
              </m:sSub>
              <m:r>
                <m:rPr>
                  <m:sty m:val="p"/>
                </m:rPr>
                <w:rPr>
                  <w:sz w:val="15"/>
                  <w:szCs w:val="15"/>
                </w:rPr>
                <m:t>←</m:t>
              </m:r>
            </m:oMath>
            <w:r>
              <w:rPr>
                <w:rFonts w:ascii="Times New Roman" w:hAnsi="Times New Roman"/>
                <w:sz w:val="15"/>
                <w:szCs w:val="15"/>
              </w:rPr>
              <w:t xml:space="preserve"> AggregateCLRAdjust(</w:t>
            </w:r>
            <m:oMath>
              <m:sSub>
                <m:e>
                  <m:acc>
                    <m:accPr>
                      <m:chr m:val="̃"/>
                    </m:accPr>
                    <m:e>
                      <m:r>
                        <m:rPr>
                          <m:sty m:val="b"/>
                        </m:rPr>
                        <w:rPr>
                          <w:sz w:val="15"/>
                          <w:szCs w:val="15"/>
                        </w:rPr>
                        <m:t>R</m:t>
                      </m:r>
                    </m:e>
                  </m:acc>
                </m:e>
                <m:sub>
                  <m:r>
                    <w:rPr>
                      <w:sz w:val="15"/>
                      <w:szCs w:val="15"/>
                    </w:rPr>
                    <m:t>i</m:t>
                  </m:r>
                </m:sub>
              </m:sSub>
            </m:oMath>
            <w:r>
              <w:rPr>
                <w:rFonts w:ascii="Times New Roman" w:hAnsi="Times New Roman"/>
                <w:sz w:val="15"/>
                <w:szCs w:val="15"/>
              </w:rPr>
              <w:t xml:space="preserve">)</w:t>
            </w:r>
          </w:p>
          <w:p w14:paraId="06DBB06D">
            <w:pPr>
              <w:spacing w:before="0" w:after="0" w:line="240" w:lineRule="auto"/>
              <w:ind w:left="300" w:hanging="300"/>
              <w:rPr>
                <w:rFonts w:hint="default" w:ascii="Times New Roman" w:hAnsi="Times New Roman" w:cs="Times New Roman"/>
              </w:rPr>
            </w:pPr>
            <w:r>
              <w:rPr>
                <w:rFonts w:ascii="Times New Roman" w:hAnsi="Times New Roman"/>
                <w:sz w:val="15"/>
                <w:szCs w:val="15"/>
              </w:rPr>
              <w:t xml:space="preserve">5:  </w:t>
            </w:r>
            <m:oMath>
              <m:sSub>
                <m:e>
                  <m:r>
                    <m:rPr>
                      <m:sty m:val="b"/>
                    </m:rPr>
                    <w:rPr>
                      <w:sz w:val="15"/>
                      <w:szCs w:val="15"/>
                    </w:rPr>
                    <m:t>P</m:t>
                  </m:r>
                </m:e>
                <m:sub>
                  <m:r>
                    <w:rPr>
                      <w:sz w:val="15"/>
                      <w:szCs w:val="15"/>
                    </w:rPr>
                    <m:t>i</m:t>
                  </m:r>
                </m:sub>
              </m:sSub>
              <m:r>
                <m:rPr>
                  <m:sty m:val="p"/>
                </m:rPr>
                <w:rPr>
                  <w:sz w:val="15"/>
                  <w:szCs w:val="15"/>
                </w:rPr>
                <m:t>←</m:t>
              </m:r>
              <m:r>
                <m:rPr>
                  <m:sty m:val="b"/>
                </m:rPr>
                <w:rPr>
                  <w:sz w:val="15"/>
                  <w:szCs w:val="15"/>
                </w:rPr>
                <m:t>0</m:t>
              </m:r>
            </m:oMath>
            <w:r>
              <w:rPr>
                <w:rFonts w:ascii="Times New Roman" w:hAnsi="Times New Roman"/>
                <w:sz w:val="15"/>
                <w:szCs w:val="15"/>
              </w:rPr>
              <w:t xml:space="preserve">  (storage sized in FeasibilityRepair)</w:t>
            </w:r>
          </w:p>
          <w:p w14:paraId="7DDC27AF">
            <w:pPr>
              <w:spacing w:before="0" w:after="0" w:line="240" w:lineRule="auto"/>
              <w:ind w:left="300" w:hanging="300"/>
              <w:rPr>
                <w:rFonts w:hint="default" w:ascii="Times New Roman" w:hAnsi="Times New Roman" w:cs="Times New Roman"/>
              </w:rPr>
            </w:pPr>
            <w:r>
              <w:rPr>
                <w:rFonts w:ascii="Times New Roman" w:hAnsi="Times New Roman"/>
                <w:sz w:val="15"/>
                <w:szCs w:val="15"/>
              </w:rPr>
              <w:t xml:space="preserve">6:  </w:t>
            </w:r>
            <m:oMath>
              <m:sSub>
                <m:e>
                  <m:r>
                    <m:rPr>
                      <m:sty m:val="b"/>
                    </m:rPr>
                    <w:rPr>
                      <w:sz w:val="15"/>
                      <w:szCs w:val="15"/>
                    </w:rPr>
                    <m:t>x</m:t>
                  </m:r>
                </m:e>
                <m:sub>
                  <m:r>
                    <w:rPr>
                      <w:sz w:val="15"/>
                      <w:szCs w:val="15"/>
                    </w:rPr>
                    <m:t>i</m:t>
                  </m:r>
                </m:sub>
              </m:sSub>
              <m:r>
                <m:rPr>
                  <m:sty m:val="p"/>
                </m:rPr>
                <w:rPr>
                  <w:sz w:val="15"/>
                  <w:szCs w:val="15"/>
                </w:rPr>
                <m:t>←</m:t>
              </m:r>
            </m:oMath>
            <w:r>
              <w:rPr>
                <w:rFonts w:ascii="Times New Roman" w:hAnsi="Times New Roman"/>
                <w:sz w:val="15"/>
                <w:szCs w:val="15"/>
              </w:rPr>
              <w:t xml:space="preserve"> FeasibilityRepair(</w:t>
            </w:r>
            <m:oMath>
              <m:sSub>
                <m:e>
                  <m:r>
                    <m:rPr>
                      <m:sty m:val="b"/>
                    </m:rPr>
                    <w:rPr>
                      <w:sz w:val="15"/>
                      <w:szCs w:val="15"/>
                    </w:rPr>
                    <m:t>R</m:t>
                  </m:r>
                </m:e>
                <m:sub>
                  <m:r>
                    <w:rPr>
                      <w:sz w:val="15"/>
                      <w:szCs w:val="15"/>
                    </w:rPr>
                    <m:t>i</m:t>
                  </m:r>
                </m:sub>
              </m:sSub>
              <m:r>
                <m:rPr>
                  <m:sty m:val="p"/>
                </m:rPr>
                <w:rPr>
                  <w:sz w:val="15"/>
                  <w:szCs w:val="15"/>
                </w:rPr>
                <m:t>,</m:t>
              </m:r>
              <m:sSub>
                <m:e>
                  <m:r>
                    <m:rPr>
                      <m:sty m:val="b"/>
                    </m:rPr>
                    <w:rPr>
                      <w:sz w:val="15"/>
                      <w:szCs w:val="15"/>
                    </w:rPr>
                    <m:t>P</m:t>
                  </m:r>
                </m:e>
                <m:sub>
                  <m:r>
                    <w:rPr>
                      <w:sz w:val="15"/>
                      <w:szCs w:val="15"/>
                    </w:rPr>
                    <m:t>i</m:t>
                  </m:r>
                </m:sub>
              </m:sSub>
            </m:oMath>
            <w:r>
              <w:rPr>
                <w:rFonts w:ascii="Times New Roman" w:hAnsi="Times New Roman"/>
                <w:sz w:val="15"/>
                <w:szCs w:val="15"/>
              </w:rPr>
              <w:t xml:space="preserve">)</w:t>
            </w:r>
          </w:p>
          <w:p w14:paraId="5AFDC8D4">
            <w:pPr>
              <w:spacing w:before="0" w:after="0" w:line="240" w:lineRule="auto"/>
              <w:ind w:left="300" w:hanging="300"/>
              <w:rPr>
                <w:rFonts w:hint="default" w:ascii="Times New Roman" w:hAnsi="Times New Roman" w:cs="Times New Roman"/>
              </w:rPr>
            </w:pPr>
            <w:r>
              <w:rPr>
                <w:rFonts w:ascii="Times New Roman" w:hAnsi="Times New Roman"/>
                <w:sz w:val="15"/>
                <w:szCs w:val="15"/>
              </w:rPr>
              <w:t xml:space="preserve">7:  </w:t>
            </w:r>
            <m:oMath>
              <m:sSub>
                <m:e>
                  <m:r>
                    <m:rPr>
                      <m:sty m:val="p"/>
                      <m:scr m:val="script"/>
                    </m:rPr>
                    <w:rPr>
                      <w:sz w:val="15"/>
                      <w:szCs w:val="15"/>
                    </w:rPr>
                    <m:t>P</m:t>
                  </m:r>
                </m:e>
                <m:sub>
                  <m:r>
                    <w:rPr>
                      <w:sz w:val="15"/>
                      <w:szCs w:val="15"/>
                    </w:rPr>
                    <m:t>0</m:t>
                  </m:r>
                </m:sub>
              </m:sSub>
              <m:r>
                <m:rPr>
                  <m:sty m:val="p"/>
                </m:rPr>
                <w:rPr>
                  <w:sz w:val="15"/>
                  <w:szCs w:val="15"/>
                </w:rPr>
                <m:t>←</m:t>
              </m:r>
              <m:sSub>
                <m:e>
                  <m:r>
                    <m:rPr>
                      <m:sty m:val="p"/>
                      <m:scr m:val="script"/>
                    </m:rPr>
                    <w:rPr>
                      <w:sz w:val="15"/>
                      <w:szCs w:val="15"/>
                    </w:rPr>
                    <m:t>P</m:t>
                  </m:r>
                </m:e>
                <m:sub>
                  <m:r>
                    <w:rPr>
                      <w:sz w:val="15"/>
                      <w:szCs w:val="15"/>
                    </w:rPr>
                    <m:t>0</m:t>
                  </m:r>
                </m:sub>
              </m:sSub>
              <m:r>
                <m:rPr>
                  <m:sty m:val="p"/>
                </m:rPr>
                <w:rPr>
                  <w:sz w:val="15"/>
                  <w:szCs w:val="15"/>
                </w:rPr>
                <m:t>∪</m:t>
              </m:r>
              <m:r>
                <m:rPr>
                  <m:sty m:val="p"/>
                </m:rPr>
                <w:rPr>
                  <w:sz w:val="15"/>
                  <w:szCs w:val="15"/>
                </w:rPr>
                <m:t>{</m:t>
              </m:r>
              <m:sSub>
                <m:e>
                  <m:r>
                    <m:rPr>
                      <m:sty m:val="b"/>
                    </m:rPr>
                    <w:rPr>
                      <w:sz w:val="15"/>
                      <w:szCs w:val="15"/>
                    </w:rPr>
                    <m:t>x</m:t>
                  </m:r>
                </m:e>
                <m:sub>
                  <m:r>
                    <w:rPr>
                      <w:sz w:val="15"/>
                      <w:szCs w:val="15"/>
                    </w:rPr>
                    <m:t>i</m:t>
                  </m:r>
                </m:sub>
              </m:sSub>
              <m:r>
                <m:rPr>
                  <m:sty m:val="p"/>
                </m:rPr>
                <w:rPr>
                  <w:sz w:val="15"/>
                  <w:szCs w:val="15"/>
                </w:rPr>
                <m:t>}</m:t>
              </m:r>
            </m:oMath>
          </w:p>
          <w:p w14:paraId="44BD3F01">
            <w:pPr>
              <w:spacing w:before="0" w:after="0" w:line="240" w:lineRule="auto"/>
              <w:ind w:left="300" w:hanging="300"/>
              <w:rPr>
                <w:rFonts w:hint="default" w:ascii="Times New Roman" w:hAnsi="Times New Roman" w:cs="Times New Roman"/>
              </w:rPr>
            </w:pPr>
            <w:r>
              <w:rPr>
                <w:rFonts w:ascii="Times New Roman" w:hAnsi="Times New Roman"/>
                <w:sz w:val="15"/>
                <w:szCs w:val="15"/>
              </w:rPr>
              <w:t xml:space="preserve">8: </w:t>
            </w:r>
            <w:r>
              <w:rPr>
                <w:rFonts w:ascii="Times New Roman" w:hAnsi="Times New Roman"/>
                <w:b/>
                <w:sz w:val="15"/>
                <w:szCs w:val="15"/>
              </w:rPr>
              <w:t xml:space="preserve">end for</w:t>
            </w:r>
          </w:p>
          <w:p w14:paraId="15908170">
            <w:pPr>
              <w:spacing w:before="0" w:after="0" w:line="240" w:lineRule="auto"/>
              <w:ind w:left="300" w:hanging="300"/>
              <w:rPr>
                <w:rFonts w:hint="default" w:ascii="Times New Roman" w:hAnsi="Times New Roman" w:cs="Times New Roman"/>
              </w:rPr>
            </w:pPr>
            <w:r>
              <w:rPr>
                <w:rFonts w:ascii="Times New Roman" w:hAnsi="Times New Roman"/>
                <w:sz w:val="15"/>
                <w:szCs w:val="15"/>
              </w:rPr>
              <w:t xml:space="preserve">9: </w:t>
            </w:r>
            <w:r>
              <w:rPr>
                <w:rFonts w:ascii="Times New Roman" w:hAnsi="Times New Roman"/>
                <w:b/>
                <w:sz w:val="15"/>
                <w:szCs w:val="15"/>
              </w:rPr>
              <w:t xml:space="preserve">return </w:t>
            </w:r>
            <m:oMath>
              <m:sSub>
                <m:e>
                  <m:r>
                    <m:rPr>
                      <m:sty m:val="p"/>
                      <m:scr m:val="script"/>
                    </m:rPr>
                    <w:rPr>
                      <w:sz w:val="15"/>
                      <w:szCs w:val="15"/>
                    </w:rPr>
                    <m:t>P</m:t>
                  </m:r>
                </m:e>
                <m:sub>
                  <m:r>
                    <w:rPr>
                      <w:sz w:val="15"/>
                      <w:szCs w:val="15"/>
                    </w:rPr>
                    <m:t>0</m:t>
                  </m:r>
                </m:sub>
              </m:sSub>
            </m:oMath>
          </w:p>
          <w:p w14:paraId="3B9B3512">
            <w:pPr>
              <w:spacing w:before="0" w:after="0" w:line="240" w:lineRule="auto"/>
              <w:ind w:left="300" w:hanging="300"/>
              <w:rPr>
                <w:rFonts w:hint="default" w:ascii="Times New Roman" w:hAnsi="Times New Roman" w:cs="Times New Roman"/>
              </w:rPr>
            </w:pPr>
            <w:r>
              <w:rPr>
                <w:rFonts w:ascii="Times New Roman" w:hAnsi="Times New Roman"/>
                <w:sz w:val="15"/>
                <w:szCs w:val="15"/>
              </w:rPr>
              <w:t xml:space="preserve">FeasibilityRepair(</w:t>
            </w:r>
            <m:oMath>
              <m:r>
                <m:rPr>
                  <m:sty m:val="b"/>
                </m:rPr>
                <w:rPr>
                  <w:sz w:val="15"/>
                  <w:szCs w:val="15"/>
                </w:rPr>
                <m:t>R</m:t>
              </m:r>
              <m:r>
                <m:rPr>
                  <m:sty m:val="p"/>
                </m:rPr>
                <w:rPr>
                  <w:sz w:val="15"/>
                  <w:szCs w:val="15"/>
                </w:rPr>
                <m:t>,</m:t>
              </m:r>
              <m:r>
                <m:rPr>
                  <m:sty m:val="b"/>
                </m:rPr>
                <w:rPr>
                  <w:sz w:val="15"/>
                  <w:szCs w:val="15"/>
                </w:rPr>
                <m:t>P</m:t>
              </m:r>
            </m:oMath>
            <w:r>
              <w:rPr>
                <w:rFonts w:ascii="Times New Roman" w:hAnsi="Times New Roman"/>
                <w:sz w:val="15"/>
                <w:szCs w:val="15"/>
              </w:rPr>
              <w:t xml:space="preserve">):</w:t>
            </w:r>
          </w:p>
          <w:p w14:paraId="596FADCB">
            <w:pPr>
              <w:spacing w:before="0" w:after="0" w:line="240" w:lineRule="auto"/>
              <w:ind w:left="300" w:hanging="300"/>
              <w:rPr>
                <w:rFonts w:hint="default" w:ascii="Times New Roman" w:hAnsi="Times New Roman" w:cs="Times New Roman"/>
              </w:rPr>
            </w:pPr>
            <w:r>
              <w:rPr>
                <w:rFonts w:ascii="Times New Roman" w:hAnsi="Times New Roman"/>
                <w:sz w:val="15"/>
                <w:szCs w:val="15"/>
              </w:rPr>
              <w:t xml:space="preserve">10:  </w:t>
            </w:r>
            <m:oMath>
              <m:r>
                <m:rPr>
                  <m:sty m:val="b"/>
                </m:rPr>
                <w:rPr>
                  <w:sz w:val="15"/>
                  <w:szCs w:val="15"/>
                </w:rPr>
                <m:t>R</m:t>
              </m:r>
              <m:r>
                <m:rPr>
                  <m:sty m:val="p"/>
                </m:rPr>
                <w:rPr>
                  <w:sz w:val="15"/>
                  <w:szCs w:val="15"/>
                </w:rPr>
                <m:t>←</m:t>
              </m:r>
            </m:oMath>
            <w:r>
              <w:rPr>
                <w:rFonts w:ascii="Times New Roman" w:hAnsi="Times New Roman"/>
                <w:sz w:val="15"/>
                <w:szCs w:val="15"/>
              </w:rPr>
              <w:t xml:space="preserve"> AggregateCLRAdjust(</w:t>
            </w:r>
            <m:oMath>
              <m:r>
                <m:rPr>
                  <m:nor/>
                  <m:sty m:val="p"/>
                </m:rPr>
                <w:rPr>
                  <w:sz w:val="15"/>
                  <w:szCs w:val="15"/>
                </w:rPr>
                <m:t>clip</m:t>
              </m:r>
              <m:r>
                <m:rPr>
                  <m:sty m:val="p"/>
                </m:rPr>
                <w:rPr>
                  <w:sz w:val="15"/>
                  <w:szCs w:val="15"/>
                </w:rPr>
                <m:t>(</m:t>
              </m:r>
              <m:r>
                <m:rPr>
                  <m:sty m:val="b"/>
                </m:rPr>
                <w:rPr>
                  <w:sz w:val="15"/>
                  <w:szCs w:val="15"/>
                </w:rPr>
                <m:t>R</m:t>
              </m:r>
              <m:r>
                <m:rPr>
                  <m:sty m:val="p"/>
                </m:rPr>
                <w:rPr>
                  <w:sz w:val="15"/>
                  <w:szCs w:val="15"/>
                </w:rPr>
                <m:t>,</m:t>
              </m:r>
              <m:sSub>
                <m:e>
                  <m:r>
                    <w:rPr>
                      <w:sz w:val="15"/>
                      <w:szCs w:val="15"/>
                    </w:rPr>
                    <m:t>R</m:t>
                  </m:r>
                </m:e>
                <m:sub>
                  <m:r>
                    <m:rPr>
                      <m:nor/>
                      <m:sty m:val="p"/>
                    </m:rPr>
                    <w:rPr>
                      <w:sz w:val="15"/>
                      <w:szCs w:val="15"/>
                    </w:rPr>
                    <m:t>min</m:t>
                  </m:r>
                </m:sub>
              </m:sSub>
              <m:r>
                <m:rPr>
                  <m:sty m:val="p"/>
                </m:rPr>
                <w:rPr>
                  <w:sz w:val="15"/>
                  <w:szCs w:val="15"/>
                </w:rPr>
                <m:t>,</m:t>
              </m:r>
              <m:sSub>
                <m:e>
                  <m:r>
                    <w:rPr>
                      <w:sz w:val="15"/>
                      <w:szCs w:val="15"/>
                    </w:rPr>
                    <m:t>R</m:t>
                  </m:r>
                </m:e>
                <m:sub>
                  <m:r>
                    <m:rPr>
                      <m:nor/>
                      <m:sty m:val="p"/>
                    </m:rPr>
                    <w:rPr>
                      <w:sz w:val="15"/>
                      <w:szCs w:val="15"/>
                    </w:rPr>
                    <m:t>max</m:t>
                  </m:r>
                </m:sub>
              </m:sSub>
              <m:r>
                <m:rPr>
                  <m:sty m:val="p"/>
                </m:rPr>
                <w:rPr>
                  <w:sz w:val="15"/>
                  <w:szCs w:val="15"/>
                </w:rPr>
                <m:t>)</m:t>
              </m:r>
            </m:oMath>
            <w:r>
              <w:rPr>
                <w:rFonts w:ascii="Times New Roman" w:hAnsi="Times New Roman"/>
                <w:sz w:val="15"/>
                <w:szCs w:val="15"/>
              </w:rPr>
              <w:t xml:space="preserve">)</w:t>
            </w:r>
          </w:p>
          <w:p w14:paraId="0572A888">
            <w:pPr>
              <w:spacing w:before="0" w:after="0" w:line="240" w:lineRule="auto"/>
              <w:ind w:left="300" w:hanging="300"/>
              <w:rPr>
                <w:rFonts w:hint="default" w:ascii="Times New Roman" w:hAnsi="Times New Roman" w:cs="Times New Roman"/>
              </w:rPr>
            </w:pPr>
            <w:r>
              <w:rPr>
                <w:rFonts w:ascii="Times New Roman" w:hAnsi="Times New Roman"/>
                <w:sz w:val="15"/>
                <w:szCs w:val="15"/>
              </w:rPr>
              <w:t xml:space="preserve">11:  </w:t>
            </w:r>
            <m:oMath>
              <m:sSub>
                <m:e>
                  <m:r>
                    <w:rPr>
                      <w:sz w:val="15"/>
                      <w:szCs w:val="15"/>
                    </w:rPr>
                    <m:t>P</m:t>
                  </m:r>
                </m:e>
                <m:sub>
                  <m:r>
                    <w:rPr>
                      <w:sz w:val="15"/>
                      <w:szCs w:val="15"/>
                    </w:rPr>
                    <m:t>j</m:t>
                  </m:r>
                </m:sub>
              </m:sSub>
              <m:r>
                <m:rPr>
                  <m:sty m:val="p"/>
                </m:rPr>
                <w:rPr>
                  <w:sz w:val="15"/>
                  <w:szCs w:val="15"/>
                </w:rPr>
                <m:t>←</m:t>
              </m:r>
              <m:r>
                <m:rPr>
                  <m:sty m:val="p"/>
                </m:rPr>
                <w:rPr>
                  <w:sz w:val="15"/>
                  <w:szCs w:val="15"/>
                </w:rPr>
                <m:t>[</m:t>
              </m:r>
              <m:sSubSup>
                <m:e>
                  <m:r>
                    <w:rPr>
                      <w:sz w:val="15"/>
                      <w:szCs w:val="15"/>
                    </w:rPr>
                    <m:t>r</m:t>
                  </m:r>
                </m:e>
                <m:sub>
                  <m:r>
                    <w:rPr>
                      <w:sz w:val="15"/>
                      <w:szCs w:val="15"/>
                    </w:rPr>
                    <m:t>j</m:t>
                  </m:r>
                </m:sub>
                <m:sup>
                  <m:r>
                    <w:rPr>
                      <w:sz w:val="15"/>
                      <w:szCs w:val="15"/>
                    </w:rPr>
                    <m:t>0</m:t>
                  </m:r>
                </m:sup>
              </m:sSubSup>
              <m:r>
                <m:rPr>
                  <m:sty m:val="p"/>
                </m:rPr>
                <w:rPr>
                  <w:sz w:val="15"/>
                  <w:szCs w:val="15"/>
                </w:rPr>
                <m:t>−</m:t>
              </m:r>
              <m:r>
                <w:rPr>
                  <w:sz w:val="15"/>
                  <w:szCs w:val="15"/>
                </w:rPr>
                <m:t>β</m:t>
              </m:r>
              <m:sSub>
                <m:e>
                  <m:r>
                    <w:rPr>
                      <w:sz w:val="15"/>
                      <w:szCs w:val="15"/>
                    </w:rPr>
                    <m:t>R</m:t>
                  </m:r>
                </m:e>
                <m:sub>
                  <m:r>
                    <w:rPr>
                      <w:sz w:val="15"/>
                      <w:szCs w:val="15"/>
                    </w:rPr>
                    <m:t>j</m:t>
                  </m:r>
                </m:sub>
              </m:sSub>
              <m:sSubSup>
                <m:e>
                  <m:r>
                    <w:rPr>
                      <w:sz w:val="15"/>
                      <w:szCs w:val="15"/>
                    </w:rPr>
                    <m:t>L</m:t>
                  </m:r>
                </m:e>
                <m:sub>
                  <m:r>
                    <w:rPr>
                      <w:sz w:val="15"/>
                      <w:szCs w:val="15"/>
                    </w:rPr>
                    <m:t>j</m:t>
                  </m:r>
                </m:sub>
                <m:sup>
                  <m:r>
                    <w:rPr>
                      <w:sz w:val="15"/>
                      <w:szCs w:val="15"/>
                    </w:rPr>
                    <m:t>p</m:t>
                  </m:r>
                </m:sup>
              </m:sSubSup>
              <m:sSub>
                <m:e>
                  <m:r>
                    <m:rPr>
                      <m:sty m:val="p"/>
                    </m:rPr>
                    <w:rPr>
                      <w:sz w:val="15"/>
                      <w:szCs w:val="15"/>
                    </w:rPr>
                    <m:t>]</m:t>
                  </m:r>
                </m:e>
                <m:sub>
                  <m:r>
                    <m:rPr>
                      <m:sty m:val="p"/>
                    </m:rPr>
                    <w:rPr>
                      <w:sz w:val="15"/>
                      <w:szCs w:val="15"/>
                    </w:rPr>
                    <m:t>+</m:t>
                  </m:r>
                </m:sub>
              </m:sSub>
            </m:oMath>
            <w:r>
              <w:rPr>
                <w:rFonts w:ascii="Times New Roman" w:hAnsi="Times New Roman"/>
                <w:sz w:val="15"/>
                <w:szCs w:val="15"/>
              </w:rPr>
              <w:t xml:space="preserve">  (capped at </w:t>
            </w:r>
            <m:oMath>
              <m:sSub>
                <m:e>
                  <m:r>
                    <w:rPr>
                      <w:sz w:val="15"/>
                      <w:szCs w:val="15"/>
                    </w:rPr>
                    <m:t>P</m:t>
                  </m:r>
                </m:e>
                <m:sub>
                  <m:r>
                    <m:rPr>
                      <m:nor/>
                      <m:sty m:val="p"/>
                    </m:rPr>
                    <w:rPr>
                      <w:sz w:val="15"/>
                      <w:szCs w:val="15"/>
                    </w:rPr>
                    <m:t>max</m:t>
                  </m:r>
                </m:sub>
              </m:sSub>
            </m:oMath>
            <w:r>
              <w:rPr>
                <w:rFonts w:ascii="Times New Roman" w:hAnsi="Times New Roman"/>
                <w:sz w:val="15"/>
                <w:szCs w:val="15"/>
              </w:rPr>
              <w:t xml:space="preserve">)</w:t>
            </w:r>
          </w:p>
          <w:p>
            <w:pPr>
              <w:spacing w:before="0" w:after="0" w:line="240" w:lineRule="auto"/>
              <w:ind w:left="300" w:hanging="300"/>
              <w:rPr>
                <w:rFonts w:hint="default" w:ascii="Times New Roman" w:hAnsi="Times New Roman" w:cs="Times New Roman"/>
              </w:rPr>
            </w:pPr>
            <w:r>
              <w:rPr>
                <w:rFonts w:ascii="Times New Roman" w:hAnsi="Times New Roman"/>
                <w:sz w:val="15"/>
                <w:szCs w:val="15"/>
              </w:rPr>
              <w:t xml:space="preserve">12:  </w:t>
            </w:r>
            <w:r>
              <w:rPr>
                <w:rFonts w:ascii="Times New Roman" w:hAnsi="Times New Roman"/>
                <w:sz w:val="15"/>
                <w:szCs w:val="15"/>
              </w:rPr>
              <w:t xml:space="preserve">Repair the upstream reverse-flow constraint in descending residual-injection order</w:t>
            </w:r>
          </w:p>
          <w:p>
            <w:pPr>
              <w:spacing w:before="0" w:after="0" w:line="240" w:lineRule="auto"/>
              <w:ind w:left="300" w:hanging="300"/>
              <w:rPr>
                <w:rFonts w:hint="default" w:ascii="Times New Roman" w:hAnsi="Times New Roman" w:cs="Times New Roman"/>
              </w:rPr>
            </w:pPr>
            <w:r>
              <w:rPr>
                <w:rFonts w:ascii="Times New Roman" w:hAnsi="Times New Roman"/>
                <w:sz w:val="15"/>
                <w:szCs w:val="15"/>
              </w:rPr>
              <w:t xml:space="preserve">13:  </w:t>
            </w:r>
            <w:r>
              <w:rPr>
                <w:rFonts w:ascii="Times New Roman" w:hAnsi="Times New Roman"/>
                <w:b/>
                <w:sz w:val="15"/>
                <w:szCs w:val="15"/>
              </w:rPr>
              <w:t xml:space="preserve">return </w:t>
            </w:r>
            <m:oMath>
              <m:r>
                <m:rPr>
                  <m:sty m:val="p"/>
                </m:rPr>
                <w:rPr>
                  <w:sz w:val="15"/>
                  <w:szCs w:val="15"/>
                </w:rPr>
                <m:t>(</m:t>
              </m:r>
              <m:r>
                <m:rPr>
                  <m:sty m:val="b"/>
                </m:rPr>
                <w:rPr>
                  <w:sz w:val="15"/>
                  <w:szCs w:val="15"/>
                </w:rPr>
                <m:t>R</m:t>
              </m:r>
              <m:r>
                <m:rPr>
                  <m:sty m:val="p"/>
                </m:rPr>
                <w:rPr>
                  <w:sz w:val="15"/>
                  <w:szCs w:val="15"/>
                </w:rPr>
                <m:t>,</m:t>
              </m:r>
              <m:r>
                <m:rPr>
                  <m:sty m:val="b"/>
                </m:rPr>
                <w:rPr>
                  <w:sz w:val="15"/>
                  <w:szCs w:val="15"/>
                </w:rPr>
                <m:t>P</m:t>
              </m:r>
              <m:r>
                <m:rPr>
                  <m:sty m:val="p"/>
                </m:rPr>
                <w:rPr>
                  <w:sz w:val="15"/>
                  <w:szCs w:val="15"/>
                </w:rPr>
                <m:t>)</m:t>
              </m:r>
            </m:oMath>
          </w:p>
        </w:tc>
      </w:tr>
    </w:tbl>
    <w:p w14:paraId="26EF5E70">
      <w:pPr>
        <w:spacing w:before="0" w:after="40" w:line="240" w:lineRule="auto"/>
        <w:ind w:firstLineChars="150"/>
        <w:jc w:val="both"/>
        <w:rPr>
          <w:rFonts w:hint="default" w:ascii="Times New Roman" w:hAnsi="Times New Roman" w:cs="Times New Roman"/>
        </w:rPr>
      </w:pPr>
      <w:r>
        <w:rPr>
          <w:rFonts w:hint="eastAsia" w:ascii="Times New Roman" w:hAnsi="Times New Roman" w:eastAsia="宋体" w:cs="Times New Roman"/>
          <w:b w:val="0"/>
          <w:i w:val="0"/>
          <w:smallCaps w:val="0"/>
          <w:sz w:val="20"/>
          <w:lang w:eastAsia="zh-CN"/>
        </w:rPr>
        <w:t xml:space="preserve">AggregateCLRAdjust rescales the CLR vector multiplicatively so that the load-weighted aggregate CLR enters band (2), adding a top-up on the stations with headroom when the lower bound is still unmet, and clips the result to </w:t>
      </w:r>
      <m:oMath>
        <m:r>
          <m:rPr>
            <m:sty m:val="p"/>
          </m:rPr>
          <w:rPr>
            <w:sz w:val="20"/>
            <w:szCs w:val="20"/>
          </w:rPr>
          <m:t>[</m:t>
        </m:r>
        <m:sSub>
          <m:e>
            <m:r>
              <w:rPr>
                <w:sz w:val="20"/>
                <w:szCs w:val="20"/>
              </w:rPr>
              <m:t>R</m:t>
            </m:r>
          </m:e>
          <m:sub>
            <m:r>
              <m:rPr>
                <m:nor/>
                <m:sty m:val="p"/>
              </m:rPr>
              <w:rPr>
                <w:sz w:val="20"/>
                <w:szCs w:val="20"/>
              </w:rPr>
              <m:t>min</m:t>
            </m:r>
          </m:sub>
        </m:sSub>
        <m:r>
          <m:rPr>
            <m:sty m:val="p"/>
          </m:rPr>
          <w:rPr>
            <w:sz w:val="20"/>
            <w:szCs w:val="20"/>
          </w:rPr>
          <m:t>,</m:t>
        </m:r>
        <m:sSub>
          <m:e>
            <m:r>
              <w:rPr>
                <w:sz w:val="20"/>
                <w:szCs w:val="20"/>
              </w:rPr>
              <m:t>R</m:t>
            </m:r>
          </m:e>
          <m:sub>
            <m:r>
              <m:rPr>
                <m:nor/>
                <m:sty m:val="p"/>
              </m:rPr>
              <w:rPr>
                <w:sz w:val="20"/>
                <w:szCs w:val="20"/>
              </w:rPr>
              <m:t>max</m:t>
            </m:r>
          </m:sub>
        </m:sSub>
        <m:r>
          <m:rPr>
            <m:sty m:val="p"/>
          </m:rPr>
          <w:rPr>
            <w:sz w:val="20"/>
            <w:szCs w:val="20"/>
          </w:rPr>
          <m:t>]</m:t>
        </m:r>
      </m:oMath>
      <w:r>
        <w:rPr>
          <w:rFonts w:hint="eastAsia" w:ascii="Times New Roman" w:hAnsi="Times New Roman" w:eastAsia="宋体" w:cs="Times New Roman"/>
          <w:b w:val="0"/>
          <w:i w:val="0"/>
          <w:smallCaps w:val="0"/>
          <w:sz w:val="20"/>
          <w:lang w:eastAsia="zh-CN"/>
        </w:rPr>
        <w:t xml:space="preserve">.</w:t>
      </w:r>
    </w:p>
    <w:p w14:paraId="12C735AB">
      <w:pPr>
        <w:spacing w:before="0" w:after="0" w:line="240" w:lineRule="auto"/>
        <w:ind w:firstLineChars="150"/>
        <w:jc w:val="both"/>
        <w:rPr>
          <w:rFonts w:hint="default" w:ascii="Times New Roman" w:hAnsi="Times New Roman" w:cs="Times New Roman"/>
        </w:rPr>
      </w:pPr>
      <w:r>
        <w:rPr>
          <w:rFonts w:hint="eastAsia" w:ascii="Times New Roman" w:hAnsi="Times New Roman" w:eastAsia="宋体" w:cs="Times New Roman"/>
          <w:b w:val="0"/>
          <w:i w:val="0"/>
          <w:smallCaps w:val="0"/>
          <w:sz w:val="20"/>
          <w:lang w:eastAsia="zh-CN"/>
        </w:rPr>
        <w:t xml:space="preserve">FeasibilityRepair clips the variables, applies AggregateCLRAdjust, and raises storage — then </w:t>
      </w:r>
      <m:oMath>
        <m:sSub>
          <m:e>
            <m:r>
              <w:rPr>
                <w:sz w:val="20"/>
                <w:szCs w:val="20"/>
              </w:rPr>
              <m:t>R</m:t>
            </m:r>
          </m:e>
          <m:sub>
            <m:r>
              <w:rPr>
                <w:sz w:val="20"/>
                <w:szCs w:val="20"/>
              </w:rPr>
              <m:t>j</m:t>
            </m:r>
          </m:sub>
        </m:sSub>
      </m:oMath>
      <w:r>
        <w:rPr>
          <w:rFonts w:hint="eastAsia" w:ascii="Times New Roman" w:hAnsi="Times New Roman" w:eastAsia="宋体" w:cs="Times New Roman"/>
          <w:b w:val="0"/>
          <w:i w:val="0"/>
          <w:smallCaps w:val="0"/>
          <w:sz w:val="20"/>
          <w:lang w:eastAsia="zh-CN"/>
        </w:rPr>
        <w:t xml:space="preserve"> — to meet the per-station reverse-flow gate; residual upstream violations are repaired by allocating storage to substations in descending order of residual reverse injection, and any infeasibility at the variable bounds is passed to the total constraint violation.</w:t>
      </w:r>
    </w:p>
    <w:p w14:paraId="518BC8D3">
      <w:pPr>
        <w:spacing w:before="60" w:after="20"/>
        <w:jc w:val="center"/>
        <w:rPr>
          <w:rFonts w:hint="default" w:ascii="Times New Roman" w:hAnsi="Times New Roman" w:cs="Times New Roman"/>
        </w:rPr>
      </w:pPr>
      <w:r>
        <w:rPr>
          <w:rFonts w:hint="default" w:ascii="Times New Roman" w:hAnsi="Times New Roman" w:eastAsia="Times New Roman" w:cs="Times New Roman"/>
          <w:b w:val="0"/>
          <w:i w:val="0"/>
          <w:smallCaps/>
          <w:sz w:val="18"/>
        </w:rPr>
        <w:t>III.  EXPERIMENTS</w:t>
      </w:r>
    </w:p>
    <w:p w14:paraId="2AFCB149">
      <w:pPr>
        <w:spacing w:before="40" w:after="20"/>
        <w:jc w:val="left"/>
        <w:rPr>
          <w:rFonts w:hint="default" w:ascii="Times New Roman" w:hAnsi="Times New Roman" w:cs="Times New Roman"/>
        </w:rPr>
      </w:pPr>
      <w:r>
        <w:rPr>
          <w:rFonts w:hint="default" w:ascii="Times New Roman" w:hAnsi="Times New Roman" w:eastAsia="Times New Roman" w:cs="Times New Roman"/>
          <w:b w:val="0"/>
          <w:i/>
          <w:smallCaps w:val="0"/>
          <w:sz w:val="18"/>
        </w:rPr>
        <w:t>A.  Setup</w:t>
      </w:r>
    </w:p>
    <w:p w14:paraId="1CB58E56">
      <w:pPr>
        <w:spacing w:before="0" w:after="0" w:line="240" w:lineRule="auto"/>
        <w:ind w:firstLineChars="150"/>
        <w:jc w:val="both"/>
        <w:rPr>
          <w:rFonts w:hint="default" w:ascii="Times New Roman" w:hAnsi="Times New Roman" w:cs="Times New Roman"/>
        </w:rPr>
      </w:pPr>
      <w:r>
        <w:rPr>
          <w:rFonts w:hint="default" w:ascii="Times New Roman" w:hAnsi="Times New Roman" w:eastAsia="Times New Roman" w:cs="Times New Roman"/>
          <w:b w:val="0"/>
          <w:i w:val="0"/>
          <w:smallCaps w:val="0"/>
          <w:sz w:val="20"/>
        </w:rPr>
        <w:t xml:space="preserve">The public-data-informed county-level test system is built from scaled IEEE 33-bus feeder data [6] and PVGIS irradiance [7], with </w:t>
      </w:r>
      <m:oMath>
        <m:r>
          <w:rPr>
            <w:sz w:val="20"/>
            <w:szCs w:val="20"/>
          </w:rPr>
          <m:t>K</m:t>
        </m:r>
        <m:r>
          <m:rPr>
            <m:sty m:val="p"/>
          </m:rPr>
          <w:rPr>
            <w:sz w:val="20"/>
            <w:szCs w:val="20"/>
          </w:rPr>
          <m:t>∈</m:t>
        </m:r>
        <m:r>
          <m:rPr>
            <m:sty m:val="p"/>
          </m:rPr>
          <w:rPr>
            <w:sz w:val="20"/>
            <w:szCs w:val="20"/>
          </w:rPr>
          <m:t>{</m:t>
        </m:r>
        <m:r>
          <w:rPr>
            <w:sz w:val="20"/>
            <w:szCs w:val="20"/>
          </w:rPr>
          <m:t>10</m:t>
        </m:r>
        <m:r>
          <m:rPr>
            <m:sty m:val="p"/>
          </m:rPr>
          <w:rPr>
            <w:sz w:val="20"/>
            <w:szCs w:val="20"/>
          </w:rPr>
          <m:t>,</m:t>
        </m:r>
        <m:r>
          <w:rPr>
            <w:sz w:val="20"/>
            <w:szCs w:val="20"/>
          </w:rPr>
          <m:t>20</m:t>
        </m:r>
        <m:r>
          <m:rPr>
            <m:sty m:val="p"/>
          </m:rPr>
          <w:rPr>
            <w:sz w:val="20"/>
            <w:szCs w:val="20"/>
          </w:rPr>
          <m:t>,</m:t>
        </m:r>
        <m:r>
          <w:rPr>
            <w:sz w:val="20"/>
            <w:szCs w:val="20"/>
          </w:rPr>
          <m:t>30</m:t>
        </m:r>
        <m:r>
          <m:rPr>
            <m:sty m:val="p"/>
          </m:rPr>
          <w:rPr>
            <w:sz w:val="20"/>
            <w:szCs w:val="20"/>
          </w:rPr>
          <m:t>,</m:t>
        </m:r>
        <m:r>
          <w:rPr>
            <w:sz w:val="20"/>
            <w:szCs w:val="20"/>
          </w:rPr>
          <m:t>40</m:t>
        </m:r>
        <m:r>
          <m:rPr>
            <m:sty m:val="p"/>
          </m:rPr>
          <w:rPr>
            <w:sz w:val="20"/>
            <w:szCs w:val="20"/>
          </w:rPr>
          <m:t>}</m:t>
        </m:r>
      </m:oMath>
      <w:r>
        <w:rPr>
          <w:rFonts w:hint="default" w:ascii="Times New Roman" w:hAnsi="Times New Roman" w:eastAsia="Times New Roman" w:cs="Times New Roman"/>
          <w:b w:val="0"/>
          <w:i w:val="0"/>
          <w:smallCaps w:val="0"/>
          <w:sz w:val="20"/>
        </w:rPr>
        <w:t xml:space="preserve"> 110-kV substations and population </w:t>
      </w:r>
      <m:oMath>
        <m:r>
          <w:rPr>
            <w:sz w:val="20"/>
            <w:szCs w:val="20"/>
          </w:rPr>
          <m:t>N</m:t>
        </m:r>
        <m:r>
          <m:rPr>
            <m:sty m:val="p"/>
          </m:rPr>
          <w:rPr>
            <w:sz w:val="20"/>
            <w:szCs w:val="20"/>
          </w:rPr>
          <m:t>=</m:t>
        </m:r>
        <m:r>
          <w:rPr>
            <w:sz w:val="20"/>
            <w:szCs w:val="20"/>
          </w:rPr>
          <m:t>100</m:t>
        </m:r>
      </m:oMath>
      <w:r>
        <w:rPr>
          <w:rFonts w:hint="default" w:ascii="Times New Roman" w:hAnsi="Times New Roman" w:eastAsia="Times New Roman" w:cs="Times New Roman"/>
          <w:b w:val="0"/>
          <w:i w:val="0"/>
          <w:smallCaps w:val="0"/>
          <w:sz w:val="20"/>
        </w:rPr>
        <w:t xml:space="preserve">, each setting run three times. Standard NSGA-II and NSGA-III [8] run 800 generations as longer-budget references; EPG-NSGA-II and its ablations run 400.</w:t>
      </w:r>
    </w:p>
    <w:p w14:paraId="2DA06172">
      <w:pPr>
        <w:spacing w:before="40" w:after="20"/>
        <w:jc w:val="left"/>
        <w:rPr>
          <w:rFonts w:hint="default" w:ascii="Times New Roman" w:hAnsi="Times New Roman" w:cs="Times New Roman"/>
        </w:rPr>
      </w:pPr>
      <w:r>
        <w:rPr>
          <w:rFonts w:hint="default" w:ascii="Times New Roman" w:hAnsi="Times New Roman" w:eastAsia="Times New Roman" w:cs="Times New Roman"/>
          <w:b w:val="0"/>
          <w:i/>
          <w:smallCaps w:val="0"/>
          <w:sz w:val="18"/>
        </w:rPr>
        <w:t>B.  Efficiency and Ablation</w:t>
      </w:r>
    </w:p>
    <w:p w14:paraId="38917C51">
      <w:pPr>
        <w:keepNext/>
        <w:spacing w:before="60" w:after="60"/>
        <w:jc w:val="both"/>
        <w:rPr>
          <w:rFonts w:hint="default" w:ascii="Times New Roman" w:hAnsi="Times New Roman" w:cs="Times New Roman"/>
        </w:rPr>
      </w:pPr>
      <w:r>
        <w:rPr>
          <w:rFonts w:hint="default" w:ascii="Times New Roman" w:hAnsi="Times New Roman" w:eastAsia="Times New Roman" w:cs="Times New Roman"/>
          <w:b w:val="0"/>
          <w:i w:val="0"/>
          <w:smallCaps w:val="0"/>
          <w:sz w:val="16"/>
        </w:rPr>
        <w:t>TABLE I. NORMALIZED FINAL HV (MEAN OF THREE RUNS)</w:t>
      </w:r>
    </w:p>
    <w:tbl>
      <w:tblPr>
        <w:tblStyle w:val="32"/>
        <w:tblW w:w="4648" w:type="dxa"/>
        <w:jc w:val="center"/>
        <w:tblLayout w:type="fixed"/>
        <w:tblCellMar>
          <w:top w:w="0" w:type="dxa"/>
          <w:left w:w="108" w:type="dxa"/>
          <w:bottom w:w="0" w:type="dxa"/>
          <w:right w:w="108" w:type="dxa"/>
        </w:tblCellMar>
      </w:tblPr>
      <w:tblGrid>
        <w:gridCol w:w="1360"/>
        <w:gridCol w:w="822"/>
        <w:gridCol w:w="822"/>
        <w:gridCol w:w="822"/>
        <w:gridCol w:w="822"/>
      </w:tblGrid>
      <w:tr w14:paraId="460149A2">
        <w:tblPrEx>
          <w:tblCellMar>
            <w:top w:w="0" w:type="dxa"/>
            <w:left w:w="108" w:type="dxa"/>
            <w:bottom w:w="0" w:type="dxa"/>
            <w:right w:w="108" w:type="dxa"/>
          </w:tblCellMar>
        </w:tblPrEx>
        <w:trPr>
          <w:cantSplit/>
          <w:jc w:val="center"/>
        </w:trPr>
        <w:tc>
          <w:tcPr>
            <w:tcW w:w="1361" w:type="dxa"/>
            <w:tcBorders>
              <w:top w:val="single" w:sz="10" w:space="0" w:color="000000"/>
              <w:bottom w:val="single" w:sz="10" w:space="0" w:color="000000"/>
            </w:tcBorders>
          </w:tcPr>
          <w:p w14:paraId="4BE05F4C">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i w:val="0"/>
                <w:smallCaps w:val="0"/>
                <w:sz w:val="16"/>
              </w:rPr>
              <w:t>Method</w:t>
            </w:r>
          </w:p>
        </w:tc>
        <w:tc>
          <w:tcPr>
            <w:tcW w:w="822" w:type="dxa"/>
            <w:tcBorders>
              <w:top w:val="single" w:sz="10" w:space="0" w:color="000000"/>
              <w:bottom w:val="single" w:sz="10" w:space="0" w:color="000000"/>
            </w:tcBorders>
          </w:tcPr>
          <w:p w14:paraId="67F445C8">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i w:val="0"/>
                <w:smallCaps w:val="0"/>
                <w:sz w:val="16"/>
              </w:rPr>
              <w:t>K=10</w:t>
            </w:r>
          </w:p>
        </w:tc>
        <w:tc>
          <w:tcPr>
            <w:tcW w:w="822" w:type="dxa"/>
            <w:tcBorders>
              <w:top w:val="single" w:sz="10" w:space="0" w:color="000000"/>
              <w:bottom w:val="single" w:sz="10" w:space="0" w:color="000000"/>
            </w:tcBorders>
          </w:tcPr>
          <w:p w14:paraId="28C5C413">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i w:val="0"/>
                <w:smallCaps w:val="0"/>
                <w:sz w:val="16"/>
              </w:rPr>
              <w:t>K=20</w:t>
            </w:r>
          </w:p>
        </w:tc>
        <w:tc>
          <w:tcPr>
            <w:tcW w:w="822" w:type="dxa"/>
            <w:tcBorders>
              <w:top w:val="single" w:sz="10" w:space="0" w:color="000000"/>
              <w:bottom w:val="single" w:sz="10" w:space="0" w:color="000000"/>
            </w:tcBorders>
          </w:tcPr>
          <w:p w14:paraId="6634DCD1">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i w:val="0"/>
                <w:smallCaps w:val="0"/>
                <w:sz w:val="16"/>
              </w:rPr>
              <w:t>K=30</w:t>
            </w:r>
          </w:p>
        </w:tc>
        <w:tc>
          <w:tcPr>
            <w:tcW w:w="822" w:type="dxa"/>
            <w:tcBorders>
              <w:top w:val="single" w:sz="10" w:space="0" w:color="000000"/>
              <w:bottom w:val="single" w:sz="10" w:space="0" w:color="000000"/>
            </w:tcBorders>
          </w:tcPr>
          <w:p w14:paraId="4B4C2566">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i w:val="0"/>
                <w:smallCaps w:val="0"/>
                <w:sz w:val="16"/>
              </w:rPr>
              <w:t>K=40</w:t>
            </w:r>
          </w:p>
        </w:tc>
      </w:tr>
      <w:tr w14:paraId="52C68E0A">
        <w:tblPrEx>
          <w:tblCellMar>
            <w:top w:w="0" w:type="dxa"/>
            <w:left w:w="108" w:type="dxa"/>
            <w:bottom w:w="0" w:type="dxa"/>
            <w:right w:w="108" w:type="dxa"/>
          </w:tblCellMar>
        </w:tblPrEx>
        <w:trPr>
          <w:cantSplit/>
          <w:jc w:val="center"/>
        </w:trPr>
        <w:tc>
          <w:tcPr>
            <w:tcW w:w="1361" w:type="dxa"/>
            <w:tcBorders/>
          </w:tcPr>
          <w:p w14:paraId="20454840">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NSGA-II</w:t>
            </w:r>
          </w:p>
        </w:tc>
        <w:tc>
          <w:tcPr>
            <w:tcW w:w="822" w:type="dxa"/>
            <w:tcBorders/>
          </w:tcPr>
          <w:p w14:paraId="49F83D2B">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1.000</w:t>
            </w:r>
          </w:p>
        </w:tc>
        <w:tc>
          <w:tcPr>
            <w:tcW w:w="822" w:type="dxa"/>
            <w:tcBorders/>
          </w:tcPr>
          <w:p w14:paraId="07968ADB">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1.000</w:t>
            </w:r>
          </w:p>
        </w:tc>
        <w:tc>
          <w:tcPr>
            <w:tcW w:w="822" w:type="dxa"/>
            <w:tcBorders/>
          </w:tcPr>
          <w:p w14:paraId="70828118">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1.000</w:t>
            </w:r>
          </w:p>
        </w:tc>
        <w:tc>
          <w:tcPr>
            <w:tcW w:w="822" w:type="dxa"/>
            <w:tcBorders/>
          </w:tcPr>
          <w:p w14:paraId="43BEA6EF">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1.000</w:t>
            </w:r>
          </w:p>
        </w:tc>
      </w:tr>
      <w:tr w14:paraId="1A1E4ED8">
        <w:tblPrEx>
          <w:tblCellMar>
            <w:top w:w="0" w:type="dxa"/>
            <w:left w:w="108" w:type="dxa"/>
            <w:bottom w:w="0" w:type="dxa"/>
            <w:right w:w="108" w:type="dxa"/>
          </w:tblCellMar>
        </w:tblPrEx>
        <w:trPr>
          <w:cantSplit/>
          <w:jc w:val="center"/>
        </w:trPr>
        <w:tc>
          <w:tcPr>
            <w:tcW w:w="1361" w:type="dxa"/>
            <w:tcBorders/>
          </w:tcPr>
          <w:p w14:paraId="05BC051E">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NSGA-III</w:t>
            </w:r>
          </w:p>
        </w:tc>
        <w:tc>
          <w:tcPr>
            <w:tcW w:w="822" w:type="dxa"/>
            <w:tcBorders/>
          </w:tcPr>
          <w:p w14:paraId="3A956929">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0.998</w:t>
            </w:r>
          </w:p>
        </w:tc>
        <w:tc>
          <w:tcPr>
            <w:tcW w:w="822" w:type="dxa"/>
            <w:tcBorders/>
          </w:tcPr>
          <w:p w14:paraId="497217A6">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0.991</w:t>
            </w:r>
          </w:p>
        </w:tc>
        <w:tc>
          <w:tcPr>
            <w:tcW w:w="822" w:type="dxa"/>
            <w:tcBorders/>
          </w:tcPr>
          <w:p w14:paraId="2AE159DC">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0.979</w:t>
            </w:r>
          </w:p>
        </w:tc>
        <w:tc>
          <w:tcPr>
            <w:tcW w:w="822" w:type="dxa"/>
            <w:tcBorders/>
          </w:tcPr>
          <w:p w14:paraId="1FD99E4F">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0.985</w:t>
            </w:r>
          </w:p>
        </w:tc>
      </w:tr>
      <w:tr w14:paraId="3AF0AD14">
        <w:tblPrEx>
          <w:tblCellMar>
            <w:top w:w="0" w:type="dxa"/>
            <w:left w:w="108" w:type="dxa"/>
            <w:bottom w:w="0" w:type="dxa"/>
            <w:right w:w="108" w:type="dxa"/>
          </w:tblCellMar>
        </w:tblPrEx>
        <w:trPr>
          <w:cantSplit/>
          <w:jc w:val="center"/>
        </w:trPr>
        <w:tc>
          <w:tcPr>
            <w:tcW w:w="1361" w:type="dxa"/>
            <w:tcBorders/>
          </w:tcPr>
          <w:p w14:paraId="4029E835">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Seeding-only</w:t>
            </w:r>
          </w:p>
        </w:tc>
        <w:tc>
          <w:tcPr>
            <w:tcW w:w="822" w:type="dxa"/>
            <w:tcBorders/>
          </w:tcPr>
          <w:p w14:paraId="5AF64CD9">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0.996</w:t>
            </w:r>
          </w:p>
        </w:tc>
        <w:tc>
          <w:tcPr>
            <w:tcW w:w="822" w:type="dxa"/>
            <w:tcBorders/>
          </w:tcPr>
          <w:p w14:paraId="140DD98F">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0.991</w:t>
            </w:r>
          </w:p>
        </w:tc>
        <w:tc>
          <w:tcPr>
            <w:tcW w:w="822" w:type="dxa"/>
            <w:tcBorders/>
          </w:tcPr>
          <w:p w14:paraId="476F1316">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0.988</w:t>
            </w:r>
          </w:p>
        </w:tc>
        <w:tc>
          <w:tcPr>
            <w:tcW w:w="822" w:type="dxa"/>
            <w:tcBorders/>
          </w:tcPr>
          <w:p w14:paraId="330F1F15">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0.998</w:t>
            </w:r>
          </w:p>
        </w:tc>
      </w:tr>
      <w:tr>
        <w:tc>
          <w:tcPr>
            <w:tcW w:type="dxa" w:w="1360"/>
            <w:tcBorders/>
          </w:tcPr>
          <w:p>
            <w:pPr>
              <w:spacing w:before="0" w:after="0" w:line="240" w:lineRule="auto"/>
              <w:jc w:val="center"/>
            </w:pPr>
            <w:r>
              <w:rPr>
                <w:rFonts w:ascii="Times New Roman" w:hAnsi="Times New Roman"/>
                <w:b w:val="0"/>
                <w:sz w:val="16"/>
              </w:rPr>
              <w:t>Repair-only</w:t>
            </w:r>
          </w:p>
        </w:tc>
        <w:tc>
          <w:tcPr>
            <w:tcW w:type="dxa" w:w="822"/>
            <w:tcBorders/>
          </w:tcPr>
          <w:p>
            <w:pPr>
              <w:spacing w:before="0" w:after="0" w:line="240" w:lineRule="auto"/>
              <w:jc w:val="center"/>
            </w:pPr>
            <w:r>
              <w:rPr>
                <w:rFonts w:ascii="Times New Roman" w:hAnsi="Times New Roman"/>
                <w:b w:val="0"/>
                <w:sz w:val="16"/>
              </w:rPr>
              <w:t>1.004</w:t>
            </w:r>
          </w:p>
        </w:tc>
        <w:tc>
          <w:tcPr>
            <w:tcW w:type="dxa" w:w="822"/>
            <w:tcBorders/>
          </w:tcPr>
          <w:p>
            <w:pPr>
              <w:spacing w:before="0" w:after="0" w:line="240" w:lineRule="auto"/>
              <w:jc w:val="center"/>
            </w:pPr>
            <w:r>
              <w:rPr>
                <w:rFonts w:ascii="Times New Roman" w:hAnsi="Times New Roman"/>
                <w:b w:val="0"/>
                <w:sz w:val="16"/>
              </w:rPr>
              <w:t>1.006</w:t>
            </w:r>
          </w:p>
        </w:tc>
        <w:tc>
          <w:tcPr>
            <w:tcW w:type="dxa" w:w="822"/>
            <w:tcBorders/>
          </w:tcPr>
          <w:p>
            <w:pPr>
              <w:spacing w:before="0" w:after="0" w:line="240" w:lineRule="auto"/>
              <w:jc w:val="center"/>
            </w:pPr>
            <w:r>
              <w:rPr>
                <w:rFonts w:ascii="Times New Roman" w:hAnsi="Times New Roman"/>
                <w:b w:val="0"/>
                <w:sz w:val="16"/>
              </w:rPr>
              <w:t>1.008</w:t>
            </w:r>
          </w:p>
        </w:tc>
        <w:tc>
          <w:tcPr>
            <w:tcW w:type="dxa" w:w="822"/>
            <w:tcBorders/>
          </w:tcPr>
          <w:p>
            <w:pPr>
              <w:spacing w:before="0" w:after="0" w:line="240" w:lineRule="auto"/>
              <w:jc w:val="center"/>
            </w:pPr>
            <w:r>
              <w:rPr>
                <w:rFonts w:ascii="Times New Roman" w:hAnsi="Times New Roman"/>
                <w:b w:val="0"/>
                <w:sz w:val="16"/>
              </w:rPr>
              <w:t>1.048</w:t>
            </w:r>
          </w:p>
        </w:tc>
      </w:tr>
      <w:tr>
        <w:tc>
          <w:tcPr>
            <w:tcW w:type="dxa" w:w="1360"/>
            <w:tcBorders>
              <w:bottom w:val="single" w:sz="10" w:space="0" w:color="000000"/>
            </w:tcBorders>
          </w:tcPr>
          <w:p>
            <w:pPr>
              <w:spacing w:before="0" w:after="0" w:line="240" w:lineRule="auto"/>
              <w:jc w:val="center"/>
            </w:pPr>
            <w:r>
              <w:rPr>
                <w:rFonts w:ascii="Times New Roman" w:hAnsi="Times New Roman"/>
                <w:b w:val="0"/>
                <w:sz w:val="16"/>
              </w:rPr>
              <w:t>EPG-NSGA-II</w:t>
            </w:r>
          </w:p>
        </w:tc>
        <w:tc>
          <w:tcPr>
            <w:tcW w:type="dxa" w:w="822"/>
            <w:tcBorders>
              <w:bottom w:val="single" w:sz="10" w:space="0" w:color="000000"/>
            </w:tcBorders>
          </w:tcPr>
          <w:p>
            <w:pPr>
              <w:spacing w:before="0" w:after="0" w:line="240" w:lineRule="auto"/>
              <w:jc w:val="center"/>
            </w:pPr>
            <w:r>
              <w:rPr>
                <w:rFonts w:ascii="Times New Roman" w:hAnsi="Times New Roman"/>
                <w:b w:val="0"/>
                <w:sz w:val="16"/>
              </w:rPr>
              <w:t>1.007</w:t>
            </w:r>
          </w:p>
        </w:tc>
        <w:tc>
          <w:tcPr>
            <w:tcW w:type="dxa" w:w="822"/>
            <w:tcBorders>
              <w:bottom w:val="single" w:sz="10" w:space="0" w:color="000000"/>
            </w:tcBorders>
          </w:tcPr>
          <w:p>
            <w:pPr>
              <w:spacing w:before="0" w:after="0" w:line="240" w:lineRule="auto"/>
              <w:jc w:val="center"/>
            </w:pPr>
            <w:r>
              <w:rPr>
                <w:rFonts w:ascii="Times New Roman" w:hAnsi="Times New Roman"/>
                <w:b w:val="0"/>
                <w:sz w:val="16"/>
              </w:rPr>
              <w:t>1.007</w:t>
            </w:r>
          </w:p>
        </w:tc>
        <w:tc>
          <w:tcPr>
            <w:tcW w:type="dxa" w:w="822"/>
            <w:tcBorders>
              <w:bottom w:val="single" w:sz="10" w:space="0" w:color="000000"/>
            </w:tcBorders>
          </w:tcPr>
          <w:p>
            <w:pPr>
              <w:spacing w:before="0" w:after="0" w:line="240" w:lineRule="auto"/>
              <w:jc w:val="center"/>
            </w:pPr>
            <w:r>
              <w:rPr>
                <w:rFonts w:ascii="Times New Roman" w:hAnsi="Times New Roman"/>
                <w:b w:val="0"/>
                <w:sz w:val="16"/>
              </w:rPr>
              <w:t>1.009</w:t>
            </w:r>
          </w:p>
        </w:tc>
        <w:tc>
          <w:tcPr>
            <w:tcW w:type="dxa" w:w="822"/>
            <w:tcBorders>
              <w:bottom w:val="single" w:sz="10" w:space="0" w:color="000000"/>
            </w:tcBorders>
          </w:tcPr>
          <w:p>
            <w:pPr>
              <w:spacing w:before="0" w:after="0" w:line="240" w:lineRule="auto"/>
              <w:jc w:val="center"/>
            </w:pPr>
            <w:r>
              <w:rPr>
                <w:rFonts w:ascii="Times New Roman" w:hAnsi="Times New Roman"/>
                <w:b w:val="0"/>
                <w:sz w:val="16"/>
              </w:rPr>
              <w:t>1.048</w:t>
            </w:r>
          </w:p>
        </w:tc>
      </w:tr>
    </w:tbl>
    <w:p w14:paraId="53CBB6D4">
      <w:pPr>
        <w:spacing w:before="0" w:after="0" w:line="240" w:lineRule="auto"/>
        <w:ind w:firstLineChars="150"/>
        <w:jc w:val="both"/>
        <w:rPr>
          <w:rFonts w:hint="default" w:ascii="Times New Roman" w:hAnsi="Times New Roman" w:cs="Times New Roman"/>
        </w:rPr>
      </w:pPr>
      <w:r>
        <w:rPr>
          <w:rFonts w:hint="default" w:ascii="Times New Roman" w:hAnsi="Times New Roman" w:eastAsia="Times New Roman" w:cs="Times New Roman"/>
          <w:b w:val="0"/>
          <w:i w:val="0"/>
          <w:smallCaps w:val="0"/>
          <w:sz w:val="20"/>
        </w:rPr>
        <w:t xml:space="preserve">Table I normalizes the mean final HV by standard NSGA-II for each </w:t>
      </w:r>
      <m:oMath>
        <m:r>
          <w:rPr>
            <w:sz w:val="20"/>
            <w:szCs w:val="20"/>
          </w:rPr>
          <m:t>K</m:t>
        </m:r>
      </m:oMath>
      <w:r>
        <w:rPr>
          <w:rFonts w:hint="default" w:ascii="Times New Roman" w:hAnsi="Times New Roman" w:eastAsia="Times New Roman" w:cs="Times New Roman"/>
          <w:b w:val="0"/>
          <w:i w:val="0"/>
          <w:smallCaps w:val="0"/>
          <w:sz w:val="20"/>
        </w:rPr>
        <w:t xml:space="preserve">. EPG-NSGA-II matches or exceeds the baseline for all sizes, reaching </w:t>
      </w:r>
      <m:oMath>
        <m:r>
          <m:rPr>
            <m:sty m:val="p"/>
          </m:rPr>
          <w:rPr>
            <w:sz w:val="20"/>
            <w:szCs w:val="20"/>
          </w:rPr>
          <m:t>+</m:t>
        </m:r>
        <m:r>
          <w:rPr>
            <w:sz w:val="20"/>
            <w:szCs w:val="20"/>
          </w:rPr>
          <m:t>4.8</m:t>
        </m:r>
        <m:r>
          <m:rPr>
            <m:sty m:val="p"/>
          </m:rPr>
          <w:rPr>
            <w:sz w:val="20"/>
            <w:szCs w:val="20"/>
          </w:rPr>
          <m:t>%</m:t>
        </m:r>
      </m:oMath>
      <w:r>
        <w:rPr>
          <w:rFonts w:hint="default" w:ascii="Times New Roman" w:hAnsi="Times New Roman" w:eastAsia="Times New Roman" w:cs="Times New Roman"/>
          <w:b w:val="0"/>
          <w:i w:val="0"/>
          <w:smallCaps w:val="0"/>
          <w:sz w:val="20"/>
        </w:rPr>
        <w:t xml:space="preserve"> at </w:t>
      </w:r>
      <m:oMath>
        <m:r>
          <w:rPr>
            <w:sz w:val="20"/>
            <w:szCs w:val="20"/>
          </w:rPr>
          <m:t>K</m:t>
        </m:r>
        <m:r>
          <m:rPr>
            <m:sty m:val="p"/>
          </m:rPr>
          <w:rPr>
            <w:sz w:val="20"/>
            <w:szCs w:val="20"/>
          </w:rPr>
          <m:t>=</m:t>
        </m:r>
        <m:r>
          <w:rPr>
            <w:sz w:val="20"/>
            <w:szCs w:val="20"/>
          </w:rPr>
          <m:t>40</m:t>
        </m:r>
      </m:oMath>
      <w:r>
        <w:rPr>
          <w:rFonts w:hint="default" w:ascii="Times New Roman" w:hAnsi="Times New Roman" w:eastAsia="Times New Roman" w:cs="Times New Roman"/>
          <w:b w:val="0"/>
          <w:i w:val="0"/>
          <w:smallCaps w:val="0"/>
          <w:sz w:val="20"/>
        </w:rPr>
        <w:t xml:space="preserve">, while NSGA-III stays at or below standard NSGA-II. Repair-only nearly matches the full method, whereas Seeding-only mainly accelerates early search.</w:t>
      </w:r>
    </w:p>
    <w:p w14:paraId="07DB874B">
      <w:pPr>
        <w:spacing w:before="0" w:after="0" w:line="240" w:lineRule="auto"/>
        <w:ind w:firstLineChars="150"/>
        <w:jc w:val="both"/>
        <w:rPr>
          <w:rFonts w:hint="default" w:ascii="Times New Roman" w:hAnsi="Times New Roman" w:cs="Times New Roman"/>
        </w:rPr>
      </w:pPr>
      <w:r>
        <w:rPr>
          <w:rFonts w:hint="default" w:ascii="Times New Roman" w:hAnsi="Times New Roman" w:eastAsia="Times New Roman" w:cs="Times New Roman"/>
          <w:b w:val="0"/>
          <w:i w:val="0"/>
          <w:smallCaps w:val="0"/>
          <w:sz w:val="20"/>
        </w:rPr>
        <w:t xml:space="preserve">At </w:t>
      </w:r>
      <m:oMath>
        <m:r>
          <w:rPr>
            <w:sz w:val="20"/>
            <w:szCs w:val="20"/>
          </w:rPr>
          <m:t>K</m:t>
        </m:r>
        <m:r>
          <m:rPr>
            <m:sty m:val="p"/>
          </m:rPr>
          <w:rPr>
            <w:sz w:val="20"/>
            <w:szCs w:val="20"/>
          </w:rPr>
          <m:t>=</m:t>
        </m:r>
        <m:r>
          <w:rPr>
            <w:sz w:val="20"/>
            <w:szCs w:val="20"/>
          </w:rPr>
          <m:t>40</m:t>
        </m:r>
      </m:oMath>
      <w:r>
        <w:rPr>
          <w:rFonts w:hint="default" w:ascii="Times New Roman" w:hAnsi="Times New Roman" w:eastAsia="Times New Roman" w:cs="Times New Roman"/>
          <w:b w:val="0"/>
          <w:i w:val="0"/>
          <w:smallCaps w:val="0"/>
          <w:sz w:val="20"/>
        </w:rPr>
        <w:t xml:space="preserve">, the mean EPG-NSGA-II curve reaches the 800-generation standard-NSGA-II final HV at about generation 84 — roughly one-tenth of the evaluations.</w:t>
      </w:r>
    </w:p>
    <w:p w14:paraId="676D17A6">
      <w:pPr>
        <w:spacing w:before="40" w:after="20"/>
        <w:jc w:val="left"/>
        <w:rPr>
          <w:rFonts w:hint="default" w:ascii="Times New Roman" w:hAnsi="Times New Roman" w:cs="Times New Roman"/>
        </w:rPr>
      </w:pPr>
      <w:r>
        <w:rPr>
          <w:rFonts w:hint="default" w:ascii="Times New Roman" w:hAnsi="Times New Roman" w:eastAsia="Times New Roman" w:cs="Times New Roman"/>
          <w:b w:val="0"/>
          <w:i/>
          <w:smallCaps w:val="0"/>
          <w:sz w:val="18"/>
        </w:rPr>
        <w:t>C.  County-Level Application at K=20</w:t>
      </w:r>
    </w:p>
    <w:p w14:paraId="70FB2EFE">
      <w:pPr>
        <w:spacing w:before="0" w:after="0" w:line="240" w:lineRule="auto"/>
        <w:ind w:firstLineChars="150"/>
        <w:jc w:val="both"/>
        <w:rPr>
          <w:rFonts w:hint="default" w:ascii="Times New Roman" w:hAnsi="Times New Roman" w:cs="Times New Roman"/>
        </w:rPr>
      </w:pPr>
      <w:r>
        <w:rPr>
          <w:rFonts w:hint="default" w:ascii="Times New Roman" w:hAnsi="Times New Roman" w:eastAsia="Times New Roman" w:cs="Times New Roman"/>
          <w:b w:val="0"/>
          <w:i w:val="0"/>
          <w:smallCaps w:val="0"/>
          <w:sz w:val="20"/>
        </w:rPr>
        <w:t xml:space="preserve">For </w:t>
      </w:r>
      <m:oMath>
        <m:r>
          <w:rPr>
            <w:sz w:val="20"/>
            <w:szCs w:val="20"/>
          </w:rPr>
          <m:t>K</m:t>
        </m:r>
        <m:r>
          <m:rPr>
            <m:sty m:val="p"/>
          </m:rPr>
          <w:rPr>
            <w:sz w:val="20"/>
            <w:szCs w:val="20"/>
          </w:rPr>
          <m:t>=</m:t>
        </m:r>
        <m:r>
          <w:rPr>
            <w:sz w:val="20"/>
            <w:szCs w:val="20"/>
          </w:rPr>
          <m:t>20</m:t>
        </m:r>
      </m:oMath>
      <w:r>
        <w:rPr>
          <w:rFonts w:hint="default" w:ascii="Times New Roman" w:hAnsi="Times New Roman" w:eastAsia="Times New Roman" w:cs="Times New Roman"/>
          <w:b w:val="0"/>
          <w:i w:val="0"/>
          <w:smallCaps w:val="0"/>
          <w:sz w:val="20"/>
        </w:rPr>
        <w:t xml:space="preserve">, a selected Pareto solution has a load-weighted aggregate CLR of 1.80, an annualized cost of 188.82 million CNY/yr, and an EENS of 114 MWh/yr. Storage concentrates at substations with higher generation-to-load ratios (Fig. 1), reducing cost by 13.1% versus the uniform </w:t>
      </w:r>
      <m:oMath>
        <m:r>
          <w:rPr>
            <w:sz w:val="20"/>
            <w:szCs w:val="20"/>
          </w:rPr>
          <m:t>R</m:t>
        </m:r>
        <m:r>
          <m:rPr>
            <m:sty m:val="p"/>
          </m:rPr>
          <w:rPr>
            <w:sz w:val="20"/>
            <w:szCs w:val="20"/>
          </w:rPr>
          <m:t>=</m:t>
        </m:r>
        <m:r>
          <w:rPr>
            <w:sz w:val="20"/>
            <w:szCs w:val="20"/>
          </w:rPr>
          <m:t>2.0</m:t>
        </m:r>
      </m:oMath>
      <w:r>
        <w:rPr>
          <w:rFonts w:hint="default" w:ascii="Times New Roman" w:hAnsi="Times New Roman" w:eastAsia="Times New Roman" w:cs="Times New Roman"/>
          <w:b w:val="0"/>
          <w:i w:val="0"/>
          <w:smallCaps w:val="0"/>
          <w:sz w:val="20"/>
        </w:rPr>
        <w:t xml:space="preserve"> baseline at equal EENS.</w:t>
      </w:r>
    </w:p>
    <w:p w14:paraId="349CACEC">
      <w:pPr>
        <w:keepNext w:val="0"/>
        <w:keepLines w:val="0"/>
        <w:pageBreakBefore w:val="0"/>
        <w:widowControl/>
        <w:kinsoku/>
        <w:wordWrap/>
        <w:overflowPunct/>
        <w:topLinePunct w:val="0"/>
        <w:autoSpaceDE/>
        <w:autoSpaceDN/>
        <w:bidi w:val="0"/>
        <w:adjustRightInd/>
        <w:snapToGrid/>
        <w:spacing w:before="0" w:after="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1872000" cy="1568922"/>
            <wp:effectExtent l="0" t="0" r="63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872000" cy="1568922"/>
                    </a:xfrm>
                    <a:prstGeom prst="rect">
                      <a:avLst/>
                    </a:prstGeom>
                  </pic:spPr>
                </pic:pic>
              </a:graphicData>
            </a:graphic>
          </wp:inline>
        </w:drawing>
      </w:r>
    </w:p>
    <w:p w14:paraId="0943AE72">
      <w:pPr>
        <w:keepNext w:val="0"/>
        <w:spacing w:before="40" w:after="60"/>
        <w:jc w:val="both"/>
        <w:rPr>
          <w:rFonts w:hint="default" w:ascii="Times New Roman" w:hAnsi="Times New Roman" w:cs="Times New Roman"/>
        </w:rPr>
      </w:pPr>
      <w:r>
        <w:rPr>
          <w:rFonts w:hint="default" w:ascii="Times New Roman" w:hAnsi="Times New Roman" w:eastAsia="Times New Roman" w:cs="Times New Roman"/>
          <w:b w:val="0"/>
          <w:i w:val="0"/>
          <w:smallCaps w:val="0"/>
          <w:sz w:val="16"/>
        </w:rPr>
        <w:t xml:space="preserve">Fig. 1.  </w:t>
      </w:r>
      <m:oMath>
        <m:r>
          <w:rPr>
            <w:sz w:val="16"/>
            <w:szCs w:val="16"/>
          </w:rPr>
          <m:t>K</m:t>
        </m:r>
        <m:r>
          <m:rPr>
            <m:sty m:val="p"/>
          </m:rPr>
          <w:rPr>
            <w:sz w:val="16"/>
            <w:szCs w:val="16"/>
          </w:rPr>
          <m:t>=</m:t>
        </m:r>
        <m:r>
          <w:rPr>
            <w:sz w:val="16"/>
            <w:szCs w:val="16"/>
          </w:rPr>
          <m:t>20</m:t>
        </m:r>
      </m:oMath>
      <w:r>
        <w:rPr>
          <w:rFonts w:hint="default" w:ascii="Times New Roman" w:hAnsi="Times New Roman" w:eastAsia="Times New Roman" w:cs="Times New Roman"/>
          <w:b w:val="0"/>
          <w:i w:val="0"/>
          <w:smallCaps w:val="0"/>
          <w:sz w:val="16"/>
        </w:rPr>
        <w:t xml:space="preserve"> differentiated CLR and storage allocation.</w:t>
      </w:r>
    </w:p>
    <w:p w14:paraId="462261DF">
      <w:pPr>
        <w:spacing w:before="60" w:after="20"/>
        <w:jc w:val="center"/>
        <w:rPr>
          <w:rFonts w:hint="default" w:ascii="Times New Roman" w:hAnsi="Times New Roman" w:cs="Times New Roman"/>
        </w:rPr>
      </w:pPr>
      <w:r>
        <w:rPr>
          <w:rFonts w:hint="default" w:ascii="Times New Roman" w:hAnsi="Times New Roman" w:eastAsia="Times New Roman" w:cs="Times New Roman"/>
          <w:b w:val="0"/>
          <w:i w:val="0"/>
          <w:smallCaps/>
          <w:sz w:val="18"/>
        </w:rPr>
        <w:t>IV.  CONCLUSION</w:t>
      </w:r>
    </w:p>
    <w:p w14:paraId="11151D04">
      <w:pPr>
        <w:spacing w:before="0" w:after="0" w:line="240" w:lineRule="auto"/>
        <w:ind w:firstLineChars="150"/>
        <w:jc w:val="both"/>
        <w:rPr>
          <w:rFonts w:hint="default" w:ascii="Times New Roman" w:hAnsi="Times New Roman" w:cs="Times New Roman"/>
        </w:rPr>
      </w:pPr>
      <w:r>
        <w:rPr>
          <w:rFonts w:hint="default" w:ascii="Times New Roman" w:hAnsi="Times New Roman" w:eastAsia="Times New Roman" w:cs="Times New Roman"/>
          <w:b w:val="0"/>
          <w:i w:val="0"/>
          <w:smallCaps w:val="0"/>
          <w:sz w:val="20"/>
        </w:rPr>
        <w:t>EPG-NSGA-II combines engineering-prior population seeding and feasibility repair for differentiated CLR optimization. In the county-level test cases, it reduces cost at equal EENS and achieves up to 4.8% higher mean final HV than standard NSGA-II. Future work will address real-grid calibration and energy-limited storage.</w:t>
      </w:r>
    </w:p>
    <w:p w14:paraId="4F4C6825">
      <w:pPr>
        <w:spacing w:before="60" w:after="20"/>
        <w:jc w:val="center"/>
        <w:rPr>
          <w:rFonts w:hint="default" w:ascii="Times New Roman" w:hAnsi="Times New Roman" w:cs="Times New Roman"/>
        </w:rPr>
      </w:pPr>
      <w:r>
        <w:rPr>
          <w:rFonts w:hint="default" w:ascii="Times New Roman" w:hAnsi="Times New Roman" w:eastAsia="Times New Roman" w:cs="Times New Roman"/>
          <w:b w:val="0"/>
          <w:i w:val="0"/>
          <w:smallCaps/>
          <w:sz w:val="18"/>
        </w:rPr>
        <w:t>REFERENCES</w:t>
      </w:r>
    </w:p>
    <w:p w14:paraId="3E1EA821">
      <w:pPr>
        <w:spacing w:before="0" w:after="0" w:line="168" w:lineRule="auto"/>
        <w:ind w:hanging="150"/>
        <w:jc w:val="both"/>
        <w:rPr>
          <w:rFonts w:hint="default" w:ascii="Times New Roman" w:hAnsi="Times New Roman" w:cs="Times New Roman"/>
        </w:rPr>
      </w:pPr>
      <w:r>
        <w:rPr>
          <w:rFonts w:ascii="Times New Roman" w:hAnsi="Times New Roman"/>
          <w:sz w:val="14"/>
        </w:rPr>
        <w:t xml:space="preserve">[1]  Q. Hou, N. Zhang, E. Du, M. Miao, F. Peng, and C. Kang, “Probabilistic duck curve in high PV penetration power system: Concept, modeling, and empirical analysis in China,” </w:t>
      </w:r>
      <w:r>
        <w:rPr>
          <w:rFonts w:ascii="Times New Roman" w:hAnsi="Times New Roman"/>
          <w:i/>
          <w:sz w:val="14"/>
        </w:rPr>
        <w:t>Applied Energy</w:t>
      </w:r>
      <w:r>
        <w:rPr>
          <w:rFonts w:ascii="Times New Roman" w:hAnsi="Times New Roman"/>
          <w:sz w:val="14"/>
        </w:rPr>
        <w:t>, vol. 242, pp. 205–215, 2019, doi: 10.1016/j.apenergy.2019.03.067.</w:t>
      </w:r>
    </w:p>
    <w:p w14:paraId="5D02A849">
      <w:pPr>
        <w:spacing w:before="0" w:after="0" w:line="168" w:lineRule="auto"/>
        <w:ind w:hanging="150"/>
        <w:jc w:val="both"/>
        <w:rPr>
          <w:rFonts w:hint="default" w:ascii="Times New Roman" w:hAnsi="Times New Roman" w:cs="Times New Roman"/>
        </w:rPr>
      </w:pPr>
      <w:r>
        <w:rPr>
          <w:rFonts w:ascii="Times New Roman" w:hAnsi="Times New Roman"/>
          <w:sz w:val="14"/>
        </w:rPr>
        <w:t xml:space="preserve">[2]  </w:t>
      </w:r>
      <w:r>
        <w:rPr>
          <w:rFonts w:ascii="Times New Roman" w:hAnsi="Times New Roman"/>
          <w:i w:val="0"/>
          <w:sz w:val="14"/>
        </w:rPr>
        <w:t>J. Xiao, R. Liu, and M. Long, "Relationship between substation capacity-load ratio and the next-level medium-voltage distribution network," Electric Power Construction, vol. 36, no. 11, pp. 45-50, 2015 (in Chinese).</w:t>
      </w:r>
    </w:p>
    <w:p w14:paraId="5AE8D19D">
      <w:pPr>
        <w:spacing w:before="0" w:after="0" w:line="168" w:lineRule="auto"/>
        <w:ind w:hanging="150"/>
        <w:jc w:val="both"/>
        <w:rPr>
          <w:rFonts w:hint="default" w:ascii="Times New Roman" w:hAnsi="Times New Roman" w:cs="Times New Roman"/>
        </w:rPr>
      </w:pPr>
      <w:r>
        <w:rPr>
          <w:rFonts w:ascii="Times New Roman" w:hAnsi="Times New Roman"/>
          <w:sz w:val="14"/>
        </w:rPr>
        <w:t xml:space="preserve">[3]  </w:t>
      </w:r>
      <w:r>
        <w:rPr>
          <w:rFonts w:ascii="Times New Roman" w:hAnsi="Times New Roman"/>
          <w:i w:val="0"/>
          <w:sz w:val="14"/>
        </w:rPr>
        <w:t>K. Wang, Z. He, J. Ye, Y. Lin, and Y. Ma, "Capacity-load-ratio optimal configuration for coordinated planning of multi-voltage-level grids," Southern Power System Technology, vol. 19, no. 7, pp. 131-139, 2025 (in Chinese).</w:t>
      </w:r>
    </w:p>
    <w:p w14:paraId="2A66ED7F">
      <w:pPr>
        <w:spacing w:before="0" w:after="0" w:line="168" w:lineRule="auto"/>
        <w:ind w:hanging="150"/>
        <w:jc w:val="both"/>
        <w:rPr>
          <w:rFonts w:hint="default" w:ascii="Times New Roman" w:hAnsi="Times New Roman" w:cs="Times New Roman"/>
        </w:rPr>
      </w:pPr>
      <w:r>
        <w:rPr>
          <w:rFonts w:ascii="Times New Roman" w:hAnsi="Times New Roman"/>
          <w:sz w:val="14"/>
        </w:rPr>
        <w:t xml:space="preserve">[4]  </w:t>
      </w:r>
      <w:r>
        <w:rPr>
          <w:rFonts w:ascii="Times New Roman" w:hAnsi="Times New Roman"/>
          <w:i w:val="0"/>
          <w:sz w:val="14"/>
        </w:rPr>
        <w:t xml:space="preserve">K. Deb, A. Pratap, S. Agarwal, and T. Meyarivan, "A fast and elitist multiobjective genetic algorithm: NSGA-II," </w:t>
      </w:r>
      <w:r>
        <w:rPr>
          <w:rFonts w:ascii="Times New Roman" w:hAnsi="Times New Roman"/>
          <w:i/>
          <w:sz w:val="14"/>
        </w:rPr>
        <w:t>IEEE Trans. Evol. Comput.</w:t>
      </w:r>
      <w:r>
        <w:rPr>
          <w:rFonts w:ascii="Times New Roman" w:hAnsi="Times New Roman"/>
          <w:i w:val="0"/>
          <w:sz w:val="14"/>
        </w:rPr>
        <w:t>, vol. 6, no. 2, pp. 182-197, 2002.</w:t>
      </w:r>
    </w:p>
    <w:p w14:paraId="5B1B87D5">
      <w:pPr>
        <w:spacing w:before="0" w:after="0" w:line="168" w:lineRule="auto"/>
        <w:ind w:hanging="150"/>
        <w:jc w:val="both"/>
        <w:rPr>
          <w:rFonts w:hint="default" w:ascii="Times New Roman" w:hAnsi="Times New Roman" w:cs="Times New Roman"/>
        </w:rPr>
      </w:pPr>
      <w:r>
        <w:rPr>
          <w:rFonts w:ascii="Times New Roman" w:hAnsi="Times New Roman"/>
          <w:sz w:val="14"/>
        </w:rPr>
        <w:t xml:space="preserve">[5]  </w:t>
      </w:r>
      <w:r>
        <w:rPr>
          <w:rFonts w:ascii="Times New Roman" w:hAnsi="Times New Roman"/>
          <w:i w:val="0"/>
          <w:sz w:val="14"/>
        </w:rPr>
        <w:t xml:space="preserve">X. Xue, C. Yang, Y. Hu, et al., “Evolutionary sequential transfer optimization for objective-heterogeneous problems,” </w:t>
      </w:r>
      <w:r>
        <w:rPr>
          <w:rFonts w:ascii="Times New Roman" w:hAnsi="Times New Roman"/>
          <w:i/>
          <w:sz w:val="14"/>
        </w:rPr>
        <w:t>IEEE Trans. Evol. Comput.</w:t>
      </w:r>
      <w:r>
        <w:rPr>
          <w:rFonts w:ascii="Times New Roman" w:hAnsi="Times New Roman"/>
          <w:i w:val="0"/>
          <w:sz w:val="14"/>
        </w:rPr>
        <w:t>, vol. 26, no. 6, pp. 1424-1438, 2022.</w:t>
      </w:r>
    </w:p>
    <w:p w14:paraId="459A92FB">
      <w:pPr>
        <w:spacing w:before="0" w:after="0" w:line="168" w:lineRule="auto"/>
        <w:ind w:hanging="150"/>
        <w:jc w:val="both"/>
        <w:rPr>
          <w:rFonts w:hint="default" w:ascii="Times New Roman" w:hAnsi="Times New Roman" w:cs="Times New Roman"/>
        </w:rPr>
      </w:pPr>
      <w:r>
        <w:rPr>
          <w:rFonts w:ascii="Times New Roman" w:hAnsi="Times New Roman"/>
          <w:sz w:val="14"/>
        </w:rPr>
        <w:t xml:space="preserve">[6]  </w:t>
      </w:r>
      <w:r>
        <w:rPr>
          <w:rFonts w:ascii="Times New Roman" w:hAnsi="Times New Roman"/>
          <w:i w:val="0"/>
          <w:sz w:val="14"/>
        </w:rPr>
        <w:t>M. E. Baran and F. F. Wu, "Network reconfiguration in distribution systems for loss reduction and load balancing," IEEE Trans. Power Del., vol. 4, no. 2, pp. 1401-1407, 1989.</w:t>
      </w:r>
    </w:p>
    <w:p w14:paraId="1DDB20FA">
      <w:pPr>
        <w:keepNext w:val="0"/>
        <w:keepLines w:val="0"/>
        <w:pageBreakBefore w:val="0"/>
        <w:widowControl/>
        <w:kinsoku/>
        <w:wordWrap w:val="0"/>
        <w:overflowPunct/>
        <w:topLinePunct w:val="0"/>
        <w:autoSpaceDE/>
        <w:autoSpaceDN/>
        <w:bidi w:val="0"/>
        <w:adjustRightInd/>
        <w:snapToGrid/>
        <w:spacing w:before="0" w:after="0" w:line="168" w:lineRule="auto"/>
        <w:ind w:hanging="147"/>
        <w:jc w:val="both"/>
        <w:textAlignment w:val="auto"/>
        <w:rPr>
          <w:rFonts w:hint="default" w:ascii="Times New Roman" w:hAnsi="Times New Roman" w:cs="Times New Roman"/>
        </w:rPr>
      </w:pPr>
      <w:r>
        <w:rPr>
          <w:rFonts w:ascii="Times New Roman" w:hAnsi="Times New Roman"/>
          <w:sz w:val="14"/>
        </w:rPr>
        <w:t>[7]  European Commission, JRC, “Photovoltaic Geographical Information System (PVGIS),” 2026. [Online]. Available: https://re.jrc.ec.europa.eu/pvg_tools/en/. [Accessed: Jul. 2026].</w:t>
      </w:r>
      <w:r>
        <w:rPr>
          <w:rFonts w:ascii="Times New Roman" w:hAnsi="Times New Roman"/>
          <w:i w:val="0"/>
          <w:sz w:val="14"/>
        </w:rPr>
      </w:r>
    </w:p>
    <w:p>
      <w:pPr>
        <w:spacing w:before="0" w:after="0" w:line="168" w:lineRule="auto"/>
        <w:ind w:hanging="150"/>
        <w:jc w:val="both"/>
      </w:pPr>
      <w:r>
        <w:rPr>
          <w:rFonts w:ascii="Times New Roman" w:hAnsi="Times New Roman"/>
          <w:sz w:val="14"/>
        </w:rPr>
        <w:t xml:space="preserve">[8]  </w:t>
      </w:r>
      <w:r>
        <w:rPr>
          <w:rFonts w:ascii="Times New Roman" w:hAnsi="Times New Roman"/>
          <w:i w:val="0"/>
          <w:sz w:val="14"/>
        </w:rPr>
        <w:t xml:space="preserve">K. Deb and H. Jain, "An evolutionary many-objective optimization algorithm using reference-point-based nondominated sorting approach, part I: solving problems with box constraints," </w:t>
      </w:r>
      <w:r>
        <w:rPr>
          <w:rFonts w:ascii="Times New Roman" w:hAnsi="Times New Roman"/>
          <w:i/>
          <w:sz w:val="14"/>
        </w:rPr>
        <w:t>IEEE Trans. Evol. Comput.</w:t>
      </w:r>
      <w:r>
        <w:rPr>
          <w:rFonts w:ascii="Times New Roman" w:hAnsi="Times New Roman"/>
          <w:i w:val="0"/>
          <w:sz w:val="14"/>
        </w:rPr>
        <w:t>, vol. 18, no. 4, pp. 577-601, 2014.</w:t>
      </w:r>
    </w:p>
    <w:sectPr>
      <w:type w:val="continuous"/>
      <w:pgSz w:w="12240" w:h="15840"/>
      <w:pgMar w:top="1080" w:right="893" w:bottom="1440" w:left="893" w:header="720" w:footer="720" w:gutter="0"/>
      <w:cols w:space="36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C5293"/>
    <w:rsid w:val="00AA1D8D"/>
    <w:rsid w:val="00B47730"/>
    <w:rsid w:val="00CB0664"/>
    <w:rsid w:val="00CE4840"/>
    <w:rsid w:val="00CF3752"/>
    <w:rsid w:val="00FC693F"/>
    <w:rsid w:val="01260F37"/>
    <w:rsid w:val="01AE12BB"/>
    <w:rsid w:val="01CA3F1A"/>
    <w:rsid w:val="02C70E81"/>
    <w:rsid w:val="03392E47"/>
    <w:rsid w:val="034877EC"/>
    <w:rsid w:val="034D4E02"/>
    <w:rsid w:val="03546962"/>
    <w:rsid w:val="036A7762"/>
    <w:rsid w:val="03716088"/>
    <w:rsid w:val="03F82FC0"/>
    <w:rsid w:val="04952304"/>
    <w:rsid w:val="04966335"/>
    <w:rsid w:val="04A4119D"/>
    <w:rsid w:val="04E36F17"/>
    <w:rsid w:val="04E46248"/>
    <w:rsid w:val="050D2A9B"/>
    <w:rsid w:val="05432019"/>
    <w:rsid w:val="05EF2F96"/>
    <w:rsid w:val="061211BE"/>
    <w:rsid w:val="061B11E8"/>
    <w:rsid w:val="065344DE"/>
    <w:rsid w:val="06565D7C"/>
    <w:rsid w:val="06A42F8B"/>
    <w:rsid w:val="07097292"/>
    <w:rsid w:val="072F4F4B"/>
    <w:rsid w:val="077D49D8"/>
    <w:rsid w:val="07C37441"/>
    <w:rsid w:val="081E6EFC"/>
    <w:rsid w:val="082814CF"/>
    <w:rsid w:val="08FB2C0B"/>
    <w:rsid w:val="09A6011A"/>
    <w:rsid w:val="09BB6966"/>
    <w:rsid w:val="0A226E29"/>
    <w:rsid w:val="0ABD461B"/>
    <w:rsid w:val="0AD41965"/>
    <w:rsid w:val="0B161F7E"/>
    <w:rsid w:val="0B640E1B"/>
    <w:rsid w:val="0B7F5D75"/>
    <w:rsid w:val="0BDB744F"/>
    <w:rsid w:val="0C4572E3"/>
    <w:rsid w:val="0C5C7E64"/>
    <w:rsid w:val="0C7E427E"/>
    <w:rsid w:val="0D1D1AC4"/>
    <w:rsid w:val="0D566567"/>
    <w:rsid w:val="0DB77A48"/>
    <w:rsid w:val="0DBF68FD"/>
    <w:rsid w:val="0DCD1AD5"/>
    <w:rsid w:val="0E1A4D56"/>
    <w:rsid w:val="0EDE2DB2"/>
    <w:rsid w:val="0F024CF3"/>
    <w:rsid w:val="0F67724C"/>
    <w:rsid w:val="0F7C24AA"/>
    <w:rsid w:val="0F8C280E"/>
    <w:rsid w:val="0F9F69E6"/>
    <w:rsid w:val="106775C3"/>
    <w:rsid w:val="108300B5"/>
    <w:rsid w:val="120435CD"/>
    <w:rsid w:val="12C86253"/>
    <w:rsid w:val="12D14D6A"/>
    <w:rsid w:val="13122ABD"/>
    <w:rsid w:val="145F228C"/>
    <w:rsid w:val="14AD5701"/>
    <w:rsid w:val="14C64A14"/>
    <w:rsid w:val="15536B51"/>
    <w:rsid w:val="156758B0"/>
    <w:rsid w:val="156D4E90"/>
    <w:rsid w:val="15FA06DC"/>
    <w:rsid w:val="1633712C"/>
    <w:rsid w:val="172C59B5"/>
    <w:rsid w:val="17A4103D"/>
    <w:rsid w:val="18511F7B"/>
    <w:rsid w:val="185D2F9A"/>
    <w:rsid w:val="18C257E8"/>
    <w:rsid w:val="19816DB3"/>
    <w:rsid w:val="1A626F8D"/>
    <w:rsid w:val="1AF44089"/>
    <w:rsid w:val="1B1C5ADB"/>
    <w:rsid w:val="1B702014"/>
    <w:rsid w:val="1BAA0BEC"/>
    <w:rsid w:val="1BBD7433"/>
    <w:rsid w:val="1C2B6096"/>
    <w:rsid w:val="1C5B1EE6"/>
    <w:rsid w:val="1C6A081D"/>
    <w:rsid w:val="1CA70C88"/>
    <w:rsid w:val="1D01483C"/>
    <w:rsid w:val="1D22539B"/>
    <w:rsid w:val="1E2E1F24"/>
    <w:rsid w:val="1E36026B"/>
    <w:rsid w:val="1F9C0A65"/>
    <w:rsid w:val="1FE0357D"/>
    <w:rsid w:val="1FE30229"/>
    <w:rsid w:val="20A57B28"/>
    <w:rsid w:val="20DF30E6"/>
    <w:rsid w:val="216C51F8"/>
    <w:rsid w:val="21B07753"/>
    <w:rsid w:val="21B856E5"/>
    <w:rsid w:val="21C77D00"/>
    <w:rsid w:val="221F7512"/>
    <w:rsid w:val="22EA18E2"/>
    <w:rsid w:val="23297026"/>
    <w:rsid w:val="23953F30"/>
    <w:rsid w:val="242A477B"/>
    <w:rsid w:val="24961D0D"/>
    <w:rsid w:val="24975A86"/>
    <w:rsid w:val="25525847"/>
    <w:rsid w:val="256D4B57"/>
    <w:rsid w:val="25761B3F"/>
    <w:rsid w:val="264F486A"/>
    <w:rsid w:val="26672348"/>
    <w:rsid w:val="26A65805"/>
    <w:rsid w:val="26DD78FA"/>
    <w:rsid w:val="271433BD"/>
    <w:rsid w:val="271909D4"/>
    <w:rsid w:val="2830143E"/>
    <w:rsid w:val="28EC2844"/>
    <w:rsid w:val="28F575CF"/>
    <w:rsid w:val="2973261D"/>
    <w:rsid w:val="29736AC1"/>
    <w:rsid w:val="298712CF"/>
    <w:rsid w:val="2A385615"/>
    <w:rsid w:val="2ABB4FF3"/>
    <w:rsid w:val="2AD27734"/>
    <w:rsid w:val="2B2B5A49"/>
    <w:rsid w:val="2B763FCF"/>
    <w:rsid w:val="2BF13CCD"/>
    <w:rsid w:val="2C004054"/>
    <w:rsid w:val="2D773D38"/>
    <w:rsid w:val="2D8755B3"/>
    <w:rsid w:val="2E5D734C"/>
    <w:rsid w:val="2EC87616"/>
    <w:rsid w:val="2EDA6C9B"/>
    <w:rsid w:val="2F397E65"/>
    <w:rsid w:val="2F6550C0"/>
    <w:rsid w:val="2FD302BA"/>
    <w:rsid w:val="300206D5"/>
    <w:rsid w:val="30E16A06"/>
    <w:rsid w:val="3126266B"/>
    <w:rsid w:val="316A69FC"/>
    <w:rsid w:val="3173175F"/>
    <w:rsid w:val="319D5437"/>
    <w:rsid w:val="31A94CC1"/>
    <w:rsid w:val="31CF15AD"/>
    <w:rsid w:val="322102F2"/>
    <w:rsid w:val="331D7A9E"/>
    <w:rsid w:val="33437E6D"/>
    <w:rsid w:val="33443479"/>
    <w:rsid w:val="33444B2C"/>
    <w:rsid w:val="337467D7"/>
    <w:rsid w:val="33850849"/>
    <w:rsid w:val="35481835"/>
    <w:rsid w:val="358D4A67"/>
    <w:rsid w:val="35D07049"/>
    <w:rsid w:val="36BF5E38"/>
    <w:rsid w:val="36FD79CA"/>
    <w:rsid w:val="374C0952"/>
    <w:rsid w:val="37E22DB7"/>
    <w:rsid w:val="38375C06"/>
    <w:rsid w:val="39495149"/>
    <w:rsid w:val="39C2500F"/>
    <w:rsid w:val="39C26CA9"/>
    <w:rsid w:val="39D61D44"/>
    <w:rsid w:val="3AC30B19"/>
    <w:rsid w:val="3BB840E2"/>
    <w:rsid w:val="3BC46D08"/>
    <w:rsid w:val="3BDF7FE6"/>
    <w:rsid w:val="3C723457"/>
    <w:rsid w:val="3CD84C49"/>
    <w:rsid w:val="3E974BA8"/>
    <w:rsid w:val="3EEF6CC1"/>
    <w:rsid w:val="3EF5367D"/>
    <w:rsid w:val="3F4C14EF"/>
    <w:rsid w:val="3F68494B"/>
    <w:rsid w:val="3FBA0B4E"/>
    <w:rsid w:val="3FF454DB"/>
    <w:rsid w:val="402978A4"/>
    <w:rsid w:val="405F16F6"/>
    <w:rsid w:val="40AF10F4"/>
    <w:rsid w:val="40DF6392"/>
    <w:rsid w:val="40E37C31"/>
    <w:rsid w:val="41DA7286"/>
    <w:rsid w:val="420F4A55"/>
    <w:rsid w:val="42A709DB"/>
    <w:rsid w:val="42B3131D"/>
    <w:rsid w:val="435832D1"/>
    <w:rsid w:val="446612A5"/>
    <w:rsid w:val="446D7F8E"/>
    <w:rsid w:val="4594599D"/>
    <w:rsid w:val="46027693"/>
    <w:rsid w:val="461D1E37"/>
    <w:rsid w:val="462976F5"/>
    <w:rsid w:val="46342C88"/>
    <w:rsid w:val="469C5EE4"/>
    <w:rsid w:val="469D2F78"/>
    <w:rsid w:val="46ED7799"/>
    <w:rsid w:val="47680E90"/>
    <w:rsid w:val="4780267D"/>
    <w:rsid w:val="47853361"/>
    <w:rsid w:val="48903ED5"/>
    <w:rsid w:val="48D96607"/>
    <w:rsid w:val="48DD4703"/>
    <w:rsid w:val="4A171C9D"/>
    <w:rsid w:val="4A3E05CE"/>
    <w:rsid w:val="4A89557F"/>
    <w:rsid w:val="4AEC1DD8"/>
    <w:rsid w:val="4CDA2830"/>
    <w:rsid w:val="4D471547"/>
    <w:rsid w:val="4D550108"/>
    <w:rsid w:val="4D5E2ED5"/>
    <w:rsid w:val="4D6420F9"/>
    <w:rsid w:val="4EAF3848"/>
    <w:rsid w:val="4F0771E0"/>
    <w:rsid w:val="4F870321"/>
    <w:rsid w:val="50010F5D"/>
    <w:rsid w:val="50770396"/>
    <w:rsid w:val="5099030C"/>
    <w:rsid w:val="51493AE0"/>
    <w:rsid w:val="514C5F8F"/>
    <w:rsid w:val="51AD7AEB"/>
    <w:rsid w:val="52350508"/>
    <w:rsid w:val="529A65BD"/>
    <w:rsid w:val="52E723A3"/>
    <w:rsid w:val="53F12DDC"/>
    <w:rsid w:val="541F6689"/>
    <w:rsid w:val="54216F96"/>
    <w:rsid w:val="54D264E2"/>
    <w:rsid w:val="551268DF"/>
    <w:rsid w:val="55712811"/>
    <w:rsid w:val="55CA71B9"/>
    <w:rsid w:val="5706321F"/>
    <w:rsid w:val="572F19CA"/>
    <w:rsid w:val="57347DAF"/>
    <w:rsid w:val="574014E1"/>
    <w:rsid w:val="57862D9C"/>
    <w:rsid w:val="57AD4DFB"/>
    <w:rsid w:val="583A23D4"/>
    <w:rsid w:val="58CB5722"/>
    <w:rsid w:val="58F22CAF"/>
    <w:rsid w:val="5903310E"/>
    <w:rsid w:val="593A51BD"/>
    <w:rsid w:val="59441762"/>
    <w:rsid w:val="59C745E5"/>
    <w:rsid w:val="59ED3476"/>
    <w:rsid w:val="5AFC1BC3"/>
    <w:rsid w:val="5B2C37D5"/>
    <w:rsid w:val="5B7420A1"/>
    <w:rsid w:val="5C845FBE"/>
    <w:rsid w:val="5CD97003"/>
    <w:rsid w:val="5D053910"/>
    <w:rsid w:val="5D495CFE"/>
    <w:rsid w:val="5DA65EFA"/>
    <w:rsid w:val="5DE84681"/>
    <w:rsid w:val="5DF66859"/>
    <w:rsid w:val="5E39312E"/>
    <w:rsid w:val="5EC94A7D"/>
    <w:rsid w:val="5ECF3E31"/>
    <w:rsid w:val="5ED20EA4"/>
    <w:rsid w:val="5F094E5B"/>
    <w:rsid w:val="5F49114F"/>
    <w:rsid w:val="5F9F1531"/>
    <w:rsid w:val="5FFE018B"/>
    <w:rsid w:val="60003F04"/>
    <w:rsid w:val="60454C9A"/>
    <w:rsid w:val="60936074"/>
    <w:rsid w:val="60CC028A"/>
    <w:rsid w:val="61005930"/>
    <w:rsid w:val="610B0DB2"/>
    <w:rsid w:val="613921C4"/>
    <w:rsid w:val="613B0F6B"/>
    <w:rsid w:val="625422E5"/>
    <w:rsid w:val="62F942A3"/>
    <w:rsid w:val="63190CCD"/>
    <w:rsid w:val="635B76A3"/>
    <w:rsid w:val="63C67883"/>
    <w:rsid w:val="63C74D38"/>
    <w:rsid w:val="63CE3967"/>
    <w:rsid w:val="64025D70"/>
    <w:rsid w:val="644545DB"/>
    <w:rsid w:val="645C36D2"/>
    <w:rsid w:val="64607667"/>
    <w:rsid w:val="64C327E2"/>
    <w:rsid w:val="64C33FAD"/>
    <w:rsid w:val="65297A59"/>
    <w:rsid w:val="65744A4C"/>
    <w:rsid w:val="657B5DDA"/>
    <w:rsid w:val="65BC08CD"/>
    <w:rsid w:val="65D82A9D"/>
    <w:rsid w:val="66083B12"/>
    <w:rsid w:val="666B5609"/>
    <w:rsid w:val="669C06FE"/>
    <w:rsid w:val="669E0497"/>
    <w:rsid w:val="66B0537C"/>
    <w:rsid w:val="687F5BE1"/>
    <w:rsid w:val="68CF0917"/>
    <w:rsid w:val="699670B1"/>
    <w:rsid w:val="69A91168"/>
    <w:rsid w:val="6A1327BB"/>
    <w:rsid w:val="6A9E4112"/>
    <w:rsid w:val="6B2C2704"/>
    <w:rsid w:val="6B3C600C"/>
    <w:rsid w:val="6B737C7F"/>
    <w:rsid w:val="6BD33AB4"/>
    <w:rsid w:val="6BF863D7"/>
    <w:rsid w:val="6C8859AD"/>
    <w:rsid w:val="6D4C314B"/>
    <w:rsid w:val="6D8B6DD7"/>
    <w:rsid w:val="6DA31C56"/>
    <w:rsid w:val="6E993D43"/>
    <w:rsid w:val="6EEB2223"/>
    <w:rsid w:val="6FCF6FF9"/>
    <w:rsid w:val="70310109"/>
    <w:rsid w:val="705D0EFE"/>
    <w:rsid w:val="726C5429"/>
    <w:rsid w:val="72916C3D"/>
    <w:rsid w:val="72C93C83"/>
    <w:rsid w:val="73104006"/>
    <w:rsid w:val="73223D39"/>
    <w:rsid w:val="73C84DFA"/>
    <w:rsid w:val="74321150"/>
    <w:rsid w:val="746C7A2D"/>
    <w:rsid w:val="74F636CF"/>
    <w:rsid w:val="75CA019C"/>
    <w:rsid w:val="75F53987"/>
    <w:rsid w:val="75F66D43"/>
    <w:rsid w:val="76D4359C"/>
    <w:rsid w:val="771A3308"/>
    <w:rsid w:val="77534E09"/>
    <w:rsid w:val="77AF0A7E"/>
    <w:rsid w:val="77B07B65"/>
    <w:rsid w:val="77F008AA"/>
    <w:rsid w:val="78D15FE5"/>
    <w:rsid w:val="796E3958"/>
    <w:rsid w:val="798B3EC4"/>
    <w:rsid w:val="798E2128"/>
    <w:rsid w:val="79CB0C87"/>
    <w:rsid w:val="7A97325F"/>
    <w:rsid w:val="7A9F774F"/>
    <w:rsid w:val="7AB114DA"/>
    <w:rsid w:val="7AC31DEF"/>
    <w:rsid w:val="7AFE508C"/>
    <w:rsid w:val="7BAD61AB"/>
    <w:rsid w:val="7BB0282A"/>
    <w:rsid w:val="7C831CEC"/>
    <w:rsid w:val="7D0D7808"/>
    <w:rsid w:val="7F032DB7"/>
    <w:rsid w:val="7F1A633B"/>
    <w:rsid w:val="7F923F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1344</Words>
  <Characters>7824</Characters>
  <Lines>0</Lines>
  <Paragraphs>0</Paragraphs>
  <TotalTime>6</TotalTime>
  <ScaleCrop>false</ScaleCrop>
  <LinksUpToDate>false</LinksUpToDate>
  <CharactersWithSpaces>9081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许恒</cp:lastModifiedBy>
  <dcterms:modified xsi:type="dcterms:W3CDTF">2026-07-06T10:33:23Z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eyJoZGlkIjoiODViY2JkMjU3NGYzZTEwMzZmMGFkZWViYmNkYWU3NDIiLCJ1c2VySWQiOiIxMzk5MjQ5MDE5In0=</vt:lpwstr>
  </property>
  <property fmtid="{D5CDD505-2E9C-101B-9397-08002B2CF9AE}" pid="3" name="KSOProductBuildVer">
    <vt:lpwstr>2052-12.1.0.26895</vt:lpwstr>
  </property>
  <property fmtid="{D5CDD505-2E9C-101B-9397-08002B2CF9AE}" pid="4" name="ICV">
    <vt:lpwstr>D23589F5BD274E27BCFA64728C649897_12</vt:lpwstr>
  </property>
</Properties>
</file>