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CF487">
      <w:pPr>
        <w:spacing w:before="0" w:after="60" w:line="23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48"/>
        </w:rPr>
        <w:t xml:space="preserve">Engineering-Prior-Guided NSGA-II for Elastic Capacity-Load Ratio Planning under High Distributed Photovoltaic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48"/>
        </w:rPr>
        <w:t>Penetration</w:t>
      </w:r>
    </w:p>
    <w:p w14:paraId="383D8B4B">
      <w:pPr>
        <w:spacing w:before="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2"/>
        </w:rPr>
        <w:t>Heng Xu</w:t>
      </w:r>
    </w:p>
    <w:p w14:paraId="29884621">
      <w:pPr>
        <w:spacing w:before="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20"/>
        </w:rPr>
        <w:t>School of Electrical Engineering</w:t>
      </w:r>
    </w:p>
    <w:p w14:paraId="06C61D16">
      <w:pPr>
        <w:spacing w:before="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20"/>
        </w:rPr>
        <w:t>China University of Mining and Technology</w:t>
      </w:r>
    </w:p>
    <w:p w14:paraId="56E37532">
      <w:pPr>
        <w:spacing w:before="0" w:after="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20"/>
        </w:rPr>
        <w:t>Xuzhou, Jiangsu, China</w:t>
      </w:r>
    </w:p>
    <w:p w14:paraId="212ECB0E">
      <w:pPr>
        <w:spacing w:before="0" w:after="8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20"/>
        </w:rPr>
        <w:t>ts24230188p31@cumt.edu.cn</w:t>
      </w:r>
    </w:p>
    <w:p w14:paraId="0ECFC848">
      <w:pPr>
        <w:rPr>
          <w:rFonts w:hint="default" w:ascii="Times New Roman" w:hAnsi="Times New Roman" w:cs="Times New Roman"/>
        </w:rPr>
        <w:sectPr>
          <w:pgSz w:w="12240" w:h="15840"/>
          <w:pgMar w:top="1080" w:right="893" w:bottom="1440" w:left="893" w:header="720" w:footer="720" w:gutter="0"/>
          <w:cols w:space="720" w:num="1"/>
          <w:docGrid w:linePitch="360" w:charSpace="0"/>
        </w:sectPr>
      </w:pPr>
    </w:p>
    <w:p w14:paraId="5EB4C81E">
      <w:pPr>
        <w:spacing w:before="0" w:after="6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/>
          <w:smallCaps w:val="0"/>
          <w:sz w:val="18"/>
        </w:rPr>
        <w:t xml:space="preserve">Abstract—High-penetration distributed PV challenges fixed capacity-load ratio planning in county 110 kV grids by introducing reverse power and changing N-1 supply risk. This paper formulates an elastic per-station planning model that couples capacity-load ratio, storage power, reverse-power constraints, and supply risk. Engineering-Prior-Guided NSGA-II (EPG-NSGA-II) combines feasibility-aware initialization with repair projection to improve constrained search efficiency. In a synthetic county case with K=20, the selected elastic configuration reduces the annualized cost index by 13.1% relative to the uniform R=2.0 baseline </w:t>
      </w:r>
      <w:r>
        <w:rPr>
          <w:rFonts w:hint="eastAsia" w:ascii="Times New Roman" w:hAnsi="Times New Roman" w:eastAsia="宋体" w:cs="Times New Roman"/>
          <w:b/>
          <w:i/>
          <w:smallCaps w:val="0"/>
          <w:sz w:val="18"/>
          <w:lang w:eastAsia="zh-CN"/>
        </w:rPr>
        <w:t>under equal EENS</w:t>
      </w:r>
      <w:r>
        <w:rPr>
          <w:rFonts w:hint="default" w:ascii="Times New Roman" w:hAnsi="Times New Roman" w:eastAsia="Times New Roman" w:cs="Times New Roman"/>
          <w:b/>
          <w:i/>
          <w:smallCaps w:val="0"/>
          <w:sz w:val="18"/>
        </w:rPr>
        <w:t>. At K=40, EPG-NSGA-II reaches a comparable hypervolume with fewer evaluations than plain NSGA-II.</w:t>
      </w:r>
    </w:p>
    <w:p w14:paraId="1D7C4C76">
      <w:pPr>
        <w:spacing w:before="0" w:after="8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i/>
          <w:smallCaps w:val="0"/>
          <w:sz w:val="18"/>
        </w:rPr>
        <w:t>Index Terms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z w:val="18"/>
        </w:rPr>
        <w:t>—Distributed photovoltaics, capacity-load ratio, NSGA-II, multi-objective optimization, storage planning.</w:t>
      </w:r>
    </w:p>
    <w:p w14:paraId="3E05E10F">
      <w:pPr>
        <w:spacing w:before="6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/>
          <w:sz w:val="18"/>
        </w:rPr>
        <w:t>I.  INTRODUCTION</w:t>
      </w:r>
    </w:p>
    <w:p w14:paraId="0C07D510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High-penetration distributed PV is making county 110 kV grids increasingly bidirectional. Midday PV output may exceed local demand, causing reverse power and changing the N-1 supply margin [3]. A uniform county-wide capacity-load ratio may over-invest at moderate-PV stations while failing to reflect reverse-power pressure at PV-dense stations [1], [2]. Existing planning often relies on rigid ratio rules, while evolutionary optimization can search the cost-risk trade-off directly [1], [2], [5], [6]. Under strong engineering constraints, random initialization and variation can generate many infeasible individuals.</w:t>
      </w:r>
    </w:p>
    <w:p w14:paraId="666B67A2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val="en-US" w:eastAsia="zh-CN"/>
        </w:rPr>
        <w:t>This paper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propose</w:t>
      </w: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val="en-US" w:eastAsia="zh-CN"/>
        </w:rPr>
        <w:t>s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EPG-NSGA-II</w:t>
      </w: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val="en-US" w:eastAsia="zh-CN"/>
        </w:rPr>
        <w:t xml:space="preserve"> t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o address this feasibility bottleneck</w:t>
      </w: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val="en-US" w:eastAsia="zh-CN"/>
        </w:rPr>
        <w:t xml:space="preserve">.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It keeps nondominated sorting unchanged and adds two engineering-prior operators: warm-start sampling within engineering bounds and repair projection after variation. The contributions are threefold: an elastic capacity-load ratio model with reverse-power and N-1 constraints, an EPG-NSGA-II strategy with warm-start sampling and repair projection, and a synthetic county case with ablation analysis.</w:t>
      </w:r>
    </w:p>
    <w:p w14:paraId="78E08A46">
      <w:pPr>
        <w:spacing w:before="6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/>
          <w:sz w:val="18"/>
        </w:rPr>
        <w:t>II.  ENGINEERING-PRIOR-GUIDED NSGA-II</w:t>
      </w:r>
    </w:p>
    <w:p w14:paraId="28DE3553">
      <w:pPr>
        <w:spacing w:before="40" w:after="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18"/>
        </w:rPr>
        <w:t>A.  Planning Model</w:t>
      </w:r>
    </w:p>
    <w:p w14:paraId="5BF3FA44">
      <w:pPr>
        <w:spacing w:before="0" w:after="0" w:line="240" w:lineRule="auto"/>
        <w:ind w:firstLineChars="15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The model considers a set of 110 kV substations. Each station is assigned two planning variables: a capacity-load ratio and a storage power rating for absorbing reverse power.</w:t>
      </w: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Current peak loads are projected to the planning year with a 5% annual growth rate over a five-year horizon. The projected load of station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sz w:val="20"/>
          </w:rPr>
          <m:t>j</m:t>
        </m:r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, denoted by </w:t>
      </w:r>
      <m:oMath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L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p>
        </m:sSubSup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, is used consistently in the capacity, reverse-power, and N-1 risk terms.</w:t>
      </w:r>
    </w:p>
    <w:p w14:paraId="3094BF51">
      <w:pPr>
        <w:spacing w:before="0" w:after="0" w:line="240" w:lineRule="auto"/>
        <w:ind w:firstLineChars="15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The pre-storage midday reverse injection at station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sz w:val="20"/>
          </w:rPr>
          <m:t>j</m:t>
        </m:r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denoted by </w:t>
      </w:r>
      <m:oMath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sz w:val="20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</w:rPr>
              <m:t>0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p>
        </m:sSubSup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. After storage absorption, the residual reverse power</w:t>
      </w:r>
      <w:r>
        <m:rPr/>
        <w:rPr>
          <w:rFonts w:hint="eastAsia" w:hAnsi="Cambria Math" w:eastAsia="宋体"/>
          <w:i w:val="0"/>
          <w:sz w:val="20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is given by</w:t>
      </w:r>
    </w:p>
    <w:tbl>
      <w:tblPr>
        <w:tblStyle w:val="32"/>
        <w:tblW w:w="47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"/>
        <w:gridCol w:w="4081"/>
        <w:gridCol w:w="566"/>
      </w:tblGrid>
      <w:tr w14:paraId="0652E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" w:type="dxa"/>
            <w:vAlign w:val="center"/>
          </w:tcPr>
          <w:p w14:paraId="4DA754B2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082" w:type="dxa"/>
            <w:vAlign w:val="center"/>
          </w:tcPr>
          <w:p w14:paraId="1C680C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eastAsia="宋体"/>
                            <w:b w:val="0"/>
                            <w:bCs w:val="0"/>
                            <w:sz w:val="2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0"/>
                          </w:rPr>
                          <m:t>r</m:t>
                        </m:r>
                        <m:ctrlPr>
                          <w:rPr>
                            <w:rFonts w:ascii="Cambria Math" w:hAnsi="Cambria Math" w:eastAsia="宋体"/>
                            <w:b w:val="0"/>
                            <w:bCs w:val="0"/>
                            <w:sz w:val="2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/>
                    <w:sz w:val="20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/>
                    <w:sz w:val="20"/>
                  </w:rPr>
                  <m:t>)=max{0,</m:t>
                </m:r>
                <m:sSubSup>
                  <m:sSubSupP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r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0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宋体"/>
                    <w:sz w:val="2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eastAsia="宋体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/>
                    <w:sz w:val="20"/>
                  </w:rPr>
                  <m:t>}</m:t>
                </m:r>
                <m:r>
                  <m:rPr/>
                  <w:rPr>
                    <w:rFonts w:hint="default" w:ascii="Cambria Math" w:hAnsi="Cambria Math" w:eastAsia="宋体"/>
                    <w:sz w:val="20"/>
                    <w:lang w:val="en-US" w:eastAsia="zh-CN"/>
                  </w:rPr>
                  <m:t xml:space="preserve"> .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0FF3E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20"/>
              </w:rPr>
              <w:t>(1)</w:t>
            </w:r>
          </w:p>
        </w:tc>
      </w:tr>
    </w:tbl>
    <w:p w14:paraId="460A97CE">
      <w:pPr>
        <w:spacing w:before="0" w:after="4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Here,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denotes the storage power rating assigned to station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sz w:val="20"/>
          </w:rPr>
          <m:t>j</m:t>
        </m:r>
      </m:oMath>
      <w:r>
        <m:rPr/>
        <w:rPr>
          <w:rFonts w:hint="eastAsia" w:hAnsi="Times New Roman" w:eastAsia="宋体" w:cs="Times New Roman"/>
          <w:b w:val="0"/>
          <w:bCs w:val="0"/>
          <w:i w:val="0"/>
          <w:sz w:val="20"/>
          <w:lang w:val="en-US" w:eastAsia="zh-CN"/>
        </w:rPr>
        <w:t xml:space="preserve"> .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i w:val="0"/>
                <w:smallCaps w:val="0"/>
                <w:sz w:val="20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eastAsia="Times New Roman" w:cs="Times New Roman"/>
                    <w:b w:val="0"/>
                    <w:i w:val="0"/>
                    <w:smallCaps w:val="0"/>
                    <w:sz w:val="20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Times New Roman" w:hAnsi="Times New Roman" w:eastAsia="Times New Roman" w:cs="Times New Roman"/>
                    <w:smallCaps w:val="0"/>
                    <w:sz w:val="20"/>
                  </w:rPr>
                  <m:t>r</m:t>
                </m:r>
                <m:ctrlPr>
                  <w:rPr>
                    <w:rFonts w:hint="default" w:ascii="Cambria Math" w:hAnsi="Cambria Math" w:eastAsia="Times New Roman" w:cs="Times New Roman"/>
                    <w:b w:val="0"/>
                    <w:i w:val="0"/>
                    <w:smallCaps w:val="0"/>
                    <w:sz w:val="20"/>
                  </w:rPr>
                </m:ctrlPr>
              </m:e>
            </m:acc>
            <m:ctrlPr>
              <w:rPr>
                <w:rFonts w:hint="default" w:ascii="Cambria Math" w:hAnsi="Cambria Math" w:eastAsia="Times New Roman" w:cs="Times New Roman"/>
                <w:b w:val="0"/>
                <w:i w:val="0"/>
                <w:smallCaps w:val="0"/>
                <w:sz w:val="20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Times New Roman" w:cs="Times New Roman"/>
                <w:smallCaps w:val="0"/>
                <w:sz w:val="20"/>
              </w:rPr>
              <m:t>j</m:t>
            </m:r>
            <m:ctrlPr>
              <w:rPr>
                <w:rFonts w:hint="default" w:ascii="Cambria Math" w:hAnsi="Cambria Math" w:eastAsia="Times New Roman" w:cs="Times New Roman"/>
                <w:b w:val="0"/>
                <w:i w:val="0"/>
                <w:smallCaps w:val="0"/>
                <w:sz w:val="20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Times New Roman" w:cs="Times New Roman"/>
            <w:smallCaps w:val="0"/>
            <w:sz w:val="20"/>
          </w:rPr>
          <m:t>(</m:t>
        </m:r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i w:val="0"/>
                <w:smallCaps w:val="0"/>
                <w:sz w:val="20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Times New Roman" w:cs="Times New Roman"/>
                <w:smallCaps w:val="0"/>
                <w:sz w:val="20"/>
              </w:rPr>
              <m:t>P</m:t>
            </m:r>
            <m:ctrlPr>
              <w:rPr>
                <w:rFonts w:hint="default" w:ascii="Cambria Math" w:hAnsi="Cambria Math" w:eastAsia="Times New Roman" w:cs="Times New Roman"/>
                <w:b w:val="0"/>
                <w:i w:val="0"/>
                <w:smallCaps w:val="0"/>
                <w:sz w:val="20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Times New Roman" w:cs="Times New Roman"/>
                <w:smallCaps w:val="0"/>
                <w:sz w:val="20"/>
              </w:rPr>
              <m:t>j</m:t>
            </m:r>
            <m:ctrlPr>
              <w:rPr>
                <w:rFonts w:hint="default" w:ascii="Cambria Math" w:hAnsi="Cambria Math" w:eastAsia="Times New Roman" w:cs="Times New Roman"/>
                <w:b w:val="0"/>
                <w:i w:val="0"/>
                <w:smallCaps w:val="0"/>
                <w:sz w:val="20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Times New Roman" w:cs="Times New Roman"/>
            <w:smallCaps w:val="0"/>
            <w:sz w:val="20"/>
          </w:rPr>
          <m:t>)</m:t>
        </m:r>
      </m:oMath>
      <w:r>
        <m:rPr/>
        <w:rPr>
          <w:rFonts w:hint="eastAsia" w:hAnsi="Times New Roman" w:eastAsia="宋体" w:cs="Times New Roman"/>
          <w:b w:val="0"/>
          <w:i w:val="0"/>
          <w:smallCaps w:val="0"/>
          <w:sz w:val="20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is the residual reverse power after storage absorption.</w:t>
      </w: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The capacity-load ratio </w:t>
      </w:r>
      <w:r>
        <w:rPr>
          <w:rFonts w:hint="default" w:ascii="Times New Roman" w:hAnsi="Times New Roman" w:eastAsia="Times New Roman" w:cs="Times New Roman"/>
          <w:b w:val="0"/>
          <w:i/>
          <w:smallCaps w:val="0"/>
          <w:sz w:val="20"/>
        </w:rPr>
        <w:t>R</w:t>
      </w:r>
      <w:r>
        <w:rPr>
          <w:rFonts w:hint="default" w:ascii="Times New Roman" w:hAnsi="Times New Roman" w:eastAsia="Times New Roman" w:cs="Times New Roman"/>
          <w:b w:val="0"/>
          <w:i/>
          <w:iCs/>
          <w:smallCaps w:val="0"/>
          <w:sz w:val="20"/>
          <w:vertAlign w:val="subscript"/>
        </w:rPr>
        <w:t>j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bounded within [1.2, 3.0], and the storage power rating </w:t>
      </w:r>
      <w:r>
        <w:rPr>
          <w:rFonts w:hint="default" w:ascii="Times New Roman" w:hAnsi="Times New Roman" w:eastAsia="Times New Roman" w:cs="Times New Roman"/>
          <w:b w:val="0"/>
          <w:i/>
          <w:smallCaps w:val="0"/>
          <w:sz w:val="20"/>
        </w:rPr>
        <w:t>P</w:t>
      </w:r>
      <w:r>
        <w:rPr>
          <w:rFonts w:hint="default" w:ascii="Times New Roman" w:hAnsi="Times New Roman" w:eastAsia="Times New Roman" w:cs="Times New Roman"/>
          <w:b w:val="0"/>
          <w:i/>
          <w:iCs/>
          <w:smallCaps w:val="0"/>
          <w:sz w:val="20"/>
          <w:vertAlign w:val="subscript"/>
        </w:rPr>
        <w:t>j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bounded within [0, 6] MW. The regional capacity-load ratio is constrained by the planning band in (2)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,</w:t>
      </w:r>
    </w:p>
    <w:tbl>
      <w:tblPr>
        <w:tblStyle w:val="32"/>
        <w:tblW w:w="47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"/>
        <w:gridCol w:w="4081"/>
        <w:gridCol w:w="566"/>
      </w:tblGrid>
      <w:tr w14:paraId="32F09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13" w:type="dxa"/>
            <w:vAlign w:val="center"/>
          </w:tcPr>
          <w:p w14:paraId="11280504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082" w:type="dxa"/>
            <w:vAlign w:val="center"/>
          </w:tcPr>
          <w:p w14:paraId="2F6EF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1.8≤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/(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b>
                      <m:sup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</m:nary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)≤2.2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sz w:val="20"/>
                    <w:lang w:val="en-US" w:eastAsia="zh-CN"/>
                  </w:rPr>
                  <m:t xml:space="preserve"> .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CB62E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20"/>
              </w:rPr>
              <w:t>(2)</w:t>
            </w:r>
          </w:p>
        </w:tc>
      </w:tr>
    </w:tbl>
    <w:p w14:paraId="4AD47D07">
      <w:pPr>
        <w:spacing w:before="0" w:after="4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This ratio is total planned capacity divided by the county planning-year peak. Residual reverse power is constrained at both station and upstream levels,</w:t>
      </w:r>
    </w:p>
    <w:tbl>
      <w:tblPr>
        <w:tblStyle w:val="32"/>
        <w:tblW w:w="47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"/>
        <w:gridCol w:w="4081"/>
        <w:gridCol w:w="566"/>
      </w:tblGrid>
      <w:tr w14:paraId="44EB5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13" w:type="dxa"/>
            <w:vAlign w:val="center"/>
          </w:tcPr>
          <w:p w14:paraId="2BE5931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82" w:type="dxa"/>
            <w:vAlign w:val="center"/>
          </w:tcPr>
          <w:p w14:paraId="45A2F6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00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iCs/>
                            <w:sz w:val="20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iCs/>
                            <w:sz w:val="20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iCs/>
                            <w:sz w:val="2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/>
                    <w:iCs/>
                    <w:sz w:val="20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/>
                    <w:iCs/>
                    <w:sz w:val="20"/>
                  </w:rPr>
                  <m:t>)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Times New Roman"/>
                    <w:b w:val="0"/>
                    <w:bCs w:val="0"/>
                    <w:i w:val="0"/>
                    <w:iCs/>
                    <w:sz w:val="20"/>
                  </w:rPr>
                  <m:t>≤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/>
                    <w:iCs/>
                    <w:sz w:val="20"/>
                  </w:rPr>
                  <m:t>β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iCs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iCs/>
                        <w:sz w:val="20"/>
                      </w:rPr>
                    </m:ctrlPr>
                  </m:sup>
                </m:sSubSup>
              </m:oMath>
            </m:oMathPara>
          </w:p>
          <w:p w14:paraId="1A5695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200"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m:oMathPara>
              <m:oMath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/>
                    <w:sz w:val="20"/>
                  </w:rPr>
                  <m:t>η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sz w:val="20"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i/>
                                <w:sz w:val="20"/>
                              </w:rPr>
                              <m:t>r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sz w:val="20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</m:nary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)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Times New Roman"/>
                    <w:b w:val="0"/>
                    <w:bCs w:val="0"/>
                    <w:i w:val="0"/>
                    <w:iCs w:val="0"/>
                    <w:sz w:val="20"/>
                  </w:rPr>
                  <m:t>≤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/>
                    <w:sz w:val="20"/>
                  </w:rPr>
                  <m:t>β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 w:val="0"/>
                        <w:sz w:val="20"/>
                      </w:rPr>
                      <m:t>220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/>
                    <w:sz w:val="20"/>
                  </w:rPr>
                  <m:t>δ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b>
                      <m:sup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0"/>
                    <w:lang w:val="en-US" w:eastAsia="zh-CN"/>
                  </w:rPr>
                  <m:t xml:space="preserve"> .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6A152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20"/>
                <w:szCs w:val="20"/>
              </w:rPr>
              <w:t>(3)</w:t>
            </w:r>
          </w:p>
        </w:tc>
      </w:tr>
    </w:tbl>
    <w:p w14:paraId="6E74987E">
      <w:pPr>
        <w:spacing w:before="0" w:after="40" w:line="240" w:lineRule="auto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where </w:t>
      </w:r>
      <w:r>
        <w:rPr>
          <w:rFonts w:hint="default" w:ascii="Times New Roman" w:hAnsi="Times New Roman" w:eastAsia="Times New Roman" w:cs="Times New Roman"/>
          <w:b w:val="0"/>
          <w:i/>
          <w:iCs/>
          <w:smallCaps w:val="0"/>
          <w:sz w:val="20"/>
        </w:rPr>
        <w:t>β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= 0.85 is the transformer reverse-loading limit,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</w:rPr>
              <m:t>220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= 1.8 the upper-level capacity-load ratio, </w:t>
      </w:r>
      <w:r>
        <w:rPr>
          <w:rFonts w:hint="default" w:ascii="Times New Roman" w:hAnsi="Times New Roman" w:eastAsia="Times New Roman" w:cs="Times New Roman"/>
          <w:b w:val="0"/>
          <w:i/>
          <w:iCs/>
          <w:smallCaps w:val="0"/>
          <w:sz w:val="20"/>
        </w:rPr>
        <w:t>δ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= 0.85 the upstream coincidence factor, and </w:t>
      </w:r>
      <w:r>
        <w:rPr>
          <w:rFonts w:hint="default" w:ascii="Times New Roman" w:hAnsi="Times New Roman" w:eastAsia="Times New Roman" w:cs="Times New Roman"/>
          <w:b w:val="0"/>
          <w:i/>
          <w:iCs/>
          <w:smallCaps w:val="0"/>
          <w:sz w:val="20"/>
        </w:rPr>
        <w:t>η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= 1.0 the reverse coincidence factor.</w:t>
      </w:r>
    </w:p>
    <w:p w14:paraId="31B6E351">
      <w:pPr>
        <w:spacing w:before="0" w:after="40" w:line="240" w:lineRule="auto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The first inequality limits station-level residual reverse power, while the second limits aggregated reverse power at the upstream interface.</w:t>
      </w:r>
    </w:p>
    <w:p w14:paraId="329A7E21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The optimization minimizes two conflicting objectives: annualized cost and N-1 supply risk,</w:t>
      </w:r>
    </w:p>
    <w:tbl>
      <w:tblPr>
        <w:tblStyle w:val="32"/>
        <w:tblW w:w="47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"/>
        <w:gridCol w:w="4081"/>
        <w:gridCol w:w="566"/>
      </w:tblGrid>
      <w:tr w14:paraId="53445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  <w:jc w:val="center"/>
        </w:trPr>
        <w:tc>
          <w:tcPr>
            <w:tcW w:w="113" w:type="dxa"/>
            <w:vAlign w:val="center"/>
          </w:tcPr>
          <w:p w14:paraId="2D211515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082" w:type="dxa"/>
            <w:vAlign w:val="center"/>
          </w:tcPr>
          <w:p w14:paraId="65AFCC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min (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0"/>
                        <w:szCs w:val="2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0"/>
                    <w:szCs w:val="20"/>
                    <w:lang w:val="en-US" w:eastAsia="zh-CN"/>
                  </w:rPr>
                  <m:t>,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 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)</m:t>
                </m:r>
              </m:oMath>
            </m:oMathPara>
          </w:p>
          <w:p w14:paraId="4D3903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 w:val="0"/>
                        <w:sz w:val="2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 w:val="0"/>
                        <w:sz w:val="20"/>
                      </w:rPr>
                      <m:t>(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loss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om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)</m:t>
                </m:r>
              </m:oMath>
            </m:oMathPara>
          </w:p>
          <w:p w14:paraId="160158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00" w:line="6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b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0"/>
                        <w:szCs w:val="20"/>
                      </w:rPr>
                      <m:t>​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0"/>
                            <w:szCs w:val="20"/>
                          </w:rPr>
                          <m:t>EENS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0"/>
                            <w:szCs w:val="20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e>
                </m:nary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,</m:t>
                </m:r>
                <m:sSubSup>
                  <m:sSubSup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0"/>
                        <w:szCs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b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0"/>
                        <w:szCs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0"/>
                    <w:szCs w:val="20"/>
                  </w:rPr>
                  <m:t>)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0"/>
                    <w:szCs w:val="20"/>
                    <w:lang w:val="en-US" w:eastAsia="zh-CN"/>
                  </w:rPr>
                  <m:t xml:space="preserve"> .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C9C0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20"/>
              </w:rPr>
              <w:t>(4)</w:t>
            </w:r>
          </w:p>
        </w:tc>
      </w:tr>
    </w:tbl>
    <w:p w14:paraId="19DBD709">
      <w:pPr>
        <w:spacing w:before="0" w:after="4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Here,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f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the annualized cost objective and </w:t>
      </w:r>
      <m:oMath>
        <m:sSub>
          <m:sSubPr>
            <m:ctrlPr>
              <w:rPr>
                <w:rFonts w:hint="default" w:ascii="Cambria Math" w:hAnsi="Cambria Math" w:cs="Times New Roman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0"/>
                <w:szCs w:val="20"/>
              </w:rPr>
              <m:t>f</m:t>
            </m:r>
            <m:ctrlPr>
              <w:rPr>
                <w:rFonts w:hint="default" w:ascii="Cambria Math" w:hAnsi="Cambria Math" w:cs="Times New Roman"/>
                <w:sz w:val="20"/>
                <w:szCs w:val="2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0"/>
                <w:szCs w:val="20"/>
              </w:rPr>
              <m:t>2</m:t>
            </m:r>
            <m:ctrlPr>
              <w:rPr>
                <w:rFonts w:hint="default" w:ascii="Cambria Math" w:hAnsi="Cambria Math" w:cs="Times New Roman"/>
                <w:sz w:val="20"/>
                <w:szCs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the N-1 risk objective. The parameters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c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and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c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are annualized unit costs, while </w:t>
      </w:r>
      <m:oMath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C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loss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p>
        </m:sSubSup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and </w:t>
      </w:r>
      <m:oMath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C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om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p>
        </m:sSubSup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denote annualized loss and O&amp;M costs. The N-1 risk </w:t>
      </w:r>
      <m:oMath>
        <m:sSub>
          <m:sSubPr>
            <m:ctrlPr>
              <w:rPr>
                <w:rFonts w:hint="default" w:ascii="Cambria Math" w:hAnsi="Cambria Math" w:cs="Times New Roman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0"/>
                <w:szCs w:val="20"/>
              </w:rPr>
              <m:t>f</m:t>
            </m:r>
            <m:ctrlPr>
              <w:rPr>
                <w:rFonts w:hint="default" w:ascii="Cambria Math" w:hAnsi="Cambria Math" w:cs="Times New Roman"/>
                <w:sz w:val="20"/>
                <w:szCs w:val="2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0"/>
                <w:szCs w:val="20"/>
              </w:rPr>
              <m:t>2</m:t>
            </m:r>
            <m:ctrlPr>
              <w:rPr>
                <w:rFonts w:hint="default" w:ascii="Cambria Math" w:hAnsi="Cambria Math" w:cs="Times New Roman"/>
                <w:sz w:val="20"/>
                <w:szCs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the total EENS,</w:t>
      </w:r>
    </w:p>
    <w:tbl>
      <w:tblPr>
        <w:tblStyle w:val="32"/>
        <w:tblW w:w="47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"/>
        <w:gridCol w:w="4081"/>
        <w:gridCol w:w="566"/>
      </w:tblGrid>
      <w:tr w14:paraId="7D77E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113" w:type="dxa"/>
            <w:vAlign w:val="center"/>
          </w:tcPr>
          <w:p w14:paraId="2E4B2560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082" w:type="dxa"/>
            <w:vAlign w:val="center"/>
          </w:tcPr>
          <w:p w14:paraId="60BC9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00"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EENS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s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 w:val="0"/>
                        <w:sz w:val="20"/>
                      </w:rPr>
                      <m:t>∈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20"/>
                          </w:rPr>
                          <m:t>Ω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bCs w:val="0"/>
                            <w:i/>
                            <w:sz w:val="20"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 w:val="0"/>
                        <w:sz w:val="20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/>
                    <w:sz w:val="20"/>
                  </w:rPr>
                  <m:t>max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{0,</m:t>
                </m:r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p>
                </m:sSub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j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 w:val="0"/>
                        <w:sz w:val="20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bCs w:val="0"/>
                        <w:i/>
                        <w:sz w:val="20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sz w:val="2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bCs w:val="0"/>
                    <w:i w:val="0"/>
                    <w:sz w:val="20"/>
                  </w:rPr>
                  <m:t>}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sz w:val="20"/>
                    <w:lang w:val="en-US" w:eastAsia="zh-CN"/>
                  </w:rPr>
                  <m:t xml:space="preserve"> .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CEE07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exact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20"/>
              </w:rPr>
              <w:t>(5)</w:t>
            </w:r>
          </w:p>
        </w:tc>
      </w:tr>
    </w:tbl>
    <w:p w14:paraId="782DE444">
      <w:pPr>
        <w:spacing w:before="0" w:after="40" w:line="240" w:lineRule="auto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In (5),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/>
              <w:rPr>
                <w:rFonts w:ascii="Cambria Math" w:hAnsi="Cambria Math" w:cs="Times New Roman"/>
                <w:sz w:val="20"/>
              </w:rPr>
              <m:t>Ω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the outage-state set,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s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and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s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are the probability and duration of state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sz w:val="20"/>
          </w:rPr>
          <m:t>s</m:t>
        </m:r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, and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S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j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</w:rPr>
              <m:t>s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0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is the available supply determined by transformer capacity and fixed tie-line support.</w:t>
      </w:r>
    </w:p>
    <w:p w14:paraId="0E2F1F8D">
      <w:pPr>
        <w:spacing w:before="0" w:after="4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 Storage is considered only for reverse-power absorption and is not credited as firm N-1 backup. The resulting optimization is subject to the variable bounds, the regional ratio band, and the reverse-power constraints.</w:t>
      </w:r>
    </w:p>
    <w:p w14:paraId="231AA41C">
      <w:pPr>
        <w:spacing w:before="40" w:after="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18"/>
        </w:rPr>
        <w:t>B.  EPG-NSGA-II Procedure</w:t>
      </w:r>
    </w:p>
    <w:p w14:paraId="3E1649FF">
      <w:pPr>
        <w:spacing w:before="0" w:after="0" w:line="240" w:lineRule="auto"/>
        <w:ind w:firstLineChars="150"/>
        <w:jc w:val="both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EPG-NSGA-II retains the NSGA-II backbone [6] and introduces warm-start sampling and repair projection before objective evaluation. </w:t>
      </w: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val="en-US" w:eastAsia="zh-CN"/>
        </w:rPr>
        <w:t>W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arm-start sampling seeds a near-feasible initial population; repair projection is applied after every variation step.</w:t>
      </w:r>
    </w:p>
    <w:tbl>
      <w:tblPr>
        <w:tblStyle w:val="32"/>
        <w:tblW w:w="504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</w:tblGrid>
      <w:tr w14:paraId="5CC1F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46" w:type="dxa"/>
            <w:tcBorders>
              <w:top w:val="single" w:color="000000" w:sz="12" w:space="0"/>
              <w:bottom w:val="single" w:color="000000" w:sz="4" w:space="0"/>
            </w:tcBorders>
            <w:vAlign w:val="center"/>
          </w:tcPr>
          <w:p w14:paraId="40F8AFD9">
            <w:pPr>
              <w:keepNext/>
              <w:spacing w:before="20" w:after="2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6"/>
              </w:rPr>
              <w:t xml:space="preserve">Algorithm 1 </w:t>
            </w:r>
            <w:r>
              <w:rPr>
                <w:rFonts w:hint="default" w:ascii="Times New Roman" w:hAnsi="Times New Roman" w:eastAsia="宋体" w:cs="Times New Roman"/>
                <w:b/>
                <w:i w:val="0"/>
                <w:smallCaps w:val="0"/>
                <w:sz w:val="16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EPG-NSGA-II</w:t>
            </w:r>
          </w:p>
        </w:tc>
      </w:tr>
      <w:tr w14:paraId="7F096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046" w:type="dxa"/>
            <w:tcBorders>
              <w:bottom w:val="single" w:color="000000" w:sz="12" w:space="0"/>
            </w:tcBorders>
          </w:tcPr>
          <w:p w14:paraId="4F6625A4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5"/>
              </w:rPr>
              <w:t>Input: D, bounds, ratio band, reverse-power parameters, N, G.</w:t>
            </w:r>
          </w:p>
          <w:p w14:paraId="5B51D7F6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5"/>
              </w:rPr>
              <w:t>Output: feasible nondominated set A.</w:t>
            </w:r>
          </w:p>
          <w:p w14:paraId="201A411E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1: 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P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 ←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mallCaps w:val="0"/>
                <w:sz w:val="15"/>
                <w:lang w:eastAsia="zh-CN"/>
              </w:rPr>
              <w:t>Warm-start sampling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(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D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N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)</w:t>
            </w:r>
          </w:p>
          <w:p w14:paraId="59E0DA40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2: P ←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mallCaps w:val="0"/>
                <w:sz w:val="15"/>
                <w:lang w:eastAsia="zh-CN"/>
              </w:rPr>
              <w:t>Repair projection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(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P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)</w:t>
            </w:r>
          </w:p>
          <w:p w14:paraId="58A0777D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3: Evaluate f1 and f2 for all individuals in P</w:t>
            </w:r>
          </w:p>
          <w:p w14:paraId="2C79067A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4: 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5"/>
              </w:rPr>
              <w:t xml:space="preserve">for 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 = 1 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5"/>
              </w:rPr>
              <w:t>to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G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5"/>
              </w:rPr>
              <w:t>do</w:t>
            </w:r>
          </w:p>
          <w:p w14:paraId="06DBB06D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5:   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Q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 ← Variation(P)</w:t>
            </w:r>
          </w:p>
          <w:p w14:paraId="7DDC27AF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6:   Q ←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mallCaps w:val="0"/>
                <w:sz w:val="15"/>
                <w:lang w:eastAsia="zh-CN"/>
              </w:rPr>
              <w:t>Repair projection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(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Q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)</w:t>
            </w:r>
          </w:p>
          <w:p w14:paraId="5AFDC8D4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7:   Evaluate f1 and f2 for all individuals in Q</w:t>
            </w:r>
          </w:p>
          <w:p w14:paraId="44BD3F01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8:   U ← P ∪ Q</w:t>
            </w:r>
          </w:p>
          <w:p w14:paraId="15908170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9:   P ← nondominated sort + crowding select (U, N)</w:t>
            </w:r>
          </w:p>
          <w:p w14:paraId="3B9B3512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10: 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5"/>
              </w:rPr>
              <w:t>end for</w:t>
            </w:r>
          </w:p>
          <w:p w14:paraId="596FADCB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>11: A ← feasible nondominated individuals in P</w:t>
            </w:r>
          </w:p>
          <w:p w14:paraId="0572A888">
            <w:pPr>
              <w:spacing w:before="0" w:after="0" w:line="240" w:lineRule="auto"/>
              <w:ind w:left="300" w:hanging="3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12: </w:t>
            </w: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5"/>
              </w:rPr>
              <w:t>return</w:t>
            </w: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5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i/>
                <w:smallCaps w:val="0"/>
                <w:sz w:val="15"/>
              </w:rPr>
              <w:t>A</w:t>
            </w:r>
          </w:p>
        </w:tc>
      </w:tr>
    </w:tbl>
    <w:p w14:paraId="26EF5E70">
      <w:pPr>
        <w:spacing w:before="0" w:after="4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eastAsia="zh-CN"/>
        </w:rPr>
        <w:t>WarmStartSampling samples ratios within engineering bounds, projects the aggregate ratio into the planning band, and allocates storage to stations with higher reverse-power pressure.</w:t>
      </w:r>
    </w:p>
    <w:p w14:paraId="12C735AB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 w:val="0"/>
          <w:i w:val="0"/>
          <w:smallCaps w:val="0"/>
          <w:sz w:val="20"/>
          <w:lang w:eastAsia="zh-CN"/>
        </w:rPr>
        <w:t>RepairProjection clips variables, repairs the aggregate-ratio band, checks station-level and upstream reverse-power constraints, and performs a final feasibility check.</w:t>
      </w:r>
    </w:p>
    <w:p w14:paraId="518BC8D3">
      <w:pPr>
        <w:spacing w:before="6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/>
          <w:sz w:val="18"/>
        </w:rPr>
        <w:t>III.  EXPERIMENTS</w:t>
      </w:r>
    </w:p>
    <w:p w14:paraId="2AFCB149">
      <w:pPr>
        <w:spacing w:before="40" w:after="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18"/>
        </w:rPr>
        <w:t>A.  Setup</w:t>
      </w:r>
    </w:p>
    <w:p w14:paraId="1CB58E56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The benchmark is a public-data-informed synthetic county constructed from scaled IEEE 33-bus feeders [7] and PVGIS irradiance [8]. We test four county sizes, K=10, 20, 30, and 40, with population 100 and three seeds per setting. Plain NSGA-II is run for 800 generations as a longer-budget reference, while EPG-NSGA-II is run for 400 generations.</w:t>
      </w:r>
    </w:p>
    <w:p w14:paraId="2DA06172">
      <w:pPr>
        <w:spacing w:before="40" w:after="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18"/>
        </w:rPr>
        <w:t>B.  Efficiency and Ablation</w:t>
      </w:r>
    </w:p>
    <w:p w14:paraId="38917C51">
      <w:pPr>
        <w:keepNext/>
        <w:spacing w:before="6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16"/>
        </w:rPr>
        <w:t>TABLE I. NORMALIZED HYPERVOLUME RESULTS</w:t>
      </w:r>
    </w:p>
    <w:tbl>
      <w:tblPr>
        <w:tblStyle w:val="32"/>
        <w:tblW w:w="464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822"/>
        <w:gridCol w:w="822"/>
        <w:gridCol w:w="822"/>
        <w:gridCol w:w="822"/>
      </w:tblGrid>
      <w:tr w14:paraId="46014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auto" w:sz="8" w:space="0"/>
              <w:bottom w:val="single" w:color="auto" w:sz="8" w:space="0"/>
            </w:tcBorders>
          </w:tcPr>
          <w:p w14:paraId="4BE05F4C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6"/>
              </w:rPr>
              <w:t>Method</w:t>
            </w:r>
          </w:p>
        </w:tc>
        <w:tc>
          <w:tcPr>
            <w:tcW w:w="822" w:type="dxa"/>
            <w:tcBorders>
              <w:top w:val="single" w:color="auto" w:sz="8" w:space="0"/>
              <w:bottom w:val="single" w:color="auto" w:sz="8" w:space="0"/>
            </w:tcBorders>
          </w:tcPr>
          <w:p w14:paraId="67F445C8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6"/>
              </w:rPr>
              <w:t>K=10</w:t>
            </w:r>
          </w:p>
        </w:tc>
        <w:tc>
          <w:tcPr>
            <w:tcW w:w="822" w:type="dxa"/>
            <w:tcBorders>
              <w:top w:val="single" w:color="auto" w:sz="8" w:space="0"/>
              <w:bottom w:val="single" w:color="auto" w:sz="8" w:space="0"/>
            </w:tcBorders>
          </w:tcPr>
          <w:p w14:paraId="28C5C413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6"/>
              </w:rPr>
              <w:t>K=20</w:t>
            </w:r>
          </w:p>
        </w:tc>
        <w:tc>
          <w:tcPr>
            <w:tcW w:w="822" w:type="dxa"/>
            <w:tcBorders>
              <w:top w:val="single" w:color="auto" w:sz="8" w:space="0"/>
              <w:bottom w:val="single" w:color="auto" w:sz="8" w:space="0"/>
            </w:tcBorders>
          </w:tcPr>
          <w:p w14:paraId="6634DCD1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6"/>
              </w:rPr>
              <w:t>K=30</w:t>
            </w:r>
          </w:p>
        </w:tc>
        <w:tc>
          <w:tcPr>
            <w:tcW w:w="822" w:type="dxa"/>
            <w:tcBorders>
              <w:top w:val="single" w:color="auto" w:sz="8" w:space="0"/>
              <w:bottom w:val="single" w:color="auto" w:sz="8" w:space="0"/>
            </w:tcBorders>
          </w:tcPr>
          <w:p w14:paraId="4B4C2566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 w:val="0"/>
                <w:smallCaps w:val="0"/>
                <w:sz w:val="16"/>
              </w:rPr>
              <w:t>K=40</w:t>
            </w:r>
          </w:p>
        </w:tc>
      </w:tr>
      <w:tr w14:paraId="52C68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top w:val="single" w:color="auto" w:sz="8" w:space="0"/>
            </w:tcBorders>
          </w:tcPr>
          <w:p w14:paraId="20454840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EPG-NSGA-II</w:t>
            </w:r>
          </w:p>
        </w:tc>
        <w:tc>
          <w:tcPr>
            <w:tcW w:w="822" w:type="dxa"/>
            <w:tcBorders>
              <w:top w:val="single" w:color="auto" w:sz="8" w:space="0"/>
            </w:tcBorders>
          </w:tcPr>
          <w:p w14:paraId="49F83D2B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1.000</w:t>
            </w:r>
          </w:p>
        </w:tc>
        <w:tc>
          <w:tcPr>
            <w:tcW w:w="822" w:type="dxa"/>
            <w:tcBorders>
              <w:top w:val="single" w:color="auto" w:sz="8" w:space="0"/>
            </w:tcBorders>
          </w:tcPr>
          <w:p w14:paraId="07968ADB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1.000</w:t>
            </w:r>
          </w:p>
        </w:tc>
        <w:tc>
          <w:tcPr>
            <w:tcW w:w="822" w:type="dxa"/>
            <w:tcBorders>
              <w:top w:val="single" w:color="auto" w:sz="8" w:space="0"/>
            </w:tcBorders>
          </w:tcPr>
          <w:p w14:paraId="70828118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1.000</w:t>
            </w:r>
          </w:p>
        </w:tc>
        <w:tc>
          <w:tcPr>
            <w:tcW w:w="822" w:type="dxa"/>
            <w:tcBorders>
              <w:top w:val="single" w:color="auto" w:sz="8" w:space="0"/>
            </w:tcBorders>
          </w:tcPr>
          <w:p w14:paraId="43BEA6EF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1.000</w:t>
            </w:r>
          </w:p>
        </w:tc>
      </w:tr>
      <w:tr w14:paraId="1A1E4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05BC051E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Repair-only</w:t>
            </w:r>
          </w:p>
        </w:tc>
        <w:tc>
          <w:tcPr>
            <w:tcW w:w="822" w:type="dxa"/>
          </w:tcPr>
          <w:p w14:paraId="3A956929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0.997</w:t>
            </w:r>
          </w:p>
        </w:tc>
        <w:tc>
          <w:tcPr>
            <w:tcW w:w="822" w:type="dxa"/>
          </w:tcPr>
          <w:p w14:paraId="497217A6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0.998</w:t>
            </w:r>
          </w:p>
        </w:tc>
        <w:tc>
          <w:tcPr>
            <w:tcW w:w="822" w:type="dxa"/>
          </w:tcPr>
          <w:p w14:paraId="2AE159DC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0.999</w:t>
            </w:r>
          </w:p>
        </w:tc>
        <w:tc>
          <w:tcPr>
            <w:tcW w:w="822" w:type="dxa"/>
          </w:tcPr>
          <w:p w14:paraId="1FD99E4F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1.000</w:t>
            </w:r>
          </w:p>
        </w:tc>
      </w:tr>
      <w:tr w14:paraId="3AF0A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Borders>
              <w:bottom w:val="single" w:color="auto" w:sz="8" w:space="0"/>
            </w:tcBorders>
          </w:tcPr>
          <w:p w14:paraId="4029E835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NSGA-II</w:t>
            </w:r>
          </w:p>
        </w:tc>
        <w:tc>
          <w:tcPr>
            <w:tcW w:w="822" w:type="dxa"/>
            <w:tcBorders>
              <w:bottom w:val="single" w:color="auto" w:sz="8" w:space="0"/>
            </w:tcBorders>
          </w:tcPr>
          <w:p w14:paraId="5AF64CD9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0.993</w:t>
            </w:r>
          </w:p>
        </w:tc>
        <w:tc>
          <w:tcPr>
            <w:tcW w:w="822" w:type="dxa"/>
            <w:tcBorders>
              <w:bottom w:val="single" w:color="auto" w:sz="8" w:space="0"/>
            </w:tcBorders>
          </w:tcPr>
          <w:p w14:paraId="140DD98F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0.993</w:t>
            </w:r>
          </w:p>
        </w:tc>
        <w:tc>
          <w:tcPr>
            <w:tcW w:w="822" w:type="dxa"/>
            <w:tcBorders>
              <w:bottom w:val="single" w:color="auto" w:sz="8" w:space="0"/>
            </w:tcBorders>
          </w:tcPr>
          <w:p w14:paraId="476F1316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0.991</w:t>
            </w:r>
          </w:p>
        </w:tc>
        <w:tc>
          <w:tcPr>
            <w:tcW w:w="822" w:type="dxa"/>
            <w:tcBorders>
              <w:bottom w:val="single" w:color="auto" w:sz="8" w:space="0"/>
            </w:tcBorders>
          </w:tcPr>
          <w:p w14:paraId="330F1F15">
            <w:pPr>
              <w:keepNext/>
              <w:spacing w:before="0"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mallCaps w:val="0"/>
                <w:sz w:val="16"/>
              </w:rPr>
              <w:t>0.954</w:t>
            </w:r>
          </w:p>
        </w:tc>
      </w:tr>
    </w:tbl>
    <w:p w14:paraId="53CBB6D4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Table I reports normalized converged HV across county sizes. Repair-only remains within 0.3% of the full method, suggesting that repair projection is important for converged quality in this setting. Plain NSGA-II shows a larger gap as K grows, reaching 4.6% at K=40.</w:t>
      </w:r>
    </w:p>
    <w:p w14:paraId="07DB874B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 xml:space="preserve">At K=40, EPG-NSGA-II reaches a comparable HV with fewer generations under the fixed-population setting. </w:t>
      </w:r>
    </w:p>
    <w:p w14:paraId="676D17A6">
      <w:pPr>
        <w:spacing w:before="40" w:after="2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/>
          <w:smallCaps w:val="0"/>
          <w:sz w:val="18"/>
        </w:rPr>
        <w:t>C.  County-Level Application at K=20</w:t>
      </w:r>
    </w:p>
    <w:p w14:paraId="70FB2EFE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At K=20, the knee solution has a regional capacity-load ratio of 1.80, an annualized cost index equivalent to 188.82 million CNY/yr, and EENS of 114 MWh/yr. PV-heavy stations receive storage, while low-ratio stations rely more on tie-line support (Fig. 1). Relative to the uniform R=2.0 baseline, the elastic configuration reduces the annualized cost index by 13.1% under equal EENS in this synthetic case.</w:t>
      </w:r>
    </w:p>
    <w:p w14:paraId="349CAC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483485" cy="2084705"/>
            <wp:effectExtent l="0" t="0" r="6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208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AE72">
      <w:pPr>
        <w:keepNext w:val="0"/>
        <w:spacing w:before="40" w:after="6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16"/>
        </w:rPr>
        <w:t>Fig. 1.  Elastic planning configuration for the synthetic county case.</w:t>
      </w:r>
    </w:p>
    <w:p w14:paraId="462261DF">
      <w:pPr>
        <w:spacing w:before="6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/>
          <w:sz w:val="18"/>
        </w:rPr>
        <w:t>IV.  CONCLUSION</w:t>
      </w:r>
    </w:p>
    <w:p w14:paraId="11151D04">
      <w:pPr>
        <w:spacing w:before="0" w:after="0" w:line="240" w:lineRule="auto"/>
        <w:ind w:firstLineChars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20"/>
        </w:rPr>
        <w:t>EPG-NSGA-II combines feasibility-aware initialization and repair projection for elastic capacity-load ratio planning under high PV penetration. The synthetic cases show a lower cost index under equal EENS and improved search efficiency compared with plain NSGA-II. Future work will consider real-grid calibration, energy-limited storage, and statistical testing.</w:t>
      </w:r>
    </w:p>
    <w:p w14:paraId="4F4C6825">
      <w:pPr>
        <w:spacing w:before="6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/>
          <w:sz w:val="18"/>
        </w:rPr>
        <w:t>REFERENCES</w:t>
      </w:r>
    </w:p>
    <w:p w14:paraId="3E1EA821">
      <w:pPr>
        <w:spacing w:before="0" w:after="0" w:line="199" w:lineRule="auto"/>
        <w:ind w:hanging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15"/>
        </w:rPr>
        <w:t>[1]  J. Xiao, R. Liu, and M. Long, "Relationship between substation capacity-load ratio and the next-level medium-voltage distribution network," Electric Power Construction, vol. 36, no. 11, pp. 45-50, 2015 (in Chinese).</w:t>
      </w:r>
    </w:p>
    <w:p w14:paraId="5D02A849">
      <w:pPr>
        <w:spacing w:before="0" w:after="0" w:line="199" w:lineRule="auto"/>
        <w:ind w:hanging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15"/>
        </w:rPr>
        <w:t>[2]  K. Wang, Z. He, J. Ye, Y. Lin, and Y. Ma, "Capacity-load-ratio optimal configuration for coordinated planning of multi-voltage-level grids," Southern Power System Technology, vol. 19, no. 7, pp. 131-139, 2025 (in Chinese).</w:t>
      </w:r>
    </w:p>
    <w:p w14:paraId="5AE8D19D">
      <w:pPr>
        <w:spacing w:before="0" w:after="0" w:line="199" w:lineRule="auto"/>
        <w:ind w:hanging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15"/>
        </w:rPr>
        <w:t>[3]  Q. Hou, N. Zhang, E. Du, M. Miao, F. Peng, and C. Kang, "Probabilistic duck curve in high PV penetration power system," Applied Energy, 2019.</w:t>
      </w:r>
    </w:p>
    <w:p w14:paraId="0B8826BD">
      <w:pPr>
        <w:spacing w:before="0" w:after="0" w:line="199" w:lineRule="auto"/>
        <w:ind w:hanging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15"/>
        </w:rPr>
        <w:t xml:space="preserve">[4]  T. Lin, G. Wu, S. Lai, H. Hu, and Z. Hu, "Calculation of distribution network PV hosting capacity considering source-load uncertainty and active management," </w:t>
      </w:r>
      <w:r>
        <w:rPr>
          <w:rFonts w:hint="default" w:ascii="Times New Roman" w:hAnsi="Times New Roman" w:eastAsia="Times New Roman" w:cs="Times New Roman"/>
          <w:b w:val="0"/>
          <w:i/>
          <w:smallCaps w:val="0"/>
          <w:sz w:val="15"/>
        </w:rPr>
        <w:t>Electronics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15"/>
        </w:rPr>
        <w:t>, vol. 13, art. 4048, 2024.</w:t>
      </w:r>
    </w:p>
    <w:p w14:paraId="2A66ED7F">
      <w:pPr>
        <w:spacing w:before="0" w:after="0" w:line="199" w:lineRule="auto"/>
        <w:ind w:hanging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15"/>
        </w:rPr>
        <w:t>[5]  M. Nicolini, "Multi-objective genetic algorithms in designing redundant water distribution systems," in Proc. 2025 IEEE Int. Conf. MIND, 2025.</w:t>
      </w:r>
    </w:p>
    <w:p w14:paraId="5B1B87D5">
      <w:pPr>
        <w:spacing w:before="0" w:after="0" w:line="199" w:lineRule="auto"/>
        <w:ind w:hanging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15"/>
        </w:rPr>
        <w:t xml:space="preserve">[6]  K. Deb, A. Pratap, S. Agarwal, and T. Meyarivan, "A fast and elitist multiobjective genetic algorithm: NSGA-II," </w:t>
      </w:r>
      <w:r>
        <w:rPr>
          <w:rFonts w:hint="default" w:ascii="Times New Roman" w:hAnsi="Times New Roman" w:eastAsia="Times New Roman" w:cs="Times New Roman"/>
          <w:b w:val="0"/>
          <w:i/>
          <w:smallCaps w:val="0"/>
          <w:sz w:val="15"/>
        </w:rPr>
        <w:t>IEEE Trans. Evol. Comput.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15"/>
        </w:rPr>
        <w:t>, vol. 6, no. 2, pp. 182-197, 2002.</w:t>
      </w:r>
    </w:p>
    <w:p w14:paraId="459A92FB">
      <w:pPr>
        <w:spacing w:before="0" w:after="0" w:line="199" w:lineRule="auto"/>
        <w:ind w:hanging="1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15"/>
        </w:rPr>
        <w:t>[7]  M. E. Baran and F. F. Wu, "Network reconfiguration in distribution systems for loss reduction and load balancing," IEEE Trans. Power Del., vol. 4, no. 2, pp. 1401-1407, 1989.</w:t>
      </w:r>
    </w:p>
    <w:p w14:paraId="1DDB20FA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00" w:lineRule="auto"/>
        <w:ind w:hanging="147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z w:val="15"/>
        </w:rPr>
        <w:t>[8] European Commission, Joint Research Centre, “JRC Photovoltaic Geographical Information System (PVGIS),” [Online]. Available: https://re.jrc.ec.europa.eu/pvg_tools/en/. [Accessed: Jul. 6, 2026].</w:t>
      </w:r>
    </w:p>
    <w:sectPr>
      <w:type w:val="continuous"/>
      <w:pgSz w:w="12240" w:h="15840"/>
      <w:pgMar w:top="1080" w:right="893" w:bottom="1440" w:left="893" w:header="720" w:footer="720" w:gutter="0"/>
      <w:cols w:space="360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293"/>
    <w:rsid w:val="00AA1D8D"/>
    <w:rsid w:val="00B47730"/>
    <w:rsid w:val="00CB0664"/>
    <w:rsid w:val="00CE4840"/>
    <w:rsid w:val="00CF3752"/>
    <w:rsid w:val="00FC693F"/>
    <w:rsid w:val="01260F37"/>
    <w:rsid w:val="01AE12BB"/>
    <w:rsid w:val="01CA3F1A"/>
    <w:rsid w:val="02C70E81"/>
    <w:rsid w:val="03392E47"/>
    <w:rsid w:val="034877EC"/>
    <w:rsid w:val="034D4E02"/>
    <w:rsid w:val="03546962"/>
    <w:rsid w:val="036A7762"/>
    <w:rsid w:val="03716088"/>
    <w:rsid w:val="03F82FC0"/>
    <w:rsid w:val="04952304"/>
    <w:rsid w:val="04966335"/>
    <w:rsid w:val="04A4119D"/>
    <w:rsid w:val="04E36F17"/>
    <w:rsid w:val="04E46248"/>
    <w:rsid w:val="050D2A9B"/>
    <w:rsid w:val="05432019"/>
    <w:rsid w:val="05EF2F96"/>
    <w:rsid w:val="061211BE"/>
    <w:rsid w:val="061B11E8"/>
    <w:rsid w:val="065344DE"/>
    <w:rsid w:val="06565D7C"/>
    <w:rsid w:val="06A42F8B"/>
    <w:rsid w:val="07097292"/>
    <w:rsid w:val="072F4F4B"/>
    <w:rsid w:val="077D49D8"/>
    <w:rsid w:val="07C37441"/>
    <w:rsid w:val="081E6EFC"/>
    <w:rsid w:val="082814CF"/>
    <w:rsid w:val="08FB2C0B"/>
    <w:rsid w:val="09A6011A"/>
    <w:rsid w:val="09BB6966"/>
    <w:rsid w:val="0A226E29"/>
    <w:rsid w:val="0ABD461B"/>
    <w:rsid w:val="0AD41965"/>
    <w:rsid w:val="0B161F7E"/>
    <w:rsid w:val="0B640E1B"/>
    <w:rsid w:val="0B7F5D75"/>
    <w:rsid w:val="0BDB744F"/>
    <w:rsid w:val="0C4572E3"/>
    <w:rsid w:val="0C5C7E64"/>
    <w:rsid w:val="0C7E427E"/>
    <w:rsid w:val="0D1D1AC4"/>
    <w:rsid w:val="0D566567"/>
    <w:rsid w:val="0DB77A48"/>
    <w:rsid w:val="0DBF68FD"/>
    <w:rsid w:val="0DCD1AD5"/>
    <w:rsid w:val="0E1A4D56"/>
    <w:rsid w:val="0EDE2DB2"/>
    <w:rsid w:val="0F024CF3"/>
    <w:rsid w:val="0F67724C"/>
    <w:rsid w:val="0F7C24AA"/>
    <w:rsid w:val="0F8C280E"/>
    <w:rsid w:val="0F9F69E6"/>
    <w:rsid w:val="106775C3"/>
    <w:rsid w:val="108300B5"/>
    <w:rsid w:val="120435CD"/>
    <w:rsid w:val="12C86253"/>
    <w:rsid w:val="12D14D6A"/>
    <w:rsid w:val="13122ABD"/>
    <w:rsid w:val="145F228C"/>
    <w:rsid w:val="14AD5701"/>
    <w:rsid w:val="14C64A14"/>
    <w:rsid w:val="15536B51"/>
    <w:rsid w:val="156758B0"/>
    <w:rsid w:val="156D4E90"/>
    <w:rsid w:val="15FA06DC"/>
    <w:rsid w:val="1633712C"/>
    <w:rsid w:val="172C59B5"/>
    <w:rsid w:val="17A4103D"/>
    <w:rsid w:val="18511F7B"/>
    <w:rsid w:val="185D2F9A"/>
    <w:rsid w:val="18C257E8"/>
    <w:rsid w:val="19816DB3"/>
    <w:rsid w:val="1A626F8D"/>
    <w:rsid w:val="1AF44089"/>
    <w:rsid w:val="1B1C5ADB"/>
    <w:rsid w:val="1B702014"/>
    <w:rsid w:val="1BAA0BEC"/>
    <w:rsid w:val="1BBD7433"/>
    <w:rsid w:val="1C2B6096"/>
    <w:rsid w:val="1C5B1EE6"/>
    <w:rsid w:val="1C6A081D"/>
    <w:rsid w:val="1CA70C88"/>
    <w:rsid w:val="1D01483C"/>
    <w:rsid w:val="1D22539B"/>
    <w:rsid w:val="1E2E1F24"/>
    <w:rsid w:val="1E36026B"/>
    <w:rsid w:val="1F9C0A65"/>
    <w:rsid w:val="1FE0357D"/>
    <w:rsid w:val="1FE30229"/>
    <w:rsid w:val="20A57B28"/>
    <w:rsid w:val="20DF30E6"/>
    <w:rsid w:val="216C51F8"/>
    <w:rsid w:val="21B07753"/>
    <w:rsid w:val="21B856E5"/>
    <w:rsid w:val="21C77D00"/>
    <w:rsid w:val="221F7512"/>
    <w:rsid w:val="22EA18E2"/>
    <w:rsid w:val="23297026"/>
    <w:rsid w:val="23953F30"/>
    <w:rsid w:val="242A477B"/>
    <w:rsid w:val="24961D0D"/>
    <w:rsid w:val="24975A86"/>
    <w:rsid w:val="25525847"/>
    <w:rsid w:val="256D4B57"/>
    <w:rsid w:val="25761B3F"/>
    <w:rsid w:val="264F486A"/>
    <w:rsid w:val="26672348"/>
    <w:rsid w:val="26A65805"/>
    <w:rsid w:val="26DD78FA"/>
    <w:rsid w:val="271433BD"/>
    <w:rsid w:val="271909D4"/>
    <w:rsid w:val="2830143E"/>
    <w:rsid w:val="28EC2844"/>
    <w:rsid w:val="28F575CF"/>
    <w:rsid w:val="2973261D"/>
    <w:rsid w:val="29736AC1"/>
    <w:rsid w:val="298712CF"/>
    <w:rsid w:val="2A385615"/>
    <w:rsid w:val="2ABB4FF3"/>
    <w:rsid w:val="2AD27734"/>
    <w:rsid w:val="2B2B5A49"/>
    <w:rsid w:val="2B763FCF"/>
    <w:rsid w:val="2BF13CCD"/>
    <w:rsid w:val="2C004054"/>
    <w:rsid w:val="2D773D38"/>
    <w:rsid w:val="2D8755B3"/>
    <w:rsid w:val="2E5D734C"/>
    <w:rsid w:val="2EC87616"/>
    <w:rsid w:val="2EDA6C9B"/>
    <w:rsid w:val="2F397E65"/>
    <w:rsid w:val="2F6550C0"/>
    <w:rsid w:val="2FD302BA"/>
    <w:rsid w:val="300206D5"/>
    <w:rsid w:val="30E16A06"/>
    <w:rsid w:val="3126266B"/>
    <w:rsid w:val="316A69FC"/>
    <w:rsid w:val="3173175F"/>
    <w:rsid w:val="319D5437"/>
    <w:rsid w:val="31A94CC1"/>
    <w:rsid w:val="31CF15AD"/>
    <w:rsid w:val="322102F2"/>
    <w:rsid w:val="331D7A9E"/>
    <w:rsid w:val="33437E6D"/>
    <w:rsid w:val="33443479"/>
    <w:rsid w:val="33444B2C"/>
    <w:rsid w:val="337467D7"/>
    <w:rsid w:val="33850849"/>
    <w:rsid w:val="35481835"/>
    <w:rsid w:val="358D4A67"/>
    <w:rsid w:val="35D07049"/>
    <w:rsid w:val="36BF5E38"/>
    <w:rsid w:val="36FD79CA"/>
    <w:rsid w:val="374C0952"/>
    <w:rsid w:val="37E22DB7"/>
    <w:rsid w:val="38375C06"/>
    <w:rsid w:val="39495149"/>
    <w:rsid w:val="39C2500F"/>
    <w:rsid w:val="39C26CA9"/>
    <w:rsid w:val="39D61D44"/>
    <w:rsid w:val="3AC30B19"/>
    <w:rsid w:val="3BB840E2"/>
    <w:rsid w:val="3BC46D08"/>
    <w:rsid w:val="3BDF7FE6"/>
    <w:rsid w:val="3C723457"/>
    <w:rsid w:val="3CD84C49"/>
    <w:rsid w:val="3E974BA8"/>
    <w:rsid w:val="3EEF6CC1"/>
    <w:rsid w:val="3EF5367D"/>
    <w:rsid w:val="3F4C14EF"/>
    <w:rsid w:val="3F68494B"/>
    <w:rsid w:val="3FBA0B4E"/>
    <w:rsid w:val="3FF454DB"/>
    <w:rsid w:val="402978A4"/>
    <w:rsid w:val="405F16F6"/>
    <w:rsid w:val="40AF10F4"/>
    <w:rsid w:val="40DF6392"/>
    <w:rsid w:val="40E37C31"/>
    <w:rsid w:val="41DA7286"/>
    <w:rsid w:val="420F4A55"/>
    <w:rsid w:val="42A709DB"/>
    <w:rsid w:val="42B3131D"/>
    <w:rsid w:val="435832D1"/>
    <w:rsid w:val="446612A5"/>
    <w:rsid w:val="446D7F8E"/>
    <w:rsid w:val="4594599D"/>
    <w:rsid w:val="46027693"/>
    <w:rsid w:val="461D1E37"/>
    <w:rsid w:val="462976F5"/>
    <w:rsid w:val="46342C88"/>
    <w:rsid w:val="469C5EE4"/>
    <w:rsid w:val="469D2F78"/>
    <w:rsid w:val="46ED7799"/>
    <w:rsid w:val="47680E90"/>
    <w:rsid w:val="4780267D"/>
    <w:rsid w:val="47853361"/>
    <w:rsid w:val="48903ED5"/>
    <w:rsid w:val="48D96607"/>
    <w:rsid w:val="48DD4703"/>
    <w:rsid w:val="4A171C9D"/>
    <w:rsid w:val="4A3E05CE"/>
    <w:rsid w:val="4A89557F"/>
    <w:rsid w:val="4AEC1DD8"/>
    <w:rsid w:val="4CDA2830"/>
    <w:rsid w:val="4D471547"/>
    <w:rsid w:val="4D550108"/>
    <w:rsid w:val="4D5E2ED5"/>
    <w:rsid w:val="4D6420F9"/>
    <w:rsid w:val="4EAF3848"/>
    <w:rsid w:val="4F0771E0"/>
    <w:rsid w:val="4F870321"/>
    <w:rsid w:val="50010F5D"/>
    <w:rsid w:val="50770396"/>
    <w:rsid w:val="5099030C"/>
    <w:rsid w:val="51493AE0"/>
    <w:rsid w:val="514C5F8F"/>
    <w:rsid w:val="51AD7AEB"/>
    <w:rsid w:val="52350508"/>
    <w:rsid w:val="529A65BD"/>
    <w:rsid w:val="52E723A3"/>
    <w:rsid w:val="53F12DDC"/>
    <w:rsid w:val="541F6689"/>
    <w:rsid w:val="54216F96"/>
    <w:rsid w:val="54D264E2"/>
    <w:rsid w:val="551268DF"/>
    <w:rsid w:val="55712811"/>
    <w:rsid w:val="55CA71B9"/>
    <w:rsid w:val="5706321F"/>
    <w:rsid w:val="572F19CA"/>
    <w:rsid w:val="57347DAF"/>
    <w:rsid w:val="574014E1"/>
    <w:rsid w:val="57862D9C"/>
    <w:rsid w:val="57AD4DFB"/>
    <w:rsid w:val="583A23D4"/>
    <w:rsid w:val="58CB5722"/>
    <w:rsid w:val="58F22CAF"/>
    <w:rsid w:val="5903310E"/>
    <w:rsid w:val="593A51BD"/>
    <w:rsid w:val="59441762"/>
    <w:rsid w:val="59C745E5"/>
    <w:rsid w:val="59ED3476"/>
    <w:rsid w:val="5AFC1BC3"/>
    <w:rsid w:val="5B2C37D5"/>
    <w:rsid w:val="5B7420A1"/>
    <w:rsid w:val="5C845FBE"/>
    <w:rsid w:val="5CD97003"/>
    <w:rsid w:val="5D053910"/>
    <w:rsid w:val="5D495CFE"/>
    <w:rsid w:val="5DA65EFA"/>
    <w:rsid w:val="5DE84681"/>
    <w:rsid w:val="5DF66859"/>
    <w:rsid w:val="5E39312E"/>
    <w:rsid w:val="5EC94A7D"/>
    <w:rsid w:val="5ECF3E31"/>
    <w:rsid w:val="5ED20EA4"/>
    <w:rsid w:val="5F094E5B"/>
    <w:rsid w:val="5F49114F"/>
    <w:rsid w:val="5F9F1531"/>
    <w:rsid w:val="5FFE018B"/>
    <w:rsid w:val="60003F04"/>
    <w:rsid w:val="60454C9A"/>
    <w:rsid w:val="60936074"/>
    <w:rsid w:val="60CC028A"/>
    <w:rsid w:val="61005930"/>
    <w:rsid w:val="610B0DB2"/>
    <w:rsid w:val="613921C4"/>
    <w:rsid w:val="613B0F6B"/>
    <w:rsid w:val="625422E5"/>
    <w:rsid w:val="62F942A3"/>
    <w:rsid w:val="63190CCD"/>
    <w:rsid w:val="635B76A3"/>
    <w:rsid w:val="63C67883"/>
    <w:rsid w:val="63C74D38"/>
    <w:rsid w:val="63CE3967"/>
    <w:rsid w:val="64025D70"/>
    <w:rsid w:val="644545DB"/>
    <w:rsid w:val="645C36D2"/>
    <w:rsid w:val="64607667"/>
    <w:rsid w:val="64C327E2"/>
    <w:rsid w:val="64C33FAD"/>
    <w:rsid w:val="65297A59"/>
    <w:rsid w:val="65744A4C"/>
    <w:rsid w:val="657B5DDA"/>
    <w:rsid w:val="65BC08CD"/>
    <w:rsid w:val="65D82A9D"/>
    <w:rsid w:val="66083B12"/>
    <w:rsid w:val="666B5609"/>
    <w:rsid w:val="669C06FE"/>
    <w:rsid w:val="669E0497"/>
    <w:rsid w:val="66B0537C"/>
    <w:rsid w:val="687F5BE1"/>
    <w:rsid w:val="68CF0917"/>
    <w:rsid w:val="699670B1"/>
    <w:rsid w:val="69A91168"/>
    <w:rsid w:val="6A1327BB"/>
    <w:rsid w:val="6A9E4112"/>
    <w:rsid w:val="6B2C2704"/>
    <w:rsid w:val="6B3C600C"/>
    <w:rsid w:val="6B737C7F"/>
    <w:rsid w:val="6BD33AB4"/>
    <w:rsid w:val="6BF863D7"/>
    <w:rsid w:val="6C8859AD"/>
    <w:rsid w:val="6D4C314B"/>
    <w:rsid w:val="6D8B6DD7"/>
    <w:rsid w:val="6DA31C56"/>
    <w:rsid w:val="6E993D43"/>
    <w:rsid w:val="6EEB2223"/>
    <w:rsid w:val="6FCF6FF9"/>
    <w:rsid w:val="70310109"/>
    <w:rsid w:val="705D0EFE"/>
    <w:rsid w:val="726C5429"/>
    <w:rsid w:val="72916C3D"/>
    <w:rsid w:val="72C93C83"/>
    <w:rsid w:val="73104006"/>
    <w:rsid w:val="73223D39"/>
    <w:rsid w:val="73C84DFA"/>
    <w:rsid w:val="74321150"/>
    <w:rsid w:val="746C7A2D"/>
    <w:rsid w:val="74F636CF"/>
    <w:rsid w:val="75CA019C"/>
    <w:rsid w:val="75F53987"/>
    <w:rsid w:val="75F66D43"/>
    <w:rsid w:val="76D4359C"/>
    <w:rsid w:val="771A3308"/>
    <w:rsid w:val="77534E09"/>
    <w:rsid w:val="77AF0A7E"/>
    <w:rsid w:val="77B07B65"/>
    <w:rsid w:val="77F008AA"/>
    <w:rsid w:val="78D15FE5"/>
    <w:rsid w:val="796E3958"/>
    <w:rsid w:val="798B3EC4"/>
    <w:rsid w:val="798E2128"/>
    <w:rsid w:val="79CB0C87"/>
    <w:rsid w:val="7A97325F"/>
    <w:rsid w:val="7A9F774F"/>
    <w:rsid w:val="7AB114DA"/>
    <w:rsid w:val="7AC31DEF"/>
    <w:rsid w:val="7AFE508C"/>
    <w:rsid w:val="7BAD61AB"/>
    <w:rsid w:val="7BB0282A"/>
    <w:rsid w:val="7C831CEC"/>
    <w:rsid w:val="7D0D7808"/>
    <w:rsid w:val="7F032DB7"/>
    <w:rsid w:val="7F1A633B"/>
    <w:rsid w:val="7F923FF5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1344</Words>
  <Characters>7824</Characters>
  <Lines>0</Lines>
  <Paragraphs>0</Paragraphs>
  <TotalTime>6</TotalTime>
  <ScaleCrop>false</ScaleCrop>
  <LinksUpToDate>false</LinksUpToDate>
  <CharactersWithSpaces>9081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许恒</cp:lastModifiedBy>
  <dcterms:modified xsi:type="dcterms:W3CDTF">2026-07-06T10:33:23Z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eyJoZGlkIjoiODViY2JkMjU3NGYzZTEwMzZmMGFkZWViYmNkYWU3NDIiLCJ1c2VySWQiOiIxMzk5MjQ5MDE5In0=</vt:lpwstr>
  </property>
  <property fmtid="{D5CDD505-2E9C-101B-9397-08002B2CF9AE}" pid="3" name="KSOProductBuildVer">
    <vt:lpwstr>2052-12.1.0.26895</vt:lpwstr>
  </property>
  <property fmtid="{D5CDD505-2E9C-101B-9397-08002B2CF9AE}" pid="4" name="ICV">
    <vt:lpwstr>D23589F5BD274E27BCFA64728C649897_12</vt:lpwstr>
  </property>
</Properties>
</file>