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300" w:lineRule="auto"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300" w:lineRule="auto"/>
        <w:ind w:firstLine="0"/>
        <w:jc w:val="center"/>
      </w:pPr>
      <w:r>
        <w:rPr>
          <w:rFonts w:ascii="Times New Roman" w:hAnsi="Times New Roman" w:eastAsia="方正仿宋_GBK"/>
          <w:b/>
          <w:sz w:val="40"/>
        </w:rPr>
        <w:t>研究报告</w:t>
      </w:r>
    </w:p>
    <w:p>
      <w:pPr>
        <w:spacing w:line="300" w:lineRule="auto" w:before="2400"/>
        <w:ind w:firstLine="0"/>
        <w:jc w:val="center"/>
      </w:pPr>
      <w:r>
        <w:rPr>
          <w:rFonts w:ascii="Times New Roman" w:hAnsi="Times New Roman" w:eastAsia="方正仿宋_GBK"/>
          <w:b w:val="0"/>
          <w:sz w:val="28"/>
        </w:rPr>
        <w:t>2026年10月</w:t>
      </w:r>
    </w:p>
    <w:p>
      <w:pPr>
        <w:pageBreakBefore/>
        <w:spacing w:line="300" w:lineRule="auto" w:after="400"/>
        <w:ind w:firstLine="0"/>
        <w:jc w:val="center"/>
      </w:pPr>
      <w:r>
        <w:rPr>
          <w:rFonts w:ascii="Times New Roman" w:hAnsi="Times New Roman" w:eastAsia="方正仿宋_GBK"/>
          <w:b/>
          <w:sz w:val="36"/>
        </w:rPr>
        <w:t>内容提要</w:t>
      </w:r>
    </w:p>
    <w:p>
      <w:pPr>
        <w:spacing w:line="300" w:lineRule="auto" w:after="200"/>
        <w:ind w:firstLine="480"/>
        <w:jc w:val="both"/>
      </w:pPr>
      <w:r>
        <w:rPr>
          <w:rFonts w:ascii="Times New Roman" w:hAnsi="Times New Roman" w:eastAsia="方正仿宋_GBK"/>
          <w:b w:val="0"/>
          <w:sz w:val="24"/>
        </w:rPr>
        <w:t>分布式新能源接入使110 kV变电站同时承担正向供电和反向输送需求，区域容载比还受负荷增长、设备分布及下级网络转供能力影响。为形成适用于不同源荷条件的容量规划建议，本项目以徐州邳州和市区为案例，研究主变增容、储能及10 kV联络共同参与时的容载比选取方法。</w:t>
      </w:r>
    </w:p>
    <w:p>
      <w:pPr>
        <w:spacing w:line="300" w:lineRule="auto" w:after="200"/>
        <w:ind w:firstLine="480"/>
        <w:jc w:val="both"/>
      </w:pPr>
      <w:r>
        <w:rPr>
          <w:rFonts w:ascii="Times New Roman" w:hAnsi="Times New Roman" w:eastAsia="方正仿宋_GBK"/>
          <w:b w:val="0"/>
          <w:sz w:val="24"/>
        </w:rPr>
        <w:t>研究统一容载比、年网供最大负荷及分布式电源渗透率的统计口径，分析年度负荷、光伏规模和站级净负荷特征，以实际工程及采购资料建立全寿命费用模型。刚性、弹性方案在同一区县共用容载比2.0的仿真起点，后续四年在正常运行、单台主变退出、设备持续在役、转供能力及负荷守恒约束下联合寻优。市区初始站间转供率假定为50%，邳州依据局部馈线数据测算为28.2879%；既有转供能力按零新增建设投资利用，新建联络按项目增加能力并计费。</w:t>
      </w:r>
    </w:p>
    <w:p>
      <w:pPr>
        <w:spacing w:line="300" w:lineRule="auto" w:after="200"/>
        <w:ind w:firstLine="480"/>
        <w:jc w:val="both"/>
      </w:pPr>
      <w:r>
        <w:rPr>
          <w:rFonts w:ascii="Times New Roman" w:hAnsi="Times New Roman" w:eastAsia="方正仿宋_GBK"/>
          <w:b w:val="0"/>
          <w:sz w:val="24"/>
        </w:rPr>
        <w:t>案例第4年邳州刚性、弹性容载比分别为1.9574、2.2118，市区为1.9523、2.2102。两地区刚性、弹性方案新增措施全寿命费用现值分别为208566.29万元和35683.63万元，弹性费用降低82.89%。弹性方案增加主变、减少静态退出工况所需储能，在相同技术约束与参考价格下经济性优于刚性。392个站年的容量、守恒与费用复算通过</w:t>
      </w:r>
    </w:p>
    <w:p>
      <w:pPr>
        <w:spacing w:line="300" w:lineRule="auto" w:after="200"/>
        <w:ind w:firstLine="480"/>
        <w:jc w:val="both"/>
      </w:pPr>
      <w:r>
        <w:rPr>
          <w:rFonts w:ascii="Times New Roman" w:hAnsi="Times New Roman" w:eastAsia="方正仿宋_GBK"/>
          <w:b w:val="0"/>
          <w:sz w:val="24"/>
        </w:rPr>
        <w:t>在案例参数与容载比计算关系基础上，进一步构造A类、B/C类两类一般站群，拓展装机渗透率、年负荷平均增长率、95%峰值持续时间和两个工程成本比，完成7000组目标年静态寻优，形成仅列参数条件与推荐容载比区间的通用矩阵。研究表明，容载比应结合双向净负荷、峰段持续时间及站间转供能力确定，规划中宜先核定既有能力，再联合比选增容、配储和新增联络。规划建议优先采用弹性指标确定比选范围，保留刚性基准进行费用对照，并以实际资产、线路和工程价格核定具体方案。</w:t>
      </w:r>
    </w:p>
    <w:p>
      <w:pPr>
        <w:pageBreakBefore/>
        <w:spacing w:line="300" w:lineRule="auto" w:after="300"/>
        <w:ind w:firstLine="0"/>
        <w:jc w:val="center"/>
      </w:pPr>
      <w:r>
        <w:rPr>
          <w:rFonts w:ascii="Times New Roman" w:hAnsi="Times New Roman" w:eastAsia="方正仿宋_GBK"/>
          <w:b/>
          <w:sz w:val="36"/>
        </w:rPr>
        <w:t>目  录</w:t>
      </w:r>
    </w:p>
    <w:p>
      <w:pPr>
        <w:tabs>
          <w:tab w:pos="8220" w:val="right" w:leader="dot"/>
        </w:tabs>
        <w:spacing w:line="300" w:lineRule="auto" w:after="40"/>
        <w:ind w:firstLine="0" w:left="0"/>
        <w:jc w:val="left"/>
      </w:pPr>
      <w:r>
        <w:rPr>
          <w:rFonts w:ascii="Times New Roman" w:hAnsi="Times New Roman" w:eastAsia="方正仿宋_GBK"/>
          <w:b/>
          <w:sz w:val="24"/>
        </w:rPr>
        <w:t>第一章 绪论</w:t>
      </w:r>
      <w:r>
        <w:rPr>
          <w:rFonts w:ascii="Times New Roman" w:hAnsi="Times New Roman" w:eastAsia="方正仿宋_GBK"/>
          <w:b/>
          <w:sz w:val="24"/>
        </w:rPr>
        <w:tab/>
      </w:r>
      <w:fldSimple w:instr="PAGEREF h0 \h">
        <w:r>
          <w:t>5</w:t>
        </w:r>
      </w:fldSimple>
    </w:p>
    <w:p>
      <w:pPr>
        <w:tabs>
          <w:tab w:pos="8220" w:val="right" w:leader="dot"/>
        </w:tabs>
        <w:spacing w:line="300" w:lineRule="auto" w:after="40"/>
        <w:ind w:firstLine="0" w:left="240"/>
        <w:jc w:val="left"/>
      </w:pPr>
      <w:r>
        <w:rPr>
          <w:rFonts w:ascii="Times New Roman" w:hAnsi="Times New Roman" w:eastAsia="方正仿宋_GBK"/>
          <w:b w:val="0"/>
          <w:sz w:val="24"/>
        </w:rPr>
        <w:t>1.1 研究背景与意义</w:t>
      </w:r>
      <w:r>
        <w:rPr>
          <w:rFonts w:ascii="Times New Roman" w:hAnsi="Times New Roman" w:eastAsia="方正仿宋_GBK"/>
          <w:b w:val="0"/>
          <w:sz w:val="24"/>
        </w:rPr>
        <w:tab/>
      </w:r>
      <w:fldSimple w:instr="PAGEREF h1 \h">
        <w:r>
          <w:t>5</w:t>
        </w:r>
      </w:fldSimple>
    </w:p>
    <w:p>
      <w:pPr>
        <w:tabs>
          <w:tab w:pos="8220" w:val="right" w:leader="dot"/>
        </w:tabs>
        <w:spacing w:line="300" w:lineRule="auto" w:after="40"/>
        <w:ind w:firstLine="0" w:left="240"/>
        <w:jc w:val="left"/>
      </w:pPr>
      <w:r>
        <w:rPr>
          <w:rFonts w:ascii="Times New Roman" w:hAnsi="Times New Roman" w:eastAsia="方正仿宋_GBK"/>
          <w:b w:val="0"/>
          <w:sz w:val="24"/>
        </w:rPr>
        <w:t>1.2 研究范围与对象</w:t>
      </w:r>
      <w:r>
        <w:rPr>
          <w:rFonts w:ascii="Times New Roman" w:hAnsi="Times New Roman" w:eastAsia="方正仿宋_GBK"/>
          <w:b w:val="0"/>
          <w:sz w:val="24"/>
        </w:rPr>
        <w:tab/>
      </w:r>
      <w:fldSimple w:instr="PAGEREF h18 \h">
        <w:r>
          <w:t>7</w:t>
        </w:r>
      </w:fldSimple>
    </w:p>
    <w:p>
      <w:pPr>
        <w:tabs>
          <w:tab w:pos="8220" w:val="right" w:leader="dot"/>
        </w:tabs>
        <w:spacing w:line="300" w:lineRule="auto" w:after="40"/>
        <w:ind w:firstLine="0" w:left="240"/>
        <w:jc w:val="left"/>
      </w:pPr>
      <w:r>
        <w:rPr>
          <w:rFonts w:ascii="Times New Roman" w:hAnsi="Times New Roman" w:eastAsia="方正仿宋_GBK"/>
          <w:b w:val="0"/>
          <w:sz w:val="24"/>
        </w:rPr>
        <w:t>1.3 研究目标与内容</w:t>
      </w:r>
      <w:r>
        <w:rPr>
          <w:rFonts w:ascii="Times New Roman" w:hAnsi="Times New Roman" w:eastAsia="方正仿宋_GBK"/>
          <w:b w:val="0"/>
          <w:sz w:val="24"/>
        </w:rPr>
        <w:tab/>
      </w:r>
      <w:fldSimple w:instr="PAGEREF h31 \h">
        <w:r>
          <w:t>8</w:t>
        </w:r>
      </w:fldSimple>
    </w:p>
    <w:p>
      <w:pPr>
        <w:tabs>
          <w:tab w:pos="8220" w:val="right" w:leader="dot"/>
        </w:tabs>
        <w:spacing w:line="300" w:lineRule="auto" w:after="40"/>
        <w:ind w:firstLine="0" w:left="240"/>
        <w:jc w:val="left"/>
      </w:pPr>
      <w:r>
        <w:rPr>
          <w:rFonts w:ascii="Times New Roman" w:hAnsi="Times New Roman" w:eastAsia="方正仿宋_GBK"/>
          <w:b w:val="0"/>
          <w:sz w:val="24"/>
        </w:rPr>
        <w:t>1.4 研究方法与技术路线</w:t>
      </w:r>
      <w:r>
        <w:rPr>
          <w:rFonts w:ascii="Times New Roman" w:hAnsi="Times New Roman" w:eastAsia="方正仿宋_GBK"/>
          <w:b w:val="0"/>
          <w:sz w:val="24"/>
        </w:rPr>
        <w:tab/>
      </w:r>
      <w:fldSimple w:instr="PAGEREF h43 \h">
        <w:r>
          <w:t>9</w:t>
        </w:r>
      </w:fldSimple>
    </w:p>
    <w:p>
      <w:pPr>
        <w:tabs>
          <w:tab w:pos="8220" w:val="right" w:leader="dot"/>
        </w:tabs>
        <w:spacing w:line="300" w:lineRule="auto" w:after="40"/>
        <w:ind w:firstLine="0" w:left="240"/>
        <w:jc w:val="left"/>
      </w:pPr>
      <w:r>
        <w:rPr>
          <w:rFonts w:ascii="Times New Roman" w:hAnsi="Times New Roman" w:eastAsia="方正仿宋_GBK"/>
          <w:b w:val="0"/>
          <w:sz w:val="24"/>
        </w:rPr>
        <w:t>1.5 研究成果及应用</w:t>
      </w:r>
      <w:r>
        <w:rPr>
          <w:rFonts w:ascii="Times New Roman" w:hAnsi="Times New Roman" w:eastAsia="方正仿宋_GBK"/>
          <w:b w:val="0"/>
          <w:sz w:val="24"/>
        </w:rPr>
        <w:tab/>
      </w:r>
      <w:fldSimple w:instr="PAGEREF h59 \h">
        <w:r>
          <w:t>10</w:t>
        </w:r>
      </w:fldSimple>
    </w:p>
    <w:p>
      <w:pPr>
        <w:tabs>
          <w:tab w:pos="8220" w:val="right" w:leader="dot"/>
        </w:tabs>
        <w:spacing w:line="300" w:lineRule="auto" w:after="40"/>
        <w:ind w:firstLine="0" w:left="0"/>
        <w:jc w:val="left"/>
      </w:pPr>
      <w:r>
        <w:rPr>
          <w:rFonts w:ascii="Times New Roman" w:hAnsi="Times New Roman" w:eastAsia="方正仿宋_GBK"/>
          <w:b/>
          <w:sz w:val="24"/>
        </w:rPr>
        <w:t>第二章 国内外研究现状</w:t>
      </w:r>
      <w:r>
        <w:rPr>
          <w:rFonts w:ascii="Times New Roman" w:hAnsi="Times New Roman" w:eastAsia="方正仿宋_GBK"/>
          <w:b/>
          <w:sz w:val="24"/>
        </w:rPr>
        <w:tab/>
      </w:r>
      <w:fldSimple w:instr="PAGEREF h62 \h">
        <w:r>
          <w:t>12</w:t>
        </w:r>
      </w:fldSimple>
    </w:p>
    <w:p>
      <w:pPr>
        <w:tabs>
          <w:tab w:pos="8220" w:val="right" w:leader="dot"/>
        </w:tabs>
        <w:spacing w:line="300" w:lineRule="auto" w:after="40"/>
        <w:ind w:firstLine="0" w:left="240"/>
        <w:jc w:val="left"/>
      </w:pPr>
      <w:r>
        <w:rPr>
          <w:rFonts w:ascii="Times New Roman" w:hAnsi="Times New Roman" w:eastAsia="方正仿宋_GBK"/>
          <w:b w:val="0"/>
          <w:sz w:val="24"/>
        </w:rPr>
        <w:t>2.1 国外研究现状</w:t>
      </w:r>
      <w:r>
        <w:rPr>
          <w:rFonts w:ascii="Times New Roman" w:hAnsi="Times New Roman" w:eastAsia="方正仿宋_GBK"/>
          <w:b w:val="0"/>
          <w:sz w:val="24"/>
        </w:rPr>
        <w:tab/>
      </w:r>
      <w:fldSimple w:instr="PAGEREF h65 \h">
        <w:r>
          <w:t>12</w:t>
        </w:r>
      </w:fldSimple>
    </w:p>
    <w:p>
      <w:pPr>
        <w:tabs>
          <w:tab w:pos="8220" w:val="right" w:leader="dot"/>
        </w:tabs>
        <w:spacing w:line="300" w:lineRule="auto" w:after="40"/>
        <w:ind w:firstLine="0" w:left="240"/>
        <w:jc w:val="left"/>
      </w:pPr>
      <w:r>
        <w:rPr>
          <w:rFonts w:ascii="Times New Roman" w:hAnsi="Times New Roman" w:eastAsia="方正仿宋_GBK"/>
          <w:b w:val="0"/>
          <w:sz w:val="24"/>
        </w:rPr>
        <w:t>2.2 国内研究现状</w:t>
      </w:r>
      <w:r>
        <w:rPr>
          <w:rFonts w:ascii="Times New Roman" w:hAnsi="Times New Roman" w:eastAsia="方正仿宋_GBK"/>
          <w:b w:val="0"/>
          <w:sz w:val="24"/>
        </w:rPr>
        <w:tab/>
      </w:r>
      <w:fldSimple w:instr="PAGEREF h79 \h">
        <w:r>
          <w:t>13</w:t>
        </w:r>
      </w:fldSimple>
    </w:p>
    <w:p>
      <w:pPr>
        <w:tabs>
          <w:tab w:pos="8220" w:val="right" w:leader="dot"/>
        </w:tabs>
        <w:spacing w:line="300" w:lineRule="auto" w:after="40"/>
        <w:ind w:firstLine="0" w:left="240"/>
        <w:jc w:val="left"/>
      </w:pPr>
      <w:r>
        <w:rPr>
          <w:rFonts w:ascii="Times New Roman" w:hAnsi="Times New Roman" w:eastAsia="方正仿宋_GBK"/>
          <w:b w:val="0"/>
          <w:sz w:val="24"/>
        </w:rPr>
        <w:t>2.3 国内外研究对比与述评</w:t>
      </w:r>
      <w:r>
        <w:rPr>
          <w:rFonts w:ascii="Times New Roman" w:hAnsi="Times New Roman" w:eastAsia="方正仿宋_GBK"/>
          <w:b w:val="0"/>
          <w:sz w:val="24"/>
        </w:rPr>
        <w:tab/>
      </w:r>
      <w:fldSimple w:instr="PAGEREF h107 \h">
        <w:r>
          <w:t>16</w:t>
        </w:r>
      </w:fldSimple>
    </w:p>
    <w:p>
      <w:pPr>
        <w:tabs>
          <w:tab w:pos="8220" w:val="right" w:leader="dot"/>
        </w:tabs>
        <w:spacing w:line="300" w:lineRule="auto" w:after="40"/>
        <w:ind w:firstLine="0" w:left="240"/>
        <w:jc w:val="left"/>
      </w:pP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tab/>
      </w:r>
      <w:fldSimple w:instr="PAGEREF h125 \h">
        <w:r>
          <w:t>18</w:t>
        </w:r>
      </w:fldSimple>
    </w:p>
    <w:p>
      <w:pPr>
        <w:tabs>
          <w:tab w:pos="8220" w:val="right" w:leader="dot"/>
        </w:tabs>
        <w:spacing w:line="300" w:lineRule="auto" w:after="40"/>
        <w:ind w:firstLine="0" w:left="240"/>
        <w:jc w:val="left"/>
      </w:pPr>
      <w:r>
        <w:rPr>
          <w:rFonts w:ascii="Times New Roman" w:hAnsi="Times New Roman" w:eastAsia="方正仿宋_GBK"/>
          <w:b w:val="0"/>
          <w:sz w:val="24"/>
        </w:rPr>
        <w:t>2.6 主变、联络与储能的经济替代条件</w:t>
      </w:r>
      <w:r>
        <w:rPr>
          <w:rFonts w:ascii="Times New Roman" w:hAnsi="Times New Roman" w:eastAsia="方正仿宋_GBK"/>
          <w:b w:val="0"/>
          <w:sz w:val="24"/>
        </w:rPr>
        <w:tab/>
      </w:r>
      <w:fldSimple w:instr="PAGEREF h142 \h">
        <w:r>
          <w:t>19</w:t>
        </w:r>
      </w:fldSimple>
    </w:p>
    <w:p>
      <w:pPr>
        <w:tabs>
          <w:tab w:pos="8220" w:val="right" w:leader="dot"/>
        </w:tabs>
        <w:spacing w:line="300" w:lineRule="auto" w:after="40"/>
        <w:ind w:firstLine="0" w:left="240"/>
        <w:jc w:val="left"/>
      </w:pPr>
      <w:r>
        <w:rPr>
          <w:rFonts w:ascii="Times New Roman" w:hAnsi="Times New Roman" w:eastAsia="方正仿宋_GBK"/>
          <w:b w:val="0"/>
          <w:sz w:val="24"/>
        </w:rPr>
        <w:t>2.7 规划寻优方法与本项目选型</w:t>
      </w:r>
      <w:r>
        <w:rPr>
          <w:rFonts w:ascii="Times New Roman" w:hAnsi="Times New Roman" w:eastAsia="方正仿宋_GBK"/>
          <w:b w:val="0"/>
          <w:sz w:val="24"/>
        </w:rPr>
        <w:tab/>
      </w:r>
      <w:fldSimple w:instr="PAGEREF h156 \h">
        <w:r>
          <w:t>20</w:t>
        </w:r>
      </w:fldSimple>
    </w:p>
    <w:p>
      <w:pPr>
        <w:tabs>
          <w:tab w:pos="8220" w:val="right" w:leader="dot"/>
        </w:tabs>
        <w:spacing w:line="300" w:lineRule="auto" w:after="40"/>
        <w:ind w:firstLine="0" w:left="240"/>
        <w:jc w:val="left"/>
      </w:pPr>
      <w:r>
        <w:rPr>
          <w:rFonts w:ascii="Times New Roman" w:hAnsi="Times New Roman" w:eastAsia="方正仿宋_GBK"/>
          <w:b w:val="0"/>
          <w:sz w:val="24"/>
        </w:rPr>
        <w:t>2.8 本项目方法选择与工程衔接</w:t>
      </w:r>
      <w:r>
        <w:rPr>
          <w:rFonts w:ascii="Times New Roman" w:hAnsi="Times New Roman" w:eastAsia="方正仿宋_GBK"/>
          <w:b w:val="0"/>
          <w:sz w:val="24"/>
        </w:rPr>
        <w:tab/>
      </w:r>
      <w:fldSimple w:instr="PAGEREF h169 \h">
        <w:r>
          <w:t>22</w:t>
        </w:r>
      </w:fldSimple>
    </w:p>
    <w:p>
      <w:pPr>
        <w:tabs>
          <w:tab w:pos="8220" w:val="right" w:leader="dot"/>
        </w:tabs>
        <w:spacing w:line="300" w:lineRule="auto" w:after="40"/>
        <w:ind w:firstLine="0" w:left="240"/>
        <w:jc w:val="left"/>
      </w:pPr>
      <w:r>
        <w:rPr>
          <w:rFonts w:ascii="Times New Roman" w:hAnsi="Times New Roman" w:eastAsia="方正仿宋_GBK"/>
          <w:b w:val="0"/>
          <w:sz w:val="24"/>
        </w:rPr>
        <w:t>2.9 本章小结</w:t>
      </w:r>
      <w:r>
        <w:rPr>
          <w:rFonts w:ascii="Times New Roman" w:hAnsi="Times New Roman" w:eastAsia="方正仿宋_GBK"/>
          <w:b w:val="0"/>
          <w:sz w:val="24"/>
        </w:rPr>
        <w:tab/>
      </w:r>
      <w:fldSimple w:instr="PAGEREF h176 \h">
        <w:r>
          <w:t>22</w:t>
        </w:r>
      </w:fldSimple>
    </w:p>
    <w:p>
      <w:pPr>
        <w:tabs>
          <w:tab w:pos="8220" w:val="right" w:leader="dot"/>
        </w:tabs>
        <w:spacing w:line="300" w:lineRule="auto" w:after="40"/>
        <w:ind w:firstLine="0" w:left="0"/>
        <w:jc w:val="left"/>
      </w:pPr>
      <w:r>
        <w:rPr>
          <w:rFonts w:ascii="Times New Roman" w:hAnsi="Times New Roman" w:eastAsia="方正仿宋_GBK"/>
          <w:b/>
          <w:sz w:val="24"/>
        </w:rPr>
        <w:t>第三章 徐州典型地区运行特征分析</w:t>
      </w:r>
      <w:r>
        <w:rPr>
          <w:rFonts w:ascii="Times New Roman" w:hAnsi="Times New Roman" w:eastAsia="方正仿宋_GBK"/>
          <w:b/>
          <w:sz w:val="24"/>
        </w:rPr>
        <w:tab/>
      </w:r>
      <w:fldSimple w:instr="PAGEREF h178 \h">
        <w:r>
          <w:t>23</w:t>
        </w:r>
      </w:fldSimple>
    </w:p>
    <w:p>
      <w:pPr>
        <w:tabs>
          <w:tab w:pos="8220" w:val="right" w:leader="dot"/>
        </w:tabs>
        <w:spacing w:line="300" w:lineRule="auto" w:after="40"/>
        <w:ind w:firstLine="0" w:left="240"/>
        <w:jc w:val="left"/>
      </w:pPr>
      <w:r>
        <w:rPr>
          <w:rFonts w:ascii="Times New Roman" w:hAnsi="Times New Roman" w:eastAsia="方正仿宋_GBK"/>
          <w:b w:val="0"/>
          <w:sz w:val="24"/>
        </w:rPr>
        <w:t>3.1 研究地区与原始资料</w:t>
      </w:r>
      <w:r>
        <w:rPr>
          <w:rFonts w:ascii="Times New Roman" w:hAnsi="Times New Roman" w:eastAsia="方正仿宋_GBK"/>
          <w:b w:val="0"/>
          <w:sz w:val="24"/>
        </w:rPr>
        <w:tab/>
      </w:r>
      <w:fldSimple w:instr="PAGEREF h179 \h">
        <w:r>
          <w:t>23</w:t>
        </w:r>
      </w:fldSimple>
    </w:p>
    <w:p>
      <w:pPr>
        <w:tabs>
          <w:tab w:pos="8220" w:val="right" w:leader="dot"/>
        </w:tabs>
        <w:spacing w:line="300" w:lineRule="auto" w:after="40"/>
        <w:ind w:firstLine="0" w:left="240"/>
        <w:jc w:val="left"/>
      </w:pPr>
      <w:r>
        <w:rPr>
          <w:rFonts w:ascii="Times New Roman" w:hAnsi="Times New Roman" w:eastAsia="方正仿宋_GBK"/>
          <w:b w:val="0"/>
          <w:sz w:val="24"/>
        </w:rPr>
        <w:t>3.2 年度容量、负荷与增长特征</w:t>
      </w:r>
      <w:r>
        <w:rPr>
          <w:rFonts w:ascii="Times New Roman" w:hAnsi="Times New Roman" w:eastAsia="方正仿宋_GBK"/>
          <w:b w:val="0"/>
          <w:sz w:val="24"/>
        </w:rPr>
        <w:tab/>
      </w:r>
      <w:fldSimple w:instr="PAGEREF h189 \h">
        <w:r>
          <w:t>23</w:t>
        </w:r>
      </w:fldSimple>
    </w:p>
    <w:p>
      <w:pPr>
        <w:tabs>
          <w:tab w:pos="8220" w:val="right" w:leader="dot"/>
        </w:tabs>
        <w:spacing w:line="300" w:lineRule="auto" w:after="40"/>
        <w:ind w:firstLine="0" w:left="240"/>
        <w:jc w:val="left"/>
      </w:pPr>
      <w:r>
        <w:rPr>
          <w:rFonts w:ascii="Times New Roman" w:hAnsi="Times New Roman" w:eastAsia="方正仿宋_GBK"/>
          <w:b w:val="0"/>
          <w:sz w:val="24"/>
        </w:rPr>
        <w:t>3.3 分布式光伏装机与电量</w:t>
      </w:r>
      <w:r>
        <w:rPr>
          <w:rFonts w:ascii="Times New Roman" w:hAnsi="Times New Roman" w:eastAsia="方正仿宋_GBK"/>
          <w:b w:val="0"/>
          <w:sz w:val="24"/>
        </w:rPr>
        <w:tab/>
      </w:r>
      <w:fldSimple w:instr="PAGEREF h206 \h">
        <w:r>
          <w:t>25</w:t>
        </w:r>
      </w:fldSimple>
    </w:p>
    <w:p>
      <w:pPr>
        <w:tabs>
          <w:tab w:pos="8220" w:val="right" w:leader="dot"/>
        </w:tabs>
        <w:spacing w:line="300" w:lineRule="auto" w:after="40"/>
        <w:ind w:firstLine="0" w:left="240"/>
        <w:jc w:val="left"/>
      </w:pPr>
      <w:r>
        <w:rPr>
          <w:rFonts w:ascii="Times New Roman" w:hAnsi="Times New Roman" w:eastAsia="方正仿宋_GBK"/>
          <w:b w:val="0"/>
          <w:sz w:val="24"/>
        </w:rPr>
        <w:t>3.4 主变负载率与双向净负荷</w:t>
      </w:r>
      <w:r>
        <w:rPr>
          <w:rFonts w:ascii="Times New Roman" w:hAnsi="Times New Roman" w:eastAsia="方正仿宋_GBK"/>
          <w:b w:val="0"/>
          <w:sz w:val="24"/>
        </w:rPr>
        <w:tab/>
      </w:r>
      <w:fldSimple w:instr="PAGEREF h227 \h">
        <w:r>
          <w:t>28</w:t>
        </w:r>
      </w:fldSimple>
    </w:p>
    <w:p>
      <w:pPr>
        <w:tabs>
          <w:tab w:pos="8220" w:val="right" w:leader="dot"/>
        </w:tabs>
        <w:spacing w:line="300" w:lineRule="auto" w:after="40"/>
        <w:ind w:firstLine="0" w:left="240"/>
        <w:jc w:val="left"/>
      </w:pPr>
      <w:r>
        <w:rPr>
          <w:rFonts w:ascii="Times New Roman" w:hAnsi="Times New Roman" w:eastAsia="方正仿宋_GBK"/>
          <w:b w:val="0"/>
          <w:sz w:val="24"/>
        </w:rPr>
        <w:t>3.5 源荷与容量指标的关联分析</w:t>
      </w:r>
      <w:r>
        <w:rPr>
          <w:rFonts w:ascii="Times New Roman" w:hAnsi="Times New Roman" w:eastAsia="方正仿宋_GBK"/>
          <w:b w:val="0"/>
          <w:sz w:val="24"/>
        </w:rPr>
        <w:tab/>
      </w:r>
      <w:fldSimple w:instr="PAGEREF h252 \h">
        <w:r>
          <w:t>32</w:t>
        </w:r>
      </w:fldSimple>
    </w:p>
    <w:p>
      <w:pPr>
        <w:tabs>
          <w:tab w:pos="8220" w:val="right" w:leader="dot"/>
        </w:tabs>
        <w:spacing w:line="300" w:lineRule="auto" w:after="40"/>
        <w:ind w:firstLine="0" w:left="240"/>
        <w:jc w:val="left"/>
      </w:pPr>
      <w:r>
        <w:rPr>
          <w:rFonts w:ascii="Times New Roman" w:hAnsi="Times New Roman" w:eastAsia="方正仿宋_GBK"/>
          <w:b w:val="0"/>
          <w:sz w:val="24"/>
        </w:rPr>
        <w:t>3.6 10 kV负荷转接资料与仿真条件</w:t>
      </w:r>
      <w:r>
        <w:rPr>
          <w:rFonts w:ascii="Times New Roman" w:hAnsi="Times New Roman" w:eastAsia="方正仿宋_GBK"/>
          <w:b w:val="0"/>
          <w:sz w:val="24"/>
        </w:rPr>
        <w:tab/>
      </w:r>
      <w:fldSimple w:instr="PAGEREF h269 \h">
        <w:r>
          <w:t>34</w:t>
        </w:r>
      </w:fldSimple>
    </w:p>
    <w:p>
      <w:pPr>
        <w:tabs>
          <w:tab w:pos="8220" w:val="right" w:leader="dot"/>
        </w:tabs>
        <w:spacing w:line="300" w:lineRule="auto" w:after="40"/>
        <w:ind w:firstLine="0" w:left="240"/>
        <w:jc w:val="left"/>
      </w:pPr>
      <w:r>
        <w:rPr>
          <w:rFonts w:ascii="Times New Roman" w:hAnsi="Times New Roman" w:eastAsia="方正仿宋_GBK"/>
          <w:b w:val="0"/>
          <w:sz w:val="24"/>
        </w:rPr>
        <w:t>3.7 站级净负荷分布与配置需求</w:t>
      </w:r>
      <w:r>
        <w:rPr>
          <w:rFonts w:ascii="Times New Roman" w:hAnsi="Times New Roman" w:eastAsia="方正仿宋_GBK"/>
          <w:b w:val="0"/>
          <w:sz w:val="24"/>
        </w:rPr>
        <w:tab/>
      </w:r>
      <w:fldSimple w:instr="PAGEREF h279 \h">
        <w:r>
          <w:t>35</w:t>
        </w:r>
      </w:fldSimple>
    </w:p>
    <w:p>
      <w:pPr>
        <w:tabs>
          <w:tab w:pos="8220" w:val="right" w:leader="dot"/>
        </w:tabs>
        <w:spacing w:line="300" w:lineRule="auto" w:after="40"/>
        <w:ind w:firstLine="0" w:left="240"/>
        <w:jc w:val="left"/>
      </w:pPr>
      <w:r>
        <w:rPr>
          <w:rFonts w:ascii="Times New Roman" w:hAnsi="Times New Roman" w:eastAsia="方正仿宋_GBK"/>
          <w:b w:val="0"/>
          <w:sz w:val="24"/>
        </w:rPr>
        <w:t>3.8 数据基础的适用范围</w:t>
      </w:r>
      <w:r>
        <w:rPr>
          <w:rFonts w:ascii="Times New Roman" w:hAnsi="Times New Roman" w:eastAsia="方正仿宋_GBK"/>
          <w:b w:val="0"/>
          <w:sz w:val="24"/>
        </w:rPr>
        <w:tab/>
      </w:r>
      <w:fldSimple w:instr="PAGEREF h299 \h">
        <w:r>
          <w:t>38</w:t>
        </w:r>
      </w:fldSimple>
    </w:p>
    <w:p>
      <w:pPr>
        <w:tabs>
          <w:tab w:pos="8220" w:val="right" w:leader="dot"/>
        </w:tabs>
        <w:spacing w:line="300" w:lineRule="auto" w:after="40"/>
        <w:ind w:firstLine="0" w:left="0"/>
        <w:jc w:val="left"/>
      </w:pPr>
      <w:r>
        <w:rPr>
          <w:rFonts w:ascii="Times New Roman" w:hAnsi="Times New Roman" w:eastAsia="方正仿宋_GBK"/>
          <w:b/>
          <w:sz w:val="24"/>
        </w:rPr>
        <w:t>第四章 基于实际工程的建设成本模型</w:t>
      </w:r>
      <w:r>
        <w:rPr>
          <w:rFonts w:ascii="Times New Roman" w:hAnsi="Times New Roman" w:eastAsia="方正仿宋_GBK"/>
          <w:b/>
          <w:sz w:val="24"/>
        </w:rPr>
        <w:tab/>
      </w:r>
      <w:fldSimple w:instr="PAGEREF h302 \h">
        <w:r>
          <w:t>39</w:t>
        </w:r>
      </w:fldSimple>
    </w:p>
    <w:p>
      <w:pPr>
        <w:tabs>
          <w:tab w:pos="8220" w:val="right" w:leader="dot"/>
        </w:tabs>
        <w:spacing w:line="300" w:lineRule="auto" w:after="40"/>
        <w:ind w:firstLine="0" w:left="240"/>
        <w:jc w:val="left"/>
      </w:pPr>
      <w:r>
        <w:rPr>
          <w:rFonts w:ascii="Times New Roman" w:hAnsi="Times New Roman" w:eastAsia="方正仿宋_GBK"/>
          <w:b w:val="0"/>
          <w:sz w:val="24"/>
        </w:rPr>
        <w:t>4.1 成本模型的范围与建立原则</w:t>
      </w:r>
      <w:r>
        <w:rPr>
          <w:rFonts w:ascii="Times New Roman" w:hAnsi="Times New Roman" w:eastAsia="方正仿宋_GBK"/>
          <w:b w:val="0"/>
          <w:sz w:val="24"/>
        </w:rPr>
        <w:tab/>
      </w:r>
      <w:fldSimple w:instr="PAGEREF h303 \h">
        <w:r>
          <w:t>39</w:t>
        </w:r>
      </w:fldSimple>
    </w:p>
    <w:p>
      <w:pPr>
        <w:tabs>
          <w:tab w:pos="8220" w:val="right" w:leader="dot"/>
        </w:tabs>
        <w:spacing w:line="300" w:lineRule="auto" w:after="40"/>
        <w:ind w:firstLine="0" w:left="240"/>
        <w:jc w:val="left"/>
      </w:pPr>
      <w:r>
        <w:rPr>
          <w:rFonts w:ascii="Times New Roman" w:hAnsi="Times New Roman" w:eastAsia="方正仿宋_GBK"/>
          <w:b w:val="0"/>
          <w:sz w:val="24"/>
        </w:rPr>
        <w:t>4.2 主变工程成本系数</w:t>
      </w:r>
      <w:r>
        <w:rPr>
          <w:rFonts w:ascii="Times New Roman" w:hAnsi="Times New Roman" w:eastAsia="方正仿宋_GBK"/>
          <w:b w:val="0"/>
          <w:sz w:val="24"/>
        </w:rPr>
        <w:tab/>
      </w:r>
      <w:fldSimple w:instr="PAGEREF h314 \h">
        <w:r>
          <w:t>40</w:t>
        </w:r>
      </w:fldSimple>
    </w:p>
    <w:p>
      <w:pPr>
        <w:tabs>
          <w:tab w:pos="8220" w:val="right" w:leader="dot"/>
        </w:tabs>
        <w:spacing w:line="300" w:lineRule="auto" w:after="40"/>
        <w:ind w:firstLine="0" w:left="240"/>
        <w:jc w:val="left"/>
      </w:pPr>
      <w:r>
        <w:rPr>
          <w:rFonts w:ascii="Times New Roman" w:hAnsi="Times New Roman" w:eastAsia="方正仿宋_GBK"/>
          <w:b w:val="0"/>
          <w:sz w:val="24"/>
        </w:rPr>
        <w:t>4.3 10 kV联络工程费用</w:t>
      </w:r>
      <w:r>
        <w:rPr>
          <w:rFonts w:ascii="Times New Roman" w:hAnsi="Times New Roman" w:eastAsia="方正仿宋_GBK"/>
          <w:b w:val="0"/>
          <w:sz w:val="24"/>
        </w:rPr>
        <w:tab/>
      </w:r>
      <w:fldSimple w:instr="PAGEREF h333 \h">
        <w:r>
          <w:t>42</w:t>
        </w:r>
      </w:fldSimple>
    </w:p>
    <w:p>
      <w:pPr>
        <w:tabs>
          <w:tab w:pos="8220" w:val="right" w:leader="dot"/>
        </w:tabs>
        <w:spacing w:line="300" w:lineRule="auto" w:after="40"/>
        <w:ind w:firstLine="0" w:left="240"/>
        <w:jc w:val="left"/>
      </w:pPr>
      <w:r>
        <w:rPr>
          <w:rFonts w:ascii="Times New Roman" w:hAnsi="Times New Roman" w:eastAsia="方正仿宋_GBK"/>
          <w:b w:val="0"/>
          <w:sz w:val="24"/>
        </w:rPr>
        <w:t>4.4 储能投资模型</w:t>
      </w:r>
      <w:r>
        <w:rPr>
          <w:rFonts w:ascii="Times New Roman" w:hAnsi="Times New Roman" w:eastAsia="方正仿宋_GBK"/>
          <w:b w:val="0"/>
          <w:sz w:val="24"/>
        </w:rPr>
        <w:tab/>
      </w:r>
      <w:fldSimple w:instr="PAGEREF h344 \h">
        <w:r>
          <w:t>43</w:t>
        </w:r>
      </w:fldSimple>
    </w:p>
    <w:p>
      <w:pPr>
        <w:tabs>
          <w:tab w:pos="8220" w:val="right" w:leader="dot"/>
        </w:tabs>
        <w:spacing w:line="300" w:lineRule="auto" w:after="40"/>
        <w:ind w:firstLine="0" w:left="240"/>
        <w:jc w:val="left"/>
      </w:pPr>
      <w:r>
        <w:rPr>
          <w:rFonts w:ascii="Times New Roman" w:hAnsi="Times New Roman" w:eastAsia="方正仿宋_GBK"/>
          <w:b w:val="0"/>
          <w:sz w:val="24"/>
        </w:rPr>
        <w:t>4.5 两个成本比例及敏感性方法</w:t>
      </w:r>
      <w:r>
        <w:rPr>
          <w:rFonts w:ascii="Times New Roman" w:hAnsi="Times New Roman" w:eastAsia="方正仿宋_GBK"/>
          <w:b w:val="0"/>
          <w:sz w:val="24"/>
        </w:rPr>
        <w:tab/>
      </w:r>
      <w:fldSimple w:instr="PAGEREF h361 \h">
        <w:r>
          <w:t>44</w:t>
        </w:r>
      </w:fldSimple>
    </w:p>
    <w:p>
      <w:pPr>
        <w:tabs>
          <w:tab w:pos="8220" w:val="right" w:leader="dot"/>
        </w:tabs>
        <w:spacing w:line="300" w:lineRule="auto" w:after="40"/>
        <w:ind w:firstLine="0" w:left="240"/>
        <w:jc w:val="left"/>
      </w:pPr>
      <w:r>
        <w:rPr>
          <w:rFonts w:ascii="Times New Roman" w:hAnsi="Times New Roman" w:eastAsia="方正仿宋_GBK"/>
          <w:b w:val="0"/>
          <w:sz w:val="24"/>
        </w:rPr>
        <w:t>4.6 现金流现值计算</w:t>
      </w:r>
      <w:r>
        <w:rPr>
          <w:rFonts w:ascii="Times New Roman" w:hAnsi="Times New Roman" w:eastAsia="方正仿宋_GBK"/>
          <w:b w:val="0"/>
          <w:sz w:val="24"/>
        </w:rPr>
        <w:tab/>
      </w:r>
      <w:fldSimple w:instr="PAGEREF h378 \h">
        <w:r>
          <w:t>46</w:t>
        </w:r>
      </w:fldSimple>
    </w:p>
    <w:p>
      <w:pPr>
        <w:tabs>
          <w:tab w:pos="8220" w:val="right" w:leader="dot"/>
        </w:tabs>
        <w:spacing w:line="300" w:lineRule="auto" w:after="40"/>
        <w:ind w:firstLine="0" w:left="0"/>
        <w:jc w:val="left"/>
      </w:pPr>
      <w:r>
        <w:rPr>
          <w:rFonts w:ascii="Times New Roman" w:hAnsi="Times New Roman" w:eastAsia="方正仿宋_GBK"/>
          <w:b/>
          <w:sz w:val="24"/>
        </w:rPr>
        <w:t>第五章 弹性容载比寻优与规划建议</w:t>
      </w:r>
      <w:r>
        <w:rPr>
          <w:rFonts w:ascii="Times New Roman" w:hAnsi="Times New Roman" w:eastAsia="方正仿宋_GBK"/>
          <w:b/>
          <w:sz w:val="24"/>
        </w:rPr>
        <w:tab/>
      </w:r>
      <w:fldSimple w:instr="PAGEREF h394 \h">
        <w:r>
          <w:t>48</w:t>
        </w:r>
      </w:fldSimple>
    </w:p>
    <w:p>
      <w:pPr>
        <w:tabs>
          <w:tab w:pos="8220" w:val="right" w:leader="dot"/>
        </w:tabs>
        <w:spacing w:line="300" w:lineRule="auto" w:after="40"/>
        <w:ind w:firstLine="0" w:left="240"/>
        <w:jc w:val="left"/>
      </w:pPr>
      <w:r>
        <w:rPr>
          <w:rFonts w:ascii="Times New Roman" w:hAnsi="Times New Roman" w:eastAsia="方正仿宋_GBK"/>
          <w:b w:val="0"/>
          <w:sz w:val="24"/>
        </w:rPr>
        <w:t>5.1 寻优问题与共同起点</w:t>
      </w:r>
      <w:r>
        <w:rPr>
          <w:rFonts w:ascii="Times New Roman" w:hAnsi="Times New Roman" w:eastAsia="方正仿宋_GBK"/>
          <w:b w:val="0"/>
          <w:sz w:val="24"/>
        </w:rPr>
        <w:tab/>
      </w:r>
      <w:fldSimple w:instr="PAGEREF h396 \h">
        <w:r>
          <w:t>48</w:t>
        </w:r>
      </w:fldSimple>
    </w:p>
    <w:p>
      <w:pPr>
        <w:tabs>
          <w:tab w:pos="8220" w:val="right" w:leader="dot"/>
        </w:tabs>
        <w:spacing w:line="300" w:lineRule="auto" w:after="40"/>
        <w:ind w:firstLine="0" w:left="240"/>
        <w:jc w:val="left"/>
      </w:pPr>
      <w:r>
        <w:rPr>
          <w:rFonts w:ascii="Times New Roman" w:hAnsi="Times New Roman" w:eastAsia="方正仿宋_GBK"/>
          <w:b w:val="0"/>
          <w:sz w:val="24"/>
        </w:rPr>
        <w:t>5.2 三类方案的选取与寻优方法</w:t>
      </w:r>
      <w:r>
        <w:rPr>
          <w:rFonts w:ascii="Times New Roman" w:hAnsi="Times New Roman" w:eastAsia="方正仿宋_GBK"/>
          <w:b w:val="0"/>
          <w:sz w:val="24"/>
        </w:rPr>
        <w:tab/>
      </w:r>
      <w:fldSimple w:instr="PAGEREF h410 \h">
        <w:r>
          <w:t>49</w:t>
        </w:r>
      </w:fldSimple>
    </w:p>
    <w:p>
      <w:pPr>
        <w:tabs>
          <w:tab w:pos="8220" w:val="right" w:leader="dot"/>
        </w:tabs>
        <w:spacing w:line="300" w:lineRule="auto" w:after="40"/>
        <w:ind w:firstLine="0" w:left="240"/>
        <w:jc w:val="left"/>
      </w:pPr>
      <w:r>
        <w:rPr>
          <w:rFonts w:ascii="Times New Roman" w:hAnsi="Times New Roman" w:eastAsia="方正仿宋_GBK"/>
          <w:b w:val="0"/>
          <w:sz w:val="24"/>
        </w:rPr>
        <w:t>5.3 约束条件与求解流程</w:t>
      </w:r>
      <w:r>
        <w:rPr>
          <w:rFonts w:ascii="Times New Roman" w:hAnsi="Times New Roman" w:eastAsia="方正仿宋_GBK"/>
          <w:b w:val="0"/>
          <w:sz w:val="24"/>
        </w:rPr>
        <w:tab/>
      </w:r>
      <w:fldSimple w:instr="PAGEREF h440 \h">
        <w:r>
          <w:t>53</w:t>
        </w:r>
      </w:fldSimple>
    </w:p>
    <w:p>
      <w:pPr>
        <w:tabs>
          <w:tab w:pos="8220" w:val="right" w:leader="dot"/>
        </w:tabs>
        <w:spacing w:line="300" w:lineRule="auto" w:after="40"/>
        <w:ind w:firstLine="0" w:left="240"/>
        <w:jc w:val="left"/>
      </w:pPr>
      <w:r>
        <w:rPr>
          <w:rFonts w:ascii="Times New Roman" w:hAnsi="Times New Roman" w:eastAsia="方正仿宋_GBK"/>
          <w:b w:val="0"/>
          <w:sz w:val="24"/>
        </w:rPr>
        <w:t>5.4 寻优结果</w:t>
      </w:r>
      <w:r>
        <w:rPr>
          <w:rFonts w:ascii="Times New Roman" w:hAnsi="Times New Roman" w:eastAsia="方正仿宋_GBK"/>
          <w:b w:val="0"/>
          <w:sz w:val="24"/>
        </w:rPr>
        <w:tab/>
      </w:r>
      <w:fldSimple w:instr="PAGEREF h456 \h">
        <w:r>
          <w:t>54</w:t>
        </w:r>
      </w:fldSimple>
    </w:p>
    <w:p>
      <w:pPr>
        <w:tabs>
          <w:tab w:pos="8220" w:val="right" w:leader="dot"/>
        </w:tabs>
        <w:spacing w:line="300" w:lineRule="auto" w:after="40"/>
        <w:ind w:firstLine="0" w:left="240"/>
        <w:jc w:val="left"/>
      </w:pPr>
      <w:r>
        <w:rPr>
          <w:rFonts w:ascii="Times New Roman" w:hAnsi="Times New Roman" w:eastAsia="方正仿宋_GBK"/>
          <w:b w:val="0"/>
          <w:sz w:val="24"/>
        </w:rPr>
        <w:t>5.5 结果复核与措施作用</w:t>
      </w:r>
      <w:r>
        <w:rPr>
          <w:rFonts w:ascii="Times New Roman" w:hAnsi="Times New Roman" w:eastAsia="方正仿宋_GBK"/>
          <w:b w:val="0"/>
          <w:sz w:val="24"/>
        </w:rPr>
        <w:tab/>
      </w:r>
      <w:fldSimple w:instr="PAGEREF h484 \h">
        <w:r>
          <w:t>59</w:t>
        </w:r>
      </w:fldSimple>
    </w:p>
    <w:p>
      <w:pPr>
        <w:tabs>
          <w:tab w:pos="8220" w:val="right" w:leader="dot"/>
        </w:tabs>
        <w:spacing w:line="300" w:lineRule="auto" w:after="40"/>
        <w:ind w:firstLine="0" w:left="240"/>
        <w:jc w:val="left"/>
      </w:pPr>
      <w:r>
        <w:rPr>
          <w:rFonts w:ascii="Times New Roman" w:hAnsi="Times New Roman" w:eastAsia="方正仿宋_GBK"/>
          <w:b w:val="0"/>
          <w:sz w:val="24"/>
        </w:rPr>
        <w:t>5.6 参数拓展与通用推荐矩阵</w:t>
      </w:r>
      <w:r>
        <w:rPr>
          <w:rFonts w:ascii="Times New Roman" w:hAnsi="Times New Roman" w:eastAsia="方正仿宋_GBK"/>
          <w:b w:val="0"/>
          <w:sz w:val="24"/>
        </w:rPr>
        <w:tab/>
      </w:r>
      <w:fldSimple w:instr="PAGEREF h496 \h">
        <w:r>
          <w:t>60</w:t>
        </w:r>
      </w:fldSimple>
    </w:p>
    <w:p>
      <w:pPr>
        <w:tabs>
          <w:tab w:pos="8220" w:val="right" w:leader="dot"/>
        </w:tabs>
        <w:spacing w:line="300" w:lineRule="auto" w:after="40"/>
        <w:ind w:firstLine="0" w:left="240"/>
        <w:jc w:val="left"/>
      </w:pPr>
      <w:r>
        <w:rPr>
          <w:rFonts w:ascii="Times New Roman" w:hAnsi="Times New Roman" w:eastAsia="方正仿宋_GBK"/>
          <w:b w:val="0"/>
          <w:sz w:val="24"/>
        </w:rPr>
        <w:t>5.7 规划建议</w:t>
      </w:r>
      <w:r>
        <w:rPr>
          <w:rFonts w:ascii="Times New Roman" w:hAnsi="Times New Roman" w:eastAsia="方正仿宋_GBK"/>
          <w:b w:val="0"/>
          <w:sz w:val="24"/>
        </w:rPr>
        <w:tab/>
      </w:r>
      <w:fldSimple w:instr="PAGEREF h518 \h">
        <w:r>
          <w:t>63</w:t>
        </w:r>
      </w:fldSimple>
    </w:p>
    <w:p>
      <w:pPr>
        <w:tabs>
          <w:tab w:pos="8220" w:val="right" w:leader="dot"/>
        </w:tabs>
        <w:spacing w:line="300" w:lineRule="auto" w:after="40"/>
        <w:ind w:firstLine="0" w:left="0"/>
        <w:jc w:val="left"/>
      </w:pPr>
      <w:r>
        <w:rPr>
          <w:rFonts w:ascii="Times New Roman" w:hAnsi="Times New Roman" w:eastAsia="方正仿宋_GBK"/>
          <w:b/>
          <w:sz w:val="24"/>
        </w:rPr>
        <w:t>第六章 结论与建议</w:t>
      </w:r>
      <w:r>
        <w:rPr>
          <w:rFonts w:ascii="Times New Roman" w:hAnsi="Times New Roman" w:eastAsia="方正仿宋_GBK"/>
          <w:b/>
          <w:sz w:val="24"/>
        </w:rPr>
        <w:tab/>
      </w:r>
      <w:fldSimple w:instr="PAGEREF h528 \h">
        <w:r>
          <w:t>64</w:t>
        </w:r>
      </w:fldSimple>
    </w:p>
    <w:p>
      <w:pPr>
        <w:tabs>
          <w:tab w:pos="8220" w:val="right" w:leader="dot"/>
        </w:tabs>
        <w:spacing w:line="300" w:lineRule="auto" w:after="40"/>
        <w:ind w:firstLine="0" w:left="240"/>
        <w:jc w:val="left"/>
      </w:pPr>
      <w:r>
        <w:rPr>
          <w:rFonts w:ascii="Times New Roman" w:hAnsi="Times New Roman" w:eastAsia="方正仿宋_GBK"/>
          <w:b w:val="0"/>
          <w:sz w:val="24"/>
        </w:rPr>
        <w:t>6.1 主要研究结论</w:t>
      </w:r>
      <w:r>
        <w:rPr>
          <w:rFonts w:ascii="Times New Roman" w:hAnsi="Times New Roman" w:eastAsia="方正仿宋_GBK"/>
          <w:b w:val="0"/>
          <w:sz w:val="24"/>
        </w:rPr>
        <w:tab/>
      </w:r>
      <w:fldSimple w:instr="PAGEREF h529 \h">
        <w:r>
          <w:t>64</w:t>
        </w:r>
      </w:fldSimple>
    </w:p>
    <w:p>
      <w:pPr>
        <w:tabs>
          <w:tab w:pos="8220" w:val="right" w:leader="dot"/>
        </w:tabs>
        <w:spacing w:line="300" w:lineRule="auto" w:after="40"/>
        <w:ind w:firstLine="0" w:left="240"/>
        <w:jc w:val="left"/>
      </w:pPr>
      <w:r>
        <w:rPr>
          <w:rFonts w:ascii="Times New Roman" w:hAnsi="Times New Roman" w:eastAsia="方正仿宋_GBK"/>
          <w:b w:val="0"/>
          <w:sz w:val="24"/>
        </w:rPr>
        <w:t>6.2 规划应用建议</w:t>
      </w:r>
      <w:r>
        <w:rPr>
          <w:rFonts w:ascii="Times New Roman" w:hAnsi="Times New Roman" w:eastAsia="方正仿宋_GBK"/>
          <w:b w:val="0"/>
          <w:sz w:val="24"/>
        </w:rPr>
        <w:tab/>
      </w:r>
      <w:fldSimple w:instr="PAGEREF h550 \h">
        <w:r>
          <w:t>65</w:t>
        </w:r>
      </w:fldSimple>
    </w:p>
    <w:p>
      <w:pPr>
        <w:tabs>
          <w:tab w:pos="8220" w:val="right" w:leader="dot"/>
        </w:tabs>
        <w:spacing w:line="300" w:lineRule="auto" w:after="40"/>
        <w:ind w:firstLine="0" w:left="240"/>
        <w:jc w:val="left"/>
      </w:pPr>
      <w:r>
        <w:rPr>
          <w:rFonts w:ascii="Times New Roman" w:hAnsi="Times New Roman" w:eastAsia="方正仿宋_GBK"/>
          <w:b w:val="0"/>
          <w:sz w:val="24"/>
        </w:rPr>
        <w:t>6.3 后续完善方向</w:t>
      </w:r>
      <w:r>
        <w:rPr>
          <w:rFonts w:ascii="Times New Roman" w:hAnsi="Times New Roman" w:eastAsia="方正仿宋_GBK"/>
          <w:b w:val="0"/>
          <w:sz w:val="24"/>
        </w:rPr>
        <w:tab/>
      </w:r>
      <w:fldSimple w:instr="PAGEREF h558 \h">
        <w:r>
          <w:t>66</w:t>
        </w:r>
      </w:fldSimple>
    </w:p>
    <w:p>
      <w:pPr>
        <w:tabs>
          <w:tab w:pos="8220" w:val="right" w:leader="dot"/>
        </w:tabs>
        <w:spacing w:line="300" w:lineRule="auto" w:after="40"/>
        <w:ind w:firstLine="0" w:left="0"/>
        <w:jc w:val="left"/>
      </w:pPr>
      <w:r>
        <w:rPr>
          <w:rFonts w:ascii="Times New Roman" w:hAnsi="Times New Roman" w:eastAsia="方正仿宋_GBK"/>
          <w:b/>
          <w:sz w:val="24"/>
        </w:rPr>
        <w:t>参考文献</w:t>
      </w:r>
      <w:r>
        <w:rPr>
          <w:rFonts w:ascii="Times New Roman" w:hAnsi="Times New Roman" w:eastAsia="方正仿宋_GBK"/>
          <w:b/>
          <w:sz w:val="24"/>
        </w:rPr>
        <w:tab/>
      </w:r>
      <w:fldSimple w:instr="PAGEREF h565 \h">
        <w:r>
          <w:t>67</w:t>
        </w:r>
      </w:fldSimple>
    </w:p>
    <w:p>
      <w:bookmarkStart w:id="1000" w:name="h0"/>
      <w:pPr>
        <w:pStyle w:val="3"/>
        <w:keepNext/>
        <w:pageBreakBefore/>
        <w:numPr>
          <w:numId w:val="0"/>
        </w:numPr>
        <w:spacing w:line="360" w:lineRule="auto" w:before="0" w:after="120"/>
        <w:ind w:firstLine="0"/>
      </w:pPr>
      <w:bookmarkStart w:id="20" w:name="第一章-绪论"/>
      <w:r>
        <w:rPr>
          <w:rFonts w:ascii="Times New Roman" w:hAnsi="Times New Roman" w:eastAsia="方正仿宋_GBK"/>
          <w:b/>
          <w:sz w:val="36"/>
        </w:rPr>
        <w:t xml:space="preserve">第一章 绪论</w:t>
      </w:r>
      <w:bookmarkEnd w:id="20"/>
      <w:bookmarkEnd w:id="1000"/>
    </w:p>
    <w:p>
      <w:bookmarkStart w:id="1001" w:name="h1"/>
      <w:pPr>
        <w:pStyle w:val="4"/>
        <w:keepNext/>
        <w:numPr>
          <w:numId w:val="0"/>
        </w:numPr>
        <w:spacing w:line="360" w:lineRule="auto" w:before="160" w:after="120"/>
        <w:ind w:firstLine="0"/>
      </w:pPr>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60" w:lineRule="auto"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00" w:lineRule="auto" w:before="0" w:after="0"/>
        <w:ind w:firstLine="480"/>
        <w:jc w:val="both"/>
      </w:pPr>
      <w:r>
        <w:rPr>
          <w:rFonts w:ascii="Times New Roman" w:hAnsi="Times New Roman" w:eastAsia="方正仿宋_GBK"/>
          <w:b w:val="0"/>
          <w:sz w:val="24"/>
        </w:rPr>
        <w:t xml:space="preserve">分布式电源接入后，用户用电需求与电网供电负荷之间的对应关系发生变化。光伏出力较高时，部分用户用电由本地电源供给，110 kV主变受入功率相应减小；当本地发电超过本地用电时，主变潮流可能反向。光伏出力下降后，上级电网仍需承担剩余用电需求。由此，主变规划需要同时识别年度正向供电最大负荷和局部反向功率压力，设备容量的合理性还取决于负荷分布、下级网络联络及供电安全要求[1][2][4]。</w:t>
      </w:r>
    </w:p>
    <w:p>
      <w:pPr>
        <w:pStyle w:val="2"/>
        <w:widowControl/>
        <w:spacing w:line="300" w:lineRule="auto"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《关于新形势下配电网高质量发展的指导意见》将分布式新能源承载、多元负荷接入及源网荷储协同列为配电网发展的工作方向[3]。这些要求落实到110 kV规划，需要在既有资产条件下统筹主变建设与中压网改造，明确储能参与容量支撑的条件，避免仅凭一个年度比值安排投资。对于光伏集中发展的县域，正午反送与晚间受电可能分别决定不同设备的运行边界；对于负荷密集的市区，用户连续供电要求和局部重载站的供电安全容量可能更早成为制约。</w:t>
      </w:r>
    </w:p>
    <w:p>
      <w:pPr>
        <w:pStyle w:val="2"/>
        <w:widowControl/>
        <w:spacing w:line="300" w:lineRule="auto" w:before="0" w:after="0"/>
        <w:ind w:firstLine="480"/>
        <w:jc w:val="both"/>
      </w:pPr>
      <w:r>
        <w:rPr>
          <w:rFonts w:ascii="Times New Roman" w:hAnsi="Times New Roman" w:eastAsia="方正仿宋_GBK"/>
          <w:b w:val="0"/>
          <w:sz w:val="24"/>
        </w:rPr>
        <w:t xml:space="preserve">容载比是区域容量规划中长期使用的统计指标。DL/T 5729—2023以同电压等级公用变电设备总容量与区域年网供最大负荷之比定义容载比，并要求结合负荷发展、供电安全及技术经济条件确定合理水平[4]。该指标表达区域容量储备，具体站点容量、联络支援与光伏反送压力需要站级分析。高渗透率地区继续采用容载比进行容量评价时，应补充站级运行和措施组合分析，使区域指标与局部约束相互对应。</w:t>
      </w:r>
    </w:p>
    <w:p>
      <w:pPr>
        <w:pStyle w:val="2"/>
        <w:widowControl/>
        <w:spacing w:line="300" w:lineRule="auto" w:before="0" w:after="0"/>
        <w:ind w:firstLine="480"/>
        <w:jc w:val="both"/>
      </w:pPr>
      <w:r>
        <w:rPr>
          <w:rFonts w:ascii="Times New Roman" w:hAnsi="Times New Roman" w:eastAsia="方正仿宋_GBK"/>
          <w:b w:val="0"/>
          <w:sz w:val="24"/>
        </w:rPr>
        <w:t xml:space="preserve">分布式光伏对年网供最大负荷的影响具有时段差异。若全年正向峰值发生在光伏出力较低的晚间，新增光伏可能明显减少日间购电量，却未按相同比例降低年度供电峰值。若原峰值发生在日间，光伏接入可能使峰值转移到其他时段。光伏电量占比、装机与用户峰值之比以及主变年最大负载率，分别描述电量、装机规模和设备压力。报告因此将分布式电源装机渗透率与分布式电源电量渗透率作为区域源荷背景，将净负荷绝对峰值及峰段持续时间用于设备容量压力分析。</w:t>
      </w:r>
    </w:p>
    <w:p>
      <w:pPr>
        <w:pStyle w:val="5"/>
        <w:keepNext/>
        <w:numPr>
          <w:numId w:val="0"/>
        </w:numPr>
        <w:spacing w:line="360" w:lineRule="auto"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00" w:lineRule="auto" w:before="0" w:after="0"/>
        <w:ind w:firstLine="480"/>
        <w:jc w:val="both"/>
      </w:pPr>
      <w:r>
        <w:rPr>
          <w:rFonts w:ascii="Times New Roman" w:hAnsi="Times New Roman" w:eastAsia="方正仿宋_GBK"/>
          <w:b w:val="0"/>
          <w:sz w:val="24"/>
        </w:rPr>
        <w:t xml:space="preserve">按本项目统一单位口径，邳州2025年末分布式光伏装机容量为1559.638 MW，2025年110 kV原表降压负荷为956.450 MW；市区相应值为491.180 MW和1528.820 MW[76][77]。两地区的电源规模、负荷任务及资产结构不同，为比较高光伏占比县域与市区容量配置提供了资料。上述光伏规模与降压负荷尚不构成标准分布式电源装机渗透率，其分母应进一步核定为用户最大用电负荷，第三章将说明单位采用条件和统计口径。</w:t>
      </w:r>
    </w:p>
    <w:p>
      <w:pPr>
        <w:pStyle w:val="2"/>
        <w:widowControl/>
        <w:spacing w:line="300" w:lineRule="auto" w:before="0" w:after="0"/>
        <w:ind w:firstLine="480"/>
        <w:jc w:val="both"/>
      </w:pPr>
      <w:r>
        <w:rPr>
          <w:rFonts w:ascii="Times New Roman" w:hAnsi="Times New Roman" w:eastAsia="方正仿宋_GBK"/>
          <w:b w:val="0"/>
          <w:sz w:val="24"/>
        </w:rPr>
        <w:t xml:space="preserve">邳州2021—2025年原表负荷存在年度回落，2023年低于2022年，2025年又高于此前各年[76]。若只按某一年度的同比增长率安排容量，容易放大暂时波动的影响。市区负荷也有年度升降，但四年年负荷平均增长水平较低。同一容载比控制值应用于这两类地区时，可能引起不同的主变与储能组合，需要通过完整年度路径比较解释其原因。</w:t>
      </w:r>
    </w:p>
    <w:p>
      <w:pPr>
        <w:pStyle w:val="2"/>
        <w:widowControl/>
        <w:spacing w:line="300" w:lineRule="auto" w:before="0" w:after="0"/>
        <w:ind w:firstLine="480"/>
        <w:jc w:val="both"/>
      </w:pPr>
      <w:r>
        <w:rPr>
          <w:rFonts w:ascii="Times New Roman" w:hAnsi="Times New Roman" w:eastAsia="方正仿宋_GBK"/>
          <w:b w:val="0"/>
          <w:sz w:val="24"/>
        </w:rPr>
        <w:t xml:space="preserve">主变增容具有台数和规格的离散性。由20 MVA主变更换为50 MVA主变，容量净增30 MVA，采购及配套工程对应的设备规模为50 MVA。增加第三台主变又涉及预留位置与相应土建条件。若费用只按净增容量线性计取，可能低估替换工程投资，并改变措施间的比较结果。为使规划结论可以核算，本研究以徐州实际工程投资表标定主变系数，分别处理替换既有主变与增加第三台主变[70]。</w:t>
      </w:r>
    </w:p>
    <w:p>
      <w:pPr>
        <w:pStyle w:val="2"/>
        <w:widowControl/>
        <w:spacing w:line="300" w:lineRule="auto" w:before="0" w:after="0"/>
        <w:ind w:firstLine="480"/>
        <w:jc w:val="both"/>
      </w:pPr>
      <w:r>
        <w:rPr>
          <w:rFonts w:ascii="Times New Roman" w:hAnsi="Times New Roman" w:eastAsia="方正仿宋_GBK"/>
          <w:b w:val="0"/>
          <w:sz w:val="24"/>
        </w:rPr>
        <w:t xml:space="preserve">10 kV联络可以调整负荷的供电归属，缓解局部容量与负荷分布不匹配。其作用受供端可转负荷、受端剩余容量和通道条件共同限制。区县内正常运行负荷转接保持区域负荷总量，容载比分母保持一致；故障或检修状态下的转供能力则应按导则对应的供电安全条件评价[4][5]。本研究进行正常负荷配置与单台退出容量校核，工程阶段依据故障恢复要求核定实际操作条件。</w:t>
      </w:r>
    </w:p>
    <w:p>
      <w:pPr>
        <w:pStyle w:val="2"/>
        <w:widowControl/>
        <w:spacing w:line="300" w:lineRule="auto" w:before="0" w:after="0"/>
        <w:ind w:firstLine="480"/>
        <w:jc w:val="both"/>
      </w:pPr>
      <w:r>
        <w:rPr>
          <w:rFonts w:ascii="Times New Roman" w:hAnsi="Times New Roman" w:eastAsia="方正仿宋_GBK"/>
          <w:b w:val="0"/>
          <w:sz w:val="24"/>
        </w:rPr>
        <w:t xml:space="preserve">储能在短时尖峰场景下可以提供容量支撑，但其额定功率和额定能量必须同时满足需求。100 kW/215 kWh储能柜在持续时间超过2.15 h后，受能量约束的持续支撑功率低于额定功率。将储能额定MW直接抵扣所有站级峰值，会高估其能力；只按MWh计价而忽略持续时间，则无法比较不同峰段条件下的工程费用。峰值持续时间因此是本报告推荐矩阵的必要参数[14][20]。</w:t>
      </w:r>
    </w:p>
    <w:p>
      <w:pPr>
        <w:pStyle w:val="5"/>
        <w:keepNext/>
        <w:numPr>
          <w:numId w:val="0"/>
        </w:numPr>
        <w:spacing w:line="360" w:lineRule="auto"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00" w:lineRule="auto"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全寿命费用。这样形成的推荐值具有对应的建设措施及约束条件，便于说明采用某个比值需要付出多少投资、获得何种容量配置，以及哪些条件发生变化后需要重新比选。</w:t>
      </w:r>
    </w:p>
    <w:p>
      <w:pPr>
        <w:pStyle w:val="2"/>
        <w:widowControl/>
        <w:spacing w:line="300" w:lineRule="auto" w:before="0" w:after="0"/>
        <w:ind w:firstLine="480"/>
        <w:jc w:val="both"/>
      </w:pPr>
      <w:r>
        <w:rPr>
          <w:rFonts w:ascii="Times New Roman" w:hAnsi="Times New Roman" w:eastAsia="方正仿宋_GBK"/>
          <w:b w:val="0"/>
          <w:sz w:val="24"/>
        </w:rPr>
        <w:t xml:space="preserve">弹性方案允许在既定研究边界内放宽一般容载比控制值。容量提高后，局部供电安全约束所需的储能可能减少；但主变购置、配套工程及后续运维费用也会增加。两种费用变化能否相抵，取决于主变规格、储能价格、峰段持续时间和负荷空间分布。研究以同措施集合、同价格和同初态比较方案，不预设弹性方案一定具有经济优势。</w:t>
      </w:r>
    </w:p>
    <w:p>
      <w:pPr>
        <w:pStyle w:val="2"/>
        <w:widowControl/>
        <w:spacing w:line="300" w:lineRule="auto" w:before="0" w:after="0"/>
        <w:ind w:firstLine="480"/>
        <w:jc w:val="both"/>
      </w:pPr>
      <w:r>
        <w:rPr>
          <w:rFonts w:ascii="Times New Roman" w:hAnsi="Times New Roman" w:eastAsia="方正仿宋_GBK"/>
          <w:b w:val="0"/>
          <w:sz w:val="24"/>
        </w:rPr>
        <w:t xml:space="preserve">对实际规划而言，年度容载比的变化还应区分容量变化与负荷变化。既有主变保持不变而年最大负荷下降，容载比会升高；这并不意味着当年新增了容量。反之，负荷增长快于容量增长时，新增主变后容载比仍可能降低。逐年方案需同时列出主变在役容量、采购容量和年度负荷，才能把指标变化与建设行为对应起来。</w:t>
      </w:r>
    </w:p>
    <w:p>
      <w:pPr>
        <w:pStyle w:val="2"/>
        <w:widowControl/>
        <w:spacing w:line="300" w:lineRule="auto" w:before="0" w:after="0"/>
        <w:ind w:firstLine="480"/>
        <w:jc w:val="both"/>
      </w:pPr>
      <w:r>
        <w:rPr>
          <w:rFonts w:ascii="Times New Roman" w:hAnsi="Times New Roman" w:eastAsia="方正仿宋_GBK"/>
          <w:b w:val="0"/>
          <w:sz w:val="24"/>
        </w:rPr>
        <w:t xml:space="preserve">研究成果拟用于区域规划前期的技术经济比选。其直接价值是提供可复算的配置路径、价格参数与条件推荐矩阵，并明确推荐值随相关条件变化的范围。采用相似片区模板时，仍需核对实际容量和负荷分布。涉及具体接线、故障恢复时间、电压与保护配合的工程结论，应在接入系统或专项规划阶段另行校核。</w:t>
      </w:r>
    </w:p>
    <w:p>
      <w:bookmarkStart w:id="1018" w:name="h18"/>
      <w:pPr>
        <w:pStyle w:val="4"/>
        <w:keepNext/>
        <w:numPr>
          <w:numId w:val="0"/>
        </w:numPr>
        <w:spacing w:line="360" w:lineRule="auto" w:before="160" w:after="120"/>
        <w:ind w:firstLine="0"/>
      </w:pPr>
      <w:bookmarkStart w:id="25" w:name="研究范围与对象"/>
      <w:r>
        <w:rPr>
          <w:rFonts w:ascii="Times New Roman" w:hAnsi="Times New Roman" w:eastAsia="方正仿宋_GBK"/>
          <w:b/>
          <w:sz w:val="32"/>
        </w:rPr>
        <w:t xml:space="preserve">1.2 研究范围与对象</w:t>
      </w:r>
      <w:bookmarkEnd w:id="25"/>
      <w:bookmarkEnd w:id="1018"/>
    </w:p>
    <w:p>
      <w:pPr>
        <w:pStyle w:val="5"/>
        <w:keepNext/>
        <w:numPr>
          <w:numId w:val="0"/>
        </w:numPr>
        <w:spacing w:line="360" w:lineRule="auto" w:before="160" w:after="120"/>
        <w:ind w:firstLine="0"/>
      </w:pPr>
      <w:bookmarkStart w:id="26" w:name="电压等级与统计范围"/>
      <w:r>
        <w:rPr>
          <w:rFonts w:ascii="Times New Roman" w:hAnsi="Times New Roman" w:eastAsia="方正仿宋_GBK"/>
          <w:b/>
          <w:sz w:val="26"/>
        </w:rPr>
        <w:t xml:space="preserve">1.2.1 电压等级与统计范围</w:t>
      </w:r>
      <w:bookmarkEnd w:id="26"/>
    </w:p>
    <w:p>
      <w:pPr>
        <w:pStyle w:val="FirstParagraph"/>
        <w:widowControl/>
        <w:spacing w:line="300" w:lineRule="auto"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5729—2023第6.3.3条，以行政区县作为最小统计分析范围[4]。本研究优化对象为邳州和市区。35 kV资料只用于说明层级边界，不与110 kV负荷直接相加，也不计入本研究方案费用。</w:t>
      </w:r>
    </w:p>
    <w:p>
      <w:pPr>
        <w:pStyle w:val="2"/>
        <w:widowControl/>
        <w:spacing w:line="300" w:lineRule="auto" w:before="0" w:after="0"/>
        <w:ind w:firstLine="480"/>
        <w:jc w:val="both"/>
      </w:pPr>
      <w:r>
        <w:rPr>
          <w:rFonts w:ascii="Times New Roman" w:hAnsi="Times New Roman" w:eastAsia="方正仿宋_GBK"/>
          <w:b w:val="0"/>
          <w:sz w:val="24"/>
        </w:rPr>
        <w:t xml:space="preserve">邳州站级模型含20座110 kV变电站，市区含29座已映射或补充的仿真站。年网供最大负荷采用区县同电压等级年度降压负荷估计，站级空间分布由样本时序标定。区域年度负荷用于容载比计算，各站最大净负荷用于局部容量校核。</w:t>
      </w:r>
    </w:p>
    <w:p>
      <w:pPr>
        <w:pStyle w:val="2"/>
        <w:widowControl/>
        <w:spacing w:line="300" w:lineRule="auto" w:before="0" w:after="0"/>
        <w:ind w:firstLine="480"/>
        <w:jc w:val="both"/>
      </w:pPr>
      <w:r>
        <w:rPr>
          <w:rFonts w:ascii="Times New Roman" w:hAnsi="Times New Roman" w:eastAsia="方正仿宋_GBK"/>
          <w:b w:val="0"/>
          <w:sz w:val="24"/>
        </w:rPr>
        <w:t xml:space="preserve">供电区域分类按导则规定的负荷密度等条件确定[4]。邳州保留样本类别，市区统一按A类进行规划仿真；通用外推设置A类与B/C类站群，分别采用相应设备规格和转供能力范围。</w:t>
      </w:r>
    </w:p>
    <w:p>
      <w:pPr>
        <w:pStyle w:val="5"/>
        <w:keepNext/>
        <w:numPr>
          <w:numId w:val="0"/>
        </w:numPr>
        <w:spacing w:line="360" w:lineRule="auto" w:before="160" w:after="120"/>
        <w:ind w:firstLine="0"/>
      </w:pPr>
      <w:bookmarkStart w:id="27" w:name="年份与评价期"/>
      <w:r>
        <w:rPr>
          <w:rFonts w:ascii="Times New Roman" w:hAnsi="Times New Roman" w:eastAsia="方正仿宋_GBK"/>
          <w:b/>
          <w:sz w:val="26"/>
        </w:rPr>
        <w:t xml:space="preserve">1.2.2 年份与评价期</w:t>
      </w:r>
      <w:bookmarkEnd w:id="27"/>
    </w:p>
    <w:p>
      <w:pPr>
        <w:pStyle w:val="FirstParagraph"/>
        <w:widowControl/>
        <w:spacing w:line="300" w:lineRule="auto" w:before="0" w:after="0"/>
        <w:ind w:firstLine="480"/>
        <w:jc w:val="both"/>
      </w:pPr>
      <w:r>
        <w:rPr>
          <w:rFonts w:ascii="Times New Roman" w:hAnsi="Times New Roman" w:eastAsia="方正仿宋_GBK"/>
          <w:b w:val="0"/>
          <w:sz w:val="24"/>
        </w:rPr>
        <w:t xml:space="preserve">2021—2025年资料用于分析负荷发展、光伏装机和设备运行特征。规划仿真采用共同的容载比2.0起点，以历史资料形成的年负荷平均增长率构造后续四年负荷。现状统计与仿真规划分别列示，年度建设规模由满足约束的优化结果确定。</w:t>
      </w:r>
    </w:p>
    <w:p>
      <w:pPr>
        <w:pStyle w:val="2"/>
        <w:widowControl/>
        <w:spacing w:line="300" w:lineRule="auto" w:before="0" w:after="0"/>
        <w:ind w:firstLine="480"/>
        <w:jc w:val="both"/>
      </w:pPr>
      <w:r>
        <w:rPr>
          <w:rFonts w:ascii="Times New Roman" w:hAnsi="Times New Roman" w:eastAsia="方正仿宋_GBK"/>
          <w:b w:val="0"/>
          <w:sz w:val="24"/>
        </w:rPr>
        <w:t xml:space="preserve">基期主变按离散规格配置，基期年网供最大负荷取主变总容量的二分之一。站级负荷沿用实际样本的空间分布，再按年度区域负荷标定。邳州和市区的刚性、弹性方案分别共用本地区的起点、负荷和价格。</w:t>
      </w:r>
    </w:p>
    <w:p>
      <w:pPr>
        <w:pStyle w:val="2"/>
        <w:widowControl/>
        <w:spacing w:line="300" w:lineRule="auto"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经济评价以2021年末为折现基准，评价截止于2041年。仿真第1—4年在计算文件中分别标记为2022—2025年，用于统一投运时间和现金流折现。主变、线路和储能的寿命、运维率采用第四章列明的研究参数[20—22]。</w:t>
      </w:r>
    </w:p>
    <w:p>
      <w:pPr>
        <w:pStyle w:val="5"/>
        <w:keepNext/>
        <w:numPr>
          <w:numId w:val="0"/>
        </w:numPr>
        <w:spacing w:line="360" w:lineRule="auto" w:before="160" w:after="120"/>
        <w:ind w:firstLine="0"/>
      </w:pPr>
      <w:bookmarkStart w:id="28" w:name="技术分析与费用边界"/>
      <w:r>
        <w:rPr>
          <w:rFonts w:ascii="Times New Roman" w:hAnsi="Times New Roman" w:eastAsia="方正仿宋_GBK"/>
          <w:b/>
          <w:sz w:val="26"/>
        </w:rPr>
        <w:t xml:space="preserve">1.2.3 技术分析与费用边界</w:t>
      </w:r>
      <w:bookmarkEnd w:id="28"/>
    </w:p>
    <w:p>
      <w:pPr>
        <w:pStyle w:val="FirstParagraph"/>
        <w:widowControl/>
        <w:spacing w:line="300" w:lineRule="auto" w:before="0" w:after="0"/>
        <w:ind w:firstLine="480"/>
        <w:jc w:val="both"/>
      </w:pPr>
      <w:r>
        <w:rPr>
          <w:rFonts w:ascii="Times New Roman" w:hAnsi="Times New Roman" w:eastAsia="方正仿宋_GBK"/>
          <w:b w:val="0"/>
          <w:sz w:val="24"/>
        </w:rPr>
        <w:t xml:space="preserve">技术模型包括正向供电、反向功率压力、单台主变退出后的静态供电安全容量以及正常负荷转接约束。储能按峰段持续时间折算有效支撑功率，联络通道按送受两端成对计量。模型没有显式求解逐时充放电及荷电状态，也未包含交流潮流和保护配合，所得结果为静态规划仿真范围内的方案比较。</w:t>
      </w:r>
    </w:p>
    <w:p>
      <w:pPr>
        <w:pStyle w:val="2"/>
        <w:widowControl/>
        <w:spacing w:line="300" w:lineRule="auto"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2021年存量资产费用不重复计入；未取得可靠数据的损耗电费、充电购电费、残值与旧设备处置收益，不在目标函数中自行补数。上述科目可能影响工程经济排序，报告在费用解释和应用条件中说明其对应影响。</w:t>
      </w:r>
    </w:p>
    <w:p>
      <w:pPr>
        <w:pStyle w:val="2"/>
        <w:widowControl/>
        <w:spacing w:line="300" w:lineRule="auto" w:before="0" w:after="0"/>
        <w:ind w:firstLine="480"/>
        <w:jc w:val="both"/>
      </w:pPr>
      <w:r>
        <w:rPr>
          <w:rFonts w:ascii="Times New Roman" w:hAnsi="Times New Roman" w:eastAsia="方正仿宋_GBK"/>
          <w:b w:val="0"/>
          <w:sz w:val="24"/>
        </w:rPr>
        <w:t xml:space="preserve">两类方案均可选主变替换、增加第三台主变、配置储能、利用既有仿真通道转接负荷及新建联络线。市区初始站间转供率假定为50%；邳州采用六馈线样本测算的28.2879%，在区县内部统一应用。新建10 kV联络线提供新增转供能力。弹性各年超过2.0及市区指标低于邳州，为本研究方案比较的显式规划条件；费用排序由寻优结果产生。第五章将区分规划条件、模型结果与外推建议。</w:t>
      </w:r>
    </w:p>
    <w:p>
      <w:bookmarkStart w:id="1031" w:name="h31"/>
      <w:pPr>
        <w:pStyle w:val="4"/>
        <w:keepNext/>
        <w:numPr>
          <w:numId w:val="0"/>
        </w:numPr>
        <w:spacing w:line="360" w:lineRule="auto" w:before="160" w:after="120"/>
        <w:ind w:firstLine="0"/>
      </w:pPr>
      <w:bookmarkStart w:id="29" w:name="研究目标与内容"/>
      <w:r>
        <w:rPr>
          <w:rFonts w:ascii="Times New Roman" w:hAnsi="Times New Roman" w:eastAsia="方正仿宋_GBK"/>
          <w:b/>
          <w:sz w:val="32"/>
        </w:rPr>
        <w:t xml:space="preserve">1.3 研究目标与内容</w:t>
      </w:r>
      <w:bookmarkEnd w:id="29"/>
      <w:bookmarkEnd w:id="1031"/>
    </w:p>
    <w:p>
      <w:pPr>
        <w:pStyle w:val="5"/>
        <w:keepNext/>
        <w:numPr>
          <w:numId w:val="0"/>
        </w:numPr>
        <w:spacing w:line="360" w:lineRule="auto" w:before="160" w:after="120"/>
        <w:ind w:firstLine="0"/>
      </w:pPr>
      <w:bookmarkStart w:id="30" w:name="研究目标"/>
      <w:r>
        <w:rPr>
          <w:rFonts w:ascii="Times New Roman" w:hAnsi="Times New Roman" w:eastAsia="方正仿宋_GBK"/>
          <w:b/>
          <w:sz w:val="26"/>
        </w:rPr>
        <w:t xml:space="preserve">1.3.1 研究目标</w:t>
      </w:r>
      <w:bookmarkEnd w:id="30"/>
    </w:p>
    <w:p>
      <w:pPr>
        <w:pStyle w:val="FirstParagraph"/>
        <w:widowControl/>
        <w:spacing w:line="300" w:lineRule="auto"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00" w:lineRule="auto"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第三台扩建按独立案例标定；线路按长度、敷设方式及开关数量构造工程费用；储能同时记录功率、能量与价格。将三类措施折算到同一评价期，避免仅凭单次投资比值决定规划方案。</w:t>
      </w:r>
    </w:p>
    <w:p>
      <w:pPr>
        <w:pStyle w:val="2"/>
        <w:widowControl/>
        <w:spacing w:line="300" w:lineRule="auto" w:before="0" w:after="0"/>
        <w:ind w:firstLine="480"/>
        <w:jc w:val="both"/>
      </w:pPr>
      <w:r>
        <w:rPr>
          <w:rFonts w:ascii="Times New Roman" w:hAnsi="Times New Roman" w:eastAsia="方正仿宋_GBK"/>
          <w:b w:val="0"/>
          <w:sz w:val="24"/>
        </w:rPr>
        <w:t xml:space="preserve">在此基础上，形成后续四年同初态、同措施集合的刚性和弹性路径，给出每年主变容量、采购措施、储能配置、正常负荷转接及费用。推荐容载比由这些实际决策计算得到，并逐项复核正反向压力与供电安全容量条件。</w:t>
      </w:r>
    </w:p>
    <w:p>
      <w:pPr>
        <w:pStyle w:val="2"/>
        <w:widowControl/>
        <w:spacing w:line="300" w:lineRule="auto" w:before="0" w:after="0"/>
        <w:ind w:firstLine="480"/>
        <w:jc w:val="both"/>
      </w:pPr>
      <w:r>
        <w:rPr>
          <w:rFonts w:ascii="Times New Roman" w:hAnsi="Times New Roman" w:eastAsia="方正仿宋_GBK"/>
          <w:b w:val="0"/>
          <w:sz w:val="24"/>
        </w:rPr>
        <w:t xml:space="preserve">最后，围绕主变与线路、主变与储能两个成本比例开展敏感性分析，结合源荷水平、峰段持续时间和年负荷平均增长率构造条件矩阵。通用矩阵按参数分档给出容载比推荐区间，具体工程措施在方案结果和配套工作簿中列示。</w:t>
      </w:r>
    </w:p>
    <w:p>
      <w:pPr>
        <w:pStyle w:val="5"/>
        <w:keepNext/>
        <w:numPr>
          <w:numId w:val="0"/>
        </w:numPr>
        <w:spacing w:line="360" w:lineRule="auto" w:before="160" w:after="120"/>
        <w:ind w:firstLine="0"/>
      </w:pPr>
      <w:bookmarkStart w:id="31" w:name="主要研究内容"/>
      <w:r>
        <w:rPr>
          <w:rFonts w:ascii="Times New Roman" w:hAnsi="Times New Roman" w:eastAsia="方正仿宋_GBK"/>
          <w:b/>
          <w:sz w:val="26"/>
        </w:rPr>
        <w:t xml:space="preserve">1.3.2 主要研究内容</w:t>
      </w:r>
      <w:bookmarkEnd w:id="31"/>
    </w:p>
    <w:p>
      <w:pPr>
        <w:pStyle w:val="FirstParagraph"/>
        <w:widowControl/>
        <w:spacing w:line="300" w:lineRule="auto"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kV统计范围；结合设备台账及站级时序分析正反向净负荷、绝对峰值、峰段持续时间和主变负载率。分布式光伏月度装机与典型出力曲线用于估计发电量，并分别核定用户负荷与电量分母。</w:t>
      </w:r>
    </w:p>
    <w:p>
      <w:pPr>
        <w:pStyle w:val="2"/>
        <w:widowControl/>
        <w:spacing w:line="300" w:lineRule="auto" w:before="0" w:after="0"/>
        <w:ind w:firstLine="480"/>
        <w:jc w:val="both"/>
      </w:pPr>
      <w:r>
        <w:rPr>
          <w:rFonts w:ascii="Times New Roman" w:hAnsi="Times New Roman" w:eastAsia="方正仿宋_GBK"/>
          <w:b w:val="0"/>
          <w:sz w:val="24"/>
        </w:rPr>
        <w:t xml:space="preserve">工程费用研究以徐州主变扩建和替换工程为主要价格依据，采用采购案例标定储能，采用公开规划造价形成线路参考情景。研究明确案例规模、包含工程内容与价格适用范围，给出成本系数的计算式。成本比例按可比的有效MW口径构造，并同时说明各措施在功能上的差异。</w:t>
      </w:r>
    </w:p>
    <w:p>
      <w:pPr>
        <w:pStyle w:val="2"/>
        <w:widowControl/>
        <w:spacing w:line="300" w:lineRule="auto" w:before="0" w:after="0"/>
        <w:ind w:firstLine="480"/>
        <w:jc w:val="both"/>
      </w:pPr>
      <w:r>
        <w:rPr>
          <w:rFonts w:ascii="Times New Roman" w:hAnsi="Times New Roman" w:eastAsia="方正仿宋_GBK"/>
          <w:b w:val="0"/>
          <w:sz w:val="24"/>
        </w:rPr>
        <w:t xml:space="preserve">逐年规划采用混合整数线性优化。主变离散规格、第三台主变及联络线投运状态、储能柜数为整数决策；站间正常转接功率为连续决策。主目标为新增措施全寿命费用现值最小；同费用条件下依次处理弹性容载比偏好和转接量，以使年度结果可重复解释。</w:t>
      </w:r>
    </w:p>
    <w:p>
      <w:pPr>
        <w:pStyle w:val="2"/>
        <w:widowControl/>
        <w:spacing w:line="300" w:lineRule="auto" w:before="0" w:after="0"/>
        <w:ind w:firstLine="480"/>
        <w:jc w:val="both"/>
      </w:pPr>
      <w:r>
        <w:rPr>
          <w:rFonts w:ascii="Times New Roman" w:hAnsi="Times New Roman" w:eastAsia="方正仿宋_GBK"/>
          <w:b w:val="0"/>
          <w:sz w:val="24"/>
        </w:rPr>
        <w:t xml:space="preserve">方案分析列出区域年度容量、采购事件、储能和联络配置，并复算逐站容量余量、负荷守恒与全寿命费用，解释措施对配置的作用。</w:t>
      </w:r>
    </w:p>
    <w:p>
      <w:pPr>
        <w:pStyle w:val="2"/>
        <w:widowControl/>
        <w:spacing w:line="300" w:lineRule="auto" w:before="0" w:after="0"/>
        <w:ind w:firstLine="480"/>
        <w:jc w:val="both"/>
      </w:pPr>
      <w:r>
        <w:rPr>
          <w:rFonts w:ascii="Times New Roman" w:hAnsi="Times New Roman" w:eastAsia="方正仿宋_GBK"/>
          <w:b w:val="0"/>
          <w:sz w:val="24"/>
        </w:rPr>
        <w:t xml:space="preserve">参数研究在两类一般站群中拓展装机渗透率、年负荷平均增长率、峰段持续时间及两个成本比，求解7000组目标年静态方案，按参数分档形成通用容载比推荐区间。</w:t>
      </w:r>
    </w:p>
    <w:p>
      <w:bookmarkStart w:id="1043" w:name="h43"/>
      <w:pPr>
        <w:pStyle w:val="4"/>
        <w:keepNext/>
        <w:numPr>
          <w:numId w:val="0"/>
        </w:numPr>
        <w:spacing w:line="360" w:lineRule="auto" w:before="160" w:after="120"/>
        <w:ind w:firstLine="0"/>
      </w:pPr>
      <w:bookmarkStart w:id="32" w:name="研究方法与技术路线"/>
      <w:r>
        <w:rPr>
          <w:rFonts w:ascii="Times New Roman" w:hAnsi="Times New Roman" w:eastAsia="方正仿宋_GBK"/>
          <w:b/>
          <w:sz w:val="32"/>
        </w:rPr>
        <w:t xml:space="preserve">1.4 研究方法与技术路线</w:t>
      </w:r>
      <w:bookmarkEnd w:id="32"/>
      <w:bookmarkEnd w:id="1043"/>
    </w:p>
    <w:p>
      <w:pPr>
        <w:pStyle w:val="5"/>
        <w:keepNext/>
        <w:numPr>
          <w:numId w:val="0"/>
        </w:numPr>
        <w:spacing w:line="360" w:lineRule="auto" w:before="160" w:after="120"/>
        <w:ind w:firstLine="0"/>
      </w:pPr>
      <w:bookmarkStart w:id="33" w:name="原始资料核对与指标计算"/>
      <w:r>
        <w:rPr>
          <w:rFonts w:ascii="Times New Roman" w:hAnsi="Times New Roman" w:eastAsia="方正仿宋_GBK"/>
          <w:b/>
          <w:sz w:val="26"/>
        </w:rPr>
        <w:t xml:space="preserve">1.4.1 原始资料核对与指标计算</w:t>
      </w:r>
      <w:bookmarkEnd w:id="33"/>
    </w:p>
    <w:p>
      <w:pPr>
        <w:pStyle w:val="FirstParagraph"/>
        <w:widowControl/>
        <w:spacing w:line="300" w:lineRule="auto" w:before="0" w:after="0"/>
        <w:ind w:firstLine="480"/>
        <w:jc w:val="both"/>
      </w:pPr>
      <w:r>
        <w:rPr>
          <w:rFonts w:ascii="Times New Roman" w:hAnsi="Times New Roman" w:eastAsia="方正仿宋_GBK"/>
          <w:b w:val="0"/>
          <w:sz w:val="24"/>
        </w:rPr>
        <w:t xml:space="preserve">对年度容量、负荷及月度光伏装机，先统一万千伏安、万千瓦与MVA、MW的换算，再核对电压等级和区县范围。对逐时负荷，将受电记为正、反送记为负，保留缺失小时和异常表头的处理记录。资料处理的目的在于明确每个计算量由哪些原始列形成，避免经过多次加工后失去统计含义。</w:t>
      </w:r>
    </w:p>
    <w:p>
      <w:pPr>
        <w:pStyle w:val="2"/>
        <w:widowControl/>
        <w:spacing w:line="300" w:lineRule="auto" w:before="0" w:after="0"/>
        <w:ind w:firstLine="480"/>
        <w:jc w:val="both"/>
      </w:pPr>
      <w:r>
        <w:rPr>
          <w:rFonts w:ascii="Times New Roman" w:hAnsi="Times New Roman" w:eastAsia="方正仿宋_GBK"/>
          <w:b w:val="0"/>
          <w:sz w:val="24"/>
        </w:rPr>
        <w:t xml:space="preserve">指标分为区域统计量和站级运行量。区域容载比、分布式电源装机渗透率与分布式电源电量渗透率分别使用自己的分母；站级最大负载率及净负荷最大绝对值反映设备压力，95%峰值持续时间反映尖峰能量需求。年度同比增长率采用四个年度的1∶2∶3∶4权重平滑，权重用于提高近年信息的影响程度，属于本研究方法。</w:t>
      </w:r>
    </w:p>
    <w:p>
      <w:pPr>
        <w:pStyle w:val="5"/>
        <w:keepNext/>
        <w:numPr>
          <w:numId w:val="0"/>
        </w:numPr>
        <w:spacing w:line="360" w:lineRule="auto" w:before="160" w:after="120"/>
        <w:ind w:firstLine="0"/>
      </w:pPr>
      <w:bookmarkStart w:id="34" w:name="工程费用归一化与联合寻优"/>
      <w:r>
        <w:rPr>
          <w:rFonts w:ascii="Times New Roman" w:hAnsi="Times New Roman" w:eastAsia="方正仿宋_GBK"/>
          <w:b/>
          <w:sz w:val="26"/>
        </w:rPr>
        <w:t xml:space="preserve">1.4.2 工程费用归一化与联合寻优</w:t>
      </w:r>
      <w:bookmarkEnd w:id="34"/>
    </w:p>
    <w:p>
      <w:pPr>
        <w:pStyle w:val="FirstParagraph"/>
        <w:widowControl/>
        <w:spacing w:line="300" w:lineRule="auto"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增加第三台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00" w:lineRule="auto" w:before="0" w:after="0"/>
        <w:ind w:firstLine="480"/>
        <w:jc w:val="both"/>
      </w:pPr>
      <w:r>
        <w:rPr>
          <w:rFonts w:ascii="Times New Roman" w:hAnsi="Times New Roman" w:eastAsia="方正仿宋_GBK"/>
          <w:b w:val="0"/>
          <w:sz w:val="24"/>
        </w:rPr>
        <w:t xml:space="preserve">在联合寻优中，年度容载比约束与站级技术约束同时进入模型。区县内部转接改变站级负荷分配而保持区域总任务守恒；反向压力按电源原归属保守处理，负荷转出后的潜在反送压力同步校核。模型同时求解邳州和市区各自的刚性、弹性规划方案，保留本研究设定的地区间和方案间指标条件。</w:t>
      </w:r>
    </w:p>
    <w:p>
      <w:pPr>
        <w:pStyle w:val="2"/>
        <w:widowControl/>
        <w:spacing w:line="300" w:lineRule="auto" w:before="0" w:after="0"/>
        <w:ind w:firstLine="480"/>
        <w:jc w:val="both"/>
      </w:pPr>
      <w:r>
        <w:rPr>
          <w:rFonts w:ascii="Times New Roman" w:hAnsi="Times New Roman" w:eastAsia="方正仿宋_GBK"/>
          <w:b w:val="0"/>
          <w:sz w:val="24"/>
        </w:rPr>
        <w:t xml:space="preserve">求解过程采用分阶段目标。先确定费用最小目标的计算上界，再在允许的数值容差内选择弹性容量配置，最后固定整数设备布局，减少维持该布局所需的正常转接量。报告分别列出费用求解精度、同费用容量偏好和固定布局下的转接量。</w:t>
      </w:r>
    </w:p>
    <w:p>
      <w:pPr>
        <w:pStyle w:val="5"/>
        <w:keepNext/>
        <w:numPr>
          <w:numId w:val="0"/>
        </w:numPr>
        <w:spacing w:line="360" w:lineRule="auto" w:before="160" w:after="120"/>
        <w:ind w:firstLine="0"/>
      </w:pPr>
      <w:bookmarkStart w:id="35" w:name="条件矩阵与方案核查"/>
      <w:r>
        <w:rPr>
          <w:rFonts w:ascii="Times New Roman" w:hAnsi="Times New Roman" w:eastAsia="方正仿宋_GBK"/>
          <w:b/>
          <w:sz w:val="26"/>
        </w:rPr>
        <w:t xml:space="preserve">1.4.3 条件矩阵与方案核查</w:t>
      </w:r>
      <w:bookmarkEnd w:id="35"/>
    </w:p>
    <w:p>
      <w:pPr>
        <w:pStyle w:val="FirstParagraph"/>
        <w:widowControl/>
        <w:spacing w:line="300" w:lineRule="auto" w:before="0" w:after="0"/>
        <w:ind w:firstLine="480"/>
        <w:jc w:val="both"/>
      </w:pPr>
      <w:r>
        <w:rPr>
          <w:rFonts w:ascii="Times New Roman" w:hAnsi="Times New Roman" w:eastAsia="方正仿宋_GBK"/>
          <w:b w:val="0"/>
          <w:sz w:val="24"/>
        </w:rPr>
        <w:t xml:space="preserve">推荐矩阵依据案例中的参数与配置关系建立一般站群，再进行目标年参数外推。源荷水平和分布式电源电量渗透率用于说明片区能源条件，峰值持续时间和增长率用于组织容量需求，两个成本比例用于改变措施经济关系。每个推荐区间由对应参数分档下的可行计算结果归纳，配套结果保存各计算点的容量、费用与约束校核。</w:t>
      </w:r>
    </w:p>
    <w:p>
      <w:pPr>
        <w:pStyle w:val="2"/>
        <w:widowControl/>
        <w:spacing w:line="300" w:lineRule="auto" w:before="0" w:after="0"/>
        <w:ind w:firstLine="480"/>
        <w:jc w:val="both"/>
      </w:pPr>
      <w:r>
        <w:rPr>
          <w:rFonts w:ascii="Times New Roman" w:hAnsi="Times New Roman" w:eastAsia="方正仿宋_GBK"/>
          <w:b w:val="0"/>
          <w:sz w:val="24"/>
        </w:rPr>
        <w:t xml:space="preserve">核查包括原表换算和区县容量汇总，也检查年度资产不减、负荷转接守恒及储能整数规模，并复算正反向容量和单台主变退出容量。费用另按购置与投运事件重建现金流复算。通用外推核对目标年的相同容量、转供与守恒关系，各参数组合分别进行整数寻优。</w:t>
      </w:r>
    </w:p>
    <w:p>
      <w:pPr>
        <w:pStyle w:val="2"/>
        <w:widowControl/>
        <w:spacing w:line="300" w:lineRule="auto"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计算工作簿与核验记录作为配套交付保存，正文不设附录。</w:t>
      </w:r>
    </w:p>
    <w:p>
      <w:pPr>
        <w:pStyle w:val="5"/>
        <w:keepNext/>
        <w:numPr>
          <w:numId w:val="0"/>
        </w:numPr>
        <w:spacing w:line="360" w:lineRule="auto" w:before="160" w:after="120"/>
        <w:ind w:firstLine="0"/>
      </w:pPr>
      <w:bookmarkStart w:id="36" w:name="计算流程与成果衔接"/>
      <w:r>
        <w:rPr>
          <w:rFonts w:ascii="Times New Roman" w:hAnsi="Times New Roman" w:eastAsia="方正仿宋_GBK"/>
          <w:b/>
          <w:sz w:val="26"/>
        </w:rPr>
        <w:t xml:space="preserve">1.4.4 计算流程与成果衔接</w:t>
      </w:r>
      <w:bookmarkEnd w:id="36"/>
    </w:p>
    <w:p>
      <w:pPr>
        <w:pStyle w:val="FirstParagraph"/>
        <w:widowControl/>
        <w:spacing w:line="300" w:lineRule="auto"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采用第三章至第五章列明的输入、算式和约束，避免图表分析与规划计算使用不同数据。</w:t>
      </w:r>
    </w:p>
    <w:p>
      <w:pPr>
        <w:pStyle w:val="2"/>
        <w:keepNext/>
        <w:spacing w:line="240" w:lineRule="auto" w:before="120" w:after="0"/>
        <w:ind w:firstLine="0"/>
        <w:jc w:val="center"/>
      </w:pPr>
      <w:r>
        <w:drawing>
          <wp:inline>
            <wp:extent cx="5120640" cy="413894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technical_route.png" id="0" name="Picture"/>
                    <pic:cNvPicPr>
                      <a:picLocks noChangeArrowheads="1" noChangeAspect="1"/>
                    </pic:cNvPicPr>
                  </pic:nvPicPr>
                  <pic:blipFill>
                    <a:blip r:embed="rId37"/>
                    <a:stretch>
                      <a:fillRect/>
                    </a:stretch>
                  </pic:blipFill>
                  <pic:spPr bwMode="auto">
                    <a:xfrm>
                      <a:off x="0" y="0"/>
                      <a:ext cx="5120640" cy="413894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图1-1 逐年规划计算与推荐矩阵形成过程</w:t>
      </w:r>
    </w:p>
    <w:p>
      <w:bookmarkStart w:id="1059" w:name="h59"/>
      <w:pPr>
        <w:pStyle w:val="4"/>
        <w:keepNext/>
        <w:numPr>
          <w:numId w:val="0"/>
        </w:numPr>
        <w:spacing w:line="360" w:lineRule="auto" w:before="160" w:after="120"/>
        <w:ind w:firstLine="0"/>
      </w:pPr>
      <w:bookmarkStart w:id="38" w:name="研究成果及应用"/>
      <w:r>
        <w:rPr>
          <w:rFonts w:ascii="Times New Roman" w:hAnsi="Times New Roman" w:eastAsia="方正仿宋_GBK"/>
          <w:b/>
          <w:sz w:val="32"/>
        </w:rPr>
        <w:t xml:space="preserve">1.5 研究成果及应用</w:t>
      </w:r>
      <w:bookmarkEnd w:id="38"/>
      <w:bookmarkEnd w:id="1059"/>
    </w:p>
    <w:p>
      <w:pPr>
        <w:pStyle w:val="FirstParagraph"/>
        <w:widowControl/>
        <w:spacing w:line="300" w:lineRule="auto" w:before="0" w:after="0"/>
        <w:ind w:firstLine="480"/>
        <w:jc w:val="both"/>
      </w:pPr>
      <w:r>
        <w:rPr>
          <w:rFonts w:ascii="Times New Roman" w:hAnsi="Times New Roman" w:eastAsia="方正仿宋_GBK"/>
          <w:b w:val="0"/>
          <w:sz w:val="24"/>
        </w:rPr>
        <w:t xml:space="preserve">本研究形成邳州、市区的刚性与弹性四年规划方案，给出年度主变容量、采购规模、储能配置、负荷转接及全寿命费用。通用推荐矩阵仅列参数条件与容载比区间，逐点设备配置和计算记录保存在配套工作簿中。</w:t>
      </w:r>
    </w:p>
    <w:p>
      <w:pPr>
        <w:pStyle w:val="2"/>
        <w:widowControl/>
        <w:spacing w:line="300" w:lineRule="auto"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规划应用先核定实际在役资产、年网供最大负荷和站间转供能力，依据源荷水平、负荷增长与峰段持续时间选择比选范围，再以本地工程价格开展增容、配储和10 kV联络联合寻优。工程设计阶段继续校核实际线路、电压、保护及储能连续运行条件。</w:t>
      </w:r>
    </w:p>
    <w:p>
      <w:bookmarkStart w:id="1062" w:name="h62"/>
      <w:pPr>
        <w:pStyle w:val="3"/>
        <w:keepNext/>
        <w:pageBreakBefore/>
        <w:numPr>
          <w:numId w:val="0"/>
        </w:numPr>
        <w:spacing w:line="360" w:lineRule="auto" w:before="0" w:after="120"/>
        <w:ind w:firstLine="0"/>
      </w:pPr>
      <w:bookmarkStart w:id="39" w:name="第二章-国内外研究现状"/>
      <w:r>
        <w:rPr>
          <w:rFonts w:ascii="Times New Roman" w:hAnsi="Times New Roman" w:eastAsia="方正仿宋_GBK"/>
          <w:b/>
          <w:sz w:val="36"/>
        </w:rPr>
        <w:t xml:space="preserve">第二章 国内外研究现状</w:t>
      </w:r>
      <w:bookmarkEnd w:id="39"/>
      <w:bookmarkEnd w:id="1062"/>
    </w:p>
    <w:p>
      <w:pPr>
        <w:pStyle w:val="FirstParagraph"/>
        <w:widowControl/>
        <w:spacing w:line="300" w:lineRule="auto"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00" w:lineRule="auto"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bookmarkStart w:id="1065" w:name="h65"/>
      <w:pPr>
        <w:pStyle w:val="4"/>
        <w:keepNext/>
        <w:numPr>
          <w:numId w:val="0"/>
        </w:numPr>
        <w:spacing w:line="360" w:lineRule="auto" w:before="160" w:after="120"/>
        <w:ind w:firstLine="0"/>
      </w:pPr>
      <w:bookmarkStart w:id="40" w:name="国外研究现状"/>
      <w:r>
        <w:rPr>
          <w:rFonts w:ascii="Times New Roman" w:hAnsi="Times New Roman" w:eastAsia="方正仿宋_GBK"/>
          <w:b/>
          <w:sz w:val="32"/>
        </w:rPr>
        <w:t xml:space="preserve">2.1 国外研究现状</w:t>
      </w:r>
      <w:bookmarkEnd w:id="40"/>
      <w:bookmarkEnd w:id="1065"/>
    </w:p>
    <w:p>
      <w:pPr>
        <w:pStyle w:val="5"/>
        <w:keepNext/>
        <w:numPr>
          <w:numId w:val="0"/>
        </w:numPr>
        <w:spacing w:line="360" w:lineRule="auto" w:before="160" w:after="120"/>
        <w:ind w:firstLine="0"/>
      </w:pPr>
      <w:bookmarkStart w:id="41" w:name="分布式电源承载力评估"/>
      <w:r>
        <w:rPr>
          <w:rFonts w:ascii="Times New Roman" w:hAnsi="Times New Roman" w:eastAsia="方正仿宋_GBK"/>
          <w:b/>
          <w:sz w:val="26"/>
        </w:rPr>
        <w:t xml:space="preserve">2.1.1 分布式电源承载力评估</w:t>
      </w:r>
      <w:bookmarkEnd w:id="41"/>
    </w:p>
    <w:p>
      <w:pPr>
        <w:pStyle w:val="FirstParagraph"/>
        <w:widowControl/>
        <w:spacing w:line="300" w:lineRule="auto" w:before="0" w:after="0"/>
        <w:ind w:firstLine="480"/>
        <w:jc w:val="both"/>
      </w:pPr>
      <w:r>
        <w:rPr>
          <w:rFonts w:ascii="Times New Roman" w:hAnsi="Times New Roman" w:eastAsia="方正仿宋_GBK"/>
          <w:b w:val="0"/>
          <w:sz w:val="24"/>
        </w:rPr>
        <w:t xml:space="preserve">源荷不确定性是承载力评估的重要条件。Lin等采用两阶段模型，先以鲁棒优化刻画源荷最不利场景，再考虑主动管理措施计算光伏接入能力[6]。Chen等结合光伏与负荷场景，在电压、功率平衡和线路能力约束下求解接入容量[7]。两类方法将光伏规模与具体运行场景联系起来，支持识别限制接入的关键因素。</w:t>
      </w:r>
    </w:p>
    <w:p>
      <w:pPr>
        <w:pStyle w:val="2"/>
        <w:widowControl/>
        <w:spacing w:line="300" w:lineRule="auto" w:before="0" w:after="0"/>
        <w:ind w:firstLine="480"/>
        <w:jc w:val="both"/>
      </w:pPr>
      <w:r>
        <w:rPr>
          <w:rFonts w:ascii="Times New Roman" w:hAnsi="Times New Roman" w:eastAsia="方正仿宋_GBK"/>
          <w:b w:val="0"/>
          <w:sz w:val="24"/>
        </w:rPr>
        <w:t xml:space="preserve">承载力评估还逐步纳入风险和动态运行条件。Liu等采用随机场景及安全、可靠性、经济性综合风险指标，比较最优接入规模与可接受风险下的最大接入规模[8]。Shu等将物理信息预测、关键压力场景和静态电压稳定裕度纳入动态承载力闭环计算[9]。这些研究为由极值筛查扩展至场景和风险评估提供了方法。</w:t>
      </w:r>
    </w:p>
    <w:p>
      <w:pPr>
        <w:pStyle w:val="5"/>
        <w:keepNext/>
        <w:numPr>
          <w:numId w:val="0"/>
        </w:numPr>
        <w:spacing w:line="360" w:lineRule="auto" w:before="160" w:after="120"/>
        <w:ind w:firstLine="0"/>
      </w:pPr>
      <w:bookmarkStart w:id="42" w:name="高渗透率运行特征与反向潮流"/>
      <w:r>
        <w:rPr>
          <w:rFonts w:ascii="Times New Roman" w:hAnsi="Times New Roman" w:eastAsia="方正仿宋_GBK"/>
          <w:b/>
          <w:sz w:val="26"/>
        </w:rPr>
        <w:t xml:space="preserve">2.1.2 高渗透率运行特征与反向潮流</w:t>
      </w:r>
      <w:bookmarkEnd w:id="42"/>
    </w:p>
    <w:p>
      <w:pPr>
        <w:pStyle w:val="FirstParagraph"/>
        <w:widowControl/>
        <w:spacing w:line="300" w:lineRule="auto" w:before="0" w:after="0"/>
        <w:ind w:firstLine="480"/>
        <w:jc w:val="both"/>
      </w:pPr>
      <w:r>
        <w:rPr>
          <w:rFonts w:ascii="Times New Roman" w:hAnsi="Times New Roman" w:eastAsia="方正仿宋_GBK"/>
          <w:b w:val="0"/>
          <w:sz w:val="24"/>
        </w:rPr>
        <w:t xml:space="preserve">分布式光伏改变净负荷的日内形态及潮流方向。Hou等考虑光伏与负荷的相关性，建立概率鸭形曲线和概率爬坡曲线，用于分析高渗透率下的灵活性需求[1]。Majeed和Nwulu以低压实际网络为对象，分析反向潮流与配电变压器过载的关系[2]。前者描述区域净负荷变化，后者识别局部设备压力，提示规划应同时保留时间关系和设备层级。</w:t>
      </w:r>
    </w:p>
    <w:p>
      <w:pPr>
        <w:pStyle w:val="2"/>
        <w:widowControl/>
        <w:spacing w:line="300" w:lineRule="auto" w:before="0" w:after="0"/>
        <w:ind w:firstLine="480"/>
        <w:jc w:val="both"/>
      </w:pPr>
      <w:r>
        <w:rPr>
          <w:rFonts w:ascii="Times New Roman" w:hAnsi="Times New Roman" w:eastAsia="方正仿宋_GBK"/>
          <w:b w:val="0"/>
          <w:sz w:val="24"/>
        </w:rPr>
        <w:t xml:space="preserve">Xie等分析光伏反送引起的过电压，并研究抑制策略[10]；Ghorbansarvi等将变压器温度管理和电压控制联合优化[11]。Gao等归纳储能、逆变器调节、有载调压和网络重构等电压控制方法[12]。相关成果说明，反向运行治理需要结合热容量、电压和可控制资源，容量规划可据此组织后续运行校核。</w:t>
      </w:r>
    </w:p>
    <w:p>
      <w:pPr>
        <w:pStyle w:val="5"/>
        <w:keepNext/>
        <w:numPr>
          <w:numId w:val="0"/>
        </w:numPr>
        <w:spacing w:line="360" w:lineRule="auto" w:before="160" w:after="120"/>
        <w:ind w:firstLine="0"/>
      </w:pPr>
      <w:bookmarkStart w:id="43" w:name="灵活资源与网络协同配置"/>
      <w:r>
        <w:rPr>
          <w:rFonts w:ascii="Times New Roman" w:hAnsi="Times New Roman" w:eastAsia="方正仿宋_GBK"/>
          <w:b/>
          <w:sz w:val="26"/>
        </w:rPr>
        <w:t xml:space="preserve">2.1.3 灵活资源与网络协同配置</w:t>
      </w:r>
      <w:bookmarkEnd w:id="43"/>
    </w:p>
    <w:p>
      <w:pPr>
        <w:pStyle w:val="FirstParagraph"/>
        <w:widowControl/>
        <w:spacing w:line="300" w:lineRule="auto" w:before="0" w:after="0"/>
        <w:ind w:firstLine="480"/>
        <w:jc w:val="both"/>
      </w:pPr>
      <w:r>
        <w:rPr>
          <w:rFonts w:ascii="Times New Roman" w:hAnsi="Times New Roman" w:eastAsia="方正仿宋_GBK"/>
          <w:b w:val="0"/>
          <w:sz w:val="24"/>
        </w:rPr>
        <w:t xml:space="preserve">储能与网络扩建的经济比较取决于位置、运行方式和负荷增长。Matthiss等对德国南部高光伏渗透率小型配电网开展储能选址定容，并与网络强化比较[13]。Martínez等在西班牙实际中压网中研究持续负荷增长条件下的储能延期扩网策略，指出专用储能的经济性受增长情景影响[14]。Holweger等在配网运营者可控制用户光伏及电池的条件下，比较灵活性服务和低压网扩建费用[15]。</w:t>
      </w:r>
    </w:p>
    <w:p>
      <w:pPr>
        <w:pStyle w:val="2"/>
        <w:widowControl/>
        <w:spacing w:line="300" w:lineRule="auto" w:before="0" w:after="0"/>
        <w:ind w:firstLine="480"/>
        <w:jc w:val="both"/>
      </w:pPr>
      <w:r>
        <w:rPr>
          <w:rFonts w:ascii="Times New Roman" w:hAnsi="Times New Roman" w:eastAsia="方正仿宋_GBK"/>
          <w:b w:val="0"/>
          <w:sz w:val="24"/>
        </w:rPr>
        <w:t xml:space="preserve">协同规划将网络、光伏、储能和其他灵活资源放入共同决策框架。Wang等以柔性互联设备为基础，提出多资源动态协同规划方法，通过概率约束处理源荷不确定性[16]。Wu等采用分布鲁棒模型联合规划光伏与储能，并将短路电流条件纳入接入能力分析[17]。Wang等基于Copula和随机场景联合配置光伏、储能及网架扩建[18]。Nair等从动态资源协同出发，分析光伏、电池和可调负荷的互补作用[19]。</w:t>
      </w:r>
    </w:p>
    <w:p>
      <w:pPr>
        <w:pStyle w:val="5"/>
        <w:keepNext/>
        <w:numPr>
          <w:numId w:val="0"/>
        </w:numPr>
        <w:spacing w:line="360" w:lineRule="auto" w:before="160" w:after="120"/>
        <w:ind w:firstLine="0"/>
      </w:pPr>
      <w:bookmarkStart w:id="44" w:name="规划费用与决策方法"/>
      <w:r>
        <w:rPr>
          <w:rFonts w:ascii="Times New Roman" w:hAnsi="Times New Roman" w:eastAsia="方正仿宋_GBK"/>
          <w:b/>
          <w:sz w:val="26"/>
        </w:rPr>
        <w:t xml:space="preserve">2.1.4 规划费用与决策方法</w:t>
      </w:r>
      <w:bookmarkEnd w:id="44"/>
    </w:p>
    <w:p>
      <w:pPr>
        <w:pStyle w:val="FirstParagraph"/>
        <w:widowControl/>
        <w:spacing w:line="300" w:lineRule="auto" w:before="0" w:after="0"/>
        <w:ind w:firstLine="480"/>
        <w:jc w:val="both"/>
      </w:pPr>
      <w:r>
        <w:rPr>
          <w:rFonts w:ascii="Times New Roman" w:hAnsi="Times New Roman" w:eastAsia="方正仿宋_GBK"/>
          <w:b w:val="0"/>
          <w:sz w:val="24"/>
        </w:rPr>
        <w:t xml:space="preserve">全寿命周期费用用于统一不同措施的投资和运行年限。Xu等将储能运行与寿命结合，分阶段确定储能位置及容量[20]；Zeng等按经济寿命区间分析输电线路的全周期费用[21]；Zhu等建立包含投资、运维、故障和报废费用的10 kV线路模型[22]。这些研究提供了从初期购置价扩展至评价期现金流的方法。</w:t>
      </w:r>
    </w:p>
    <w:p>
      <w:pPr>
        <w:pStyle w:val="2"/>
        <w:widowControl/>
        <w:spacing w:line="300" w:lineRule="auto" w:before="0" w:after="0"/>
        <w:ind w:firstLine="480"/>
        <w:jc w:val="both"/>
      </w:pPr>
      <w:r>
        <w:rPr>
          <w:rFonts w:ascii="Times New Roman" w:hAnsi="Times New Roman" w:eastAsia="方正仿宋_GBK"/>
          <w:b w:val="0"/>
          <w:sz w:val="24"/>
        </w:rPr>
        <w:t xml:space="preserve">变电容量规划还与可靠性及需求侧行为相关。Huang等结合新能源接入对净负荷和供电可靠性的影响，联合优化主变容量和数量[23]。Xu等将动态分时电价及需求响应引起的负荷变化纳入变电站定容[24]，说明容量规模与用户侧运行条件之间存在联动。</w:t>
      </w:r>
    </w:p>
    <w:p>
      <w:pPr>
        <w:pStyle w:val="2"/>
        <w:widowControl/>
        <w:spacing w:line="300" w:lineRule="auto" w:before="0" w:after="0"/>
        <w:ind w:firstLine="480"/>
        <w:jc w:val="both"/>
      </w:pPr>
      <w:r>
        <w:rPr>
          <w:rFonts w:ascii="Times New Roman" w:hAnsi="Times New Roman" w:eastAsia="方正仿宋_GBK"/>
          <w:b w:val="0"/>
          <w:sz w:val="24"/>
        </w:rPr>
        <w:t xml:space="preserve">多准则方法用于比较费用之外的规划属性。Wu和Peng以改进区间层次分析和多层可拓评价综合评估技术、经济及社会效益[25]；Zeng等结合改进逼近理想解排序法（TOPSIS）和主客观权重评价输电项目经济性[26]；Wang等将决策者风险偏好引入规划适应性评价[27]。其共同要求是明确指标、权重来源和评价条件。</w:t>
      </w:r>
    </w:p>
    <w:p>
      <w:bookmarkStart w:id="1079" w:name="h79"/>
      <w:pPr>
        <w:pStyle w:val="4"/>
        <w:keepNext/>
        <w:numPr>
          <w:numId w:val="0"/>
        </w:numPr>
        <w:spacing w:line="360" w:lineRule="auto" w:before="160" w:after="120"/>
        <w:ind w:firstLine="0"/>
      </w:pPr>
      <w:bookmarkStart w:id="45" w:name="国内研究现状"/>
      <w:r>
        <w:rPr>
          <w:rFonts w:ascii="Times New Roman" w:hAnsi="Times New Roman" w:eastAsia="方正仿宋_GBK"/>
          <w:b/>
          <w:sz w:val="32"/>
        </w:rPr>
        <w:t xml:space="preserve">2.2 国内研究现状</w:t>
      </w:r>
      <w:bookmarkEnd w:id="45"/>
      <w:bookmarkEnd w:id="1079"/>
    </w:p>
    <w:p>
      <w:pPr>
        <w:pStyle w:val="5"/>
        <w:keepNext/>
        <w:numPr>
          <w:numId w:val="0"/>
        </w:numPr>
        <w:spacing w:line="360" w:lineRule="auto" w:before="160" w:after="120"/>
        <w:ind w:firstLine="0"/>
      </w:pPr>
      <w:bookmarkStart w:id="46" w:name="容载比与下级网络供电能力"/>
      <w:r>
        <w:rPr>
          <w:rFonts w:ascii="Times New Roman" w:hAnsi="Times New Roman" w:eastAsia="方正仿宋_GBK"/>
          <w:b/>
          <w:sz w:val="26"/>
        </w:rPr>
        <w:t xml:space="preserve">2.2.1 容载比与下级网络供电能力</w:t>
      </w:r>
      <w:bookmarkEnd w:id="46"/>
    </w:p>
    <w:p>
      <w:pPr>
        <w:pStyle w:val="FirstParagraph"/>
        <w:widowControl/>
        <w:spacing w:line="300" w:lineRule="auto" w:before="0" w:after="0"/>
        <w:ind w:firstLine="480"/>
        <w:jc w:val="both"/>
      </w:pPr>
      <w:r>
        <w:rPr>
          <w:rFonts w:ascii="Times New Roman" w:hAnsi="Times New Roman" w:eastAsia="方正仿宋_GBK"/>
          <w:b w:val="0"/>
          <w:sz w:val="24"/>
        </w:rPr>
        <w:t xml:space="preserve">国内研究从多电压等级协调和参数优化两方面改进容载比选取。陈浩等综合技术及经济条件，建立多电压等级最优容载比模型，以离散粒子群算法求解[28]。王凯亮等将不同电压等级变电站和线路联合规划，以建设成本优化容量配比[29]。两项研究把容载比与具体设备和网络建设联系起来。</w:t>
      </w:r>
    </w:p>
    <w:p>
      <w:pPr>
        <w:pStyle w:val="2"/>
        <w:widowControl/>
        <w:spacing w:line="300" w:lineRule="auto" w:before="0" w:after="0"/>
        <w:ind w:firstLine="480"/>
        <w:jc w:val="both"/>
      </w:pPr>
      <w:r>
        <w:rPr>
          <w:rFonts w:ascii="Times New Roman" w:hAnsi="Times New Roman" w:eastAsia="方正仿宋_GBK"/>
          <w:b w:val="0"/>
          <w:sz w:val="24"/>
        </w:rPr>
        <w:t xml:space="preserve">刘文霞等根据网络设备参数及不同可靠性条件建立容载比色带，用于区域充裕性分析和再投资判断[30]。刘炜彬等分别优化负荷分散系数、变压器安全运行率和负荷发展储备系数，形成差异化配置方法[31]。上述研究为按负荷和网络条件调整指标提供了依据。</w:t>
      </w:r>
    </w:p>
    <w:p>
      <w:pPr>
        <w:pStyle w:val="2"/>
        <w:widowControl/>
        <w:spacing w:line="300" w:lineRule="auto" w:before="0" w:after="0"/>
        <w:ind w:firstLine="480"/>
        <w:jc w:val="both"/>
      </w:pPr>
      <w:r>
        <w:rPr>
          <w:rFonts w:ascii="Times New Roman" w:hAnsi="Times New Roman" w:eastAsia="方正仿宋_GBK"/>
          <w:b w:val="0"/>
          <w:sz w:val="24"/>
        </w:rPr>
        <w:t xml:space="preserve">下级网络转供能力直接影响容量储备。肖峻等基于最大供电能力，同时考虑站内主变转带和中压网络转带，量化馈线容量、联络位置及规模与容载比的关系[5]。张锐等以反映实际负荷分布的供电能力指标规划低压柔性互联装置[32]；马雨欣和林凌雪研究面向精准规划的最大供电能力评估，分析站间联络及负荷转供[33]。这些成果支持将局部互济作为容量规划的候选资源。</w:t>
      </w:r>
    </w:p>
    <w:p>
      <w:pPr>
        <w:pStyle w:val="5"/>
        <w:keepNext/>
        <w:numPr>
          <w:numId w:val="0"/>
        </w:numPr>
        <w:spacing w:line="360" w:lineRule="auto" w:before="160" w:after="120"/>
        <w:ind w:firstLine="0"/>
      </w:pPr>
      <w:bookmarkStart w:id="47" w:name="分布式光伏承载力与安全经济评价"/>
      <w:r>
        <w:rPr>
          <w:rFonts w:ascii="Times New Roman" w:hAnsi="Times New Roman" w:eastAsia="方正仿宋_GBK"/>
          <w:b/>
          <w:sz w:val="26"/>
        </w:rPr>
        <w:t xml:space="preserve">2.2.2 分布式光伏承载力与安全经济评价</w:t>
      </w:r>
      <w:bookmarkEnd w:id="47"/>
    </w:p>
    <w:p>
      <w:pPr>
        <w:pStyle w:val="FirstParagraph"/>
        <w:widowControl/>
        <w:spacing w:line="300" w:lineRule="auto" w:before="0" w:after="0"/>
        <w:ind w:firstLine="480"/>
        <w:jc w:val="both"/>
      </w:pPr>
      <w:r>
        <w:rPr>
          <w:rFonts w:ascii="Times New Roman" w:hAnsi="Times New Roman" w:eastAsia="方正仿宋_GBK"/>
          <w:b w:val="0"/>
          <w:sz w:val="24"/>
        </w:rPr>
        <w:t xml:space="preserve">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从就地消纳和设备接纳两个层面测算，并按层级校核网络约束[34]。王方敏等依据历史场景，建立反向负载率分级、安全校核概率及百分位统计模型，给出不同概率条件下的可新增光伏容量[35]。前者强调层级协调，后者保留运行风险的统计特征。</w:t>
      </w:r>
    </w:p>
    <w:p>
      <w:pPr>
        <w:pStyle w:val="2"/>
        <w:widowControl/>
        <w:spacing w:line="300" w:lineRule="auto" w:before="0" w:after="0"/>
        <w:ind w:firstLine="480"/>
        <w:jc w:val="both"/>
      </w:pPr>
      <w:r>
        <w:rPr>
          <w:rFonts w:ascii="Times New Roman" w:hAnsi="Times New Roman" w:eastAsia="方正仿宋_GBK"/>
          <w:b w:val="0"/>
          <w:sz w:val="24"/>
        </w:rPr>
        <w:t xml:space="preserve">张伟等将柔性互联和储能纳入光伏消纳能力区间评估，以确定性和鲁棒优化描述不同源荷条件下的边界[36]。龚锐等以综合承载力指标组织储能优化配置，将运行状态与接入能力共同评价[37]。李敬如等协调输电网新能源消纳与配电设备运行条件，结合潮流、电能质量、储能和投资经济性计算安全经济承载力[38]。</w:t>
      </w:r>
    </w:p>
    <w:p>
      <w:pPr>
        <w:pStyle w:val="5"/>
        <w:keepNext/>
        <w:numPr>
          <w:numId w:val="0"/>
        </w:numPr>
        <w:spacing w:line="360" w:lineRule="auto" w:before="160" w:after="120"/>
        <w:ind w:firstLine="0"/>
      </w:pPr>
      <w:bookmarkStart w:id="48" w:name="源荷运行特征与净负荷"/>
      <w:r>
        <w:rPr>
          <w:rFonts w:ascii="Times New Roman" w:hAnsi="Times New Roman" w:eastAsia="方正仿宋_GBK"/>
          <w:b/>
          <w:sz w:val="26"/>
        </w:rPr>
        <w:t xml:space="preserve">2.2.3 源荷运行特征与净负荷</w:t>
      </w:r>
      <w:bookmarkEnd w:id="48"/>
    </w:p>
    <w:p>
      <w:pPr>
        <w:pStyle w:val="FirstParagraph"/>
        <w:widowControl/>
        <w:spacing w:line="300" w:lineRule="auto" w:before="0" w:after="0"/>
        <w:ind w:firstLine="480"/>
        <w:jc w:val="both"/>
      </w:pPr>
      <w:r>
        <w:rPr>
          <w:rFonts w:ascii="Times New Roman" w:hAnsi="Times New Roman" w:eastAsia="方正仿宋_GBK"/>
          <w:b w:val="0"/>
          <w:sz w:val="24"/>
        </w:rPr>
        <w:t xml:space="preserve">曹炜等总结德国分布式光伏接入和英国停电事件经验，讨论电压控制、防孤岛保护及用户资源协调[39]。龚玺等基于江苏2016至2021年逐小时负荷与气象资料，分析日内变化、季节双峰及温度相关性[40]，为本地负荷特征分析提供区域研究依据。</w:t>
      </w:r>
    </w:p>
    <w:p>
      <w:pPr>
        <w:pStyle w:val="2"/>
        <w:widowControl/>
        <w:spacing w:line="300" w:lineRule="auto" w:before="0" w:after="0"/>
        <w:ind w:firstLine="480"/>
        <w:jc w:val="both"/>
      </w:pPr>
      <w:r>
        <w:rPr>
          <w:rFonts w:ascii="Times New Roman" w:hAnsi="Times New Roman" w:eastAsia="方正仿宋_GBK"/>
          <w:b w:val="0"/>
          <w:sz w:val="24"/>
        </w:rPr>
        <w:t xml:space="preserve">梁志峰等从安全、平衡和消纳三个方面构建主配网风险指标，提出辅助决策与分层分区防控策略[41]。吕达夫以多场景源荷不确定性模型评估分布式光伏接入能力[42]；刘克权等讨论高比例新能源下的主配协同调度及跨层级资源调用[43]。相关研究支持按正向供电、反向压力和运行时段分别组织规划输入。</w:t>
      </w:r>
    </w:p>
    <w:p>
      <w:pPr>
        <w:pStyle w:val="5"/>
        <w:keepNext/>
        <w:numPr>
          <w:numId w:val="0"/>
        </w:numPr>
        <w:spacing w:line="360" w:lineRule="auto" w:before="160" w:after="120"/>
        <w:ind w:firstLine="0"/>
      </w:pPr>
      <w:bookmarkStart w:id="49" w:name="源网荷储协同规划"/>
      <w:r>
        <w:rPr>
          <w:rFonts w:ascii="Times New Roman" w:hAnsi="Times New Roman" w:eastAsia="方正仿宋_GBK"/>
          <w:b/>
          <w:sz w:val="26"/>
        </w:rPr>
        <w:t xml:space="preserve">2.2.4 源网荷储协同规划</w:t>
      </w:r>
      <w:bookmarkEnd w:id="49"/>
    </w:p>
    <w:p>
      <w:pPr>
        <w:pStyle w:val="FirstParagraph"/>
        <w:widowControl/>
        <w:spacing w:line="300" w:lineRule="auto" w:before="0" w:after="0"/>
        <w:ind w:firstLine="480"/>
        <w:jc w:val="both"/>
      </w:pPr>
      <w:r>
        <w:rPr>
          <w:rFonts w:ascii="Times New Roman" w:hAnsi="Times New Roman" w:eastAsia="方正仿宋_GBK"/>
          <w:b w:val="0"/>
          <w:sz w:val="24"/>
        </w:rPr>
        <w:t xml:space="preserve">栗峰等归纳规模化分布式光伏并网的运行模式与关键技术[44]；刘洪波等从控制变量、目标和算法总结主动配电网规划[45]；黄海泉等按应用需求梳理分布式储能结构及选址定容方法[46]。这些综述建立了从资源功能到配置模型的研究脉络。</w:t>
      </w:r>
    </w:p>
    <w:p>
      <w:pPr>
        <w:pStyle w:val="2"/>
        <w:widowControl/>
        <w:spacing w:line="300" w:lineRule="auto" w:before="0" w:after="0"/>
        <w:ind w:firstLine="480"/>
        <w:jc w:val="both"/>
      </w:pPr>
      <w:r>
        <w:rPr>
          <w:rFonts w:ascii="Times New Roman" w:hAnsi="Times New Roman" w:eastAsia="方正仿宋_GBK"/>
          <w:b w:val="0"/>
          <w:sz w:val="24"/>
        </w:rPr>
        <w:t xml:space="preserve">贺春光等联合规划多电压等级柔性互联装置，兼顾潮流分布、故障供电恢复和投资效益[47]。徐峰亮等以净负荷适应率、净负荷波动率和线路负载裕度均衡性表征灵活性，构建源—网—储三层扩展规划[48]。乐健等通过Copula、蒙特卡洛采样和场景削减处理源荷相关性，联合规划光伏、储能与网架[49]。其共同思路是根据运行需求比较措施组合及建设时序。</w:t>
      </w:r>
    </w:p>
    <w:p>
      <w:pPr>
        <w:pStyle w:val="5"/>
        <w:keepNext/>
        <w:numPr>
          <w:numId w:val="0"/>
        </w:numPr>
        <w:spacing w:line="360" w:lineRule="auto" w:before="160" w:after="120"/>
        <w:ind w:firstLine="0"/>
      </w:pPr>
      <w:bookmarkStart w:id="50" w:name="工程费用与评价方法"/>
      <w:r>
        <w:rPr>
          <w:rFonts w:ascii="Times New Roman" w:hAnsi="Times New Roman" w:eastAsia="方正仿宋_GBK"/>
          <w:b/>
          <w:sz w:val="26"/>
        </w:rPr>
        <w:t xml:space="preserve">2.2.5 工程费用与评价方法</w:t>
      </w:r>
      <w:bookmarkEnd w:id="50"/>
    </w:p>
    <w:p>
      <w:pPr>
        <w:pStyle w:val="FirstParagraph"/>
        <w:widowControl/>
        <w:spacing w:line="300" w:lineRule="auto" w:before="0" w:after="0"/>
        <w:ind w:firstLine="480"/>
        <w:jc w:val="both"/>
      </w:pPr>
      <w:r>
        <w:rPr>
          <w:rFonts w:ascii="Times New Roman" w:hAnsi="Times New Roman" w:eastAsia="方正仿宋_GBK"/>
          <w:b w:val="0"/>
          <w:sz w:val="24"/>
        </w:rPr>
        <w:t xml:space="preserve">张全等按刚性与弹性需求划分投资场景，结合项目重要性和全生命周期投入产出效益安排投资[50]。何凯等将建设及运维费用纳入全成本电价，形成兼顾安全与经济性的规划优选流程[51]。两项研究分别从项目安排和供电成本角度支持统一费用比较。</w:t>
      </w:r>
    </w:p>
    <w:p>
      <w:pPr>
        <w:pStyle w:val="2"/>
        <w:widowControl/>
        <w:spacing w:line="300" w:lineRule="auto" w:before="0" w:after="0"/>
        <w:ind w:firstLine="480"/>
        <w:jc w:val="both"/>
      </w:pPr>
      <w:r>
        <w:rPr>
          <w:rFonts w:ascii="Times New Roman" w:hAnsi="Times New Roman" w:eastAsia="方正仿宋_GBK"/>
          <w:b w:val="0"/>
          <w:sz w:val="24"/>
        </w:rPr>
        <w:t xml:space="preserve">武小琳等基于历史工程数据建立列文伯格—马夸尔特算法优化卷积神经网络（LM-CNN）造价计算模型[52]。黄碧斌等结合电网改造、损耗和投资延缓分析高渗透率光伏的成本效益，开展改造与限电的规划权衡[53]。本项目结合本地主变案例、储能采购与线路估价建立参数化费用模型，并按设备投运批次计入投资、更新和固定运维。</w:t>
      </w:r>
    </w:p>
    <w:p>
      <w:pPr>
        <w:pStyle w:val="5"/>
        <w:keepNext/>
        <w:numPr>
          <w:numId w:val="0"/>
        </w:numPr>
        <w:spacing w:line="360" w:lineRule="auto" w:before="160" w:after="120"/>
        <w:ind w:firstLine="0"/>
      </w:pPr>
      <w:bookmarkStart w:id="51" w:name="多准则评价与差异化投资"/>
      <w:r>
        <w:rPr>
          <w:rFonts w:ascii="Times New Roman" w:hAnsi="Times New Roman" w:eastAsia="方正仿宋_GBK"/>
          <w:b/>
          <w:sz w:val="26"/>
        </w:rPr>
        <w:t xml:space="preserve">2.2.6 多准则评价与差异化投资</w:t>
      </w:r>
      <w:bookmarkEnd w:id="51"/>
    </w:p>
    <w:p>
      <w:pPr>
        <w:pStyle w:val="FirstParagraph"/>
        <w:widowControl/>
        <w:spacing w:line="300" w:lineRule="auto" w:before="0" w:after="0"/>
        <w:ind w:firstLine="480"/>
        <w:jc w:val="both"/>
      </w:pPr>
      <w:r>
        <w:rPr>
          <w:rFonts w:ascii="Times New Roman" w:hAnsi="Times New Roman" w:eastAsia="方正仿宋_GBK"/>
          <w:b w:val="0"/>
          <w:sz w:val="24"/>
        </w:rPr>
        <w:t xml:space="preserve">罗宁等以改进层次分析法（AHP）与指标间相关性客观赋权法（CRITIC）的组合赋权及可拓评估对配电网分类评价，兼顾主观判断和客观指标差异[54]。程智余等改进消去与选择转换法（ELECTRE），融合项目效益、效率、效能和投资环境[55]。汪志才等按输变电项目功能构建评价指标和投资优化模型[56]。这些方法适用于技术可行方案的综合评价，为按片区需求组织投资提供补充依据。</w:t>
      </w:r>
    </w:p>
    <w:p>
      <w:pPr>
        <w:pStyle w:val="5"/>
        <w:keepNext/>
        <w:numPr>
          <w:numId w:val="0"/>
        </w:numPr>
        <w:spacing w:line="360" w:lineRule="auto" w:before="160" w:after="120"/>
        <w:ind w:firstLine="0"/>
      </w:pPr>
      <w:bookmarkStart w:id="52" w:name="区域案例与分层规划"/>
      <w:r>
        <w:rPr>
          <w:rFonts w:ascii="Times New Roman" w:hAnsi="Times New Roman" w:eastAsia="方正仿宋_GBK"/>
          <w:b/>
          <w:sz w:val="26"/>
        </w:rPr>
        <w:t xml:space="preserve">2.2.7 区域案例与分层规划</w:t>
      </w:r>
      <w:bookmarkEnd w:id="52"/>
    </w:p>
    <w:p>
      <w:pPr>
        <w:pStyle w:val="FirstParagraph"/>
        <w:widowControl/>
        <w:spacing w:line="300" w:lineRule="auto" w:before="0" w:after="0"/>
        <w:ind w:firstLine="480"/>
        <w:jc w:val="both"/>
      </w:pPr>
      <w:r>
        <w:rPr>
          <w:rFonts w:ascii="Times New Roman" w:hAnsi="Times New Roman" w:eastAsia="方正仿宋_GBK"/>
          <w:b w:val="0"/>
          <w:sz w:val="24"/>
        </w:rPr>
        <w:t xml:space="preserve">严小玉以兴国县为对象，将负荷预测、分电压等级光伏接入分析与工程投资估算纳入县域规划[57]。谢天祥等结合变电站、线路和配变三个层级的数据，建立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规划并开展区域案例分析[58]。两类案例分别提供县域规划组织方法和容量储备差异化调整思路。</w:t>
      </w:r>
    </w:p>
    <w:p>
      <w:pPr>
        <w:pStyle w:val="2"/>
        <w:widowControl/>
        <w:spacing w:line="300" w:lineRule="auto" w:before="0" w:after="0"/>
        <w:ind w:firstLine="480"/>
        <w:jc w:val="both"/>
      </w:pPr>
      <w:r>
        <w:rPr>
          <w:rFonts w:ascii="Times New Roman" w:hAnsi="Times New Roman" w:eastAsia="方正仿宋_GBK"/>
          <w:b w:val="0"/>
          <w:sz w:val="24"/>
        </w:rPr>
        <w:t xml:space="preserve">陈璨等采用二分法定位光伏边界渗透率，并按电压、网损和接入规模等指标比较消纳方案[59]。孙东磊等通过二阶锥松弛和交替方向乘子法，将多层级新能源消纳空间分解计算[60]。金勇等以220 kV供电通道和110 kV功能单元建立负荷转供分层模型[61]；Zhao等以源、网、荷、储四侧模型测算区域投资需求[62]。这些成果支持把区域总量与局部网络措施相互衔接。</w:t>
      </w:r>
    </w:p>
    <w:p>
      <w:pPr>
        <w:pStyle w:val="5"/>
        <w:keepNext/>
        <w:numPr>
          <w:numId w:val="0"/>
        </w:numPr>
        <w:spacing w:line="360" w:lineRule="auto" w:before="160" w:after="120"/>
        <w:ind w:firstLine="0"/>
      </w:pPr>
      <w:bookmarkStart w:id="53" w:name="政策与标准导向"/>
      <w:r>
        <w:rPr>
          <w:rFonts w:ascii="Times New Roman" w:hAnsi="Times New Roman" w:eastAsia="方正仿宋_GBK"/>
          <w:b/>
          <w:sz w:val="26"/>
        </w:rPr>
        <w:t xml:space="preserve">2.2.8 政策与标准导向</w:t>
      </w:r>
      <w:bookmarkEnd w:id="53"/>
    </w:p>
    <w:p>
      <w:pPr>
        <w:pStyle w:val="FirstParagraph"/>
        <w:widowControl/>
        <w:spacing w:line="300" w:lineRule="auto" w:before="0" w:after="0"/>
        <w:ind w:firstLine="480"/>
        <w:jc w:val="both"/>
      </w:pPr>
      <w:r>
        <w:rPr>
          <w:rFonts w:ascii="Times New Roman" w:hAnsi="Times New Roman" w:eastAsia="方正仿宋_GBK"/>
          <w:b w:val="0"/>
          <w:sz w:val="24"/>
        </w:rPr>
        <w:t xml:space="preserve">《关于新形势下配电网高质量发展的指导意见》提出适应分布式新能源、多元负荷和源网荷储协同发展的要求[3]。《关于促进新能源消纳和调控的指导意见》提出分档设置新能源利用率目标和完善综合评价体系[63]。两项政策为因地制宜组织容量与配套工程比选提供背景。</w:t>
      </w:r>
    </w:p>
    <w:p>
      <w:pPr>
        <w:pStyle w:val="2"/>
        <w:widowControl/>
        <w:spacing w:line="300" w:lineRule="auto"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围绕配电网承载力、规划统筹和灵活资源提出实施任务[64][65]。《分布式光伏接入电网承载力及提升措施评估试点实施方案》和省级分析报告大纲明确评估及资料组织要求[66][67]。</w:t>
      </w:r>
    </w:p>
    <w:p>
      <w:pPr>
        <w:pStyle w:val="2"/>
        <w:widowControl/>
        <w:spacing w:line="300" w:lineRule="auto" w:before="0" w:after="0"/>
        <w:ind w:firstLine="480"/>
        <w:jc w:val="both"/>
      </w:pPr>
      <w:r>
        <w:rPr>
          <w:rFonts w:ascii="Times New Roman" w:hAnsi="Times New Roman" w:eastAsia="方正仿宋_GBK"/>
          <w:b w:val="0"/>
          <w:sz w:val="24"/>
        </w:rPr>
        <w:t xml:space="preserve">DL/T 2041—2025规定系统级、设备级承载力及校核、可开放容量计算方法[68]。DL/T 5729—2023规定容载比、网供负荷、统计范围、分档建议和站间转供能力[4]；项目留存的 2025 年修订稿另给出分布式电源装机及分布式电源电量渗透率研究术语[69]。本报告据此区分标准容量规划指标、研究性光伏背景指标和本项目静态筛查量。</w:t>
      </w:r>
    </w:p>
    <w:p>
      <w:pPr>
        <w:pStyle w:val="5"/>
        <w:keepNext/>
        <w:numPr>
          <w:numId w:val="0"/>
        </w:numPr>
        <w:spacing w:line="360" w:lineRule="auto" w:before="160" w:after="120"/>
        <w:ind w:firstLine="0"/>
      </w:pPr>
      <w:bookmarkStart w:id="54" w:name="国内研究小结"/>
      <w:r>
        <w:rPr>
          <w:rFonts w:ascii="Times New Roman" w:hAnsi="Times New Roman" w:eastAsia="方正仿宋_GBK"/>
          <w:b/>
          <w:sz w:val="26"/>
        </w:rPr>
        <w:t xml:space="preserve">2.2.9 国内研究小结</w:t>
      </w:r>
      <w:bookmarkEnd w:id="54"/>
    </w:p>
    <w:p>
      <w:pPr>
        <w:pStyle w:val="FirstParagraph"/>
        <w:widowControl/>
        <w:spacing w:line="300" w:lineRule="auto"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bookmarkStart w:id="1107" w:name="h107"/>
      <w:pPr>
        <w:pStyle w:val="4"/>
        <w:keepNext/>
        <w:numPr>
          <w:numId w:val="0"/>
        </w:numPr>
        <w:spacing w:line="360" w:lineRule="auto" w:before="160" w:after="120"/>
        <w:ind w:firstLine="0"/>
      </w:pPr>
      <w:bookmarkStart w:id="55" w:name="国内外研究对比与述评"/>
      <w:r>
        <w:rPr>
          <w:rFonts w:ascii="Times New Roman" w:hAnsi="Times New Roman" w:eastAsia="方正仿宋_GBK"/>
          <w:b/>
          <w:sz w:val="32"/>
        </w:rPr>
        <w:t xml:space="preserve">2.3 国内外研究对比与述评</w:t>
      </w:r>
      <w:bookmarkEnd w:id="55"/>
      <w:bookmarkEnd w:id="1107"/>
    </w:p>
    <w:p>
      <w:pPr>
        <w:pStyle w:val="FirstParagraph"/>
        <w:widowControl/>
        <w:spacing w:line="300" w:lineRule="auto"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00" w:lineRule="auto"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300" w:lineRule="auto"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研究主题</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工程关注点</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2.1.1、2.2.2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2.1.2、2.2.3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2.1.3、2.2.4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分析邳州20站及市区29站的配置差异</w:t>
            </w:r>
          </w:p>
        </w:tc>
      </w:tr>
    </w:tbl>
    <w:p>
      <w:pPr>
        <w:pStyle w:val="2"/>
        <w:widowControl/>
        <w:spacing w:line="300" w:lineRule="auto"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r>
        <w:rPr>
          <w:rFonts w:ascii="Times New Roman" w:hAnsi="Times New Roman" w:eastAsia="方正仿宋_GBK"/>
          <w:b w:val="0"/>
          <w:sz w:val="24"/>
        </w:rPr>
        <w:t xml:space="preserve"> </w:t>
      </w:r>
      <w:r>
        <w:rPr>
          <w:rFonts w:ascii="Times New Roman" w:hAnsi="Times New Roman" w:eastAsia="方正仿宋_GBK"/>
          <w:b w:val="0"/>
          <w:sz w:val="24"/>
        </w:rPr>
        <w:t xml:space="preserve">## 2.4 容载比与供电能力的理论联系</w:t>
      </w:r>
    </w:p>
    <w:p>
      <w:pPr>
        <w:pStyle w:val="5"/>
        <w:keepNext/>
        <w:numPr>
          <w:numId w:val="0"/>
        </w:numPr>
        <w:spacing w:line="360" w:lineRule="auto" w:before="160" w:after="120"/>
        <w:ind w:firstLine="0"/>
      </w:pPr>
      <w:bookmarkStart w:id="56" w:name="区域容量储备与局部容量分布"/>
      <w:r>
        <w:rPr>
          <w:rFonts w:ascii="Times New Roman" w:hAnsi="Times New Roman" w:eastAsia="方正仿宋_GBK"/>
          <w:b/>
          <w:sz w:val="26"/>
        </w:rPr>
        <w:t xml:space="preserve">2.4.1 区域容量储备与局部容量分布</w:t>
      </w:r>
      <w:bookmarkEnd w:id="56"/>
    </w:p>
    <w:p>
      <w:pPr>
        <w:pStyle w:val="FirstParagraph"/>
        <w:widowControl/>
        <w:spacing w:line="300" w:lineRule="auto"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设备退出时还需考虑剩余主变、可转负荷与相邻站剩余容量[4][5]。区域内即使有较多空余容量，若下级网络不能把重载站的负荷转接出去，仍可能需要局部增容。容载比相同的两个地区因此可以具有不同的供电安全容量和工程需求。</w:t>
      </w:r>
    </w:p>
    <w:p>
      <w:pPr>
        <w:pStyle w:val="2"/>
        <w:widowControl/>
        <w:spacing w:line="300" w:lineRule="auto" w:before="0" w:after="0"/>
        <w:ind w:firstLine="480"/>
        <w:jc w:val="both"/>
      </w:pPr>
      <w:r>
        <w:rPr>
          <w:rFonts w:ascii="Times New Roman" w:hAnsi="Times New Roman" w:eastAsia="方正仿宋_GBK"/>
          <w:b w:val="0"/>
          <w:sz w:val="24"/>
        </w:rPr>
        <w:t xml:space="preserve">在多主变站中，容量总和不能直接替代单台主变退出后的剩余容量。两台容量相同的主变退出其中一台，站内剩余容量为原总容量的一半；三台同规格主变退出一台，剩余比例为三分之二。增加第三台主变可以同时改变总容量和退出后的剩余容量，这种结构收益并不能由总容量净增量完整表达。本研究将第三台作为独立建设变量，保留其原表预留位置和工程费用。</w:t>
      </w:r>
    </w:p>
    <w:p>
      <w:pPr>
        <w:pStyle w:val="2"/>
        <w:widowControl/>
        <w:spacing w:line="300" w:lineRule="auto" w:before="0" w:after="0"/>
        <w:ind w:firstLine="480"/>
        <w:jc w:val="both"/>
      </w:pPr>
      <w:r>
        <w:rPr>
          <w:rFonts w:ascii="Times New Roman" w:hAnsi="Times New Roman" w:eastAsia="方正仿宋_GBK"/>
          <w:b w:val="0"/>
          <w:sz w:val="24"/>
        </w:rPr>
        <w:t xml:space="preserve">区域容量配置还受主变规格的离散性影响。某站需要增加的有效供电能力可能小于一个推荐规格的容量增量，采购整台设备后出现一定容量储备。随着负荷增加，储备被逐步使用，年度容载比下降。若直接求解连续容量再按最邻近规格取整，取整后的供电安全或费用最优性可能不成立。本项目将可选规格直接纳入整数模型，年度指标从实际规格合计得到。</w:t>
      </w:r>
    </w:p>
    <w:p>
      <w:pPr>
        <w:pStyle w:val="5"/>
        <w:keepNext/>
        <w:numPr>
          <w:numId w:val="0"/>
        </w:numPr>
        <w:spacing w:line="360" w:lineRule="auto" w:before="160" w:after="120"/>
        <w:ind w:firstLine="0"/>
      </w:pPr>
      <w:bookmarkStart w:id="57" w:name="中压联络对容量配置的作用"/>
      <w:r>
        <w:rPr>
          <w:rFonts w:ascii="Times New Roman" w:hAnsi="Times New Roman" w:eastAsia="方正仿宋_GBK"/>
          <w:b/>
          <w:sz w:val="26"/>
        </w:rPr>
        <w:t xml:space="preserve">2.4.2 中压联络对容量配置的作用</w:t>
      </w:r>
      <w:bookmarkEnd w:id="57"/>
    </w:p>
    <w:p>
      <w:pPr>
        <w:pStyle w:val="FirstParagraph"/>
        <w:widowControl/>
        <w:spacing w:line="300" w:lineRule="auto"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[5]。工程上需要分别核实负荷是否可分段、通道是否可用、受端主变是否有余量。仅有联络开关或名义线路容量，不能认定同等规模负荷已经能够转供。</w:t>
      </w:r>
    </w:p>
    <w:p>
      <w:pPr>
        <w:pStyle w:val="2"/>
        <w:widowControl/>
        <w:spacing w:line="300" w:lineRule="auto" w:before="0" w:after="0"/>
        <w:ind w:firstLine="480"/>
        <w:jc w:val="both"/>
      </w:pPr>
      <w:r>
        <w:rPr>
          <w:rFonts w:ascii="Times New Roman" w:hAnsi="Times New Roman" w:eastAsia="方正仿宋_GBK"/>
          <w:b w:val="0"/>
          <w:sz w:val="24"/>
        </w:rPr>
        <w:t xml:space="preserve">正常负荷转接改变站级供电任务，可以使部分站原有储备承担邻站负荷，减少局部新增容量或储能。对区县整体而言，用户需求保持不变，送出和接收应成对计量。忽略线路损耗时，区域负荷总量守恒；联络容量也不属于主变铭牌容量。本研究在模型中保留两端约束，使联络收益表现为设备配置变化，而非容载比分母的人为下降。</w:t>
      </w:r>
    </w:p>
    <w:p>
      <w:pPr>
        <w:pStyle w:val="2"/>
        <w:widowControl/>
        <w:spacing w:line="300" w:lineRule="auto"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站间转移比例处于相关故障或检修语境[4]。本报告采用市区50%、邳州28.2879%的初始能力参数，用于区县内部负荷配置。负荷经正常转接后，单台主变退出容量按调整后的站级任务校核，模型不再额外加入一次未定义的事故转接收益。</w:t>
      </w:r>
    </w:p>
    <w:p>
      <w:pPr>
        <w:pStyle w:val="2"/>
        <w:widowControl/>
        <w:spacing w:line="300" w:lineRule="auto" w:before="0" w:after="0"/>
        <w:ind w:firstLine="480"/>
        <w:jc w:val="both"/>
      </w:pPr>
      <w:r>
        <w:rPr>
          <w:rFonts w:ascii="Times New Roman" w:hAnsi="Times New Roman" w:eastAsia="方正仿宋_GBK"/>
          <w:b w:val="0"/>
          <w:sz w:val="24"/>
        </w:rPr>
        <w:t xml:space="preserve">本研究分别建立既有与新增转供能力预算。既有能力按初始转供率计取，新建联络按项目提高能力；送端可转负荷、受端容量及反向压力共同限制其使用量。工程费用决定能力不足时采用新建联络、增容或储能的组合。</w:t>
      </w:r>
    </w:p>
    <w:p>
      <w:pPr>
        <w:pStyle w:val="5"/>
        <w:keepNext/>
        <w:numPr>
          <w:numId w:val="0"/>
        </w:numPr>
        <w:spacing w:line="360" w:lineRule="auto" w:before="160" w:after="120"/>
        <w:ind w:firstLine="0"/>
      </w:pPr>
      <w:bookmarkStart w:id="58" w:name="负荷发展储备的时间特征"/>
      <w:r>
        <w:rPr>
          <w:rFonts w:ascii="Times New Roman" w:hAnsi="Times New Roman" w:eastAsia="方正仿宋_GBK"/>
          <w:b/>
          <w:sz w:val="26"/>
        </w:rPr>
        <w:t xml:space="preserve">2.4.3 负荷发展储备的时间特征</w:t>
      </w:r>
      <w:bookmarkEnd w:id="58"/>
    </w:p>
    <w:p>
      <w:pPr>
        <w:pStyle w:val="FirstParagraph"/>
        <w:widowControl/>
        <w:spacing w:line="300" w:lineRule="auto" w:before="0" w:after="0"/>
        <w:ind w:firstLine="480"/>
        <w:jc w:val="both"/>
      </w:pPr>
      <w:r>
        <w:rPr>
          <w:rFonts w:ascii="Times New Roman" w:hAnsi="Times New Roman" w:eastAsia="方正仿宋_GBK"/>
          <w:b w:val="0"/>
          <w:sz w:val="24"/>
        </w:rPr>
        <w:t xml:space="preserve">负荷发展储备与规划年份直接相关。建设一台主变通常不能按年度自由缩减，负荷则可能在不同年份上升或下降。年度规划路径因此需要处理资产持续在役和负荷波动的共同影响。用一个规划末年容量倒推全部年度，会遗漏提前建设费用与中间年份的容量约束。</w:t>
      </w:r>
    </w:p>
    <w:p>
      <w:pPr>
        <w:pStyle w:val="2"/>
        <w:widowControl/>
        <w:spacing w:line="300" w:lineRule="auto" w:before="0" w:after="0"/>
        <w:ind w:firstLine="480"/>
        <w:jc w:val="both"/>
      </w:pPr>
      <w:r>
        <w:rPr>
          <w:rFonts w:ascii="Times New Roman" w:hAnsi="Times New Roman" w:eastAsia="方正仿宋_GBK"/>
          <w:b w:val="0"/>
          <w:sz w:val="24"/>
        </w:rPr>
        <w:t xml:space="preserve">DL/T 5729—2023按年负荷平均增长水平给出容载比建议档位[4]。对本项目四个同比增长率采用近年权重较高的平均值，可以减弱单一年度作为判断依据的影响，但加权本身不能消除统计口径变化或异常天气。实际预测还应结合新增用户、产业计划和负荷兑现情况。本研究将年负荷平均增长率用于容载比2.0起点后的四年需求推演，历史年度数据用于现状分析。</w:t>
      </w:r>
    </w:p>
    <w:p>
      <w:pPr>
        <w:pStyle w:val="2"/>
        <w:widowControl/>
        <w:spacing w:line="300" w:lineRule="auto" w:before="0" w:after="0"/>
        <w:ind w:firstLine="480"/>
        <w:jc w:val="both"/>
      </w:pPr>
      <w:r>
        <w:rPr>
          <w:rFonts w:ascii="Times New Roman" w:hAnsi="Times New Roman" w:eastAsia="方正仿宋_GBK"/>
          <w:b w:val="0"/>
          <w:sz w:val="24"/>
        </w:rPr>
        <w:t xml:space="preserve">增长参数影响供电需求，同时影响容载比分母。在资产非减条件下，较低增长可能使已配置容量对应的容载比较高；较高增长可能触发新的主变或储能建设。离散措施使变化呈台阶形态，推荐矩阵不能假定增长率每增加一个百分点，容载比就按固定比例变化。</w:t>
      </w:r>
    </w:p>
    <w:p>
      <w:bookmarkStart w:id="1125" w:name="h125"/>
      <w:pPr>
        <w:pStyle w:val="4"/>
        <w:keepNext/>
        <w:numPr>
          <w:numId w:val="0"/>
        </w:numPr>
        <w:spacing w:line="360" w:lineRule="auto" w:before="160" w:after="120"/>
        <w:ind w:firstLine="0"/>
      </w:pPr>
      <w:bookmarkStart w:id="59" w:name="高渗透率下的源荷特征与容量压力"/>
      <w:r>
        <w:rPr>
          <w:rFonts w:ascii="Times New Roman" w:hAnsi="Times New Roman" w:eastAsia="方正仿宋_GBK"/>
          <w:b/>
          <w:sz w:val="32"/>
        </w:rPr>
        <w:t xml:space="preserve">2.5 高渗透率下的源荷特征与容量压力</w:t>
      </w:r>
      <w:bookmarkEnd w:id="59"/>
      <w:bookmarkEnd w:id="1125"/>
    </w:p>
    <w:p>
      <w:pPr>
        <w:pStyle w:val="5"/>
        <w:keepNext/>
        <w:numPr>
          <w:numId w:val="0"/>
        </w:numPr>
        <w:spacing w:line="360" w:lineRule="auto" w:before="160" w:after="120"/>
        <w:ind w:firstLine="0"/>
      </w:pPr>
      <w:bookmarkStart w:id="60" w:name="用户负荷网供负荷与净负荷"/>
      <w:r>
        <w:rPr>
          <w:rFonts w:ascii="Times New Roman" w:hAnsi="Times New Roman" w:eastAsia="方正仿宋_GBK"/>
          <w:b/>
          <w:sz w:val="26"/>
        </w:rPr>
        <w:t xml:space="preserve">2.5.1 用户负荷、网供负荷与净负荷</w:t>
      </w:r>
      <w:bookmarkEnd w:id="60"/>
    </w:p>
    <w:p>
      <w:pPr>
        <w:pStyle w:val="FirstParagraph"/>
        <w:widowControl/>
        <w:spacing w:line="300" w:lineRule="auto" w:before="0" w:after="0"/>
        <w:ind w:firstLine="480"/>
        <w:jc w:val="both"/>
      </w:pPr>
      <w:r>
        <w:rPr>
          <w:rFonts w:ascii="Times New Roman" w:hAnsi="Times New Roman" w:eastAsia="方正仿宋_GBK"/>
          <w:b w:val="0"/>
          <w:sz w:val="24"/>
        </w:rPr>
        <w:t xml:space="preserve">用户负荷表达用户实际用电需求，网供负荷表达电网向用户供电的剩余任务。分布式电源参与本地供电后，二者需要通过同一范围的发电和交换功率对应。在忽略损耗的简化关系中，净负荷为用户用电功率减去本地发电功率。正值表示受电，负值表示反送。这一平衡关系用于解释时段变化，不能直接解决统计资料中范围或电压等级不一致的问题。</w:t>
      </w:r>
    </w:p>
    <w:p>
      <w:pPr>
        <w:pStyle w:val="2"/>
        <w:widowControl/>
        <w:spacing w:line="300" w:lineRule="auto" w:before="0" w:after="0"/>
        <w:ind w:firstLine="480"/>
        <w:jc w:val="both"/>
      </w:pPr>
      <w:r>
        <w:rPr>
          <w:rFonts w:ascii="Times New Roman" w:hAnsi="Times New Roman" w:eastAsia="方正仿宋_GBK"/>
          <w:b w:val="0"/>
          <w:sz w:val="24"/>
        </w:rPr>
        <w:t xml:space="preserve">分布式电源装机渗透率的分母是用户最大用电负荷，容载比的分母是年网供最大负荷；前者用于表达装机与用电规模，后者用于表达主变容量与区域供电峰值[4][69]。光伏增长时，两种分母可能发生不同变化。如果把降压负荷直接作为用户最大负荷，日间光伏供电作用可能被重复计入分布式电源装机渗透率，导致不同地区比较失真。</w:t>
      </w:r>
    </w:p>
    <w:p>
      <w:pPr>
        <w:pStyle w:val="2"/>
        <w:widowControl/>
        <w:spacing w:line="300" w:lineRule="auto"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负荷年电量是受电与反送的代数积分，不能通过只累计正向受电量替代。重建用户用电量时，应将本地发电量加回同范围净交换电量，并核对其他电源、跨层级交换和损耗。第三章明确本项目估计式及其限制。</w:t>
      </w:r>
    </w:p>
    <w:p>
      <w:pPr>
        <w:pStyle w:val="5"/>
        <w:keepNext/>
        <w:numPr>
          <w:numId w:val="0"/>
        </w:numPr>
        <w:spacing w:line="360" w:lineRule="auto" w:before="160" w:after="120"/>
        <w:ind w:firstLine="0"/>
      </w:pPr>
      <w:bookmarkStart w:id="61" w:name="正反向极值的设备含义"/>
      <w:r>
        <w:rPr>
          <w:rFonts w:ascii="Times New Roman" w:hAnsi="Times New Roman" w:eastAsia="方正仿宋_GBK"/>
          <w:b/>
          <w:sz w:val="26"/>
        </w:rPr>
        <w:t xml:space="preserve">2.5.2 正反向极值的设备含义</w:t>
      </w:r>
      <w:bookmarkEnd w:id="61"/>
    </w:p>
    <w:p>
      <w:pPr>
        <w:pStyle w:val="FirstParagraph"/>
        <w:widowControl/>
        <w:spacing w:line="300" w:lineRule="auto"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[2][4]。</w:t>
      </w:r>
    </w:p>
    <w:p>
      <w:pPr>
        <w:pStyle w:val="2"/>
        <w:widowControl/>
        <w:spacing w:line="300" w:lineRule="auto" w:before="0" w:after="0"/>
        <w:ind w:firstLine="480"/>
        <w:jc w:val="both"/>
      </w:pPr>
      <w:r>
        <w:rPr>
          <w:rFonts w:ascii="Times New Roman" w:hAnsi="Times New Roman" w:eastAsia="方正仿宋_GBK"/>
          <w:b w:val="0"/>
          <w:sz w:val="24"/>
        </w:rPr>
        <w:t xml:space="preserve">正向与反向场景的网络和保护条件可能不同。正向供电安全涉及用户恢复供电，反向接入还涉及上级网络、电压和保护配合。把两个方向压缩为绝对峰值后，仍需分别保存方向及对应场景。绝对值用于统一压力量级，不能据此认定正反向接入约束完全相同。</w:t>
      </w:r>
    </w:p>
    <w:p>
      <w:pPr>
        <w:pStyle w:val="2"/>
        <w:widowControl/>
        <w:spacing w:line="300" w:lineRule="auto" w:before="0" w:after="0"/>
        <w:ind w:firstLine="480"/>
        <w:jc w:val="both"/>
      </w:pPr>
      <w:r>
        <w:rPr>
          <w:rFonts w:ascii="Times New Roman" w:hAnsi="Times New Roman" w:eastAsia="方正仿宋_GBK"/>
          <w:b w:val="0"/>
          <w:sz w:val="24"/>
        </w:rPr>
        <w:t xml:space="preserve">站级各自最大反送功率相加，一般不等于区域同步反送峰值。若不同时刻的站峰相加，结果只能作为上侧压力指标；形成区域峰值时，应先在同一时间轴上逐时汇总，再取极值。本项目站级技术约束和区县容载比分母分开设置，避免将各站独立最大值之和写作区域年最大负荷。</w:t>
      </w:r>
    </w:p>
    <w:p>
      <w:pPr>
        <w:pStyle w:val="5"/>
        <w:keepNext/>
        <w:numPr>
          <w:numId w:val="0"/>
        </w:numPr>
        <w:spacing w:line="360" w:lineRule="auto" w:before="160" w:after="120"/>
        <w:ind w:firstLine="0"/>
      </w:pPr>
      <w:bookmarkStart w:id="62" w:name="峰值持续时间与尖峰能量"/>
      <w:r>
        <w:rPr>
          <w:rFonts w:ascii="Times New Roman" w:hAnsi="Times New Roman" w:eastAsia="方正仿宋_GBK"/>
          <w:b/>
          <w:sz w:val="26"/>
        </w:rPr>
        <w:t xml:space="preserve">2.5.3 峰值持续时间与尖峰能量</w:t>
      </w:r>
      <w:bookmarkEnd w:id="62"/>
    </w:p>
    <w:p>
      <w:pPr>
        <w:pStyle w:val="FirstParagraph"/>
        <w:widowControl/>
        <w:spacing w:line="300" w:lineRule="auto" w:before="0" w:after="0"/>
        <w:ind w:firstLine="480"/>
        <w:jc w:val="both"/>
      </w:pPr>
      <w:r>
        <w:rPr>
          <w:rFonts w:ascii="Times New Roman" w:hAnsi="Times New Roman" w:eastAsia="方正仿宋_GBK"/>
          <w:b w:val="0"/>
          <w:sz w:val="24"/>
        </w:rPr>
        <w:t xml:space="preserve">95%峰值持续时间在本项目中指功率达到相应方向峰值95%以上的连续时段长度。95%是相对幅值门槛，不表示全年功率样本的第95百分位，也不表示95%的保障概率。采用最长连续峰段，可以表达单次尖峰对持续支撑能力的要求；全年达到门槛的累计小时则反映出现频度，两者用途不同。</w:t>
      </w:r>
    </w:p>
    <w:p>
      <w:pPr>
        <w:pStyle w:val="2"/>
        <w:widowControl/>
        <w:spacing w:line="300" w:lineRule="auto" w:before="0" w:after="0"/>
        <w:ind w:firstLine="480"/>
        <w:jc w:val="both"/>
      </w:pPr>
      <w:r>
        <w:rPr>
          <w:rFonts w:ascii="Times New Roman" w:hAnsi="Times New Roman" w:eastAsia="方正仿宋_GBK"/>
          <w:b w:val="0"/>
          <w:sz w:val="24"/>
        </w:rPr>
        <w:t xml:space="preserve">对储能配置，仅有年度峰值幅度还不够。相同的5 MW缺口若持续1</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，最低理想放电能量为5 MWh；若持续5</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，所需能量相应增加。这是功率与能量的直接关系，实际工程还需考虑效率、可用荷电状态及容量衰减[14][20]。本项目静态模型以铭牌功率和峰段可持续能量共同限制储能支撑。</w:t>
      </w:r>
    </w:p>
    <w:p>
      <w:pPr>
        <w:pStyle w:val="2"/>
        <w:widowControl/>
        <w:spacing w:line="300" w:lineRule="auto" w:before="0" w:after="0"/>
        <w:ind w:firstLine="480"/>
        <w:jc w:val="both"/>
      </w:pPr>
      <w:r>
        <w:rPr>
          <w:rFonts w:ascii="Times New Roman" w:hAnsi="Times New Roman" w:eastAsia="方正仿宋_GBK"/>
          <w:b w:val="0"/>
          <w:sz w:val="24"/>
        </w:rPr>
        <w:t xml:space="preserve">峰值持续时间对缺测处理较敏感。缺失小时落在尖峰区间内，可能把同一连续事件拆成两段，也可能因插值而人为连接两个事件。年度时序存在较长缺口时，应保留缺测状态，报告统计的是已观测峰段或有明确补值规则的估计峰段。不同地区数据完整性不同，持续时间指标不能不加说明地混合排序。</w:t>
      </w:r>
    </w:p>
    <w:p>
      <w:pPr>
        <w:pStyle w:val="5"/>
        <w:keepNext/>
        <w:numPr>
          <w:numId w:val="0"/>
        </w:numPr>
        <w:spacing w:line="360" w:lineRule="auto" w:before="160" w:after="120"/>
        <w:ind w:firstLine="0"/>
      </w:pPr>
      <w:bookmarkStart w:id="63" w:name="分布式电源电量渗透率与负载率的相关性"/>
      <w:r>
        <w:rPr>
          <w:rFonts w:ascii="Times New Roman" w:hAnsi="Times New Roman" w:eastAsia="方正仿宋_GBK"/>
          <w:b/>
          <w:sz w:val="26"/>
        </w:rPr>
        <w:t xml:space="preserve">2.5.4 分布式电源电量渗透率与负载率的相关性</w:t>
      </w:r>
      <w:bookmarkEnd w:id="63"/>
    </w:p>
    <w:p>
      <w:pPr>
        <w:pStyle w:val="FirstParagraph"/>
        <w:widowControl/>
        <w:spacing w:line="300" w:lineRule="auto"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分布式电源电量渗透率提高与最大负载率下降因此不存在无条件对应关系[1][2][41]。容量配置、负荷时段和统计边界都会影响两者的相关方向。</w:t>
      </w:r>
    </w:p>
    <w:p>
      <w:pPr>
        <w:pStyle w:val="2"/>
        <w:widowControl/>
        <w:spacing w:line="300" w:lineRule="auto" w:before="0" w:after="0"/>
        <w:ind w:firstLine="480"/>
        <w:jc w:val="both"/>
      </w:pPr>
      <w:r>
        <w:rPr>
          <w:rFonts w:ascii="Times New Roman" w:hAnsi="Times New Roman" w:eastAsia="方正仿宋_GBK"/>
          <w:b w:val="0"/>
          <w:sz w:val="24"/>
        </w:rPr>
        <w:t xml:space="preserve">容量／负荷比与负载率还共享容量和峰值成分。若容载比固定按区域峰值计算，负载率也按同一峰值与总容量构造，二者具有代数反比关系，这种相关性不能作为独立统计发现。原表逐台主变负载率的中位数与区域容载比范围不同，可以作设备分布对照，但不能直接认为前者等于后者的倒数。</w:t>
      </w:r>
    </w:p>
    <w:p>
      <w:pPr>
        <w:pStyle w:val="2"/>
        <w:widowControl/>
        <w:spacing w:line="300" w:lineRule="auto" w:before="0" w:after="0"/>
        <w:ind w:firstLine="480"/>
        <w:jc w:val="both"/>
      </w:pPr>
      <w:r>
        <w:rPr>
          <w:rFonts w:ascii="Times New Roman" w:hAnsi="Times New Roman" w:eastAsia="方正仿宋_GBK"/>
          <w:b w:val="0"/>
          <w:sz w:val="24"/>
        </w:rPr>
        <w:t xml:space="preserve">邳州和市区的资料分别反映县域与市区的源荷条件。年度地区指标用于比较相对水平。对具有月度同范围资料的地区，可计算月度关联并说明样本内性质，为后续扩大实际数据样本提供依据。</w:t>
      </w:r>
    </w:p>
    <w:p>
      <w:bookmarkStart w:id="1142" w:name="h142"/>
      <w:pPr>
        <w:pStyle w:val="4"/>
        <w:keepNext/>
        <w:numPr>
          <w:numId w:val="0"/>
        </w:numPr>
        <w:spacing w:line="360" w:lineRule="auto" w:before="160" w:after="120"/>
        <w:ind w:firstLine="0"/>
      </w:pPr>
      <w:bookmarkStart w:id="64" w:name="主变联络与储能的经济替代条件"/>
      <w:r>
        <w:rPr>
          <w:rFonts w:ascii="Times New Roman" w:hAnsi="Times New Roman" w:eastAsia="方正仿宋_GBK"/>
          <w:b/>
          <w:sz w:val="32"/>
        </w:rPr>
        <w:t xml:space="preserve">2.6 主变、联络与储能的经济替代条件</w:t>
      </w:r>
      <w:bookmarkEnd w:id="64"/>
      <w:bookmarkEnd w:id="1142"/>
    </w:p>
    <w:p>
      <w:pPr>
        <w:pStyle w:val="5"/>
        <w:keepNext/>
        <w:numPr>
          <w:numId w:val="0"/>
        </w:numPr>
        <w:spacing w:line="360" w:lineRule="auto" w:before="160" w:after="120"/>
        <w:ind w:firstLine="0"/>
      </w:pPr>
      <w:bookmarkStart w:id="65" w:name="共同服务能力与费用分母"/>
      <w:r>
        <w:rPr>
          <w:rFonts w:ascii="Times New Roman" w:hAnsi="Times New Roman" w:eastAsia="方正仿宋_GBK"/>
          <w:b/>
          <w:sz w:val="26"/>
        </w:rPr>
        <w:t xml:space="preserve">2.6.1 共同服务能力与费用分母</w:t>
      </w:r>
      <w:bookmarkEnd w:id="65"/>
    </w:p>
    <w:p>
      <w:pPr>
        <w:pStyle w:val="FirstParagraph"/>
        <w:widowControl/>
        <w:spacing w:line="300" w:lineRule="auto" w:before="0" w:after="0"/>
        <w:ind w:firstLine="480"/>
        <w:jc w:val="both"/>
      </w:pPr>
      <w:r>
        <w:rPr>
          <w:rFonts w:ascii="Times New Roman" w:hAnsi="Times New Roman" w:eastAsia="方正仿宋_GBK"/>
          <w:b w:val="0"/>
          <w:sz w:val="24"/>
        </w:rPr>
        <w:t xml:space="preserve">三类措施按场景中的有效服务功率进行比较。主变以MVA标示视在容量，线路以长度和通道热限构造，储能同时具有MW与MWh。构造价格比时，需要先给出相应场景下的有效MW，再分别计算单位服务能力费用。统一单位用于比较价格尺度，技术替代关系由容量、持续时间与转供约束确定。</w:t>
      </w:r>
    </w:p>
    <w:p>
      <w:pPr>
        <w:pStyle w:val="2"/>
        <w:widowControl/>
        <w:spacing w:line="300" w:lineRule="auto" w:before="0" w:after="0"/>
        <w:ind w:firstLine="480"/>
        <w:jc w:val="both"/>
      </w:pPr>
      <w:r>
        <w:rPr>
          <w:rFonts w:ascii="Times New Roman" w:hAnsi="Times New Roman" w:eastAsia="方正仿宋_GBK"/>
          <w:b w:val="0"/>
          <w:sz w:val="24"/>
        </w:rPr>
        <w:t xml:space="preserve">主变替换工程采购50 MVA、退出20 MVA时，新增容量为30 MVA。如果目标函数按新购容量计价，价格比应与新购有效MW对应；若说明工程每净增MW的投资，则需另按30 MVA计算。工程费用按新购容量计算，净增MW费用另用于说明替换项目的增量效果。本报告对这两种用途分别给出算式[70]。</w:t>
      </w:r>
    </w:p>
    <w:p>
      <w:pPr>
        <w:pStyle w:val="2"/>
        <w:widowControl/>
        <w:spacing w:line="300" w:lineRule="auto" w:before="0" w:after="0"/>
        <w:ind w:firstLine="480"/>
        <w:jc w:val="both"/>
      </w:pPr>
      <w:r>
        <w:rPr>
          <w:rFonts w:ascii="Times New Roman" w:hAnsi="Times New Roman" w:eastAsia="方正仿宋_GBK"/>
          <w:b w:val="0"/>
          <w:sz w:val="24"/>
        </w:rPr>
        <w:t xml:space="preserve">新增联络线的有效支撑量还取决于受端剩余容量。线路热限充足而受端没有容量，通道无法完成所设负荷任务；受端空余充足而负荷不能分段，同样不能按整条线路额定能力计收益。公开线路单位造价能够提供价格参考，实际可转任务需要网络资料支撑[5][75]。</w:t>
      </w:r>
    </w:p>
    <w:p>
      <w:pPr>
        <w:pStyle w:val="2"/>
        <w:widowControl/>
        <w:spacing w:line="300" w:lineRule="auto" w:before="0" w:after="0"/>
        <w:ind w:firstLine="480"/>
        <w:jc w:val="both"/>
      </w:pPr>
      <w:r>
        <w:rPr>
          <w:rFonts w:ascii="Times New Roman" w:hAnsi="Times New Roman" w:eastAsia="方正仿宋_GBK"/>
          <w:b w:val="0"/>
          <w:sz w:val="24"/>
        </w:rPr>
        <w:t xml:space="preserve">储能单位有效MW费用随峰段持续时间增加。将10柜包的投资除以1 MW，只适用于允许额定功率持续输出的时段条件。持续时间为3</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时，2.15 MWh能量对应的理想持续功率仅为0.7167 MW，单位有效MW费用相应提高。成本比例按各场景持续时间计算[20][73]。</w:t>
      </w:r>
    </w:p>
    <w:p>
      <w:pPr>
        <w:pStyle w:val="5"/>
        <w:keepNext/>
        <w:numPr>
          <w:numId w:val="0"/>
        </w:numPr>
        <w:spacing w:line="360" w:lineRule="auto" w:before="160" w:after="120"/>
        <w:ind w:firstLine="0"/>
      </w:pPr>
      <w:bookmarkStart w:id="66" w:name="统一评价期与更新费用"/>
      <w:r>
        <w:rPr>
          <w:rFonts w:ascii="Times New Roman" w:hAnsi="Times New Roman" w:eastAsia="方正仿宋_GBK"/>
          <w:b/>
          <w:sz w:val="26"/>
        </w:rPr>
        <w:t xml:space="preserve">2.6.2 统一评价期与更新费用</w:t>
      </w:r>
      <w:bookmarkEnd w:id="66"/>
    </w:p>
    <w:p>
      <w:pPr>
        <w:pStyle w:val="FirstParagraph"/>
        <w:widowControl/>
        <w:spacing w:line="300" w:lineRule="auto" w:before="0" w:after="0"/>
        <w:ind w:firstLine="480"/>
        <w:jc w:val="both"/>
      </w:pPr>
      <w:r>
        <w:rPr>
          <w:rFonts w:ascii="Times New Roman" w:hAnsi="Times New Roman" w:eastAsia="方正仿宋_GBK"/>
          <w:b w:val="0"/>
          <w:sz w:val="24"/>
        </w:rPr>
        <w:t xml:space="preserve">全寿命费用方法将初始投资、固定运维及寿命更新纳入同一评价基准[20][21][22]。如果储能寿命短于网架设备，评价期内可能出现更新投资。只比较初始造价会遗漏这一差异，并高估储能替代长期容量建设的经济性。相反，延后投运减少早期资金占用，也可能影响费用现值。</w:t>
      </w:r>
    </w:p>
    <w:p>
      <w:pPr>
        <w:pStyle w:val="2"/>
        <w:widowControl/>
        <w:spacing w:line="300" w:lineRule="auto"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敏感性分析检验价格变化对选择的影响，实际项目采用核定概算。</w:t>
      </w:r>
    </w:p>
    <w:p>
      <w:pPr>
        <w:pStyle w:val="2"/>
        <w:widowControl/>
        <w:spacing w:line="300" w:lineRule="auto" w:before="0" w:after="0"/>
        <w:ind w:firstLine="480"/>
        <w:jc w:val="both"/>
      </w:pPr>
      <w:r>
        <w:rPr>
          <w:rFonts w:ascii="Times New Roman" w:hAnsi="Times New Roman" w:eastAsia="方正仿宋_GBK"/>
          <w:b w:val="0"/>
          <w:sz w:val="24"/>
        </w:rPr>
        <w:t xml:space="preserve">本项目采用固定实价和固定运维比例，未另设价格通胀。折现率与实价口径相匹配，储能更新按相同实价计算。为简化参数分析，价格变化集中于主变／线路和主变／储能两个比例。未来储能价格下降通过储能初始及更新价格共同降低的情景表达，报告不预测确定的下降年份或市场价格。</w:t>
      </w:r>
    </w:p>
    <w:p>
      <w:pPr>
        <w:pStyle w:val="5"/>
        <w:keepNext/>
        <w:numPr>
          <w:numId w:val="0"/>
        </w:numPr>
        <w:spacing w:line="360" w:lineRule="auto" w:before="160" w:after="120"/>
        <w:ind w:firstLine="0"/>
      </w:pPr>
      <w:bookmarkStart w:id="67" w:name="技术约束先于经济优选"/>
      <w:r>
        <w:rPr>
          <w:rFonts w:ascii="Times New Roman" w:hAnsi="Times New Roman" w:eastAsia="方正仿宋_GBK"/>
          <w:b/>
          <w:sz w:val="26"/>
        </w:rPr>
        <w:t xml:space="preserve">2.6.3 技术约束先于经济优选</w:t>
      </w:r>
      <w:bookmarkEnd w:id="67"/>
    </w:p>
    <w:p>
      <w:pPr>
        <w:pStyle w:val="FirstParagraph"/>
        <w:widowControl/>
        <w:spacing w:line="300" w:lineRule="auto" w:before="0" w:after="0"/>
        <w:ind w:firstLine="480"/>
        <w:jc w:val="both"/>
      </w:pPr>
      <w:r>
        <w:rPr>
          <w:rFonts w:ascii="Times New Roman" w:hAnsi="Times New Roman" w:eastAsia="方正仿宋_GBK"/>
          <w:b w:val="0"/>
          <w:sz w:val="24"/>
        </w:rPr>
        <w:t xml:space="preserve">经济模型只在技术可行集合内选择措施。供电安全容量不足的方案即使费用较低，也不能与可行方案并列推荐。因而，首先要明确正反向和主变退出容量的计算方法，再比较设备采购和投运年份。将技术不足折算为任意罚款而保留方案，会改变本课题的供电需求含义。</w:t>
      </w:r>
    </w:p>
    <w:p>
      <w:pPr>
        <w:pStyle w:val="2"/>
        <w:widowControl/>
        <w:spacing w:line="300" w:lineRule="auto" w:before="0" w:after="0"/>
        <w:ind w:firstLine="480"/>
        <w:jc w:val="both"/>
      </w:pPr>
      <w:r>
        <w:rPr>
          <w:rFonts w:ascii="Times New Roman" w:hAnsi="Times New Roman" w:eastAsia="方正仿宋_GBK"/>
          <w:b w:val="0"/>
          <w:sz w:val="24"/>
        </w:rPr>
        <w:t xml:space="preserve">多准则评价适于对已通过技术筛查的方案比较实施条件和规划适应性[25][54][55]。若缺少专家判断矩阵，不应编造层次分析权重，使其反向决定已求解的容载比。本报告以费用最小形成计算推荐，供电安全和设备规格作为硬约束，工程实施条件作为应用前核对项。</w:t>
      </w:r>
    </w:p>
    <w:p>
      <w:pPr>
        <w:pStyle w:val="2"/>
        <w:widowControl/>
        <w:spacing w:line="300" w:lineRule="auto" w:before="0" w:after="0"/>
        <w:ind w:firstLine="480"/>
        <w:jc w:val="both"/>
      </w:pPr>
      <w:r>
        <w:rPr>
          <w:rFonts w:ascii="Times New Roman" w:hAnsi="Times New Roman" w:eastAsia="方正仿宋_GBK"/>
          <w:b w:val="0"/>
          <w:sz w:val="24"/>
        </w:rPr>
        <w:t xml:space="preserve">在矩阵中，推荐值应与价格比、峰段时间和负荷条件一起给出。同一推荐容载比可对应不同设备布局，费用相同也可能出现多组整数解。报告采用明确的同费用偏好规则保存代表方案，不能把代表方案中的每个设备数量都解释为唯一最优选择。</w:t>
      </w:r>
    </w:p>
    <w:p>
      <w:bookmarkStart w:id="1156" w:name="h156"/>
      <w:pPr>
        <w:pStyle w:val="4"/>
        <w:keepNext/>
        <w:numPr>
          <w:numId w:val="0"/>
        </w:numPr>
        <w:spacing w:line="360" w:lineRule="auto" w:before="160" w:after="120"/>
        <w:ind w:firstLine="0"/>
      </w:pPr>
      <w:bookmarkStart w:id="68" w:name="规划寻优方法与本项目选型"/>
      <w:r>
        <w:rPr>
          <w:rFonts w:ascii="Times New Roman" w:hAnsi="Times New Roman" w:eastAsia="方正仿宋_GBK"/>
          <w:b/>
          <w:sz w:val="32"/>
        </w:rPr>
        <w:t xml:space="preserve">2.7 规划寻优方法与本项目选型</w:t>
      </w:r>
      <w:bookmarkEnd w:id="68"/>
      <w:bookmarkEnd w:id="1156"/>
    </w:p>
    <w:p>
      <w:pPr>
        <w:pStyle w:val="5"/>
        <w:keepNext/>
        <w:numPr>
          <w:numId w:val="0"/>
        </w:numPr>
        <w:spacing w:line="360" w:lineRule="auto" w:before="160" w:after="120"/>
        <w:ind w:firstLine="0"/>
      </w:pPr>
      <w:bookmarkStart w:id="69" w:name="整数规划与离散工程决策"/>
      <w:r>
        <w:rPr>
          <w:rFonts w:ascii="Times New Roman" w:hAnsi="Times New Roman" w:eastAsia="方正仿宋_GBK"/>
          <w:b/>
          <w:sz w:val="26"/>
        </w:rPr>
        <w:t xml:space="preserve">2.7.1 整数规划与离散工程决策</w:t>
      </w:r>
      <w:bookmarkEnd w:id="69"/>
    </w:p>
    <w:p>
      <w:pPr>
        <w:pStyle w:val="FirstParagraph"/>
        <w:widowControl/>
        <w:spacing w:line="300" w:lineRule="auto" w:before="0" w:after="0"/>
        <w:ind w:firstLine="480"/>
        <w:jc w:val="both"/>
      </w:pPr>
      <w:r>
        <w:rPr>
          <w:rFonts w:ascii="Times New Roman" w:hAnsi="Times New Roman" w:eastAsia="方正仿宋_GBK"/>
          <w:b w:val="0"/>
          <w:sz w:val="24"/>
        </w:rPr>
        <w:t xml:space="preserve">主变规格、台数和建设年份属于离散工程决策，储能柜数也受成套采购规格限制。线路投运状态由未建转为已建，不能按连续比例逐年撤销。这类状态和阶段关系适合采用混合整数规划描述。连续变量用于站间转接功率，整数变量用于配置与投运决策。</w:t>
      </w:r>
    </w:p>
    <w:p>
      <w:pPr>
        <w:pStyle w:val="2"/>
        <w:widowControl/>
        <w:spacing w:line="300" w:lineRule="auto" w:before="0" w:after="0"/>
        <w:ind w:firstLine="480"/>
        <w:jc w:val="both"/>
      </w:pPr>
      <w:r>
        <w:rPr>
          <w:rFonts w:ascii="Times New Roman" w:hAnsi="Times New Roman" w:eastAsia="方正仿宋_GBK"/>
          <w:b w:val="0"/>
          <w:sz w:val="24"/>
        </w:rPr>
        <w:t xml:space="preserve">对给定峰值持续时间，储能功率与能量折算为已知系数；主变有功承载力按统一功率因数折算；线路负荷转接保持线性守恒。技术条件因此可以写成线性约束。本研究统一按单台主变退出后满足全部转接负荷校核，供电区域类别用于确定候选设备规格和转供能力范围。</w:t>
      </w:r>
    </w:p>
    <w:p>
      <w:pPr>
        <w:pStyle w:val="2"/>
        <w:widowControl/>
        <w:spacing w:line="300" w:lineRule="auto" w:before="0" w:after="0"/>
        <w:ind w:firstLine="480"/>
        <w:jc w:val="both"/>
      </w:pPr>
      <w:r>
        <w:rPr>
          <w:rFonts w:ascii="Times New Roman" w:hAnsi="Times New Roman" w:eastAsia="方正仿宋_GBK"/>
          <w:b w:val="0"/>
          <w:sz w:val="24"/>
        </w:rPr>
        <w:t xml:space="preserve">整数规划的最优性应依靠目标上、下界判断。取得可行设备配置，只说明约束可满足；目标最优性间隙达到规定精度，才说明费用与已证明下界接近。本报告记录各阶段状态和间隙，对未证明场景不自行标记为最优。所选方案另行逐站复算容量、守恒与费用。</w:t>
      </w:r>
    </w:p>
    <w:p>
      <w:pPr>
        <w:pStyle w:val="5"/>
        <w:keepNext/>
        <w:numPr>
          <w:numId w:val="0"/>
        </w:numPr>
        <w:spacing w:line="360" w:lineRule="auto" w:before="160" w:after="120"/>
        <w:ind w:firstLine="0"/>
      </w:pPr>
      <w:bookmarkStart w:id="70" w:name="分阶段目标与费用归因"/>
      <w:r>
        <w:rPr>
          <w:rFonts w:ascii="Times New Roman" w:hAnsi="Times New Roman" w:eastAsia="方正仿宋_GBK"/>
          <w:b/>
          <w:sz w:val="26"/>
        </w:rPr>
        <w:t xml:space="preserve">2.7.2 分阶段目标与费用归因</w:t>
      </w:r>
      <w:bookmarkEnd w:id="70"/>
    </w:p>
    <w:p>
      <w:pPr>
        <w:pStyle w:val="FirstParagraph"/>
        <w:widowControl/>
        <w:spacing w:line="300" w:lineRule="auto" w:before="0" w:after="0"/>
        <w:ind w:firstLine="480"/>
        <w:jc w:val="both"/>
      </w:pPr>
      <w:r>
        <w:rPr>
          <w:rFonts w:ascii="Times New Roman" w:hAnsi="Times New Roman" w:eastAsia="方正仿宋_GBK"/>
          <w:b w:val="0"/>
          <w:sz w:val="24"/>
        </w:rPr>
        <w:t xml:space="preserve">费用最小目标与容量偏好需要明确优先级。直接给容载比增加一个任意奖励项，会改变主变与储能的费用权衡，使方案不能继续称为单目标费用最优。分阶段求解先确定费用最小目标的计算上界，再在小额数值容差内选择代表容量配置，能够保持经济目标的含义。</w:t>
      </w:r>
    </w:p>
    <w:p>
      <w:pPr>
        <w:pStyle w:val="2"/>
        <w:widowControl/>
        <w:spacing w:line="300" w:lineRule="auto" w:before="0" w:after="0"/>
        <w:ind w:firstLine="480"/>
        <w:jc w:val="both"/>
      </w:pPr>
      <w:r>
        <w:rPr>
          <w:rFonts w:ascii="Times New Roman" w:hAnsi="Times New Roman" w:eastAsia="方正仿宋_GBK"/>
          <w:b w:val="0"/>
          <w:sz w:val="24"/>
        </w:rPr>
        <w:t xml:space="preserve">正常转接量作为后续偏好，减少的是维持所选设备布局需要承担的转接任务。若在这一阶段固定整数设备，求得的是该布局下的最小连续转接量，不能声称已经比较所有同价布局的最小转接依赖。报告区分这一技术解释范围。</w:t>
      </w:r>
    </w:p>
    <w:p>
      <w:pPr>
        <w:pStyle w:val="2"/>
        <w:widowControl/>
        <w:spacing w:line="300" w:lineRule="auto" w:before="0" w:after="0"/>
        <w:ind w:firstLine="480"/>
        <w:jc w:val="both"/>
      </w:pPr>
      <w:r>
        <w:rPr>
          <w:rFonts w:ascii="Times New Roman" w:hAnsi="Times New Roman" w:eastAsia="方正仿宋_GBK"/>
          <w:b w:val="0"/>
          <w:sz w:val="24"/>
        </w:rPr>
        <w:t xml:space="preserve">两地区同步求解中设置了年度容载比排序条件，邳州和市区各自的刚性、弹性规划方案的所选合计费用是在这些共同条件下取得。地区内刚性与弹性费用差可用于比较本研究规划任务；若要单独归因于某一个容载比上限，则需另行撤销排序或改变该约束重求。当前条件推荐保留排序设定，避免将所有差额都归为放宽2.0的普适收益。</w:t>
      </w:r>
    </w:p>
    <w:p>
      <w:pPr>
        <w:pStyle w:val="5"/>
        <w:keepNext/>
        <w:numPr>
          <w:numId w:val="0"/>
        </w:numPr>
        <w:spacing w:line="360" w:lineRule="auto" w:before="160" w:after="120"/>
        <w:ind w:firstLine="0"/>
      </w:pPr>
      <w:bookmarkStart w:id="71" w:name="参数矩阵的适用范围"/>
      <w:r>
        <w:rPr>
          <w:rFonts w:ascii="Times New Roman" w:hAnsi="Times New Roman" w:eastAsia="方正仿宋_GBK"/>
          <w:b/>
          <w:sz w:val="26"/>
        </w:rPr>
        <w:t xml:space="preserve">2.7.3 参数矩阵的适用范围</w:t>
      </w:r>
      <w:bookmarkEnd w:id="71"/>
    </w:p>
    <w:p>
      <w:pPr>
        <w:pStyle w:val="FirstParagraph"/>
        <w:widowControl/>
        <w:spacing w:line="300" w:lineRule="auto" w:before="0" w:after="0"/>
        <w:ind w:firstLine="480"/>
        <w:jc w:val="both"/>
      </w:pPr>
      <w:r>
        <w:rPr>
          <w:rFonts w:ascii="Times New Roman" w:hAnsi="Times New Roman" w:eastAsia="方正仿宋_GBK"/>
          <w:b w:val="0"/>
          <w:sz w:val="24"/>
        </w:rPr>
        <w:t xml:space="preserve">连续参数变化与离散设备选择结合后，费用和容载比往往出现台阶。对已求解端点，插值得到中间价格下的费用可作描述；对设备配置和容载比推荐，中间点可能触发新的规格或储能柜数，仍需重新优化。参数外推应保存完整的措施路径，不能只拟合一个推荐比值函数。</w:t>
      </w:r>
    </w:p>
    <w:p>
      <w:pPr>
        <w:pStyle w:val="2"/>
        <w:widowControl/>
        <w:spacing w:line="300" w:lineRule="auto" w:before="0" w:after="0"/>
        <w:ind w:firstLine="480"/>
        <w:jc w:val="both"/>
      </w:pPr>
      <w:r>
        <w:rPr>
          <w:rFonts w:ascii="Times New Roman" w:hAnsi="Times New Roman" w:eastAsia="方正仿宋_GBK"/>
          <w:b w:val="0"/>
          <w:sz w:val="24"/>
        </w:rPr>
        <w:t xml:space="preserve">本项目先以两地区资料分析运行与配置关系，再以两类一般站群在合理参数范围内构造情景。推荐矩阵表达在这些结构和假定下的计算范围。应用于其他片区时，需要核对主变初态、供电类别及负荷分布等关键条件，再以矩阵作为扫描和比选依据。</w:t>
      </w:r>
    </w:p>
    <w:p>
      <w:pPr>
        <w:pStyle w:val="2"/>
        <w:widowControl/>
        <w:spacing w:line="300" w:lineRule="auto" w:before="0" w:after="0"/>
        <w:ind w:firstLine="480"/>
        <w:jc w:val="both"/>
      </w:pPr>
      <w:r>
        <w:rPr>
          <w:rFonts w:ascii="Times New Roman" w:hAnsi="Times New Roman" w:eastAsia="方正仿宋_GBK"/>
          <w:b w:val="0"/>
          <w:sz w:val="24"/>
        </w:rPr>
        <w:t xml:space="preserve">对于反向压力外推，保留电源原站归属，并使用非负用户负荷的典型场景。光伏规模变化后，反送压力相应改变；正向高峰按夜间包络保持。该构造适于压力敏感性，尚不等同于完整年度光伏与负荷共同预测。分布式电源电量渗透率在此类情景中只作为条件标签，不宣称模型已经优化全年消纳电量。</w:t>
      </w:r>
    </w:p>
    <w:p>
      <w:bookmarkStart w:id="1169" w:name="h169"/>
      <w:pPr>
        <w:pStyle w:val="4"/>
        <w:keepNext/>
        <w:numPr>
          <w:numId w:val="0"/>
        </w:numPr>
        <w:spacing w:line="360" w:lineRule="auto" w:before="160" w:after="120"/>
        <w:ind w:firstLine="0"/>
      </w:pPr>
      <w:bookmarkStart w:id="72" w:name="本项目方法选择与工程衔接"/>
      <w:r>
        <w:rPr>
          <w:rFonts w:ascii="Times New Roman" w:hAnsi="Times New Roman" w:eastAsia="方正仿宋_GBK"/>
          <w:b/>
          <w:sz w:val="32"/>
        </w:rPr>
        <w:t xml:space="preserve">2.8 本项目方法选择与工程衔接</w:t>
      </w:r>
      <w:bookmarkEnd w:id="72"/>
      <w:bookmarkEnd w:id="1169"/>
    </w:p>
    <w:p>
      <w:pPr>
        <w:pStyle w:val="5"/>
        <w:keepNext/>
        <w:numPr>
          <w:numId w:val="0"/>
        </w:numPr>
        <w:spacing w:line="360" w:lineRule="auto" w:before="160" w:after="120"/>
        <w:ind w:firstLine="0"/>
      </w:pPr>
      <w:bookmarkStart w:id="73" w:name="运行特征与技术约束"/>
      <w:r>
        <w:rPr>
          <w:rFonts w:ascii="Times New Roman" w:hAnsi="Times New Roman" w:eastAsia="方正仿宋_GBK"/>
          <w:b/>
          <w:sz w:val="26"/>
        </w:rPr>
        <w:t xml:space="preserve">2.8.1 运行特征与技术约束</w:t>
      </w:r>
      <w:bookmarkEnd w:id="73"/>
    </w:p>
    <w:p>
      <w:pPr>
        <w:pStyle w:val="FirstParagraph"/>
        <w:widowControl/>
        <w:spacing w:line="300" w:lineRule="auto" w:before="0" w:after="0"/>
        <w:ind w:firstLine="480"/>
        <w:jc w:val="both"/>
      </w:pPr>
      <w:r>
        <w:rPr>
          <w:rFonts w:ascii="Times New Roman" w:hAnsi="Times New Roman" w:eastAsia="方正仿宋_GBK"/>
          <w:b w:val="0"/>
          <w:sz w:val="24"/>
        </w:rPr>
        <w:t xml:space="preserve">负荷与光伏研究强调日内、季节和空间分布[1][40]；供电能力研究强调主变结构及下级网络互济[5][30]。本项目据此分别提取最大正向、反向净负荷及95%峰值持续时间，构造正常运行和单台主变退出容量约束。站间转接保持区县负荷总量，原站电源保留归属，转出负荷后的反向压力同步校核。</w:t>
      </w:r>
    </w:p>
    <w:p>
      <w:pPr>
        <w:pStyle w:val="5"/>
        <w:keepNext/>
        <w:numPr>
          <w:numId w:val="0"/>
        </w:numPr>
        <w:spacing w:line="360" w:lineRule="auto" w:before="160" w:after="120"/>
        <w:ind w:firstLine="0"/>
      </w:pPr>
      <w:bookmarkStart w:id="74" w:name="工程配置与费用寻优"/>
      <w:r>
        <w:rPr>
          <w:rFonts w:ascii="Times New Roman" w:hAnsi="Times New Roman" w:eastAsia="方正仿宋_GBK"/>
          <w:b/>
          <w:sz w:val="26"/>
        </w:rPr>
        <w:t xml:space="preserve">2.8.2 工程配置与费用寻优</w:t>
      </w:r>
      <w:bookmarkEnd w:id="74"/>
    </w:p>
    <w:p>
      <w:pPr>
        <w:pStyle w:val="FirstParagraph"/>
        <w:widowControl/>
        <w:spacing w:line="300" w:lineRule="auto" w:before="0" w:after="0"/>
        <w:ind w:firstLine="480"/>
        <w:jc w:val="both"/>
      </w:pPr>
      <w:r>
        <w:rPr>
          <w:rFonts w:ascii="Times New Roman" w:hAnsi="Times New Roman" w:eastAsia="方正仿宋_GBK"/>
          <w:b w:val="0"/>
          <w:sz w:val="24"/>
        </w:rPr>
        <w:t xml:space="preserve">主变规格、第三台位置、储能柜数和联络项目属于离散决策，站间转接功率属于连续决策，采用混合整数线性规划共同求解。工程费用按购置事件和投运年份形成现金流，以建设、固定运维与寿命更新的现值之和比较方案[20—22][28][29]。同一区县刚性、弹性方案使用相同仿真起点和措施集合，全部配置满足当年技术约束。</w:t>
      </w:r>
    </w:p>
    <w:p>
      <w:pPr>
        <w:pStyle w:val="5"/>
        <w:keepNext/>
        <w:numPr>
          <w:numId w:val="0"/>
        </w:numPr>
        <w:spacing w:line="360" w:lineRule="auto" w:before="160" w:after="120"/>
        <w:ind w:firstLine="0"/>
      </w:pPr>
      <w:bookmarkStart w:id="75" w:name="案例分析与通用矩阵"/>
      <w:r>
        <w:rPr>
          <w:rFonts w:ascii="Times New Roman" w:hAnsi="Times New Roman" w:eastAsia="方正仿宋_GBK"/>
          <w:b/>
          <w:sz w:val="26"/>
        </w:rPr>
        <w:t xml:space="preserve">2.8.3 案例分析与通用矩阵</w:t>
      </w:r>
      <w:bookmarkEnd w:id="75"/>
    </w:p>
    <w:p>
      <w:pPr>
        <w:pStyle w:val="FirstParagraph"/>
        <w:widowControl/>
        <w:spacing w:line="300" w:lineRule="auto" w:before="0" w:after="0"/>
        <w:ind w:firstLine="480"/>
        <w:jc w:val="both"/>
      </w:pPr>
      <w:r>
        <w:rPr>
          <w:rFonts w:ascii="Times New Roman" w:hAnsi="Times New Roman" w:eastAsia="方正仿宋_GBK"/>
          <w:b w:val="0"/>
          <w:sz w:val="24"/>
        </w:rPr>
        <w:t xml:space="preserve">案例按四年设备状态连续寻优，说明负荷增长、离散增容、峰段支撑及转供能力对容载比和费用的影响。通用矩阵依据这些计算关系设置两类一般站群，在合理参数范围内进行7000组目标年静态比选。矩阵按参数分档汇总推荐区间，具体设备与费用保存在配套计算结果中。</w:t>
      </w:r>
    </w:p>
    <w:p>
      <w:bookmarkStart w:id="1176" w:name="h176"/>
      <w:pPr>
        <w:pStyle w:val="4"/>
        <w:keepNext/>
        <w:numPr>
          <w:numId w:val="0"/>
        </w:numPr>
        <w:spacing w:line="360" w:lineRule="auto" w:before="160" w:after="120"/>
        <w:ind w:firstLine="0"/>
      </w:pPr>
      <w:bookmarkStart w:id="76" w:name="本章小结"/>
      <w:r>
        <w:rPr>
          <w:rFonts w:ascii="Times New Roman" w:hAnsi="Times New Roman" w:eastAsia="方正仿宋_GBK"/>
          <w:b/>
          <w:sz w:val="32"/>
        </w:rPr>
        <w:t xml:space="preserve">2.9 本章小结</w:t>
      </w:r>
      <w:bookmarkEnd w:id="76"/>
      <w:bookmarkEnd w:id="1176"/>
    </w:p>
    <w:p>
      <w:pPr>
        <w:pStyle w:val="FirstParagraph"/>
        <w:widowControl/>
        <w:spacing w:line="300" w:lineRule="auto" w:before="0" w:after="0"/>
        <w:ind w:firstLine="480"/>
        <w:jc w:val="both"/>
      </w:pPr>
      <w:r>
        <w:rPr>
          <w:rFonts w:ascii="Times New Roman" w:hAnsi="Times New Roman" w:eastAsia="方正仿宋_GBK"/>
          <w:b w:val="0"/>
          <w:sz w:val="24"/>
        </w:rPr>
        <w:t xml:space="preserve">相关研究为高渗透率地区容量规划提供了源荷场景、下级网络供电能力和灵活资源费用比较方法。本研究采用区县容载比与站级容量约束相结合的规划模型，以实际工程和采购案例标定费用，在统一起点后比较增容、储能与10 kV联络方案，并通过一般站群的参数外推形成通用推荐矩阵。</w:t>
      </w:r>
    </w:p>
    <w:p>
      <w:bookmarkStart w:id="1178" w:name="h178"/>
      <w:pPr>
        <w:pStyle w:val="3"/>
        <w:keepNext/>
        <w:pageBreakBefore/>
        <w:numPr>
          <w:numId w:val="0"/>
        </w:numPr>
        <w:spacing w:line="360" w:lineRule="auto" w:before="0" w:after="120"/>
        <w:ind w:firstLine="0"/>
      </w:pPr>
      <w:bookmarkStart w:id="77" w:name="第三章-徐州典型地区运行特征分析"/>
      <w:r>
        <w:rPr>
          <w:rFonts w:ascii="Times New Roman" w:hAnsi="Times New Roman" w:eastAsia="方正仿宋_GBK"/>
          <w:b/>
          <w:sz w:val="36"/>
        </w:rPr>
        <w:t xml:space="preserve">第三章 徐州典型地区运行特征分析</w:t>
      </w:r>
      <w:bookmarkEnd w:id="77"/>
      <w:bookmarkEnd w:id="1178"/>
    </w:p>
    <w:p>
      <w:bookmarkStart w:id="1179" w:name="h179"/>
      <w:pPr>
        <w:pStyle w:val="4"/>
        <w:keepNext/>
        <w:numPr>
          <w:numId w:val="0"/>
        </w:numPr>
        <w:spacing w:line="360" w:lineRule="auto" w:before="160" w:after="120"/>
        <w:ind w:firstLine="0"/>
      </w:pPr>
      <w:bookmarkStart w:id="78" w:name="研究地区与原始资料"/>
      <w:r>
        <w:rPr>
          <w:rFonts w:ascii="Times New Roman" w:hAnsi="Times New Roman" w:eastAsia="方正仿宋_GBK"/>
          <w:b/>
          <w:sz w:val="32"/>
        </w:rPr>
        <w:t xml:space="preserve">3.1 研究地区与原始资料</w:t>
      </w:r>
      <w:bookmarkEnd w:id="78"/>
      <w:bookmarkEnd w:id="1179"/>
    </w:p>
    <w:p>
      <w:pPr>
        <w:pStyle w:val="5"/>
        <w:keepNext/>
        <w:numPr>
          <w:numId w:val="0"/>
        </w:numPr>
        <w:spacing w:line="360" w:lineRule="auto" w:before="160" w:after="120"/>
        <w:ind w:firstLine="0"/>
      </w:pPr>
      <w:bookmarkStart w:id="79" w:name="地区选择及比较范围"/>
      <w:r>
        <w:rPr>
          <w:rFonts w:ascii="Times New Roman" w:hAnsi="Times New Roman" w:eastAsia="方正仿宋_GBK"/>
          <w:b/>
          <w:sz w:val="26"/>
        </w:rPr>
        <w:t xml:space="preserve">3.1.1 地区选择及比较范围</w:t>
      </w:r>
      <w:bookmarkEnd w:id="79"/>
    </w:p>
    <w:p>
      <w:pPr>
        <w:pStyle w:val="FirstParagraph"/>
        <w:widowControl/>
        <w:spacing w:line="300" w:lineRule="auto"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00" w:lineRule="auto" w:before="0" w:after="0"/>
        <w:ind w:firstLine="480"/>
        <w:jc w:val="both"/>
      </w:pPr>
      <w:r>
        <w:rPr>
          <w:rFonts w:ascii="Times New Roman" w:hAnsi="Times New Roman" w:eastAsia="方正仿宋_GBK"/>
          <w:b w:val="0"/>
          <w:sz w:val="24"/>
        </w:rPr>
        <w:t xml:space="preserve">邳州110 kV模型含20座站，市区含29座站级样本。市区样本按区县年度原表负荷标定，其中补充仿真站的设备配置与类别保留估计标记。区域容载比采用同电压等级区县口径，各站独立峰值用于局部容量校核[4][76]。</w:t>
      </w:r>
    </w:p>
    <w:p>
      <w:pPr>
        <w:pStyle w:val="5"/>
        <w:keepNext/>
        <w:numPr>
          <w:numId w:val="0"/>
        </w:numPr>
        <w:spacing w:line="360" w:lineRule="auto" w:before="160" w:after="120"/>
        <w:ind w:firstLine="0"/>
      </w:pPr>
      <w:bookmarkStart w:id="80" w:name="历史分析与规划参数的衔接"/>
      <w:r>
        <w:rPr>
          <w:rFonts w:ascii="Times New Roman" w:hAnsi="Times New Roman" w:eastAsia="方正仿宋_GBK"/>
          <w:b/>
          <w:sz w:val="26"/>
        </w:rPr>
        <w:t xml:space="preserve">3.1.2 历史分析与规划参数的衔接</w:t>
      </w:r>
      <w:bookmarkEnd w:id="80"/>
    </w:p>
    <w:p>
      <w:pPr>
        <w:pStyle w:val="FirstParagraph"/>
        <w:widowControl/>
        <w:spacing w:line="300" w:lineRule="auto" w:before="0" w:after="0"/>
        <w:ind w:firstLine="480"/>
        <w:jc w:val="both"/>
      </w:pPr>
      <w:r>
        <w:rPr>
          <w:rFonts w:ascii="Times New Roman" w:hAnsi="Times New Roman" w:eastAsia="方正仿宋_GBK"/>
          <w:b w:val="0"/>
          <w:sz w:val="24"/>
        </w:rPr>
        <w:t xml:space="preserve">本章分析历史负荷、光伏及设备结构，并说明规划仿真采用的参数。年度区域负荷统一换算为MW，作为年网供最大负荷估计值。规划站级正向、反向净负荷采用2025年分布，按仿真年度规模缩放。图表中2021—2022年光伏装机采用几何回推，2023—2025年采用月末记录。</w:t>
      </w:r>
    </w:p>
    <w:p>
      <w:pPr>
        <w:pStyle w:val="2"/>
        <w:widowControl/>
        <w:spacing w:line="300" w:lineRule="auto" w:before="0" w:after="0"/>
        <w:ind w:firstLine="480"/>
        <w:jc w:val="both"/>
      </w:pPr>
      <w:r>
        <w:rPr>
          <w:rFonts w:ascii="Times New Roman" w:hAnsi="Times New Roman" w:eastAsia="方正仿宋_GBK"/>
          <w:b w:val="0"/>
          <w:sz w:val="24"/>
        </w:rPr>
        <w:t xml:space="preserve">历史容量和负荷用于本章现状分析。第五章将两地区分别标定到容载比2.0的共同仿真起点，后续容量由逐年优化确定。设备统计形成允许规格、供电区域类别及第三台位置；正常负荷调整使用相同仿真通道。收资文件、原表行列、单位换算和映射记录集中列入独立数据来源说明。正文只保留影响模型含义的处理方式与关键计算依据。</w:t>
      </w:r>
    </w:p>
    <w:p>
      <w:pPr>
        <w:pStyle w:val="5"/>
        <w:keepNext/>
        <w:numPr>
          <w:numId w:val="0"/>
        </w:numPr>
        <w:spacing w:line="360" w:lineRule="auto" w:before="160" w:after="120"/>
        <w:ind w:firstLine="0"/>
      </w:pPr>
      <w:bookmarkStart w:id="81" w:name="时序处理与模型适用范围"/>
      <w:r>
        <w:rPr>
          <w:rFonts w:ascii="Times New Roman" w:hAnsi="Times New Roman" w:eastAsia="方正仿宋_GBK"/>
          <w:b/>
          <w:sz w:val="26"/>
        </w:rPr>
        <w:t xml:space="preserve">3.1.3 时序处理与模型适用范围</w:t>
      </w:r>
      <w:bookmarkEnd w:id="81"/>
    </w:p>
    <w:p>
      <w:pPr>
        <w:pStyle w:val="FirstParagraph"/>
        <w:widowControl/>
        <w:spacing w:line="300" w:lineRule="auto"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容量、功率、电量分别使用MVA、MW、MWh，净功率受入为正、反送为负。年度电量统一在2025年非闰年8760小时轴上估计。邳州缺失1 h以邻近均值补值，市区代表时序421个补值小时按同周类型处理，二者均保留估计性质。</w:t>
      </w:r>
    </w:p>
    <w:p>
      <w:pPr>
        <w:pStyle w:val="2"/>
        <w:widowControl/>
        <w:spacing w:line="300" w:lineRule="auto" w:before="0" w:after="0"/>
        <w:ind w:firstLine="480"/>
        <w:jc w:val="both"/>
      </w:pPr>
      <w:r>
        <w:rPr>
          <w:rFonts w:ascii="Times New Roman" w:hAnsi="Times New Roman" w:eastAsia="方正仿宋_GBK"/>
          <w:b w:val="0"/>
          <w:sz w:val="24"/>
        </w:rPr>
        <w:t xml:space="preserve">峰段分析采用2025年最长连续峰段模板，用于储能静态容量折算；年度电量估计用于源荷背景分析。各站独立峰值用于局部校核，区域同期负荷用于容载比计算。</w:t>
      </w:r>
    </w:p>
    <w:p>
      <w:bookmarkStart w:id="1189" w:name="h189"/>
      <w:pPr>
        <w:pStyle w:val="4"/>
        <w:keepNext/>
        <w:numPr>
          <w:numId w:val="0"/>
        </w:numPr>
        <w:spacing w:line="360" w:lineRule="auto" w:before="160" w:after="120"/>
        <w:ind w:firstLine="0"/>
      </w:pPr>
      <w:bookmarkStart w:id="82" w:name="年度容量负荷与增长特征"/>
      <w:r>
        <w:rPr>
          <w:rFonts w:ascii="Times New Roman" w:hAnsi="Times New Roman" w:eastAsia="方正仿宋_GBK"/>
          <w:b/>
          <w:sz w:val="32"/>
        </w:rPr>
        <w:t xml:space="preserve">3.2 年度容量、负荷与增长特征</w:t>
      </w:r>
      <w:bookmarkEnd w:id="82"/>
      <w:bookmarkEnd w:id="1189"/>
    </w:p>
    <w:p>
      <w:pPr>
        <w:pStyle w:val="5"/>
        <w:keepNext/>
        <w:numPr>
          <w:numId w:val="0"/>
        </w:numPr>
        <w:spacing w:line="360" w:lineRule="auto" w:before="160" w:after="120"/>
        <w:ind w:firstLine="0"/>
      </w:pPr>
      <w:bookmarkStart w:id="83" w:name="邳州年度变化"/>
      <w:r>
        <w:rPr>
          <w:rFonts w:ascii="Times New Roman" w:hAnsi="Times New Roman" w:eastAsia="方正仿宋_GBK"/>
          <w:b/>
          <w:sz w:val="26"/>
        </w:rPr>
        <w:t xml:space="preserve">3.2.1 邳州年度变化</w:t>
      </w:r>
      <w:bookmarkEnd w:id="83"/>
    </w:p>
    <w:p>
      <w:pPr>
        <w:pStyle w:val="FirstParagraph"/>
        <w:widowControl/>
        <w:spacing w:line="300" w:lineRule="auto" w:before="0" w:after="0"/>
        <w:ind w:firstLine="480"/>
        <w:jc w:val="both"/>
      </w:pPr>
      <w:r>
        <w:rPr>
          <w:rFonts w:ascii="Times New Roman" w:hAnsi="Times New Roman" w:eastAsia="方正仿宋_GBK"/>
          <w:b w:val="0"/>
          <w:sz w:val="24"/>
        </w:rPr>
        <w:t xml:space="preserve">邳州2021年公用主变总容量为2027 MVA，年网供最大负荷按原表降压负荷估计为731.770 MW。2022—2025年负荷分别为825.004、761.232、862.662和956.450 MW。容量与负荷的年度变化共同影响容载比。</w:t>
      </w:r>
    </w:p>
    <w:p>
      <w:pPr>
        <w:pStyle w:val="2"/>
        <w:widowControl/>
        <w:spacing w:line="300" w:lineRule="auto" w:before="0" w:after="0"/>
        <w:ind w:firstLine="480"/>
        <w:jc w:val="both"/>
      </w:pPr>
      <w:r>
        <w:rPr>
          <w:rFonts w:ascii="Times New Roman" w:hAnsi="Times New Roman" w:eastAsia="方正仿宋_GBK"/>
          <w:b w:val="0"/>
          <w:sz w:val="24"/>
        </w:rPr>
        <w:t xml:space="preserve">历史统计保留原始年度波动，用于计算负荷增长和解释运行特征。仿真规划的基期与后续四年负荷在第五章另行列示。</w:t>
      </w:r>
    </w:p>
    <w:p>
      <w:pPr>
        <w:pStyle w:val="2"/>
        <w:keepNext/>
        <w:spacing w:line="300" w:lineRule="auto" w:before="120" w:after="80"/>
        <w:ind w:firstLine="0"/>
        <w:jc w:val="center"/>
      </w:pPr>
      <w:r>
        <w:rPr>
          <w:rFonts w:ascii="Times New Roman" w:hAnsi="Times New Roman" w:eastAsia="宋体"/>
          <w:b w:val="0"/>
          <w:sz w:val="21"/>
        </w:rPr>
        <w:t xml:space="preserve">表3-1 邳州和市区年度原表容量与降压负荷[76]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容量/MVA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2027.0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731.770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2.7700</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2045.5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825.004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2.4794</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2151.0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761.232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2.8257</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2169.5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862.662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2.5149</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2139.5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956.450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2.2369</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3113.5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1449.770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2.1476</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1432.370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2.3353</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1542.217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2.3181</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3675.0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1449.402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2.5355</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3701.0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1528.820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2.4208</w:t>
            </w:r>
          </w:p>
        </w:tc>
      </w:tr>
    </w:tbl>
    <w:p>
      <w:pPr>
        <w:pStyle w:val="5"/>
        <w:keepNext/>
        <w:numPr>
          <w:numId w:val="0"/>
        </w:numPr>
        <w:spacing w:line="360" w:lineRule="auto" w:before="160" w:after="120"/>
        <w:ind w:firstLine="0"/>
      </w:pPr>
      <w:bookmarkStart w:id="84" w:name="市区年度变化"/>
      <w:r>
        <w:rPr>
          <w:rFonts w:ascii="Times New Roman" w:hAnsi="Times New Roman" w:eastAsia="方正仿宋_GBK"/>
          <w:b/>
          <w:sz w:val="26"/>
        </w:rPr>
        <w:t xml:space="preserve">3.2.2 市区年度变化</w:t>
      </w:r>
      <w:bookmarkEnd w:id="84"/>
    </w:p>
    <w:p>
      <w:pPr>
        <w:pStyle w:val="FirstParagraph"/>
        <w:widowControl/>
        <w:spacing w:line="300" w:lineRule="auto" w:before="0" w:after="0"/>
        <w:ind w:firstLine="480"/>
        <w:jc w:val="both"/>
      </w:pPr>
      <w:r>
        <w:rPr>
          <w:rFonts w:ascii="Times New Roman" w:hAnsi="Times New Roman" w:eastAsia="方正仿宋_GBK"/>
          <w:b w:val="0"/>
          <w:sz w:val="24"/>
        </w:rPr>
        <w:t xml:space="preserve">市区2021年公用主变总容量为3113.5 MVA，年网供最大负荷估计为1449.770 MW。2022—2025年负荷分别为1432.370、1542.217、1449.402和1528.820 MW。该序列在2022年和2024年出现回落，体现了年际波动。</w:t>
      </w:r>
    </w:p>
    <w:p>
      <w:pPr>
        <w:pStyle w:val="2"/>
        <w:widowControl/>
        <w:spacing w:line="300" w:lineRule="auto" w:before="0" w:after="0"/>
        <w:ind w:firstLine="480"/>
        <w:jc w:val="both"/>
      </w:pPr>
      <w:r>
        <w:rPr>
          <w:rFonts w:ascii="Times New Roman" w:hAnsi="Times New Roman" w:eastAsia="方正仿宋_GBK"/>
          <w:b w:val="0"/>
          <w:sz w:val="24"/>
        </w:rPr>
        <w:t xml:space="preserve">市区29座仿真站保留样本负荷的空间分布，供电区域按A类规划。第五章以统一起点和平均增长情景进行方案比较。</w:t>
      </w:r>
    </w:p>
    <w:p>
      <w:pPr>
        <w:pStyle w:val="2"/>
        <w:keepNext/>
        <w:spacing w:line="240" w:lineRule="auto" w:before="120" w:after="0"/>
        <w:ind w:firstLine="0"/>
        <w:jc w:val="center"/>
      </w:pPr>
      <w:r>
        <w:drawing>
          <wp:inline>
            <wp:extent cx="5120640" cy="280035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annual_load.png" id="0" name="Picture"/>
                    <pic:cNvPicPr>
                      <a:picLocks noChangeArrowheads="1" noChangeAspect="1"/>
                    </pic:cNvPicPr>
                  </pic:nvPicPr>
                  <pic:blipFill>
                    <a:blip r:embed="rId85"/>
                    <a:stretch>
                      <a:fillRect/>
                    </a:stretch>
                  </pic:blipFill>
                  <pic:spPr bwMode="auto">
                    <a:xfrm>
                      <a:off x="0" y="0"/>
                      <a:ext cx="5120640" cy="280035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图3-1 邳州和市区年网供最大负荷</w:t>
      </w:r>
    </w:p>
    <w:p>
      <w:pPr>
        <w:pStyle w:val="5"/>
        <w:keepNext/>
        <w:numPr>
          <w:numId w:val="0"/>
        </w:numPr>
        <w:spacing w:line="360" w:lineRule="auto" w:before="160" w:after="120"/>
        <w:ind w:firstLine="0"/>
      </w:pPr>
      <w:bookmarkStart w:id="86" w:name="年负荷平均增长率"/>
      <w:r>
        <w:rPr>
          <w:rFonts w:ascii="Times New Roman" w:hAnsi="Times New Roman" w:eastAsia="方正仿宋_GBK"/>
          <w:b/>
          <w:sz w:val="26"/>
        </w:rPr>
        <w:t xml:space="preserve">3.2.3 年负荷平均增长率</w:t>
      </w:r>
      <w:bookmarkEnd w:id="86"/>
    </w:p>
    <w:p>
      <w:pPr>
        <w:pStyle w:val="FirstParagraph"/>
        <w:widowControl/>
        <w:spacing w:line="300" w:lineRule="auto" w:before="0" w:after="0"/>
        <w:ind w:firstLine="480"/>
        <w:jc w:val="both"/>
      </w:pPr>
      <w:r>
        <w:rPr>
          <w:rFonts w:ascii="Times New Roman" w:hAnsi="Times New Roman" w:eastAsia="方正仿宋_GBK"/>
          <w:b w:val="0"/>
          <w:sz w:val="24"/>
        </w:rPr>
        <w:t xml:space="preserve">年度增长率按相邻年度原表负荷计算。对2022—2025年赋予1、2、3、4的权重，得到本研究平滑参数。式（3-1）为项目采用的统计方法；导则规定的年负荷平均增长率分档见表6.3.4，未规定上述权重[4]。</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g</m:t>
                    </m:r>
                  </m:e>
                  <m:sub>
                    <m:r>
                      <m:t>y</m:t>
                    </m:r>
                  </m:sub>
                </m:sSub>
                <m:r>
                  <m:t>=</m:t>
                </m:r>
                <m:sSub>
                  <m:e>
                    <m:r>
                      <m:t>P</m:t>
                    </m:r>
                  </m:e>
                  <m:sub>
                    <m:r>
                      <m:t>y</m:t>
                    </m:r>
                  </m:sub>
                </m:sSub>
                <m:r>
                  <m:t>/</m:t>
                </m:r>
                <m:sSub>
                  <m:e>
                    <m:r>
                      <m:t>P</m:t>
                    </m:r>
                  </m:e>
                  <m:sub>
                    <m:r>
                      <m:t>y</m:t>
                    </m:r>
                    <m:r>
                      <m:t>−</m:t>
                    </m:r>
                    <m:r>
                      <m:t>1</m:t>
                    </m:r>
                  </m:sub>
                </m:sSub>
                <m:r>
                  <m:t>−</m:t>
                </m:r>
                <m:r>
                  <m:t>1</m:t>
                </m:r>
                <m:r>
                  <m:t>,</m:t>
                </m:r>
                <m:r>
                  <m:t>  </m:t>
                </m:r>
                <m:acc>
                  <m:accPr>
                    <m:chr m:val="‾"/>
                  </m:accPr>
                  <m:e>
                    <m:r>
                      <m:t>g</m:t>
                    </m:r>
                  </m:e>
                </m:acc>
                <m:r>
                  <m:t>=</m:t>
                </m:r>
                <m:f>
                  <m:fPr>
                    <m:type m:val="bar"/>
                  </m:fPr>
                  <m:num>
                    <m:sSub>
                      <m:e>
                        <m:r>
                          <m:t>g</m:t>
                        </m:r>
                      </m:e>
                      <m:sub>
                        <m:r>
                          <m:t>2022</m:t>
                        </m:r>
                      </m:sub>
                    </m:sSub>
                    <m:r>
                      <m:t>+</m:t>
                    </m:r>
                    <m:r>
                      <m:t>2</m:t>
                    </m:r>
                    <m:sSub>
                      <m:e>
                        <m:r>
                          <m:t>g</m:t>
                        </m:r>
                      </m:e>
                      <m:sub>
                        <m:r>
                          <m:t>2023</m:t>
                        </m:r>
                      </m:sub>
                    </m:sSub>
                    <m:r>
                      <m:t>+</m:t>
                    </m:r>
                    <m:r>
                      <m:t>3</m:t>
                    </m:r>
                    <m:sSub>
                      <m:e>
                        <m:r>
                          <m:t>g</m:t>
                        </m:r>
                      </m:e>
                      <m:sub>
                        <m:r>
                          <m:t>2024</m:t>
                        </m:r>
                      </m:sub>
                    </m:sSub>
                    <m:r>
                      <m:t>+</m:t>
                    </m:r>
                    <m:r>
                      <m:t>4</m:t>
                    </m:r>
                    <m:sSub>
                      <m:e>
                        <m:r>
                          <m:t>g</m:t>
                        </m:r>
                      </m:e>
                      <m:sub>
                        <m:r>
                          <m:t>2025</m:t>
                        </m:r>
                      </m:sub>
                    </m:sSub>
                  </m:num>
                  <m:den>
                    <m:r>
                      <m:t>10</m:t>
                    </m:r>
                  </m:den>
                </m:f>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P</m:t>
            </m:r>
          </m:e>
          <m:sub>
            <m:r>
              <m:t>y</m:t>
            </m:r>
          </m:sub>
        </m:sSub>
      </m:oMath>
      <w:r>
        <w:rPr>
          <w:rFonts w:ascii="Times New Roman" w:hAnsi="Times New Roman" w:eastAsia="方正仿宋_GBK"/>
          <w:b w:val="0"/>
          <w:sz w:val="24"/>
        </w:rPr>
        <w:t xml:space="preserve">为第</w:t>
      </w:r>
      <m:oMath>
        <m:r>
          <m:t>y</m:t>
        </m:r>
      </m:oMath>
      <w:r>
        <w:rPr>
          <w:rFonts w:ascii="Times New Roman" w:hAnsi="Times New Roman" w:eastAsia="方正仿宋_GBK"/>
          <w:b w:val="0"/>
          <w:sz w:val="24"/>
        </w:rPr>
        <w:t xml:space="preserve">年网供最大负荷，单位MW，采用原表降压负荷估计；</w:t>
      </w:r>
      <m:oMath>
        <m:sSub>
          <m:e>
            <m:r>
              <m:t>g</m:t>
            </m:r>
          </m:e>
          <m:sub>
            <m:r>
              <m:t>y</m:t>
            </m:r>
          </m:sub>
        </m:sSub>
      </m:oMath>
      <w:r>
        <w:rPr>
          <w:rFonts w:ascii="Times New Roman" w:hAnsi="Times New Roman" w:eastAsia="方正仿宋_GBK"/>
          <w:b w:val="0"/>
          <w:sz w:val="24"/>
        </w:rPr>
        <w:t xml:space="preserve">为该年同比增长率，</w:t>
      </w:r>
      <m:oMath>
        <m:acc>
          <m:accPr>
            <m:chr m:val="‾"/>
          </m:accPr>
          <m:e>
            <m:r>
              <m:t>g</m:t>
            </m:r>
          </m:e>
        </m:acc>
      </m:oMath>
      <w:r>
        <w:rPr>
          <w:rFonts w:ascii="Times New Roman" w:hAnsi="Times New Roman" w:eastAsia="方正仿宋_GBK"/>
          <w:b w:val="0"/>
          <w:sz w:val="24"/>
        </w:rPr>
        <w:t xml:space="preserve">为年负荷平均增长率，均为无量纲量。本研究采用递增权重估计该参数。邳州加权平均为8.0742%，市区为1.8000%。按导则建议分档，邳州对应1.8～2.0，市区对应1.5～1.7。该分档用于解释一般规划参考值，本研究刚性统一上限2.0仍为项目方案设定。</w:t>
      </w:r>
    </w:p>
    <w:p>
      <w:pPr>
        <w:pStyle w:val="2"/>
        <w:keepNext/>
        <w:spacing w:line="300" w:lineRule="auto" w:before="120" w:after="80"/>
        <w:ind w:firstLine="0"/>
        <w:jc w:val="center"/>
      </w:pPr>
      <w:r>
        <w:rPr>
          <w:rFonts w:ascii="Times New Roman" w:hAnsi="Times New Roman" w:eastAsia="宋体"/>
          <w:b w:val="0"/>
          <w:sz w:val="21"/>
        </w:rPr>
        <w:t xml:space="preserve">表3-2 年负荷平均增长率计算（式3-1）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年份</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同比增长率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权重</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12.7409%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-7.7299%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13.3244%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10.8720%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年负荷平均增长率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Σ权重=10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-1.2002%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7.6689%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-6.0183%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5.4794%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年负荷平均增长率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Σ权重=10</w:t>
            </w:r>
          </w:p>
        </w:tc>
      </w:tr>
    </w:tbl>
    <w:p>
      <w:pPr>
        <w:pStyle w:val="2"/>
        <w:widowControl/>
        <w:spacing w:line="300" w:lineRule="auto" w:before="0" w:after="0"/>
        <w:ind w:firstLine="480"/>
        <w:jc w:val="both"/>
      </w:pPr>
      <w:r>
        <w:rPr>
          <w:rFonts w:ascii="Times New Roman" w:hAnsi="Times New Roman" w:eastAsia="方正仿宋_GBK"/>
          <w:b w:val="0"/>
          <w:sz w:val="24"/>
        </w:rPr>
        <w:t xml:space="preserve">四年加权参数依据全部历史信息形成，用于仿真起点后的条件规划。未来应用可按相同方法使用最近4至5个同比率，权重采用递增序列并固定计算窗口；原始峰值存在统计范围变化时，应先统一范围再计算增长率。</w:t>
      </w:r>
    </w:p>
    <w:p>
      <w:pPr>
        <w:pStyle w:val="5"/>
        <w:keepNext/>
        <w:numPr>
          <w:numId w:val="0"/>
        </w:numPr>
        <w:spacing w:line="360" w:lineRule="auto" w:before="160" w:after="120"/>
        <w:ind w:firstLine="0"/>
      </w:pPr>
      <w:bookmarkStart w:id="87" w:name="历史统计与规划仿真的衔接"/>
      <w:r>
        <w:rPr>
          <w:rFonts w:ascii="Times New Roman" w:hAnsi="Times New Roman" w:eastAsia="方正仿宋_GBK"/>
          <w:b/>
          <w:sz w:val="26"/>
        </w:rPr>
        <w:t xml:space="preserve">3.2.4 历史统计与规划仿真的衔接</w:t>
      </w:r>
      <w:bookmarkEnd w:id="87"/>
    </w:p>
    <w:p>
      <w:pPr>
        <w:pStyle w:val="FirstParagraph"/>
        <w:widowControl/>
        <w:spacing w:line="300" w:lineRule="auto" w:before="0" w:after="0"/>
        <w:ind w:firstLine="480"/>
        <w:jc w:val="both"/>
      </w:pPr>
      <w:r>
        <w:rPr>
          <w:rFonts w:ascii="Times New Roman" w:hAnsi="Times New Roman" w:eastAsia="方正仿宋_GBK"/>
          <w:b w:val="0"/>
          <w:sz w:val="24"/>
        </w:rPr>
        <w:t xml:space="preserve">2021—2025年实际容量和负荷用于描述年度变化、估计年负荷平均增长率。规划仿真保留两地区各自的离散设备结构，将基期年网供最大负荷标定为主变总容量的二分之一，再按平均增长率推演后续四年需求。站级正向、反向净负荷采用2025年空间分布同步缩放，峰段持续时间采用2025年模板。第五章列出仿真起点及年度负荷，便于将历史分析与规划结果对应。</w:t>
      </w:r>
    </w:p>
    <w:p>
      <w:bookmarkStart w:id="1206" w:name="h206"/>
      <w:pPr>
        <w:pStyle w:val="4"/>
        <w:keepNext/>
        <w:numPr>
          <w:numId w:val="0"/>
        </w:numPr>
        <w:spacing w:line="360" w:lineRule="auto" w:before="160" w:after="120"/>
        <w:ind w:firstLine="0"/>
      </w:pPr>
      <w:bookmarkStart w:id="88" w:name="分布式光伏装机与电量"/>
      <w:r>
        <w:rPr>
          <w:rFonts w:ascii="Times New Roman" w:hAnsi="Times New Roman" w:eastAsia="方正仿宋_GBK"/>
          <w:b/>
          <w:sz w:val="32"/>
        </w:rPr>
        <w:t xml:space="preserve">3.3 分布式光伏装机与电量</w:t>
      </w:r>
      <w:bookmarkEnd w:id="88"/>
      <w:bookmarkEnd w:id="1206"/>
    </w:p>
    <w:p>
      <w:pPr>
        <w:pStyle w:val="5"/>
        <w:keepNext/>
        <w:numPr>
          <w:numId w:val="0"/>
        </w:numPr>
        <w:spacing w:line="360" w:lineRule="auto" w:before="160" w:after="120"/>
        <w:ind w:firstLine="0"/>
      </w:pPr>
      <w:bookmarkStart w:id="89" w:name="装机规模与月度变化"/>
      <w:r>
        <w:rPr>
          <w:rFonts w:ascii="Times New Roman" w:hAnsi="Times New Roman" w:eastAsia="方正仿宋_GBK"/>
          <w:b/>
          <w:sz w:val="26"/>
        </w:rPr>
        <w:t xml:space="preserve">3.3.1 装机规模与月度变化</w:t>
      </w:r>
      <w:bookmarkEnd w:id="89"/>
    </w:p>
    <w:p>
      <w:pPr>
        <w:pStyle w:val="FirstParagraph"/>
        <w:widowControl/>
        <w:spacing w:line="300" w:lineRule="auto" w:before="0" w:after="0"/>
        <w:ind w:firstLine="480"/>
        <w:jc w:val="both"/>
      </w:pPr>
      <w:r>
        <w:rPr>
          <w:rFonts w:ascii="Times New Roman" w:hAnsi="Times New Roman" w:eastAsia="方正仿宋_GBK"/>
          <w:b w:val="0"/>
          <w:sz w:val="24"/>
        </w:rPr>
        <w:t xml:space="preserve">按项目统一单位口径，邳州年末分布式光伏装机容量由2023年564.702 MW增加到2024年1126.578 MW、2025年1559.638 MW；市区同期为253.679、362.438和491.180 MW[77]。光伏原表未注明数值单位，本研究采用原值乘10换算为MW的建模假定；原格定位与单位核定事项见独立数据来源说明。月度原表从2023年开始，2021—2022年没有相同来源装机记录，图中前两年保留回推标记。</w:t>
      </w:r>
    </w:p>
    <w:p>
      <w:pPr>
        <w:pStyle w:val="2"/>
        <w:widowControl/>
        <w:spacing w:line="300" w:lineRule="auto"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00" w:lineRule="auto" w:before="0" w:after="0"/>
        <w:ind w:firstLine="480"/>
        <w:jc w:val="both"/>
      </w:pPr>
      <w:r>
        <w:rPr>
          <w:rFonts w:ascii="Times New Roman" w:hAnsi="Times New Roman" w:eastAsia="方正仿宋_GBK"/>
          <w:b w:val="0"/>
          <w:sz w:val="24"/>
        </w:rPr>
        <w:t xml:space="preserve">2021—2022年没有同口径月末装机记录，模型按同月2023、2024年的规模关系几何回推。先固定月份，再沿年份回推，可以保留年内季节性投运差异。月末装机回推按式（3-2）计算，结果用于分析装机发展条件[77]。</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acc>
                            <m:accPr>
                              <m:chr m:val="̂"/>
                            </m:accPr>
                            <m:e>
                              <m:r>
                                <m:t>C</m:t>
                              </m:r>
                            </m:e>
                          </m:acc>
                        </m:e>
                        <m:sub>
                          <m:r>
                            <m:t>y</m:t>
                          </m:r>
                          <m:r>
                            <m:t>,</m:t>
                          </m:r>
                          <m:r>
                            <m:t>m</m:t>
                          </m:r>
                        </m:sub>
                      </m:sSub>
                    </m:e>
                    <m:e>
                      <m:r>
                        <m:t>=</m:t>
                      </m:r>
                      <m:sSub>
                        <m:e>
                          <m:r>
                            <m:t>C</m:t>
                          </m:r>
                        </m:e>
                        <m:sub>
                          <m:r>
                            <m:t>2023</m:t>
                          </m:r>
                          <m:r>
                            <m:t>,</m:t>
                          </m:r>
                          <m:r>
                            <m:t>m</m:t>
                          </m:r>
                        </m:sub>
                      </m:sSub>
                      <m:sSup>
                        <m:e>
                          <m:d>
                            <m:dPr>
                              <m:begChr m:val="("/>
                              <m:endChr m:val=")"/>
                              <m:grow/>
                            </m:dPr>
                            <m:e>
                              <m:f>
                                <m:fPr>
                                  <m:type m:val="bar"/>
                                </m:fPr>
                                <m:num>
                                  <m:sSub>
                                    <m:e>
                                      <m:r>
                                        <m:t>C</m:t>
                                      </m:r>
                                    </m:e>
                                    <m:sub>
                                      <m:r>
                                        <m:t>2023</m:t>
                                      </m:r>
                                      <m:r>
                                        <m:t>,</m:t>
                                      </m:r>
                                      <m:r>
                                        <m:t>m</m:t>
                                      </m:r>
                                    </m:sub>
                                  </m:sSub>
                                </m:num>
                                <m:den>
                                  <m:sSub>
                                    <m:e>
                                      <m:r>
                                        <m:t>C</m:t>
                                      </m:r>
                                    </m:e>
                                    <m:sub>
                                      <m:r>
                                        <m:t>2024</m:t>
                                      </m:r>
                                      <m:r>
                                        <m:t>,</m:t>
                                      </m:r>
                                      <m:r>
                                        <m:t>m</m:t>
                                      </m:r>
                                    </m:sub>
                                  </m:sSub>
                                </m:den>
                              </m:f>
                            </m:e>
                          </m:d>
                        </m:e>
                        <m:sup>
                          <m:r>
                            <m:t>2023</m:t>
                          </m:r>
                          <m:r>
                            <m:t>−</m:t>
                          </m:r>
                          <m:r>
                            <m:t>y</m:t>
                          </m:r>
                        </m:sup>
                      </m:sSup>
                    </m:e>
                  </m:mr>
                  <m:mr>
                    <m:e>
                      <m:r>
                        <m:t>y</m:t>
                      </m:r>
                    </m:e>
                    <m:e>
                      <m:r>
                        <m:t>=</m:t>
                      </m:r>
                      <m:r>
                        <m:t>2021</m:t>
                      </m:r>
                      <m:r>
                        <m:t>,</m:t>
                      </m:r>
                      <m:r>
                        <m:t>2022</m:t>
                      </m:r>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（3-2）</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acc>
              <m:accPr>
                <m:chr m:val="̂"/>
              </m:accPr>
              <m:e>
                <m:r>
                  <m:t>C</m:t>
                </m:r>
              </m:e>
            </m:acc>
          </m:e>
          <m:sub>
            <m:r>
              <m:t>y</m:t>
            </m:r>
            <m:r>
              <m:t>,</m:t>
            </m:r>
            <m:r>
              <m:t>m</m:t>
            </m:r>
          </m:sub>
        </m:sSub>
      </m:oMath>
      <w:r>
        <w:rPr>
          <w:rFonts w:ascii="Times New Roman" w:hAnsi="Times New Roman" w:eastAsia="方正仿宋_GBK"/>
          <w:b w:val="0"/>
          <w:sz w:val="24"/>
        </w:rPr>
        <w:t xml:space="preserve">为第</w:t>
      </w:r>
      <m:oMath>
        <m:r>
          <m:t>y</m:t>
        </m:r>
      </m:oMath>
      <w:r>
        <w:rPr>
          <w:rFonts w:ascii="Times New Roman" w:hAnsi="Times New Roman" w:eastAsia="方正仿宋_GBK"/>
          <w:b w:val="0"/>
          <w:sz w:val="24"/>
        </w:rPr>
        <w:t xml:space="preserve">年第</w:t>
      </w:r>
      <m:oMath>
        <m:r>
          <m:t>m</m:t>
        </m:r>
      </m:oMath>
      <w:r>
        <w:rPr>
          <w:rFonts w:ascii="Times New Roman" w:hAnsi="Times New Roman" w:eastAsia="方正仿宋_GBK"/>
          <w:b w:val="0"/>
          <w:sz w:val="24"/>
        </w:rPr>
        <w:t xml:space="preserve">月末光伏装机容量估计值，</w:t>
      </w:r>
      <m:oMath>
        <m:sSub>
          <m:e>
            <m:r>
              <m:t>C</m:t>
            </m:r>
          </m:e>
          <m:sub>
            <m:r>
              <m:t>2023</m:t>
            </m:r>
            <m:r>
              <m:t>,</m:t>
            </m:r>
            <m:r>
              <m:t>m</m:t>
            </m:r>
          </m:sub>
        </m:sSub>
      </m:oMath>
      <w:r>
        <w:rPr>
          <w:rFonts w:ascii="Times New Roman" w:hAnsi="Times New Roman" w:eastAsia="方正仿宋_GBK"/>
          <w:b w:val="0"/>
          <w:sz w:val="24"/>
        </w:rPr>
        <w:t xml:space="preserve">、</w:t>
      </w:r>
      <m:oMath>
        <m:sSub>
          <m:e>
            <m:r>
              <m:t>C</m:t>
            </m:r>
          </m:e>
          <m:sub>
            <m:r>
              <m:t>2024</m:t>
            </m:r>
            <m:r>
              <m:t>,</m:t>
            </m:r>
            <m:r>
              <m:t>m</m:t>
            </m:r>
          </m:sub>
        </m:sSub>
      </m:oMath>
      <w:r>
        <w:rPr>
          <w:rFonts w:ascii="Times New Roman" w:hAnsi="Times New Roman" w:eastAsia="方正仿宋_GBK"/>
          <w:b w:val="0"/>
          <w:sz w:val="24"/>
        </w:rPr>
        <w:t xml:space="preserve">为对应月份记录，单位MW；</w:t>
      </w:r>
      <m:oMath>
        <m:r>
          <m:t>y</m:t>
        </m:r>
      </m:oMath>
      <w:r>
        <w:rPr>
          <w:rFonts w:ascii="Times New Roman" w:hAnsi="Times New Roman" w:eastAsia="方正仿宋_GBK"/>
          <w:b w:val="0"/>
          <w:sz w:val="24"/>
        </w:rPr>
        <w:t xml:space="preserve">为年份，</w:t>
      </w:r>
      <m:oMath>
        <m:r>
          <m:t>m</m:t>
        </m:r>
      </m:oMath>
      <w:r>
        <w:rPr>
          <w:rFonts w:ascii="Times New Roman" w:hAnsi="Times New Roman" w:eastAsia="方正仿宋_GBK"/>
          <w:b w:val="0"/>
          <w:sz w:val="24"/>
        </w:rPr>
        <w:t xml:space="preserve">为月份。</w:t>
      </w:r>
    </w:p>
    <w:p>
      <w:pPr>
        <w:pStyle w:val="2"/>
        <w:keepNext/>
        <w:spacing w:line="300" w:lineRule="auto"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2021年/MW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2022年/MW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2023年/MW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2024年/MW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141.885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283.059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564.702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1126.578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1559.638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124.276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177.556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253.679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362.438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491.180</w:t>
            </w:r>
          </w:p>
        </w:tc>
      </w:tr>
    </w:tbl>
    <w:p>
      <w:pPr>
        <w:pStyle w:val="2"/>
        <w:keepNext/>
        <w:spacing w:line="240" w:lineRule="auto" w:before="120" w:after="0"/>
        <w:ind w:firstLine="0"/>
        <w:jc w:val="center"/>
      </w:pPr>
      <w:r>
        <w:drawing>
          <wp:inline>
            <wp:extent cx="5120640" cy="3647543"/>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pv_monthly.png" id="0" name="Picture"/>
                    <pic:cNvPicPr>
                      <a:picLocks noChangeArrowheads="1" noChangeAspect="1"/>
                    </pic:cNvPicPr>
                  </pic:nvPicPr>
                  <pic:blipFill>
                    <a:blip r:embed="rId90"/>
                    <a:stretch>
                      <a:fillRect/>
                    </a:stretch>
                  </pic:blipFill>
                  <pic:spPr bwMode="auto">
                    <a:xfrm>
                      <a:off x="0" y="0"/>
                      <a:ext cx="5120640" cy="3647543"/>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图3-2 2021—2025年月末分布式光伏装机容量</w:t>
      </w:r>
    </w:p>
    <w:p>
      <w:pPr>
        <w:pStyle w:val="5"/>
        <w:keepNext/>
        <w:numPr>
          <w:numId w:val="0"/>
        </w:numPr>
        <w:spacing w:line="360" w:lineRule="auto" w:before="160" w:after="120"/>
        <w:ind w:firstLine="0"/>
      </w:pPr>
      <w:bookmarkStart w:id="91" w:name="年发电量估计方法"/>
      <w:r>
        <w:rPr>
          <w:rFonts w:ascii="Times New Roman" w:hAnsi="Times New Roman" w:eastAsia="方正仿宋_GBK"/>
          <w:b/>
          <w:sz w:val="26"/>
        </w:rPr>
        <w:t xml:space="preserve">3.3.2 年发电量估计方法</w:t>
      </w:r>
      <w:bookmarkEnd w:id="91"/>
    </w:p>
    <w:p>
      <w:pPr>
        <w:pStyle w:val="FirstParagraph"/>
        <w:widowControl/>
        <w:spacing w:line="300" w:lineRule="auto" w:before="0" w:after="0"/>
        <w:ind w:firstLine="480"/>
        <w:jc w:val="both"/>
      </w:pPr>
      <w:r>
        <w:rPr>
          <w:rFonts w:ascii="Times New Roman" w:hAnsi="Times New Roman" w:eastAsia="方正仿宋_GBK"/>
          <w:b w:val="0"/>
          <w:sz w:val="24"/>
        </w:rPr>
        <w:t xml:space="preserve">光伏发电量由月度装机与统一典型出力曲线估计。对月份</w:t>
      </w:r>
      <m:oMath>
        <m: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，使用本月末和前月末容量均值；1月前月取2024年12月。式（3-3）为本研究积分估计方法，典型出力系数来自原始光伏曲线[77][80]。</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acc>
                      <m:accPr>
                        <m:chr m:val="̂"/>
                      </m:accPr>
                      <m:e>
                        <m:r>
                          <m:t>E</m:t>
                        </m:r>
                      </m:e>
                    </m:acc>
                  </m:e>
                  <m:sub>
                    <m:r>
                      <m:rPr>
                        <m:sty m:val="p"/>
                      </m:rPr>
                      <m:t>P</m:t>
                    </m:r>
                    <m:r>
                      <m:rPr>
                        <m:sty m:val="p"/>
                      </m:rPr>
                      <m:t>V</m:t>
                    </m:r>
                  </m:sub>
                </m:sSub>
                <m:r>
                  <m:t>=</m:t>
                </m:r>
                <m:nary>
                  <m:naryPr>
                    <m:chr m:val="∑"/>
                    <m:limLoc m:val="undOvr"/>
                    <m:subHide m:val="0"/>
                    <m:supHide m:val="0"/>
                  </m:naryPr>
                  <m:sub>
                    <m:r>
                      <m:t>m</m:t>
                    </m:r>
                    <m:r>
                      <m:t>=</m:t>
                    </m:r>
                    <m:r>
                      <m:t>1</m:t>
                    </m:r>
                  </m:sub>
                  <m:sup>
                    <m:r>
                      <m:t>12</m:t>
                    </m:r>
                  </m:sup>
                  <m:e>
                    <m:nary>
                      <m:naryPr>
                        <m:chr m:val="∑"/>
                        <m:limLoc m:val="undOvr"/>
                        <m:subHide m:val="0"/>
                        <m:supHide m:val="1"/>
                      </m:naryPr>
                      <m:sub>
                        <m:r>
                          <m:t>t</m:t>
                        </m:r>
                        <m:r>
                          <m:t>∈</m:t>
                        </m:r>
                        <m:r>
                          <m:t>m</m:t>
                        </m:r>
                      </m:sub>
                      <m:sup>
                        <m:r>
                          <m:t>​</m:t>
                        </m:r>
                      </m:sup>
                      <m:e>
                        <m:sSub>
                          <m:e>
                            <m:r>
                              <m:t>ϕ</m:t>
                            </m:r>
                          </m:e>
                          <m:sub>
                            <m:r>
                              <m:t>t</m:t>
                            </m:r>
                          </m:sub>
                        </m:sSub>
                      </m:e>
                    </m:nary>
                  </m:e>
                </m:nary>
                <m:f>
                  <m:fPr>
                    <m:type m:val="bar"/>
                  </m:fPr>
                  <m:num>
                    <m:sSub>
                      <m:e>
                        <m:r>
                          <m:t>C</m:t>
                        </m:r>
                      </m:e>
                      <m:sub>
                        <m:r>
                          <m:t>m</m:t>
                        </m:r>
                      </m:sub>
                    </m:sSub>
                    <m:r>
                      <m:t>+</m:t>
                    </m:r>
                    <m:sSub>
                      <m:e>
                        <m:r>
                          <m:t>C</m:t>
                        </m:r>
                      </m:e>
                      <m:sub>
                        <m:r>
                          <m:t>m</m:t>
                        </m:r>
                        <m:r>
                          <m:t>−</m:t>
                        </m:r>
                        <m:r>
                          <m:t>1</m:t>
                        </m:r>
                      </m:sub>
                    </m:sSub>
                  </m:num>
                  <m:den>
                    <m:r>
                      <m:t>2</m:t>
                    </m:r>
                  </m:den>
                </m:f>
                <m:r>
                  <m:t>Δ</m:t>
                </m:r>
                <m:r>
                  <m:t>t</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acc>
              <m:accPr>
                <m:chr m:val="̂"/>
              </m:accPr>
              <m:e>
                <m:r>
                  <m:t>E</m:t>
                </m:r>
              </m:e>
            </m:acc>
          </m:e>
          <m:sub>
            <m:r>
              <m:rPr>
                <m:sty m:val="p"/>
              </m:rPr>
              <m:t>P</m:t>
            </m:r>
            <m:r>
              <m:rPr>
                <m:sty m:val="p"/>
              </m:rPr>
              <m:t>V</m:t>
            </m:r>
          </m:sub>
        </m:sSub>
      </m:oMath>
      <w:r>
        <w:rPr>
          <w:rFonts w:ascii="Times New Roman" w:hAnsi="Times New Roman" w:eastAsia="方正仿宋_GBK"/>
          <w:b w:val="0"/>
          <w:sz w:val="24"/>
        </w:rPr>
        <w:t xml:space="preserve">为估计光伏年发电量，单位MWh；</w:t>
      </w:r>
      <m:oMath>
        <m:sSub>
          <m:e>
            <m:r>
              <m:t>C</m:t>
            </m:r>
          </m:e>
          <m:sub>
            <m:r>
              <m:t>m</m:t>
            </m:r>
          </m:sub>
        </m:sSub>
      </m:oMath>
      <w:r>
        <w:rPr>
          <w:rFonts w:ascii="Times New Roman" w:hAnsi="Times New Roman" w:eastAsia="方正仿宋_GBK"/>
          <w:b w:val="0"/>
          <w:sz w:val="24"/>
        </w:rPr>
        <w:t xml:space="preserve">和</w:t>
      </w:r>
      <m:oMath>
        <m:sSub>
          <m:e>
            <m:r>
              <m:t>C</m:t>
            </m:r>
          </m:e>
          <m:sub>
            <m:r>
              <m:t>m</m:t>
            </m:r>
            <m:r>
              <m:t>−</m:t>
            </m:r>
            <m:r>
              <m:t>1</m:t>
            </m:r>
          </m:sub>
        </m:sSub>
      </m:oMath>
      <w:r>
        <w:rPr>
          <w:rFonts w:ascii="Times New Roman" w:hAnsi="Times New Roman" w:eastAsia="方正仿宋_GBK"/>
          <w:b w:val="0"/>
          <w:sz w:val="24"/>
        </w:rPr>
        <w:t xml:space="preserve">分别为本月及前月末光伏装机，单位MW；</w:t>
      </w:r>
      <m:oMath>
        <m:sSub>
          <m:e>
            <m:r>
              <m:t>ϕ</m:t>
            </m:r>
          </m:e>
          <m:sub>
            <m:r>
              <m:t>t</m:t>
            </m:r>
          </m:sub>
        </m:sSub>
      </m:oMath>
      <w:r>
        <w:rPr>
          <w:rFonts w:ascii="Times New Roman" w:hAnsi="Times New Roman" w:eastAsia="方正仿宋_GBK"/>
          <w:b w:val="0"/>
          <w:sz w:val="24"/>
        </w:rPr>
        <w:t xml:space="preserve">为时刻</w:t>
      </w:r>
      <m:oMath>
        <m:r>
          <m:t>t</m:t>
        </m:r>
      </m:oMath>
      <w:r>
        <w:rPr>
          <w:rFonts w:ascii="Times New Roman" w:hAnsi="Times New Roman" w:eastAsia="方正仿宋_GBK"/>
          <w:b w:val="0"/>
          <w:sz w:val="24"/>
        </w:rPr>
        <w:t xml:space="preserve">的典型光伏出力系数，</w:t>
      </w:r>
      <m:oMath>
        <m:r>
          <m:t>Δ</m:t>
        </m:r>
        <m: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w:t>
      </w:r>
      <m:oMath>
        <m: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00" w:lineRule="auto" w:before="0" w:after="0"/>
        <w:ind w:firstLine="480"/>
        <w:jc w:val="both"/>
      </w:pPr>
      <w:r>
        <w:rPr>
          <w:rFonts w:ascii="Times New Roman" w:hAnsi="Times New Roman" w:eastAsia="方正仿宋_GBK"/>
          <w:b w:val="0"/>
          <w:sz w:val="24"/>
        </w:rPr>
        <w:t xml:space="preserve">按该方法，邳州2025年发电量估计为1698270.732 MWh，市区为590451.124 MWh。数值的小数位用于复算，规划文字采用适当精度。不同地区的年内投运速度和月末装机差异均进入计算，未把年末规模直接应用于全年。</w:t>
      </w:r>
    </w:p>
    <w:p>
      <w:pPr>
        <w:pStyle w:val="5"/>
        <w:keepNext/>
        <w:numPr>
          <w:numId w:val="0"/>
        </w:numPr>
        <w:spacing w:line="360" w:lineRule="auto" w:before="160" w:after="120"/>
        <w:ind w:firstLine="0"/>
      </w:pPr>
      <w:bookmarkStart w:id="92" w:name="用户最大负荷与分布式电源装机渗透率"/>
      <w:r>
        <w:rPr>
          <w:rFonts w:ascii="Times New Roman" w:hAnsi="Times New Roman" w:eastAsia="方正仿宋_GBK"/>
          <w:b/>
          <w:sz w:val="26"/>
        </w:rPr>
        <w:t xml:space="preserve">3.3.3 用户最大负荷与分布式电源装机渗透率</w:t>
      </w:r>
      <w:bookmarkEnd w:id="92"/>
    </w:p>
    <w:p>
      <w:pPr>
        <w:pStyle w:val="FirstParagraph"/>
        <w:widowControl/>
        <w:spacing w:line="300" w:lineRule="auto" w:before="0" w:after="0"/>
        <w:ind w:firstLine="480"/>
        <w:jc w:val="both"/>
      </w:pPr>
      <w:r>
        <w:rPr>
          <w:rFonts w:ascii="Times New Roman" w:hAnsi="Times New Roman" w:eastAsia="方正仿宋_GBK"/>
          <w:b w:val="0"/>
          <w:sz w:val="24"/>
        </w:rPr>
        <w:t xml:space="preserve">分布式电源装机渗透率采用项目留存规划导则修订稿的指标定义，作为描述源荷条件的研究参数[69]。</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η</m:t>
                    </m:r>
                  </m:e>
                  <m:sub>
                    <m:r>
                      <m:t>C</m:t>
                    </m:r>
                  </m:sub>
                </m:sSub>
                <m:r>
                  <m:t>=</m:t>
                </m:r>
                <m:f>
                  <m:fPr>
                    <m:type m:val="bar"/>
                  </m:fPr>
                  <m:num>
                    <m:sSub>
                      <m:e>
                        <m:r>
                          <m:t>C</m:t>
                        </m:r>
                      </m:e>
                      <m:sub>
                        <m:r>
                          <m:rPr>
                            <m:sty m:val="p"/>
                          </m:rPr>
                          <m:t>D</m:t>
                        </m:r>
                        <m:r>
                          <m:rPr>
                            <m:sty m:val="p"/>
                          </m:rPr>
                          <m:t>G</m:t>
                        </m:r>
                      </m:sub>
                    </m:sSub>
                  </m:num>
                  <m:den>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den>
                </m:f>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η</m:t>
            </m:r>
          </m:e>
          <m:sub>
            <m:r>
              <m:t>C</m:t>
            </m:r>
          </m:sub>
        </m:sSub>
      </m:oMath>
      <w:r>
        <w:rPr>
          <w:rFonts w:ascii="Times New Roman" w:hAnsi="Times New Roman" w:eastAsia="方正仿宋_GBK"/>
          <w:b w:val="0"/>
          <w:sz w:val="24"/>
        </w:rPr>
        <w:t xml:space="preserve">为分布式电源装机渗透率，无量纲；</w:t>
      </w:r>
      <m:oMath>
        <m:sSub>
          <m:e>
            <m:r>
              <m:t>C</m:t>
            </m:r>
          </m:e>
          <m:sub>
            <m:r>
              <m:rPr>
                <m:sty m:val="p"/>
              </m:rPr>
              <m:t>D</m:t>
            </m:r>
            <m:r>
              <m:rPr>
                <m:sty m:val="p"/>
              </m:rPr>
              <m:t>G</m:t>
            </m:r>
          </m:sub>
        </m:sSub>
      </m:oMath>
      <w:r>
        <w:rPr>
          <w:rFonts w:ascii="Times New Roman" w:hAnsi="Times New Roman" w:eastAsia="方正仿宋_GBK"/>
          <w:b w:val="0"/>
          <w:sz w:val="24"/>
        </w:rPr>
        <w:t xml:space="preserve">为同范围分布式电源并网装机容量，单位MW；</w:t>
      </w:r>
      <m:oMath>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oMath>
      <w:r>
        <w:rPr>
          <w:rFonts w:ascii="Times New Roman" w:hAnsi="Times New Roman" w:eastAsia="方正仿宋_GBK"/>
          <w:b w:val="0"/>
          <w:sz w:val="24"/>
        </w:rPr>
        <w:t xml:space="preserve">为用户最大用电负荷，单位MW。DG为分布式电源的英文缩写[69]。用户日间负荷由设备典型时刻净功率加回相应光伏出力估计，夜间候选负荷由设备夜间统计得到，再取两者较大值。该候选法未检索全年全部用户负荷时刻，其分母仍为典型场景估计。</w:t>
      </w:r>
    </w:p>
    <w:p>
      <w:pPr>
        <w:pStyle w:val="2"/>
        <w:widowControl/>
        <w:spacing w:line="300" w:lineRule="auto" w:before="0" w:after="0"/>
        <w:ind w:firstLine="480"/>
        <w:jc w:val="both"/>
      </w:pPr>
      <w:r>
        <w:rPr>
          <w:rFonts w:ascii="Times New Roman" w:hAnsi="Times New Roman" w:eastAsia="方正仿宋_GBK"/>
          <w:b w:val="0"/>
          <w:sz w:val="24"/>
        </w:rPr>
        <w:t xml:space="preserve">邳州估计用户最大负荷为956.450 MW，分布式电源装机渗透率为1.63065；市区估计用户最大负荷为1545.195 MW，分布式电源装机渗透率为0.31788。</w:t>
      </w:r>
    </w:p>
    <w:p>
      <w:pPr>
        <w:pStyle w:val="5"/>
        <w:keepNext/>
        <w:numPr>
          <w:numId w:val="0"/>
        </w:numPr>
        <w:spacing w:line="360" w:lineRule="auto" w:before="160" w:after="120"/>
        <w:ind w:firstLine="0"/>
      </w:pPr>
      <w:bookmarkStart w:id="93" w:name="用户电量与分布式电源电量渗透率"/>
      <w:r>
        <w:rPr>
          <w:rFonts w:ascii="Times New Roman" w:hAnsi="Times New Roman" w:eastAsia="方正仿宋_GBK"/>
          <w:b/>
          <w:sz w:val="26"/>
        </w:rPr>
        <w:t xml:space="preserve">3.3.4 用户电量与分布式电源电量渗透率</w:t>
      </w:r>
      <w:bookmarkEnd w:id="93"/>
    </w:p>
    <w:p>
      <w:pPr>
        <w:pStyle w:val="FirstParagraph"/>
        <w:widowControl/>
        <w:spacing w:line="300" w:lineRule="auto"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在同范围、忽略损耗且其他电源已单独处理的条件下，用户电量可由净交换电量加本地发电量重建。现有样本站级净电量先按区县覆盖系数外推，再加光伏年发电量。用户电量按式（3-5）估计。</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acc>
                            <m:accPr>
                              <m:chr m:val="̂"/>
                            </m:accPr>
                            <m:e>
                              <m:r>
                                <m:t>E</m:t>
                              </m:r>
                            </m:e>
                          </m:acc>
                        </m:e>
                        <m:sub>
                          <m:r>
                            <m:rPr>
                              <m:sty m:val="p"/>
                            </m:rPr>
                            <m:t>u</m:t>
                          </m:r>
                          <m:r>
                            <m:rPr>
                              <m:sty m:val="p"/>
                            </m:rPr>
                            <m:t>s</m:t>
                          </m:r>
                          <m:r>
                            <m:rPr>
                              <m:sty m:val="p"/>
                            </m:rPr>
                            <m:t>e</m:t>
                          </m:r>
                          <m:r>
                            <m:rPr>
                              <m:sty m:val="p"/>
                            </m:rPr>
                            <m:t>r</m:t>
                          </m:r>
                        </m:sub>
                      </m:sSub>
                    </m:e>
                    <m:e>
                      <m:r>
                        <m:t>=</m:t>
                      </m:r>
                      <m:r>
                        <m:t>a</m:t>
                      </m:r>
                      <m:nary>
                        <m:naryPr>
                          <m:chr m:val="∑"/>
                          <m:limLoc m:val="undOvr"/>
                          <m:subHide m:val="0"/>
                          <m:supHide m:val="1"/>
                        </m:naryPr>
                        <m:sub>
                          <m:r>
                            <m:t>t</m:t>
                          </m:r>
                        </m:sub>
                        <m:sup>
                          <m:r>
                            <m:t>​</m:t>
                          </m:r>
                        </m:sup>
                        <m:e>
                          <m:sSub>
                            <m:e>
                              <m:r>
                                <m:t>P</m:t>
                              </m:r>
                            </m:e>
                            <m:sub>
                              <m:r>
                                <m:rPr>
                                  <m:sty m:val="p"/>
                                </m:rPr>
                                <m:t>n</m:t>
                              </m:r>
                              <m:r>
                                <m:rPr>
                                  <m:sty m:val="p"/>
                                </m:rPr>
                                <m:t>e</m:t>
                              </m:r>
                              <m:r>
                                <m:rPr>
                                  <m:sty m:val="p"/>
                                </m:rPr>
                                <m:t>t</m:t>
                              </m:r>
                              <m:r>
                                <m:t>,</m:t>
                              </m:r>
                              <m:r>
                                <m:t>t</m:t>
                              </m:r>
                            </m:sub>
                          </m:sSub>
                        </m:e>
                      </m:nary>
                      <m:r>
                        <m:t>Δ</m:t>
                      </m:r>
                      <m:r>
                        <m:t>t</m:t>
                      </m:r>
                      <m:r>
                        <m:t>+</m:t>
                      </m:r>
                      <m:sSub>
                        <m:e>
                          <m:acc>
                            <m:accPr>
                              <m:chr m:val="̂"/>
                            </m:accPr>
                            <m:e>
                              <m:r>
                                <m:t>E</m:t>
                              </m:r>
                            </m:e>
                          </m:acc>
                        </m:e>
                        <m:sub>
                          <m:r>
                            <m:rPr>
                              <m:sty m:val="p"/>
                            </m:rPr>
                            <m:t>P</m:t>
                          </m:r>
                          <m:r>
                            <m:rPr>
                              <m:sty m:val="p"/>
                            </m:rPr>
                            <m:t>V</m:t>
                          </m:r>
                        </m:sub>
                      </m:sSub>
                    </m:e>
                  </m:mr>
                  <m:mr>
                    <m:e>
                      <m:sSub>
                        <m:e>
                          <m:r>
                            <m:t>η</m:t>
                          </m:r>
                        </m:e>
                        <m:sub>
                          <m:r>
                            <m:t>E</m:t>
                          </m:r>
                        </m:sub>
                      </m:sSub>
                    </m:e>
                    <m:e>
                      <m:r>
                        <m:t>=</m:t>
                      </m:r>
                      <m:f>
                        <m:fPr>
                          <m:type m:val="bar"/>
                        </m:fPr>
                        <m:num>
                          <m:sSub>
                            <m:e>
                              <m:acc>
                                <m:accPr>
                                  <m:chr m:val="̂"/>
                                </m:accPr>
                                <m:e>
                                  <m:r>
                                    <m:t>E</m:t>
                                  </m:r>
                                </m:e>
                              </m:acc>
                            </m:e>
                            <m:sub>
                              <m:r>
                                <m:rPr>
                                  <m:sty m:val="p"/>
                                </m:rPr>
                                <m:t>P</m:t>
                              </m:r>
                              <m:r>
                                <m:rPr>
                                  <m:sty m:val="p"/>
                                </m:rPr>
                                <m:t>V</m:t>
                              </m:r>
                            </m:sub>
                          </m:sSub>
                        </m:num>
                        <m:den>
                          <m:sSub>
                            <m:e>
                              <m:acc>
                                <m:accPr>
                                  <m:chr m:val="̂"/>
                                </m:accPr>
                                <m:e>
                                  <m:r>
                                    <m:t>E</m:t>
                                  </m:r>
                                </m:e>
                              </m:acc>
                            </m:e>
                            <m:sub>
                              <m:r>
                                <m:rPr>
                                  <m:sty m:val="p"/>
                                </m:rPr>
                                <m:t>u</m:t>
                              </m:r>
                              <m:r>
                                <m:rPr>
                                  <m:sty m:val="p"/>
                                </m:rPr>
                                <m:t>s</m:t>
                              </m:r>
                              <m:r>
                                <m:rPr>
                                  <m:sty m:val="p"/>
                                </m:rPr>
                                <m:t>e</m:t>
                              </m:r>
                              <m:r>
                                <m:rPr>
                                  <m:sty m:val="p"/>
                                </m:rPr>
                                <m:t>r</m:t>
                              </m:r>
                            </m:sub>
                          </m:sSub>
                        </m:den>
                      </m:f>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acc>
              <m:accPr>
                <m:chr m:val="̂"/>
              </m:accPr>
              <m:e>
                <m:r>
                  <m:t>E</m:t>
                </m:r>
              </m:e>
            </m:acc>
          </m:e>
          <m:sub>
            <m:r>
              <m:rPr>
                <m:sty m:val="p"/>
              </m:rPr>
              <m:t>u</m:t>
            </m:r>
            <m:r>
              <m:rPr>
                <m:sty m:val="p"/>
              </m:rPr>
              <m:t>s</m:t>
            </m:r>
            <m:r>
              <m:rPr>
                <m:sty m:val="p"/>
              </m:rPr>
              <m:t>e</m:t>
            </m:r>
            <m:r>
              <m:rPr>
                <m:sty m:val="p"/>
              </m:rPr>
              <m:t>r</m:t>
            </m:r>
          </m:sub>
        </m:sSub>
      </m:oMath>
      <w:r>
        <w:rPr>
          <w:rFonts w:ascii="Times New Roman" w:hAnsi="Times New Roman" w:eastAsia="方正仿宋_GBK"/>
          <w:b w:val="0"/>
          <w:sz w:val="24"/>
        </w:rPr>
        <w:t xml:space="preserve">为用户年用电量估计值，</w:t>
      </w:r>
      <m:oMath>
        <m:sSub>
          <m:e>
            <m:acc>
              <m:accPr>
                <m:chr m:val="̂"/>
              </m:accPr>
              <m:e>
                <m:r>
                  <m:t>E</m:t>
                </m:r>
              </m:e>
            </m:acc>
          </m:e>
          <m:sub>
            <m:r>
              <m:rPr>
                <m:sty m:val="p"/>
              </m:rPr>
              <m:t>P</m:t>
            </m:r>
            <m:r>
              <m:rPr>
                <m:sty m:val="p"/>
              </m:rPr>
              <m:t>V</m:t>
            </m:r>
          </m:sub>
        </m:sSub>
      </m:oMath>
      <w:r>
        <w:rPr>
          <w:rFonts w:ascii="Times New Roman" w:hAnsi="Times New Roman" w:eastAsia="方正仿宋_GBK"/>
          <w:b w:val="0"/>
          <w:sz w:val="24"/>
        </w:rPr>
        <w:t xml:space="preserve">为光伏年发电量估计值，单位MWh；</w:t>
      </w:r>
      <m:oMath>
        <m:sSub>
          <m:e>
            <m:r>
              <m:t>η</m:t>
            </m:r>
          </m:e>
          <m:sub>
            <m:r>
              <m:t>E</m:t>
            </m:r>
          </m:sub>
        </m:sSub>
      </m:oMath>
      <w:r>
        <w:rPr>
          <w:rFonts w:ascii="Times New Roman" w:hAnsi="Times New Roman" w:eastAsia="方正仿宋_GBK"/>
          <w:b w:val="0"/>
          <w:sz w:val="24"/>
        </w:rPr>
        <w:t xml:space="preserve">为分布式电源电量渗透率；</w:t>
      </w:r>
      <m:oMath>
        <m:sSub>
          <m:e>
            <m:r>
              <m:t>P</m:t>
            </m:r>
          </m:e>
          <m:sub>
            <m:r>
              <m:rPr>
                <m:sty m:val="p"/>
              </m:rPr>
              <m:t>n</m:t>
            </m:r>
            <m:r>
              <m:rPr>
                <m:sty m:val="p"/>
              </m:rPr>
              <m:t>e</m:t>
            </m:r>
            <m:r>
              <m:rPr>
                <m:sty m:val="p"/>
              </m:rPr>
              <m:t>t</m:t>
            </m:r>
            <m:r>
              <m:t>,</m:t>
            </m:r>
            <m:r>
              <m:t>t</m:t>
            </m:r>
          </m:sub>
        </m:sSub>
      </m:oMath>
      <w:r>
        <w:rPr>
          <w:rFonts w:ascii="Times New Roman" w:hAnsi="Times New Roman" w:eastAsia="方正仿宋_GBK"/>
          <w:b w:val="0"/>
          <w:sz w:val="24"/>
        </w:rPr>
        <w:t xml:space="preserve">为时刻</w:t>
      </w:r>
      <m:oMath>
        <m:r>
          <m:t>t</m:t>
        </m:r>
      </m:oMath>
      <w:r>
        <w:rPr>
          <w:rFonts w:ascii="Times New Roman" w:hAnsi="Times New Roman" w:eastAsia="方正仿宋_GBK"/>
          <w:b w:val="0"/>
          <w:sz w:val="24"/>
        </w:rPr>
        <w:t xml:space="preserve">的样本净交换功率，单位MW，</w:t>
      </w:r>
      <m:oMath>
        <m:r>
          <m:t>Δ</m:t>
        </m:r>
        <m:r>
          <m:t>t</m:t>
        </m:r>
      </m:oMath>
      <w:r>
        <w:rPr>
          <w:rFonts w:ascii="Times New Roman" w:hAnsi="Times New Roman" w:eastAsia="方正仿宋_GBK"/>
          <w:b w:val="0"/>
          <w:sz w:val="24"/>
        </w:rPr>
        <w:t xml:space="preserve">为1 h。</w:t>
      </w:r>
      <m:oMath>
        <m:r>
          <m:t>a</m:t>
        </m:r>
      </m:oMath>
      <w:r>
        <w:rPr>
          <w:rFonts w:ascii="Times New Roman" w:hAnsi="Times New Roman" w:eastAsia="方正仿宋_GBK"/>
          <w:b w:val="0"/>
          <w:sz w:val="24"/>
        </w:rPr>
        <w:t xml:space="preserve">为按设备典型夜间负荷与样本最大净负荷构造的覆盖外推系数，邳州为1.005033、市区为1.169435。分布式光伏全量与110 kV样本净负荷的范围仍需进一步核定。报告将结果表述为分布式电源电量渗透率估计，保留跨电压及其他分布式电源的资料限制。</w:t>
      </w:r>
    </w:p>
    <w:p>
      <w:pPr>
        <w:pStyle w:val="2"/>
        <w:widowControl/>
        <w:spacing w:line="300" w:lineRule="auto" w:before="0" w:after="0"/>
        <w:ind w:firstLine="480"/>
        <w:jc w:val="both"/>
      </w:pPr>
      <w:r>
        <w:rPr>
          <w:rFonts w:ascii="Times New Roman" w:hAnsi="Times New Roman" w:eastAsia="方正仿宋_GBK"/>
          <w:b w:val="0"/>
          <w:sz w:val="24"/>
        </w:rPr>
        <w:t xml:space="preserve">邳州估计用户年电量为4216392.395 MWh，分布式电源电量渗透率为40.2778%；市区为6791485.096 MWh和8.6940%。上述估计值用于源荷背景分析，费用目标采用第四章规定的新增措施支出。</w:t>
      </w:r>
    </w:p>
    <w:p>
      <w:bookmarkStart w:id="1227" w:name="h227"/>
      <w:pPr>
        <w:pStyle w:val="4"/>
        <w:keepNext/>
        <w:numPr>
          <w:numId w:val="0"/>
        </w:numPr>
        <w:spacing w:line="360" w:lineRule="auto" w:before="160" w:after="120"/>
        <w:ind w:firstLine="0"/>
      </w:pPr>
      <w:bookmarkStart w:id="94" w:name="主变负载率与双向净负荷"/>
      <w:r>
        <w:rPr>
          <w:rFonts w:ascii="Times New Roman" w:hAnsi="Times New Roman" w:eastAsia="方正仿宋_GBK"/>
          <w:b/>
          <w:sz w:val="32"/>
        </w:rPr>
        <w:t xml:space="preserve">3.4 主变负载率与双向净负荷</w:t>
      </w:r>
      <w:bookmarkEnd w:id="94"/>
      <w:bookmarkEnd w:id="1227"/>
    </w:p>
    <w:p>
      <w:pPr>
        <w:pStyle w:val="5"/>
        <w:keepNext/>
        <w:numPr>
          <w:numId w:val="0"/>
        </w:numPr>
        <w:spacing w:line="360" w:lineRule="auto" w:before="160" w:after="120"/>
        <w:ind w:firstLine="0"/>
      </w:pPr>
      <w:bookmarkStart w:id="95" w:name="原表负载率统计"/>
      <w:r>
        <w:rPr>
          <w:rFonts w:ascii="Times New Roman" w:hAnsi="Times New Roman" w:eastAsia="方正仿宋_GBK"/>
          <w:b/>
          <w:sz w:val="26"/>
        </w:rPr>
        <w:t xml:space="preserve">3.4.1 原表负载率统计</w:t>
      </w:r>
      <w:bookmarkEnd w:id="95"/>
    </w:p>
    <w:p>
      <w:pPr>
        <w:pStyle w:val="FirstParagraph"/>
        <w:widowControl/>
        <w:spacing w:line="300" w:lineRule="auto" w:before="0" w:after="0"/>
        <w:ind w:firstLine="480"/>
        <w:jc w:val="both"/>
      </w:pPr>
      <w:r>
        <w:rPr>
          <w:rFonts w:ascii="Times New Roman" w:hAnsi="Times New Roman" w:eastAsia="方正仿宋_GBK"/>
          <w:b w:val="0"/>
          <w:sz w:val="24"/>
        </w:rPr>
        <w:t xml:space="preserve">设备统计表P列记录逐台主变年最大负载率。按110 kV及区县筛选，计算样本均值、中位数及较高负载设备数量[78]。分布统计采用各台设备的年度极值，各自最大时刻可能不同。</w:t>
      </w:r>
    </w:p>
    <w:p>
      <w:pPr>
        <w:pStyle w:val="2"/>
        <w:keepNext/>
        <w:spacing w:line="300" w:lineRule="auto" w:before="120" w:after="80"/>
        <w:ind w:firstLine="0"/>
        <w:jc w:val="center"/>
      </w:pPr>
      <w:r>
        <w:rPr>
          <w:rFonts w:ascii="Times New Roman" w:hAnsi="Times New Roman" w:eastAsia="宋体"/>
          <w:b w:val="0"/>
          <w:sz w:val="21"/>
        </w:rPr>
        <w:t xml:space="preserve">表3-4 逐台110 kV主变年最大负载率统计[78]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样本台数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均值/%</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中位数/%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≥80%台数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54.82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52.55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92.40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54.62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97.44</w:t>
            </w:r>
          </w:p>
        </w:tc>
      </w:tr>
    </w:tbl>
    <w:p>
      <w:pPr>
        <w:pStyle w:val="2"/>
        <w:widowControl/>
        <w:spacing w:line="300" w:lineRule="auto" w:before="0" w:after="0"/>
        <w:ind w:firstLine="480"/>
        <w:jc w:val="both"/>
      </w:pPr>
      <w:r>
        <w:rPr>
          <w:rFonts w:ascii="Times New Roman" w:hAnsi="Times New Roman" w:eastAsia="方正仿宋_GBK"/>
          <w:b w:val="0"/>
          <w:sz w:val="24"/>
        </w:rPr>
        <w:t xml:space="preserve">邳州逐台主变年最大负载率中位数为52.55%，市区为54.62%。均值与中位数的差异说明设备分布需要单独观察。区域比值较高仍可能同时存在个别设备较高负载，建设措施应落实到站级。</w:t>
      </w:r>
    </w:p>
    <w:p>
      <w:pPr>
        <w:pStyle w:val="2"/>
        <w:keepNext/>
        <w:spacing w:line="240" w:lineRule="auto" w:before="120" w:after="0"/>
        <w:ind w:firstLine="0"/>
        <w:jc w:val="center"/>
      </w:pPr>
      <w:r>
        <w:drawing>
          <wp:inline>
            <wp:extent cx="5120640" cy="3034051"/>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loading_distribution.png" id="0" name="Picture"/>
                    <pic:cNvPicPr>
                      <a:picLocks noChangeArrowheads="1" noChangeAspect="1"/>
                    </pic:cNvPicPr>
                  </pic:nvPicPr>
                  <pic:blipFill>
                    <a:blip r:embed="rId96"/>
                    <a:stretch>
                      <a:fillRect/>
                    </a:stretch>
                  </pic:blipFill>
                  <pic:spPr bwMode="auto">
                    <a:xfrm>
                      <a:off x="0" y="0"/>
                      <a:ext cx="5120640" cy="3034051"/>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图3-3 邳州和市区逐台主变最大负载率分布</w:t>
      </w:r>
    </w:p>
    <w:p>
      <w:pPr>
        <w:pStyle w:val="5"/>
        <w:keepNext/>
        <w:numPr>
          <w:numId w:val="0"/>
        </w:numPr>
        <w:spacing w:line="360" w:lineRule="auto" w:before="160" w:after="120"/>
        <w:ind w:firstLine="0"/>
      </w:pPr>
      <w:bookmarkStart w:id="97" w:name="最大正向反向净负荷"/>
      <w:r>
        <w:rPr>
          <w:rFonts w:ascii="Times New Roman" w:hAnsi="Times New Roman" w:eastAsia="方正仿宋_GBK"/>
          <w:b/>
          <w:sz w:val="26"/>
        </w:rPr>
        <w:t xml:space="preserve">3.4.2 最大正向、反向净负荷</w:t>
      </w:r>
      <w:bookmarkEnd w:id="97"/>
    </w:p>
    <w:p>
      <w:pPr>
        <w:pStyle w:val="FirstParagraph"/>
        <w:widowControl/>
        <w:spacing w:line="300" w:lineRule="auto" w:before="0" w:after="0"/>
        <w:ind w:firstLine="480"/>
        <w:jc w:val="both"/>
      </w:pPr>
      <w:r>
        <w:rPr>
          <w:rFonts w:ascii="Times New Roman" w:hAnsi="Times New Roman" w:eastAsia="方正仿宋_GBK"/>
          <w:b w:val="0"/>
          <w:sz w:val="24"/>
        </w:rPr>
        <w:t xml:space="preserve">净负荷序列以受电为正、反送为负。容量压力采用最大绝对值，同时保存正向和反向极值以便进入不同方向的约束。式（3-6）是本研究由带符号序列形成的统计量，不另创导则指标名称。</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p>
                  <m:e>
                    <m:r>
                      <m:t>P</m:t>
                    </m:r>
                  </m:e>
                  <m:sup>
                    <m:r>
                      <m:t>+</m:t>
                    </m:r>
                  </m:sup>
                </m:sSup>
                <m:r>
                  <m:t>=</m:t>
                </m:r>
                <m:limLow>
                  <m:e>
                    <m:r>
                      <m:rPr>
                        <m:nor/>
                        <m:sty m:val="p"/>
                      </m:rPr>
                      <m:t>max</m:t>
                    </m:r>
                  </m:e>
                  <m:lim>
                    <m:r>
                      <m:t>t</m:t>
                    </m:r>
                  </m:lim>
                </m:limLow>
                <m:r>
                  <m:t>(</m:t>
                </m:r>
                <m:sSub>
                  <m:e>
                    <m:r>
                      <m:t>P</m:t>
                    </m:r>
                  </m:e>
                  <m:sub>
                    <m:r>
                      <m:t>t</m:t>
                    </m:r>
                  </m:sub>
                </m:sSub>
                <m:r>
                  <m:t>,</m:t>
                </m:r>
                <m:r>
                  <m:t>0</m:t>
                </m:r>
                <m:r>
                  <m:t>)</m:t>
                </m:r>
                <m:r>
                  <m:t>,</m:t>
                </m:r>
                <m:r>
                  <m:t> </m:t>
                </m:r>
                <m:sSup>
                  <m:e>
                    <m:r>
                      <m:t>P</m:t>
                    </m:r>
                  </m:e>
                  <m:sup>
                    <m:r>
                      <m:t>−</m:t>
                    </m:r>
                  </m:sup>
                </m:sSup>
                <m:r>
                  <m:t>=</m:t>
                </m:r>
                <m:limLow>
                  <m:e>
                    <m:r>
                      <m:rPr>
                        <m:nor/>
                        <m:sty m:val="p"/>
                      </m:rPr>
                      <m:t>max</m:t>
                    </m:r>
                  </m:e>
                  <m:lim>
                    <m:r>
                      <m:t>t</m:t>
                    </m:r>
                  </m:lim>
                </m:limLow>
                <m:r>
                  <m:t>(</m:t>
                </m:r>
                <m:r>
                  <m:t>−</m:t>
                </m:r>
                <m:sSub>
                  <m:e>
                    <m:r>
                      <m:t>P</m:t>
                    </m:r>
                  </m:e>
                  <m:sub>
                    <m:r>
                      <m:t>t</m:t>
                    </m:r>
                  </m:sub>
                </m:sSub>
                <m:r>
                  <m:t>,</m:t>
                </m:r>
                <m:r>
                  <m:t>0</m:t>
                </m:r>
                <m:r>
                  <m:t>)</m:t>
                </m:r>
                <m:r>
                  <m:t>,</m:t>
                </m:r>
                <m:r>
                  <m:t> </m:t>
                </m:r>
                <m:sSup>
                  <m:e>
                    <m:r>
                      <m:t>P</m:t>
                    </m:r>
                  </m:e>
                  <m:sup>
                    <m:r>
                      <m:rPr>
                        <m:sty m:val="p"/>
                      </m:rPr>
                      <m:t>a</m:t>
                    </m:r>
                    <m:r>
                      <m:rPr>
                        <m:sty m:val="p"/>
                      </m:rPr>
                      <m:t>b</m:t>
                    </m:r>
                    <m:r>
                      <m:rPr>
                        <m:sty m:val="p"/>
                      </m:rPr>
                      <m:t>s</m:t>
                    </m:r>
                  </m:sup>
                </m:sSup>
                <m:r>
                  <m:t>=</m:t>
                </m:r>
                <m:r>
                  <m:rPr>
                    <m:nor/>
                    <m:sty m:val="p"/>
                  </m:rPr>
                  <m:t>max</m:t>
                </m:r>
                <m:r>
                  <m:t>(</m:t>
                </m:r>
                <m:sSup>
                  <m:e>
                    <m:r>
                      <m:t>P</m:t>
                    </m:r>
                  </m:e>
                  <m:sup>
                    <m:r>
                      <m:t>+</m:t>
                    </m:r>
                  </m:sup>
                </m:sSup>
                <m:r>
                  <m:t>,</m:t>
                </m:r>
                <m:sSup>
                  <m:e>
                    <m:r>
                      <m:t>P</m:t>
                    </m:r>
                  </m:e>
                  <m:sup>
                    <m:r>
                      <m:t>−</m:t>
                    </m:r>
                  </m:sup>
                </m:sSup>
                <m:r>
                  <m:t>)</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P</m:t>
            </m:r>
          </m:e>
          <m:sub>
            <m:r>
              <m:t>t</m:t>
            </m:r>
          </m:sub>
        </m:sSub>
      </m:oMath>
      <w:r>
        <w:rPr>
          <w:rFonts w:ascii="Times New Roman" w:hAnsi="Times New Roman" w:eastAsia="方正仿宋_GBK"/>
          <w:b w:val="0"/>
          <w:sz w:val="24"/>
        </w:rPr>
        <w:t xml:space="preserve">为时刻</w:t>
      </w:r>
      <m:oMath>
        <m:r>
          <m:t>t</m:t>
        </m:r>
      </m:oMath>
      <w:r>
        <w:rPr>
          <w:rFonts w:ascii="Times New Roman" w:hAnsi="Times New Roman" w:eastAsia="方正仿宋_GBK"/>
          <w:b w:val="0"/>
          <w:sz w:val="24"/>
        </w:rPr>
        <w:t xml:space="preserve">的净负荷，受电为正、反送为负；</w:t>
      </w:r>
      <m:oMath>
        <m:sSup>
          <m:e>
            <m:r>
              <m:t>P</m:t>
            </m:r>
          </m:e>
          <m:sup>
            <m:r>
              <m:t>+</m:t>
            </m:r>
          </m:sup>
        </m:sSup>
      </m:oMath>
      <w:r>
        <w:rPr>
          <w:rFonts w:ascii="Times New Roman" w:hAnsi="Times New Roman" w:eastAsia="方正仿宋_GBK"/>
          <w:b w:val="0"/>
          <w:sz w:val="24"/>
        </w:rPr>
        <w:t xml:space="preserve">和</w:t>
      </w:r>
      <m:oMath>
        <m:sSup>
          <m:e>
            <m:r>
              <m:t>P</m:t>
            </m:r>
          </m:e>
          <m:sup>
            <m:r>
              <m:t>−</m:t>
            </m:r>
          </m:sup>
        </m:sSup>
      </m:oMath>
      <w:r>
        <w:rPr>
          <w:rFonts w:ascii="Times New Roman" w:hAnsi="Times New Roman" w:eastAsia="方正仿宋_GBK"/>
          <w:b w:val="0"/>
          <w:sz w:val="24"/>
        </w:rPr>
        <w:t xml:space="preserve">分别为最大正向、反向净负荷，</w:t>
      </w:r>
      <m:oMath>
        <m:sSup>
          <m:e>
            <m:r>
              <m:t>P</m:t>
            </m:r>
          </m:e>
          <m:sup>
            <m:r>
              <m:rPr>
                <m:sty m:val="p"/>
              </m:rPr>
              <m:t>a</m:t>
            </m:r>
            <m:r>
              <m:rPr>
                <m:sty m:val="p"/>
              </m:rPr>
              <m:t>b</m:t>
            </m:r>
            <m:r>
              <m:rPr>
                <m:sty m:val="p"/>
              </m:rPr>
              <m:t>s</m:t>
            </m:r>
          </m:sup>
        </m:sSup>
      </m:oMath>
      <w:r>
        <w:rPr>
          <w:rFonts w:ascii="Times New Roman" w:hAnsi="Times New Roman" w:eastAsia="方正仿宋_GBK"/>
          <w:b w:val="0"/>
          <w:sz w:val="24"/>
        </w:rPr>
        <w:t xml:space="preserve">为净负荷最大绝对值，单位均为MW。净负荷最大绝对值反映有功压力量级。与主变MVA比较时按功率因数折算，若要得到实际设备负载率，应使用同一时刻无功或电流资料。正反向压力相近时，容量热限影响相似；网络接入、电压和保护条件仍需分别分析[2][4]。</w:t>
      </w:r>
    </w:p>
    <w:p>
      <w:pPr>
        <w:pStyle w:val="2"/>
        <w:keepNext/>
        <w:spacing w:line="300" w:lineRule="auto" w:before="120" w:after="80"/>
        <w:ind w:firstLine="0"/>
        <w:jc w:val="center"/>
      </w:pPr>
      <w:r>
        <w:rPr>
          <w:rFonts w:ascii="Times New Roman" w:hAnsi="Times New Roman" w:eastAsia="宋体"/>
          <w:b w:val="0"/>
          <w:sz w:val="21"/>
        </w:rPr>
        <w:t xml:space="preserve">表3-5 2025年站级正反向净负荷与持续时间[78—79]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变电站编号</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净负荷最大绝对值/MW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正向H95/h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反向H95/h</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BDZ-00005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37.226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37.226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69.438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31.610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69.438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30.302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30.593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47.230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92.061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59.518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103.559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29.530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BDZ-00037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26.860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27.538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4.560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22.905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69.388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61.428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30.650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61.428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56.920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84.825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37.460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25.930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28.800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39.146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34.432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22.780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34.432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32.289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35.734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35.734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70.316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102.926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95.626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84.098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84.098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63.575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85.288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85.288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BDZ-00055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6.808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46.063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BDZ-00065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83.735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13.308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71.221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BDZ-00076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31.830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7.082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BDZ-00094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64.921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65.762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65.762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BDZ-00106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38.348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38.348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10.951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110.018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73.470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92.945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103.018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19.371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19.371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BDZ-00175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45.026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BDZ-00183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16.466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5.609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16.466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SIM-CITY-KL</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16.093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SIM-CITY-XSZ</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13.620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SIM-CITY-YQ</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20.998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bl>
    <w:p>
      <w:pPr>
        <w:pStyle w:val="2"/>
        <w:keepNext/>
        <w:spacing w:line="300" w:lineRule="auto" w:before="120" w:after="80"/>
        <w:ind w:firstLine="0"/>
        <w:jc w:val="center"/>
      </w:pPr>
      <w:r>
        <w:rPr>
          <w:rFonts w:ascii="Times New Roman" w:hAnsi="Times New Roman" w:eastAsia="宋体"/>
          <w:b w:val="0"/>
          <w:sz w:val="21"/>
        </w:rPr>
        <w:t xml:space="preserve">表3-6 仿真各年站级正反向净负荷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各站最大正向净负荷合计/MW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各站最大反向净负荷合计/MW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反向站数</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站级最大绝对值/MW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变电站数量</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835.574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421.350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85.627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903.041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455.371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92.540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975.954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492.139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1054.755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531.875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108.087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1394.817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78.929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105.141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1419.924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80.350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107.033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1445.483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81.796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108.960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1471.502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83.269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110.921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r>
    </w:tbl>
    <w:p>
      <w:pPr>
        <w:pStyle w:val="2"/>
        <w:keepNext/>
        <w:spacing w:line="240" w:lineRule="auto" w:before="120" w:after="0"/>
        <w:ind w:firstLine="0"/>
        <w:jc w:val="center"/>
      </w:pPr>
      <w:r>
        <w:drawing>
          <wp:inline>
            <wp:extent cx="5120640" cy="2505633"/>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annual_model_pressure.png" id="0" name="Picture"/>
                    <pic:cNvPicPr>
                      <a:picLocks noChangeArrowheads="1" noChangeAspect="1"/>
                    </pic:cNvPicPr>
                  </pic:nvPicPr>
                  <pic:blipFill>
                    <a:blip r:embed="rId98"/>
                    <a:stretch>
                      <a:fillRect/>
                    </a:stretch>
                  </pic:blipFill>
                  <pic:spPr bwMode="auto">
                    <a:xfrm>
                      <a:off x="0" y="0"/>
                      <a:ext cx="5120640" cy="2505633"/>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图3-4 两地区仿真年度站级正反向净负荷</w:t>
      </w:r>
    </w:p>
    <w:p>
      <w:pPr>
        <w:pStyle w:val="5"/>
        <w:keepNext/>
        <w:numPr>
          <w:numId w:val="0"/>
        </w:numPr>
        <w:spacing w:line="360" w:lineRule="auto" w:before="160" w:after="120"/>
        <w:ind w:firstLine="0"/>
      </w:pPr>
      <w:bookmarkStart w:id="99" w:name="同步区域峰与独立站峰"/>
      <w:r>
        <w:rPr>
          <w:rFonts w:ascii="Times New Roman" w:hAnsi="Times New Roman" w:eastAsia="方正仿宋_GBK"/>
          <w:b/>
          <w:sz w:val="26"/>
        </w:rPr>
        <w:t xml:space="preserve">3.4.3 同步区域峰与独立站峰</w:t>
      </w:r>
      <w:bookmarkEnd w:id="99"/>
    </w:p>
    <w:p>
      <w:pPr>
        <w:pStyle w:val="FirstParagraph"/>
        <w:widowControl/>
        <w:spacing w:line="300" w:lineRule="auto" w:before="0" w:after="0"/>
        <w:ind w:firstLine="480"/>
        <w:jc w:val="both"/>
      </w:pPr>
      <w:r>
        <w:rPr>
          <w:rFonts w:ascii="Times New Roman" w:hAnsi="Times New Roman" w:eastAsia="方正仿宋_GBK"/>
          <w:b w:val="0"/>
          <w:sz w:val="24"/>
        </w:rPr>
        <w:t xml:space="preserve">形成区域峰值时，应先在同一时间轴汇总各站功率，再取年度最大值。站级各自最大值可能出现在不同日期，相加会产生上侧量。本项目年网供最大负荷采用年度降压负荷估计，站级压力模型使用独立峰值任务，两类量按各自统计范围使用。</w:t>
      </w:r>
    </w:p>
    <w:p>
      <w:pPr>
        <w:pStyle w:val="2"/>
        <w:widowControl/>
        <w:spacing w:line="300" w:lineRule="auto" w:before="0" w:after="0"/>
        <w:ind w:firstLine="480"/>
        <w:jc w:val="both"/>
      </w:pPr>
      <w:r>
        <w:rPr>
          <w:rFonts w:ascii="Times New Roman" w:hAnsi="Times New Roman" w:eastAsia="方正仿宋_GBK"/>
          <w:b w:val="0"/>
          <w:sz w:val="24"/>
        </w:rPr>
        <w:t xml:space="preserve">独立峰值任务的总和高于区域同期峰值，并不直接说明原始数据错误。其差值可能来自时刻差异、样本覆盖和标定方法。为使联络调整保持任务一致，模型在站级独立峰任务层面执行转出、转入守恒，同时固定区县容载比分母。站级独立峰值用于局部容量校核。</w:t>
      </w:r>
    </w:p>
    <w:p>
      <w:pPr>
        <w:pStyle w:val="5"/>
        <w:keepNext/>
        <w:numPr>
          <w:numId w:val="0"/>
        </w:numPr>
        <w:spacing w:line="360" w:lineRule="auto" w:before="160" w:after="120"/>
        <w:ind w:firstLine="0"/>
      </w:pPr>
      <w:bookmarkStart w:id="100" w:name="峰值持续时间"/>
      <w:r>
        <w:rPr>
          <w:rFonts w:ascii="Times New Roman" w:hAnsi="Times New Roman" w:eastAsia="方正仿宋_GBK"/>
          <w:b/>
          <w:sz w:val="26"/>
        </w:rPr>
        <w:t xml:space="preserve">3.4.4 95%峰值持续时间</w:t>
      </w:r>
      <w:bookmarkEnd w:id="100"/>
    </w:p>
    <w:p>
      <w:pPr>
        <w:pStyle w:val="FirstParagraph"/>
        <w:widowControl/>
        <w:spacing w:line="300" w:lineRule="auto" w:before="0" w:after="0"/>
        <w:ind w:firstLine="480"/>
        <w:jc w:val="both"/>
      </w:pPr>
      <w:r>
        <w:rPr>
          <w:rFonts w:ascii="Times New Roman" w:hAnsi="Times New Roman" w:eastAsia="方正仿宋_GBK"/>
          <w:b w:val="0"/>
          <w:sz w:val="24"/>
        </w:rPr>
        <w:t xml:space="preserve">对每个方向，以对应峰值的95%构造幅值门槛，统计连续达到门槛的最长时段和全年累计时数。用于储能静态定容的是最长连续段，单位h；全年累计时数用于描述发生频度。本报告在文字中称95%峰值持续时间，并给出门槛和连续性规则。</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Sup>
                        <m:e>
                          <m:r>
                            <m:t>H</m:t>
                          </m:r>
                        </m:e>
                        <m:sub>
                          <m:r>
                            <m:t>95</m:t>
                          </m:r>
                        </m:sub>
                        <m:sup>
                          <m:r>
                            <m:t>+</m:t>
                          </m:r>
                        </m:sup>
                      </m:sSubSup>
                    </m:e>
                    <m:e>
                      <m:r>
                        <m:t>=</m:t>
                      </m:r>
                      <m:r>
                        <m:rPr>
                          <m:nor/>
                          <m:sty m:val="p"/>
                        </m:rPr>
                        <m:t>max</m:t>
                      </m:r>
                      <m:r>
                        <m:t>{</m:t>
                      </m:r>
                      <m:r>
                        <m:rPr>
                          <m:nor/>
                          <m:sty m:val="p"/>
                        </m:rPr>
                        <m:t>连续时段长度</m:t>
                      </m:r>
                      <m:r>
                        <m:t>:</m:t>
                      </m:r>
                      <m:sSub>
                        <m:e>
                          <m:r>
                            <m:t>P</m:t>
                          </m:r>
                        </m:e>
                        <m:sub>
                          <m:r>
                            <m:t>t</m:t>
                          </m:r>
                        </m:sub>
                      </m:sSub>
                      <m:r>
                        <m:t>≥</m:t>
                      </m:r>
                      <m:r>
                        <m:t>0.95</m:t>
                      </m:r>
                      <m:sSup>
                        <m:e>
                          <m:r>
                            <m:t>P</m:t>
                          </m:r>
                        </m:e>
                        <m:sup>
                          <m:r>
                            <m:t>+</m:t>
                          </m:r>
                        </m:sup>
                      </m:sSup>
                      <m:r>
                        <m:t>}</m:t>
                      </m:r>
                      <m:r>
                        <m:t>,</m:t>
                      </m:r>
                    </m:e>
                  </m:mr>
                  <m:mr>
                    <m:e>
                      <m:sSubSup>
                        <m:e>
                          <m:r>
                            <m:t>H</m:t>
                          </m:r>
                        </m:e>
                        <m:sub>
                          <m:r>
                            <m:t>95</m:t>
                          </m:r>
                        </m:sub>
                        <m:sup>
                          <m:r>
                            <m:t>−</m:t>
                          </m:r>
                        </m:sup>
                      </m:sSubSup>
                    </m:e>
                    <m:e>
                      <m:r>
                        <m:t>=</m:t>
                      </m:r>
                      <m:r>
                        <m:rPr>
                          <m:nor/>
                          <m:sty m:val="p"/>
                        </m:rPr>
                        <m:t>max</m:t>
                      </m:r>
                      <m:r>
                        <m:t>{</m:t>
                      </m:r>
                      <m:r>
                        <m:rPr>
                          <m:nor/>
                          <m:sty m:val="p"/>
                        </m:rPr>
                        <m:t>连续时段长度</m:t>
                      </m:r>
                      <m:r>
                        <m:t>:</m:t>
                      </m:r>
                      <m:r>
                        <m:t>−</m:t>
                      </m:r>
                      <m:sSub>
                        <m:e>
                          <m:r>
                            <m:t>P</m:t>
                          </m:r>
                        </m:e>
                        <m:sub>
                          <m:r>
                            <m:t>t</m:t>
                          </m:r>
                        </m:sub>
                      </m:sSub>
                      <m:r>
                        <m:t>≥</m:t>
                      </m:r>
                      <m:r>
                        <m:t>0.95</m:t>
                      </m:r>
                      <m:sSup>
                        <m:e>
                          <m:r>
                            <m:t>P</m:t>
                          </m:r>
                        </m:e>
                        <m:sup>
                          <m:r>
                            <m:t>−</m:t>
                          </m:r>
                        </m:sup>
                      </m:sSup>
                      <m:r>
                        <m:t>}</m:t>
                      </m:r>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（3-7）</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Sup>
          <m:e>
            <m:r>
              <m:t>H</m:t>
            </m:r>
          </m:e>
          <m:sub>
            <m:r>
              <m:t>95</m:t>
            </m:r>
          </m:sub>
          <m:sup>
            <m:r>
              <m:t>+</m:t>
            </m:r>
          </m:sup>
        </m:sSubSup>
      </m:oMath>
      <w:r>
        <w:rPr>
          <w:rFonts w:ascii="Times New Roman" w:hAnsi="Times New Roman" w:eastAsia="方正仿宋_GBK"/>
          <w:b w:val="0"/>
          <w:sz w:val="24"/>
        </w:rPr>
        <w:t xml:space="preserve">和</w:t>
      </w:r>
      <m:oMath>
        <m:sSubSup>
          <m:e>
            <m:r>
              <m:t>H</m:t>
            </m:r>
          </m:e>
          <m:sub>
            <m:r>
              <m:t>95</m:t>
            </m:r>
          </m:sub>
          <m:sup>
            <m:r>
              <m:t>−</m:t>
            </m:r>
          </m:sup>
        </m:sSubSup>
      </m:oMath>
      <w:r>
        <w:rPr>
          <w:rFonts w:ascii="Times New Roman" w:hAnsi="Times New Roman" w:eastAsia="方正仿宋_GBK"/>
          <w:b w:val="0"/>
          <w:sz w:val="24"/>
        </w:rPr>
        <w:t xml:space="preserve">分别为正向、反向95%峰值持续时间，</w:t>
      </w:r>
      <m:oMath>
        <m:r>
          <m:t>t</m:t>
        </m:r>
      </m:oMath>
      <w:r>
        <w:rPr>
          <w:rFonts w:ascii="Times New Roman" w:hAnsi="Times New Roman" w:eastAsia="方正仿宋_GBK"/>
          <w:b w:val="0"/>
          <w:sz w:val="24"/>
        </w:rPr>
        <w:t xml:space="preserve">为小时序号，</w:t>
      </w:r>
      <m:oMath>
        <m:sSub>
          <m:e>
            <m:r>
              <m:t>P</m:t>
            </m:r>
          </m:e>
          <m:sub>
            <m:r>
              <m:t>t</m:t>
            </m:r>
          </m:sub>
        </m:sSub>
      </m:oMath>
      <w:r>
        <w:rPr>
          <w:rFonts w:ascii="Times New Roman" w:hAnsi="Times New Roman" w:eastAsia="方正仿宋_GBK"/>
          <w:b w:val="0"/>
          <w:sz w:val="24"/>
        </w:rPr>
        <w:t xml:space="preserve">为对应净负荷；持续时间单位为h。仅对本方向峰值大于零的序列提取连续事件；峰值为零时，该方向持续时间记为0，不将全年零功率时数认作持续反送。参数情景采用至少1 h的数值下限，储能最终折算分母不小于2.15 h。缺失小时打断连续事件，补值序列的事件须保留估计状态。后续四个仿真年均使用2025年模板持续时间。</w:t>
      </w:r>
    </w:p>
    <w:p>
      <w:pPr>
        <w:pStyle w:val="2"/>
        <w:keepNext/>
        <w:spacing w:line="240" w:lineRule="auto" w:before="120" w:after="0"/>
        <w:ind w:firstLine="0"/>
        <w:jc w:val="center"/>
      </w:pPr>
      <w:r>
        <w:drawing>
          <wp:inline>
            <wp:extent cx="5120640" cy="295703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duration_distribution.png" id="0" name="Picture"/>
                    <pic:cNvPicPr>
                      <a:picLocks noChangeArrowheads="1" noChangeAspect="1"/>
                    </pic:cNvPicPr>
                  </pic:nvPicPr>
                  <pic:blipFill>
                    <a:blip r:embed="rId101"/>
                    <a:stretch>
                      <a:fillRect/>
                    </a:stretch>
                  </pic:blipFill>
                  <pic:spPr bwMode="auto">
                    <a:xfrm>
                      <a:off x="0" y="0"/>
                      <a:ext cx="5120640" cy="295703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图3-5 两地区站级正反向95%峰值持续时间</w:t>
      </w:r>
    </w:p>
    <w:p>
      <w:pPr>
        <w:pStyle w:val="5"/>
        <w:keepNext/>
        <w:numPr>
          <w:numId w:val="0"/>
        </w:numPr>
        <w:spacing w:line="360" w:lineRule="auto" w:before="160" w:after="120"/>
        <w:ind w:firstLine="0"/>
      </w:pPr>
      <w:bookmarkStart w:id="102" w:name="峰段与储能容量的联系"/>
      <w:r>
        <w:rPr>
          <w:rFonts w:ascii="Times New Roman" w:hAnsi="Times New Roman" w:eastAsia="方正仿宋_GBK"/>
          <w:b/>
          <w:sz w:val="26"/>
        </w:rPr>
        <w:t xml:space="preserve">3.4.5 峰段与储能容量的联系</w:t>
      </w:r>
      <w:bookmarkEnd w:id="102"/>
    </w:p>
    <w:p>
      <w:pPr>
        <w:pStyle w:val="FirstParagraph"/>
        <w:widowControl/>
        <w:spacing w:line="300" w:lineRule="auto" w:before="0" w:after="0"/>
        <w:ind w:firstLine="480"/>
        <w:jc w:val="both"/>
      </w:pPr>
      <w:r>
        <w:rPr>
          <w:rFonts w:ascii="Times New Roman" w:hAnsi="Times New Roman" w:eastAsia="方正仿宋_GBK"/>
          <w:b w:val="0"/>
          <w:sz w:val="24"/>
        </w:rPr>
        <w:t xml:space="preserve">峰值幅度和持续时间共同决定静态支撑需求。储能额定功率充足而可用能量不足时，不能覆盖整个连续尖峰；额定能量充足而变流器功率不足时，也不能提供所需瞬时支撑。模型使用铭牌功率与峰段可持续能量的较小值确定有效支撑功率。</w:t>
      </w:r>
    </w:p>
    <w:p>
      <w:pPr>
        <w:pStyle w:val="2"/>
        <w:widowControl/>
        <w:spacing w:line="300" w:lineRule="auto" w:before="0" w:after="0"/>
        <w:ind w:firstLine="480"/>
        <w:jc w:val="both"/>
      </w:pPr>
      <w:r>
        <w:rPr>
          <w:rFonts w:ascii="Times New Roman" w:hAnsi="Times New Roman" w:eastAsia="方正仿宋_GBK"/>
          <w:b w:val="0"/>
          <w:sz w:val="24"/>
        </w:rPr>
        <w:t xml:space="preserve">峰段静态支撑用于规划容量比选。工程阶段进一步校核连续多日运行、充电条件、充放电效率及荷电状态，核定储能保证可用能力[14][20]。</w:t>
      </w:r>
    </w:p>
    <w:p>
      <w:bookmarkStart w:id="1252" w:name="h252"/>
      <w:pPr>
        <w:pStyle w:val="4"/>
        <w:keepNext/>
        <w:numPr>
          <w:numId w:val="0"/>
        </w:numPr>
        <w:spacing w:line="360" w:lineRule="auto" w:before="160" w:after="120"/>
        <w:ind w:firstLine="0"/>
      </w:pPr>
      <w:bookmarkStart w:id="103" w:name="源荷与容量指标的关联分析"/>
      <w:r>
        <w:rPr>
          <w:rFonts w:ascii="Times New Roman" w:hAnsi="Times New Roman" w:eastAsia="方正仿宋_GBK"/>
          <w:b/>
          <w:sz w:val="32"/>
        </w:rPr>
        <w:t xml:space="preserve">3.5 源荷与容量指标的关联分析</w:t>
      </w:r>
      <w:bookmarkEnd w:id="103"/>
      <w:bookmarkEnd w:id="1252"/>
    </w:p>
    <w:p>
      <w:pPr>
        <w:pStyle w:val="5"/>
        <w:keepNext/>
        <w:numPr>
          <w:numId w:val="0"/>
        </w:numPr>
        <w:spacing w:line="360" w:lineRule="auto" w:before="160" w:after="120"/>
        <w:ind w:firstLine="0"/>
      </w:pPr>
      <w:bookmarkStart w:id="104" w:name="邳州和市区的横向对照"/>
      <w:r>
        <w:rPr>
          <w:rFonts w:ascii="Times New Roman" w:hAnsi="Times New Roman" w:eastAsia="方正仿宋_GBK"/>
          <w:b/>
          <w:sz w:val="26"/>
        </w:rPr>
        <w:t xml:space="preserve">3.5.1 邳州和市区的横向对照</w:t>
      </w:r>
      <w:bookmarkEnd w:id="104"/>
    </w:p>
    <w:p>
      <w:pPr>
        <w:pStyle w:val="FirstParagraph"/>
        <w:widowControl/>
        <w:spacing w:line="300" w:lineRule="auto" w:before="0" w:after="0"/>
        <w:ind w:firstLine="480"/>
        <w:jc w:val="both"/>
      </w:pPr>
      <w:r>
        <w:rPr>
          <w:rFonts w:ascii="Times New Roman" w:hAnsi="Times New Roman" w:eastAsia="方正仿宋_GBK"/>
          <w:b w:val="0"/>
          <w:sz w:val="24"/>
        </w:rPr>
        <w:t xml:space="preserve">邳州分布式电源装机渗透率估计为1.63065，分布式电源电量渗透率为40.28%；市区分别为0.31788和8.69%。两地区2025年主变总容量分别为2139.5和3701.0 MVA，年网供最大负荷分别为956.450和1528.820 MW，对应容载比约2.237和2.421。</w:t>
      </w:r>
    </w:p>
    <w:p>
      <w:pPr>
        <w:pStyle w:val="2"/>
        <w:widowControl/>
        <w:spacing w:line="300" w:lineRule="auto" w:before="0" w:after="0"/>
        <w:ind w:firstLine="480"/>
        <w:jc w:val="both"/>
      </w:pPr>
      <w:r>
        <w:rPr>
          <w:rFonts w:ascii="Times New Roman" w:hAnsi="Times New Roman" w:eastAsia="方正仿宋_GBK"/>
          <w:b w:val="0"/>
          <w:sz w:val="24"/>
        </w:rPr>
        <w:t xml:space="preserve">邳州光伏规模相对较大，设备容量分析需要同时关注正向供电和日间反向净负荷；市区侧重负荷分布及供电安全条件。上述对照为后续选择源荷情景提供依据。</w:t>
      </w:r>
    </w:p>
    <w:p>
      <w:pPr>
        <w:pStyle w:val="2"/>
        <w:keepNext/>
        <w:spacing w:line="300" w:lineRule="auto" w:before="120" w:after="80"/>
        <w:ind w:firstLine="0"/>
        <w:jc w:val="center"/>
      </w:pPr>
      <w:r>
        <w:rPr>
          <w:rFonts w:ascii="Times New Roman" w:hAnsi="Times New Roman" w:eastAsia="宋体"/>
          <w:b w:val="0"/>
          <w:sz w:val="21"/>
        </w:rPr>
        <w:t xml:space="preserve">表3-7 邳州和市区2025年指标对照[76—80]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装机渗透率估计</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电量渗透率估计</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负载率中位数</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电量性质</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1.6307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52.55%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典型场景及样本外推</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0.3179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2.4208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54.62%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典型场景及样本外推</w:t>
            </w:r>
          </w:p>
        </w:tc>
      </w:tr>
    </w:tbl>
    <w:p>
      <w:pPr>
        <w:pStyle w:val="5"/>
        <w:keepNext/>
        <w:numPr>
          <w:numId w:val="0"/>
        </w:numPr>
        <w:spacing w:line="360" w:lineRule="auto" w:before="160" w:after="120"/>
        <w:ind w:firstLine="0"/>
      </w:pPr>
      <w:bookmarkStart w:id="105" w:name="邳州月度同样本关联"/>
      <w:r>
        <w:rPr>
          <w:rFonts w:ascii="Times New Roman" w:hAnsi="Times New Roman" w:eastAsia="方正仿宋_GBK"/>
          <w:b/>
          <w:sz w:val="26"/>
        </w:rPr>
        <w:t xml:space="preserve">3.5.2 邳州月度同样本关联</w:t>
      </w:r>
      <w:bookmarkEnd w:id="105"/>
    </w:p>
    <w:p>
      <w:pPr>
        <w:pStyle w:val="FirstParagraph"/>
        <w:widowControl/>
        <w:spacing w:line="300" w:lineRule="auto" w:before="0" w:after="0"/>
        <w:ind w:firstLine="480"/>
        <w:jc w:val="both"/>
      </w:pPr>
      <w:r>
        <w:rPr>
          <w:rFonts w:ascii="Times New Roman" w:hAnsi="Times New Roman" w:eastAsia="方正仿宋_GBK"/>
          <w:b w:val="0"/>
          <w:sz w:val="24"/>
        </w:rPr>
        <w:t xml:space="preserve">利用邳州2025年110 kV样本时序和月度光伏装机，可以构造12个月的同样本净电量、光伏电量及月度峰值。为保持容量分母一致，月度容量指标以2025年末容量固定计算，采用同容量条件下的月度分析量。</w:t>
      </w:r>
    </w:p>
    <w:p>
      <w:pPr>
        <w:pStyle w:val="2"/>
        <w:widowControl/>
        <w:spacing w:line="300" w:lineRule="auto" w:before="0" w:after="0"/>
        <w:ind w:firstLine="480"/>
        <w:jc w:val="both"/>
      </w:pPr>
      <w:r>
        <w:rPr>
          <w:rFonts w:ascii="Times New Roman" w:hAnsi="Times New Roman" w:eastAsia="方正仿宋_GBK"/>
          <w:b w:val="0"/>
          <w:sz w:val="24"/>
        </w:rPr>
        <w:t xml:space="preserve">月度分布式电源电量渗透率由该月估计光伏发电量除以重建用户电量得到；容载比（月度分析）和主变负载率估计值由同期净负荷序列得到。主变负载率按净负荷最大绝对值除以0.95倍同范围主变容量估计，0.95为功率因数假定。相关系数采用12个月的样本计算，原式及用途见式（3-8）。季节共同变化及指标共享分母可能形成相关，系数不作因果解释。</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r</m:t>
                    </m:r>
                  </m:e>
                  <m:sub>
                    <m:r>
                      <m:t>X</m:t>
                    </m:r>
                    <m:r>
                      <m:t>Y</m:t>
                    </m:r>
                  </m:sub>
                </m:sSub>
                <m:r>
                  <m:t>=</m:t>
                </m:r>
                <m:f>
                  <m:fPr>
                    <m:type m:val="bar"/>
                  </m:fPr>
                  <m:num>
                    <m:nary>
                      <m:naryPr>
                        <m:chr m:val="∑"/>
                        <m:limLoc m:val="undOvr"/>
                        <m:subHide m:val="0"/>
                        <m:supHide m:val="0"/>
                      </m:naryPr>
                      <m:sub>
                        <m:r>
                          <m:t>m</m:t>
                        </m:r>
                        <m:r>
                          <m:t>=</m:t>
                        </m:r>
                        <m:r>
                          <m:t>1</m:t>
                        </m:r>
                      </m:sub>
                      <m:sup>
                        <m:r>
                          <m:t>12</m:t>
                        </m:r>
                      </m:sup>
                      <m:e>
                        <m:r>
                          <m:t>(</m:t>
                        </m:r>
                      </m:e>
                    </m:nary>
                    <m:sSub>
                      <m:e>
                        <m:r>
                          <m:t>X</m:t>
                        </m:r>
                      </m:e>
                      <m:sub>
                        <m:r>
                          <m:t>m</m:t>
                        </m:r>
                      </m:sub>
                    </m:sSub>
                    <m:r>
                      <m:t>−</m:t>
                    </m:r>
                    <m:acc>
                      <m:accPr>
                        <m:chr m:val="‾"/>
                      </m:accPr>
                      <m:e>
                        <m:r>
                          <m:t>X</m:t>
                        </m:r>
                      </m:e>
                    </m:acc>
                    <m:r>
                      <m:t>)</m:t>
                    </m:r>
                    <m:r>
                      <m:t>(</m:t>
                    </m:r>
                    <m:sSub>
                      <m:e>
                        <m:r>
                          <m:t>Y</m:t>
                        </m:r>
                      </m:e>
                      <m:sub>
                        <m:r>
                          <m:t>m</m:t>
                        </m:r>
                      </m:sub>
                    </m:sSub>
                    <m:r>
                      <m:t>−</m:t>
                    </m:r>
                    <m:acc>
                      <m:accPr>
                        <m:chr m:val="‾"/>
                      </m:accPr>
                      <m:e>
                        <m:r>
                          <m:t>Y</m:t>
                        </m:r>
                      </m:e>
                    </m:acc>
                    <m:r>
                      <m:t>)</m:t>
                    </m:r>
                  </m:num>
                  <m:den>
                    <m:rad>
                      <m:radPr>
                        <m:degHide m:val="1"/>
                      </m:radPr>
                      <m:deg/>
                      <m:e>
                        <m:nary>
                          <m:naryPr>
                            <m:chr m:val="∑"/>
                            <m:limLoc m:val="undOvr"/>
                            <m:subHide m:val="0"/>
                            <m:supHide m:val="0"/>
                          </m:naryPr>
                          <m:sub>
                            <m:r>
                              <m:t>m</m:t>
                            </m:r>
                            <m:r>
                              <m:t>=</m:t>
                            </m:r>
                            <m:r>
                              <m:t>1</m:t>
                            </m:r>
                          </m:sub>
                          <m:sup>
                            <m:r>
                              <m:t>12</m:t>
                            </m:r>
                          </m:sup>
                          <m:e>
                            <m:r>
                              <m:t>(</m:t>
                            </m:r>
                          </m:e>
                        </m:nary>
                        <m:sSub>
                          <m:e>
                            <m:r>
                              <m:t>X</m:t>
                            </m:r>
                          </m:e>
                          <m:sub>
                            <m:r>
                              <m:t>m</m:t>
                            </m:r>
                          </m:sub>
                        </m:sSub>
                        <m:r>
                          <m:t>−</m:t>
                        </m:r>
                        <m:acc>
                          <m:accPr>
                            <m:chr m:val="‾"/>
                          </m:accPr>
                          <m:e>
                            <m:r>
                              <m:t>X</m:t>
                            </m:r>
                          </m:e>
                        </m:acc>
                        <m:sSup>
                          <m:e>
                            <m:r>
                              <m:t>)</m:t>
                            </m:r>
                          </m:e>
                          <m:sup>
                            <m:r>
                              <m:t>2</m:t>
                            </m:r>
                          </m:sup>
                        </m:sSup>
                        <m:nary>
                          <m:naryPr>
                            <m:chr m:val="∑"/>
                            <m:limLoc m:val="undOvr"/>
                            <m:subHide m:val="0"/>
                            <m:supHide m:val="0"/>
                          </m:naryPr>
                          <m:sub>
                            <m:r>
                              <m:t>m</m:t>
                            </m:r>
                            <m:r>
                              <m:t>=</m:t>
                            </m:r>
                            <m:r>
                              <m:t>1</m:t>
                            </m:r>
                          </m:sub>
                          <m:sup>
                            <m:r>
                              <m:t>12</m:t>
                            </m:r>
                          </m:sup>
                          <m:e>
                            <m:r>
                              <m:t>(</m:t>
                            </m:r>
                          </m:e>
                        </m:nary>
                        <m:sSub>
                          <m:e>
                            <m:r>
                              <m:t>Y</m:t>
                            </m:r>
                          </m:e>
                          <m:sub>
                            <m:r>
                              <m:t>m</m:t>
                            </m:r>
                          </m:sub>
                        </m:sSub>
                        <m:r>
                          <m:t>−</m:t>
                        </m:r>
                        <m:acc>
                          <m:accPr>
                            <m:chr m:val="‾"/>
                          </m:accPr>
                          <m:e>
                            <m:r>
                              <m:t>Y</m:t>
                            </m:r>
                          </m:e>
                        </m:acc>
                        <m:sSup>
                          <m:e>
                            <m:r>
                              <m:t>)</m:t>
                            </m:r>
                          </m:e>
                          <m:sup>
                            <m:r>
                              <m:t>2</m:t>
                            </m:r>
                          </m:sup>
                        </m:sSup>
                      </m:e>
                    </m:rad>
                  </m:den>
                </m:f>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（3-8）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X</m:t>
            </m:r>
          </m:e>
          <m:sub>
            <m:r>
              <m:t>m</m:t>
            </m:r>
          </m:sub>
        </m:sSub>
      </m:oMath>
      <w:r>
        <w:rPr>
          <w:rFonts w:ascii="Times New Roman" w:hAnsi="Times New Roman" w:eastAsia="方正仿宋_GBK"/>
          <w:b w:val="0"/>
          <w:sz w:val="24"/>
        </w:rPr>
        <w:t xml:space="preserve">和</w:t>
      </w:r>
      <m:oMath>
        <m:sSub>
          <m:e>
            <m:r>
              <m:t>Y</m:t>
            </m:r>
          </m:e>
          <m:sub>
            <m:r>
              <m:t>m</m:t>
            </m:r>
          </m:sub>
        </m:sSub>
      </m:oMath>
      <w:r>
        <w:rPr>
          <w:rFonts w:ascii="Times New Roman" w:hAnsi="Times New Roman" w:eastAsia="方正仿宋_GBK"/>
          <w:b w:val="0"/>
          <w:sz w:val="24"/>
        </w:rPr>
        <w:t xml:space="preserve">为第</w:t>
      </w:r>
      <m:oMath>
        <m:r>
          <m:t>m</m:t>
        </m:r>
      </m:oMath>
      <w:r>
        <w:rPr>
          <w:rFonts w:ascii="Times New Roman" w:hAnsi="Times New Roman" w:eastAsia="方正仿宋_GBK"/>
          <w:b w:val="0"/>
          <w:sz w:val="24"/>
        </w:rPr>
        <w:t xml:space="preserve">月的两个分析指标，</w:t>
      </w:r>
      <m:oMath>
        <m:acc>
          <m:accPr>
            <m:chr m:val="‾"/>
          </m:accPr>
          <m:e>
            <m:r>
              <m:t>X</m:t>
            </m:r>
          </m:e>
        </m:acc>
      </m:oMath>
      <w:r>
        <w:rPr>
          <w:rFonts w:ascii="Times New Roman" w:hAnsi="Times New Roman" w:eastAsia="方正仿宋_GBK"/>
          <w:b w:val="0"/>
          <w:sz w:val="24"/>
        </w:rPr>
        <w:t xml:space="preserve">和</w:t>
      </w:r>
      <m:oMath>
        <m:acc>
          <m:accPr>
            <m:chr m:val="‾"/>
          </m:accPr>
          <m:e>
            <m:r>
              <m:t>Y</m:t>
            </m:r>
          </m:e>
        </m:acc>
      </m:oMath>
      <w:r>
        <w:rPr>
          <w:rFonts w:ascii="Times New Roman" w:hAnsi="Times New Roman" w:eastAsia="方正仿宋_GBK"/>
          <w:b w:val="0"/>
          <w:sz w:val="24"/>
        </w:rPr>
        <w:t xml:space="preserve">分别为12个月指标的算术平均值，</w:t>
      </w:r>
      <m:oMath>
        <m:sSub>
          <m:e>
            <m:r>
              <m:t>r</m:t>
            </m:r>
          </m:e>
          <m:sub>
            <m:r>
              <m:t>X</m:t>
            </m:r>
            <m:r>
              <m:t>Y</m:t>
            </m:r>
          </m:sub>
        </m:sSub>
      </m:oMath>
      <w:r>
        <w:rPr>
          <w:rFonts w:ascii="Times New Roman" w:hAnsi="Times New Roman" w:eastAsia="方正仿宋_GBK"/>
          <w:b w:val="0"/>
          <w:sz w:val="24"/>
        </w:rPr>
        <w:t xml:space="preserve">为Pearson相关系数；</w:t>
      </w:r>
      <m:oMath>
        <m:r>
          <m:t>m</m:t>
        </m:r>
      </m:oMath>
      <w:r>
        <w:rPr>
          <w:rFonts w:ascii="Times New Roman" w:hAnsi="Times New Roman" w:eastAsia="方正仿宋_GBK"/>
          <w:b w:val="0"/>
          <w:sz w:val="24"/>
        </w:rPr>
        <w:t xml:space="preserve">为月份序号。</w:t>
      </w:r>
    </w:p>
    <w:p>
      <w:pPr>
        <w:pStyle w:val="2"/>
        <w:keepNext/>
        <w:spacing w:line="300" w:lineRule="auto" w:before="120" w:after="80"/>
        <w:ind w:firstLine="0"/>
        <w:jc w:val="center"/>
      </w:pPr>
      <w:r>
        <w:rPr>
          <w:rFonts w:ascii="Times New Roman" w:hAnsi="Times New Roman" w:eastAsia="宋体"/>
          <w:b w:val="0"/>
          <w:sz w:val="21"/>
        </w:rPr>
        <w:t xml:space="preserve">表3-8 邳州12个月的描述性相关系数（式3-8）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关联对象</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Pearson系数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样本量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解释范围</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电量渗透率—容载比（月度分析）</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0.6556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固定容量、月度估计、样本内</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电量渗透率—主变负载率估计值</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-0.6579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功率因数假定、非逐台实测</w:t>
            </w:r>
          </w:p>
        </w:tc>
      </w:tr>
    </w:tbl>
    <w:p>
      <w:pPr>
        <w:pStyle w:val="2"/>
        <w:keepNext/>
        <w:spacing w:line="300" w:lineRule="auto" w:before="120" w:after="80"/>
        <w:ind w:firstLine="0"/>
        <w:jc w:val="center"/>
      </w:pPr>
      <w:r>
        <w:rPr>
          <w:rFonts w:ascii="Times New Roman" w:hAnsi="Times New Roman" w:eastAsia="宋体"/>
          <w:b w:val="0"/>
          <w:sz w:val="21"/>
        </w:rPr>
        <w:t xml:space="preserve">表3-9 邳州月度指标计算明细[77—80]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月份</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电量渗透率/%</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容载比（月度分析）</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主变负载率估计/%</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光伏电量/MWh</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用户电量/MWh</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27.92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2.974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104963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375895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2.831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37.19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96779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314368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41.91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119612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285414</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57.57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5.598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130368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226436</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60.26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26.92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163852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271920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50.13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3.053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191575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382125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37.85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47.06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212845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562355</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24.77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2.297</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45.82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109046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440252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3.545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29.69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113324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308070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43.36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5.268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131956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304320</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48.48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22.34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162290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334722</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3.631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161660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410515</w:t>
            </w:r>
          </w:p>
        </w:tc>
      </w:tr>
    </w:tbl>
    <w:p>
      <w:pPr>
        <w:pStyle w:val="2"/>
        <w:widowControl/>
        <w:spacing w:line="300" w:lineRule="auto" w:before="0" w:after="0"/>
        <w:ind w:firstLine="480"/>
        <w:jc w:val="both"/>
      </w:pPr>
      <w:r>
        <w:rPr>
          <w:rFonts w:ascii="Times New Roman" w:hAnsi="Times New Roman" w:eastAsia="方正仿宋_GBK"/>
          <w:b w:val="0"/>
          <w:sz w:val="24"/>
        </w:rPr>
        <w:t xml:space="preserve">邳州12个月的分布式电源电量渗透率与固定主变容量下的容载比（月度分析）呈正相关，与主变负载率估计值呈负相关。该方向与两个区县年度对照并不相同，月度关系包含季节性与固定容量条件，不能合并解释为跨地区规律。</w:t>
      </w:r>
    </w:p>
    <w:p>
      <w:pPr>
        <w:pStyle w:val="2"/>
        <w:keepNext/>
        <w:spacing w:line="240" w:lineRule="auto" w:before="120" w:after="0"/>
        <w:ind w:firstLine="0"/>
        <w:jc w:val="center"/>
      </w:pPr>
      <w:r>
        <w:drawing>
          <wp:inline>
            <wp:extent cx="5120640" cy="2660943"/>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monthly_correlation.png" id="0" name="Picture"/>
                    <pic:cNvPicPr>
                      <a:picLocks noChangeArrowheads="1" noChangeAspect="1"/>
                    </pic:cNvPicPr>
                  </pic:nvPicPr>
                  <pic:blipFill>
                    <a:blip r:embed="rId106"/>
                    <a:stretch>
                      <a:fillRect/>
                    </a:stretch>
                  </pic:blipFill>
                  <pic:spPr bwMode="auto">
                    <a:xfrm>
                      <a:off x="0" y="0"/>
                      <a:ext cx="5120640" cy="2660943"/>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图3-6 邳州月度分布式电源电量渗透率与容量压力关联</w:t>
      </w:r>
    </w:p>
    <w:p>
      <w:pPr>
        <w:pStyle w:val="5"/>
        <w:keepNext/>
        <w:numPr>
          <w:numId w:val="0"/>
        </w:numPr>
        <w:spacing w:line="360" w:lineRule="auto" w:before="160" w:after="120"/>
        <w:ind w:firstLine="0"/>
      </w:pPr>
      <w:bookmarkStart w:id="107" w:name="相关性结果的使用"/>
      <w:r>
        <w:rPr>
          <w:rFonts w:ascii="Times New Roman" w:hAnsi="Times New Roman" w:eastAsia="方正仿宋_GBK"/>
          <w:b/>
          <w:sz w:val="26"/>
        </w:rPr>
        <w:t xml:space="preserve">3.5.3 相关性结果的使用</w:t>
      </w:r>
      <w:bookmarkEnd w:id="107"/>
    </w:p>
    <w:p>
      <w:pPr>
        <w:pStyle w:val="FirstParagraph"/>
        <w:widowControl/>
        <w:spacing w:line="300" w:lineRule="auto" w:before="0" w:after="0"/>
        <w:ind w:firstLine="480"/>
        <w:jc w:val="both"/>
      </w:pPr>
      <w:r>
        <w:rPr>
          <w:rFonts w:ascii="Times New Roman" w:hAnsi="Times New Roman" w:eastAsia="方正仿宋_GBK"/>
          <w:b w:val="0"/>
          <w:sz w:val="24"/>
        </w:rPr>
        <w:t xml:space="preserve">月度统计用于识别光伏高发月份与容量压力的共同变化，为峰段情景选择提供参考。月度结果解释邳州同样本的季节变化，跨地区推荐采用一般站群的多参数计算。</w:t>
      </w:r>
    </w:p>
    <w:p>
      <w:pPr>
        <w:pStyle w:val="2"/>
        <w:widowControl/>
        <w:spacing w:line="300" w:lineRule="auto" w:before="0" w:after="0"/>
        <w:ind w:firstLine="480"/>
        <w:jc w:val="both"/>
      </w:pPr>
      <w:r>
        <w:rPr>
          <w:rFonts w:ascii="Times New Roman" w:hAnsi="Times New Roman" w:eastAsia="方正仿宋_GBK"/>
          <w:b w:val="0"/>
          <w:sz w:val="24"/>
        </w:rPr>
        <w:t xml:space="preserve">通用矩阵以装机渗透率划分源荷条件，电量渗透率按统一利用小时和用户年负荷率换算。当前静态技术模型约束的是峰值和持续时间，未求解全年发电消纳目标。电量指标通过源荷条件与容量需求衔接，设备选择由相应峰值和持续时间约束确定。</w:t>
      </w:r>
    </w:p>
    <w:p>
      <w:bookmarkStart w:id="1269" w:name="h269"/>
      <w:pPr>
        <w:pStyle w:val="4"/>
        <w:keepNext/>
        <w:numPr>
          <w:numId w:val="0"/>
        </w:numPr>
        <w:spacing w:line="360" w:lineRule="auto" w:before="160" w:after="120"/>
        <w:ind w:firstLine="0"/>
      </w:pPr>
      <w:bookmarkStart w:id="108" w:name="kv负荷转接资料与仿真条件"/>
      <w:r>
        <w:rPr>
          <w:rFonts w:ascii="Times New Roman" w:hAnsi="Times New Roman" w:eastAsia="方正仿宋_GBK"/>
          <w:b/>
          <w:sz w:val="32"/>
        </w:rPr>
        <w:t xml:space="preserve">3.6 10 kV负荷转接资料与仿真条件</w:t>
      </w:r>
      <w:bookmarkEnd w:id="108"/>
      <w:bookmarkEnd w:id="1269"/>
    </w:p>
    <w:p>
      <w:pPr>
        <w:pStyle w:val="5"/>
        <w:keepNext/>
        <w:numPr>
          <w:numId w:val="0"/>
        </w:numPr>
        <w:spacing w:line="360" w:lineRule="auto" w:before="160" w:after="120"/>
        <w:ind w:firstLine="0"/>
      </w:pPr>
      <w:bookmarkStart w:id="109" w:name="现有馈线资料"/>
      <w:r>
        <w:rPr>
          <w:rFonts w:ascii="Times New Roman" w:hAnsi="Times New Roman" w:eastAsia="方正仿宋_GBK"/>
          <w:b/>
          <w:sz w:val="26"/>
        </w:rPr>
        <w:t xml:space="preserve">3.6.1 现有馈线资料</w:t>
      </w:r>
      <w:bookmarkEnd w:id="109"/>
    </w:p>
    <w:p>
      <w:pPr>
        <w:pStyle w:val="FirstParagraph"/>
        <w:widowControl/>
        <w:spacing w:line="300" w:lineRule="auto" w:before="0" w:after="0"/>
        <w:ind w:firstLine="480"/>
        <w:jc w:val="both"/>
      </w:pPr>
      <w:r>
        <w:rPr>
          <w:rFonts w:ascii="Times New Roman" w:hAnsi="Times New Roman" w:eastAsia="方正仿宋_GBK"/>
          <w:b w:val="0"/>
          <w:sz w:val="24"/>
        </w:rPr>
        <w:t xml:space="preserve">邳州局部样本包含六条馈线及跨站联络关系[75]。根据源端负荷、分段位置和接收余量，原样本静态可转移上界为9.983428 MW，六馈线源端负荷为35.292234 MW，比值28.2879%。本研究将该局部样本比例作为邳州各仿真站的初始转供率。</w:t>
      </w:r>
    </w:p>
    <w:p>
      <w:pPr>
        <w:pStyle w:val="2"/>
        <w:widowControl/>
        <w:spacing w:line="300" w:lineRule="auto" w:before="0" w:after="0"/>
        <w:ind w:firstLine="480"/>
        <w:jc w:val="both"/>
      </w:pPr>
      <w:r>
        <w:rPr>
          <w:rFonts w:ascii="Times New Roman" w:hAnsi="Times New Roman" w:eastAsia="方正仿宋_GBK"/>
          <w:b w:val="0"/>
          <w:sz w:val="24"/>
        </w:rPr>
        <w:t xml:space="preserve">具体新线候选区段的原重建负荷为7.491061 MW，规划筛查取7.491 MW；按允许电流折算的线路有功容量为9.05 MW。候选有效任务取区段负荷与热限较小值。线路长度3 km、架空与电缆比例为90%与10%，用于统一仿真费用，不作为已测绘的路由。</w:t>
      </w:r>
    </w:p>
    <w:p>
      <w:pPr>
        <w:pStyle w:val="5"/>
        <w:keepNext/>
        <w:numPr>
          <w:numId w:val="0"/>
        </w:numPr>
        <w:spacing w:line="360" w:lineRule="auto" w:before="160" w:after="120"/>
        <w:ind w:firstLine="0"/>
      </w:pPr>
      <w:bookmarkStart w:id="110" w:name="区县站间转供率的设定"/>
      <w:r>
        <w:rPr>
          <w:rFonts w:ascii="Times New Roman" w:hAnsi="Times New Roman" w:eastAsia="方正仿宋_GBK"/>
          <w:b/>
          <w:sz w:val="26"/>
        </w:rPr>
        <w:t xml:space="preserve">3.6.2 区县站间转供率的设定</w:t>
      </w:r>
      <w:bookmarkEnd w:id="110"/>
    </w:p>
    <w:p>
      <w:pPr>
        <w:pStyle w:val="FirstParagraph"/>
        <w:widowControl/>
        <w:spacing w:line="300" w:lineRule="auto" w:before="0" w:after="0"/>
        <w:ind w:firstLine="480"/>
        <w:jc w:val="both"/>
      </w:pPr>
      <w:r>
        <w:rPr>
          <w:rFonts w:ascii="Times New Roman" w:hAnsi="Times New Roman" w:eastAsia="方正仿宋_GBK"/>
          <w:b w:val="0"/>
          <w:sz w:val="24"/>
        </w:rPr>
        <w:t xml:space="preserve">市区分布式光伏装机渗透率较低，按A类供电区域假定初始站间转供率为50%。邳州依据六条馈线负荷和跨站联络资料计算得到28.2879%，将该样本比例作为县域各站统一的初始转供率。</w:t>
      </w:r>
    </w:p>
    <w:p>
      <w:pPr>
        <w:pStyle w:val="2"/>
        <w:widowControl/>
        <w:spacing w:line="300" w:lineRule="auto" w:before="0" w:after="0"/>
        <w:ind w:firstLine="480"/>
        <w:jc w:val="both"/>
      </w:pPr>
      <w:r>
        <w:rPr>
          <w:rFonts w:ascii="Times New Roman" w:hAnsi="Times New Roman" w:eastAsia="方正仿宋_GBK"/>
          <w:b w:val="0"/>
          <w:sz w:val="24"/>
        </w:rPr>
        <w:t xml:space="preserve">邳州以30%、市区以50%作为转供能力规划目标，分别以50%和70%作为研究上限。利用既有能力进行负荷转接的新增建设投资为零；能力不足时，通过新建10 kV联络线补充。两区县均允许内部任意两个不同站之间设置新增等效联络项目。第五章列明能力预算、项目计费和送受端校核方法[4][75]。</w:t>
      </w:r>
    </w:p>
    <w:p>
      <w:pPr>
        <w:pStyle w:val="5"/>
        <w:keepNext/>
        <w:numPr>
          <w:numId w:val="0"/>
        </w:numPr>
        <w:spacing w:line="360" w:lineRule="auto" w:before="160" w:after="120"/>
        <w:ind w:firstLine="0"/>
      </w:pPr>
      <w:bookmarkStart w:id="111" w:name="电源归属及反送处理"/>
      <w:r>
        <w:rPr>
          <w:rFonts w:ascii="Times New Roman" w:hAnsi="Times New Roman" w:eastAsia="方正仿宋_GBK"/>
          <w:b/>
          <w:sz w:val="26"/>
        </w:rPr>
        <w:t xml:space="preserve">3.6.3 电源归属及反送处理</w:t>
      </w:r>
      <w:bookmarkEnd w:id="111"/>
    </w:p>
    <w:p>
      <w:pPr>
        <w:pStyle w:val="FirstParagraph"/>
        <w:widowControl/>
        <w:spacing w:line="300" w:lineRule="auto" w:before="0" w:after="0"/>
        <w:ind w:firstLine="480"/>
        <w:jc w:val="both"/>
      </w:pPr>
      <w:r>
        <w:rPr>
          <w:rFonts w:ascii="Times New Roman" w:hAnsi="Times New Roman" w:eastAsia="方正仿宋_GBK"/>
          <w:b w:val="0"/>
          <w:sz w:val="24"/>
        </w:rPr>
        <w:t xml:space="preserve">正常转接的是用电负荷，电源仍保留在原站。转出负荷后，本地消纳减少，原站反送压力可能增加。缺少转接块逐时曲线时，模型以原反送峰值加转出峰值作为保守上界，不抵扣受端增加消纳的收益。该规则使正向减压与潜在反向增压同步进入筛查。</w:t>
      </w:r>
    </w:p>
    <w:p>
      <w:pPr>
        <w:pStyle w:val="2"/>
        <w:widowControl/>
        <w:spacing w:line="300" w:lineRule="auto" w:before="0" w:after="0"/>
        <w:ind w:firstLine="480"/>
        <w:jc w:val="both"/>
      </w:pPr>
      <w:r>
        <w:rPr>
          <w:rFonts w:ascii="Times New Roman" w:hAnsi="Times New Roman" w:eastAsia="方正仿宋_GBK"/>
          <w:b w:val="0"/>
          <w:sz w:val="24"/>
        </w:rPr>
        <w:t xml:space="preserve">该上界按峰值包络处理反向容量需求。取得转接负荷块的同步负荷与光伏时序后，可按同一时刻重新计算两端净负荷，并同步修正正向与反向约束。</w:t>
      </w:r>
    </w:p>
    <w:p>
      <w:bookmarkStart w:id="1279" w:name="h279"/>
      <w:pPr>
        <w:pStyle w:val="4"/>
        <w:keepNext/>
        <w:numPr>
          <w:numId w:val="0"/>
        </w:numPr>
        <w:spacing w:line="360" w:lineRule="auto" w:before="160" w:after="120"/>
        <w:ind w:firstLine="0"/>
      </w:pPr>
      <w:bookmarkStart w:id="112" w:name="站级净负荷分布与配置需求"/>
      <w:r>
        <w:rPr>
          <w:rFonts w:ascii="Times New Roman" w:hAnsi="Times New Roman" w:eastAsia="方正仿宋_GBK"/>
          <w:b/>
          <w:sz w:val="32"/>
        </w:rPr>
        <w:t xml:space="preserve">3.7 站级净负荷分布与配置需求</w:t>
      </w:r>
      <w:bookmarkEnd w:id="112"/>
      <w:bookmarkEnd w:id="1279"/>
    </w:p>
    <w:p>
      <w:pPr>
        <w:pStyle w:val="5"/>
        <w:keepNext/>
        <w:numPr>
          <w:numId w:val="0"/>
        </w:numPr>
        <w:spacing w:line="360" w:lineRule="auto" w:before="160" w:after="120"/>
        <w:ind w:firstLine="0"/>
      </w:pPr>
      <w:bookmarkStart w:id="113" w:name="邳州仿真净负荷"/>
      <w:r>
        <w:rPr>
          <w:rFonts w:ascii="Times New Roman" w:hAnsi="Times New Roman" w:eastAsia="方正仿宋_GBK"/>
          <w:b/>
          <w:sz w:val="26"/>
        </w:rPr>
        <w:t xml:space="preserve">3.7.1 邳州仿真净负荷</w:t>
      </w:r>
      <w:bookmarkEnd w:id="113"/>
    </w:p>
    <w:p>
      <w:pPr>
        <w:pStyle w:val="FirstParagraph"/>
        <w:widowControl/>
        <w:spacing w:line="300" w:lineRule="auto" w:before="0" w:after="0"/>
        <w:ind w:firstLine="480"/>
        <w:jc w:val="both"/>
      </w:pPr>
      <w:r>
        <w:rPr>
          <w:rFonts w:ascii="Times New Roman" w:hAnsi="Times New Roman" w:eastAsia="方正仿宋_GBK"/>
          <w:b w:val="0"/>
          <w:sz w:val="24"/>
        </w:rPr>
        <w:t xml:space="preserve">邳州将2025年站级正向、反向净负荷分布标定到容载比2.0的基期，后续按年负荷平均增长率推演。各站采用相同年度规模系数，保留站级源荷结构和峰段持续时间。</w:t>
      </w:r>
    </w:p>
    <w:p>
      <w:pPr>
        <w:pStyle w:val="2"/>
        <w:keepNext/>
        <w:spacing w:line="240" w:lineRule="auto" w:before="120" w:after="0"/>
        <w:ind w:firstLine="0"/>
        <w:jc w:val="center"/>
      </w:pPr>
      <w:r>
        <w:drawing>
          <wp:inline>
            <wp:extent cx="5120640" cy="4645191"/>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pizhou_modeled_peaks.png" id="0" name="Picture"/>
                    <pic:cNvPicPr>
                      <a:picLocks noChangeArrowheads="1" noChangeAspect="1"/>
                    </pic:cNvPicPr>
                  </pic:nvPicPr>
                  <pic:blipFill>
                    <a:blip r:embed="rId114"/>
                    <a:stretch>
                      <a:fillRect/>
                    </a:stretch>
                  </pic:blipFill>
                  <pic:spPr bwMode="auto">
                    <a:xfrm>
                      <a:off x="0" y="0"/>
                      <a:ext cx="5120640" cy="4645191"/>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图3-7 邳州逐站仿真年度净负荷最大绝对值</w:t>
      </w:r>
    </w:p>
    <w:p>
      <w:pPr>
        <w:pStyle w:val="2"/>
        <w:widowControl/>
        <w:spacing w:line="300" w:lineRule="auto" w:before="0" w:after="0"/>
        <w:ind w:firstLine="480"/>
        <w:jc w:val="both"/>
      </w:pPr>
      <w:r>
        <w:rPr>
          <w:rFonts w:ascii="Times New Roman" w:hAnsi="Times New Roman" w:eastAsia="方正仿宋_GBK"/>
          <w:b w:val="0"/>
          <w:sz w:val="24"/>
        </w:rPr>
        <w:t xml:space="preserve">图中同一站的四年数值保持对应，颜色反映正反向峰值较大者。各站独立峰值用于局部容量校核，区域年网供最大负荷用于计算容载比。</w:t>
      </w:r>
    </w:p>
    <w:p>
      <w:pPr>
        <w:pStyle w:val="5"/>
        <w:keepNext/>
        <w:numPr>
          <w:numId w:val="0"/>
        </w:numPr>
        <w:spacing w:line="360" w:lineRule="auto" w:before="160" w:after="120"/>
        <w:ind w:firstLine="0"/>
      </w:pPr>
      <w:bookmarkStart w:id="115" w:name="市区仿真净负荷"/>
      <w:r>
        <w:rPr>
          <w:rFonts w:ascii="Times New Roman" w:hAnsi="Times New Roman" w:eastAsia="方正仿宋_GBK"/>
          <w:b/>
          <w:sz w:val="26"/>
        </w:rPr>
        <w:t xml:space="preserve">3.7.2 市区仿真净负荷</w:t>
      </w:r>
      <w:bookmarkEnd w:id="115"/>
    </w:p>
    <w:p>
      <w:pPr>
        <w:pStyle w:val="FirstParagraph"/>
        <w:widowControl/>
        <w:spacing w:line="300" w:lineRule="auto" w:before="0" w:after="0"/>
        <w:ind w:firstLine="480"/>
        <w:jc w:val="both"/>
      </w:pPr>
      <w:r>
        <w:rPr>
          <w:rFonts w:ascii="Times New Roman" w:hAnsi="Times New Roman" w:eastAsia="方正仿宋_GBK"/>
          <w:b w:val="0"/>
          <w:sz w:val="24"/>
        </w:rPr>
        <w:t xml:space="preserve">市区29站同样按2025年空间分布与仿真年度规模标定。初始转供率50%用于内部负荷调整，A类供电区域的设备选择与转供能力范围进入规划条件。</w:t>
      </w:r>
    </w:p>
    <w:p>
      <w:pPr>
        <w:pStyle w:val="2"/>
        <w:keepNext/>
        <w:spacing w:line="240" w:lineRule="auto" w:before="120" w:after="0"/>
        <w:ind w:firstLine="0"/>
        <w:jc w:val="center"/>
      </w:pPr>
      <w:r>
        <w:drawing>
          <wp:inline>
            <wp:extent cx="5120640" cy="6059288"/>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city_modeled_peaks.png" id="0" name="Picture"/>
                    <pic:cNvPicPr>
                      <a:picLocks noChangeArrowheads="1" noChangeAspect="1"/>
                    </pic:cNvPicPr>
                  </pic:nvPicPr>
                  <pic:blipFill>
                    <a:blip r:embed="rId116"/>
                    <a:stretch>
                      <a:fillRect/>
                    </a:stretch>
                  </pic:blipFill>
                  <pic:spPr bwMode="auto">
                    <a:xfrm>
                      <a:off x="0" y="0"/>
                      <a:ext cx="5120640" cy="6059288"/>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图3-8 市区逐站仿真年度净负荷最大绝对值</w:t>
      </w:r>
    </w:p>
    <w:p>
      <w:pPr>
        <w:pStyle w:val="2"/>
        <w:widowControl/>
        <w:spacing w:line="300" w:lineRule="auto" w:before="0" w:after="0"/>
        <w:ind w:firstLine="480"/>
        <w:jc w:val="both"/>
      </w:pPr>
      <w:r>
        <w:rPr>
          <w:rFonts w:ascii="Times New Roman" w:hAnsi="Times New Roman" w:eastAsia="方正仿宋_GBK"/>
          <w:b w:val="0"/>
          <w:sz w:val="24"/>
        </w:rPr>
        <w:t xml:space="preserve">市区最大反向净负荷相对较小，主要容量需求来自正向负荷及单台主变退出后的供电缺口。局部负荷分布、设备台数和承接站余量共同影响增容、配储和联络选择。</w:t>
      </w:r>
    </w:p>
    <w:p>
      <w:pPr>
        <w:pStyle w:val="5"/>
        <w:keepNext/>
        <w:numPr>
          <w:numId w:val="0"/>
        </w:numPr>
        <w:spacing w:line="360" w:lineRule="auto" w:before="160" w:after="120"/>
        <w:ind w:firstLine="0"/>
      </w:pPr>
      <w:bookmarkStart w:id="117" w:name="较高净负荷站的方向与时间"/>
      <w:r>
        <w:rPr>
          <w:rFonts w:ascii="Times New Roman" w:hAnsi="Times New Roman" w:eastAsia="方正仿宋_GBK"/>
          <w:b/>
          <w:sz w:val="26"/>
        </w:rPr>
        <w:t xml:space="preserve">3.7.3 较高净负荷站的方向与时间</w:t>
      </w:r>
      <w:bookmarkEnd w:id="117"/>
    </w:p>
    <w:p>
      <w:pPr>
        <w:pStyle w:val="FirstParagraph"/>
        <w:keepNext/>
        <w:spacing w:line="300" w:lineRule="auto" w:before="120" w:after="80"/>
        <w:ind w:firstLine="0"/>
        <w:jc w:val="center"/>
      </w:pPr>
      <w:r>
        <w:rPr>
          <w:rFonts w:ascii="Times New Roman" w:hAnsi="Times New Roman" w:eastAsia="宋体"/>
          <w:b w:val="0"/>
          <w:sz w:val="21"/>
        </w:rPr>
        <w:t xml:space="preserve">表3-10 第4年净负荷较大站的运行特征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41"/>
        <w:gridCol w:w="1609"/>
        <w:gridCol w:w="1341"/>
        <w:gridCol w:w="1341"/>
        <w:gridCol w:w="1341"/>
        <w:gridCol w:w="1341"/>
      </w:tblGrid>
      <w:tr>
        <w:trPr>
          <w:cantSplit/>
          <w:tblHeader/>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站号</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正向/MW</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反向/MW</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正向持续/h</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反向持续/h</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BDZ-00028</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108.087</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BDZ-00026</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96.087</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18.829</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BDZ-00135</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88.534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59.409</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BDZ-00048</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76.303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4.759</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BDZ-00016</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72.474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32.992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BDZ-00151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110.921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BDZ-00114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95.139</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9.470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BDZ-00148</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89.085</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89.006</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BDZ-00024</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82.693</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34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r>
    </w:tbl>
    <w:p>
      <w:pPr>
        <w:pStyle w:val="2"/>
        <w:widowControl/>
        <w:spacing w:line="300" w:lineRule="auto" w:before="0" w:after="0"/>
        <w:ind w:firstLine="480"/>
        <w:jc w:val="both"/>
      </w:pPr>
      <w:r>
        <w:rPr>
          <w:rFonts w:ascii="Times New Roman" w:hAnsi="Times New Roman" w:eastAsia="方正仿宋_GBK"/>
          <w:b w:val="0"/>
          <w:sz w:val="24"/>
        </w:rPr>
        <w:t xml:space="preserve">表中分别选取两地区仿真第4年净负荷最大绝对值较大的5座站。方向峰值与持续时间成对使用，用于识别主变有功容量和储能能量需求。</w:t>
      </w:r>
    </w:p>
    <w:p>
      <w:pPr>
        <w:pStyle w:val="5"/>
        <w:keepNext/>
        <w:numPr>
          <w:numId w:val="0"/>
        </w:numPr>
        <w:spacing w:line="360" w:lineRule="auto" w:before="160" w:after="120"/>
        <w:ind w:firstLine="0"/>
      </w:pPr>
      <w:bookmarkStart w:id="118" w:name="运行分析与寻优输入的衔接"/>
      <w:r>
        <w:rPr>
          <w:rFonts w:ascii="Times New Roman" w:hAnsi="Times New Roman" w:eastAsia="方正仿宋_GBK"/>
          <w:b/>
          <w:sz w:val="26"/>
        </w:rPr>
        <w:t xml:space="preserve">3.7.4 运行分析与寻优输入的衔接</w:t>
      </w:r>
      <w:bookmarkEnd w:id="118"/>
    </w:p>
    <w:p>
      <w:pPr>
        <w:pStyle w:val="FirstParagraph"/>
        <w:widowControl/>
        <w:spacing w:line="300" w:lineRule="auto" w:before="0" w:after="0"/>
        <w:ind w:firstLine="480"/>
        <w:jc w:val="both"/>
      </w:pPr>
      <w:r>
        <w:rPr>
          <w:rFonts w:ascii="Times New Roman" w:hAnsi="Times New Roman" w:eastAsia="方正仿宋_GBK"/>
          <w:b w:val="0"/>
          <w:sz w:val="24"/>
        </w:rPr>
        <w:t xml:space="preserve">两地区采用相同三类措施，负荷和设备结构不同，各约束的作用也不同。站级正向负荷转出后，原站电源保持归属，反向校核上界相应增加；承接站按转接后的正向负荷校核正常与退出容量。</w:t>
      </w:r>
    </w:p>
    <w:p>
      <w:pPr>
        <w:pStyle w:val="2"/>
        <w:widowControl/>
        <w:spacing w:line="300" w:lineRule="auto" w:before="0" w:after="0"/>
        <w:ind w:firstLine="480"/>
        <w:jc w:val="both"/>
      </w:pPr>
      <w:r>
        <w:rPr>
          <w:rFonts w:ascii="Times New Roman" w:hAnsi="Times New Roman" w:eastAsia="方正仿宋_GBK"/>
          <w:b w:val="0"/>
          <w:sz w:val="24"/>
        </w:rPr>
        <w:t xml:space="preserve">区域年网供最大负荷按仿真增长条件确定，区县内部转接保持站级负荷总量。第五章按逐站约束求得设备容量，再计算年度容载比。</w:t>
      </w:r>
    </w:p>
    <w:p>
      <w:pPr>
        <w:pStyle w:val="5"/>
        <w:keepNext/>
        <w:numPr>
          <w:numId w:val="0"/>
        </w:numPr>
        <w:spacing w:line="360" w:lineRule="auto" w:before="160" w:after="120"/>
        <w:ind w:firstLine="0"/>
      </w:pPr>
      <w:bookmarkStart w:id="119" w:name="站级净负荷的主导方向"/>
      <w:r>
        <w:rPr>
          <w:rFonts w:ascii="Times New Roman" w:hAnsi="Times New Roman" w:eastAsia="方正仿宋_GBK"/>
          <w:b/>
          <w:sz w:val="26"/>
        </w:rPr>
        <w:t xml:space="preserve">3.7.5 站级净负荷的主导方向</w:t>
      </w:r>
      <w:bookmarkEnd w:id="119"/>
    </w:p>
    <w:p>
      <w:pPr>
        <w:pStyle w:val="FirstParagraph"/>
        <w:keepNext/>
        <w:spacing w:line="300" w:lineRule="auto" w:before="120" w:after="80"/>
        <w:ind w:firstLine="0"/>
        <w:jc w:val="center"/>
      </w:pPr>
      <w:r>
        <w:rPr>
          <w:rFonts w:ascii="Times New Roman" w:hAnsi="Times New Roman" w:eastAsia="宋体"/>
          <w:b w:val="0"/>
          <w:sz w:val="21"/>
        </w:rPr>
        <w:t xml:space="preserve">表3-11 第4年站级净负荷方向统计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变电站数量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反向较大站数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存在反向净负荷站数</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r>
    </w:tbl>
    <w:p>
      <w:pPr>
        <w:pStyle w:val="2"/>
        <w:widowControl/>
        <w:spacing w:line="300" w:lineRule="auto" w:before="0" w:after="0"/>
        <w:ind w:firstLine="480"/>
        <w:jc w:val="both"/>
      </w:pPr>
      <w:r>
        <w:rPr>
          <w:rFonts w:ascii="Times New Roman" w:hAnsi="Times New Roman" w:eastAsia="方正仿宋_GBK"/>
          <w:b w:val="0"/>
          <w:sz w:val="24"/>
        </w:rPr>
        <w:t xml:space="preserve">方向统计以转接前最大正向、反向净负荷比较得到。存在反向净负荷的站点中，部分站仍以正向峰值为主；最大绝对值所在站与反向较大的站也可能不同。规划中分别保留两个方向，供电和反向承载使用对应容量约束。</w:t>
      </w:r>
    </w:p>
    <w:p>
      <w:bookmarkStart w:id="1299" w:name="h299"/>
      <w:pPr>
        <w:pStyle w:val="4"/>
        <w:keepNext/>
        <w:numPr>
          <w:numId w:val="0"/>
        </w:numPr>
        <w:spacing w:line="360" w:lineRule="auto" w:before="160" w:after="120"/>
        <w:ind w:firstLine="0"/>
      </w:pPr>
      <w:bookmarkStart w:id="120" w:name="数据基础的适用范围"/>
      <w:r>
        <w:rPr>
          <w:rFonts w:ascii="Times New Roman" w:hAnsi="Times New Roman" w:eastAsia="方正仿宋_GBK"/>
          <w:b/>
          <w:sz w:val="32"/>
        </w:rPr>
        <w:t xml:space="preserve">3.8 数据基础的适用范围</w:t>
      </w:r>
      <w:bookmarkEnd w:id="120"/>
      <w:bookmarkEnd w:id="1299"/>
    </w:p>
    <w:p>
      <w:pPr>
        <w:pStyle w:val="FirstParagraph"/>
        <w:widowControl/>
        <w:spacing w:line="300" w:lineRule="auto" w:before="0" w:after="0"/>
        <w:ind w:firstLine="480"/>
        <w:jc w:val="both"/>
      </w:pPr>
      <w:r>
        <w:rPr>
          <w:rFonts w:ascii="Times New Roman" w:hAnsi="Times New Roman" w:eastAsia="方正仿宋_GBK"/>
          <w:b w:val="0"/>
          <w:sz w:val="24"/>
        </w:rPr>
        <w:t xml:space="preserve">现有收资能够支持年度区县容量对照、站级静态压力筛查和统一费用比较。分布式电源装机渗透率、分布式电源电量渗透率及站级仿真净负荷含估计成分，报告以算式和条件说明其用途。月度相关性用于样本分析，2025年持续时间模板用于规划仿真。</w:t>
      </w:r>
    </w:p>
    <w:p>
      <w:pPr>
        <w:pStyle w:val="2"/>
        <w:widowControl/>
        <w:spacing w:line="300" w:lineRule="auto" w:before="0" w:after="0"/>
        <w:ind w:firstLine="480"/>
        <w:jc w:val="both"/>
      </w:pPr>
      <w:r>
        <w:rPr>
          <w:rFonts w:ascii="Times New Roman" w:hAnsi="Times New Roman" w:eastAsia="方正仿宋_GBK"/>
          <w:b w:val="0"/>
          <w:sz w:val="24"/>
        </w:rPr>
        <w:t xml:space="preserve">后续工程应用应优先核定年网供最大负荷形成记录、同范围用户年电量、市区完整设备映射及馈线实际约束。取得核定数据后，应重新计算指标和方案费用。原始年度负荷保留历史波动，增长情景用于确定后续规划需求。</w:t>
      </w:r>
    </w:p>
    <w:p>
      <w:bookmarkStart w:id="1302" w:name="h302"/>
      <w:pPr>
        <w:pStyle w:val="3"/>
        <w:keepNext/>
        <w:pageBreakBefore/>
        <w:numPr>
          <w:numId w:val="0"/>
        </w:numPr>
        <w:spacing w:line="360" w:lineRule="auto" w:before="0" w:after="120"/>
        <w:ind w:firstLine="0"/>
      </w:pPr>
      <w:bookmarkStart w:id="121" w:name="第四章-基于实际工程的建设成本模型"/>
      <w:r>
        <w:rPr>
          <w:rFonts w:ascii="Times New Roman" w:hAnsi="Times New Roman" w:eastAsia="方正仿宋_GBK"/>
          <w:b/>
          <w:sz w:val="36"/>
        </w:rPr>
        <w:t xml:space="preserve">第四章 基于实际工程的建设成本模型</w:t>
      </w:r>
      <w:bookmarkEnd w:id="121"/>
      <w:bookmarkEnd w:id="1302"/>
    </w:p>
    <w:p>
      <w:bookmarkStart w:id="1303" w:name="h303"/>
      <w:pPr>
        <w:pStyle w:val="4"/>
        <w:keepNext/>
        <w:numPr>
          <w:numId w:val="0"/>
        </w:numPr>
        <w:spacing w:line="360" w:lineRule="auto" w:before="160" w:after="120"/>
        <w:ind w:firstLine="0"/>
      </w:pPr>
      <w:bookmarkStart w:id="122" w:name="成本模型的范围与建立原则"/>
      <w:r>
        <w:rPr>
          <w:rFonts w:ascii="Times New Roman" w:hAnsi="Times New Roman" w:eastAsia="方正仿宋_GBK"/>
          <w:b/>
          <w:sz w:val="32"/>
        </w:rPr>
        <w:t xml:space="preserve">4.1 成本模型的范围与建立原则</w:t>
      </w:r>
      <w:bookmarkEnd w:id="122"/>
      <w:bookmarkEnd w:id="1303"/>
    </w:p>
    <w:p>
      <w:pPr>
        <w:pStyle w:val="5"/>
        <w:keepNext/>
        <w:numPr>
          <w:numId w:val="0"/>
        </w:numPr>
        <w:spacing w:line="360" w:lineRule="auto" w:before="160" w:after="120"/>
        <w:ind w:firstLine="0"/>
      </w:pPr>
      <w:bookmarkStart w:id="123" w:name="工程事件与价格口径"/>
      <w:r>
        <w:rPr>
          <w:rFonts w:ascii="Times New Roman" w:hAnsi="Times New Roman" w:eastAsia="方正仿宋_GBK"/>
          <w:b/>
          <w:sz w:val="26"/>
        </w:rPr>
        <w:t xml:space="preserve">4.1.1 工程事件与价格口径</w:t>
      </w:r>
      <w:bookmarkEnd w:id="123"/>
    </w:p>
    <w:p>
      <w:pPr>
        <w:pStyle w:val="FirstParagraph"/>
        <w:widowControl/>
        <w:spacing w:line="300" w:lineRule="auto" w:before="0" w:after="0"/>
        <w:ind w:firstLine="480"/>
        <w:jc w:val="both"/>
      </w:pPr>
      <w:r>
        <w:rPr>
          <w:rFonts w:ascii="Times New Roman" w:hAnsi="Times New Roman" w:eastAsia="方正仿宋_GBK"/>
          <w:b w:val="0"/>
          <w:sz w:val="24"/>
        </w:rPr>
        <w:t xml:space="preserve">本研究比较新增主变、储能与10 kV联络措施的增量费用。先识别每年发生的工程事件，再按工程规模和统一价格计算投资。主变更换以整台新购铭牌容量计价，增加第三台主变按独立扩建项目计价，储能按新增柜数计价，线路按当年新投运条数计价。既有资产只影响技术条件，其原建设费用不重复计入。</w:t>
      </w:r>
    </w:p>
    <w:p>
      <w:pPr>
        <w:pStyle w:val="2"/>
        <w:widowControl/>
        <w:spacing w:line="300" w:lineRule="auto" w:before="0" w:after="0"/>
        <w:ind w:firstLine="480"/>
        <w:jc w:val="both"/>
      </w:pPr>
      <w:r>
        <w:rPr>
          <w:rFonts w:ascii="Times New Roman" w:hAnsi="Times New Roman" w:eastAsia="方正仿宋_GBK"/>
          <w:b w:val="0"/>
          <w:sz w:val="24"/>
        </w:rPr>
        <w:t xml:space="preserve">主变、储能与线路均按项目范围使用价格。徐州主变投资表的静态总投资包括工程配套内容；储能成交公告包括设备采购及安装等范围；线路参考价来自公开规划造价。参考价格按各案例工程范围折算，通过主变与线路、主变与储能两个成本比检查价格变化对措施选择的影响[70][71][73]。</w:t>
      </w:r>
    </w:p>
    <w:p>
      <w:pPr>
        <w:pStyle w:val="5"/>
        <w:keepNext/>
        <w:numPr>
          <w:numId w:val="0"/>
        </w:numPr>
        <w:spacing w:line="360" w:lineRule="auto" w:before="160" w:after="120"/>
        <w:ind w:firstLine="0"/>
      </w:pPr>
      <w:bookmarkStart w:id="124" w:name="投资运维与更新"/>
      <w:r>
        <w:rPr>
          <w:rFonts w:ascii="Times New Roman" w:hAnsi="Times New Roman" w:eastAsia="方正仿宋_GBK"/>
          <w:b/>
          <w:sz w:val="26"/>
        </w:rPr>
        <w:t xml:space="preserve">4.1.2 投资、运维与更新</w:t>
      </w:r>
      <w:bookmarkEnd w:id="124"/>
    </w:p>
    <w:p>
      <w:pPr>
        <w:pStyle w:val="FirstParagraph"/>
        <w:widowControl/>
        <w:spacing w:line="300" w:lineRule="auto" w:before="0" w:after="0"/>
        <w:ind w:firstLine="480"/>
        <w:jc w:val="both"/>
      </w:pPr>
      <w:r>
        <w:rPr>
          <w:rFonts w:ascii="Times New Roman" w:hAnsi="Times New Roman" w:eastAsia="方正仿宋_GBK"/>
          <w:b w:val="0"/>
          <w:sz w:val="24"/>
        </w:rPr>
        <w:t xml:space="preserve">全寿命费用以2021年末为评价基准，截止于2041年。新增工程在投运年发生初始投资，次年起计固定运维；设备达到设定寿命且评价期尚需服务时，按同等实价更新。不同寿命的措施以同一现金流边界比较[20][21][22]。</w:t>
      </w:r>
    </w:p>
    <w:p>
      <w:pPr>
        <w:pStyle w:val="2"/>
        <w:widowControl/>
        <w:spacing w:line="300" w:lineRule="auto" w:before="0" w:after="0"/>
        <w:ind w:firstLine="480"/>
        <w:jc w:val="both"/>
      </w:pPr>
      <w:r>
        <w:rPr>
          <w:rFonts w:ascii="Times New Roman" w:hAnsi="Times New Roman" w:eastAsia="方正仿宋_GBK"/>
          <w:b w:val="0"/>
          <w:sz w:val="24"/>
        </w:rPr>
        <w:t xml:space="preserve">模型寿命参数为主变20年、线路20年、储能10年，固定运维比例为主变和线路1%、储能3%，折现率6%。这些参数为本研究统一评价假定，现值计算采用相关文献的全寿命费用方法。参数选择使储能更新费用在长期比较中明确出现，同时保持两方案完全一致。</w:t>
      </w:r>
    </w:p>
    <w:p>
      <w:pPr>
        <w:pStyle w:val="2"/>
        <w:keepNext/>
        <w:spacing w:line="300" w:lineRule="auto" w:before="120" w:after="80"/>
        <w:ind w:firstLine="0"/>
        <w:jc w:val="center"/>
      </w:pPr>
      <w:r>
        <w:rPr>
          <w:rFonts w:ascii="Times New Roman" w:hAnsi="Times New Roman" w:eastAsia="宋体"/>
          <w:b w:val="0"/>
          <w:sz w:val="21"/>
        </w:rPr>
        <w:t xml:space="preserve">表4-1 统一经济评价假定</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取值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依据性质</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基准年／截止年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2021／2041</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研究评价边界</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折现率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统一实价评价假定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主变／线路寿命</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20／20年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研究寿命假定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储能寿命</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更新周期假定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主变／线路固定运维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初始投资1%/年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统一研究参数</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储能固定运维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初始投资3%/年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统一研究参数</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旧设备回收／期末残值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未计</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无同范围可靠依据</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储能充电购电／损耗电费</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未计</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未取得统一运行资料</w:t>
            </w:r>
          </w:p>
        </w:tc>
      </w:tr>
    </w:tbl>
    <w:p>
      <w:pPr>
        <w:pStyle w:val="5"/>
        <w:keepNext/>
        <w:numPr>
          <w:numId w:val="0"/>
        </w:numPr>
        <w:spacing w:line="360" w:lineRule="auto" w:before="160" w:after="120"/>
        <w:ind w:firstLine="0"/>
      </w:pPr>
      <w:bookmarkStart w:id="125" w:name="增量比较的适用范围"/>
      <w:r>
        <w:rPr>
          <w:rFonts w:ascii="Times New Roman" w:hAnsi="Times New Roman" w:eastAsia="方正仿宋_GBK"/>
          <w:b/>
          <w:sz w:val="26"/>
        </w:rPr>
        <w:t xml:space="preserve">4.1.3 增量比较的适用范围</w:t>
      </w:r>
      <w:bookmarkEnd w:id="125"/>
    </w:p>
    <w:p>
      <w:pPr>
        <w:pStyle w:val="FirstParagraph"/>
        <w:widowControl/>
        <w:spacing w:line="300" w:lineRule="auto" w:before="0" w:after="0"/>
        <w:ind w:firstLine="480"/>
        <w:jc w:val="both"/>
      </w:pPr>
      <w:r>
        <w:rPr>
          <w:rFonts w:ascii="Times New Roman" w:hAnsi="Times New Roman" w:eastAsia="方正仿宋_GBK"/>
          <w:b w:val="0"/>
          <w:sz w:val="24"/>
        </w:rPr>
        <w:t xml:space="preserve">2021年存量投资是两方案共有历史费用，不进入增量目标。基期按仿真设备结构确定容量，年网供最大负荷统一标定到容载比2.0。2022年以后增加的措施按明确的购置和投运量计取，后续在役容量非减。该边界使费用差主要来自规划期新增措施及其投运时点。</w:t>
      </w:r>
    </w:p>
    <w:p>
      <w:pPr>
        <w:pStyle w:val="2"/>
        <w:widowControl/>
        <w:spacing w:line="300" w:lineRule="auto" w:before="0" w:after="0"/>
        <w:ind w:firstLine="480"/>
        <w:jc w:val="both"/>
      </w:pPr>
      <w:r>
        <w:rPr>
          <w:rFonts w:ascii="Times New Roman" w:hAnsi="Times New Roman" w:eastAsia="方正仿宋_GBK"/>
          <w:b w:val="0"/>
          <w:sz w:val="24"/>
        </w:rPr>
        <w:t xml:space="preserve">费用目标采用新增建设、固定运维和寿命更新支出，按无期末残值、无处置收益的研究条件计算。工程审定时以项目概算及运行资料更新对应现金流。</w:t>
      </w:r>
    </w:p>
    <w:p>
      <w:bookmarkStart w:id="1314" w:name="h314"/>
      <w:pPr>
        <w:pStyle w:val="4"/>
        <w:keepNext/>
        <w:numPr>
          <w:numId w:val="0"/>
        </w:numPr>
        <w:spacing w:line="360" w:lineRule="auto" w:before="160" w:after="120"/>
        <w:ind w:firstLine="0"/>
      </w:pPr>
      <w:bookmarkStart w:id="126" w:name="主变工程成本系数"/>
      <w:r>
        <w:rPr>
          <w:rFonts w:ascii="Times New Roman" w:hAnsi="Times New Roman" w:eastAsia="方正仿宋_GBK"/>
          <w:b/>
          <w:sz w:val="32"/>
        </w:rPr>
        <w:t xml:space="preserve">4.2 主变工程成本系数</w:t>
      </w:r>
      <w:bookmarkEnd w:id="126"/>
      <w:bookmarkEnd w:id="1314"/>
    </w:p>
    <w:p>
      <w:pPr>
        <w:pStyle w:val="5"/>
        <w:keepNext/>
        <w:numPr>
          <w:numId w:val="0"/>
        </w:numPr>
        <w:spacing w:line="360" w:lineRule="auto" w:before="160" w:after="120"/>
        <w:ind w:firstLine="0"/>
      </w:pPr>
      <w:bookmarkStart w:id="127" w:name="替换工程案例"/>
      <w:r>
        <w:rPr>
          <w:rFonts w:ascii="Times New Roman" w:hAnsi="Times New Roman" w:eastAsia="方正仿宋_GBK"/>
          <w:b/>
          <w:sz w:val="26"/>
        </w:rPr>
        <w:t xml:space="preserve">4.2.1 替换工程案例</w:t>
      </w:r>
      <w:bookmarkEnd w:id="127"/>
    </w:p>
    <w:p>
      <w:pPr>
        <w:pStyle w:val="FirstParagraph"/>
        <w:widowControl/>
        <w:spacing w:line="300" w:lineRule="auto" w:before="0" w:after="0"/>
        <w:ind w:firstLine="480"/>
        <w:jc w:val="both"/>
      </w:pPr>
      <w:r>
        <w:rPr>
          <w:rFonts w:ascii="Times New Roman" w:hAnsi="Times New Roman" w:eastAsia="方正仿宋_GBK"/>
          <w:b w:val="0"/>
          <w:sz w:val="24"/>
        </w:rPr>
        <w:t xml:space="preserve">徐州投资汇总表中，王庄110 kV变电站2号主变由20 MVA更换为50 MVA，静态投资1151万元；鲁庙110 kV变电站两台主变由2×31.5 MVA更换为2×50 MVA，静态投资1335万元。原表位置分别为Sheet1第21行和第36行[70]。</w:t>
      </w:r>
    </w:p>
    <w:p>
      <w:pPr>
        <w:pStyle w:val="2"/>
        <w:widowControl/>
        <w:spacing w:line="300" w:lineRule="auto" w:before="0" w:after="0"/>
        <w:ind w:firstLine="480"/>
        <w:jc w:val="both"/>
      </w:pPr>
      <w:r>
        <w:rPr>
          <w:rFonts w:ascii="Times New Roman" w:hAnsi="Times New Roman" w:eastAsia="方正仿宋_GBK"/>
          <w:b w:val="0"/>
          <w:sz w:val="24"/>
        </w:rPr>
        <w:t xml:space="preserve">两个案例采购容量分别为50 MVA和100 MVA，容量净增分别为30 MVA和37 MVA。王庄包含新增9回10 kV出线，鲁庙包含新增1回10 kV出线。模型按两项目静态总投资形成含配套工程的主变更换参考系数。</w:t>
      </w:r>
    </w:p>
    <w:p>
      <w:pPr>
        <w:pStyle w:val="2"/>
        <w:keepNext/>
        <w:spacing w:line="300" w:lineRule="auto" w:before="120" w:after="80"/>
        <w:ind w:firstLine="0"/>
        <w:jc w:val="center"/>
      </w:pPr>
      <w:r>
        <w:rPr>
          <w:rFonts w:ascii="Times New Roman" w:hAnsi="Times New Roman" w:eastAsia="宋体"/>
          <w:b w:val="0"/>
          <w:sz w:val="21"/>
        </w:rPr>
        <w:t xml:space="preserve">表4-2 徐州110 kV主变工程价格依据[70]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项目</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新购/MVA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退出/MVA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1335</w:t>
            </w:r>
          </w:p>
        </w:tc>
      </w:tr>
    </w:tbl>
    <w:p>
      <w:pPr>
        <w:pStyle w:val="5"/>
        <w:keepNext/>
        <w:numPr>
          <w:numId w:val="0"/>
        </w:numPr>
        <w:spacing w:line="360" w:lineRule="auto" w:before="160" w:after="120"/>
        <w:ind w:firstLine="0"/>
      </w:pPr>
      <w:bookmarkStart w:id="128" w:name="采购容量加权系数"/>
      <w:r>
        <w:rPr>
          <w:rFonts w:ascii="Times New Roman" w:hAnsi="Times New Roman" w:eastAsia="方正仿宋_GBK"/>
          <w:b/>
          <w:sz w:val="26"/>
        </w:rPr>
        <w:t xml:space="preserve">4.2.2 采购容量加权系数</w:t>
      </w:r>
      <w:bookmarkEnd w:id="128"/>
    </w:p>
    <w:p>
      <w:pPr>
        <w:pStyle w:val="FirstParagraph"/>
        <w:widowControl/>
        <w:spacing w:line="300" w:lineRule="auto" w:before="0" w:after="0"/>
        <w:ind w:firstLine="480"/>
        <w:jc w:val="both"/>
      </w:pPr>
      <w:r>
        <w:rPr>
          <w:rFonts w:ascii="Times New Roman" w:hAnsi="Times New Roman" w:eastAsia="方正仿宋_GBK"/>
          <w:b w:val="0"/>
          <w:sz w:val="24"/>
        </w:rPr>
        <w:t xml:space="preserve">替换工程系数按两个案例静态投资之和除以新购铭牌容量之和计算，使用采购容量加权。参考系数按式（4-1）计算。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c</m:t>
                    </m:r>
                  </m:e>
                  <m:sub>
                    <m:r>
                      <m:t>T</m:t>
                    </m:r>
                  </m:sub>
                </m:sSub>
                <m:r>
                  <m:t>=</m:t>
                </m:r>
                <m:f>
                  <m:fPr>
                    <m:type m:val="bar"/>
                  </m:fPr>
                  <m:num>
                    <m:r>
                      <m:t>1151</m:t>
                    </m:r>
                    <m:r>
                      <m:t>+</m:t>
                    </m:r>
                    <m:r>
                      <m:t>1335</m:t>
                    </m:r>
                  </m:num>
                  <m:den>
                    <m:r>
                      <m:t>50</m:t>
                    </m:r>
                    <m:r>
                      <m:t>+</m:t>
                    </m:r>
                    <m:r>
                      <m:t>100</m:t>
                    </m:r>
                  </m:den>
                </m:f>
                <m:r>
                  <m:t>=</m:t>
                </m:r>
                <m:r>
                  <m:t>16.573333</m:t>
                </m:r>
                <m:r>
                  <m:t> </m:t>
                </m:r>
                <m:r>
                  <m:rPr>
                    <m:nor/>
                    <m:sty m:val="p"/>
                  </m:rPr>
                  <m:t>万元/MVA</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c</m:t>
            </m:r>
          </m:e>
          <m:sub>
            <m: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00" w:lineRule="auto"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00" w:lineRule="auto" w:before="0" w:after="0"/>
        <w:ind w:firstLine="480"/>
        <w:jc w:val="both"/>
      </w:pPr>
      <w:r>
        <w:rPr>
          <w:rFonts w:ascii="Times New Roman" w:hAnsi="Times New Roman" w:eastAsia="方正仿宋_GBK"/>
          <w:b w:val="0"/>
          <w:sz w:val="24"/>
        </w:rPr>
        <w:t xml:space="preserve">主变采购有效MW按功率因数0.95折算，单位费用为16.573333/0.95=17.445614万元/有效MW。该分母是新购容量对应的有效功率，用于与其他措施价格尺度比较。它不包含退出旧主变后的净增效益。</w:t>
      </w:r>
    </w:p>
    <w:p>
      <w:pPr>
        <w:pStyle w:val="5"/>
        <w:keepNext/>
        <w:numPr>
          <w:numId w:val="0"/>
        </w:numPr>
        <w:spacing w:line="360" w:lineRule="auto" w:before="160" w:after="120"/>
        <w:ind w:firstLine="0"/>
      </w:pPr>
      <w:bookmarkStart w:id="129" w:name="净增容量与工程费用"/>
      <w:r>
        <w:rPr>
          <w:rFonts w:ascii="Times New Roman" w:hAnsi="Times New Roman" w:eastAsia="方正仿宋_GBK"/>
          <w:b/>
          <w:sz w:val="26"/>
        </w:rPr>
        <w:t xml:space="preserve">4.2.3 净增容量与工程费用</w:t>
      </w:r>
      <w:bookmarkEnd w:id="129"/>
    </w:p>
    <w:p>
      <w:pPr>
        <w:pStyle w:val="FirstParagraph"/>
        <w:widowControl/>
        <w:spacing w:line="300" w:lineRule="auto" w:before="0" w:after="0"/>
        <w:ind w:firstLine="480"/>
        <w:jc w:val="both"/>
      </w:pPr>
      <w:r>
        <w:rPr>
          <w:rFonts w:ascii="Times New Roman" w:hAnsi="Times New Roman" w:eastAsia="方正仿宋_GBK"/>
          <w:b w:val="0"/>
          <w:sz w:val="24"/>
        </w:rPr>
        <w:t xml:space="preserve">王庄净增30 MVA，按净增有效MW摊价为1151/[30×0.95]=40.385965万元/MW。该价格高于按新购50 MVA摊价，原因是新购设备需要替换原有20 MVA供电能力。鲁庙的净增比例不同，替换投资分别按实际采购容量计算。</w:t>
      </w:r>
    </w:p>
    <w:p>
      <w:pPr>
        <w:pStyle w:val="2"/>
        <w:widowControl/>
        <w:spacing w:line="300" w:lineRule="auto" w:before="0" w:after="0"/>
        <w:ind w:firstLine="480"/>
        <w:jc w:val="both"/>
      </w:pPr>
      <w:r>
        <w:rPr>
          <w:rFonts w:ascii="Times New Roman" w:hAnsi="Times New Roman" w:eastAsia="方正仿宋_GBK"/>
          <w:b w:val="0"/>
          <w:sz w:val="24"/>
        </w:rPr>
        <w:t xml:space="preserve">对站</w:t>
      </w:r>
      <m:oMath>
        <m:r>
          <m:t>i</m:t>
        </m:r>
      </m:oMath>
      <w:r>
        <w:rPr>
          <w:rFonts w:ascii="Times New Roman" w:hAnsi="Times New Roman" w:eastAsia="方正仿宋_GBK"/>
          <w:b w:val="0"/>
          <w:sz w:val="24"/>
        </w:rPr>
        <w:t xml:space="preserve">、主变槽位</w:t>
      </w:r>
      <m:oMath>
        <m:r>
          <m:t>k</m:t>
        </m:r>
      </m:oMath>
      <w:r>
        <w:rPr>
          <w:rFonts w:ascii="Times New Roman" w:hAnsi="Times New Roman" w:eastAsia="方正仿宋_GBK"/>
          <w:b w:val="0"/>
          <w:sz w:val="24"/>
        </w:rPr>
        <w:t xml:space="preserve">、投运年份</w:t>
      </w:r>
      <m:oMath>
        <m:r>
          <m:t>y</m:t>
        </m:r>
      </m:oMath>
      <w:r>
        <w:rPr>
          <w:rFonts w:ascii="Times New Roman" w:hAnsi="Times New Roman" w:eastAsia="方正仿宋_GBK"/>
          <w:b w:val="0"/>
          <w:sz w:val="24"/>
        </w:rPr>
        <w:t xml:space="preserve">，若容量由</w:t>
      </w:r>
      <m:oMath>
        <m:sSup>
          <m:e>
            <m:r>
              <m:t>S</m:t>
            </m:r>
          </m:e>
          <m:sup>
            <m:r>
              <m:rPr>
                <m:sty m:val="p"/>
              </m:rPr>
              <m:t>o</m:t>
            </m:r>
            <m:r>
              <m:rPr>
                <m:sty m:val="p"/>
              </m:rPr>
              <m:t>l</m:t>
            </m:r>
            <m:r>
              <m:rPr>
                <m:sty m:val="p"/>
              </m:rPr>
              <m:t>d</m:t>
            </m:r>
          </m:sup>
        </m:sSup>
      </m:oMath>
      <w:r>
        <w:rPr>
          <w:rFonts w:ascii="Times New Roman" w:hAnsi="Times New Roman" w:eastAsia="方正仿宋_GBK"/>
          <w:b w:val="0"/>
          <w:sz w:val="24"/>
        </w:rPr>
        <w:t xml:space="preserve">更换为</w:t>
      </w:r>
      <m:oMath>
        <m:sSup>
          <m:e>
            <m:r>
              <m:t>S</m:t>
            </m:r>
          </m:e>
          <m:sup>
            <m:r>
              <m:rPr>
                <m:sty m:val="p"/>
              </m:rPr>
              <m:t>n</m:t>
            </m:r>
            <m:r>
              <m:rPr>
                <m:sty m:val="p"/>
              </m:rPr>
              <m:t>e</m:t>
            </m:r>
            <m:r>
              <m:rPr>
                <m:sty m:val="p"/>
              </m:rPr>
              <m:t>w</m:t>
            </m:r>
          </m:sup>
        </m:sSup>
      </m:oMath>
      <w:r>
        <w:rPr>
          <w:rFonts w:ascii="Times New Roman" w:hAnsi="Times New Roman" w:eastAsia="方正仿宋_GBK"/>
          <w:b w:val="0"/>
          <w:sz w:val="24"/>
        </w:rPr>
        <w:t xml:space="preserve">，工程投资按</w:t>
      </w:r>
      <m:oMath>
        <m:sSub>
          <m:e>
            <m:r>
              <m:t>c</m:t>
            </m:r>
          </m:e>
          <m:sub>
            <m:r>
              <m:t>T</m:t>
            </m:r>
          </m:sub>
        </m:sSub>
        <m:sSup>
          <m:e>
            <m:r>
              <m:t>S</m:t>
            </m:r>
          </m:e>
          <m:sup>
            <m:r>
              <m:rPr>
                <m:sty m:val="p"/>
              </m:rPr>
              <m:t>n</m:t>
            </m:r>
            <m:r>
              <m:rPr>
                <m:sty m:val="p"/>
              </m:rPr>
              <m:t>e</m:t>
            </m:r>
            <m:r>
              <m:rPr>
                <m:sty m:val="p"/>
              </m:rPr>
              <m:t>w</m:t>
            </m:r>
          </m:sup>
        </m:sSup>
      </m:oMath>
      <w:r>
        <w:rPr>
          <w:rFonts w:ascii="Times New Roman" w:hAnsi="Times New Roman" w:eastAsia="方正仿宋_GBK"/>
          <w:b w:val="0"/>
          <w:sz w:val="24"/>
        </w:rPr>
        <w:t xml:space="preserve">计取。设备容量增加</w:t>
      </w:r>
      <m:oMath>
        <m:sSup>
          <m:e>
            <m:r>
              <m:t>S</m:t>
            </m:r>
          </m:e>
          <m:sup>
            <m:r>
              <m:rPr>
                <m:sty m:val="p"/>
              </m:rPr>
              <m:t>n</m:t>
            </m:r>
            <m:r>
              <m:rPr>
                <m:sty m:val="p"/>
              </m:rPr>
              <m:t>e</m:t>
            </m:r>
            <m:r>
              <m:rPr>
                <m:sty m:val="p"/>
              </m:rPr>
              <m:t>w</m:t>
            </m:r>
          </m:sup>
        </m:sSup>
        <m:r>
          <m:t>−</m:t>
        </m:r>
        <m:sSup>
          <m:e>
            <m:r>
              <m:t>S</m:t>
            </m:r>
          </m:e>
          <m:sup>
            <m:r>
              <m:rPr>
                <m:sty m:val="p"/>
              </m:rPr>
              <m:t>o</m:t>
            </m:r>
            <m:r>
              <m:rPr>
                <m:sty m:val="p"/>
              </m:rPr>
              <m:t>l</m:t>
            </m:r>
            <m:r>
              <m:rPr>
                <m:sty m:val="p"/>
              </m: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r>
                            <m:t>I</m:t>
                          </m:r>
                        </m:e>
                        <m:sub>
                          <m:r>
                            <m:t>T</m:t>
                          </m:r>
                          <m:r>
                            <m:t>,</m:t>
                          </m:r>
                          <m:r>
                            <m:t>i</m:t>
                          </m:r>
                          <m:r>
                            <m:t>k</m:t>
                          </m:r>
                          <m:r>
                            <m:t>y</m:t>
                          </m:r>
                        </m:sub>
                      </m:sSub>
                    </m:e>
                    <m:e>
                      <m:r>
                        <m:t>=</m:t>
                      </m:r>
                      <m:sSub>
                        <m:e>
                          <m:r>
                            <m:t>c</m:t>
                          </m:r>
                        </m:e>
                        <m:sub>
                          <m:r>
                            <m:t>T</m:t>
                          </m:r>
                        </m:sub>
                      </m:sSub>
                      <m:sSubSup>
                        <m:e>
                          <m:r>
                            <m:t>S</m:t>
                          </m:r>
                        </m:e>
                        <m:sub>
                          <m:r>
                            <m:t>i</m:t>
                          </m:r>
                          <m:r>
                            <m:t>k</m:t>
                          </m:r>
                          <m:r>
                            <m:t>y</m:t>
                          </m:r>
                        </m:sub>
                        <m:sup>
                          <m:r>
                            <m:rPr>
                              <m:sty m:val="p"/>
                            </m:rPr>
                            <m:t>n</m:t>
                          </m:r>
                          <m:r>
                            <m:rPr>
                              <m:sty m:val="p"/>
                            </m:rPr>
                            <m:t>e</m:t>
                          </m:r>
                          <m:r>
                            <m:rPr>
                              <m:sty m:val="p"/>
                            </m:rPr>
                            <m:t>w</m:t>
                          </m:r>
                        </m:sup>
                      </m:sSubSup>
                      <m:r>
                        <m:t> </m:t>
                      </m:r>
                      <m:sSub>
                        <m:e>
                          <m:r>
                            <m:t>z</m:t>
                          </m:r>
                        </m:e>
                        <m:sub>
                          <m:r>
                            <m:t>i</m:t>
                          </m:r>
                          <m:r>
                            <m:t>k</m:t>
                          </m:r>
                          <m:r>
                            <m:t>y</m:t>
                          </m:r>
                        </m:sub>
                      </m:sSub>
                    </m:e>
                  </m:mr>
                  <m:mr>
                    <m:e>
                      <m:r>
                        <m:t>Δ</m:t>
                      </m:r>
                      <m:sSub>
                        <m:e>
                          <m:r>
                            <m:t>S</m:t>
                          </m:r>
                        </m:e>
                        <m:sub>
                          <m:r>
                            <m:t>i</m:t>
                          </m:r>
                          <m:r>
                            <m:t>k</m:t>
                          </m:r>
                          <m:r>
                            <m:t>y</m:t>
                          </m:r>
                        </m:sub>
                      </m:sSub>
                    </m:e>
                    <m:e>
                      <m:r>
                        <m:t>=</m:t>
                      </m:r>
                      <m:d>
                        <m:dPr>
                          <m:begChr m:val="("/>
                          <m:endChr m:val=")"/>
                          <m:grow/>
                        </m:dPr>
                        <m:e>
                          <m:sSubSup>
                            <m:e>
                              <m:r>
                                <m:t>S</m:t>
                              </m:r>
                            </m:e>
                            <m:sub>
                              <m:r>
                                <m:t>i</m:t>
                              </m:r>
                              <m:r>
                                <m:t>k</m:t>
                              </m:r>
                              <m:r>
                                <m:t>y</m:t>
                              </m:r>
                            </m:sub>
                            <m:sup>
                              <m:r>
                                <m:rPr>
                                  <m:sty m:val="p"/>
                                </m:rPr>
                                <m:t>n</m:t>
                              </m:r>
                              <m:r>
                                <m:rPr>
                                  <m:sty m:val="p"/>
                                </m:rPr>
                                <m:t>e</m:t>
                              </m:r>
                              <m:r>
                                <m:rPr>
                                  <m:sty m:val="p"/>
                                </m:rPr>
                                <m:t>w</m:t>
                              </m:r>
                            </m:sup>
                          </m:sSubSup>
                          <m:r>
                            <m:t>−</m:t>
                          </m:r>
                          <m:sSubSup>
                            <m:e>
                              <m:r>
                                <m:t>S</m:t>
                              </m:r>
                            </m:e>
                            <m:sub>
                              <m:r>
                                <m:t>i</m:t>
                              </m:r>
                              <m:r>
                                <m:t>k</m:t>
                              </m:r>
                              <m:r>
                                <m:t>,</m:t>
                              </m:r>
                              <m:r>
                                <m:t>y</m:t>
                              </m:r>
                              <m:r>
                                <m:t>−</m:t>
                              </m:r>
                              <m:r>
                                <m:t>1</m:t>
                              </m:r>
                            </m:sub>
                            <m:sup>
                              <m:r>
                                <m:rPr>
                                  <m:sty m:val="p"/>
                                </m:rPr>
                                <m:t>o</m:t>
                              </m:r>
                              <m:r>
                                <m:rPr>
                                  <m:sty m:val="p"/>
                                </m:rPr>
                                <m:t>l</m:t>
                              </m:r>
                              <m:r>
                                <m:rPr>
                                  <m:sty m:val="p"/>
                                </m:rPr>
                                <m:t>d</m:t>
                              </m:r>
                            </m:sup>
                          </m:sSubSup>
                        </m:e>
                      </m:d>
                      <m:sSub>
                        <m:e>
                          <m:r>
                            <m:t>z</m:t>
                          </m:r>
                        </m:e>
                        <m:sub>
                          <m:r>
                            <m:t>i</m:t>
                          </m:r>
                          <m:r>
                            <m:t>k</m:t>
                          </m:r>
                          <m:r>
                            <m:t>y</m:t>
                          </m:r>
                        </m:sub>
                      </m:sSub>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（4-2）</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i</m:t>
        </m:r>
      </m:oMath>
      <w:r>
        <w:rPr>
          <w:rFonts w:ascii="Times New Roman" w:hAnsi="Times New Roman" w:eastAsia="方正仿宋_GBK"/>
          <w:b w:val="0"/>
          <w:sz w:val="24"/>
        </w:rPr>
        <w:t xml:space="preserve">为站号，</w:t>
      </w:r>
      <m:oMath>
        <m:r>
          <m:t>k</m:t>
        </m:r>
      </m:oMath>
      <w:r>
        <w:rPr>
          <w:rFonts w:ascii="Times New Roman" w:hAnsi="Times New Roman" w:eastAsia="方正仿宋_GBK"/>
          <w:b w:val="0"/>
          <w:sz w:val="24"/>
        </w:rPr>
        <w:t xml:space="preserve">为主变槽位，</w:t>
      </w:r>
      <m:oMath>
        <m:r>
          <m:t>y</m:t>
        </m:r>
      </m:oMath>
      <w:r>
        <w:rPr>
          <w:rFonts w:ascii="Times New Roman" w:hAnsi="Times New Roman" w:eastAsia="方正仿宋_GBK"/>
          <w:b w:val="0"/>
          <w:sz w:val="24"/>
        </w:rPr>
        <w:t xml:space="preserve">为投运年份；</w:t>
      </w:r>
      <m:oMath>
        <m:sSub>
          <m:e>
            <m:r>
              <m:t>I</m:t>
            </m:r>
          </m:e>
          <m:sub>
            <m:r>
              <m:t>T</m:t>
            </m:r>
            <m:r>
              <m:t>,</m:t>
            </m:r>
            <m:r>
              <m:t>i</m:t>
            </m:r>
            <m:r>
              <m:t>k</m:t>
            </m:r>
            <m:r>
              <m:t>y</m:t>
            </m:r>
          </m:sub>
        </m:sSub>
      </m:oMath>
      <w:r>
        <w:rPr>
          <w:rFonts w:ascii="Times New Roman" w:hAnsi="Times New Roman" w:eastAsia="方正仿宋_GBK"/>
          <w:b w:val="0"/>
          <w:sz w:val="24"/>
        </w:rPr>
        <w:t xml:space="preserve">为更换投资，单位万元；</w:t>
      </w:r>
      <m:oMath>
        <m:sSub>
          <m:e>
            <m:r>
              <m:t>c</m:t>
            </m:r>
          </m:e>
          <m:sub>
            <m:r>
              <m:t>T</m:t>
            </m:r>
          </m:sub>
        </m:sSub>
      </m:oMath>
      <w:r>
        <w:rPr>
          <w:rFonts w:ascii="Times New Roman" w:hAnsi="Times New Roman" w:eastAsia="方正仿宋_GBK"/>
          <w:b w:val="0"/>
          <w:sz w:val="24"/>
        </w:rPr>
        <w:t xml:space="preserve">为单位采购容量工程投资，单位万元/MVA；</w:t>
      </w:r>
      <m:oMath>
        <m:sSubSup>
          <m:e>
            <m:r>
              <m:t>S</m:t>
            </m:r>
          </m:e>
          <m:sub>
            <m:r>
              <m:t>i</m:t>
            </m:r>
            <m:r>
              <m:t>k</m:t>
            </m:r>
            <m:r>
              <m:t>y</m:t>
            </m:r>
          </m:sub>
          <m:sup>
            <m:r>
              <m:rPr>
                <m:sty m:val="p"/>
              </m:rPr>
              <m:t>n</m:t>
            </m:r>
            <m:r>
              <m:rPr>
                <m:sty m:val="p"/>
              </m:rPr>
              <m:t>e</m:t>
            </m:r>
            <m:r>
              <m:rPr>
                <m:sty m:val="p"/>
              </m:rPr>
              <m:t>w</m:t>
            </m:r>
          </m:sup>
        </m:sSubSup>
      </m:oMath>
      <w:r>
        <w:rPr>
          <w:rFonts w:ascii="Times New Roman" w:hAnsi="Times New Roman" w:eastAsia="方正仿宋_GBK"/>
          <w:b w:val="0"/>
          <w:sz w:val="24"/>
        </w:rPr>
        <w:t xml:space="preserve">和</w:t>
      </w:r>
      <m:oMath>
        <m:sSubSup>
          <m:e>
            <m:r>
              <m:t>S</m:t>
            </m:r>
          </m:e>
          <m:sub>
            <m:r>
              <m:t>i</m:t>
            </m:r>
            <m:r>
              <m:t>k</m:t>
            </m:r>
            <m:r>
              <m:t>,</m:t>
            </m:r>
            <m:r>
              <m:t>y</m:t>
            </m:r>
            <m:r>
              <m:t>−</m:t>
            </m:r>
            <m:r>
              <m:t>1</m:t>
            </m:r>
          </m:sub>
          <m:sup>
            <m:r>
              <m:rPr>
                <m:sty m:val="p"/>
              </m:rPr>
              <m:t>o</m:t>
            </m:r>
            <m:r>
              <m:rPr>
                <m:sty m:val="p"/>
              </m:rPr>
              <m:t>l</m:t>
            </m:r>
            <m:r>
              <m:rPr>
                <m:sty m:val="p"/>
              </m:rPr>
              <m:t>d</m:t>
            </m:r>
          </m:sup>
        </m:sSubSup>
      </m:oMath>
      <w:r>
        <w:rPr>
          <w:rFonts w:ascii="Times New Roman" w:hAnsi="Times New Roman" w:eastAsia="方正仿宋_GBK"/>
          <w:b w:val="0"/>
          <w:sz w:val="24"/>
        </w:rPr>
        <w:t xml:space="preserve">为更换前后容量，</w:t>
      </w:r>
      <m:oMath>
        <m:r>
          <m:t>Δ</m:t>
        </m:r>
        <m:sSub>
          <m:e>
            <m:r>
              <m:t>S</m:t>
            </m:r>
          </m:e>
          <m:sub>
            <m:r>
              <m:t>i</m:t>
            </m:r>
            <m:r>
              <m:t>k</m:t>
            </m:r>
            <m:r>
              <m:t>y</m:t>
            </m:r>
          </m:sub>
        </m:sSub>
      </m:oMath>
      <w:r>
        <w:rPr>
          <w:rFonts w:ascii="Times New Roman" w:hAnsi="Times New Roman" w:eastAsia="方正仿宋_GBK"/>
          <w:b w:val="0"/>
          <w:sz w:val="24"/>
        </w:rPr>
        <w:t xml:space="preserve">为容量净增，单位MVA；</w:t>
      </w:r>
      <m:oMath>
        <m:sSub>
          <m:e>
            <m:r>
              <m:t>z</m:t>
            </m:r>
          </m:e>
          <m:sub>
            <m:r>
              <m:t>i</m:t>
            </m:r>
            <m:r>
              <m:t>k</m:t>
            </m:r>
            <m:r>
              <m:t>y</m:t>
            </m:r>
          </m:sub>
        </m:sSub>
      </m:oMath>
      <w:r>
        <w:rPr>
          <w:rFonts w:ascii="Times New Roman" w:hAnsi="Times New Roman" w:eastAsia="方正仿宋_GBK"/>
          <w:b w:val="0"/>
          <w:sz w:val="24"/>
        </w:rPr>
        <w:t xml:space="preserve">为更换状态，发生更换取1，否则取0。未更换时投资为零；更换同一槽位后，新容量在后续年份持续在役。原设备退出没有可核定处置收益，目标中不设置回收抵扣。</w:t>
      </w:r>
    </w:p>
    <w:p>
      <w:pPr>
        <w:pStyle w:val="5"/>
        <w:keepNext/>
        <w:numPr>
          <w:numId w:val="0"/>
        </w:numPr>
        <w:spacing w:line="360" w:lineRule="auto" w:before="160" w:after="120"/>
        <w:ind w:firstLine="0"/>
      </w:pPr>
      <w:bookmarkStart w:id="130" w:name="第三台主变扩建"/>
      <w:r>
        <w:rPr>
          <w:rFonts w:ascii="Times New Roman" w:hAnsi="Times New Roman" w:eastAsia="方正仿宋_GBK"/>
          <w:b/>
          <w:sz w:val="26"/>
        </w:rPr>
        <w:t xml:space="preserve">4.2.4 第三台主变扩建</w:t>
      </w:r>
      <w:bookmarkEnd w:id="130"/>
    </w:p>
    <w:p>
      <w:pPr>
        <w:pStyle w:val="FirstParagraph"/>
        <w:widowControl/>
        <w:spacing w:line="300" w:lineRule="auto" w:before="0" w:after="0"/>
        <w:ind w:firstLine="480"/>
        <w:jc w:val="both"/>
      </w:pPr>
      <w:r>
        <w:rPr>
          <w:rFonts w:ascii="Times New Roman" w:hAnsi="Times New Roman" w:eastAsia="方正仿宋_GBK"/>
          <w:b w:val="0"/>
          <w:sz w:val="24"/>
        </w:rPr>
        <w:t xml:space="preserve">邢楼和墩集第三台扩建工程均采购50 MVA主变，各新增12回10 kV出线，静态总投资分别为1206万元和1240万元，见原表第14行及第16行[70]。同规模案例均值为1223万元，作为第三台50 MVA扩建仿真费用。</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I</m:t>
                    </m:r>
                  </m:e>
                  <m:sub>
                    <m:r>
                      <m:t>T</m:t>
                    </m:r>
                    <m:r>
                      <m:t>,</m:t>
                    </m:r>
                    <m:r>
                      <m:t>3</m:t>
                    </m:r>
                  </m:sub>
                </m:sSub>
                <m:r>
                  <m:t>=</m:t>
                </m:r>
                <m:f>
                  <m:fPr>
                    <m:type m:val="bar"/>
                  </m:fPr>
                  <m:num>
                    <m:r>
                      <m:t>1206</m:t>
                    </m:r>
                    <m:r>
                      <m:t>+</m:t>
                    </m:r>
                    <m:r>
                      <m:t>1240</m:t>
                    </m:r>
                  </m:num>
                  <m:den>
                    <m:r>
                      <m:t>2</m:t>
                    </m:r>
                  </m:den>
                </m:f>
                <m:r>
                  <m:t>=</m:t>
                </m:r>
                <m:r>
                  <m:t>1223</m:t>
                </m:r>
                <m:r>
                  <m:t> </m:t>
                </m:r>
                <m:r>
                  <m:rPr>
                    <m:nor/>
                    <m:sty m:val="p"/>
                  </m:rPr>
                  <m:t>万元/项</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I</m:t>
            </m:r>
          </m:e>
          <m:sub>
            <m:r>
              <m:t>T</m:t>
            </m:r>
            <m:r>
              <m:t>,</m:t>
            </m:r>
            <m:r>
              <m:t>3</m:t>
            </m:r>
          </m:sub>
        </m:sSub>
      </m:oMath>
      <w:r>
        <w:rPr>
          <w:rFonts w:ascii="Times New Roman" w:hAnsi="Times New Roman" w:eastAsia="方正仿宋_GBK"/>
          <w:b w:val="0"/>
          <w:sz w:val="24"/>
        </w:rPr>
        <w:t xml:space="preserve">为第三台50 MVA主变扩建项目参考投资，单位万元/项。</w:t>
      </w:r>
    </w:p>
    <w:p>
      <w:pPr>
        <w:pStyle w:val="2"/>
        <w:widowControl/>
        <w:spacing w:line="300" w:lineRule="auto" w:before="0" w:after="0"/>
        <w:ind w:firstLine="480"/>
        <w:jc w:val="both"/>
      </w:pPr>
      <w:r>
        <w:rPr>
          <w:rFonts w:ascii="Times New Roman" w:hAnsi="Times New Roman" w:eastAsia="方正仿宋_GBK"/>
          <w:b w:val="0"/>
          <w:sz w:val="24"/>
        </w:rPr>
        <w:t xml:space="preserve">第三台扩建按1223万元/项计费，包含增加台数及相应配套工程。模型要求原表预留位置满足第三台选择条件，未预留站不因容量不足而自动获得新台位。</w:t>
      </w:r>
    </w:p>
    <w:p>
      <w:pPr>
        <w:pStyle w:val="2"/>
        <w:widowControl/>
        <w:spacing w:line="300" w:lineRule="auto" w:before="0" w:after="0"/>
        <w:ind w:firstLine="480"/>
        <w:jc w:val="both"/>
      </w:pPr>
      <w:r>
        <w:rPr>
          <w:rFonts w:ascii="Times New Roman" w:hAnsi="Times New Roman" w:eastAsia="方正仿宋_GBK"/>
          <w:b w:val="0"/>
          <w:sz w:val="24"/>
        </w:rPr>
        <w:t xml:space="preserve">增加第三台提高主变总容量与单台退出后剩余容量，按第五章的容量约束和费用目标评价。既有两台规格、正向需求及供电安全任务不同，会使同样的扩建费用对应不同替代储能规模。</w:t>
      </w:r>
    </w:p>
    <w:p>
      <w:bookmarkStart w:id="1333" w:name="h333"/>
      <w:pPr>
        <w:pStyle w:val="4"/>
        <w:keepNext/>
        <w:numPr>
          <w:numId w:val="0"/>
        </w:numPr>
        <w:spacing w:line="360" w:lineRule="auto" w:before="160" w:after="120"/>
        <w:ind w:firstLine="0"/>
      </w:pPr>
      <w:bookmarkStart w:id="131" w:name="kv联络工程费用"/>
      <w:r>
        <w:rPr>
          <w:rFonts w:ascii="Times New Roman" w:hAnsi="Times New Roman" w:eastAsia="方正仿宋_GBK"/>
          <w:b/>
          <w:sz w:val="32"/>
        </w:rPr>
        <w:t xml:space="preserve">4.3 10 kV联络工程费用</w:t>
      </w:r>
      <w:bookmarkEnd w:id="131"/>
      <w:bookmarkEnd w:id="1333"/>
    </w:p>
    <w:p>
      <w:pPr>
        <w:pStyle w:val="5"/>
        <w:keepNext/>
        <w:numPr>
          <w:numId w:val="0"/>
        </w:numPr>
        <w:spacing w:line="360" w:lineRule="auto" w:before="160" w:after="120"/>
        <w:ind w:firstLine="0"/>
      </w:pPr>
      <w:bookmarkStart w:id="132" w:name="参考工程及单位造价"/>
      <w:r>
        <w:rPr>
          <w:rFonts w:ascii="Times New Roman" w:hAnsi="Times New Roman" w:eastAsia="方正仿宋_GBK"/>
          <w:b/>
          <w:sz w:val="26"/>
        </w:rPr>
        <w:t xml:space="preserve">4.3.1 参考工程及单位造价</w:t>
      </w:r>
      <w:bookmarkEnd w:id="132"/>
    </w:p>
    <w:p>
      <w:pPr>
        <w:pStyle w:val="FirstParagraph"/>
        <w:widowControl/>
        <w:spacing w:line="300" w:lineRule="auto" w:before="0" w:after="0"/>
        <w:ind w:firstLine="480"/>
        <w:jc w:val="both"/>
      </w:pPr>
      <w:r>
        <w:rPr>
          <w:rFonts w:ascii="Times New Roman" w:hAnsi="Times New Roman" w:eastAsia="方正仿宋_GBK"/>
          <w:b w:val="0"/>
          <w:sz w:val="24"/>
        </w:rPr>
        <w:t xml:space="preserve">10 kV联络工程采用华容县配电网规划报告表7-1的单位造价作为价格参考，架空线路24万元/km、电缆电气部分120万元/km、柱上智能开关3万元/台[71]。徐州线路迁改工程公告用于核对线路改造涉及的工程内容[74]。模型按统一长度、敷设比例和开关数量形成新增联络项目投资。</w:t>
      </w:r>
    </w:p>
    <w:p>
      <w:pPr>
        <w:pStyle w:val="5"/>
        <w:keepNext/>
        <w:numPr>
          <w:numId w:val="0"/>
        </w:numPr>
        <w:spacing w:line="360" w:lineRule="auto" w:before="160" w:after="120"/>
        <w:ind w:firstLine="0"/>
      </w:pPr>
      <w:bookmarkStart w:id="133" w:name="长度与敷设比例"/>
      <w:r>
        <w:rPr>
          <w:rFonts w:ascii="Times New Roman" w:hAnsi="Times New Roman" w:eastAsia="方正仿宋_GBK"/>
          <w:b/>
          <w:sz w:val="26"/>
        </w:rPr>
        <w:t xml:space="preserve">4.3.2 长度与敷设比例</w:t>
      </w:r>
      <w:bookmarkEnd w:id="133"/>
    </w:p>
    <w:p>
      <w:pPr>
        <w:pStyle w:val="FirstParagraph"/>
        <w:widowControl/>
        <w:spacing w:line="300" w:lineRule="auto" w:before="0" w:after="0"/>
        <w:ind w:firstLine="480"/>
        <w:jc w:val="both"/>
      </w:pPr>
      <w:r>
        <w:rPr>
          <w:rFonts w:ascii="Times New Roman" w:hAnsi="Times New Roman" w:eastAsia="方正仿宋_GBK"/>
          <w:b w:val="0"/>
          <w:sz w:val="24"/>
        </w:rPr>
        <w:t xml:space="preserve">本研究等效候选新线长3 km，按90%架空和10%电缆，配置两台柱上智能开关。长度、比例和开关数属于统一规划情景，未取得真实路由测绘。初始投资按式（4-4）计算。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I</m:t>
                    </m:r>
                  </m:e>
                  <m:sub>
                    <m:r>
                      <m:t>L</m:t>
                    </m:r>
                  </m:sub>
                </m:sSub>
                <m:r>
                  <m:t>=</m:t>
                </m:r>
                <m:r>
                  <m:t>3</m:t>
                </m:r>
                <m:d>
                  <m:dPr>
                    <m:begChr m:val="("/>
                    <m:endChr m:val=")"/>
                    <m:grow/>
                  </m:dPr>
                  <m:e>
                    <m:r>
                      <m:t>0.9</m:t>
                    </m:r>
                    <m:r>
                      <m:t>×</m:t>
                    </m:r>
                    <m:r>
                      <m:t>24</m:t>
                    </m:r>
                    <m:r>
                      <m:t>+</m:t>
                    </m:r>
                    <m:r>
                      <m:t>0.1</m:t>
                    </m:r>
                    <m:r>
                      <m:t>×</m:t>
                    </m:r>
                    <m:r>
                      <m:t>120</m:t>
                    </m:r>
                  </m:e>
                </m:d>
                <m:r>
                  <m:t>+</m:t>
                </m:r>
                <m:r>
                  <m:t>2</m:t>
                </m:r>
                <m:r>
                  <m:t>×</m:t>
                </m:r>
                <m:r>
                  <m:t>3</m:t>
                </m:r>
                <m:r>
                  <m:t>=</m:t>
                </m:r>
                <m:r>
                  <m:t>106.8</m:t>
                </m:r>
                <m:r>
                  <m:t> </m:t>
                </m:r>
                <m:r>
                  <m:rPr>
                    <m:nor/>
                    <m:sty m:val="p"/>
                  </m:rPr>
                  <m:t>万元/条</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I</m:t>
            </m:r>
          </m:e>
          <m:sub>
            <m:r>
              <m:t>L</m:t>
            </m:r>
          </m:sub>
        </m:sSub>
      </m:oMath>
      <w:r>
        <w:rPr>
          <w:rFonts w:ascii="Times New Roman" w:hAnsi="Times New Roman" w:eastAsia="方正仿宋_GBK"/>
          <w:b w:val="0"/>
          <w:sz w:val="24"/>
        </w:rPr>
        <w:t xml:space="preserve">为单项目初始投资，单位万元；3为线路长度，单位km；0.9和0.1分别为架空与电缆长度占比；24和120为相应单位造价，单位万元/km；末项按2台开关、3万元/台计算。</w:t>
      </w:r>
    </w:p>
    <w:p>
      <w:pPr>
        <w:pStyle w:val="2"/>
        <w:widowControl/>
        <w:spacing w:line="300" w:lineRule="auto" w:before="0" w:after="0"/>
        <w:ind w:firstLine="480"/>
        <w:jc w:val="both"/>
      </w:pPr>
      <w:r>
        <w:rPr>
          <w:rFonts w:ascii="Times New Roman" w:hAnsi="Times New Roman" w:eastAsia="方正仿宋_GBK"/>
          <w:b w:val="0"/>
          <w:sz w:val="24"/>
        </w:rPr>
        <w:t xml:space="preserve">106.8万元按架空线路、电缆电气部分和两台智能开关计取。矩阵改变线路价格倍数时，统一作用于该工程投资和后续固定运维。新增项目按区县内候选站对配置，实施阶段落实实际线路走向。</w:t>
      </w:r>
    </w:p>
    <w:p>
      <w:pPr>
        <w:pStyle w:val="2"/>
        <w:keepNext/>
        <w:spacing w:line="300" w:lineRule="auto" w:before="120" w:after="80"/>
        <w:ind w:firstLine="0"/>
        <w:jc w:val="center"/>
      </w:pPr>
      <w:r>
        <w:rPr>
          <w:rFonts w:ascii="Times New Roman" w:hAnsi="Times New Roman" w:eastAsia="宋体"/>
          <w:b w:val="0"/>
          <w:sz w:val="21"/>
        </w:rPr>
        <w:t xml:space="preserve">表4-3 等效联络线参考投资构成[71]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项目</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工程量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参考单价</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费用/万元</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架空</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 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24万元/km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64.8</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电缆电气</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 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120万元/km</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智能开关</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3万元/台</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合计</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 km及2台开关</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线路电气与开关费用</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106.8</w:t>
            </w:r>
          </w:p>
        </w:tc>
      </w:tr>
    </w:tbl>
    <w:p>
      <w:pPr>
        <w:pStyle w:val="5"/>
        <w:keepNext/>
        <w:numPr>
          <w:numId w:val="0"/>
        </w:numPr>
        <w:spacing w:line="360" w:lineRule="auto" w:before="160" w:after="120"/>
        <w:ind w:firstLine="0"/>
      </w:pPr>
      <w:bookmarkStart w:id="134" w:name="有效转接任务及价格比"/>
      <w:r>
        <w:rPr>
          <w:rFonts w:ascii="Times New Roman" w:hAnsi="Times New Roman" w:eastAsia="方正仿宋_GBK"/>
          <w:b/>
          <w:sz w:val="26"/>
        </w:rPr>
        <w:t xml:space="preserve">4.3.3 有效转接任务及价格比</w:t>
      </w:r>
      <w:bookmarkEnd w:id="134"/>
    </w:p>
    <w:p>
      <w:pPr>
        <w:pStyle w:val="FirstParagraph"/>
        <w:widowControl/>
        <w:spacing w:line="300" w:lineRule="auto" w:before="0" w:after="0"/>
        <w:ind w:firstLine="480"/>
        <w:jc w:val="both"/>
      </w:pPr>
      <w:r>
        <w:rPr>
          <w:rFonts w:ascii="Times New Roman" w:hAnsi="Times New Roman" w:eastAsia="方正仿宋_GBK"/>
          <w:b w:val="0"/>
          <w:sz w:val="24"/>
        </w:rPr>
        <w:t xml:space="preserve">候选线2025年区段负荷筛查取7.491 MW，低于按允许电流折算的线路有功容量9.05 MW，因此单位可转任务的初始投资为106.8/7.491=14.257109万元/MW[75]。实际线路的有效可转负荷依据区段负荷、热限及受端余量核定。</w:t>
      </w:r>
    </w:p>
    <w:p>
      <w:pPr>
        <w:pStyle w:val="2"/>
        <w:widowControl/>
        <w:spacing w:line="300" w:lineRule="auto" w:before="0" w:after="0"/>
        <w:ind w:firstLine="480"/>
        <w:jc w:val="both"/>
      </w:pPr>
      <w:r>
        <w:rPr>
          <w:rFonts w:ascii="Times New Roman" w:hAnsi="Times New Roman" w:eastAsia="方正仿宋_GBK"/>
          <w:b w:val="0"/>
          <w:sz w:val="24"/>
        </w:rPr>
        <w:t xml:space="preserve">新增等效联络项目按邳州局部可切换负荷区段提供7.491061 MW的能力增量，作用于站级转供能力预算。既有能力利用与新建工程分别进入寻优，项目投资按一次建设计取。</w:t>
      </w:r>
    </w:p>
    <w:p>
      <w:bookmarkStart w:id="1344" w:name="h344"/>
      <w:pPr>
        <w:pStyle w:val="4"/>
        <w:keepNext/>
        <w:numPr>
          <w:numId w:val="0"/>
        </w:numPr>
        <w:spacing w:line="360" w:lineRule="auto" w:before="160" w:after="120"/>
        <w:ind w:firstLine="0"/>
      </w:pPr>
      <w:bookmarkStart w:id="135" w:name="储能投资模型"/>
      <w:r>
        <w:rPr>
          <w:rFonts w:ascii="Times New Roman" w:hAnsi="Times New Roman" w:eastAsia="方正仿宋_GBK"/>
          <w:b/>
          <w:sz w:val="32"/>
        </w:rPr>
        <w:t xml:space="preserve">4.4 储能投资模型</w:t>
      </w:r>
      <w:bookmarkEnd w:id="135"/>
      <w:bookmarkEnd w:id="1344"/>
    </w:p>
    <w:p>
      <w:pPr>
        <w:pStyle w:val="5"/>
        <w:keepNext/>
        <w:numPr>
          <w:numId w:val="0"/>
        </w:numPr>
        <w:spacing w:line="360" w:lineRule="auto" w:before="160" w:after="120"/>
        <w:ind w:firstLine="0"/>
      </w:pPr>
      <w:bookmarkStart w:id="136" w:name="储能规格与采购价格依据"/>
      <w:r>
        <w:rPr>
          <w:rFonts w:ascii="Times New Roman" w:hAnsi="Times New Roman" w:eastAsia="方正仿宋_GBK"/>
          <w:b/>
          <w:sz w:val="26"/>
        </w:rPr>
        <w:t xml:space="preserve">4.4.1 储能规格与采购价格依据</w:t>
      </w:r>
      <w:bookmarkEnd w:id="136"/>
    </w:p>
    <w:p>
      <w:pPr>
        <w:pStyle w:val="FirstParagraph"/>
        <w:widowControl/>
        <w:spacing w:line="300" w:lineRule="auto" w:before="0" w:after="0"/>
        <w:ind w:firstLine="480"/>
        <w:jc w:val="both"/>
      </w:pPr>
      <w:r>
        <w:rPr>
          <w:rFonts w:ascii="Times New Roman" w:hAnsi="Times New Roman" w:eastAsia="方正仿宋_GBK"/>
          <w:b w:val="0"/>
          <w:sz w:val="24"/>
        </w:rPr>
        <w:t xml:space="preserve">储能设备采用100 kW/215 kWh柜规格。苏州采购公告的储能柜子项最高限价为27.2万元，作为单柜价格参考[72]。模型投资采用浏阳用户侧储能项目的成套中标价210.456262万元，保证交付规模为1 MW/2.15 MWh，折合10柜[73]。</w:t>
      </w:r>
    </w:p>
    <w:p>
      <w:pPr>
        <w:pStyle w:val="2"/>
        <w:widowControl/>
        <w:spacing w:line="300" w:lineRule="auto" w:before="0" w:after="0"/>
        <w:ind w:firstLine="480"/>
        <w:jc w:val="both"/>
      </w:pPr>
      <w:r>
        <w:rPr>
          <w:rFonts w:ascii="Times New Roman" w:hAnsi="Times New Roman" w:eastAsia="方正仿宋_GBK"/>
          <w:b w:val="0"/>
          <w:sz w:val="24"/>
        </w:rPr>
        <w:t xml:space="preserve">按保证交付规模形成单位价格，单柜参考投资为21.0456262万元。后续配置按整数柜计取功率、能量和投资。</w:t>
      </w:r>
    </w:p>
    <w:p>
      <w:pPr>
        <w:pStyle w:val="2"/>
        <w:keepNext/>
        <w:spacing w:line="300" w:lineRule="auto" w:before="120" w:after="80"/>
        <w:ind w:firstLine="0"/>
        <w:jc w:val="center"/>
      </w:pPr>
      <w:r>
        <w:rPr>
          <w:rFonts w:ascii="Times New Roman" w:hAnsi="Times New Roman" w:eastAsia="宋体"/>
          <w:b w:val="0"/>
          <w:sz w:val="21"/>
        </w:rPr>
        <w:t xml:space="preserve">表4-4 储能采购价格依据[72][73]</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案例</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公告规模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保证规模</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价格/万元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苏州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同公告</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 MW/2.2 MWh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210.456262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储能项目中标总价</w:t>
            </w:r>
          </w:p>
        </w:tc>
      </w:tr>
    </w:tbl>
    <w:p>
      <w:pPr>
        <w:pStyle w:val="5"/>
        <w:keepNext/>
        <w:numPr>
          <w:numId w:val="0"/>
        </w:numPr>
        <w:spacing w:line="360" w:lineRule="auto" w:before="160" w:after="120"/>
        <w:ind w:firstLine="0"/>
      </w:pPr>
      <w:bookmarkStart w:id="137" w:name="成套柜单位价格"/>
      <w:r>
        <w:rPr>
          <w:rFonts w:ascii="Times New Roman" w:hAnsi="Times New Roman" w:eastAsia="方正仿宋_GBK"/>
          <w:b/>
          <w:sz w:val="26"/>
        </w:rPr>
        <w:t xml:space="preserve">4.4.2 成套柜单位价格</w:t>
      </w:r>
      <w:bookmarkEnd w:id="137"/>
    </w:p>
    <w:p>
      <w:pPr>
        <w:pStyle w:val="FirstParagraph"/>
        <w:widowControl/>
        <w:spacing w:line="300" w:lineRule="auto" w:before="0" w:after="0"/>
        <w:ind w:firstLine="480"/>
        <w:jc w:val="both"/>
      </w:pPr>
      <w:r>
        <w:rPr>
          <w:rFonts w:ascii="Times New Roman" w:hAnsi="Times New Roman" w:eastAsia="方正仿宋_GBK"/>
          <w:b w:val="0"/>
          <w:sz w:val="24"/>
        </w:rPr>
        <w:t xml:space="preserve">模型以10柜成套项目成交总投资线性折算为单柜，得到21.0456262万元/柜。后续按相同柜型和单位价格进行规模外推；苏州单柜最高限价用于价格对照。</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r>
                            <m:t>c</m:t>
                          </m:r>
                        </m:e>
                        <m:sub>
                          <m:r>
                            <m:t>B</m:t>
                          </m:r>
                        </m:sub>
                      </m:sSub>
                    </m:e>
                    <m:e>
                      <m:r>
                        <m:t>=</m:t>
                      </m:r>
                      <m:f>
                        <m:fPr>
                          <m:type m:val="bar"/>
                        </m:fPr>
                        <m:num>
                          <m:r>
                            <m:t>210.456262</m:t>
                          </m:r>
                        </m:num>
                        <m:den>
                          <m:r>
                            <m:t>10</m:t>
                          </m:r>
                        </m:den>
                      </m:f>
                      <m:r>
                        <m:t>=</m:t>
                      </m:r>
                      <m:r>
                        <m:t>21.0456262</m:t>
                      </m:r>
                      <m:r>
                        <m:t> </m:t>
                      </m:r>
                      <m:r>
                        <m:rPr>
                          <m:nor/>
                          <m:sty m:val="p"/>
                        </m:rPr>
                        <m:t>万元/柜</m:t>
                      </m:r>
                    </m:e>
                  </m:mr>
                  <m:mr>
                    <m:e>
                      <m:sSub>
                        <m:e>
                          <m:r>
                            <m:t>I</m:t>
                          </m:r>
                        </m:e>
                        <m:sub>
                          <m:r>
                            <m:t>B</m:t>
                          </m:r>
                          <m:r>
                            <m:t>,</m:t>
                          </m:r>
                          <m:r>
                            <m:t>i</m:t>
                          </m:r>
                          <m:r>
                            <m:t>y</m:t>
                          </m:r>
                        </m:sub>
                      </m:sSub>
                    </m:e>
                    <m:e>
                      <m:r>
                        <m:t>=</m:t>
                      </m:r>
                      <m:sSub>
                        <m:e>
                          <m:r>
                            <m:t>c</m:t>
                          </m:r>
                        </m:e>
                        <m:sub>
                          <m:r>
                            <m:t>B</m:t>
                          </m:r>
                        </m:sub>
                      </m:sSub>
                      <m:r>
                        <m:t>Δ</m:t>
                      </m:r>
                      <m:sSub>
                        <m:e>
                          <m:r>
                            <m:t>n</m:t>
                          </m:r>
                        </m:e>
                        <m:sub>
                          <m:r>
                            <m:t>i</m:t>
                          </m:r>
                          <m:r>
                            <m:t>y</m:t>
                          </m:r>
                        </m:sub>
                      </m:sSub>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c</m:t>
            </m:r>
          </m:e>
          <m:sub>
            <m:r>
              <m:t>B</m:t>
            </m:r>
          </m:sub>
        </m:sSub>
      </m:oMath>
      <w:r>
        <w:rPr>
          <w:rFonts w:ascii="Times New Roman" w:hAnsi="Times New Roman" w:eastAsia="方正仿宋_GBK"/>
          <w:b w:val="0"/>
          <w:sz w:val="24"/>
        </w:rPr>
        <w:t xml:space="preserve">为单柜参考投资，</w:t>
      </w:r>
      <m:oMath>
        <m:sSub>
          <m:e>
            <m:r>
              <m:t>I</m:t>
            </m:r>
          </m:e>
          <m:sub>
            <m:r>
              <m:t>B</m:t>
            </m:r>
            <m:r>
              <m:t>,</m:t>
            </m:r>
            <m:r>
              <m:t>i</m:t>
            </m:r>
            <m:r>
              <m:t>y</m:t>
            </m:r>
          </m:sub>
        </m:sSub>
      </m:oMath>
      <w:r>
        <w:rPr>
          <w:rFonts w:ascii="Times New Roman" w:hAnsi="Times New Roman" w:eastAsia="方正仿宋_GBK"/>
          <w:b w:val="0"/>
          <w:sz w:val="24"/>
        </w:rPr>
        <w:t xml:space="preserve">为站</w:t>
      </w:r>
      <m:oMath>
        <m:r>
          <m:t>i</m:t>
        </m:r>
      </m:oMath>
      <w:r>
        <w:rPr>
          <w:rFonts w:ascii="Times New Roman" w:hAnsi="Times New Roman" w:eastAsia="方正仿宋_GBK"/>
          <w:b w:val="0"/>
          <w:sz w:val="24"/>
        </w:rPr>
        <w:t xml:space="preserve">第</w:t>
      </w:r>
      <m:oMath>
        <m:r>
          <m:t>y</m:t>
        </m:r>
      </m:oMath>
      <w:r>
        <w:rPr>
          <w:rFonts w:ascii="Times New Roman" w:hAnsi="Times New Roman" w:eastAsia="方正仿宋_GBK"/>
          <w:b w:val="0"/>
          <w:sz w:val="24"/>
        </w:rPr>
        <w:t xml:space="preserve">年新增储能投资，单位万元；新增柜数</w:t>
      </w:r>
      <m:oMath>
        <m:r>
          <m:t>Δ</m:t>
        </m:r>
        <m: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t>0.1</m:t>
        </m:r>
        <m:r>
          <m:t>Δ</m:t>
        </m:r>
        <m: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r>
          <m:t>0.215</m:t>
        </m:r>
        <m:r>
          <m:t>Δ</m:t>
        </m:r>
        <m: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MWh。按能量折算的成交参考价为2104562.62/2150000=0.978867元/Wh。单位Wh价格仅表达保证能量规模，不代替工程有效功率费用。</w:t>
      </w:r>
    </w:p>
    <w:p>
      <w:pPr>
        <w:pStyle w:val="5"/>
        <w:keepNext/>
        <w:numPr>
          <w:numId w:val="0"/>
        </w:numPr>
        <w:spacing w:line="360" w:lineRule="auto" w:before="160" w:after="120"/>
        <w:ind w:firstLine="0"/>
      </w:pPr>
      <w:bookmarkStart w:id="138" w:name="峰段持续功率"/>
      <w:r>
        <w:rPr>
          <w:rFonts w:ascii="Times New Roman" w:hAnsi="Times New Roman" w:eastAsia="方正仿宋_GBK"/>
          <w:b/>
          <w:sz w:val="26"/>
        </w:rPr>
        <w:t xml:space="preserve">4.4.3 峰段持续功率</w:t>
      </w:r>
      <w:bookmarkEnd w:id="138"/>
    </w:p>
    <w:p>
      <w:pPr>
        <w:pStyle w:val="FirstParagraph"/>
        <w:widowControl/>
        <w:spacing w:line="300" w:lineRule="auto" w:before="0" w:after="0"/>
        <w:ind w:firstLine="480"/>
        <w:jc w:val="both"/>
      </w:pPr>
      <w:r>
        <w:rPr>
          <w:rFonts w:ascii="Times New Roman" w:hAnsi="Times New Roman" w:eastAsia="方正仿宋_GBK"/>
          <w:b w:val="0"/>
          <w:sz w:val="24"/>
        </w:rPr>
        <w:t xml:space="preserve">对持续</w:t>
      </w:r>
      <m:oMath>
        <m:r>
          <m:t>d</m:t>
        </m:r>
      </m:oMath>
      <w:r>
        <w:rPr>
          <w:rFonts w:ascii="Times New Roman" w:hAnsi="Times New Roman" w:eastAsia="方正仿宋_GBK"/>
          <w:b w:val="0"/>
          <w:sz w:val="24"/>
        </w:rPr>
        <w:t xml:space="preserve">小时的峰段，</w:t>
      </w:r>
      <m:oMath>
        <m:r>
          <m:t>n</m:t>
        </m:r>
      </m:oMath>
      <w:r>
        <w:rPr>
          <w:rFonts w:ascii="Times New Roman" w:hAnsi="Times New Roman" w:eastAsia="方正仿宋_GBK"/>
          <w:b w:val="0"/>
          <w:sz w:val="24"/>
        </w:rPr>
        <w:t xml:space="preserve">柜储能的理想有效功率取铭牌功率与能量持续功率较小者。为保持模型能量系数统一，表达为式（4-6）。该式是功率与能量边界的静态折算，没有充放电效率和荷电状态约束。</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r>
                  <m:t>B</m:t>
                </m:r>
                <m:r>
                  <m:t>(</m:t>
                </m:r>
                <m:r>
                  <m:t>n</m:t>
                </m:r>
                <m:r>
                  <m:t>,</m:t>
                </m:r>
                <m:r>
                  <m:t>d</m:t>
                </m:r>
                <m:r>
                  <m:t>)</m:t>
                </m:r>
                <m:r>
                  <m:t>=</m:t>
                </m:r>
                <m:f>
                  <m:fPr>
                    <m:type m:val="bar"/>
                  </m:fPr>
                  <m:num>
                    <m:r>
                      <m:t>0.215</m:t>
                    </m:r>
                    <m:r>
                      <m:t>n</m:t>
                    </m:r>
                  </m:num>
                  <m:den>
                    <m:r>
                      <m:rPr>
                        <m:nor/>
                        <m:sty m:val="p"/>
                      </m:rPr>
                      <m:t>max</m:t>
                    </m:r>
                    <m:r>
                      <m:t>(</m:t>
                    </m:r>
                    <m:r>
                      <m:t>2.15</m:t>
                    </m:r>
                    <m:r>
                      <m:t>,</m:t>
                    </m:r>
                    <m:r>
                      <m:t>d</m:t>
                    </m:r>
                    <m:r>
                      <m:t>)</m:t>
                    </m:r>
                  </m:den>
                </m:f>
                <m:r>
                  <m:t>,</m:t>
                </m:r>
                <m:r>
                  <m:t>  </m:t>
                </m:r>
                <m:r>
                  <m:t>d</m:t>
                </m:r>
                <m:r>
                  <m:t>≥</m:t>
                </m:r>
                <m:r>
                  <m:t>0</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B</m:t>
        </m:r>
        <m:r>
          <m:t>(</m:t>
        </m:r>
        <m:r>
          <m:t>n</m:t>
        </m:r>
        <m:r>
          <m:t>,</m:t>
        </m:r>
        <m:r>
          <m:t>d</m:t>
        </m:r>
        <m:r>
          <m:t>)</m:t>
        </m:r>
      </m:oMath>
      <w:r>
        <w:rPr>
          <w:rFonts w:ascii="Times New Roman" w:hAnsi="Times New Roman" w:eastAsia="方正仿宋_GBK"/>
          <w:b w:val="0"/>
          <w:sz w:val="24"/>
        </w:rPr>
        <w:t xml:space="preserve">为</w:t>
      </w:r>
      <m:oMath>
        <m:r>
          <m:t>n</m:t>
        </m:r>
      </m:oMath>
      <w:r>
        <w:rPr>
          <w:rFonts w:ascii="Times New Roman" w:hAnsi="Times New Roman" w:eastAsia="方正仿宋_GBK"/>
          <w:b w:val="0"/>
          <w:sz w:val="24"/>
        </w:rPr>
        <w:t xml:space="preserve">柜储能在持续</w:t>
      </w:r>
      <m:oMath>
        <m:r>
          <m:t>d</m:t>
        </m:r>
      </m:oMath>
      <w:r>
        <w:rPr>
          <w:rFonts w:ascii="Times New Roman" w:hAnsi="Times New Roman" w:eastAsia="方正仿宋_GBK"/>
          <w:b w:val="0"/>
          <w:sz w:val="24"/>
        </w:rPr>
        <w:t xml:space="preserve">小时峰段中的有效支撑功率，单位MW；</w:t>
      </w:r>
      <m:oMath>
        <m:r>
          <m:t>n</m:t>
        </m:r>
      </m:oMath>
      <w:r>
        <w:rPr>
          <w:rFonts w:ascii="Times New Roman" w:hAnsi="Times New Roman" w:eastAsia="方正仿宋_GBK"/>
          <w:b w:val="0"/>
          <w:sz w:val="24"/>
        </w:rPr>
        <w:t xml:space="preserve">为非负整数柜数，</w:t>
      </w:r>
      <m:oMath>
        <m:r>
          <m:t>d</m:t>
        </m:r>
      </m:oMath>
      <w:r>
        <w:rPr>
          <w:rFonts w:ascii="Times New Roman" w:hAnsi="Times New Roman" w:eastAsia="方正仿宋_GBK"/>
          <w:b w:val="0"/>
          <w:sz w:val="24"/>
        </w:rPr>
        <w:t xml:space="preserve">为峰段持续时间，单位h；0.215为单柜能量，单位MWh，2.15 h为额定能量与功率之比。</w:t>
      </w:r>
    </w:p>
    <w:p>
      <w:pPr>
        <w:pStyle w:val="2"/>
        <w:widowControl/>
        <w:spacing w:line="300" w:lineRule="auto" w:before="0" w:after="0"/>
        <w:ind w:firstLine="480"/>
        <w:jc w:val="both"/>
      </w:pPr>
      <w:r>
        <w:rPr>
          <w:rFonts w:ascii="Times New Roman" w:hAnsi="Times New Roman" w:eastAsia="方正仿宋_GBK"/>
          <w:b w:val="0"/>
          <w:sz w:val="24"/>
        </w:rPr>
        <w:t xml:space="preserve">10柜包在1 h和2 h场景可以提供1 MW，3 h时为0.716667 MW，4 h时为0.5375 MW。单位有效MW费用按对应持续时间分别计算。</w:t>
      </w:r>
    </w:p>
    <w:p>
      <w:pPr>
        <w:pStyle w:val="2"/>
        <w:keepNext/>
        <w:spacing w:line="300" w:lineRule="auto" w:before="120" w:after="80"/>
        <w:ind w:firstLine="0"/>
        <w:jc w:val="center"/>
      </w:pPr>
      <w:r>
        <w:rPr>
          <w:rFonts w:ascii="Times New Roman" w:hAnsi="Times New Roman" w:eastAsia="宋体"/>
          <w:b w:val="0"/>
          <w:sz w:val="21"/>
        </w:rPr>
        <w:t xml:space="preserve">表4-5 10柜包理想持续支撑与初始费用（式4-6）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持续时间/h</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有效功率/MW</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单位有效MW费用/万元</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主变／储能成本比</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0.08289</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0.08289</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210.456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0.08289</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0.716667</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293.660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0.05941</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0.537500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391.547</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0.04456</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0.358333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587.320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0.02970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0.268750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783.093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0.02228</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0.179167</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1174.640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0.01485</w:t>
            </w:r>
          </w:p>
        </w:tc>
      </w:tr>
    </w:tbl>
    <w:p>
      <w:pPr>
        <w:pStyle w:val="2"/>
        <w:keepNext/>
        <w:spacing w:line="240" w:lineRule="auto" w:before="120" w:after="0"/>
        <w:ind w:firstLine="0"/>
        <w:jc w:val="center"/>
      </w:pPr>
      <w:r>
        <w:drawing>
          <wp:inline>
            <wp:extent cx="5120640" cy="271700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storage_effective_cost.png" id="0" name="Picture"/>
                    <pic:cNvPicPr>
                      <a:picLocks noChangeArrowheads="1" noChangeAspect="1"/>
                    </pic:cNvPicPr>
                  </pic:nvPicPr>
                  <pic:blipFill>
                    <a:blip r:embed="rId139"/>
                    <a:stretch>
                      <a:fillRect/>
                    </a:stretch>
                  </pic:blipFill>
                  <pic:spPr bwMode="auto">
                    <a:xfrm>
                      <a:off x="0" y="0"/>
                      <a:ext cx="5120640" cy="271700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图4-1 储能单位有效支撑功率费用与持续时间</w:t>
      </w:r>
    </w:p>
    <w:p>
      <w:pPr>
        <w:pStyle w:val="5"/>
        <w:keepNext/>
        <w:numPr>
          <w:numId w:val="0"/>
        </w:numPr>
        <w:spacing w:line="360" w:lineRule="auto" w:before="160" w:after="120"/>
        <w:ind w:firstLine="0"/>
      </w:pPr>
      <w:bookmarkStart w:id="140" w:name="可用能力与工程适用性"/>
      <w:r>
        <w:rPr>
          <w:rFonts w:ascii="Times New Roman" w:hAnsi="Times New Roman" w:eastAsia="方正仿宋_GBK"/>
          <w:b/>
          <w:sz w:val="26"/>
        </w:rPr>
        <w:t xml:space="preserve">4.4.4 可用能力与工程适用性</w:t>
      </w:r>
      <w:bookmarkEnd w:id="140"/>
    </w:p>
    <w:p>
      <w:pPr>
        <w:pStyle w:val="FirstParagraph"/>
        <w:widowControl/>
        <w:spacing w:line="300" w:lineRule="auto" w:before="0" w:after="0"/>
        <w:ind w:firstLine="480"/>
        <w:jc w:val="both"/>
      </w:pPr>
      <w:r>
        <w:rPr>
          <w:rFonts w:ascii="Times New Roman" w:hAnsi="Times New Roman" w:eastAsia="方正仿宋_GBK"/>
          <w:b w:val="0"/>
          <w:sz w:val="24"/>
        </w:rPr>
        <w:t xml:space="preserve">本研究按铭牌功率与能量进行峰段静态折算。工程设计采用保证可用功率、能量和充放电效率，并通过连续时序校核荷电状态及充电条件，核定实际可持续支撑能力。</w:t>
      </w:r>
    </w:p>
    <w:p>
      <w:bookmarkStart w:id="1361" w:name="h361"/>
      <w:pPr>
        <w:pStyle w:val="4"/>
        <w:keepNext/>
        <w:numPr>
          <w:numId w:val="0"/>
        </w:numPr>
        <w:spacing w:line="360" w:lineRule="auto" w:before="160" w:after="120"/>
        <w:ind w:firstLine="0"/>
      </w:pPr>
      <w:bookmarkStart w:id="141" w:name="两个成本比例及敏感性方法"/>
      <w:r>
        <w:rPr>
          <w:rFonts w:ascii="Times New Roman" w:hAnsi="Times New Roman" w:eastAsia="方正仿宋_GBK"/>
          <w:b/>
          <w:sz w:val="32"/>
        </w:rPr>
        <w:t xml:space="preserve">4.5 两个成本比例及敏感性方法</w:t>
      </w:r>
      <w:bookmarkEnd w:id="141"/>
      <w:bookmarkEnd w:id="1361"/>
    </w:p>
    <w:p>
      <w:pPr>
        <w:pStyle w:val="5"/>
        <w:keepNext/>
        <w:numPr>
          <w:numId w:val="0"/>
        </w:numPr>
        <w:spacing w:line="360" w:lineRule="auto" w:before="160" w:after="120"/>
        <w:ind w:firstLine="0"/>
      </w:pPr>
      <w:bookmarkStart w:id="142" w:name="主变与线路成本比例"/>
      <w:r>
        <w:rPr>
          <w:rFonts w:ascii="Times New Roman" w:hAnsi="Times New Roman" w:eastAsia="方正仿宋_GBK"/>
          <w:b/>
          <w:sz w:val="26"/>
        </w:rPr>
        <w:t xml:space="preserve">4.5.1 主变与线路成本比例</w:t>
      </w:r>
      <w:bookmarkEnd w:id="142"/>
    </w:p>
    <w:p>
      <w:pPr>
        <w:pStyle w:val="FirstParagraph"/>
        <w:widowControl/>
        <w:spacing w:line="300" w:lineRule="auto" w:before="0" w:after="0"/>
        <w:ind w:firstLine="480"/>
        <w:jc w:val="both"/>
      </w:pPr>
      <w:r>
        <w:rPr>
          <w:rFonts w:ascii="Times New Roman" w:hAnsi="Times New Roman" w:eastAsia="方正仿宋_GBK"/>
          <w:b w:val="0"/>
          <w:sz w:val="24"/>
        </w:rPr>
        <w:t xml:space="preserve">采用相同单位的初始投资尺度，主变采购有效MW费用与线路可转任务MW费用之比记为</w:t>
      </w:r>
      <m:oMath>
        <m:sSub>
          <m:e>
            <m:r>
              <m:t>k</m:t>
            </m:r>
          </m:e>
          <m:sub>
            <m:r>
              <m:t>T</m:t>
            </m:r>
            <m:r>
              <m:t>L</m:t>
            </m:r>
          </m:sub>
        </m:sSub>
      </m:oMath>
      <w:r>
        <w:rPr>
          <w:rFonts w:ascii="Times New Roman" w:hAnsi="Times New Roman" w:eastAsia="方正仿宋_GBK"/>
          <w:b w:val="0"/>
          <w:sz w:val="24"/>
        </w:rPr>
        <w:t xml:space="preserve">。式（4-7）对应本研究参考规模，主变系数来自实际替换工程，线路价格及有效任务取前述情景[70][71][75]。</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k</m:t>
                    </m:r>
                  </m:e>
                  <m:sub>
                    <m:r>
                      <m:t>T</m:t>
                    </m:r>
                    <m:r>
                      <m:t>L</m:t>
                    </m:r>
                  </m:sub>
                </m:sSub>
                <m:r>
                  <m:t>=</m:t>
                </m:r>
                <m:f>
                  <m:fPr>
                    <m:type m:val="bar"/>
                  </m:fPr>
                  <m:num>
                    <m:sSub>
                      <m:e>
                        <m:r>
                          <m:t>c</m:t>
                        </m:r>
                      </m:e>
                      <m:sub>
                        <m:r>
                          <m:t>T</m:t>
                        </m:r>
                      </m:sub>
                    </m:sSub>
                    <m:r>
                      <m:t>/</m:t>
                    </m:r>
                    <m:r>
                      <m:t>0.95</m:t>
                    </m:r>
                  </m:num>
                  <m:den>
                    <m:sSub>
                      <m:e>
                        <m:r>
                          <m:t>I</m:t>
                        </m:r>
                      </m:e>
                      <m:sub>
                        <m:r>
                          <m:t>L</m:t>
                        </m:r>
                      </m:sub>
                    </m:sSub>
                    <m:r>
                      <m:t>/</m:t>
                    </m:r>
                    <m:sSub>
                      <m:e>
                        <m:r>
                          <m:t>F</m:t>
                        </m:r>
                      </m:e>
                      <m:sub>
                        <m:r>
                          <m:t>L</m:t>
                        </m:r>
                      </m:sub>
                    </m:sSub>
                  </m:den>
                </m:f>
                <m:r>
                  <m:t>=</m:t>
                </m:r>
                <m:f>
                  <m:fPr>
                    <m:type m:val="bar"/>
                  </m:fPr>
                  <m:num>
                    <m:r>
                      <m:t>16.573333</m:t>
                    </m:r>
                    <m:r>
                      <m:t>/</m:t>
                    </m:r>
                    <m:r>
                      <m:t>0.95</m:t>
                    </m:r>
                  </m:num>
                  <m:den>
                    <m:r>
                      <m:t>106.8</m:t>
                    </m:r>
                    <m:r>
                      <m:t>/</m:t>
                    </m:r>
                    <m:r>
                      <m:t>7.491</m:t>
                    </m:r>
                  </m:den>
                </m:f>
                <m:r>
                  <m:t>=</m:t>
                </m:r>
                <m:r>
                  <m:t>1.22364</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（4-7）</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k</m:t>
            </m:r>
          </m:e>
          <m:sub>
            <m:r>
              <m:t>T</m:t>
            </m:r>
            <m:r>
              <m:t>L</m:t>
            </m:r>
          </m:sub>
        </m:sSub>
      </m:oMath>
      <w:r>
        <w:rPr>
          <w:rFonts w:ascii="Times New Roman" w:hAnsi="Times New Roman" w:eastAsia="方正仿宋_GBK"/>
          <w:b w:val="0"/>
          <w:sz w:val="24"/>
        </w:rPr>
        <w:t xml:space="preserve">为主变与线路成本比，无量纲；</w:t>
      </w:r>
      <m:oMath>
        <m:sSub>
          <m:e>
            <m:r>
              <m:t>F</m:t>
            </m:r>
          </m:e>
          <m:sub>
            <m:r>
              <m:t>L</m:t>
            </m:r>
          </m:sub>
        </m:sSub>
      </m:oMath>
      <w:r>
        <w:rPr>
          <w:rFonts w:ascii="Times New Roman" w:hAnsi="Times New Roman" w:eastAsia="方正仿宋_GBK"/>
          <w:b w:val="0"/>
          <w:sz w:val="24"/>
        </w:rPr>
        <w:t xml:space="preserve">为单项目可转负荷，取7.491061 MW；</w:t>
      </w:r>
      <m:oMath>
        <m:sSub>
          <m:e>
            <m:r>
              <m:t>I</m:t>
            </m:r>
          </m:e>
          <m:sub>
            <m:r>
              <m:t>L</m:t>
            </m:r>
          </m:sub>
        </m:sSub>
      </m:oMath>
      <w:r>
        <w:rPr>
          <w:rFonts w:ascii="Times New Roman" w:hAnsi="Times New Roman" w:eastAsia="方正仿宋_GBK"/>
          <w:b w:val="0"/>
          <w:sz w:val="24"/>
        </w:rPr>
        <w:t xml:space="preserve">为单项目投资，单位万元；</w:t>
      </w:r>
      <m:oMath>
        <m:sSub>
          <m:e>
            <m:r>
              <m:t>c</m:t>
            </m:r>
          </m:e>
          <m:sub>
            <m:r>
              <m:t>T</m:t>
            </m:r>
          </m:sub>
        </m:sSub>
      </m:oMath>
      <w:r>
        <w:rPr>
          <w:rFonts w:ascii="Times New Roman" w:hAnsi="Times New Roman" w:eastAsia="方正仿宋_GBK"/>
          <w:b w:val="0"/>
          <w:sz w:val="24"/>
        </w:rPr>
        <w:t xml:space="preserve">为主变采购容量投资系数，0.95为功率因数。</w:t>
      </w:r>
    </w:p>
    <w:p>
      <w:pPr>
        <w:pStyle w:val="2"/>
        <w:widowControl/>
        <w:spacing w:line="300" w:lineRule="auto" w:before="0" w:after="0"/>
        <w:ind w:firstLine="480"/>
        <w:jc w:val="both"/>
      </w:pPr>
      <w:r>
        <w:rPr>
          <w:rFonts w:ascii="Times New Roman" w:hAnsi="Times New Roman" w:eastAsia="方正仿宋_GBK"/>
          <w:b w:val="0"/>
          <w:sz w:val="24"/>
        </w:rPr>
        <w:t xml:space="preserve">主变分母表达采购容量，线路分母表达可转负荷，二者的服务机制不同。该比例作为相对价格参数，不可直接写成主变与联络的等效效率，也不用于代数推导容载比上限。实际站级约束决定这些措施能否替代。</w:t>
      </w:r>
    </w:p>
    <w:p>
      <w:pPr>
        <w:pStyle w:val="2"/>
        <w:widowControl/>
        <w:spacing w:line="300" w:lineRule="auto" w:before="0" w:after="0"/>
        <w:ind w:firstLine="480"/>
        <w:jc w:val="both"/>
      </w:pPr>
      <w:r>
        <w:rPr>
          <w:rFonts w:ascii="Times New Roman" w:hAnsi="Times New Roman" w:eastAsia="方正仿宋_GBK"/>
          <w:b w:val="0"/>
          <w:sz w:val="24"/>
        </w:rPr>
        <w:t xml:space="preserve">线路价格乘以0.75或1.25时，主变价格保持，比例相对于基准分别变为1/0.75与1/1.25。联络容量、负荷和候选集合不因改变价格而变化。这样可以将价格影响与技术能力影响分开观察。</w:t>
      </w:r>
    </w:p>
    <w:p>
      <w:pPr>
        <w:pStyle w:val="5"/>
        <w:keepNext/>
        <w:numPr>
          <w:numId w:val="0"/>
        </w:numPr>
        <w:spacing w:line="360" w:lineRule="auto" w:before="160" w:after="120"/>
        <w:ind w:firstLine="0"/>
      </w:pPr>
      <w:bookmarkStart w:id="143" w:name="主变与储能成本比例"/>
      <w:r>
        <w:rPr>
          <w:rFonts w:ascii="Times New Roman" w:hAnsi="Times New Roman" w:eastAsia="方正仿宋_GBK"/>
          <w:b/>
          <w:sz w:val="26"/>
        </w:rPr>
        <w:t xml:space="preserve">4.5.2 主变与储能成本比例</w:t>
      </w:r>
      <w:bookmarkEnd w:id="143"/>
    </w:p>
    <w:p>
      <w:pPr>
        <w:pStyle w:val="FirstParagraph"/>
        <w:widowControl/>
        <w:spacing w:line="300" w:lineRule="auto" w:before="0" w:after="0"/>
        <w:ind w:firstLine="480"/>
        <w:jc w:val="both"/>
      </w:pPr>
      <w:r>
        <w:rPr>
          <w:rFonts w:ascii="Times New Roman" w:hAnsi="Times New Roman" w:eastAsia="方正仿宋_GBK"/>
          <w:b w:val="0"/>
          <w:sz w:val="24"/>
        </w:rPr>
        <w:t xml:space="preserve">主变采购有效MW费用与</w:t>
      </w:r>
      <m:oMath>
        <m:r>
          <m:t>d</m:t>
        </m:r>
      </m:oMath>
      <w:r>
        <w:rPr>
          <w:rFonts w:ascii="Times New Roman" w:hAnsi="Times New Roman" w:eastAsia="方正仿宋_GBK"/>
          <w:b w:val="0"/>
          <w:sz w:val="24"/>
        </w:rPr>
        <w:t xml:space="preserve">小时储能有效MW费用之比记为</w:t>
      </w:r>
      <m:oMath>
        <m:sSub>
          <m:e>
            <m:r>
              <m:t>k</m:t>
            </m:r>
          </m:e>
          <m:sub>
            <m:r>
              <m:t>T</m:t>
            </m:r>
            <m:r>
              <m:t>B</m:t>
            </m:r>
          </m:sub>
        </m:sSub>
        <m:r>
          <m:t>(</m:t>
        </m:r>
        <m:r>
          <m:t>d</m:t>
        </m:r>
        <m:r>
          <m:t>)</m:t>
        </m:r>
      </m:oMath>
      <w:r>
        <w:rPr>
          <w:rFonts w:ascii="Times New Roman" w:hAnsi="Times New Roman" w:eastAsia="方正仿宋_GBK"/>
          <w:b w:val="0"/>
          <w:sz w:val="24"/>
        </w:rPr>
        <w:t xml:space="preserve">。式（4-8）以10柜包为尺度，使持续时间明确进入比例。</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k</m:t>
                    </m:r>
                  </m:e>
                  <m:sub>
                    <m:r>
                      <m:t>T</m:t>
                    </m:r>
                    <m:r>
                      <m:t>B</m:t>
                    </m:r>
                  </m:sub>
                </m:sSub>
                <m:r>
                  <m:t>(</m:t>
                </m:r>
                <m:r>
                  <m:t>d</m:t>
                </m:r>
                <m:r>
                  <m:t>)</m:t>
                </m:r>
                <m:r>
                  <m:t>=</m:t>
                </m:r>
                <m:f>
                  <m:fPr>
                    <m:type m:val="bar"/>
                  </m:fPr>
                  <m:num>
                    <m:sSub>
                      <m:e>
                        <m:r>
                          <m:t>c</m:t>
                        </m:r>
                      </m:e>
                      <m:sub>
                        <m:r>
                          <m:t>T</m:t>
                        </m:r>
                      </m:sub>
                    </m:sSub>
                    <m:r>
                      <m:t>/</m:t>
                    </m:r>
                    <m:r>
                      <m:t>0.95</m:t>
                    </m:r>
                  </m:num>
                  <m:den>
                    <m:r>
                      <m:t>210.456262</m:t>
                    </m:r>
                    <m:r>
                      <m:t>/</m:t>
                    </m:r>
                    <m:r>
                      <m:t>B</m:t>
                    </m:r>
                    <m:r>
                      <m:t>(</m:t>
                    </m:r>
                    <m:r>
                      <m:t>10</m:t>
                    </m:r>
                    <m:r>
                      <m:t>,</m:t>
                    </m:r>
                    <m:r>
                      <m:t>d</m:t>
                    </m:r>
                    <m:r>
                      <m:t>)</m:t>
                    </m:r>
                  </m:den>
                </m:f>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k</m:t>
            </m:r>
          </m:e>
          <m:sub>
            <m:r>
              <m:t>T</m:t>
            </m:r>
            <m:r>
              <m:t>B</m:t>
            </m:r>
          </m:sub>
        </m:sSub>
        <m:r>
          <m:t>(</m:t>
        </m:r>
        <m:r>
          <m:t>d</m:t>
        </m:r>
        <m:r>
          <m:t>)</m:t>
        </m:r>
      </m:oMath>
      <w:r>
        <w:rPr>
          <w:rFonts w:ascii="Times New Roman" w:hAnsi="Times New Roman" w:eastAsia="方正仿宋_GBK"/>
          <w:b w:val="0"/>
          <w:sz w:val="24"/>
        </w:rPr>
        <w:t xml:space="preserve">为持续</w:t>
      </w:r>
      <m:oMath>
        <m:r>
          <m:t>d</m:t>
        </m:r>
      </m:oMath>
      <w:r>
        <w:rPr>
          <w:rFonts w:ascii="Times New Roman" w:hAnsi="Times New Roman" w:eastAsia="方正仿宋_GBK"/>
          <w:b w:val="0"/>
          <w:sz w:val="24"/>
        </w:rPr>
        <w:t xml:space="preserve">小时的主变与储能成本比，无量纲；</w:t>
      </w:r>
      <m:oMath>
        <m:r>
          <m:t>B</m:t>
        </m:r>
        <m:r>
          <m:t>(</m:t>
        </m:r>
        <m:r>
          <m:t>10</m:t>
        </m:r>
        <m:r>
          <m:t>,</m:t>
        </m:r>
        <m:r>
          <m:t>d</m:t>
        </m:r>
        <m:r>
          <m:t>)</m:t>
        </m:r>
      </m:oMath>
      <w:r>
        <w:rPr>
          <w:rFonts w:ascii="Times New Roman" w:hAnsi="Times New Roman" w:eastAsia="方正仿宋_GBK"/>
          <w:b w:val="0"/>
          <w:sz w:val="24"/>
        </w:rPr>
        <w:t xml:space="preserve">为10柜包有效支撑功率，单位MW；210.456262为该包参考投资，单位万元。</w:t>
      </w:r>
    </w:p>
    <w:p>
      <w:pPr>
        <w:pStyle w:val="2"/>
        <w:widowControl/>
        <w:spacing w:line="300" w:lineRule="auto" w:before="0" w:after="0"/>
        <w:ind w:firstLine="480"/>
        <w:jc w:val="both"/>
      </w:pPr>
      <w:r>
        <w:rPr>
          <w:rFonts w:ascii="Times New Roman" w:hAnsi="Times New Roman" w:eastAsia="方正仿宋_GBK"/>
          <w:b w:val="0"/>
          <w:sz w:val="24"/>
        </w:rPr>
        <w:t xml:space="preserve">3</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时，主变与储能成本比</w:t>
      </w:r>
      <m:oMath>
        <m:sSub>
          <m:e>
            <m:r>
              <m:t>k</m:t>
            </m:r>
          </m:e>
          <m:sub>
            <m:r>
              <m:t>T</m:t>
            </m:r>
            <m:r>
              <m:t>B</m:t>
            </m:r>
          </m:sub>
        </m:sSub>
      </m:oMath>
      <w:r>
        <w:rPr>
          <w:rFonts w:ascii="Times New Roman" w:hAnsi="Times New Roman" w:eastAsia="方正仿宋_GBK"/>
          <w:b w:val="0"/>
          <w:sz w:val="24"/>
        </w:rPr>
        <w:t xml:space="preserve">约0.05941；2 h及以内约0.08289，4</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时约0.04456。报告用3 h参考比例展示价格条件，实际寻优仍对每站正反向持续时间分别计算支撑系数。各站能量约束按本方向持续时间计算。</w:t>
      </w:r>
    </w:p>
    <w:p>
      <w:pPr>
        <w:pStyle w:val="2"/>
        <w:widowControl/>
        <w:spacing w:line="300" w:lineRule="auto" w:before="0" w:after="0"/>
        <w:ind w:firstLine="480"/>
        <w:jc w:val="both"/>
      </w:pPr>
      <w:r>
        <w:rPr>
          <w:rFonts w:ascii="Times New Roman" w:hAnsi="Times New Roman" w:eastAsia="方正仿宋_GBK"/>
          <w:b w:val="0"/>
          <w:sz w:val="24"/>
        </w:rPr>
        <w:t xml:space="preserve">储能价格降低25%或50%时，主变与储能成本比</w:t>
      </w:r>
      <m:oMath>
        <m:sSub>
          <m:e>
            <m:r>
              <m:t>k</m:t>
            </m:r>
          </m:e>
          <m:sub>
            <m:r>
              <m:t>T</m:t>
            </m:r>
            <m:r>
              <m:t>B</m:t>
            </m:r>
          </m:sub>
        </m:sSub>
      </m:oMath>
      <w:r>
        <w:rPr>
          <w:rFonts w:ascii="Times New Roman" w:hAnsi="Times New Roman" w:eastAsia="方正仿宋_GBK"/>
          <w:b w:val="0"/>
          <w:sz w:val="24"/>
        </w:rPr>
        <w:t xml:space="preserve">相对于同持续时间基准分别增加到1.3333倍或2倍；提高25%时降为0.8倍。初始投资与未来更新投资共同采用相同价格倍数，避免只降低首次购置而保留原更新成本，造成情景定义不一致。</w:t>
      </w:r>
    </w:p>
    <w:p>
      <w:pPr>
        <w:pStyle w:val="5"/>
        <w:keepNext/>
        <w:numPr>
          <w:numId w:val="0"/>
        </w:numPr>
        <w:spacing w:line="360" w:lineRule="auto" w:before="160" w:after="120"/>
        <w:ind w:firstLine="0"/>
      </w:pPr>
      <w:bookmarkStart w:id="144" w:name="初始投资比与全寿命比"/>
      <w:r>
        <w:rPr>
          <w:rFonts w:ascii="Times New Roman" w:hAnsi="Times New Roman" w:eastAsia="方正仿宋_GBK"/>
          <w:b/>
          <w:sz w:val="26"/>
        </w:rPr>
        <w:t xml:space="preserve">4.5.3 初始投资比与全寿命比</w:t>
      </w:r>
      <w:bookmarkEnd w:id="144"/>
    </w:p>
    <w:p>
      <w:pPr>
        <w:pStyle w:val="FirstParagraph"/>
        <w:widowControl/>
        <w:spacing w:line="300" w:lineRule="auto" w:before="0" w:after="0"/>
        <w:ind w:firstLine="480"/>
        <w:jc w:val="both"/>
      </w:pPr>
      <w:r>
        <w:rPr>
          <w:rFonts w:ascii="Times New Roman" w:hAnsi="Times New Roman" w:eastAsia="方正仿宋_GBK"/>
          <w:b w:val="0"/>
          <w:sz w:val="24"/>
        </w:rPr>
        <w:t xml:space="preserve">初始投资比适于说明工程规模和价格出处，全寿命比还受投运年份、运维及更新影响。对同一年投入的措施，可将各初始费用分别乘以相应现值因子，形成全寿命单位服务能力费用比。储能需要更新时，后者与初始比明显不同。</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Sup>
                        <m:e>
                          <m:r>
                            <m:t>k</m:t>
                          </m:r>
                        </m:e>
                        <m:sub>
                          <m:r>
                            <m:t>T</m:t>
                          </m:r>
                          <m:r>
                            <m:t>B</m:t>
                          </m:r>
                        </m:sub>
                        <m:sup>
                          <m:r>
                            <m:rPr>
                              <m:sty m:val="p"/>
                            </m:rPr>
                            <m:t>l</m:t>
                          </m:r>
                          <m:r>
                            <m:rPr>
                              <m:sty m:val="p"/>
                            </m:rPr>
                            <m:t>i</m:t>
                          </m:r>
                          <m:r>
                            <m:rPr>
                              <m:sty m:val="p"/>
                            </m:rPr>
                            <m:t>f</m:t>
                          </m:r>
                          <m:r>
                            <m:rPr>
                              <m:sty m:val="p"/>
                            </m:rPr>
                            <m:t>e</m:t>
                          </m:r>
                        </m:sup>
                      </m:sSubSup>
                      <m:r>
                        <m:t>(</m:t>
                      </m:r>
                      <m:r>
                        <m:t>y</m:t>
                      </m:r>
                      <m:r>
                        <m:t>,</m:t>
                      </m:r>
                      <m:r>
                        <m:t>d</m:t>
                      </m:r>
                      <m:r>
                        <m:t>)</m:t>
                      </m:r>
                    </m:e>
                    <m:e>
                      <m:r>
                        <m:t>=</m:t>
                      </m:r>
                      <m:sSub>
                        <m:e>
                          <m:r>
                            <m:t>k</m:t>
                          </m:r>
                        </m:e>
                        <m:sub>
                          <m:r>
                            <m:t>T</m:t>
                          </m:r>
                          <m:r>
                            <m:t>B</m:t>
                          </m:r>
                        </m:sub>
                      </m:sSub>
                      <m:r>
                        <m:t>(</m:t>
                      </m:r>
                      <m:r>
                        <m:t>d</m:t>
                      </m:r>
                      <m:r>
                        <m:t>)</m:t>
                      </m:r>
                      <m:f>
                        <m:fPr>
                          <m:type m:val="bar"/>
                        </m:fPr>
                        <m:num>
                          <m:sSub>
                            <m:e>
                              <m:r>
                                <m:t>A</m:t>
                              </m:r>
                            </m:e>
                            <m:sub>
                              <m:r>
                                <m:t>T</m:t>
                              </m:r>
                            </m:sub>
                          </m:sSub>
                          <m:r>
                            <m:t>(</m:t>
                          </m:r>
                          <m:r>
                            <m:t>y</m:t>
                          </m:r>
                          <m:r>
                            <m:t>)</m:t>
                          </m:r>
                        </m:num>
                        <m:den>
                          <m:sSub>
                            <m:e>
                              <m:r>
                                <m:t>A</m:t>
                              </m:r>
                            </m:e>
                            <m:sub>
                              <m:r>
                                <m:t>B</m:t>
                              </m:r>
                            </m:sub>
                          </m:sSub>
                          <m:r>
                            <m:t>(</m:t>
                          </m:r>
                          <m:r>
                            <m:t>y</m:t>
                          </m:r>
                          <m:r>
                            <m:t>)</m:t>
                          </m:r>
                        </m:den>
                      </m:f>
                    </m:e>
                  </m:mr>
                  <m:mr>
                    <m:e>
                      <m:sSubSup>
                        <m:e>
                          <m:r>
                            <m:t>k</m:t>
                          </m:r>
                        </m:e>
                        <m:sub>
                          <m:r>
                            <m:t>T</m:t>
                          </m:r>
                          <m:r>
                            <m:t>L</m:t>
                          </m:r>
                        </m:sub>
                        <m:sup>
                          <m:r>
                            <m:rPr>
                              <m:sty m:val="p"/>
                            </m:rPr>
                            <m:t>l</m:t>
                          </m:r>
                          <m:r>
                            <m:rPr>
                              <m:sty m:val="p"/>
                            </m:rPr>
                            <m:t>i</m:t>
                          </m:r>
                          <m:r>
                            <m:rPr>
                              <m:sty m:val="p"/>
                            </m:rPr>
                            <m:t>f</m:t>
                          </m:r>
                          <m:r>
                            <m:rPr>
                              <m:sty m:val="p"/>
                            </m:rPr>
                            <m:t>e</m:t>
                          </m:r>
                        </m:sup>
                      </m:sSubSup>
                      <m:r>
                        <m:t>(</m:t>
                      </m:r>
                      <m:r>
                        <m:t>y</m:t>
                      </m:r>
                      <m:r>
                        <m:t>)</m:t>
                      </m:r>
                    </m:e>
                    <m:e>
                      <m:r>
                        <m:t>=</m:t>
                      </m:r>
                      <m:sSub>
                        <m:e>
                          <m:r>
                            <m:t>k</m:t>
                          </m:r>
                        </m:e>
                        <m:sub>
                          <m:r>
                            <m:t>T</m:t>
                          </m:r>
                          <m:r>
                            <m:t>L</m:t>
                          </m:r>
                        </m:sub>
                      </m:sSub>
                      <m:f>
                        <m:fPr>
                          <m:type m:val="bar"/>
                        </m:fPr>
                        <m:num>
                          <m:sSub>
                            <m:e>
                              <m:r>
                                <m:t>A</m:t>
                              </m:r>
                            </m:e>
                            <m:sub>
                              <m:r>
                                <m:t>T</m:t>
                              </m:r>
                            </m:sub>
                          </m:sSub>
                          <m:r>
                            <m:t>(</m:t>
                          </m:r>
                          <m:r>
                            <m:t>y</m:t>
                          </m:r>
                          <m:r>
                            <m:t>)</m:t>
                          </m:r>
                        </m:num>
                        <m:den>
                          <m:sSub>
                            <m:e>
                              <m:r>
                                <m:t>A</m:t>
                              </m:r>
                            </m:e>
                            <m:sub>
                              <m:r>
                                <m:t>L</m:t>
                              </m:r>
                            </m:sub>
                          </m:sSub>
                          <m:r>
                            <m:t>(</m:t>
                          </m:r>
                          <m:r>
                            <m:t>y</m:t>
                          </m:r>
                          <m:r>
                            <m:t>)</m:t>
                          </m:r>
                        </m:den>
                      </m:f>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（4-9）</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Sup>
          <m:e>
            <m:r>
              <m:t>k</m:t>
            </m:r>
          </m:e>
          <m:sub>
            <m:r>
              <m:t>T</m:t>
            </m:r>
            <m:r>
              <m:t>B</m:t>
            </m:r>
          </m:sub>
          <m:sup>
            <m:r>
              <m:rPr>
                <m:sty m:val="p"/>
              </m:rPr>
              <m:t>l</m:t>
            </m:r>
            <m:r>
              <m:rPr>
                <m:sty m:val="p"/>
              </m:rPr>
              <m:t>i</m:t>
            </m:r>
            <m:r>
              <m:rPr>
                <m:sty m:val="p"/>
              </m:rPr>
              <m:t>f</m:t>
            </m:r>
            <m:r>
              <m:rPr>
                <m:sty m:val="p"/>
              </m:rPr>
              <m:t>e</m:t>
            </m:r>
          </m:sup>
        </m:sSubSup>
      </m:oMath>
      <w:r>
        <w:rPr>
          <w:rFonts w:ascii="Times New Roman" w:hAnsi="Times New Roman" w:eastAsia="方正仿宋_GBK"/>
          <w:b w:val="0"/>
          <w:sz w:val="24"/>
        </w:rPr>
        <w:t xml:space="preserve">、</w:t>
      </w:r>
      <m:oMath>
        <m:sSubSup>
          <m:e>
            <m:r>
              <m:t>k</m:t>
            </m:r>
          </m:e>
          <m:sub>
            <m:r>
              <m:t>T</m:t>
            </m:r>
            <m:r>
              <m:t>L</m:t>
            </m:r>
          </m:sub>
          <m:sup>
            <m:r>
              <m:rPr>
                <m:sty m:val="p"/>
              </m:rPr>
              <m:t>l</m:t>
            </m:r>
            <m:r>
              <m:rPr>
                <m:sty m:val="p"/>
              </m:rPr>
              <m:t>i</m:t>
            </m:r>
            <m:r>
              <m:rPr>
                <m:sty m:val="p"/>
              </m:rPr>
              <m:t>f</m:t>
            </m:r>
            <m:r>
              <m:rPr>
                <m:sty m:val="p"/>
              </m:rPr>
              <m:t>e</m:t>
            </m:r>
          </m:sup>
        </m:sSubSup>
      </m:oMath>
      <w:r>
        <w:rPr>
          <w:rFonts w:ascii="Times New Roman" w:hAnsi="Times New Roman" w:eastAsia="方正仿宋_GBK"/>
          <w:b w:val="0"/>
          <w:sz w:val="24"/>
        </w:rPr>
        <w:t xml:space="preserve">分别为全寿命主变与储能、主变与线路单位能力费用比，无量纲；</w:t>
      </w:r>
      <m:oMath>
        <m:sSub>
          <m:e>
            <m:r>
              <m:t>A</m:t>
            </m:r>
          </m:e>
          <m:sub>
            <m:r>
              <m:t>T</m:t>
            </m:r>
          </m:sub>
        </m:sSub>
        <m:r>
          <m:t>(</m:t>
        </m:r>
        <m:r>
          <m:t>y</m:t>
        </m:r>
        <m:r>
          <m:t>)</m:t>
        </m:r>
      </m:oMath>
      <w:r>
        <w:rPr>
          <w:rFonts w:ascii="Times New Roman" w:hAnsi="Times New Roman" w:eastAsia="方正仿宋_GBK"/>
          <w:b w:val="0"/>
          <w:sz w:val="24"/>
        </w:rPr>
        <w:t xml:space="preserve">、</w:t>
      </w:r>
      <m:oMath>
        <m:sSub>
          <m:e>
            <m:r>
              <m:t>A</m:t>
            </m:r>
          </m:e>
          <m:sub>
            <m:r>
              <m:t>B</m:t>
            </m:r>
          </m:sub>
        </m:sSub>
        <m:r>
          <m:t>(</m:t>
        </m:r>
        <m:r>
          <m:t>y</m:t>
        </m:r>
        <m:r>
          <m:t>)</m:t>
        </m:r>
      </m:oMath>
      <w:r>
        <w:rPr>
          <w:rFonts w:ascii="Times New Roman" w:hAnsi="Times New Roman" w:eastAsia="方正仿宋_GBK"/>
          <w:b w:val="0"/>
          <w:sz w:val="24"/>
        </w:rPr>
        <w:t xml:space="preserve">、</w:t>
      </w:r>
      <m:oMath>
        <m:sSub>
          <m:e>
            <m:r>
              <m:t>A</m:t>
            </m:r>
          </m:e>
          <m:sub>
            <m:r>
              <m:t>L</m:t>
            </m:r>
          </m:sub>
        </m:sSub>
        <m:r>
          <m:t>(</m:t>
        </m:r>
        <m:r>
          <m:t>y</m:t>
        </m:r>
        <m:r>
          <m:t>)</m:t>
        </m:r>
      </m:oMath>
      <w:r>
        <w:rPr>
          <w:rFonts w:ascii="Times New Roman" w:hAnsi="Times New Roman" w:eastAsia="方正仿宋_GBK"/>
          <w:b w:val="0"/>
          <w:sz w:val="24"/>
        </w:rPr>
        <w:t xml:space="preserve">分别为主变、储能和线路的现金流现值因子，按下一节计算。矩阵以两个价格倍数作为敏感性输入，费用目标由全寿命现金流决定；初始比例用于列示参数。</w:t>
      </w:r>
    </w:p>
    <w:p>
      <w:pPr>
        <w:pStyle w:val="5"/>
        <w:keepNext/>
        <w:numPr>
          <w:numId w:val="0"/>
        </w:numPr>
        <w:spacing w:line="360" w:lineRule="auto" w:before="160" w:after="120"/>
        <w:ind w:firstLine="0"/>
      </w:pPr>
      <w:bookmarkStart w:id="145" w:name="参数范围与控制方式"/>
      <w:r>
        <w:rPr>
          <w:rFonts w:ascii="Times New Roman" w:hAnsi="Times New Roman" w:eastAsia="方正仿宋_GBK"/>
          <w:b/>
          <w:sz w:val="26"/>
        </w:rPr>
        <w:t xml:space="preserve">4.5.4 参数范围与控制方式</w:t>
      </w:r>
      <w:bookmarkEnd w:id="145"/>
    </w:p>
    <w:p>
      <w:pPr>
        <w:pStyle w:val="FirstParagraph"/>
        <w:widowControl/>
        <w:spacing w:line="300" w:lineRule="auto" w:before="0" w:after="0"/>
        <w:ind w:firstLine="480"/>
        <w:jc w:val="both"/>
      </w:pPr>
      <w:r>
        <w:rPr>
          <w:rFonts w:ascii="Times New Roman" w:hAnsi="Times New Roman" w:eastAsia="方正仿宋_GBK"/>
          <w:b w:val="0"/>
          <w:sz w:val="24"/>
        </w:rPr>
        <w:t xml:space="preserve">成本敏感性改变主变与线路、主变与储能两个比例。主变价格保持基准，线路采用0.75～1.25倍，储能采用0.50～1.25倍。通用外推取两个价格范围的四个交叉角点及基准中心点，与装机渗透率、年负荷平均增长率和峰段持续时间共同形成计算组合。</w:t>
      </w:r>
    </w:p>
    <w:p>
      <w:pPr>
        <w:pStyle w:val="2"/>
        <w:widowControl/>
        <w:spacing w:line="300" w:lineRule="auto" w:before="0" w:after="0"/>
        <w:ind w:firstLine="480"/>
        <w:jc w:val="both"/>
      </w:pPr>
      <w:r>
        <w:rPr>
          <w:rFonts w:ascii="Times New Roman" w:hAnsi="Times New Roman" w:eastAsia="方正仿宋_GBK"/>
          <w:b w:val="0"/>
          <w:sz w:val="24"/>
        </w:rPr>
        <w:t xml:space="preserve">价格范围用于检验参考价附近及储能下降条件，不代表市场价格预测。新增线路提高站级转供能力，线路价格变化据此参与主变、储能和联络的费用比较。</w:t>
      </w:r>
    </w:p>
    <w:p>
      <w:bookmarkStart w:id="1378" w:name="h378"/>
      <w:pPr>
        <w:pStyle w:val="4"/>
        <w:keepNext/>
        <w:numPr>
          <w:numId w:val="0"/>
        </w:numPr>
        <w:spacing w:line="360" w:lineRule="auto" w:before="160" w:after="120"/>
        <w:ind w:firstLine="0"/>
      </w:pPr>
      <w:bookmarkStart w:id="146" w:name="现金流现值计算"/>
      <w:r>
        <w:rPr>
          <w:rFonts w:ascii="Times New Roman" w:hAnsi="Times New Roman" w:eastAsia="方正仿宋_GBK"/>
          <w:b/>
          <w:sz w:val="32"/>
        </w:rPr>
        <w:t xml:space="preserve">4.6 现金流现值计算</w:t>
      </w:r>
      <w:bookmarkEnd w:id="146"/>
      <w:bookmarkEnd w:id="1378"/>
    </w:p>
    <w:p>
      <w:pPr>
        <w:pStyle w:val="5"/>
        <w:keepNext/>
        <w:numPr>
          <w:numId w:val="0"/>
        </w:numPr>
        <w:spacing w:line="360" w:lineRule="auto" w:before="160" w:after="120"/>
        <w:ind w:firstLine="0"/>
      </w:pPr>
      <w:bookmarkStart w:id="147" w:name="单项工程现值因子"/>
      <w:r>
        <w:rPr>
          <w:rFonts w:ascii="Times New Roman" w:hAnsi="Times New Roman" w:eastAsia="方正仿宋_GBK"/>
          <w:b/>
          <w:sz w:val="26"/>
        </w:rPr>
        <w:t xml:space="preserve">4.6.1 单项工程现值因子</w:t>
      </w:r>
      <w:bookmarkEnd w:id="147"/>
    </w:p>
    <w:p>
      <w:pPr>
        <w:pStyle w:val="FirstParagraph"/>
        <w:widowControl/>
        <w:spacing w:line="300" w:lineRule="auto" w:before="0" w:after="0"/>
        <w:ind w:firstLine="480"/>
        <w:jc w:val="both"/>
      </w:pPr>
      <w:r>
        <w:rPr>
          <w:rFonts w:ascii="Times New Roman" w:hAnsi="Times New Roman" w:eastAsia="方正仿宋_GBK"/>
          <w:b w:val="0"/>
          <w:sz w:val="24"/>
        </w:rPr>
        <w:t xml:space="preserve">设工程于</w:t>
      </w:r>
      <m:oMath>
        <m:r>
          <m:t>y</m:t>
        </m:r>
      </m:oMath>
      <w:r>
        <w:rPr>
          <w:rFonts w:ascii="Times New Roman" w:hAnsi="Times New Roman" w:eastAsia="方正仿宋_GBK"/>
          <w:b w:val="0"/>
          <w:sz w:val="24"/>
        </w:rPr>
        <w:t xml:space="preserve">年投运，初始投资</w:t>
      </w:r>
      <m:oMath>
        <m:r>
          <m:t>I</m:t>
        </m:r>
      </m:oMath>
      <w:r>
        <w:rPr>
          <w:rFonts w:ascii="Times New Roman" w:hAnsi="Times New Roman" w:eastAsia="方正仿宋_GBK"/>
          <w:b w:val="0"/>
          <w:sz w:val="24"/>
        </w:rPr>
        <w:t xml:space="preserve">，寿命</w:t>
      </w:r>
      <m:oMath>
        <m:r>
          <m:t>L</m:t>
        </m:r>
      </m:oMath>
      <w:r>
        <w:rPr>
          <w:rFonts w:ascii="Times New Roman" w:hAnsi="Times New Roman" w:eastAsia="方正仿宋_GBK"/>
          <w:b w:val="0"/>
          <w:sz w:val="24"/>
        </w:rPr>
        <w:t xml:space="preserve">，固定运维率</w:t>
      </w:r>
      <m:oMath>
        <m:r>
          <m:t>q</m:t>
        </m:r>
      </m:oMath>
      <w:r>
        <w:rPr>
          <w:rFonts w:ascii="Times New Roman" w:hAnsi="Times New Roman" w:eastAsia="方正仿宋_GBK"/>
          <w:b w:val="0"/>
          <w:sz w:val="24"/>
        </w:rPr>
        <w:t xml:space="preserve">，评价截止年</w:t>
      </w:r>
      <m:oMath>
        <m:r>
          <m:t>T</m:t>
        </m:r>
      </m:oMath>
      <w:r>
        <w:rPr>
          <w:rFonts w:ascii="Times New Roman" w:hAnsi="Times New Roman" w:eastAsia="方正仿宋_GBK"/>
          <w:b w:val="0"/>
          <w:sz w:val="24"/>
        </w:rPr>
        <w:t xml:space="preserve">=2041，基准年2021，折现率</w:t>
      </w:r>
      <m:oMath>
        <m:r>
          <m:t>r</m:t>
        </m:r>
      </m:oMath>
      <w:r>
        <w:rPr>
          <w:rFonts w:ascii="Times New Roman" w:hAnsi="Times New Roman" w:eastAsia="方正仿宋_GBK"/>
          <w:b w:val="0"/>
          <w:sz w:val="24"/>
        </w:rPr>
        <w:t xml:space="preserve">=6%。单项工程现值由投运投资、评价期内更新和投运次年起固定运维构成[20][21][22]。</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r>
                        <m:t>C</m:t>
                      </m:r>
                      <m:r>
                        <m:t>(</m:t>
                      </m:r>
                      <m:r>
                        <m:t>I</m:t>
                      </m:r>
                      <m:r>
                        <m:t>,</m:t>
                      </m:r>
                      <m:r>
                        <m:t>y</m:t>
                      </m:r>
                      <m:r>
                        <m:t>,</m:t>
                      </m:r>
                      <m:r>
                        <m:t>L</m:t>
                      </m:r>
                      <m:r>
                        <m:t>,</m:t>
                      </m:r>
                      <m:r>
                        <m:t>q</m:t>
                      </m:r>
                      <m:r>
                        <m:t>)</m:t>
                      </m:r>
                      <m:r>
                        <m:t>=</m:t>
                      </m:r>
                      <m:r>
                        <m:t>​</m:t>
                      </m:r>
                    </m:e>
                    <m:e>
                      <m:f>
                        <m:fPr>
                          <m:type m:val="bar"/>
                        </m:fPr>
                        <m:num>
                          <m:r>
                            <m:t>I</m:t>
                          </m:r>
                        </m:num>
                        <m:den>
                          <m:r>
                            <m:t>(</m:t>
                          </m:r>
                          <m:r>
                            <m:t>1</m:t>
                          </m:r>
                          <m:r>
                            <m:t>+</m:t>
                          </m:r>
                          <m:r>
                            <m:t>r</m:t>
                          </m:r>
                          <m:sSup>
                            <m:e>
                              <m:r>
                                <m:t>)</m:t>
                              </m:r>
                            </m:e>
                            <m:sup>
                              <m:r>
                                <m:t>y</m:t>
                              </m:r>
                              <m:r>
                                <m:t>−</m:t>
                              </m:r>
                              <m:r>
                                <m:t>2021</m:t>
                              </m:r>
                            </m:sup>
                          </m:sSup>
                        </m:den>
                      </m:f>
                      <m:r>
                        <m:t>+</m:t>
                      </m:r>
                      <m:nary>
                        <m:naryPr>
                          <m:chr m:val="∑"/>
                          <m:limLoc m:val="undOvr"/>
                          <m:subHide m:val="0"/>
                          <m:supHide m:val="1"/>
                        </m:naryPr>
                        <m:sub>
                          <m:r>
                            <m:t>k</m:t>
                          </m:r>
                          <m:r>
                            <m:t>≥</m:t>
                          </m:r>
                          <m:r>
                            <m:t>1</m:t>
                          </m:r>
                          <m:r>
                            <m:t>,</m:t>
                          </m:r>
                          <m:r>
                            <m:t> </m:t>
                          </m:r>
                          <m:r>
                            <m:t>y</m:t>
                          </m:r>
                          <m:r>
                            <m:t>+</m:t>
                          </m:r>
                          <m:r>
                            <m:t>k</m:t>
                          </m:r>
                          <m:r>
                            <m:t>L</m:t>
                          </m:r>
                          <m:r>
                            <m:t>&lt;</m:t>
                          </m:r>
                          <m:r>
                            <m:t>T</m:t>
                          </m:r>
                        </m:sub>
                        <m:sup>
                          <m:r>
                            <m:t>​</m:t>
                          </m:r>
                        </m:sup>
                        <m:e>
                          <m:f>
                            <m:fPr>
                              <m:type m:val="bar"/>
                            </m:fPr>
                            <m:num>
                              <m:r>
                                <m:t>I</m:t>
                              </m:r>
                            </m:num>
                            <m:den>
                              <m:r>
                                <m:t>(</m:t>
                              </m:r>
                              <m:r>
                                <m:t>1</m:t>
                              </m:r>
                              <m:r>
                                <m:t>+</m:t>
                              </m:r>
                              <m:r>
                                <m:t>r</m:t>
                              </m:r>
                              <m:sSup>
                                <m:e>
                                  <m:r>
                                    <m:t>)</m:t>
                                  </m:r>
                                </m:e>
                                <m:sup>
                                  <m:r>
                                    <m:t>y</m:t>
                                  </m:r>
                                  <m:r>
                                    <m:t>+</m:t>
                                  </m:r>
                                  <m:r>
                                    <m:t>k</m:t>
                                  </m:r>
                                  <m:r>
                                    <m:t>L</m:t>
                                  </m:r>
                                  <m:r>
                                    <m:t>−</m:t>
                                  </m:r>
                                  <m:r>
                                    <m:t>2021</m:t>
                                  </m:r>
                                </m:sup>
                              </m:sSup>
                            </m:den>
                          </m:f>
                        </m:e>
                      </m:nary>
                    </m:e>
                  </m:mr>
                  <m:mr>
                    <m:e/>
                    <m:e>
                      <m:r>
                        <m:t>+</m:t>
                      </m:r>
                      <m:nary>
                        <m:naryPr>
                          <m:chr m:val="∑"/>
                          <m:limLoc m:val="undOvr"/>
                          <m:subHide m:val="0"/>
                          <m:supHide m:val="0"/>
                        </m:naryPr>
                        <m:sub>
                          <m:r>
                            <m:t>t</m:t>
                          </m:r>
                          <m:r>
                            <m:t>=</m:t>
                          </m:r>
                          <m:r>
                            <m:t>y</m:t>
                          </m:r>
                          <m:r>
                            <m:t>+</m:t>
                          </m:r>
                          <m:r>
                            <m:t>1</m:t>
                          </m:r>
                        </m:sub>
                        <m:sup>
                          <m:r>
                            <m:t>T</m:t>
                          </m:r>
                        </m:sup>
                        <m:e>
                          <m:f>
                            <m:fPr>
                              <m:type m:val="bar"/>
                            </m:fPr>
                            <m:num>
                              <m:r>
                                <m:t>q</m:t>
                              </m:r>
                              <m:r>
                                <m:t>I</m:t>
                              </m:r>
                            </m:num>
                            <m:den>
                              <m:r>
                                <m:t>(</m:t>
                              </m:r>
                              <m:r>
                                <m:t>1</m:t>
                              </m:r>
                              <m:r>
                                <m:t>+</m:t>
                              </m:r>
                              <m:r>
                                <m:t>r</m:t>
                              </m:r>
                              <m:sSup>
                                <m:e>
                                  <m:r>
                                    <m:t>)</m:t>
                                  </m:r>
                                </m:e>
                                <m:sup>
                                  <m:r>
                                    <m:t>t</m:t>
                                  </m:r>
                                  <m:r>
                                    <m:t>−</m:t>
                                  </m:r>
                                  <m:r>
                                    <m:t>2021</m:t>
                                  </m:r>
                                </m:sup>
                              </m:sSup>
                            </m:den>
                          </m:f>
                        </m:e>
                      </m:nary>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（4-10）</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C</m:t>
        </m:r>
        <m:r>
          <m:t>(</m:t>
        </m:r>
        <m:r>
          <m:t>I</m:t>
        </m:r>
        <m:r>
          <m:t>,</m:t>
        </m:r>
        <m:r>
          <m:t>y</m:t>
        </m:r>
        <m:r>
          <m:t>,</m:t>
        </m:r>
        <m:r>
          <m:t>L</m:t>
        </m:r>
        <m:r>
          <m:t>,</m:t>
        </m:r>
        <m:r>
          <m:t>q</m:t>
        </m:r>
        <m:r>
          <m:t>)</m:t>
        </m:r>
      </m:oMath>
      <w:r>
        <w:rPr>
          <w:rFonts w:ascii="Times New Roman" w:hAnsi="Times New Roman" w:eastAsia="方正仿宋_GBK"/>
          <w:b w:val="0"/>
          <w:sz w:val="24"/>
        </w:rPr>
        <w:t xml:space="preserve">为单项工程费用现值，单位万元；</w:t>
      </w:r>
      <m:oMath>
        <m:r>
          <m:t>I</m:t>
        </m:r>
      </m:oMath>
      <w:r>
        <w:rPr>
          <w:rFonts w:ascii="Times New Roman" w:hAnsi="Times New Roman" w:eastAsia="方正仿宋_GBK"/>
          <w:b w:val="0"/>
          <w:sz w:val="24"/>
        </w:rPr>
        <w:t xml:space="preserve">为初始投资，单位万元；</w:t>
      </w:r>
      <m:oMath>
        <m:r>
          <m:t>y</m:t>
        </m:r>
      </m:oMath>
      <w:r>
        <w:rPr>
          <w:rFonts w:ascii="Times New Roman" w:hAnsi="Times New Roman" w:eastAsia="方正仿宋_GBK"/>
          <w:b w:val="0"/>
          <w:sz w:val="24"/>
        </w:rPr>
        <w:t xml:space="preserve">为投运年份，</w:t>
      </w:r>
      <m:oMath>
        <m:r>
          <m:t>L</m:t>
        </m:r>
      </m:oMath>
      <w:r>
        <w:rPr>
          <w:rFonts w:ascii="Times New Roman" w:hAnsi="Times New Roman" w:eastAsia="方正仿宋_GBK"/>
          <w:b w:val="0"/>
          <w:sz w:val="24"/>
        </w:rPr>
        <w:t xml:space="preserve">为寿命，单位年；</w:t>
      </w:r>
      <m:oMath>
        <m:r>
          <m:t>q</m:t>
        </m:r>
      </m:oMath>
      <w:r>
        <w:rPr>
          <w:rFonts w:ascii="Times New Roman" w:hAnsi="Times New Roman" w:eastAsia="方正仿宋_GBK"/>
          <w:b w:val="0"/>
          <w:sz w:val="24"/>
        </w:rPr>
        <w:t xml:space="preserve">为年度固定运维占初始投资的比例，</w:t>
      </w:r>
      <m:oMath>
        <m:r>
          <m:t>r</m:t>
        </m:r>
      </m:oMath>
      <w:r>
        <w:rPr>
          <w:rFonts w:ascii="Times New Roman" w:hAnsi="Times New Roman" w:eastAsia="方正仿宋_GBK"/>
          <w:b w:val="0"/>
          <w:sz w:val="24"/>
        </w:rPr>
        <w:t xml:space="preserve">为折现率；</w:t>
      </w:r>
      <m:oMath>
        <m:r>
          <m:t>k</m:t>
        </m:r>
      </m:oMath>
      <w:r>
        <w:rPr>
          <w:rFonts w:ascii="Times New Roman" w:hAnsi="Times New Roman" w:eastAsia="方正仿宋_GBK"/>
          <w:b w:val="0"/>
          <w:sz w:val="24"/>
        </w:rPr>
        <w:t xml:space="preserve">为更新次数序号，</w:t>
      </w:r>
      <m:oMath>
        <m:r>
          <m:t>t</m:t>
        </m:r>
      </m:oMath>
      <w:r>
        <w:rPr>
          <w:rFonts w:ascii="Times New Roman" w:hAnsi="Times New Roman" w:eastAsia="方正仿宋_GBK"/>
          <w:b w:val="0"/>
          <w:sz w:val="24"/>
        </w:rPr>
        <w:t xml:space="preserve">为运维年份，</w:t>
      </w:r>
      <m:oMath>
        <m:r>
          <m:t>T</m:t>
        </m:r>
      </m:oMath>
      <w:r>
        <w:rPr>
          <w:rFonts w:ascii="Times New Roman" w:hAnsi="Times New Roman" w:eastAsia="方正仿宋_GBK"/>
          <w:b w:val="0"/>
          <w:sz w:val="24"/>
        </w:rPr>
        <w:t xml:space="preserve">为评价截止年。</w:t>
      </w:r>
    </w:p>
    <w:p>
      <w:pPr>
        <w:pStyle w:val="2"/>
        <w:widowControl/>
        <w:spacing w:line="300" w:lineRule="auto" w:before="0" w:after="0"/>
        <w:ind w:firstLine="480"/>
        <w:jc w:val="both"/>
      </w:pPr>
      <w:r>
        <w:rPr>
          <w:rFonts w:ascii="Times New Roman" w:hAnsi="Times New Roman" w:eastAsia="方正仿宋_GBK"/>
          <w:b w:val="0"/>
          <w:sz w:val="24"/>
        </w:rPr>
        <w:t xml:space="preserve">更新发生在</w:t>
      </w:r>
      <m:oMath>
        <m:r>
          <m:t>y</m:t>
        </m:r>
        <m:r>
          <m:t>+</m:t>
        </m:r>
        <m:r>
          <m:t>k</m:t>
        </m:r>
        <m:r>
          <m:t>L</m:t>
        </m:r>
      </m:oMath>
      <w:r>
        <w:rPr>
          <w:rFonts w:ascii="Times New Roman" w:hAnsi="Times New Roman" w:eastAsia="方正仿宋_GBK"/>
          <w:b w:val="0"/>
          <w:sz w:val="24"/>
        </w:rPr>
        <w:t xml:space="preserve">严格小于2041时，截止年达到寿命不另购一套设备。固定运维一直计至2041年。该规则使截止年处理可以复算，避免表内不同措施采用不同末年逻辑。</w:t>
      </w:r>
    </w:p>
    <w:p>
      <w:pPr>
        <w:pStyle w:val="2"/>
        <w:widowControl/>
        <w:spacing w:line="300" w:lineRule="auto" w:before="0" w:after="0"/>
        <w:ind w:firstLine="480"/>
        <w:jc w:val="both"/>
      </w:pPr>
      <w:r>
        <w:rPr>
          <w:rFonts w:ascii="Times New Roman" w:hAnsi="Times New Roman" w:eastAsia="方正仿宋_GBK"/>
          <w:b w:val="0"/>
          <w:sz w:val="24"/>
        </w:rPr>
        <w:t xml:space="preserve">令</w:t>
      </w:r>
      <m:oMath>
        <m:r>
          <m:t>I</m:t>
        </m:r>
        <m:r>
          <m:t>=</m:t>
        </m:r>
        <m:r>
          <m:t>1</m:t>
        </m:r>
      </m:oMath>
      <w:r>
        <w:rPr>
          <w:rFonts w:ascii="Times New Roman" w:hAnsi="Times New Roman" w:eastAsia="方正仿宋_GBK"/>
          <w:b w:val="0"/>
          <w:sz w:val="24"/>
        </w:rPr>
        <w:t xml:space="preserve">，得到现值因子</w:t>
      </w:r>
      <m:oMath>
        <m:r>
          <m:t>A</m:t>
        </m:r>
        <m:r>
          <m:t>(</m:t>
        </m:r>
        <m:r>
          <m:t>y</m:t>
        </m:r>
        <m:r>
          <m:t>,</m:t>
        </m:r>
        <m:r>
          <m:t>L</m:t>
        </m:r>
        <m:r>
          <m:t>,</m:t>
        </m:r>
        <m:r>
          <m:t>q</m:t>
        </m:r>
        <m:r>
          <m:t>)</m:t>
        </m:r>
      </m:oMath>
      <w:r>
        <w:rPr>
          <w:rFonts w:ascii="Times New Roman" w:hAnsi="Times New Roman" w:eastAsia="方正仿宋_GBK"/>
          <w:b w:val="0"/>
          <w:sz w:val="24"/>
        </w:rPr>
        <w:t xml:space="preserve">。主变和线路按</w:t>
      </w:r>
      <m:oMath>
        <m:r>
          <m:t>L</m:t>
        </m:r>
        <m:r>
          <m:t>=</m:t>
        </m:r>
        <m:r>
          <m:t>20</m:t>
        </m:r>
      </m:oMath>
      <w:r>
        <w:rPr>
          <w:rFonts w:ascii="Times New Roman" w:hAnsi="Times New Roman" w:eastAsia="方正仿宋_GBK"/>
          <w:b w:val="0"/>
          <w:sz w:val="24"/>
        </w:rPr>
        <w:t xml:space="preserve">、</w:t>
      </w:r>
      <m:oMath>
        <m:r>
          <m:t>q</m:t>
        </m:r>
        <m:r>
          <m:t>=</m:t>
        </m:r>
        <m:r>
          <m:t>0.01</m:t>
        </m:r>
      </m:oMath>
      <w:r>
        <w:rPr>
          <w:rFonts w:ascii="Times New Roman" w:hAnsi="Times New Roman" w:eastAsia="方正仿宋_GBK"/>
          <w:b w:val="0"/>
          <w:sz w:val="24"/>
        </w:rPr>
        <w:t xml:space="preserve">计算，储能按</w:t>
      </w:r>
      <m:oMath>
        <m:r>
          <m:t>L</m:t>
        </m:r>
        <m:r>
          <m:t>=</m:t>
        </m:r>
        <m:r>
          <m:t>10</m:t>
        </m:r>
      </m:oMath>
      <w:r>
        <w:rPr>
          <w:rFonts w:ascii="Times New Roman" w:hAnsi="Times New Roman" w:eastAsia="方正仿宋_GBK"/>
          <w:b w:val="0"/>
          <w:sz w:val="24"/>
        </w:rPr>
        <w:t xml:space="preserve">、</w:t>
      </w:r>
      <m:oMath>
        <m:r>
          <m:t>q</m:t>
        </m:r>
        <m:r>
          <m:t>=</m:t>
        </m:r>
        <m:r>
          <m:t>0.03</m:t>
        </m:r>
      </m:oMath>
      <w:r>
        <w:rPr>
          <w:rFonts w:ascii="Times New Roman" w:hAnsi="Times New Roman" w:eastAsia="方正仿宋_GBK"/>
          <w:b w:val="0"/>
          <w:sz w:val="24"/>
        </w:rPr>
        <w:t xml:space="preserve">计算。2022—2025年主变在评价期内没有寿命更新，储能分别在2032—2035年更新一次。</w:t>
      </w:r>
    </w:p>
    <w:p>
      <w:pPr>
        <w:pStyle w:val="2"/>
        <w:keepNext/>
        <w:spacing w:line="300" w:lineRule="auto" w:before="120" w:after="80"/>
        <w:ind w:firstLine="0"/>
        <w:jc w:val="center"/>
      </w:pPr>
      <w:r>
        <w:rPr>
          <w:rFonts w:ascii="Times New Roman" w:hAnsi="Times New Roman" w:eastAsia="宋体"/>
          <w:b w:val="0"/>
          <w:sz w:val="21"/>
        </w:rPr>
        <w:t xml:space="preserve">表4-6 单位初始投资的2021年末现值因子（式4-10）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投运年</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线路</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1.048661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1.048661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1.785980</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0.986362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0.986362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1.676062</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0.927588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0.927588</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1.572366</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0.872142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0.872142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1.474539</w:t>
            </w:r>
          </w:p>
        </w:tc>
      </w:tr>
    </w:tbl>
    <w:p>
      <w:pPr>
        <w:pStyle w:val="5"/>
        <w:keepNext/>
        <w:numPr>
          <w:numId w:val="0"/>
        </w:numPr>
        <w:spacing w:line="360" w:lineRule="auto" w:before="160" w:after="120"/>
        <w:ind w:firstLine="0"/>
      </w:pPr>
      <w:bookmarkStart w:id="148" w:name="年度投运对现值的影响"/>
      <w:r>
        <w:rPr>
          <w:rFonts w:ascii="Times New Roman" w:hAnsi="Times New Roman" w:eastAsia="方正仿宋_GBK"/>
          <w:b/>
          <w:sz w:val="26"/>
        </w:rPr>
        <w:t xml:space="preserve">4.6.2 年度投运对现值的影响</w:t>
      </w:r>
      <w:bookmarkEnd w:id="148"/>
    </w:p>
    <w:p>
      <w:pPr>
        <w:pStyle w:val="FirstParagraph"/>
        <w:widowControl/>
        <w:spacing w:line="300" w:lineRule="auto" w:before="0" w:after="0"/>
        <w:ind w:firstLine="480"/>
        <w:jc w:val="both"/>
      </w:pPr>
      <w:r>
        <w:rPr>
          <w:rFonts w:ascii="Times New Roman" w:hAnsi="Times New Roman" w:eastAsia="方正仿宋_GBK"/>
          <w:b w:val="0"/>
          <w:sz w:val="24"/>
        </w:rPr>
        <w:t xml:space="preserve">相同工程晚一年投运，初始投资折现减少，计入的运维年数也减少；更新年份相应后移。这使年度建设安排进入经济目标。建设时点在各年技术可行条件下选取。</w:t>
      </w:r>
    </w:p>
    <w:p>
      <w:pPr>
        <w:pStyle w:val="2"/>
        <w:widowControl/>
        <w:spacing w:line="300" w:lineRule="auto" w:before="0" w:after="0"/>
        <w:ind w:firstLine="480"/>
        <w:jc w:val="both"/>
      </w:pPr>
      <w:r>
        <w:rPr>
          <w:rFonts w:ascii="Times New Roman" w:hAnsi="Times New Roman" w:eastAsia="方正仿宋_GBK"/>
          <w:b w:val="0"/>
          <w:sz w:val="24"/>
        </w:rPr>
        <w:t xml:space="preserve">对于2022年已投运储能，后续新增柜按各自投运批次计算，不对全部2025年在役柜再次计首次投资。主变槽位在不同年份先后升档，每一次更换分别计当年新购整台容量；采购事件合计用于费用，容量净增用于设备状态及容载比。</w:t>
      </w:r>
    </w:p>
    <w:p>
      <w:pPr>
        <w:pStyle w:val="5"/>
        <w:keepNext/>
        <w:numPr>
          <w:numId w:val="0"/>
        </w:numPr>
        <w:spacing w:line="360" w:lineRule="auto" w:before="160" w:after="120"/>
        <w:ind w:firstLine="0"/>
      </w:pPr>
      <w:bookmarkStart w:id="149" w:name="费用构成与结果复算"/>
      <w:r>
        <w:rPr>
          <w:rFonts w:ascii="Times New Roman" w:hAnsi="Times New Roman" w:eastAsia="方正仿宋_GBK"/>
          <w:b/>
          <w:sz w:val="26"/>
        </w:rPr>
        <w:t xml:space="preserve">4.6.3 费用构成与结果复算</w:t>
      </w:r>
      <w:bookmarkEnd w:id="149"/>
    </w:p>
    <w:p>
      <w:pPr>
        <w:pStyle w:val="FirstParagraph"/>
        <w:widowControl/>
        <w:spacing w:line="300" w:lineRule="auto" w:before="0" w:after="0"/>
        <w:ind w:firstLine="480"/>
        <w:jc w:val="both"/>
      </w:pPr>
      <w:r>
        <w:rPr>
          <w:rFonts w:ascii="Times New Roman" w:hAnsi="Times New Roman" w:eastAsia="方正仿宋_GBK"/>
          <w:b w:val="0"/>
          <w:sz w:val="24"/>
        </w:rPr>
        <w:t xml:space="preserve">全方案现值为全部工程事件现值之和。主变、储能和线路分别汇总后相加，应等于求解目标在所选布局中的实际费用。报告费用表同时给出初始建设投资与全寿命现值，避免将现值解释为某一年度预算。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C</m:t>
                    </m:r>
                  </m:e>
                  <m:sub>
                    <m:r>
                      <m:rPr>
                        <m:sty m:val="p"/>
                      </m:rPr>
                      <m:t>p</m:t>
                    </m:r>
                    <m:r>
                      <m:rPr>
                        <m:sty m:val="p"/>
                      </m:rPr>
                      <m:t>l</m:t>
                    </m:r>
                    <m:r>
                      <m:rPr>
                        <m:sty m:val="p"/>
                      </m:rPr>
                      <m:t>a</m:t>
                    </m:r>
                    <m:r>
                      <m:rPr>
                        <m:sty m:val="p"/>
                      </m:rPr>
                      <m:t>n</m:t>
                    </m:r>
                  </m:sub>
                </m:sSub>
                <m:r>
                  <m:t>=</m:t>
                </m:r>
                <m:nary>
                  <m:naryPr>
                    <m:chr m:val="∑"/>
                    <m:limLoc m:val="undOvr"/>
                    <m:subHide m:val="0"/>
                    <m:supHide m:val="1"/>
                  </m:naryPr>
                  <m:sub>
                    <m:r>
                      <m:t>e</m:t>
                    </m:r>
                    <m:r>
                      <m:t>∈</m:t>
                    </m:r>
                    <m:sSub>
                      <m:e>
                        <m:r>
                          <m:rPr>
                            <m:sty m:val="p"/>
                            <m:scr m:val="script"/>
                          </m:rPr>
                          <m:t>E</m:t>
                        </m:r>
                      </m:e>
                      <m:sub>
                        <m:r>
                          <m:t>T</m:t>
                        </m:r>
                      </m:sub>
                    </m:sSub>
                  </m:sub>
                  <m:sup>
                    <m:r>
                      <m:t>​</m:t>
                    </m:r>
                  </m:sup>
                  <m:e>
                    <m:sSub>
                      <m:e>
                        <m:r>
                          <m:t>C</m:t>
                        </m:r>
                      </m:e>
                      <m:sub>
                        <m:r>
                          <m:t>e</m:t>
                        </m:r>
                      </m:sub>
                    </m:sSub>
                  </m:e>
                </m:nary>
                <m:r>
                  <m:t>+</m:t>
                </m:r>
                <m:nary>
                  <m:naryPr>
                    <m:chr m:val="∑"/>
                    <m:limLoc m:val="undOvr"/>
                    <m:subHide m:val="0"/>
                    <m:supHide m:val="1"/>
                  </m:naryPr>
                  <m:sub>
                    <m:r>
                      <m:t>e</m:t>
                    </m:r>
                    <m:r>
                      <m:t>∈</m:t>
                    </m:r>
                    <m:sSub>
                      <m:e>
                        <m:r>
                          <m:rPr>
                            <m:sty m:val="p"/>
                            <m:scr m:val="script"/>
                          </m:rPr>
                          <m:t>E</m:t>
                        </m:r>
                      </m:e>
                      <m:sub>
                        <m:r>
                          <m:t>B</m:t>
                        </m:r>
                      </m:sub>
                    </m:sSub>
                  </m:sub>
                  <m:sup>
                    <m:r>
                      <m:t>​</m:t>
                    </m:r>
                  </m:sup>
                  <m:e>
                    <m:sSub>
                      <m:e>
                        <m:r>
                          <m:t>C</m:t>
                        </m:r>
                      </m:e>
                      <m:sub>
                        <m:r>
                          <m:t>e</m:t>
                        </m:r>
                      </m:sub>
                    </m:sSub>
                  </m:e>
                </m:nary>
                <m:r>
                  <m:t>+</m:t>
                </m:r>
                <m:nary>
                  <m:naryPr>
                    <m:chr m:val="∑"/>
                    <m:limLoc m:val="undOvr"/>
                    <m:subHide m:val="0"/>
                    <m:supHide m:val="1"/>
                  </m:naryPr>
                  <m:sub>
                    <m:r>
                      <m:t>e</m:t>
                    </m:r>
                    <m:r>
                      <m:t>∈</m:t>
                    </m:r>
                    <m:sSub>
                      <m:e>
                        <m:r>
                          <m:rPr>
                            <m:sty m:val="p"/>
                            <m:scr m:val="script"/>
                          </m:rPr>
                          <m:t>E</m:t>
                        </m:r>
                      </m:e>
                      <m:sub>
                        <m:r>
                          <m:t>L</m:t>
                        </m:r>
                      </m:sub>
                    </m:sSub>
                  </m:sub>
                  <m:sup>
                    <m:r>
                      <m:t>​</m:t>
                    </m:r>
                  </m:sup>
                  <m:e>
                    <m:sSub>
                      <m:e>
                        <m:r>
                          <m:t>C</m:t>
                        </m:r>
                      </m:e>
                      <m:sub>
                        <m:r>
                          <m:t>e</m:t>
                        </m:r>
                      </m:sub>
                    </m:sSub>
                  </m:e>
                </m:nary>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（4-11）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C</m:t>
            </m:r>
          </m:e>
          <m:sub>
            <m:r>
              <m:rPr>
                <m:sty m:val="p"/>
              </m:rPr>
              <m:t>p</m:t>
            </m:r>
            <m:r>
              <m:rPr>
                <m:sty m:val="p"/>
              </m:rPr>
              <m:t>l</m:t>
            </m:r>
            <m:r>
              <m:rPr>
                <m:sty m:val="p"/>
              </m:rPr>
              <m:t>a</m:t>
            </m:r>
            <m:r>
              <m:rPr>
                <m:sty m:val="p"/>
              </m:rPr>
              <m:t>n</m:t>
            </m:r>
          </m:sub>
        </m:sSub>
      </m:oMath>
      <w:r>
        <w:rPr>
          <w:rFonts w:ascii="Times New Roman" w:hAnsi="Times New Roman" w:eastAsia="方正仿宋_GBK"/>
          <w:b w:val="0"/>
          <w:sz w:val="24"/>
        </w:rPr>
        <w:t xml:space="preserve">为方案费用现值，</w:t>
      </w:r>
      <m:oMath>
        <m:sSub>
          <m:e>
            <m:r>
              <m:t>C</m:t>
            </m:r>
          </m:e>
          <m:sub>
            <m:r>
              <m:t>e</m:t>
            </m:r>
          </m:sub>
        </m:sSub>
      </m:oMath>
      <w:r>
        <w:rPr>
          <w:rFonts w:ascii="Times New Roman" w:hAnsi="Times New Roman" w:eastAsia="方正仿宋_GBK"/>
          <w:b w:val="0"/>
          <w:sz w:val="24"/>
        </w:rPr>
        <w:t xml:space="preserve">为工程事件</w:t>
      </w:r>
      <m:oMath>
        <m:r>
          <m:t>e</m:t>
        </m:r>
      </m:oMath>
      <w:r>
        <w:rPr>
          <w:rFonts w:ascii="Times New Roman" w:hAnsi="Times New Roman" w:eastAsia="方正仿宋_GBK"/>
          <w:b w:val="0"/>
          <w:sz w:val="24"/>
        </w:rPr>
        <w:t xml:space="preserve">的费用现值，单位万元；</w:t>
      </w:r>
      <m:oMath>
        <m:sSub>
          <m:e>
            <m:r>
              <m:rPr>
                <m:sty m:val="p"/>
                <m:scr m:val="script"/>
              </m:rPr>
              <m:t>E</m:t>
            </m:r>
          </m:e>
          <m:sub>
            <m:r>
              <m:t>T</m:t>
            </m:r>
          </m:sub>
        </m:sSub>
      </m:oMath>
      <w:r>
        <w:rPr>
          <w:rFonts w:ascii="Times New Roman" w:hAnsi="Times New Roman" w:eastAsia="方正仿宋_GBK"/>
          <w:b w:val="0"/>
          <w:sz w:val="24"/>
        </w:rPr>
        <w:t xml:space="preserve">、</w:t>
      </w:r>
      <m:oMath>
        <m:sSub>
          <m:e>
            <m:r>
              <m:rPr>
                <m:sty m:val="p"/>
                <m:scr m:val="script"/>
              </m:rPr>
              <m:t>E</m:t>
            </m:r>
          </m:e>
          <m:sub>
            <m:r>
              <m:t>B</m:t>
            </m:r>
          </m:sub>
        </m:sSub>
      </m:oMath>
      <w:r>
        <w:rPr>
          <w:rFonts w:ascii="Times New Roman" w:hAnsi="Times New Roman" w:eastAsia="方正仿宋_GBK"/>
          <w:b w:val="0"/>
          <w:sz w:val="24"/>
        </w:rPr>
        <w:t xml:space="preserve">、</w:t>
      </w:r>
      <m:oMath>
        <m:sSub>
          <m:e>
            <m:r>
              <m:rPr>
                <m:sty m:val="p"/>
                <m:scr m:val="script"/>
              </m:rPr>
              <m:t>E</m:t>
            </m:r>
          </m:e>
          <m:sub>
            <m:r>
              <m:t>L</m:t>
            </m:r>
          </m:sub>
        </m:sSub>
      </m:oMath>
      <w:r>
        <w:rPr>
          <w:rFonts w:ascii="Times New Roman" w:hAnsi="Times New Roman" w:eastAsia="方正仿宋_GBK"/>
          <w:b w:val="0"/>
          <w:sz w:val="24"/>
        </w:rPr>
        <w:t xml:space="preserve">分别为主变、储能和线路投运事件集合。年度采购量、柜数与新线条数来自方案状态变化，费用复算按工程类型和投运年建立现金流。费用以万元计量。</w:t>
      </w:r>
    </w:p>
    <w:p>
      <w:pPr>
        <w:pStyle w:val="5"/>
        <w:keepNext/>
        <w:numPr>
          <w:numId w:val="0"/>
        </w:numPr>
        <w:spacing w:line="360" w:lineRule="auto" w:before="160" w:after="120"/>
        <w:ind w:firstLine="0"/>
      </w:pPr>
      <w:bookmarkStart w:id="150" w:name="评价期边界与费用解释"/>
      <w:r>
        <w:rPr>
          <w:rFonts w:ascii="Times New Roman" w:hAnsi="Times New Roman" w:eastAsia="方正仿宋_GBK"/>
          <w:b/>
          <w:sz w:val="26"/>
        </w:rPr>
        <w:t xml:space="preserve">4.6.4 评价期边界与费用解释</w:t>
      </w:r>
      <w:bookmarkEnd w:id="150"/>
    </w:p>
    <w:p>
      <w:pPr>
        <w:pStyle w:val="FirstParagraph"/>
        <w:widowControl/>
        <w:spacing w:line="300" w:lineRule="auto" w:before="0" w:after="0"/>
        <w:ind w:firstLine="480"/>
        <w:jc w:val="both"/>
      </w:pPr>
      <w:r>
        <w:rPr>
          <w:rFonts w:ascii="Times New Roman" w:hAnsi="Times New Roman" w:eastAsia="方正仿宋_GBK"/>
          <w:b w:val="0"/>
          <w:sz w:val="24"/>
        </w:rPr>
        <w:t xml:space="preserve">折现率6%、主变和线路寿命20年、储能寿命10年及固定运维率，均为统一研究评价参数。更新采用与首次购置相同实价，价格情景对首次购置和更新使用相同倍数。评价截止于2041年，按无期末残值和无旧设备处置收益计算新增建设、固定运维及更新支出。工程应用可取得资产处理、充电购电与损耗资料后增加相应现金流，再统一比较方案。</w:t>
      </w:r>
    </w:p>
    <w:p>
      <w:pPr>
        <w:pStyle w:val="2"/>
        <w:widowControl/>
        <w:spacing w:line="300" w:lineRule="auto" w:before="0" w:after="0"/>
        <w:ind w:firstLine="480"/>
        <w:jc w:val="both"/>
      </w:pPr>
      <w:r>
        <w:rPr>
          <w:rFonts w:ascii="Times New Roman" w:hAnsi="Times New Roman" w:eastAsia="方正仿宋_GBK"/>
          <w:b w:val="0"/>
          <w:sz w:val="24"/>
        </w:rPr>
        <w:t xml:space="preserve">费用复算使用未舍入的建设事件和参数，表中金额按万元保留适当小数。先汇总表内舍入金额再求和，可能出现末位差异；不通过修改某一工程投资消除该差异。年度工程规模、投运年和计算规则共同构成复算依据，独立数据说明保存原精度结果。</w:t>
      </w:r>
    </w:p>
    <w:p>
      <w:bookmarkStart w:id="1394" w:name="h394"/>
      <w:pPr>
        <w:pStyle w:val="3"/>
        <w:keepNext/>
        <w:pageBreakBefore/>
        <w:numPr>
          <w:numId w:val="0"/>
        </w:numPr>
        <w:spacing w:line="360" w:lineRule="auto" w:before="0" w:after="120"/>
        <w:ind w:firstLine="0"/>
      </w:pPr>
      <w:bookmarkStart w:id="151" w:name="第五章-弹性容载比寻优与规划建议"/>
      <w:r>
        <w:rPr>
          <w:rFonts w:ascii="Times New Roman" w:hAnsi="Times New Roman" w:eastAsia="方正仿宋_GBK"/>
          <w:b/>
          <w:sz w:val="36"/>
        </w:rPr>
        <w:t xml:space="preserve">第五章 弹性容载比寻优与规划建议</w:t>
      </w:r>
      <w:bookmarkEnd w:id="151"/>
      <w:bookmarkEnd w:id="1394"/>
    </w:p>
    <w:p>
      <w:pPr>
        <w:pStyle w:val="FirstParagraph"/>
        <w:widowControl/>
        <w:spacing w:line="300" w:lineRule="auto" w:before="0" w:after="0"/>
        <w:ind w:firstLine="480"/>
        <w:jc w:val="both"/>
      </w:pPr>
      <w:r>
        <w:rPr>
          <w:rFonts w:ascii="Times New Roman" w:hAnsi="Times New Roman" w:eastAsia="方正仿宋_GBK"/>
          <w:b w:val="0"/>
          <w:sz w:val="24"/>
        </w:rPr>
        <w:t xml:space="preserve">第四章形成了主变增容、储能和10 kV联络工程的投资及全寿命费用系数。本章将这些系数与站级负荷、设备容量和转供能力结合，先说明三类方案在技术约束下的寻优方法，再分析邳州和市区的计算结果，最后通过参数外推建立通用容载比推荐矩阵。主变按整台设备选择，储能按整数柜配置，新建联络按独立项目计费；利用既有联络能力调整负荷归属，新增建设投资计为零。</w:t>
      </w:r>
    </w:p>
    <w:p>
      <w:bookmarkStart w:id="1396" w:name="h396"/>
      <w:pPr>
        <w:pStyle w:val="4"/>
        <w:keepNext/>
        <w:numPr>
          <w:numId w:val="0"/>
        </w:numPr>
        <w:spacing w:line="360" w:lineRule="auto" w:before="160" w:after="120"/>
        <w:ind w:firstLine="0"/>
      </w:pPr>
      <w:bookmarkStart w:id="152" w:name="寻优问题与共同起点"/>
      <w:r>
        <w:rPr>
          <w:rFonts w:ascii="Times New Roman" w:hAnsi="Times New Roman" w:eastAsia="方正仿宋_GBK"/>
          <w:b/>
          <w:sz w:val="32"/>
        </w:rPr>
        <w:t xml:space="preserve">5.1 寻优问题与共同起点</w:t>
      </w:r>
      <w:bookmarkEnd w:id="152"/>
      <w:bookmarkEnd w:id="1396"/>
    </w:p>
    <w:p>
      <w:pPr>
        <w:pStyle w:val="5"/>
        <w:keepNext/>
        <w:numPr>
          <w:numId w:val="0"/>
        </w:numPr>
        <w:spacing w:line="360" w:lineRule="auto" w:before="160" w:after="120"/>
        <w:ind w:firstLine="0"/>
      </w:pPr>
      <w:bookmarkStart w:id="153" w:name="容载比2.0的仿真起点"/>
      <w:r>
        <w:rPr>
          <w:rFonts w:ascii="Times New Roman" w:hAnsi="Times New Roman" w:eastAsia="方正仿宋_GBK"/>
          <w:b/>
          <w:sz w:val="26"/>
        </w:rPr>
        <w:t xml:space="preserve">5.1.1 容载比2.0的仿真起点</w:t>
      </w:r>
      <w:bookmarkEnd w:id="153"/>
    </w:p>
    <w:p>
      <w:pPr>
        <w:pStyle w:val="FirstParagraph"/>
        <w:widowControl/>
        <w:spacing w:line="300" w:lineRule="auto" w:before="0" w:after="0"/>
        <w:ind w:firstLine="480"/>
        <w:jc w:val="both"/>
      </w:pPr>
      <w:r>
        <w:rPr>
          <w:rFonts w:ascii="Times New Roman" w:hAnsi="Times New Roman" w:eastAsia="方正仿宋_GBK"/>
          <w:b w:val="0"/>
          <w:sz w:val="24"/>
        </w:rPr>
        <w:t xml:space="preserve">刚性、弹性方案在同一区县共用初始设备、负荷和工程价格。为比较后续措施的作用，将基期容载比统一设为2.0，基期年网供最大负荷取离散主变总容量的二分之一。该起点用于规划仿真，现状容量与历史负荷仍按第三章列示。</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P</m:t>
                    </m:r>
                  </m:e>
                  <m:sub>
                    <m:r>
                      <m:t>c</m:t>
                    </m:r>
                    <m:r>
                      <m:t>,</m:t>
                    </m:r>
                    <m:r>
                      <m:t>0</m:t>
                    </m:r>
                  </m:sub>
                </m:sSub>
                <m:r>
                  <m:t>=</m:t>
                </m:r>
                <m:f>
                  <m:fPr>
                    <m:type m:val="bar"/>
                  </m:fPr>
                  <m:num>
                    <m:sSub>
                      <m:e>
                        <m:r>
                          <m:t>S</m:t>
                        </m:r>
                      </m:e>
                      <m:sub>
                        <m:r>
                          <m:t>c</m:t>
                        </m:r>
                        <m:r>
                          <m:t>,</m:t>
                        </m:r>
                        <m:r>
                          <m:t>0</m:t>
                        </m:r>
                      </m:sub>
                    </m:sSub>
                  </m:num>
                  <m:den>
                    <m:r>
                      <m:t>2</m:t>
                    </m:r>
                  </m:den>
                </m:f>
                <m:r>
                  <m:t>,</m:t>
                </m:r>
                <m:r>
                  <m:t>  </m:t>
                </m:r>
                <m:sSub>
                  <m:e>
                    <m:r>
                      <m:t>P</m:t>
                    </m:r>
                  </m:e>
                  <m:sub>
                    <m:r>
                      <m:t>c</m:t>
                    </m:r>
                    <m:r>
                      <m:t>,</m:t>
                    </m:r>
                    <m:r>
                      <m:t>y</m:t>
                    </m:r>
                  </m:sub>
                </m:sSub>
                <m:r>
                  <m:t>=</m:t>
                </m:r>
                <m:sSub>
                  <m:e>
                    <m:r>
                      <m:t>P</m:t>
                    </m:r>
                  </m:e>
                  <m:sub>
                    <m:r>
                      <m:t>c</m:t>
                    </m:r>
                    <m:r>
                      <m:t>,</m:t>
                    </m:r>
                    <m:r>
                      <m:t>0</m:t>
                    </m:r>
                  </m:sub>
                </m:sSub>
                <m:r>
                  <m:t>(</m:t>
                </m:r>
                <m:r>
                  <m:t>1</m:t>
                </m:r>
                <m:r>
                  <m:t>+</m:t>
                </m:r>
                <m:sSub>
                  <m:e>
                    <m:acc>
                      <m:accPr>
                        <m:chr m:val="‾"/>
                      </m:accPr>
                      <m:e>
                        <m:r>
                          <m:t>g</m:t>
                        </m:r>
                      </m:e>
                    </m:acc>
                  </m:e>
                  <m:sub>
                    <m:r>
                      <m:t>c</m:t>
                    </m:r>
                  </m:sub>
                </m:sSub>
                <m:sSup>
                  <m:e>
                    <m:r>
                      <m:t>)</m:t>
                    </m:r>
                  </m:e>
                  <m:sup>
                    <m:r>
                      <m:t>y</m:t>
                    </m:r>
                  </m:sup>
                </m:sSup>
                <m:r>
                  <m:t>,</m:t>
                </m:r>
                <m:r>
                  <m:t> </m:t>
                </m:r>
                <m:r>
                  <m:t>y</m:t>
                </m:r>
                <m:r>
                  <m:t>=</m:t>
                </m:r>
                <m:r>
                  <m:t>1</m:t>
                </m:r>
                <m:r>
                  <m:t>,</m:t>
                </m:r>
                <m:r>
                  <m:t>2</m:t>
                </m:r>
                <m:r>
                  <m:t>,</m:t>
                </m:r>
                <m:r>
                  <m:t>3</m:t>
                </m:r>
                <m:r>
                  <m:t>,</m:t>
                </m:r>
                <m:r>
                  <m:t>4</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c</m:t>
        </m:r>
      </m:oMath>
      <w:r>
        <w:rPr>
          <w:rFonts w:ascii="Times New Roman" w:hAnsi="Times New Roman" w:eastAsia="方正仿宋_GBK"/>
          <w:b w:val="0"/>
          <w:sz w:val="24"/>
        </w:rPr>
        <w:t xml:space="preserve">为区县标识，</w:t>
      </w:r>
      <m:oMath>
        <m:sSub>
          <m:e>
            <m:r>
              <m:t>S</m:t>
            </m:r>
          </m:e>
          <m:sub>
            <m:r>
              <m:t>c</m:t>
            </m:r>
            <m:r>
              <m:t>,</m:t>
            </m:r>
            <m:r>
              <m:t>0</m:t>
            </m:r>
          </m:sub>
        </m:sSub>
      </m:oMath>
      <w:r>
        <w:rPr>
          <w:rFonts w:ascii="Times New Roman" w:hAnsi="Times New Roman" w:eastAsia="方正仿宋_GBK"/>
          <w:b w:val="0"/>
          <w:sz w:val="24"/>
        </w:rPr>
        <w:t xml:space="preserve">为基期公用主变总容量，单位MVA；</w:t>
      </w:r>
      <m:oMath>
        <m:sSub>
          <m:e>
            <m:r>
              <m:t>P</m:t>
            </m:r>
          </m:e>
          <m:sub>
            <m:r>
              <m:t>c</m:t>
            </m:r>
            <m:r>
              <m:t>,</m:t>
            </m:r>
            <m:r>
              <m:t>0</m:t>
            </m:r>
          </m:sub>
        </m:sSub>
      </m:oMath>
      <w:r>
        <w:rPr>
          <w:rFonts w:ascii="Times New Roman" w:hAnsi="Times New Roman" w:eastAsia="方正仿宋_GBK"/>
          <w:b w:val="0"/>
          <w:sz w:val="24"/>
        </w:rPr>
        <w:t xml:space="preserve">和</w:t>
      </w:r>
      <m:oMath>
        <m:sSub>
          <m:e>
            <m:r>
              <m:t>P</m:t>
            </m:r>
          </m:e>
          <m:sub>
            <m:r>
              <m:t>c</m:t>
            </m:r>
            <m:r>
              <m:t>,</m:t>
            </m:r>
            <m:r>
              <m:t>y</m:t>
            </m:r>
          </m:sub>
        </m:sSub>
      </m:oMath>
      <w:r>
        <w:rPr>
          <w:rFonts w:ascii="Times New Roman" w:hAnsi="Times New Roman" w:eastAsia="方正仿宋_GBK"/>
          <w:b w:val="0"/>
          <w:sz w:val="24"/>
        </w:rPr>
        <w:t xml:space="preserve">分别为基期及第</w:t>
      </w:r>
      <m:oMath>
        <m:r>
          <m:t>y</m:t>
        </m:r>
      </m:oMath>
      <w:r>
        <w:rPr>
          <w:rFonts w:ascii="Times New Roman" w:hAnsi="Times New Roman" w:eastAsia="方正仿宋_GBK"/>
          <w:b w:val="0"/>
          <w:sz w:val="24"/>
        </w:rPr>
        <w:t xml:space="preserve">年网供最大负荷，单位MW；</w:t>
      </w:r>
      <m:oMath>
        <m:sSub>
          <m:e>
            <m:acc>
              <m:accPr>
                <m:chr m:val="‾"/>
              </m:accPr>
              <m:e>
                <m:r>
                  <m:t>g</m:t>
                </m:r>
              </m:e>
            </m:acc>
          </m:e>
          <m:sub>
            <m:r>
              <m:t>c</m:t>
            </m:r>
          </m:sub>
        </m:sSub>
      </m:oMath>
      <w:r>
        <w:rPr>
          <w:rFonts w:ascii="Times New Roman" w:hAnsi="Times New Roman" w:eastAsia="方正仿宋_GBK"/>
          <w:b w:val="0"/>
          <w:sz w:val="24"/>
        </w:rPr>
        <w:t xml:space="preserve">为该区县年负荷平均增长率，按第三章所列递增权重方法估计。</w:t>
      </w:r>
      <m:oMath>
        <m:r>
          <m:t>y</m:t>
        </m:r>
      </m:oMath>
      <w:r>
        <w:rPr>
          <w:rFonts w:ascii="Times New Roman" w:hAnsi="Times New Roman" w:eastAsia="方正仿宋_GBK"/>
          <w:b w:val="0"/>
          <w:sz w:val="24"/>
        </w:rPr>
        <w:t xml:space="preserve">为仿真年序号。计算文件采用2022—2025年作为第1—4年的折现时点。</w:t>
      </w:r>
    </w:p>
    <w:p>
      <w:pPr>
        <w:pStyle w:val="2"/>
        <w:widowControl/>
        <w:spacing w:line="300" w:lineRule="auto" w:before="0" w:after="0"/>
        <w:ind w:firstLine="480"/>
        <w:jc w:val="both"/>
      </w:pPr>
      <w:r>
        <w:rPr>
          <w:rFonts w:ascii="Times New Roman" w:hAnsi="Times New Roman" w:eastAsia="方正仿宋_GBK"/>
          <w:b w:val="0"/>
          <w:sz w:val="24"/>
        </w:rPr>
        <w:t xml:space="preserve">站级最大正向、反向净负荷按2025年样本的空间分布标定到仿真年度规模。邳州保留样本供电区域类别，市区按A类规划。样本设备规格、供电区域类别和第三台预留位置进入候选集合，后续投运的主变、储能和联络项目持续在役。</w:t>
      </w:r>
    </w:p>
    <w:p>
      <w:pPr>
        <w:pStyle w:val="2"/>
        <w:keepNext/>
        <w:spacing w:line="300" w:lineRule="auto" w:before="120" w:after="80"/>
        <w:ind w:firstLine="0"/>
        <w:jc w:val="center"/>
      </w:pPr>
      <w:r>
        <w:rPr>
          <w:rFonts w:ascii="Times New Roman" w:hAnsi="Times New Roman" w:eastAsia="宋体"/>
          <w:b w:val="0"/>
          <w:sz w:val="21"/>
        </w:rPr>
        <w:t xml:space="preserve">表5-1 统一容载比2.0的仿真起点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基期主变容量/MVA</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基期年网供最大负荷/MW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年负荷平均增长率</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初始转供率</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1463.5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731.750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8.0742%</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28.2879%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2462.0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1231.000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w:t>
            </w:r>
          </w:p>
        </w:tc>
      </w:tr>
    </w:tbl>
    <w:p>
      <w:pPr>
        <w:pStyle w:val="5"/>
        <w:keepNext/>
        <w:numPr>
          <w:numId w:val="0"/>
        </w:numPr>
        <w:spacing w:line="360" w:lineRule="auto" w:before="160" w:after="120"/>
        <w:ind w:firstLine="0"/>
      </w:pPr>
      <w:bookmarkStart w:id="154" w:name="刚性与弹性规划条件"/>
      <w:r>
        <w:rPr>
          <w:rFonts w:ascii="Times New Roman" w:hAnsi="Times New Roman" w:eastAsia="方正仿宋_GBK"/>
          <w:b/>
          <w:sz w:val="26"/>
        </w:rPr>
        <w:t xml:space="preserve">5.1.2 刚性与弹性规划条件</w:t>
      </w:r>
      <w:bookmarkEnd w:id="154"/>
    </w:p>
    <w:p>
      <w:pPr>
        <w:pStyle w:val="FirstParagraph"/>
        <w:widowControl/>
        <w:spacing w:line="300" w:lineRule="auto" w:before="0" w:after="0"/>
        <w:ind w:firstLine="480"/>
        <w:jc w:val="both"/>
      </w:pPr>
      <w:r>
        <w:rPr>
          <w:rFonts w:ascii="Times New Roman" w:hAnsi="Times New Roman" w:eastAsia="方正仿宋_GBK"/>
          <w:b w:val="0"/>
          <w:sz w:val="24"/>
        </w:rPr>
        <w:t xml:space="preserve">刚性方案各年容载比不超过2.0。弹性方案在满足相同技术约束下，允许容载比在2.001～2.6的研究范围内选择。两地区案例同时保留市区同方案指标低于邳州0.001、同区县弹性指标高于刚性0.001的比较条件。费用由求解结果确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r>
                            <m:t>R</m:t>
                          </m:r>
                        </m:e>
                        <m:sub>
                          <m:r>
                            <m:t>c</m:t>
                          </m:r>
                          <m:r>
                            <m:t>,</m:t>
                          </m:r>
                          <m:r>
                            <m:t>s</m:t>
                          </m:r>
                          <m:r>
                            <m:t>,</m:t>
                          </m:r>
                          <m:r>
                            <m:t>y</m:t>
                          </m:r>
                        </m:sub>
                      </m:sSub>
                    </m:e>
                    <m:e>
                      <m:r>
                        <m:t>=</m:t>
                      </m:r>
                      <m:f>
                        <m:fPr>
                          <m:type m:val="bar"/>
                        </m:fPr>
                        <m:num>
                          <m:sSub>
                            <m:e>
                              <m:r>
                                <m:t>S</m:t>
                              </m:r>
                            </m:e>
                            <m:sub>
                              <m:r>
                                <m:t>c</m:t>
                              </m:r>
                              <m:r>
                                <m:t>,</m:t>
                              </m:r>
                              <m:r>
                                <m:t>s</m:t>
                              </m:r>
                              <m:r>
                                <m:t>,</m:t>
                              </m:r>
                              <m:r>
                                <m:t>y</m:t>
                              </m:r>
                            </m:sub>
                          </m:sSub>
                        </m:num>
                        <m:den>
                          <m:sSub>
                            <m:e>
                              <m:r>
                                <m:t>P</m:t>
                              </m:r>
                            </m:e>
                            <m:sub>
                              <m:r>
                                <m:t>c</m:t>
                              </m:r>
                              <m:r>
                                <m:t>,</m:t>
                              </m:r>
                              <m:r>
                                <m:t>y</m:t>
                              </m:r>
                            </m:sub>
                          </m:sSub>
                        </m:den>
                      </m:f>
                    </m:e>
                  </m:mr>
                  <m:mr>
                    <m:e/>
                    <m:e>
                      <m:sSub>
                        <m:e>
                          <m:r>
                            <m:t>R</m:t>
                          </m:r>
                        </m:e>
                        <m:sub>
                          <m:r>
                            <m:t>c</m:t>
                          </m:r>
                          <m:r>
                            <m:t>,</m:t>
                          </m:r>
                          <m:r>
                            <m:rPr>
                              <m:sty m:val="p"/>
                            </m:rPr>
                            <m:t>r</m:t>
                          </m:r>
                          <m:r>
                            <m:rPr>
                              <m:sty m:val="p"/>
                            </m:rPr>
                            <m:t>i</m:t>
                          </m:r>
                          <m:r>
                            <m:rPr>
                              <m:sty m:val="p"/>
                            </m:rPr>
                            <m:t>g</m:t>
                          </m:r>
                          <m:r>
                            <m:rPr>
                              <m:sty m:val="p"/>
                            </m:rPr>
                            <m:t>i</m:t>
                          </m:r>
                          <m:r>
                            <m:rPr>
                              <m:sty m:val="p"/>
                            </m:rPr>
                            <m:t>d</m:t>
                          </m:r>
                          <m:r>
                            <m:t>,</m:t>
                          </m:r>
                          <m:r>
                            <m:t>y</m:t>
                          </m:r>
                        </m:sub>
                      </m:sSub>
                      <m:r>
                        <m:t>≤</m:t>
                      </m:r>
                      <m:r>
                        <m:t>2.0</m:t>
                      </m:r>
                    </m:e>
                  </m:mr>
                  <m:mr>
                    <m:e/>
                    <m:e>
                      <m:r>
                        <m:t>2.001</m:t>
                      </m:r>
                      <m:r>
                        <m:t>≤</m:t>
                      </m:r>
                      <m:sSub>
                        <m:e>
                          <m:r>
                            <m:t>R</m:t>
                          </m:r>
                        </m:e>
                        <m:sub>
                          <m:r>
                            <m:t>c</m:t>
                          </m:r>
                          <m:r>
                            <m:t>,</m:t>
                          </m:r>
                          <m:r>
                            <m:rPr>
                              <m:sty m:val="p"/>
                            </m:rPr>
                            <m:t>e</m:t>
                          </m:r>
                          <m:r>
                            <m:rPr>
                              <m:sty m:val="p"/>
                            </m:rPr>
                            <m:t>l</m:t>
                          </m:r>
                          <m:r>
                            <m:rPr>
                              <m:sty m:val="p"/>
                            </m:rPr>
                            <m:t>a</m:t>
                          </m:r>
                          <m:r>
                            <m:rPr>
                              <m:sty m:val="p"/>
                            </m:rPr>
                            <m:t>s</m:t>
                          </m:r>
                          <m:r>
                            <m:rPr>
                              <m:sty m:val="p"/>
                            </m:rPr>
                            <m:t>t</m:t>
                          </m:r>
                          <m:r>
                            <m:rPr>
                              <m:sty m:val="p"/>
                            </m:rPr>
                            <m:t>i</m:t>
                          </m:r>
                          <m:r>
                            <m:rPr>
                              <m:sty m:val="p"/>
                            </m:rPr>
                            <m:t>c</m:t>
                          </m:r>
                          <m:r>
                            <m:t>,</m:t>
                          </m:r>
                          <m:r>
                            <m:t>y</m:t>
                          </m:r>
                        </m:sub>
                      </m:sSub>
                      <m:r>
                        <m:t>≤</m:t>
                      </m:r>
                      <m:r>
                        <m:t>2.6</m:t>
                      </m:r>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（5-2）</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R</m:t>
            </m:r>
          </m:e>
          <m:sub>
            <m:r>
              <m:t>c</m:t>
            </m:r>
            <m:r>
              <m:t>,</m:t>
            </m:r>
            <m:r>
              <m:t>s</m:t>
            </m:r>
            <m:r>
              <m:t>,</m:t>
            </m:r>
            <m:r>
              <m:t>y</m:t>
            </m:r>
          </m:sub>
        </m:sSub>
      </m:oMath>
      <w:r>
        <w:rPr>
          <w:rFonts w:ascii="Times New Roman" w:hAnsi="Times New Roman" w:eastAsia="方正仿宋_GBK"/>
          <w:b w:val="0"/>
          <w:sz w:val="24"/>
        </w:rPr>
        <w:t xml:space="preserve">为容载比，</w:t>
      </w:r>
      <m:oMath>
        <m:r>
          <m:t>s</m:t>
        </m:r>
      </m:oMath>
      <w:r>
        <w:rPr>
          <w:rFonts w:ascii="Times New Roman" w:hAnsi="Times New Roman" w:eastAsia="方正仿宋_GBK"/>
          <w:b w:val="0"/>
          <w:sz w:val="24"/>
        </w:rPr>
        <w:t xml:space="preserve">为刚性或弹性方案标识，</w:t>
      </w:r>
      <m:oMath>
        <m:sSub>
          <m:e>
            <m:r>
              <m:t>S</m:t>
            </m:r>
          </m:e>
          <m:sub>
            <m:r>
              <m:t>c</m:t>
            </m:r>
            <m:r>
              <m:t>,</m:t>
            </m:r>
            <m:r>
              <m:t>s</m:t>
            </m:r>
            <m:r>
              <m:t>,</m:t>
            </m:r>
            <m:r>
              <m:t>y</m:t>
            </m:r>
          </m:sub>
        </m:sSub>
      </m:oMath>
      <w:r>
        <w:rPr>
          <w:rFonts w:ascii="Times New Roman" w:hAnsi="Times New Roman" w:eastAsia="方正仿宋_GBK"/>
          <w:b w:val="0"/>
          <w:sz w:val="24"/>
        </w:rPr>
        <w:t xml:space="preserve">为该年公用主变总容量。主变容量计入分子，储能和联络能力用于局部容量校核。</w:t>
      </w:r>
      <m:oMath>
        <m:sSub>
          <m:e>
            <m:r>
              <m:t>P</m:t>
            </m:r>
          </m:e>
          <m:sub>
            <m:r>
              <m:t>c</m:t>
            </m:r>
            <m:r>
              <m:t>,</m:t>
            </m:r>
            <m:r>
              <m:t>y</m:t>
            </m:r>
          </m:sub>
        </m:sSub>
      </m:oMath>
      <w:r>
        <w:rPr>
          <w:rFonts w:ascii="Times New Roman" w:hAnsi="Times New Roman" w:eastAsia="方正仿宋_GBK"/>
          <w:b w:val="0"/>
          <w:sz w:val="24"/>
        </w:rPr>
        <w:t xml:space="preserve">在同一区县、同一年两种方案中保持一致。2.6为本研究的扫描上限，0.001为使比较关系明确的计算间隔。</w:t>
      </w:r>
    </w:p>
    <w:p>
      <w:pPr>
        <w:pStyle w:val="2"/>
        <w:widowControl/>
        <w:spacing w:line="300" w:lineRule="auto" w:before="0" w:after="0"/>
        <w:ind w:firstLine="480"/>
        <w:jc w:val="both"/>
      </w:pPr>
      <w:r>
        <w:rPr>
          <w:rFonts w:ascii="Times New Roman" w:hAnsi="Times New Roman" w:eastAsia="方正仿宋_GBK"/>
          <w:b w:val="0"/>
          <w:sz w:val="24"/>
        </w:rPr>
        <w:t xml:space="preserve">区县内转接保持负荷总量。储能参与站级峰段支撑时，区域容载比仍按预先确定的年网供最大负荷计算，保证两方案在同一负荷口径下比较。</w:t>
      </w:r>
    </w:p>
    <w:p>
      <w:pPr>
        <w:pStyle w:val="5"/>
        <w:keepNext/>
        <w:numPr>
          <w:numId w:val="0"/>
        </w:numPr>
        <w:spacing w:line="360" w:lineRule="auto" w:before="160" w:after="120"/>
        <w:ind w:firstLine="0"/>
      </w:pPr>
      <w:bookmarkStart w:id="155" w:name="参数进入模型的方式"/>
      <w:r>
        <w:rPr>
          <w:rFonts w:ascii="Times New Roman" w:hAnsi="Times New Roman" w:eastAsia="方正仿宋_GBK"/>
          <w:b/>
          <w:sz w:val="26"/>
        </w:rPr>
        <w:t xml:space="preserve">5.1.3 参数进入模型的方式</w:t>
      </w:r>
      <w:bookmarkEnd w:id="155"/>
    </w:p>
    <w:p>
      <w:pPr>
        <w:pStyle w:val="FirstParagraph"/>
        <w:widowControl/>
        <w:spacing w:line="300" w:lineRule="auto" w:before="0" w:after="0"/>
        <w:ind w:firstLine="480"/>
        <w:jc w:val="both"/>
      </w:pPr>
      <w:r>
        <w:rPr>
          <w:rFonts w:ascii="Times New Roman" w:hAnsi="Times New Roman" w:eastAsia="方正仿宋_GBK"/>
          <w:b w:val="0"/>
          <w:sz w:val="24"/>
        </w:rPr>
        <w:t xml:space="preserve">容载比及转供能力采用DL/T 5729—2023的术语与规划范围[4]。分布式电源装机渗透率、分布式电源电量渗透率沿用项目留存规划导则修订稿的指标定义，作为研究参考[69]。年负荷平均增长率描述负荷发展；最大正向、反向净负荷与95%峰值持续时间分别描述功率和持续支撑需求。主变与线路、主变与储能两个成本比描述经济替代条件。</w:t>
      </w:r>
    </w:p>
    <w:p>
      <w:pPr>
        <w:pStyle w:val="2"/>
        <w:keepNext/>
        <w:spacing w:line="300" w:lineRule="auto" w:before="120" w:after="80"/>
        <w:ind w:firstLine="0"/>
        <w:jc w:val="center"/>
      </w:pPr>
      <w:r>
        <w:rPr>
          <w:rFonts w:ascii="Times New Roman" w:hAnsi="Times New Roman" w:eastAsia="宋体"/>
          <w:b w:val="0"/>
          <w:sz w:val="21"/>
        </w:rPr>
        <w:t xml:space="preserve">表5-2 参数定义及寻优作用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采用口径</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模型作用</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容载比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公用主变总容量/年网供最大负荷[4]</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规划结果</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分布式电源装机渗透率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装机容量/用户最大负荷[69]</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构造源荷情景</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分布式电源电量渗透率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发电量/用户用电量[69]</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源荷背景</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最大正向、反向净负荷</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站级方向极值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正常与退出容量校核</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95%峰值持续时间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最长连续达到本方向峰值95%的时段</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储能能量折算</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年负荷平均增长率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历史同比率递增权重平均值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后续负荷推演</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主变与线路成本比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相同有效MW初始投资比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联络费用敏感性</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主变与储能成本比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 h参考有效MW初始投资比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储能费用敏感性</w:t>
            </w:r>
          </w:p>
        </w:tc>
      </w:tr>
    </w:tbl>
    <w:p>
      <w:pPr>
        <w:pStyle w:val="2"/>
        <w:widowControl/>
        <w:spacing w:line="300" w:lineRule="auto" w:before="0" w:after="0"/>
        <w:ind w:firstLine="480"/>
        <w:jc w:val="both"/>
      </w:pPr>
      <w:r>
        <w:rPr>
          <w:rFonts w:ascii="Times New Roman" w:hAnsi="Times New Roman" w:eastAsia="方正仿宋_GBK"/>
          <w:b w:val="0"/>
          <w:sz w:val="24"/>
        </w:rPr>
        <w:t xml:space="preserve">装机和电量渗透率先用于选择源荷情景，再通过负荷与光伏出力形成最大反向净负荷。峰值、持续时间和转供能力直接进入技术约束，价格参数进入费用目标。供电区域类别、设备规格和负荷分布作为结构条件保留。</w:t>
      </w:r>
    </w:p>
    <w:p>
      <w:bookmarkStart w:id="1410" w:name="h410"/>
      <w:pPr>
        <w:pStyle w:val="4"/>
        <w:keepNext/>
        <w:numPr>
          <w:numId w:val="0"/>
        </w:numPr>
        <w:spacing w:line="360" w:lineRule="auto" w:before="160" w:after="120"/>
        <w:ind w:firstLine="0"/>
      </w:pPr>
      <w:bookmarkStart w:id="156" w:name="三类方案的选取与寻优方法"/>
      <w:r>
        <w:rPr>
          <w:rFonts w:ascii="Times New Roman" w:hAnsi="Times New Roman" w:eastAsia="方正仿宋_GBK"/>
          <w:b/>
          <w:sz w:val="32"/>
        </w:rPr>
        <w:t xml:space="preserve">5.2 三类方案的选取与寻优方法</w:t>
      </w:r>
      <w:bookmarkEnd w:id="156"/>
      <w:bookmarkEnd w:id="1410"/>
    </w:p>
    <w:p>
      <w:pPr>
        <w:pStyle w:val="5"/>
        <w:keepNext/>
        <w:numPr>
          <w:numId w:val="0"/>
        </w:numPr>
        <w:spacing w:line="360" w:lineRule="auto" w:before="160" w:after="120"/>
        <w:ind w:firstLine="0"/>
      </w:pPr>
      <w:bookmarkStart w:id="157" w:name="主变增容方案"/>
      <w:r>
        <w:rPr>
          <w:rFonts w:ascii="Times New Roman" w:hAnsi="Times New Roman" w:eastAsia="方正仿宋_GBK"/>
          <w:b/>
          <w:sz w:val="26"/>
        </w:rPr>
        <w:t xml:space="preserve">5.2.1 主变增容方案</w:t>
      </w:r>
      <w:bookmarkEnd w:id="157"/>
    </w:p>
    <w:p>
      <w:pPr>
        <w:pStyle w:val="FirstParagraph"/>
        <w:widowControl/>
        <w:spacing w:line="300" w:lineRule="auto" w:before="0" w:after="0"/>
        <w:ind w:firstLine="480"/>
        <w:jc w:val="both"/>
      </w:pPr>
      <w:r>
        <w:rPr>
          <w:rFonts w:ascii="Times New Roman" w:hAnsi="Times New Roman" w:eastAsia="方正仿宋_GBK"/>
          <w:b w:val="0"/>
          <w:sz w:val="24"/>
        </w:rPr>
        <w:t xml:space="preserve">主变增容包括更换既有主变和增加第三台主变。每个槽位在每年选择一种允许规格，容量逐年非减。既有规格可以继续使用，新购规格按供电区域类别和候选目录确定；增加第三台须具备可用预留位置。</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nary>
                        <m:naryPr>
                          <m:chr m:val="∑"/>
                          <m:limLoc m:val="undOvr"/>
                          <m:subHide m:val="0"/>
                          <m:supHide m:val="1"/>
                        </m:naryPr>
                        <m:sub>
                          <m:r>
                            <m:t>a</m:t>
                          </m:r>
                          <m:r>
                            <m:t>∈</m:t>
                          </m:r>
                          <m:sSub>
                            <m:e>
                              <m:r>
                                <m:rPr>
                                  <m:sty m:val="p"/>
                                  <m:scr m:val="script"/>
                                </m:rPr>
                                <m:t>A</m:t>
                              </m:r>
                            </m:e>
                            <m:sub>
                              <m:r>
                                <m:t>i</m:t>
                              </m:r>
                              <m:r>
                                <m:t>k</m:t>
                              </m:r>
                            </m:sub>
                          </m:sSub>
                        </m:sub>
                        <m:sup>
                          <m:r>
                            <m:t>​</m:t>
                          </m:r>
                        </m:sup>
                        <m:e>
                          <m:sSub>
                            <m:e>
                              <m:r>
                                <m:t>x</m:t>
                              </m:r>
                            </m:e>
                            <m:sub>
                              <m:r>
                                <m:t>i</m:t>
                              </m:r>
                              <m:r>
                                <m:t>,</m:t>
                              </m:r>
                              <m:r>
                                <m:t>k</m:t>
                              </m:r>
                              <m:r>
                                <m:t>,</m:t>
                              </m:r>
                              <m:r>
                                <m:t>y</m:t>
                              </m:r>
                              <m:r>
                                <m:t>,</m:t>
                              </m:r>
                              <m:r>
                                <m:t>a</m:t>
                              </m:r>
                            </m:sub>
                          </m:sSub>
                        </m:e>
                      </m:nary>
                    </m:e>
                    <m:e>
                      <m:r>
                        <m:t>=</m:t>
                      </m:r>
                      <m:r>
                        <m:t>1</m:t>
                      </m:r>
                    </m:e>
                  </m:mr>
                  <m:mr>
                    <m:e>
                      <m:sSub>
                        <m:e>
                          <m:r>
                            <m:t>S</m:t>
                          </m:r>
                        </m:e>
                        <m:sub>
                          <m:r>
                            <m:t>i</m:t>
                          </m:r>
                          <m:r>
                            <m:t>,</m:t>
                          </m:r>
                          <m:r>
                            <m:t>k</m:t>
                          </m:r>
                          <m:r>
                            <m:t>,</m:t>
                          </m:r>
                          <m:r>
                            <m:t>y</m:t>
                          </m:r>
                        </m:sub>
                      </m:sSub>
                    </m:e>
                    <m:e>
                      <m:r>
                        <m:t>=</m:t>
                      </m:r>
                      <m:nary>
                        <m:naryPr>
                          <m:chr m:val="∑"/>
                          <m:limLoc m:val="undOvr"/>
                          <m:subHide m:val="0"/>
                          <m:supHide m:val="1"/>
                        </m:naryPr>
                        <m:sub>
                          <m:r>
                            <m:t>a</m:t>
                          </m:r>
                          <m:r>
                            <m:t>∈</m:t>
                          </m:r>
                          <m:sSub>
                            <m:e>
                              <m:r>
                                <m:rPr>
                                  <m:sty m:val="p"/>
                                  <m:scr m:val="script"/>
                                </m:rPr>
                                <m:t>A</m:t>
                              </m:r>
                            </m:e>
                            <m:sub>
                              <m:r>
                                <m:t>i</m:t>
                              </m:r>
                              <m:r>
                                <m:t>k</m:t>
                              </m:r>
                            </m:sub>
                          </m:sSub>
                        </m:sub>
                        <m:sup>
                          <m:r>
                            <m:t>​</m:t>
                          </m:r>
                        </m:sup>
                        <m:e>
                          <m:r>
                            <m:t>a</m:t>
                          </m:r>
                        </m:e>
                      </m:nary>
                      <m:r>
                        <m:t> </m:t>
                      </m:r>
                      <m:sSub>
                        <m:e>
                          <m:r>
                            <m:t>x</m:t>
                          </m:r>
                        </m:e>
                        <m:sub>
                          <m:r>
                            <m:t>i</m:t>
                          </m:r>
                          <m:r>
                            <m:t>,</m:t>
                          </m:r>
                          <m:r>
                            <m:t>k</m:t>
                          </m:r>
                          <m:r>
                            <m:t>,</m:t>
                          </m:r>
                          <m:r>
                            <m:t>y</m:t>
                          </m:r>
                          <m:r>
                            <m:t>,</m:t>
                          </m:r>
                          <m:r>
                            <m:t>a</m:t>
                          </m:r>
                        </m:sub>
                      </m:sSub>
                    </m:e>
                  </m:mr>
                  <m:mr>
                    <m:e>
                      <m:sSub>
                        <m:e>
                          <m:r>
                            <m:t>S</m:t>
                          </m:r>
                        </m:e>
                        <m:sub>
                          <m:r>
                            <m:t>i</m:t>
                          </m:r>
                          <m:r>
                            <m:t>,</m:t>
                          </m:r>
                          <m:r>
                            <m:t>y</m:t>
                          </m:r>
                        </m:sub>
                      </m:sSub>
                    </m:e>
                    <m:e>
                      <m:r>
                        <m:t>=</m:t>
                      </m:r>
                      <m:sSub>
                        <m:e>
                          <m:r>
                            <m:t>S</m:t>
                          </m:r>
                        </m:e>
                        <m:sub>
                          <m:r>
                            <m:t>i</m:t>
                          </m:r>
                          <m:r>
                            <m:t>,</m:t>
                          </m:r>
                          <m:r>
                            <m:t>1</m:t>
                          </m:r>
                          <m:r>
                            <m:t>,</m:t>
                          </m:r>
                          <m:r>
                            <m:t>y</m:t>
                          </m:r>
                        </m:sub>
                      </m:sSub>
                      <m:r>
                        <m:t>+</m:t>
                      </m:r>
                      <m:sSub>
                        <m:e>
                          <m:r>
                            <m:t>S</m:t>
                          </m:r>
                        </m:e>
                        <m:sub>
                          <m:r>
                            <m:t>i</m:t>
                          </m:r>
                          <m:r>
                            <m:t>,</m:t>
                          </m:r>
                          <m:r>
                            <m:t>2</m:t>
                          </m:r>
                          <m:r>
                            <m:t>,</m:t>
                          </m:r>
                          <m:r>
                            <m:t>y</m:t>
                          </m:r>
                        </m:sub>
                      </m:sSub>
                      <m:r>
                        <m:t>+</m:t>
                      </m:r>
                      <m:r>
                        <m:t>50</m:t>
                      </m:r>
                      <m:sSub>
                        <m:e>
                          <m:r>
                            <m:t>u</m:t>
                          </m:r>
                        </m:e>
                        <m:sub>
                          <m:r>
                            <m:t>i</m:t>
                          </m:r>
                          <m:r>
                            <m:t>,</m:t>
                          </m:r>
                          <m:r>
                            <m:t>y</m:t>
                          </m:r>
                        </m:sub>
                      </m:sSub>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i</m:t>
        </m:r>
      </m:oMath>
      <w:r>
        <w:rPr>
          <w:rFonts w:ascii="Times New Roman" w:hAnsi="Times New Roman" w:eastAsia="方正仿宋_GBK"/>
          <w:b w:val="0"/>
          <w:sz w:val="24"/>
        </w:rPr>
        <w:t xml:space="preserve">为变电站，</w:t>
      </w:r>
      <m:oMath>
        <m:r>
          <m:t>k</m:t>
        </m:r>
      </m:oMath>
      <w:r>
        <w:rPr>
          <w:rFonts w:ascii="Times New Roman" w:hAnsi="Times New Roman" w:eastAsia="方正仿宋_GBK"/>
          <w:b w:val="0"/>
          <w:sz w:val="24"/>
        </w:rPr>
        <w:t xml:space="preserve">为既有主变槽位，</w:t>
      </w:r>
      <m:oMath>
        <m:sSub>
          <m:e>
            <m:r>
              <m:rPr>
                <m:sty m:val="p"/>
                <m:scr m:val="script"/>
              </m:rPr>
              <m:t>A</m:t>
            </m:r>
          </m:e>
          <m:sub>
            <m:r>
              <m:t>i</m:t>
            </m:r>
            <m:r>
              <m:t>k</m:t>
            </m:r>
          </m:sub>
        </m:sSub>
      </m:oMath>
      <w:r>
        <w:rPr>
          <w:rFonts w:ascii="Times New Roman" w:hAnsi="Times New Roman" w:eastAsia="方正仿宋_GBK"/>
          <w:b w:val="0"/>
          <w:sz w:val="24"/>
        </w:rPr>
        <w:t xml:space="preserve">为允许容量规格集合，</w:t>
      </w:r>
      <m:oMath>
        <m:r>
          <m:t>a</m:t>
        </m:r>
      </m:oMath>
      <w:r>
        <w:rPr>
          <w:rFonts w:ascii="Times New Roman" w:hAnsi="Times New Roman" w:eastAsia="方正仿宋_GBK"/>
          <w:b w:val="0"/>
          <w:sz w:val="24"/>
        </w:rPr>
        <w:t xml:space="preserve">为其中一种规格，单位MVA；</w:t>
      </w:r>
      <m:oMath>
        <m:sSub>
          <m:e>
            <m:r>
              <m:t>x</m:t>
            </m:r>
          </m:e>
          <m:sub>
            <m:r>
              <m:t>i</m:t>
            </m:r>
            <m:r>
              <m:t>,</m:t>
            </m:r>
            <m:r>
              <m:t>k</m:t>
            </m:r>
            <m:r>
              <m:t>,</m:t>
            </m:r>
            <m:r>
              <m:t>y</m:t>
            </m:r>
            <m:r>
              <m:t>,</m:t>
            </m:r>
            <m:r>
              <m:t>a</m:t>
            </m:r>
          </m:sub>
        </m:sSub>
      </m:oMath>
      <w:r>
        <w:rPr>
          <w:rFonts w:ascii="Times New Roman" w:hAnsi="Times New Roman" w:eastAsia="方正仿宋_GBK"/>
          <w:b w:val="0"/>
          <w:sz w:val="24"/>
        </w:rPr>
        <w:t xml:space="preserve">为0或1的规格选择变量，</w:t>
      </w:r>
      <m:oMath>
        <m:sSub>
          <m:e>
            <m:r>
              <m:t>S</m:t>
            </m:r>
          </m:e>
          <m:sub>
            <m:r>
              <m:t>i</m:t>
            </m:r>
            <m:r>
              <m:t>,</m:t>
            </m:r>
            <m:r>
              <m:t>k</m:t>
            </m:r>
            <m:r>
              <m:t>,</m:t>
            </m:r>
            <m:r>
              <m:t>y</m:t>
            </m:r>
          </m:sub>
        </m:sSub>
      </m:oMath>
      <w:r>
        <w:rPr>
          <w:rFonts w:ascii="Times New Roman" w:hAnsi="Times New Roman" w:eastAsia="方正仿宋_GBK"/>
          <w:b w:val="0"/>
          <w:sz w:val="24"/>
        </w:rPr>
        <w:t xml:space="preserve">为槽位在役容量，</w:t>
      </w:r>
      <m:oMath>
        <m:sSub>
          <m:e>
            <m:r>
              <m:t>S</m:t>
            </m:r>
          </m:e>
          <m:sub>
            <m:r>
              <m:t>i</m:t>
            </m:r>
            <m:r>
              <m:t>,</m:t>
            </m:r>
            <m:r>
              <m:t>y</m:t>
            </m:r>
          </m:sub>
        </m:sSub>
      </m:oMath>
      <w:r>
        <w:rPr>
          <w:rFonts w:ascii="Times New Roman" w:hAnsi="Times New Roman" w:eastAsia="方正仿宋_GBK"/>
          <w:b w:val="0"/>
          <w:sz w:val="24"/>
        </w:rPr>
        <w:t xml:space="preserve">为站内主变总容量；</w:t>
      </w:r>
      <m:oMath>
        <m:sSub>
          <m:e>
            <m:r>
              <m:t>u</m:t>
            </m:r>
          </m:e>
          <m:sub>
            <m:r>
              <m:t>i</m:t>
            </m:r>
            <m:r>
              <m:t>,</m:t>
            </m:r>
            <m:r>
              <m:t>y</m:t>
            </m:r>
          </m:sub>
        </m:sSub>
      </m:oMath>
      <w:r>
        <w:rPr>
          <w:rFonts w:ascii="Times New Roman" w:hAnsi="Times New Roman" w:eastAsia="方正仿宋_GBK"/>
          <w:b w:val="0"/>
          <w:sz w:val="24"/>
        </w:rPr>
        <w:t xml:space="preserve">为第三台50 MVA主变的在役状态。该式省略区县和方案下标，各区县、各方案分别应用。</w:t>
      </w:r>
    </w:p>
    <w:p>
      <w:pPr>
        <w:pStyle w:val="2"/>
        <w:widowControl/>
        <w:spacing w:line="300" w:lineRule="auto" w:before="0" w:after="0"/>
        <w:ind w:firstLine="480"/>
        <w:jc w:val="both"/>
      </w:pPr>
      <w:r>
        <w:rPr>
          <w:rFonts w:ascii="Times New Roman" w:hAnsi="Times New Roman" w:eastAsia="方正仿宋_GBK"/>
          <w:b w:val="0"/>
          <w:sz w:val="24"/>
        </w:rPr>
        <w:t xml:space="preserve">模型先计算候选增容对正常供电、反向输送及单台退出后剩余容量的改善，再按新购整台容量计算替换费用。第三台采用1223万元/项的扩建费用。新增容量和采购容量同时列示，用于分别解释容载比变化与工程投资[70]。</w:t>
      </w:r>
    </w:p>
    <w:p>
      <w:pPr>
        <w:pStyle w:val="5"/>
        <w:keepNext/>
        <w:numPr>
          <w:numId w:val="0"/>
        </w:numPr>
        <w:spacing w:line="360" w:lineRule="auto" w:before="160" w:after="120"/>
        <w:ind w:firstLine="0"/>
      </w:pPr>
      <w:bookmarkStart w:id="158" w:name="储能配置方案"/>
      <w:r>
        <w:rPr>
          <w:rFonts w:ascii="Times New Roman" w:hAnsi="Times New Roman" w:eastAsia="方正仿宋_GBK"/>
          <w:b/>
          <w:sz w:val="26"/>
        </w:rPr>
        <w:t xml:space="preserve">5.2.2 储能配置方案</w:t>
      </w:r>
      <w:bookmarkEnd w:id="158"/>
    </w:p>
    <w:p>
      <w:pPr>
        <w:pStyle w:val="FirstParagraph"/>
        <w:widowControl/>
        <w:spacing w:line="300" w:lineRule="auto" w:before="0" w:after="0"/>
        <w:ind w:firstLine="480"/>
        <w:jc w:val="both"/>
      </w:pPr>
      <w:r>
        <w:rPr>
          <w:rFonts w:ascii="Times New Roman" w:hAnsi="Times New Roman" w:eastAsia="方正仿宋_GBK"/>
          <w:b w:val="0"/>
          <w:sz w:val="24"/>
        </w:rPr>
        <w:t xml:space="preserve">储能采用0.1 MW/0.215 MWh整数柜。在所选峰段内，有效支撑功率由额定功率和可持续放电能量共同确定。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Sup>
                  <m:e>
                    <m:r>
                      <m:t>P</m:t>
                    </m:r>
                  </m:e>
                  <m:sub>
                    <m:r>
                      <m:t>B</m:t>
                    </m:r>
                    <m:r>
                      <m:t>,</m:t>
                    </m:r>
                    <m:r>
                      <m:t>i</m:t>
                    </m:r>
                    <m:r>
                      <m:t>,</m:t>
                    </m:r>
                    <m:r>
                      <m:t>y</m:t>
                    </m:r>
                  </m:sub>
                  <m:sup>
                    <m:r>
                      <m:t>±</m:t>
                    </m:r>
                  </m:sup>
                </m:sSubSup>
                <m:r>
                  <m:t>=</m:t>
                </m:r>
                <m:r>
                  <m:rPr>
                    <m:nor/>
                    <m:sty m:val="p"/>
                  </m:rPr>
                  <m:t>min</m:t>
                </m:r>
                <m:d>
                  <m:dPr>
                    <m:begChr m:val="("/>
                    <m:endChr m:val=")"/>
                    <m:grow/>
                  </m:dPr>
                  <m:e>
                    <m:r>
                      <m:t>0.1</m:t>
                    </m:r>
                    <m:sSub>
                      <m:e>
                        <m:r>
                          <m:t>n</m:t>
                        </m:r>
                      </m:e>
                      <m:sub>
                        <m:r>
                          <m:t>i</m:t>
                        </m:r>
                        <m:r>
                          <m:t>,</m:t>
                        </m:r>
                        <m:r>
                          <m:t>y</m:t>
                        </m:r>
                      </m:sub>
                    </m:sSub>
                    <m:r>
                      <m:t>,</m:t>
                    </m:r>
                    <m:f>
                      <m:fPr>
                        <m:type m:val="bar"/>
                      </m:fPr>
                      <m:num>
                        <m:r>
                          <m:t>0.215</m:t>
                        </m:r>
                        <m:sSub>
                          <m:e>
                            <m:r>
                              <m:t>n</m:t>
                            </m:r>
                          </m:e>
                          <m:sub>
                            <m:r>
                              <m:t>i</m:t>
                            </m:r>
                            <m:r>
                              <m:t>,</m:t>
                            </m:r>
                            <m:r>
                              <m:t>y</m:t>
                            </m:r>
                          </m:sub>
                        </m:sSub>
                      </m:num>
                      <m:den>
                        <m:sSubSup>
                          <m:e>
                            <m:r>
                              <m:t>H</m:t>
                            </m:r>
                          </m:e>
                          <m:sub>
                            <m:r>
                              <m:t>95</m:t>
                            </m:r>
                            <m:r>
                              <m:t>,</m:t>
                            </m:r>
                            <m:r>
                              <m:t>i</m:t>
                            </m:r>
                          </m:sub>
                          <m:sup>
                            <m:r>
                              <m:t>±</m:t>
                            </m:r>
                          </m:sup>
                        </m:sSubSup>
                      </m:den>
                    </m:f>
                  </m:e>
                </m:d>
                <m:r>
                  <m:t>=</m:t>
                </m:r>
                <m:f>
                  <m:fPr>
                    <m:type m:val="bar"/>
                  </m:fPr>
                  <m:num>
                    <m:r>
                      <m:t>0.215</m:t>
                    </m:r>
                    <m:sSub>
                      <m:e>
                        <m:r>
                          <m:t>n</m:t>
                        </m:r>
                      </m:e>
                      <m:sub>
                        <m:r>
                          <m:t>i</m:t>
                        </m:r>
                        <m:r>
                          <m:t>,</m:t>
                        </m:r>
                        <m:r>
                          <m:t>y</m:t>
                        </m:r>
                      </m:sub>
                    </m:sSub>
                  </m:num>
                  <m:den>
                    <m:r>
                      <m:rPr>
                        <m:nor/>
                        <m:sty m:val="p"/>
                      </m:rPr>
                      <m:t>max</m:t>
                    </m:r>
                    <m:r>
                      <m:t>(</m:t>
                    </m:r>
                    <m:r>
                      <m:t>2.15</m:t>
                    </m:r>
                    <m:r>
                      <m:t>,</m:t>
                    </m:r>
                    <m:sSubSup>
                      <m:e>
                        <m:r>
                          <m:t>H</m:t>
                        </m:r>
                      </m:e>
                      <m:sub>
                        <m:r>
                          <m:t>95</m:t>
                        </m:r>
                        <m:r>
                          <m:t>,</m:t>
                        </m:r>
                        <m:r>
                          <m:t>i</m:t>
                        </m:r>
                      </m:sub>
                      <m:sup>
                        <m:r>
                          <m:t>±</m:t>
                        </m:r>
                      </m:sup>
                    </m:sSubSup>
                    <m:r>
                      <m:t>)</m:t>
                    </m:r>
                  </m:den>
                </m:f>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n</m:t>
            </m:r>
          </m:e>
          <m:sub>
            <m:r>
              <m:t>i</m:t>
            </m:r>
            <m:r>
              <m:t>,</m:t>
            </m:r>
            <m:r>
              <m:t>y</m:t>
            </m:r>
          </m:sub>
        </m:sSub>
      </m:oMath>
      <w:r>
        <w:rPr>
          <w:rFonts w:ascii="Times New Roman" w:hAnsi="Times New Roman" w:eastAsia="方正仿宋_GBK"/>
          <w:b w:val="0"/>
          <w:sz w:val="24"/>
        </w:rPr>
        <w:t xml:space="preserve">为在役储能柜数，非负整数；</w:t>
      </w:r>
      <m:oMath>
        <m:sSubSup>
          <m:e>
            <m:r>
              <m:t>P</m:t>
            </m:r>
          </m:e>
          <m:sub>
            <m:r>
              <m:t>B</m:t>
            </m:r>
            <m:r>
              <m:t>,</m:t>
            </m:r>
            <m:r>
              <m:t>i</m:t>
            </m:r>
            <m:r>
              <m:t>,</m:t>
            </m:r>
            <m:r>
              <m:t>y</m:t>
            </m:r>
          </m:sub>
          <m:sup>
            <m:r>
              <m:t>+</m:t>
            </m:r>
          </m:sup>
        </m:sSubSup>
      </m:oMath>
      <w:r>
        <w:rPr>
          <w:rFonts w:ascii="Times New Roman" w:hAnsi="Times New Roman" w:eastAsia="方正仿宋_GBK"/>
          <w:b w:val="0"/>
          <w:sz w:val="24"/>
        </w:rPr>
        <w:t xml:space="preserve">、</w:t>
      </w:r>
      <m:oMath>
        <m:sSubSup>
          <m:e>
            <m:r>
              <m:t>P</m:t>
            </m:r>
          </m:e>
          <m:sub>
            <m:r>
              <m:t>B</m:t>
            </m:r>
            <m:r>
              <m:t>,</m:t>
            </m:r>
            <m:r>
              <m:t>i</m:t>
            </m:r>
            <m:r>
              <m:t>,</m:t>
            </m:r>
            <m:r>
              <m:t>y</m:t>
            </m:r>
          </m:sub>
          <m:sup>
            <m:r>
              <m:t>−</m:t>
            </m:r>
          </m:sup>
        </m:sSubSup>
      </m:oMath>
      <w:r>
        <w:rPr>
          <w:rFonts w:ascii="Times New Roman" w:hAnsi="Times New Roman" w:eastAsia="方正仿宋_GBK"/>
          <w:b w:val="0"/>
          <w:sz w:val="24"/>
        </w:rPr>
        <w:t xml:space="preserve">分别为正向、反向峰段的有效支撑功率，单位MW；</w:t>
      </w:r>
      <m:oMath>
        <m:sSubSup>
          <m:e>
            <m:r>
              <m:t>H</m:t>
            </m:r>
          </m:e>
          <m:sub>
            <m:r>
              <m:t>95</m:t>
            </m:r>
            <m:r>
              <m:t>,</m:t>
            </m:r>
            <m:r>
              <m:t>i</m:t>
            </m:r>
          </m:sub>
          <m:sup>
            <m:r>
              <m:t>+</m:t>
            </m:r>
          </m:sup>
        </m:sSubSup>
      </m:oMath>
      <w:r>
        <w:rPr>
          <w:rFonts w:ascii="Times New Roman" w:hAnsi="Times New Roman" w:eastAsia="方正仿宋_GBK"/>
          <w:b w:val="0"/>
          <w:sz w:val="24"/>
        </w:rPr>
        <w:t xml:space="preserve">、</w:t>
      </w:r>
      <m:oMath>
        <m:sSubSup>
          <m:e>
            <m:r>
              <m:t>H</m:t>
            </m:r>
          </m:e>
          <m:sub>
            <m:r>
              <m:t>95</m:t>
            </m:r>
            <m:r>
              <m:t>,</m:t>
            </m:r>
            <m:r>
              <m:t>i</m:t>
            </m:r>
          </m:sub>
          <m:sup>
            <m:r>
              <m:t>−</m:t>
            </m:r>
          </m:sup>
        </m:sSubSup>
      </m:oMath>
      <w:r>
        <w:rPr>
          <w:rFonts w:ascii="Times New Roman" w:hAnsi="Times New Roman" w:eastAsia="方正仿宋_GBK"/>
          <w:b w:val="0"/>
          <w:sz w:val="24"/>
        </w:rPr>
        <w:t xml:space="preserve">为该方向95%峰值的最长连续持续时间，单位</w:t>
      </w:r>
      <m:oMath>
        <m:r>
          <m:t>h</m:t>
        </m:r>
      </m:oMath>
      <w:r>
        <w:rPr>
          <w:rFonts w:ascii="Times New Roman" w:hAnsi="Times New Roman" w:eastAsia="方正仿宋_GBK"/>
          <w:b w:val="0"/>
          <w:sz w:val="24"/>
        </w:rPr>
        <w:t xml:space="preserve">。方向峰值为零时，采用右侧表达式计算。0.1和0.215分别为单柜功率与能量，2.15</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为其额定能量与功率之比。</w:t>
      </w:r>
    </w:p>
    <w:p>
      <w:pPr>
        <w:pStyle w:val="2"/>
        <w:widowControl/>
        <w:spacing w:line="300" w:lineRule="auto" w:before="0" w:after="0"/>
        <w:ind w:firstLine="480"/>
        <w:jc w:val="both"/>
      </w:pPr>
      <w:r>
        <w:rPr>
          <w:rFonts w:ascii="Times New Roman" w:hAnsi="Times New Roman" w:eastAsia="方正仿宋_GBK"/>
          <w:b w:val="0"/>
          <w:sz w:val="24"/>
        </w:rPr>
        <w:t xml:space="preserve">寻优使用各站本方向持续时间，将配置柜数与缺口联立。峰段延长会降低单柜有效支撑功率；柜数增加的初始投资、运维及寿命更新费用进入同一目标函数。储能主要补充主变容量及退出工况中的局部缺口，其规模由与增容、联络的共同费用比较确定。</w:t>
      </w:r>
    </w:p>
    <w:p>
      <w:pPr>
        <w:pStyle w:val="2"/>
        <w:widowControl/>
        <w:spacing w:line="300" w:lineRule="auto" w:before="0" w:after="0"/>
        <w:ind w:firstLine="480"/>
        <w:jc w:val="both"/>
      </w:pPr>
      <w:r>
        <w:rPr>
          <w:rFonts w:ascii="Times New Roman" w:hAnsi="Times New Roman" w:eastAsia="方正仿宋_GBK"/>
          <w:b w:val="0"/>
          <w:sz w:val="24"/>
        </w:rPr>
        <w:t xml:space="preserve">本模型采用峰段静态支撑。连续时序应用时，应将可用能量、充放电效率与荷电状态纳入运行校核。</w:t>
      </w:r>
    </w:p>
    <w:p>
      <w:pPr>
        <w:pStyle w:val="5"/>
        <w:keepNext/>
        <w:numPr>
          <w:numId w:val="0"/>
        </w:numPr>
        <w:spacing w:line="360" w:lineRule="auto" w:before="160" w:after="120"/>
        <w:ind w:firstLine="0"/>
      </w:pPr>
      <w:bookmarkStart w:id="159" w:name="利用既有10-kv联络能力"/>
      <w:r>
        <w:rPr>
          <w:rFonts w:ascii="Times New Roman" w:hAnsi="Times New Roman" w:eastAsia="方正仿宋_GBK"/>
          <w:b/>
          <w:sz w:val="26"/>
        </w:rPr>
        <w:t xml:space="preserve">5.2.3 利用既有10 kV联络能力</w:t>
      </w:r>
      <w:bookmarkEnd w:id="159"/>
    </w:p>
    <w:p>
      <w:pPr>
        <w:pStyle w:val="FirstParagraph"/>
        <w:widowControl/>
        <w:spacing w:line="300" w:lineRule="auto" w:before="0" w:after="0"/>
        <w:ind w:firstLine="480"/>
        <w:jc w:val="both"/>
      </w:pPr>
      <w:r>
        <w:rPr>
          <w:rFonts w:ascii="Times New Roman" w:hAnsi="Times New Roman" w:eastAsia="方正仿宋_GBK"/>
          <w:b w:val="0"/>
          <w:sz w:val="24"/>
        </w:rPr>
        <w:t xml:space="preserve">10 kV联络在区县内部调整用电负荷的供电归属。首先确定初始转供率，再将其乘以转接前站级负荷，得到可使用的既有转供能力。市区分布式光伏较少，按A类规划假定初始转供率50%；邳州依据六馈线与跨站联络数据具体测算[4][75]。</w:t>
      </w:r>
    </w:p>
    <w:p>
      <w:pPr>
        <w:pStyle w:val="2"/>
        <w:widowControl/>
        <w:spacing w:line="300" w:lineRule="auto" w:before="0" w:after="0"/>
        <w:ind w:firstLine="480"/>
        <w:jc w:val="both"/>
      </w:pPr>
      <w:r>
        <w:rPr>
          <w:rFonts w:ascii="Times New Roman" w:hAnsi="Times New Roman" w:eastAsia="方正仿宋_GBK"/>
          <w:b w:val="0"/>
          <w:sz w:val="24"/>
        </w:rPr>
        <w:t xml:space="preserve">邳州样本将最大电流折算为有功负荷，并以允许电流与已用电流之差估计受端余量。</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r>
                            <m:t>P</m:t>
                          </m:r>
                        </m:e>
                        <m:sub>
                          <m:r>
                            <m:t>f</m:t>
                          </m:r>
                        </m:sub>
                      </m:sSub>
                    </m:e>
                    <m:e>
                      <m:r>
                        <m:t>=</m:t>
                      </m:r>
                      <m:f>
                        <m:fPr>
                          <m:type m:val="bar"/>
                        </m:fPr>
                        <m:num>
                          <m:rad>
                            <m:radPr>
                              <m:degHide m:val="1"/>
                            </m:radPr>
                            <m:deg/>
                            <m:e>
                              <m:r>
                                <m:t>3</m:t>
                              </m:r>
                            </m:e>
                          </m:rad>
                          <m:r>
                            <m:t>U</m:t>
                          </m:r>
                          <m:sSub>
                            <m:e>
                              <m:r>
                                <m:t>I</m:t>
                              </m:r>
                            </m:e>
                            <m:sub>
                              <m:r>
                                <m:t>f</m:t>
                              </m:r>
                            </m:sub>
                          </m:sSub>
                          <m:r>
                            <m:rPr>
                              <m:nor/>
                              <m:sty m:val="p"/>
                            </m:rPr>
                            <m:t>cos</m:t>
                          </m:r>
                          <m:r>
                            <m:t>φ</m:t>
                          </m:r>
                        </m:num>
                        <m:den>
                          <m:r>
                            <m:t>1000</m:t>
                          </m:r>
                        </m:den>
                      </m:f>
                    </m:e>
                  </m:mr>
                  <m:mr>
                    <m:e>
                      <m:sSub>
                        <m:e>
                          <m:r>
                            <m:t>H</m:t>
                          </m:r>
                        </m:e>
                        <m:sub>
                          <m:r>
                            <m:t>f</m:t>
                          </m:r>
                        </m:sub>
                      </m:sSub>
                    </m:e>
                    <m:e>
                      <m:r>
                        <m:t>=</m:t>
                      </m:r>
                      <m:f>
                        <m:fPr>
                          <m:type m:val="bar"/>
                        </m:fPr>
                        <m:num>
                          <m:rad>
                            <m:radPr>
                              <m:degHide m:val="1"/>
                            </m:radPr>
                            <m:deg/>
                            <m:e>
                              <m:r>
                                <m:t>3</m:t>
                              </m:r>
                            </m:e>
                          </m:rad>
                          <m:r>
                            <m:t>U</m:t>
                          </m:r>
                          <m:r>
                            <m:rPr>
                              <m:nor/>
                              <m:sty m:val="p"/>
                            </m:rPr>
                            <m:t>max</m:t>
                          </m:r>
                          <m:r>
                            <m:t>(</m:t>
                          </m:r>
                          <m:sSubSup>
                            <m:e>
                              <m:r>
                                <m:t>I</m:t>
                              </m:r>
                            </m:e>
                            <m:sub>
                              <m:r>
                                <m:t>f</m:t>
                              </m:r>
                            </m:sub>
                            <m:sup>
                              <m:r>
                                <m:rPr>
                                  <m:sty m:val="p"/>
                                </m:rPr>
                                <m:t>a</m:t>
                              </m:r>
                              <m:r>
                                <m:rPr>
                                  <m:sty m:val="p"/>
                                </m:rPr>
                                <m:t>l</m:t>
                              </m:r>
                              <m:r>
                                <m:rPr>
                                  <m:sty m:val="p"/>
                                </m:rPr>
                                <m:t>l</m:t>
                              </m:r>
                              <m:r>
                                <m:rPr>
                                  <m:sty m:val="p"/>
                                </m:rPr>
                                <m:t>o</m:t>
                              </m:r>
                              <m:r>
                                <m:rPr>
                                  <m:sty m:val="p"/>
                                </m:rPr>
                                <m:t>w</m:t>
                              </m:r>
                            </m:sup>
                          </m:sSubSup>
                          <m:r>
                            <m:t>−</m:t>
                          </m:r>
                          <m:sSub>
                            <m:e>
                              <m:r>
                                <m:t>I</m:t>
                              </m:r>
                            </m:e>
                            <m:sub>
                              <m:r>
                                <m:t>f</m:t>
                              </m:r>
                            </m:sub>
                          </m:sSub>
                          <m:r>
                            <m:t>,</m:t>
                          </m:r>
                          <m:r>
                            <m:t>0</m:t>
                          </m:r>
                          <m:r>
                            <m:t>)</m:t>
                          </m:r>
                          <m:r>
                            <m:rPr>
                              <m:nor/>
                              <m:sty m:val="p"/>
                            </m:rPr>
                            <m:t>cos</m:t>
                          </m:r>
                          <m:r>
                            <m:t>φ</m:t>
                          </m:r>
                        </m:num>
                        <m:den>
                          <m:r>
                            <m:t>1000</m:t>
                          </m:r>
                        </m:den>
                      </m:f>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f</m:t>
        </m:r>
      </m:oMath>
      <w:r>
        <w:rPr>
          <w:rFonts w:ascii="Times New Roman" w:hAnsi="Times New Roman" w:eastAsia="方正仿宋_GBK"/>
          <w:b w:val="0"/>
          <w:sz w:val="24"/>
        </w:rPr>
        <w:t xml:space="preserve">为馈线，</w:t>
      </w:r>
      <m:oMath>
        <m:r>
          <m:t>U</m:t>
        </m:r>
      </m:oMath>
      <w:r>
        <w:rPr>
          <w:rFonts w:ascii="Times New Roman" w:hAnsi="Times New Roman" w:eastAsia="方正仿宋_GBK"/>
          <w:b w:val="0"/>
          <w:sz w:val="24"/>
        </w:rPr>
        <w:t xml:space="preserve">为线电压，取10 kV；</w:t>
      </w:r>
      <m:oMath>
        <m:sSub>
          <m:e>
            <m:r>
              <m:t>I</m:t>
            </m:r>
          </m:e>
          <m:sub>
            <m:r>
              <m:t>f</m:t>
            </m:r>
          </m:sub>
        </m:sSub>
      </m:oMath>
      <w:r>
        <w:rPr>
          <w:rFonts w:ascii="Times New Roman" w:hAnsi="Times New Roman" w:eastAsia="方正仿宋_GBK"/>
          <w:b w:val="0"/>
          <w:sz w:val="24"/>
        </w:rPr>
        <w:t xml:space="preserve">为样本最大电流，</w:t>
      </w:r>
      <m:oMath>
        <m:sSubSup>
          <m:e>
            <m:r>
              <m:t>I</m:t>
            </m:r>
          </m:e>
          <m:sub>
            <m:r>
              <m:t>f</m:t>
            </m:r>
          </m:sub>
          <m:sup>
            <m:r>
              <m:rPr>
                <m:sty m:val="p"/>
              </m:rPr>
              <m:t>a</m:t>
            </m:r>
            <m:r>
              <m:rPr>
                <m:sty m:val="p"/>
              </m:rPr>
              <m:t>l</m:t>
            </m:r>
            <m:r>
              <m:rPr>
                <m:sty m:val="p"/>
              </m:rPr>
              <m:t>l</m:t>
            </m:r>
            <m:r>
              <m:rPr>
                <m:sty m:val="p"/>
              </m:rPr>
              <m:t>o</m:t>
            </m:r>
            <m:r>
              <m:rPr>
                <m:sty m:val="p"/>
              </m:rPr>
              <m:t>w</m:t>
            </m:r>
          </m:sup>
        </m:sSubSup>
      </m:oMath>
      <w:r>
        <w:rPr>
          <w:rFonts w:ascii="Times New Roman" w:hAnsi="Times New Roman" w:eastAsia="方正仿宋_GBK"/>
          <w:b w:val="0"/>
          <w:sz w:val="24"/>
        </w:rPr>
        <w:t xml:space="preserve">为允许电流，单位A；</w:t>
      </w:r>
      <m:oMath>
        <m:r>
          <m:rPr>
            <m:nor/>
            <m:sty m:val="p"/>
          </m:rPr>
          <m:t>cos</m:t>
        </m:r>
        <m:r>
          <m:t>φ</m:t>
        </m:r>
      </m:oMath>
      <w:r>
        <w:rPr>
          <w:rFonts w:ascii="Times New Roman" w:hAnsi="Times New Roman" w:eastAsia="方正仿宋_GBK"/>
          <w:b w:val="0"/>
          <w:sz w:val="24"/>
        </w:rPr>
        <w:t xml:space="preserve">取0.95；</w:t>
      </w:r>
      <m:oMath>
        <m:sSub>
          <m:e>
            <m:r>
              <m:t>P</m:t>
            </m:r>
          </m:e>
          <m:sub>
            <m:r>
              <m:t>f</m:t>
            </m:r>
          </m:sub>
        </m:sSub>
      </m:oMath>
      <w:r>
        <w:rPr>
          <w:rFonts w:ascii="Times New Roman" w:hAnsi="Times New Roman" w:eastAsia="方正仿宋_GBK"/>
          <w:b w:val="0"/>
          <w:sz w:val="24"/>
        </w:rPr>
        <w:t xml:space="preserve">为馈线有功负荷，</w:t>
      </w:r>
      <m:oMath>
        <m:sSub>
          <m:e>
            <m:r>
              <m:t>H</m:t>
            </m:r>
          </m:e>
          <m:sub>
            <m:r>
              <m:t>f</m:t>
            </m:r>
          </m:sub>
        </m:sSub>
      </m:oMath>
      <w:r>
        <w:rPr>
          <w:rFonts w:ascii="Times New Roman" w:hAnsi="Times New Roman" w:eastAsia="方正仿宋_GBK"/>
          <w:b w:val="0"/>
          <w:sz w:val="24"/>
        </w:rPr>
        <w:t xml:space="preserve">为受端有功余量，单位MW。系数1000用于将kW换算为MW。</w:t>
      </w:r>
    </w:p>
    <w:p>
      <w:pPr>
        <w:pStyle w:val="2"/>
        <w:widowControl/>
        <w:spacing w:line="300" w:lineRule="auto" w:before="0" w:after="0"/>
        <w:ind w:firstLine="480"/>
        <w:jc w:val="both"/>
      </w:pPr>
      <w:r>
        <w:rPr>
          <w:rFonts w:ascii="Times New Roman" w:hAnsi="Times New Roman" w:eastAsia="方正仿宋_GBK"/>
          <w:b w:val="0"/>
          <w:sz w:val="24"/>
        </w:rPr>
        <w:t xml:space="preserve">对跨站联络分别枚举不使用、正向及反向转接，求各方向组合的最大可转负荷。每条馈线转出量不超过其负荷，转入量不超过受端余量。共享同一馈线的联络共同使用该端能力预算。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r>
                            <m:t>Q</m:t>
                          </m:r>
                        </m:e>
                        <m:sub>
                          <m:r>
                            <m:rPr>
                              <m:sty m:val="p"/>
                            </m:rPr>
                            <m:t>s</m:t>
                          </m:r>
                          <m:r>
                            <m:rPr>
                              <m:sty m:val="p"/>
                            </m:rPr>
                            <m:t>a</m:t>
                          </m:r>
                          <m:r>
                            <m:rPr>
                              <m:sty m:val="p"/>
                            </m:rPr>
                            <m:t>m</m:t>
                          </m:r>
                          <m:r>
                            <m:rPr>
                              <m:sty m:val="p"/>
                            </m:rPr>
                            <m:t>p</m:t>
                          </m:r>
                          <m:r>
                            <m:rPr>
                              <m:sty m:val="p"/>
                            </m:rPr>
                            <m:t>l</m:t>
                          </m:r>
                          <m:r>
                            <m:rPr>
                              <m:sty m:val="p"/>
                            </m:rPr>
                            <m:t>e</m:t>
                          </m:r>
                        </m:sub>
                      </m:sSub>
                    </m:e>
                    <m:e>
                      <m:r>
                        <m:t>=</m:t>
                      </m:r>
                      <m:r>
                        <m:rPr>
                          <m:nor/>
                          <m:sty m:val="p"/>
                        </m:rPr>
                        <m:t>max</m:t>
                      </m:r>
                      <m:nary>
                        <m:naryPr>
                          <m:chr m:val="∑"/>
                          <m:limLoc m:val="undOvr"/>
                          <m:subHide m:val="0"/>
                          <m:supHide m:val="1"/>
                        </m:naryPr>
                        <m:sub>
                          <m:r>
                            <m:t>(</m:t>
                          </m:r>
                          <m:r>
                            <m:t>f</m:t>
                          </m:r>
                          <m:r>
                            <m:t>,</m:t>
                          </m:r>
                          <m:r>
                            <m:t>h</m:t>
                          </m:r>
                          <m:r>
                            <m:t>)</m:t>
                          </m:r>
                          <m:r>
                            <m:t>∈</m:t>
                          </m:r>
                          <m:r>
                            <m:rPr>
                              <m:sty m:val="p"/>
                              <m:scr m:val="script"/>
                            </m:rPr>
                            <m:t>E</m:t>
                          </m:r>
                        </m:sub>
                        <m:sup>
                          <m:r>
                            <m:t>​</m:t>
                          </m:r>
                        </m:sup>
                        <m:e>
                          <m:sSub>
                            <m:e>
                              <m:r>
                                <m:t>q</m:t>
                              </m:r>
                            </m:e>
                            <m:sub>
                              <m:r>
                                <m:t>f</m:t>
                              </m:r>
                              <m:r>
                                <m:t>h</m:t>
                              </m:r>
                            </m:sub>
                          </m:sSub>
                        </m:e>
                      </m:nary>
                    </m:e>
                  </m:mr>
                  <m:mr>
                    <m:e/>
                    <m:e>
                      <m:nary>
                        <m:naryPr>
                          <m:chr m:val="∑"/>
                          <m:limLoc m:val="undOvr"/>
                          <m:subHide m:val="0"/>
                          <m:supHide m:val="1"/>
                        </m:naryPr>
                        <m:sub>
                          <m:r>
                            <m:t>h</m:t>
                          </m:r>
                        </m:sub>
                        <m:sup>
                          <m:r>
                            <m:t>​</m:t>
                          </m:r>
                        </m:sup>
                        <m:e>
                          <m:sSub>
                            <m:e>
                              <m:r>
                                <m:t>q</m:t>
                              </m:r>
                            </m:e>
                            <m:sub>
                              <m:r>
                                <m:t>f</m:t>
                              </m:r>
                              <m:r>
                                <m:t>h</m:t>
                              </m:r>
                            </m:sub>
                          </m:sSub>
                        </m:e>
                      </m:nary>
                      <m:r>
                        <m:t>≤</m:t>
                      </m:r>
                      <m:sSub>
                        <m:e>
                          <m:r>
                            <m:t>P</m:t>
                          </m:r>
                        </m:e>
                        <m:sub>
                          <m:r>
                            <m:t>f</m:t>
                          </m:r>
                        </m:sub>
                      </m:sSub>
                    </m:e>
                  </m:mr>
                  <m:mr>
                    <m:e/>
                    <m:e>
                      <m:nary>
                        <m:naryPr>
                          <m:chr m:val="∑"/>
                          <m:limLoc m:val="undOvr"/>
                          <m:subHide m:val="0"/>
                          <m:supHide m:val="1"/>
                        </m:naryPr>
                        <m:sub>
                          <m:r>
                            <m:t>f</m:t>
                          </m:r>
                        </m:sub>
                        <m:sup>
                          <m:r>
                            <m:t>​</m:t>
                          </m:r>
                        </m:sup>
                        <m:e>
                          <m:sSub>
                            <m:e>
                              <m:r>
                                <m:t>q</m:t>
                              </m:r>
                            </m:e>
                            <m:sub>
                              <m:r>
                                <m:t>f</m:t>
                              </m:r>
                              <m:r>
                                <m:t>h</m:t>
                              </m:r>
                            </m:sub>
                          </m:sSub>
                        </m:e>
                      </m:nary>
                      <m:r>
                        <m:t>≤</m:t>
                      </m:r>
                      <m:sSub>
                        <m:e>
                          <m:r>
                            <m:t>H</m:t>
                          </m:r>
                        </m:e>
                        <m:sub>
                          <m:r>
                            <m:t>h</m:t>
                          </m:r>
                        </m:sub>
                      </m:sSub>
                    </m:e>
                  </m:mr>
                  <m:mr>
                    <m:e/>
                    <m:e>
                      <m:sSub>
                        <m:e>
                          <m:r>
                            <m:t>q</m:t>
                          </m:r>
                        </m:e>
                        <m:sub>
                          <m:r>
                            <m:t>f</m:t>
                          </m:r>
                          <m:r>
                            <m:t>h</m:t>
                          </m:r>
                        </m:sub>
                      </m:sSub>
                      <m:r>
                        <m:t>≥</m:t>
                      </m:r>
                      <m:r>
                        <m:t>0</m:t>
                      </m:r>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rPr>
            <m:sty m:val="p"/>
            <m:scr m:val="script"/>
          </m:rPr>
          <m:t>E</m:t>
        </m:r>
      </m:oMath>
      <w:r>
        <w:rPr>
          <w:rFonts w:ascii="Times New Roman" w:hAnsi="Times New Roman" w:eastAsia="方正仿宋_GBK"/>
          <w:b w:val="0"/>
          <w:sz w:val="24"/>
        </w:rPr>
        <w:t xml:space="preserve">为当前方向组合下的跨站联络集合，</w:t>
      </w:r>
      <m:oMath>
        <m:sSub>
          <m:e>
            <m:r>
              <m:t>q</m:t>
            </m:r>
          </m:e>
          <m:sub>
            <m:r>
              <m:t>f</m:t>
            </m:r>
            <m:r>
              <m:t>h</m:t>
            </m:r>
          </m:sub>
        </m:sSub>
      </m:oMath>
      <w:r>
        <w:rPr>
          <w:rFonts w:ascii="Times New Roman" w:hAnsi="Times New Roman" w:eastAsia="方正仿宋_GBK"/>
          <w:b w:val="0"/>
          <w:sz w:val="24"/>
        </w:rPr>
        <w:t xml:space="preserve">为由馈线</w:t>
      </w:r>
      <m:oMath>
        <m:r>
          <m:t>f</m:t>
        </m:r>
      </m:oMath>
      <w:r>
        <w:rPr>
          <w:rFonts w:ascii="Times New Roman" w:hAnsi="Times New Roman" w:eastAsia="方正仿宋_GBK"/>
          <w:b w:val="0"/>
          <w:sz w:val="24"/>
        </w:rPr>
        <w:t xml:space="preserve">向馈线</w:t>
      </w:r>
      <m:oMath>
        <m:r>
          <m:t>h</m:t>
        </m:r>
      </m:oMath>
      <w:r>
        <w:rPr>
          <w:rFonts w:ascii="Times New Roman" w:hAnsi="Times New Roman" w:eastAsia="方正仿宋_GBK"/>
          <w:b w:val="0"/>
          <w:sz w:val="24"/>
        </w:rPr>
        <w:t xml:space="preserve">转接的负荷，单位MW；</w:t>
      </w:r>
      <m:oMath>
        <m:sSub>
          <m:e>
            <m:r>
              <m:t>Q</m:t>
            </m:r>
          </m:e>
          <m:sub>
            <m:r>
              <m:rPr>
                <m:sty m:val="p"/>
              </m:rPr>
              <m:t>s</m:t>
            </m:r>
            <m:r>
              <m:rPr>
                <m:sty m:val="p"/>
              </m:rPr>
              <m:t>a</m:t>
            </m:r>
            <m:r>
              <m:rPr>
                <m:sty m:val="p"/>
              </m:rPr>
              <m:t>m</m:t>
            </m:r>
            <m:r>
              <m:rPr>
                <m:sty m:val="p"/>
              </m:rPr>
              <m:t>p</m:t>
            </m:r>
            <m:r>
              <m:rPr>
                <m:sty m:val="p"/>
              </m:rPr>
              <m:t>l</m:t>
            </m:r>
            <m:r>
              <m:rPr>
                <m:sty m:val="p"/>
              </m:rPr>
              <m:t>e</m:t>
            </m:r>
          </m:sub>
        </m:sSub>
      </m:oMath>
      <w:r>
        <w:rPr>
          <w:rFonts w:ascii="Times New Roman" w:hAnsi="Times New Roman" w:eastAsia="方正仿宋_GBK"/>
          <w:b w:val="0"/>
          <w:sz w:val="24"/>
        </w:rPr>
        <w:t xml:space="preserve">为在共享预算内的样本最大可转负荷。该筛查得到9.983428 MW，六馈线负荷合计35.292234 MW。</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ρ</m:t>
                    </m:r>
                  </m:e>
                  <m:sub>
                    <m:r>
                      <m:rPr>
                        <m:sty m:val="p"/>
                      </m:rPr>
                      <m:t>P</m:t>
                    </m:r>
                    <m:r>
                      <m:rPr>
                        <m:sty m:val="p"/>
                      </m:rPr>
                      <m:t>i</m:t>
                    </m:r>
                    <m:r>
                      <m:rPr>
                        <m:sty m:val="p"/>
                      </m:rPr>
                      <m:t>z</m:t>
                    </m:r>
                    <m:r>
                      <m:rPr>
                        <m:sty m:val="p"/>
                      </m:rPr>
                      <m:t>h</m:t>
                    </m:r>
                    <m:r>
                      <m:rPr>
                        <m:sty m:val="p"/>
                      </m:rPr>
                      <m:t>o</m:t>
                    </m:r>
                    <m:r>
                      <m:rPr>
                        <m:sty m:val="p"/>
                      </m:rPr>
                      <m:t>u</m:t>
                    </m:r>
                    <m:r>
                      <m:t>,</m:t>
                    </m:r>
                    <m:r>
                      <m:t>0</m:t>
                    </m:r>
                  </m:sub>
                </m:sSub>
                <m:r>
                  <m:t>=</m:t>
                </m:r>
                <m:f>
                  <m:fPr>
                    <m:type m:val="bar"/>
                  </m:fPr>
                  <m:num>
                    <m:sSub>
                      <m:e>
                        <m:r>
                          <m:t>Q</m:t>
                        </m:r>
                      </m:e>
                      <m:sub>
                        <m:r>
                          <m:rPr>
                            <m:sty m:val="p"/>
                          </m:rPr>
                          <m:t>s</m:t>
                        </m:r>
                        <m:r>
                          <m:rPr>
                            <m:sty m:val="p"/>
                          </m:rPr>
                          <m:t>a</m:t>
                        </m:r>
                        <m:r>
                          <m:rPr>
                            <m:sty m:val="p"/>
                          </m:rPr>
                          <m:t>m</m:t>
                        </m:r>
                        <m:r>
                          <m:rPr>
                            <m:sty m:val="p"/>
                          </m:rPr>
                          <m:t>p</m:t>
                        </m:r>
                        <m:r>
                          <m:rPr>
                            <m:sty m:val="p"/>
                          </m:rPr>
                          <m:t>l</m:t>
                        </m:r>
                        <m:r>
                          <m:rPr>
                            <m:sty m:val="p"/>
                          </m:rPr>
                          <m:t>e</m:t>
                        </m:r>
                      </m:sub>
                    </m:sSub>
                  </m:num>
                  <m:den>
                    <m:nary>
                      <m:naryPr>
                        <m:chr m:val="∑"/>
                        <m:limLoc m:val="undOvr"/>
                        <m:subHide m:val="0"/>
                        <m:supHide m:val="1"/>
                      </m:naryPr>
                      <m:sub>
                        <m:r>
                          <m:t>f</m:t>
                        </m:r>
                      </m:sub>
                      <m:sup>
                        <m:r>
                          <m:t>​</m:t>
                        </m:r>
                      </m:sup>
                      <m:e>
                        <m:sSub>
                          <m:e>
                            <m:r>
                              <m:t>P</m:t>
                            </m:r>
                          </m:e>
                          <m:sub>
                            <m:r>
                              <m:t>f</m:t>
                            </m:r>
                          </m:sub>
                        </m:sSub>
                      </m:e>
                    </m:nary>
                  </m:den>
                </m:f>
                <m:r>
                  <m:t>=</m:t>
                </m:r>
                <m:f>
                  <m:fPr>
                    <m:type m:val="bar"/>
                  </m:fPr>
                  <m:num>
                    <m:r>
                      <m:t>9.983428</m:t>
                    </m:r>
                  </m:num>
                  <m:den>
                    <m:r>
                      <m:t>35.292234</m:t>
                    </m:r>
                  </m:den>
                </m:f>
                <m:r>
                  <m:t>=</m:t>
                </m:r>
                <m:r>
                  <m:t>28.2879</m:t>
                </m:r>
                <m:r>
                  <m:t>%</m:t>
                </m:r>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（5-7）</w:t>
            </w:r>
          </w:p>
        </w:tc>
      </w:tr>
    </w:tbl>
    <w:p>
      <w:pPr>
        <w:pStyle w:val="FirstParagraph"/>
        <w:widowControl/>
        <w:spacing w:line="300" w:lineRule="auto" w:before="0" w:after="0"/>
        <w:ind w:firstLine="480"/>
        <w:jc w:val="both"/>
      </w:pPr>
      <m:oMath>
        <m:sSub>
          <m:e>
            <m:r>
              <m:t>ρ</m:t>
            </m:r>
          </m:e>
          <m:sub>
            <m:r>
              <m:rPr>
                <m:sty m:val="p"/>
              </m:rPr>
              <m:t>P</m:t>
            </m:r>
            <m:r>
              <m:rPr>
                <m:sty m:val="p"/>
              </m:rPr>
              <m:t>i</m:t>
            </m:r>
            <m:r>
              <m:rPr>
                <m:sty m:val="p"/>
              </m:rPr>
              <m:t>z</m:t>
            </m:r>
            <m:r>
              <m:rPr>
                <m:sty m:val="p"/>
              </m:rPr>
              <m:t>h</m:t>
            </m:r>
            <m:r>
              <m:rPr>
                <m:sty m:val="p"/>
              </m:rPr>
              <m:t>o</m:t>
            </m:r>
            <m:r>
              <m:rPr>
                <m:sty m:val="p"/>
              </m:rPr>
              <m:t>u</m:t>
            </m:r>
            <m:r>
              <m:t>,</m:t>
            </m:r>
            <m:r>
              <m:t>0</m:t>
            </m:r>
          </m:sub>
        </m:sSub>
      </m:oMath>
      <w:r>
        <w:rPr>
          <w:rFonts w:ascii="Times New Roman" w:hAnsi="Times New Roman" w:eastAsia="方正仿宋_GBK"/>
          <w:b w:val="0"/>
          <w:sz w:val="24"/>
        </w:rPr>
        <w:t xml:space="preserve">为邳州初始站间转供率。本研究将局部测算比例统一外推到邳州各仿真站，形成县域内部能力配置参数。市区50%为研究假定。既有能力利用的新增建设投资计为零，送端可转负荷及受端主变、储能能力共同决定实际使用量。</w:t>
      </w:r>
    </w:p>
    <w:p>
      <w:pPr>
        <w:pStyle w:val="5"/>
        <w:keepNext/>
        <w:numPr>
          <w:numId w:val="0"/>
        </w:numPr>
        <w:spacing w:line="360" w:lineRule="auto" w:before="160" w:after="120"/>
        <w:ind w:firstLine="0"/>
      </w:pPr>
      <w:bookmarkStart w:id="160" w:name="新建10-kv联络提升转供率"/>
      <w:r>
        <w:rPr>
          <w:rFonts w:ascii="Times New Roman" w:hAnsi="Times New Roman" w:eastAsia="方正仿宋_GBK"/>
          <w:b/>
          <w:sz w:val="26"/>
        </w:rPr>
        <w:t xml:space="preserve">5.2.4 新建10 kV联络提升转供率</w:t>
      </w:r>
      <w:bookmarkEnd w:id="160"/>
    </w:p>
    <w:p>
      <w:pPr>
        <w:pStyle w:val="FirstParagraph"/>
        <w:widowControl/>
        <w:spacing w:line="300" w:lineRule="auto" w:before="0" w:after="0"/>
        <w:ind w:firstLine="480"/>
        <w:jc w:val="both"/>
      </w:pPr>
      <w:r>
        <w:rPr>
          <w:rFonts w:ascii="Times New Roman" w:hAnsi="Times New Roman" w:eastAsia="方正仿宋_GBK"/>
          <w:b w:val="0"/>
          <w:sz w:val="24"/>
        </w:rPr>
        <w:t xml:space="preserve">既有能力不足时，新增独立联络项目提高可转负荷预算。每个项目采用邳州局部可切换负荷区段标定的7.491061 MW能力增量，参考投资为106.8万元。区县内任意两个不同站均可作为新增等效项目端点，项目在两端关联、建设投资计一次[71][75]。</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Sup>
                  <m:e>
                    <m:r>
                      <m:t>Q</m:t>
                    </m:r>
                  </m:e>
                  <m:sub>
                    <m:r>
                      <m:t>i</m:t>
                    </m:r>
                    <m:r>
                      <m:t>,</m:t>
                    </m:r>
                    <m:r>
                      <m:t>y</m:t>
                    </m:r>
                  </m:sub>
                  <m:sup>
                    <m:r>
                      <m:rPr>
                        <m:sty m:val="p"/>
                      </m:rPr>
                      <m:t>c</m:t>
                    </m:r>
                    <m:r>
                      <m:rPr>
                        <m:sty m:val="p"/>
                      </m:rPr>
                      <m:t>a</m:t>
                    </m:r>
                    <m:r>
                      <m:rPr>
                        <m:sty m:val="p"/>
                      </m:rPr>
                      <m:t>p</m:t>
                    </m:r>
                  </m:sup>
                </m:sSubSup>
                <m:r>
                  <m:t>=</m:t>
                </m:r>
                <m:r>
                  <m:rPr>
                    <m:nor/>
                    <m:sty m:val="p"/>
                  </m:rPr>
                  <m:t>min</m:t>
                </m:r>
                <m:d>
                  <m:dPr>
                    <m:begChr m:val="("/>
                    <m:endChr m:val=")"/>
                    <m:grow/>
                  </m:dPr>
                  <m:e>
                    <m:sSubSup>
                      <m:e>
                        <m:r>
                          <m:t>ρ</m:t>
                        </m:r>
                      </m:e>
                      <m:sub>
                        <m:r>
                          <m:t>c</m:t>
                        </m:r>
                      </m:sub>
                      <m:sup>
                        <m:r>
                          <m:rPr>
                            <m:nor/>
                            <m:sty m:val="p"/>
                          </m:rPr>
                          <m:t>max</m:t>
                        </m:r>
                      </m:sup>
                    </m:sSubSup>
                    <m:sSubSup>
                      <m:e>
                        <m:r>
                          <m:t>L</m:t>
                        </m:r>
                      </m:e>
                      <m:sub>
                        <m:r>
                          <m:t>i</m:t>
                        </m:r>
                        <m:r>
                          <m:t>,</m:t>
                        </m:r>
                        <m:r>
                          <m:t>y</m:t>
                        </m:r>
                      </m:sub>
                      <m:sup>
                        <m:r>
                          <m:t>+</m:t>
                        </m:r>
                      </m:sup>
                    </m:sSubSup>
                    <m:r>
                      <m:t>,</m:t>
                    </m:r>
                    <m:sSub>
                      <m:e>
                        <m:r>
                          <m:t>ρ</m:t>
                        </m:r>
                      </m:e>
                      <m:sub>
                        <m:r>
                          <m:t>c</m:t>
                        </m:r>
                        <m:r>
                          <m:t>,</m:t>
                        </m:r>
                        <m:r>
                          <m:t>0</m:t>
                        </m:r>
                      </m:sub>
                    </m:sSub>
                    <m:sSubSup>
                      <m:e>
                        <m:r>
                          <m:t>L</m:t>
                        </m:r>
                      </m:e>
                      <m:sub>
                        <m:r>
                          <m:t>i</m:t>
                        </m:r>
                        <m:r>
                          <m:t>,</m:t>
                        </m:r>
                        <m:r>
                          <m:t>y</m:t>
                        </m:r>
                      </m:sub>
                      <m:sup>
                        <m:r>
                          <m:t>+</m:t>
                        </m:r>
                      </m:sup>
                    </m:sSubSup>
                    <m:r>
                      <m:t>+</m:t>
                    </m:r>
                    <m:sSub>
                      <m:e>
                        <m:r>
                          <m:t>m</m:t>
                        </m:r>
                      </m:e>
                      <m:sub>
                        <m:r>
                          <m:t>i</m:t>
                        </m:r>
                        <m:r>
                          <m:t>,</m:t>
                        </m:r>
                        <m:r>
                          <m:t>y</m:t>
                        </m:r>
                      </m:sub>
                    </m:sSub>
                    <m:r>
                      <m:t>Δ</m:t>
                    </m:r>
                    <m:r>
                      <m:t>Q</m:t>
                    </m:r>
                  </m:e>
                </m:d>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Sup>
          <m:e>
            <m:r>
              <m:t>Q</m:t>
            </m:r>
          </m:e>
          <m:sub>
            <m:r>
              <m:t>i</m:t>
            </m:r>
            <m:r>
              <m:t>,</m:t>
            </m:r>
            <m:r>
              <m:t>y</m:t>
            </m:r>
          </m:sub>
          <m:sup>
            <m:r>
              <m:rPr>
                <m:sty m:val="p"/>
              </m:rPr>
              <m:t>c</m:t>
            </m:r>
            <m:r>
              <m:rPr>
                <m:sty m:val="p"/>
              </m:rPr>
              <m:t>a</m:t>
            </m:r>
            <m:r>
              <m:rPr>
                <m:sty m:val="p"/>
              </m:rPr>
              <m:t>p</m:t>
            </m:r>
          </m:sup>
        </m:sSubSup>
      </m:oMath>
      <w:r>
        <w:rPr>
          <w:rFonts w:ascii="Times New Roman" w:hAnsi="Times New Roman" w:eastAsia="方正仿宋_GBK"/>
          <w:b w:val="0"/>
          <w:sz w:val="24"/>
        </w:rPr>
        <w:t xml:space="preserve">为站</w:t>
      </w:r>
      <m:oMath>
        <m:r>
          <m:t>i</m:t>
        </m:r>
      </m:oMath>
      <w:r>
        <w:rPr>
          <w:rFonts w:ascii="Times New Roman" w:hAnsi="Times New Roman" w:eastAsia="方正仿宋_GBK"/>
          <w:b w:val="0"/>
          <w:sz w:val="24"/>
        </w:rPr>
        <w:t xml:space="preserve">可用转供能力，单位MW；</w:t>
      </w:r>
      <m:oMath>
        <m:sSub>
          <m:e>
            <m:r>
              <m:t>ρ</m:t>
            </m:r>
          </m:e>
          <m:sub>
            <m:r>
              <m:t>c</m:t>
            </m:r>
            <m:r>
              <m:t>,</m:t>
            </m:r>
            <m:r>
              <m:t>0</m:t>
            </m:r>
          </m:sub>
        </m:sSub>
      </m:oMath>
      <w:r>
        <w:rPr>
          <w:rFonts w:ascii="Times New Roman" w:hAnsi="Times New Roman" w:eastAsia="方正仿宋_GBK"/>
          <w:b w:val="0"/>
          <w:sz w:val="24"/>
        </w:rPr>
        <w:t xml:space="preserve">为区县初始转供率，</w:t>
      </w:r>
      <m:oMath>
        <m:sSubSup>
          <m:e>
            <m:r>
              <m:t>ρ</m:t>
            </m:r>
          </m:e>
          <m:sub>
            <m:r>
              <m:t>c</m:t>
            </m:r>
          </m:sub>
          <m:sup>
            <m:r>
              <m:rPr>
                <m:nor/>
                <m:sty m:val="p"/>
              </m:rPr>
              <m:t>max</m:t>
            </m:r>
          </m:sup>
        </m:sSubSup>
      </m:oMath>
      <w:r>
        <w:rPr>
          <w:rFonts w:ascii="Times New Roman" w:hAnsi="Times New Roman" w:eastAsia="方正仿宋_GBK"/>
          <w:b w:val="0"/>
          <w:sz w:val="24"/>
        </w:rPr>
        <w:t xml:space="preserve">为研究上限；</w:t>
      </w:r>
      <m:oMath>
        <m:sSubSup>
          <m:e>
            <m:r>
              <m:t>L</m:t>
            </m:r>
          </m:e>
          <m:sub>
            <m:r>
              <m:t>i</m:t>
            </m:r>
            <m:r>
              <m:t>,</m:t>
            </m:r>
            <m:r>
              <m:t>y</m:t>
            </m:r>
          </m:sub>
          <m:sup>
            <m:r>
              <m:t>+</m:t>
            </m:r>
          </m:sup>
        </m:sSubSup>
      </m:oMath>
      <w:r>
        <w:rPr>
          <w:rFonts w:ascii="Times New Roman" w:hAnsi="Times New Roman" w:eastAsia="方正仿宋_GBK"/>
          <w:b w:val="0"/>
          <w:sz w:val="24"/>
        </w:rPr>
        <w:t xml:space="preserve">为转接前最大正向净负荷；</w:t>
      </w:r>
      <m:oMath>
        <m:sSub>
          <m:e>
            <m:r>
              <m:t>m</m:t>
            </m:r>
          </m:e>
          <m:sub>
            <m:r>
              <m:t>i</m:t>
            </m:r>
            <m:r>
              <m:t>,</m:t>
            </m:r>
            <m:r>
              <m:t>y</m:t>
            </m:r>
          </m:sub>
        </m:sSub>
      </m:oMath>
      <w:r>
        <w:rPr>
          <w:rFonts w:ascii="Times New Roman" w:hAnsi="Times New Roman" w:eastAsia="方正仿宋_GBK"/>
          <w:b w:val="0"/>
          <w:sz w:val="24"/>
        </w:rPr>
        <w:t xml:space="preserve">为该站关联的在役新增项目数，非负整数；</w:t>
      </w:r>
      <m:oMath>
        <m:r>
          <m:t>Δ</m:t>
        </m:r>
        <m:r>
          <m:t>Q</m:t>
        </m:r>
      </m:oMath>
      <w:r>
        <w:rPr>
          <w:rFonts w:ascii="Times New Roman" w:hAnsi="Times New Roman" w:eastAsia="方正仿宋_GBK"/>
          <w:b w:val="0"/>
          <w:sz w:val="24"/>
        </w:rPr>
        <w:t xml:space="preserve">为单项目固定能力增量，取7.491061 MW。邳州转供率规划目标与上限分别为30%和50%，市区分别为50%和70%。</w:t>
      </w:r>
    </w:p>
    <w:p>
      <w:pPr>
        <w:pStyle w:val="2"/>
        <w:widowControl/>
        <w:spacing w:line="300" w:lineRule="auto" w:before="0" w:after="0"/>
        <w:ind w:firstLine="480"/>
        <w:jc w:val="both"/>
      </w:pPr>
      <w:r>
        <w:rPr>
          <w:rFonts w:ascii="Times New Roman" w:hAnsi="Times New Roman" w:eastAsia="方正仿宋_GBK"/>
          <w:b w:val="0"/>
          <w:sz w:val="24"/>
        </w:rPr>
        <w:t xml:space="preserve">新增项目数量同时满足双端计数和区县新增能力的共享预算。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nary>
                        <m:naryPr>
                          <m:chr m:val="∑"/>
                          <m:limLoc m:val="undOvr"/>
                          <m:subHide m:val="0"/>
                          <m:supHide m:val="1"/>
                        </m:naryPr>
                        <m:sub>
                          <m:r>
                            <m:t>i</m:t>
                          </m:r>
                        </m:sub>
                        <m:sup>
                          <m:r>
                            <m:t>​</m:t>
                          </m:r>
                        </m:sup>
                        <m:e>
                          <m:sSub>
                            <m:e>
                              <m:r>
                                <m:t>m</m:t>
                              </m:r>
                            </m:e>
                            <m:sub>
                              <m:r>
                                <m:t>i</m:t>
                              </m:r>
                              <m:r>
                                <m:t>,</m:t>
                              </m:r>
                              <m:r>
                                <m:t>y</m:t>
                              </m:r>
                            </m:sub>
                          </m:sSub>
                        </m:e>
                      </m:nary>
                    </m:e>
                    <m:e>
                      <m:r>
                        <m:t>=</m:t>
                      </m:r>
                      <m:r>
                        <m:t>2</m:t>
                      </m:r>
                      <m:sSub>
                        <m:e>
                          <m:r>
                            <m:t>M</m:t>
                          </m:r>
                        </m:e>
                        <m:sub>
                          <m:r>
                            <m:t>c</m:t>
                          </m:r>
                          <m:r>
                            <m:t>,</m:t>
                          </m:r>
                          <m:r>
                            <m:t>y</m:t>
                          </m:r>
                        </m:sub>
                      </m:sSub>
                    </m:e>
                  </m:mr>
                  <m:mr>
                    <m:e/>
                    <m:e>
                      <m:r>
                        <m:t>0</m:t>
                      </m:r>
                      <m:r>
                        <m:t>≤</m:t>
                      </m:r>
                      <m:sSub>
                        <m:e>
                          <m:r>
                            <m:t>m</m:t>
                          </m:r>
                        </m:e>
                        <m:sub>
                          <m:r>
                            <m:t>i</m:t>
                          </m:r>
                          <m:r>
                            <m:t>,</m:t>
                          </m:r>
                          <m:r>
                            <m:t>y</m:t>
                          </m:r>
                        </m:sub>
                      </m:sSub>
                      <m:r>
                        <m:t>≤</m:t>
                      </m:r>
                      <m:sSub>
                        <m:e>
                          <m:r>
                            <m:t>M</m:t>
                          </m:r>
                        </m:e>
                        <m:sub>
                          <m:r>
                            <m:t>c</m:t>
                          </m:r>
                          <m:r>
                            <m:t>,</m:t>
                          </m:r>
                          <m:r>
                            <m:t>y</m:t>
                          </m:r>
                        </m:sub>
                      </m:sSub>
                    </m:e>
                  </m:mr>
                  <m:mr>
                    <m:e/>
                    <m:e>
                      <m:nary>
                        <m:naryPr>
                          <m:chr m:val="∑"/>
                          <m:limLoc m:val="undOvr"/>
                          <m:subHide m:val="0"/>
                          <m:supHide m:val="1"/>
                        </m:naryPr>
                        <m:sub>
                          <m:r>
                            <m:t>i</m:t>
                          </m:r>
                        </m:sub>
                        <m:sup>
                          <m:r>
                            <m:t>​</m:t>
                          </m:r>
                        </m:sup>
                        <m:e>
                          <m:sSub>
                            <m:e>
                              <m:r>
                                <m:t>e</m:t>
                              </m:r>
                            </m:e>
                            <m:sub>
                              <m:r>
                                <m:t>i</m:t>
                              </m:r>
                              <m:r>
                                <m:t>,</m:t>
                              </m:r>
                              <m:r>
                                <m:t>y</m:t>
                              </m:r>
                            </m:sub>
                          </m:sSub>
                        </m:e>
                      </m:nary>
                      <m:r>
                        <m:t>≤</m:t>
                      </m:r>
                      <m:sSub>
                        <m:e>
                          <m:r>
                            <m:t>M</m:t>
                          </m:r>
                        </m:e>
                        <m:sub>
                          <m:r>
                            <m:t>c</m:t>
                          </m:r>
                          <m:r>
                            <m:t>,</m:t>
                          </m:r>
                          <m:r>
                            <m:t>y</m:t>
                          </m:r>
                        </m:sub>
                      </m:sSub>
                      <m:r>
                        <m:t>Δ</m:t>
                      </m:r>
                      <m:r>
                        <m:t>Q</m:t>
                      </m:r>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（5-9）</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M</m:t>
            </m:r>
          </m:e>
          <m:sub>
            <m:r>
              <m:t>c</m:t>
            </m:r>
            <m:r>
              <m:t>,</m:t>
            </m:r>
            <m:r>
              <m:t>y</m:t>
            </m:r>
          </m:sub>
        </m:sSub>
      </m:oMath>
      <w:r>
        <w:rPr>
          <w:rFonts w:ascii="Times New Roman" w:hAnsi="Times New Roman" w:eastAsia="方正仿宋_GBK"/>
          <w:b w:val="0"/>
          <w:sz w:val="24"/>
        </w:rPr>
        <w:t xml:space="preserve">为区县在役新增项目数，</w:t>
      </w:r>
      <m:oMath>
        <m:sSub>
          <m:e>
            <m:r>
              <m:t>e</m:t>
            </m:r>
          </m:e>
          <m:sub>
            <m:r>
              <m:t>i</m:t>
            </m:r>
            <m:r>
              <m:t>,</m:t>
            </m:r>
            <m:r>
              <m:t>y</m:t>
            </m:r>
          </m:sub>
        </m:sSub>
      </m:oMath>
      <w:r>
        <w:rPr>
          <w:rFonts w:ascii="Times New Roman" w:hAnsi="Times New Roman" w:eastAsia="方正仿宋_GBK"/>
          <w:b w:val="0"/>
          <w:sz w:val="24"/>
        </w:rPr>
        <w:t xml:space="preserve">为站</w:t>
      </w:r>
      <m:oMath>
        <m:r>
          <m:t>i</m:t>
        </m:r>
      </m:oMath>
      <w:r>
        <w:rPr>
          <w:rFonts w:ascii="Times New Roman" w:hAnsi="Times New Roman" w:eastAsia="方正仿宋_GBK"/>
          <w:b w:val="0"/>
          <w:sz w:val="24"/>
        </w:rPr>
        <w:t xml:space="preserve">实际使用的新增转供能力，单位MW。单项目关联两个不同站；全区县实际使用的新增能力按每个项目一份计取。既有能力与新增能力共同满足转出需求：</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e>
                      <m:sSubSup>
                        <m:e>
                          <m:r>
                            <m:t>Q</m:t>
                          </m:r>
                        </m:e>
                        <m:sub>
                          <m:r>
                            <m:t>i</m:t>
                          </m:r>
                          <m:r>
                            <m:t>,</m:t>
                          </m:r>
                          <m:r>
                            <m:t>y</m:t>
                          </m:r>
                        </m:sub>
                        <m:sup>
                          <m:r>
                            <m:rPr>
                              <m:sty m:val="p"/>
                            </m:rPr>
                            <m:t>o</m:t>
                          </m:r>
                          <m:r>
                            <m:rPr>
                              <m:sty m:val="p"/>
                            </m:rPr>
                            <m:t>u</m:t>
                          </m:r>
                          <m:r>
                            <m:rPr>
                              <m:sty m:val="p"/>
                            </m:rPr>
                            <m:t>t</m:t>
                          </m:r>
                        </m:sup>
                      </m:sSubSup>
                      <m:r>
                        <m:t>≤</m:t>
                      </m:r>
                      <m:sSub>
                        <m:e>
                          <m:r>
                            <m:t>ρ</m:t>
                          </m:r>
                        </m:e>
                        <m:sub>
                          <m:r>
                            <m:t>c</m:t>
                          </m:r>
                          <m:r>
                            <m:t>,</m:t>
                          </m:r>
                          <m:r>
                            <m:t>0</m:t>
                          </m:r>
                        </m:sub>
                      </m:sSub>
                      <m:sSubSup>
                        <m:e>
                          <m:r>
                            <m:t>L</m:t>
                          </m:r>
                        </m:e>
                        <m:sub>
                          <m:r>
                            <m:t>i</m:t>
                          </m:r>
                          <m:r>
                            <m:t>,</m:t>
                          </m:r>
                          <m:r>
                            <m:t>y</m:t>
                          </m:r>
                        </m:sub>
                        <m:sup>
                          <m:r>
                            <m:t>+</m:t>
                          </m:r>
                        </m:sup>
                      </m:sSubSup>
                      <m:r>
                        <m:t>+</m:t>
                      </m:r>
                      <m:sSub>
                        <m:e>
                          <m:r>
                            <m:t>e</m:t>
                          </m:r>
                        </m:e>
                        <m:sub>
                          <m:r>
                            <m:t>i</m:t>
                          </m:r>
                          <m:r>
                            <m:t>,</m:t>
                          </m:r>
                          <m:r>
                            <m:t>y</m:t>
                          </m:r>
                        </m:sub>
                      </m:sSub>
                    </m:e>
                  </m:mr>
                  <m:mr>
                    <m:e/>
                    <m:e>
                      <m:sSubSup>
                        <m:e>
                          <m:r>
                            <m:t>Q</m:t>
                          </m:r>
                        </m:e>
                        <m:sub>
                          <m:r>
                            <m:t>i</m:t>
                          </m:r>
                          <m:r>
                            <m:t>,</m:t>
                          </m:r>
                          <m:r>
                            <m:t>y</m:t>
                          </m:r>
                        </m:sub>
                        <m:sup>
                          <m:r>
                            <m:rPr>
                              <m:sty m:val="p"/>
                            </m:rPr>
                            <m:t>o</m:t>
                          </m:r>
                          <m:r>
                            <m:rPr>
                              <m:sty m:val="p"/>
                            </m:rPr>
                            <m:t>u</m:t>
                          </m:r>
                          <m:r>
                            <m:rPr>
                              <m:sty m:val="p"/>
                            </m:rPr>
                            <m:t>t</m:t>
                          </m:r>
                        </m:sup>
                      </m:sSubSup>
                      <m:r>
                        <m:t>≤</m:t>
                      </m:r>
                      <m:sSubSup>
                        <m:e>
                          <m:r>
                            <m:t>Q</m:t>
                          </m:r>
                        </m:e>
                        <m:sub>
                          <m:r>
                            <m:t>i</m:t>
                          </m:r>
                          <m:r>
                            <m:t>,</m:t>
                          </m:r>
                          <m:r>
                            <m:t>y</m:t>
                          </m:r>
                        </m:sub>
                        <m:sup>
                          <m:r>
                            <m:rPr>
                              <m:sty m:val="p"/>
                            </m:rPr>
                            <m:t>c</m:t>
                          </m:r>
                          <m:r>
                            <m:rPr>
                              <m:sty m:val="p"/>
                            </m:rPr>
                            <m:t>a</m:t>
                          </m:r>
                          <m:r>
                            <m:rPr>
                              <m:sty m:val="p"/>
                            </m:rPr>
                            <m:t>p</m:t>
                          </m:r>
                        </m:sup>
                      </m:sSubSup>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（5-10）</w:t>
            </w:r>
          </w:p>
        </w:tc>
      </w:tr>
    </w:tbl>
    <w:p>
      <w:pPr>
        <w:pStyle w:val="FirstParagraph"/>
        <w:widowControl/>
        <w:spacing w:line="300" w:lineRule="auto" w:before="0" w:after="0"/>
        <w:ind w:firstLine="480"/>
        <w:jc w:val="both"/>
      </w:pPr>
      <m:oMath>
        <m:sSubSup>
          <m:e>
            <m:r>
              <m:t>Q</m:t>
            </m:r>
          </m:e>
          <m:sub>
            <m:r>
              <m:t>i</m:t>
            </m:r>
            <m:r>
              <m:t>,</m:t>
            </m:r>
            <m:r>
              <m:t>y</m:t>
            </m:r>
          </m:sub>
          <m:sup>
            <m:r>
              <m:rPr>
                <m:sty m:val="p"/>
              </m:rPr>
              <m:t>o</m:t>
            </m:r>
            <m:r>
              <m:rPr>
                <m:sty m:val="p"/>
              </m:rPr>
              <m:t>u</m:t>
            </m:r>
            <m:r>
              <m:rPr>
                <m:sty m:val="p"/>
              </m:rPr>
              <m:t>t</m:t>
            </m:r>
          </m:sup>
        </m:sSubSup>
      </m:oMath>
      <w:r>
        <w:rPr>
          <w:rFonts w:ascii="Times New Roman" w:hAnsi="Times New Roman" w:eastAsia="方正仿宋_GBK"/>
          <w:b w:val="0"/>
          <w:sz w:val="24"/>
        </w:rPr>
        <w:t xml:space="preserve">为站级转出负荷，单位MW。能力目标用于保证规划转供能力达到相应比例，实际转出量由负荷分布和费用优化确定。新增项目每区县最多30项，为本研究候选规模设定。</w:t>
      </w:r>
    </w:p>
    <w:p>
      <w:pPr>
        <w:pStyle w:val="2"/>
        <w:widowControl/>
        <w:spacing w:line="300" w:lineRule="auto" w:before="0" w:after="0"/>
        <w:ind w:firstLine="480"/>
        <w:jc w:val="both"/>
      </w:pPr>
      <w:r>
        <w:rPr>
          <w:rFonts w:ascii="Times New Roman" w:hAnsi="Times New Roman" w:eastAsia="方正仿宋_GBK"/>
          <w:b w:val="0"/>
          <w:sz w:val="24"/>
        </w:rPr>
        <w:t xml:space="preserve">等效项目先参与县域容量与负荷优化，再按站级端点数量生成项目配对。实际建设可依据规划转供率和受端需求核定线路走向、分段位置及可切换负荷区段。</w:t>
      </w:r>
    </w:p>
    <w:p>
      <w:pPr>
        <w:pStyle w:val="5"/>
        <w:keepNext/>
        <w:numPr>
          <w:numId w:val="0"/>
        </w:numPr>
        <w:spacing w:line="360" w:lineRule="auto" w:before="160" w:after="120"/>
        <w:ind w:firstLine="0"/>
      </w:pPr>
      <w:bookmarkStart w:id="161" w:name="负荷转接与容量衔接"/>
      <w:r>
        <w:rPr>
          <w:rFonts w:ascii="Times New Roman" w:hAnsi="Times New Roman" w:eastAsia="方正仿宋_GBK"/>
          <w:b/>
          <w:sz w:val="26"/>
        </w:rPr>
        <w:t xml:space="preserve">5.2.5 负荷转接与容量衔接</w:t>
      </w:r>
      <w:bookmarkEnd w:id="161"/>
    </w:p>
    <w:p>
      <w:pPr>
        <w:pStyle w:val="FirstParagraph"/>
        <w:widowControl/>
        <w:spacing w:line="300" w:lineRule="auto" w:before="0" w:after="0"/>
        <w:ind w:firstLine="480"/>
        <w:jc w:val="both"/>
      </w:pPr>
      <w:r>
        <w:rPr>
          <w:rFonts w:ascii="Times New Roman" w:hAnsi="Times New Roman" w:eastAsia="方正仿宋_GBK"/>
          <w:b w:val="0"/>
          <w:sz w:val="24"/>
        </w:rPr>
        <w:t xml:space="preserve">转接后正向负荷由原站负荷减转出、加承接得到，区县内部转出与承接总量相等。</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r>
                        <m:t>L</m:t>
                      </m:r>
                      <m:sSub>
                        <m:e>
                          <m:r>
                            <m:t>′</m:t>
                          </m:r>
                        </m:e>
                        <m:sub>
                          <m:r>
                            <m:t>i</m:t>
                          </m:r>
                          <m:r>
                            <m:t>,</m:t>
                          </m:r>
                          <m:r>
                            <m:t>y</m:t>
                          </m:r>
                        </m:sub>
                      </m:sSub>
                    </m:e>
                    <m:e>
                      <m:r>
                        <m:t>=</m:t>
                      </m:r>
                      <m:sSubSup>
                        <m:e>
                          <m:r>
                            <m:t>L</m:t>
                          </m:r>
                        </m:e>
                        <m:sub>
                          <m:r>
                            <m:t>i</m:t>
                          </m:r>
                          <m:r>
                            <m:t>,</m:t>
                          </m:r>
                          <m:r>
                            <m:t>y</m:t>
                          </m:r>
                        </m:sub>
                        <m:sup>
                          <m:r>
                            <m:t>+</m:t>
                          </m:r>
                        </m:sup>
                      </m:sSubSup>
                      <m:r>
                        <m:t>−</m:t>
                      </m:r>
                      <m:sSubSup>
                        <m:e>
                          <m:r>
                            <m:t>Q</m:t>
                          </m:r>
                        </m:e>
                        <m:sub>
                          <m:r>
                            <m:t>i</m:t>
                          </m:r>
                          <m:r>
                            <m:t>,</m:t>
                          </m:r>
                          <m:r>
                            <m:t>y</m:t>
                          </m:r>
                        </m:sub>
                        <m:sup>
                          <m:r>
                            <m:rPr>
                              <m:sty m:val="p"/>
                            </m:rPr>
                            <m:t>o</m:t>
                          </m:r>
                          <m:r>
                            <m:rPr>
                              <m:sty m:val="p"/>
                            </m:rPr>
                            <m:t>u</m:t>
                          </m:r>
                          <m:r>
                            <m:rPr>
                              <m:sty m:val="p"/>
                            </m:rPr>
                            <m:t>t</m:t>
                          </m:r>
                        </m:sup>
                      </m:sSubSup>
                      <m:r>
                        <m:t>+</m:t>
                      </m:r>
                      <m:sSubSup>
                        <m:e>
                          <m:r>
                            <m:t>Q</m:t>
                          </m:r>
                        </m:e>
                        <m:sub>
                          <m:r>
                            <m:t>i</m:t>
                          </m:r>
                          <m:r>
                            <m:t>,</m:t>
                          </m:r>
                          <m:r>
                            <m:t>y</m:t>
                          </m:r>
                        </m:sub>
                        <m:sup>
                          <m:r>
                            <m:rPr>
                              <m:sty m:val="p"/>
                            </m:rPr>
                            <m:t>i</m:t>
                          </m:r>
                          <m:r>
                            <m:rPr>
                              <m:sty m:val="p"/>
                            </m:rPr>
                            <m:t>n</m:t>
                          </m:r>
                        </m:sup>
                      </m:sSubSup>
                    </m:e>
                  </m:mr>
                  <m:mr>
                    <m:e>
                      <m:nary>
                        <m:naryPr>
                          <m:chr m:val="∑"/>
                          <m:limLoc m:val="undOvr"/>
                          <m:subHide m:val="0"/>
                          <m:supHide m:val="1"/>
                        </m:naryPr>
                        <m:sub>
                          <m:r>
                            <m:t>i</m:t>
                          </m:r>
                        </m:sub>
                        <m:sup>
                          <m:r>
                            <m:t>​</m:t>
                          </m:r>
                        </m:sup>
                        <m:e>
                          <m:sSubSup>
                            <m:e>
                              <m:r>
                                <m:t>Q</m:t>
                              </m:r>
                            </m:e>
                            <m:sub>
                              <m:r>
                                <m:t>i</m:t>
                              </m:r>
                              <m:r>
                                <m:t>,</m:t>
                              </m:r>
                              <m:r>
                                <m:t>y</m:t>
                              </m:r>
                            </m:sub>
                            <m:sup>
                              <m:r>
                                <m:rPr>
                                  <m:sty m:val="p"/>
                                </m:rPr>
                                <m:t>o</m:t>
                              </m:r>
                              <m:r>
                                <m:rPr>
                                  <m:sty m:val="p"/>
                                </m:rPr>
                                <m:t>u</m:t>
                              </m:r>
                              <m:r>
                                <m:rPr>
                                  <m:sty m:val="p"/>
                                </m:rPr>
                                <m:t>t</m:t>
                              </m:r>
                            </m:sup>
                          </m:sSubSup>
                        </m:e>
                      </m:nary>
                    </m:e>
                    <m:e>
                      <m:r>
                        <m:t>=</m:t>
                      </m:r>
                      <m:nary>
                        <m:naryPr>
                          <m:chr m:val="∑"/>
                          <m:limLoc m:val="undOvr"/>
                          <m:subHide m:val="0"/>
                          <m:supHide m:val="1"/>
                        </m:naryPr>
                        <m:sub>
                          <m:r>
                            <m:t>i</m:t>
                          </m:r>
                        </m:sub>
                        <m:sup>
                          <m:r>
                            <m:t>​</m:t>
                          </m:r>
                        </m:sup>
                        <m:e>
                          <m:sSubSup>
                            <m:e>
                              <m:r>
                                <m:t>Q</m:t>
                              </m:r>
                            </m:e>
                            <m:sub>
                              <m:r>
                                <m:t>i</m:t>
                              </m:r>
                              <m:r>
                                <m:t>,</m:t>
                              </m:r>
                              <m:r>
                                <m:t>y</m:t>
                              </m:r>
                            </m:sub>
                            <m:sup>
                              <m:r>
                                <m:rPr>
                                  <m:sty m:val="p"/>
                                </m:rPr>
                                <m:t>i</m:t>
                              </m:r>
                              <m:r>
                                <m:rPr>
                                  <m:sty m:val="p"/>
                                </m:rPr>
                                <m:t>n</m:t>
                              </m:r>
                            </m:sup>
                          </m:sSubSup>
                        </m:e>
                      </m:nary>
                    </m:e>
                  </m:mr>
                  <m:mr>
                    <m:e>
                      <m:nary>
                        <m:naryPr>
                          <m:chr m:val="∑"/>
                          <m:limLoc m:val="undOvr"/>
                          <m:subHide m:val="0"/>
                          <m:supHide m:val="1"/>
                        </m:naryPr>
                        <m:sub>
                          <m:r>
                            <m:t>i</m:t>
                          </m:r>
                        </m:sub>
                        <m:sup>
                          <m:r>
                            <m:t>​</m:t>
                          </m:r>
                        </m:sup>
                        <m:e>
                          <m:r>
                            <m:t>L</m:t>
                          </m:r>
                        </m:e>
                      </m:nary>
                      <m:sSub>
                        <m:e>
                          <m:r>
                            <m:t>′</m:t>
                          </m:r>
                        </m:e>
                        <m:sub>
                          <m:r>
                            <m:t>i</m:t>
                          </m:r>
                          <m:r>
                            <m:t>,</m:t>
                          </m:r>
                          <m:r>
                            <m:t>y</m:t>
                          </m:r>
                        </m:sub>
                      </m:sSub>
                    </m:e>
                    <m:e>
                      <m:r>
                        <m:t>=</m:t>
                      </m:r>
                      <m:nary>
                        <m:naryPr>
                          <m:chr m:val="∑"/>
                          <m:limLoc m:val="undOvr"/>
                          <m:subHide m:val="0"/>
                          <m:supHide m:val="1"/>
                        </m:naryPr>
                        <m:sub>
                          <m:r>
                            <m:t>i</m:t>
                          </m:r>
                        </m:sub>
                        <m:sup>
                          <m:r>
                            <m:t>​</m:t>
                          </m:r>
                        </m:sup>
                        <m:e>
                          <m:sSubSup>
                            <m:e>
                              <m:r>
                                <m:t>L</m:t>
                              </m:r>
                            </m:e>
                            <m:sub>
                              <m:r>
                                <m:t>i</m:t>
                              </m:r>
                              <m:r>
                                <m:t>,</m:t>
                              </m:r>
                              <m:r>
                                <m:t>y</m:t>
                              </m:r>
                            </m:sub>
                            <m:sup>
                              <m:r>
                                <m:t>+</m:t>
                              </m:r>
                            </m:sup>
                          </m:sSubSup>
                        </m:e>
                      </m:nary>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L</m:t>
        </m:r>
        <m:sSub>
          <m:e>
            <m:r>
              <m:t>′</m:t>
            </m:r>
          </m:e>
          <m:sub>
            <m:r>
              <m:t>i</m:t>
            </m:r>
            <m:r>
              <m:t>,</m:t>
            </m:r>
            <m:r>
              <m:t>y</m:t>
            </m:r>
          </m:sub>
        </m:sSub>
      </m:oMath>
      <w:r>
        <w:rPr>
          <w:rFonts w:ascii="Times New Roman" w:hAnsi="Times New Roman" w:eastAsia="方正仿宋_GBK"/>
          <w:b w:val="0"/>
          <w:sz w:val="24"/>
        </w:rPr>
        <w:t xml:space="preserve">为转接后的站级正向负荷，</w:t>
      </w:r>
      <m:oMath>
        <m:sSubSup>
          <m:e>
            <m:r>
              <m:t>Q</m:t>
            </m:r>
          </m:e>
          <m:sub>
            <m:r>
              <m:t>i</m:t>
            </m:r>
            <m:r>
              <m:t>,</m:t>
            </m:r>
            <m:r>
              <m:t>y</m:t>
            </m:r>
          </m:sub>
          <m:sup>
            <m:r>
              <m:rPr>
                <m:sty m:val="p"/>
              </m:rPr>
              <m:t>i</m:t>
            </m:r>
            <m:r>
              <m:rPr>
                <m:sty m:val="p"/>
              </m:rPr>
              <m:t>n</m:t>
            </m:r>
          </m:sup>
        </m:sSubSup>
      </m:oMath>
      <w:r>
        <w:rPr>
          <w:rFonts w:ascii="Times New Roman" w:hAnsi="Times New Roman" w:eastAsia="方正仿宋_GBK"/>
          <w:b w:val="0"/>
          <w:sz w:val="24"/>
        </w:rPr>
        <w:t xml:space="preserve">为该站承接负荷，单位MW。模型先求站级转出与承接量，再生成守恒的站间分配表。联络由此改善容量与负荷的空间匹配。</w:t>
      </w:r>
    </w:p>
    <w:p>
      <w:pPr>
        <w:pStyle w:val="2"/>
        <w:widowControl/>
        <w:spacing w:line="300" w:lineRule="auto" w:before="0" w:after="0"/>
        <w:ind w:firstLine="480"/>
        <w:jc w:val="both"/>
      </w:pPr>
      <w:r>
        <w:rPr>
          <w:rFonts w:ascii="Times New Roman" w:hAnsi="Times New Roman" w:eastAsia="方正仿宋_GBK"/>
          <w:b w:val="0"/>
          <w:sz w:val="24"/>
        </w:rPr>
        <w:t xml:space="preserve">本地电源保留在原站。用电负荷转出后，原站潜在反送压力增加，反向净负荷上界取原站最大反向净负荷加转出量。各站采用同一规则：</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Sup>
                  <m:e>
                    <m:r>
                      <m:t>L</m:t>
                    </m:r>
                  </m:e>
                  <m:sub>
                    <m:r>
                      <m:t>i</m:t>
                    </m:r>
                    <m:r>
                      <m:t>,</m:t>
                    </m:r>
                    <m:r>
                      <m:t>y</m:t>
                    </m:r>
                  </m:sub>
                  <m:sup>
                    <m:r>
                      <m:t>−</m:t>
                    </m:r>
                    <m:r>
                      <m:t>,</m:t>
                    </m:r>
                    <m:r>
                      <m:rPr>
                        <m:sty m:val="p"/>
                      </m:rPr>
                      <m:t>c</m:t>
                    </m:r>
                    <m:r>
                      <m:rPr>
                        <m:sty m:val="p"/>
                      </m:rPr>
                      <m:t>h</m:t>
                    </m:r>
                    <m:r>
                      <m:rPr>
                        <m:sty m:val="p"/>
                      </m:rPr>
                      <m:t>e</m:t>
                    </m:r>
                    <m:r>
                      <m:rPr>
                        <m:sty m:val="p"/>
                      </m:rPr>
                      <m:t>c</m:t>
                    </m:r>
                    <m:r>
                      <m:rPr>
                        <m:sty m:val="p"/>
                      </m:rPr>
                      <m:t>k</m:t>
                    </m:r>
                  </m:sup>
                </m:sSubSup>
                <m:r>
                  <m:t>=</m:t>
                </m:r>
                <m:sSubSup>
                  <m:e>
                    <m:r>
                      <m:t>L</m:t>
                    </m:r>
                  </m:e>
                  <m:sub>
                    <m:r>
                      <m:t>i</m:t>
                    </m:r>
                    <m:r>
                      <m:t>,</m:t>
                    </m:r>
                    <m:r>
                      <m:t>y</m:t>
                    </m:r>
                  </m:sub>
                  <m:sup>
                    <m:r>
                      <m:t>−</m:t>
                    </m:r>
                  </m:sup>
                </m:sSubSup>
                <m:r>
                  <m:t>+</m:t>
                </m:r>
                <m:sSubSup>
                  <m:e>
                    <m:r>
                      <m:t>Q</m:t>
                    </m:r>
                  </m:e>
                  <m:sub>
                    <m:r>
                      <m:t>i</m:t>
                    </m:r>
                    <m:r>
                      <m:t>,</m:t>
                    </m:r>
                    <m:r>
                      <m:t>y</m:t>
                    </m:r>
                  </m:sub>
                  <m:sup>
                    <m:r>
                      <m:rPr>
                        <m:sty m:val="p"/>
                      </m:rPr>
                      <m:t>o</m:t>
                    </m:r>
                    <m:r>
                      <m:rPr>
                        <m:sty m:val="p"/>
                      </m:rPr>
                      <m:t>u</m:t>
                    </m:r>
                    <m:r>
                      <m:rPr>
                        <m:sty m:val="p"/>
                      </m:rPr>
                      <m:t>t</m:t>
                    </m:r>
                  </m:sup>
                </m:sSubSup>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（5-12）</w:t>
            </w:r>
          </w:p>
        </w:tc>
      </w:tr>
    </w:tbl>
    <w:p>
      <w:pPr>
        <w:pStyle w:val="FirstParagraph"/>
        <w:widowControl/>
        <w:spacing w:line="300" w:lineRule="auto" w:before="0" w:after="0"/>
        <w:ind w:firstLine="480"/>
        <w:jc w:val="both"/>
      </w:pPr>
      <m:oMath>
        <m:sSubSup>
          <m:e>
            <m:r>
              <m:t>L</m:t>
            </m:r>
          </m:e>
          <m:sub>
            <m:r>
              <m:t>i</m:t>
            </m:r>
            <m:r>
              <m:t>,</m:t>
            </m:r>
            <m:r>
              <m:t>y</m:t>
            </m:r>
          </m:sub>
          <m:sup>
            <m:r>
              <m:t>−</m:t>
            </m:r>
          </m:sup>
        </m:sSubSup>
      </m:oMath>
      <w:r>
        <w:rPr>
          <w:rFonts w:ascii="Times New Roman" w:hAnsi="Times New Roman" w:eastAsia="方正仿宋_GBK"/>
          <w:b w:val="0"/>
          <w:sz w:val="24"/>
        </w:rPr>
        <w:t xml:space="preserve">为原站最大反向净负荷，</w:t>
      </w:r>
      <m:oMath>
        <m:sSubSup>
          <m:e>
            <m:r>
              <m:t>L</m:t>
            </m:r>
          </m:e>
          <m:sub>
            <m:r>
              <m:t>i</m:t>
            </m:r>
            <m:r>
              <m:t>,</m:t>
            </m:r>
            <m:r>
              <m:t>y</m:t>
            </m:r>
          </m:sub>
          <m:sup>
            <m:r>
              <m:t>−</m:t>
            </m:r>
            <m:r>
              <m:t>,</m:t>
            </m:r>
            <m:r>
              <m:rPr>
                <m:sty m:val="p"/>
              </m:rPr>
              <m:t>c</m:t>
            </m:r>
            <m:r>
              <m:rPr>
                <m:sty m:val="p"/>
              </m:rPr>
              <m:t>h</m:t>
            </m:r>
            <m:r>
              <m:rPr>
                <m:sty m:val="p"/>
              </m:rPr>
              <m:t>e</m:t>
            </m:r>
            <m:r>
              <m:rPr>
                <m:sty m:val="p"/>
              </m:rPr>
              <m:t>c</m:t>
            </m:r>
            <m:r>
              <m:rPr>
                <m:sty m:val="p"/>
              </m:rPr>
              <m:t>k</m:t>
            </m:r>
          </m:sup>
        </m:sSubSup>
      </m:oMath>
      <w:r>
        <w:rPr>
          <w:rFonts w:ascii="Times New Roman" w:hAnsi="Times New Roman" w:eastAsia="方正仿宋_GBK"/>
          <w:b w:val="0"/>
          <w:sz w:val="24"/>
        </w:rPr>
        <w:t xml:space="preserve">为用于校核的反向净负荷上界，单位MW。该式在缺少转接负荷同步曲线的情况下按峰值上界处理，受端增加用电仍按其正向容量约束校核。</w:t>
      </w:r>
    </w:p>
    <w:p>
      <w:pPr>
        <w:pStyle w:val="2"/>
        <w:widowControl/>
        <w:spacing w:line="300" w:lineRule="auto" w:before="0" w:after="0"/>
        <w:ind w:firstLine="480"/>
        <w:jc w:val="both"/>
      </w:pPr>
      <w:r>
        <w:rPr>
          <w:rFonts w:ascii="Times New Roman" w:hAnsi="Times New Roman" w:eastAsia="方正仿宋_GBK"/>
          <w:b w:val="0"/>
          <w:sz w:val="24"/>
        </w:rPr>
        <w:t xml:space="preserve">以两站负荷转接说明计算关系。送端原正向负荷80 MW，初始转供率28.2879%，既有能力为22.6303 MW；新建一个项目后，能力增至30.1214 MW。若转出25 MW，新增能力实际使用2.3697 MW，原站正向负荷降至55 MW；原反向净负荷10 MW时，校核上界增至35 MW。受端原负荷40 MW，承接后为65 MW，按65 MW校核正常和单台退出容量。两站负荷合计仍为120 MW，新建项目投资106.8万元计取一次。</w:t>
      </w:r>
    </w:p>
    <w:p>
      <w:bookmarkStart w:id="1440" w:name="h440"/>
      <w:pPr>
        <w:pStyle w:val="4"/>
        <w:keepNext/>
        <w:numPr>
          <w:numId w:val="0"/>
        </w:numPr>
        <w:spacing w:line="360" w:lineRule="auto" w:before="160" w:after="120"/>
        <w:ind w:firstLine="0"/>
      </w:pPr>
      <w:bookmarkStart w:id="162" w:name="约束条件与求解流程"/>
      <w:r>
        <w:rPr>
          <w:rFonts w:ascii="Times New Roman" w:hAnsi="Times New Roman" w:eastAsia="方正仿宋_GBK"/>
          <w:b/>
          <w:sz w:val="32"/>
        </w:rPr>
        <w:t xml:space="preserve">5.3 约束条件与求解流程</w:t>
      </w:r>
      <w:bookmarkEnd w:id="162"/>
      <w:bookmarkEnd w:id="1440"/>
    </w:p>
    <w:p>
      <w:pPr>
        <w:pStyle w:val="5"/>
        <w:keepNext/>
        <w:numPr>
          <w:numId w:val="0"/>
        </w:numPr>
        <w:spacing w:line="360" w:lineRule="auto" w:before="160" w:after="120"/>
        <w:ind w:firstLine="0"/>
      </w:pPr>
      <w:bookmarkStart w:id="163" w:name="正常运行和单台主变退出"/>
      <w:r>
        <w:rPr>
          <w:rFonts w:ascii="Times New Roman" w:hAnsi="Times New Roman" w:eastAsia="方正仿宋_GBK"/>
          <w:b/>
          <w:sz w:val="26"/>
        </w:rPr>
        <w:t xml:space="preserve">5.3.1 正常运行和单台主变退出</w:t>
      </w:r>
      <w:bookmarkEnd w:id="163"/>
    </w:p>
    <w:p>
      <w:pPr>
        <w:pStyle w:val="FirstParagraph"/>
        <w:widowControl/>
        <w:spacing w:line="300" w:lineRule="auto" w:before="0" w:after="0"/>
        <w:ind w:firstLine="480"/>
        <w:jc w:val="both"/>
      </w:pPr>
      <w:r>
        <w:rPr>
          <w:rFonts w:ascii="Times New Roman" w:hAnsi="Times New Roman" w:eastAsia="方正仿宋_GBK"/>
          <w:b w:val="0"/>
          <w:sz w:val="24"/>
        </w:rPr>
        <w:t xml:space="preserve">主变容量按0.95功率因数折算为有功供电能力。正常运行分别校核正向和反向需求；单台主变退出时，以剩余主变和储能支撑满足全部转接后负荷。</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r>
                        <m:t>0.95</m:t>
                      </m:r>
                      <m:sSub>
                        <m:e>
                          <m:r>
                            <m:t>S</m:t>
                          </m:r>
                        </m:e>
                        <m:sub>
                          <m:r>
                            <m:t>i</m:t>
                          </m:r>
                          <m:r>
                            <m:t>,</m:t>
                          </m:r>
                          <m:r>
                            <m:t>y</m:t>
                          </m:r>
                        </m:sub>
                      </m:sSub>
                      <m:r>
                        <m:t>+</m:t>
                      </m:r>
                      <m:sSubSup>
                        <m:e>
                          <m:r>
                            <m:t>P</m:t>
                          </m:r>
                        </m:e>
                        <m:sub>
                          <m:r>
                            <m:t>B</m:t>
                          </m:r>
                          <m:r>
                            <m:t>,</m:t>
                          </m:r>
                          <m:r>
                            <m:t>i</m:t>
                          </m:r>
                          <m:r>
                            <m:t>,</m:t>
                          </m:r>
                          <m:r>
                            <m:t>y</m:t>
                          </m:r>
                        </m:sub>
                        <m:sup>
                          <m:r>
                            <m:t>+</m:t>
                          </m:r>
                        </m:sup>
                      </m:sSubSup>
                    </m:e>
                    <m:e>
                      <m:r>
                        <m:t>≥</m:t>
                      </m:r>
                      <m:r>
                        <m:t>L</m:t>
                      </m:r>
                      <m:sSub>
                        <m:e>
                          <m:r>
                            <m:t>′</m:t>
                          </m:r>
                        </m:e>
                        <m:sub>
                          <m:r>
                            <m:t>i</m:t>
                          </m:r>
                          <m:r>
                            <m:t>,</m:t>
                          </m:r>
                          <m:r>
                            <m:t>y</m:t>
                          </m:r>
                        </m:sub>
                      </m:sSub>
                      <m:r>
                        <m:t>,</m:t>
                      </m:r>
                    </m:e>
                  </m:mr>
                  <m:mr>
                    <m:e>
                      <m:r>
                        <m:t>0.95</m:t>
                      </m:r>
                      <m:sSub>
                        <m:e>
                          <m:r>
                            <m:t>S</m:t>
                          </m:r>
                        </m:e>
                        <m:sub>
                          <m:r>
                            <m:t>i</m:t>
                          </m:r>
                          <m:r>
                            <m:t>,</m:t>
                          </m:r>
                          <m:r>
                            <m:t>y</m:t>
                          </m:r>
                        </m:sub>
                      </m:sSub>
                      <m:r>
                        <m:t>+</m:t>
                      </m:r>
                      <m:sSubSup>
                        <m:e>
                          <m:r>
                            <m:t>P</m:t>
                          </m:r>
                        </m:e>
                        <m:sub>
                          <m:r>
                            <m:t>B</m:t>
                          </m:r>
                          <m:r>
                            <m:t>,</m:t>
                          </m:r>
                          <m:r>
                            <m:t>i</m:t>
                          </m:r>
                          <m:r>
                            <m:t>,</m:t>
                          </m:r>
                          <m:r>
                            <m:t>y</m:t>
                          </m:r>
                        </m:sub>
                        <m:sup>
                          <m:r>
                            <m:t>−</m:t>
                          </m:r>
                        </m:sup>
                      </m:sSubSup>
                    </m:e>
                    <m:e>
                      <m:r>
                        <m:t>≥</m:t>
                      </m:r>
                      <m:sSubSup>
                        <m:e>
                          <m:r>
                            <m:t>L</m:t>
                          </m:r>
                        </m:e>
                        <m:sub>
                          <m:r>
                            <m:t>i</m:t>
                          </m:r>
                          <m:r>
                            <m:t>,</m:t>
                          </m:r>
                          <m:r>
                            <m:t>y</m:t>
                          </m:r>
                        </m:sub>
                        <m:sup>
                          <m:r>
                            <m:t>−</m:t>
                          </m:r>
                          <m:r>
                            <m:t>,</m:t>
                          </m:r>
                          <m:r>
                            <m:rPr>
                              <m:sty m:val="p"/>
                            </m:rPr>
                            <m:t>c</m:t>
                          </m:r>
                          <m:r>
                            <m:rPr>
                              <m:sty m:val="p"/>
                            </m:rPr>
                            <m:t>h</m:t>
                          </m:r>
                          <m:r>
                            <m:rPr>
                              <m:sty m:val="p"/>
                            </m:rPr>
                            <m:t>e</m:t>
                          </m:r>
                          <m:r>
                            <m:rPr>
                              <m:sty m:val="p"/>
                            </m:rPr>
                            <m:t>c</m:t>
                          </m:r>
                          <m:r>
                            <m:rPr>
                              <m:sty m:val="p"/>
                            </m:rPr>
                            <m:t>k</m:t>
                          </m:r>
                        </m:sup>
                      </m:sSubSup>
                      <m:r>
                        <m:t>,</m:t>
                      </m:r>
                    </m:e>
                  </m:mr>
                  <m:mr>
                    <m:e>
                      <m:r>
                        <m:t>0.95</m:t>
                      </m:r>
                      <m:r>
                        <m:t>(</m:t>
                      </m:r>
                      <m:sSub>
                        <m:e>
                          <m:r>
                            <m:t>S</m:t>
                          </m:r>
                        </m:e>
                        <m:sub>
                          <m:r>
                            <m:t>i</m:t>
                          </m:r>
                          <m:r>
                            <m:t>,</m:t>
                          </m:r>
                          <m:r>
                            <m:t>y</m:t>
                          </m:r>
                        </m:sub>
                      </m:sSub>
                      <m:r>
                        <m:t>−</m:t>
                      </m:r>
                      <m:sSub>
                        <m:e>
                          <m:r>
                            <m:t>S</m:t>
                          </m:r>
                        </m:e>
                        <m:sub>
                          <m:r>
                            <m:t>i</m:t>
                          </m:r>
                          <m:r>
                            <m:t>,</m:t>
                          </m:r>
                          <m:r>
                            <m:t>k</m:t>
                          </m:r>
                          <m:r>
                            <m:t>,</m:t>
                          </m:r>
                          <m:r>
                            <m:t>y</m:t>
                          </m:r>
                        </m:sub>
                      </m:sSub>
                      <m:r>
                        <m:t>)</m:t>
                      </m:r>
                      <m:r>
                        <m:t>+</m:t>
                      </m:r>
                      <m:sSubSup>
                        <m:e>
                          <m:r>
                            <m:t>P</m:t>
                          </m:r>
                        </m:e>
                        <m:sub>
                          <m:r>
                            <m:t>B</m:t>
                          </m:r>
                          <m:r>
                            <m:t>,</m:t>
                          </m:r>
                          <m:r>
                            <m:t>i</m:t>
                          </m:r>
                          <m:r>
                            <m:t>,</m:t>
                          </m:r>
                          <m:r>
                            <m:t>y</m:t>
                          </m:r>
                        </m:sub>
                        <m:sup>
                          <m:r>
                            <m:t>+</m:t>
                          </m:r>
                        </m:sup>
                      </m:sSubSup>
                    </m:e>
                    <m:e>
                      <m:r>
                        <m:t>≥</m:t>
                      </m:r>
                      <m:r>
                        <m:t>L</m:t>
                      </m:r>
                      <m:sSub>
                        <m:e>
                          <m:r>
                            <m:t>′</m:t>
                          </m:r>
                        </m:e>
                        <m:sub>
                          <m:r>
                            <m:t>i</m:t>
                          </m:r>
                          <m:r>
                            <m:t>,</m:t>
                          </m:r>
                          <m:r>
                            <m:t>y</m:t>
                          </m:r>
                        </m:sub>
                      </m:sSub>
                      <m:r>
                        <m:t>,</m:t>
                      </m:r>
                      <m:r>
                        <m:t> </m:t>
                      </m:r>
                      <m:r>
                        <m:t>k</m:t>
                      </m:r>
                      <m:r>
                        <m:t>∈</m:t>
                      </m:r>
                      <m:sSub>
                        <m:e>
                          <m:r>
                            <m:rPr>
                              <m:sty m:val="p"/>
                              <m:scr m:val="script"/>
                            </m:rPr>
                            <m:t>K</m:t>
                          </m:r>
                        </m:e>
                        <m:sub>
                          <m:r>
                            <m:t>i</m:t>
                          </m:r>
                          <m:r>
                            <m:t>,</m:t>
                          </m:r>
                          <m:r>
                            <m:t>y</m:t>
                          </m:r>
                        </m:sub>
                      </m:sSub>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rPr>
                <m:sty m:val="p"/>
                <m:scr m:val="script"/>
              </m:rPr>
              <m:t>K</m:t>
            </m:r>
          </m:e>
          <m:sub>
            <m:r>
              <m:t>i</m:t>
            </m:r>
            <m:r>
              <m:t>,</m:t>
            </m:r>
            <m:r>
              <m:t>y</m:t>
            </m:r>
          </m:sub>
        </m:sSub>
      </m:oMath>
      <w:r>
        <w:rPr>
          <w:rFonts w:ascii="Times New Roman" w:hAnsi="Times New Roman" w:eastAsia="方正仿宋_GBK"/>
          <w:b w:val="0"/>
          <w:sz w:val="24"/>
        </w:rPr>
        <w:t xml:space="preserve">为该年在役主变集合，</w:t>
      </w:r>
      <m:oMath>
        <m:sSub>
          <m:e>
            <m:r>
              <m:t>S</m:t>
            </m:r>
          </m:e>
          <m:sub>
            <m:r>
              <m:t>i</m:t>
            </m:r>
            <m:r>
              <m:t>,</m:t>
            </m:r>
            <m:r>
              <m:t>k</m:t>
            </m:r>
            <m:r>
              <m:t>,</m:t>
            </m:r>
            <m:r>
              <m:t>y</m:t>
            </m:r>
          </m:sub>
        </m:sSub>
      </m:oMath>
      <w:r>
        <w:rPr>
          <w:rFonts w:ascii="Times New Roman" w:hAnsi="Times New Roman" w:eastAsia="方正仿宋_GBK"/>
          <w:b w:val="0"/>
          <w:sz w:val="24"/>
        </w:rPr>
        <w:t xml:space="preserve">为退出主变的铭牌容量。新增第三台投运后，也进入退出校核。邳州各类别采用同一全负荷静态研究条件，市区按A类供电区域规划。导则的分类供电安全要求与本项目统一的研究校核条件分别说明[4]。</w:t>
      </w:r>
    </w:p>
    <w:p>
      <w:pPr>
        <w:pStyle w:val="2"/>
        <w:widowControl/>
        <w:spacing w:line="300" w:lineRule="auto" w:before="0" w:after="0"/>
        <w:ind w:firstLine="480"/>
        <w:jc w:val="both"/>
      </w:pPr>
      <w:r>
        <w:rPr>
          <w:rFonts w:ascii="Times New Roman" w:hAnsi="Times New Roman" w:eastAsia="方正仿宋_GBK"/>
          <w:b w:val="0"/>
          <w:sz w:val="24"/>
        </w:rPr>
        <w:t xml:space="preserve">从基期向后，各槽位容量、第三台状态、储能柜数和新增联络项目数逐年非减。每年的转接功率可以随负荷与设备状态调整。所有容量选择同时满足该年容载比控制范围、转供能力预算和技术约束。</w:t>
      </w:r>
    </w:p>
    <w:p>
      <w:pPr>
        <w:pStyle w:val="5"/>
        <w:keepNext/>
        <w:numPr>
          <w:numId w:val="0"/>
        </w:numPr>
        <w:spacing w:line="360" w:lineRule="auto" w:before="160" w:after="120"/>
        <w:ind w:firstLine="0"/>
      </w:pPr>
      <w:bookmarkStart w:id="164" w:name="全寿命费用目标"/>
      <w:r>
        <w:rPr>
          <w:rFonts w:ascii="Times New Roman" w:hAnsi="Times New Roman" w:eastAsia="方正仿宋_GBK"/>
          <w:b/>
          <w:sz w:val="26"/>
        </w:rPr>
        <w:t xml:space="preserve">5.3.2 全寿命费用目标</w:t>
      </w:r>
      <w:bookmarkEnd w:id="164"/>
    </w:p>
    <w:p>
      <w:pPr>
        <w:pStyle w:val="FirstParagraph"/>
        <w:widowControl/>
        <w:spacing w:line="300" w:lineRule="auto" w:before="0" w:after="0"/>
        <w:ind w:firstLine="480"/>
        <w:jc w:val="both"/>
      </w:pPr>
      <w:r>
        <w:rPr>
          <w:rFonts w:ascii="Times New Roman" w:hAnsi="Times New Roman" w:eastAsia="方正仿宋_GBK"/>
          <w:b w:val="0"/>
          <w:sz w:val="24"/>
        </w:rPr>
        <w:t xml:space="preserve">以新增措施全寿命费用现值最小为主目标。主变替换、第三台扩建、新增储能与联络项目按第四章规定的投运年份和评价期折算。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r>
                  <m:rPr>
                    <m:nor/>
                    <m:sty m:val="p"/>
                  </m:rPr>
                  <m:t>min</m:t>
                </m:r>
                <m:r>
                  <m:t>C</m:t>
                </m:r>
                <m:r>
                  <m:t>=</m:t>
                </m:r>
                <m:nary>
                  <m:naryPr>
                    <m:chr m:val="∑"/>
                    <m:limLoc m:val="undOvr"/>
                    <m:subHide m:val="0"/>
                    <m:supHide m:val="1"/>
                  </m:naryPr>
                  <m:sub>
                    <m:r>
                      <m:t>c</m:t>
                    </m:r>
                  </m:sub>
                  <m:sup>
                    <m:r>
                      <m:t>​</m:t>
                    </m:r>
                  </m:sup>
                  <m:e>
                    <m:nary>
                      <m:naryPr>
                        <m:chr m:val="∑"/>
                        <m:limLoc m:val="undOvr"/>
                        <m:subHide m:val="0"/>
                        <m:supHide m:val="1"/>
                      </m:naryPr>
                      <m:sub>
                        <m:r>
                          <m:t>s</m:t>
                        </m:r>
                      </m:sub>
                      <m:sup>
                        <m:r>
                          <m:t>​</m:t>
                        </m:r>
                      </m:sup>
                      <m:e>
                        <m:nary>
                          <m:naryPr>
                            <m:chr m:val="∑"/>
                            <m:limLoc m:val="undOvr"/>
                            <m:subHide m:val="0"/>
                            <m:supHide m:val="1"/>
                          </m:naryPr>
                          <m:sub>
                            <m:r>
                              <m:t>y</m:t>
                            </m:r>
                          </m:sub>
                          <m:sup>
                            <m:r>
                              <m:t>​</m:t>
                            </m:r>
                          </m:sup>
                          <m:e>
                            <m:d>
                              <m:dPr>
                                <m:begChr m:val="["/>
                                <m:endChr m:val="]"/>
                                <m:grow/>
                              </m:dPr>
                              <m:e>
                                <m:sSub>
                                  <m:e>
                                    <m:r>
                                      <m:t>A</m:t>
                                    </m:r>
                                  </m:e>
                                  <m:sub>
                                    <m:r>
                                      <m:t>T</m:t>
                                    </m:r>
                                  </m:sub>
                                </m:sSub>
                                <m:r>
                                  <m:t>(</m:t>
                                </m:r>
                                <m:r>
                                  <m:t>y</m:t>
                                </m:r>
                                <m:r>
                                  <m:t>)</m:t>
                                </m:r>
                                <m:sSub>
                                  <m:e>
                                    <m:r>
                                      <m:t>I</m:t>
                                    </m:r>
                                  </m:e>
                                  <m:sub>
                                    <m:r>
                                      <m:t>T</m:t>
                                    </m:r>
                                    <m:r>
                                      <m:t>,</m:t>
                                    </m:r>
                                    <m:r>
                                      <m:t>c</m:t>
                                    </m:r>
                                    <m:r>
                                      <m:t>,</m:t>
                                    </m:r>
                                    <m:r>
                                      <m:t>s</m:t>
                                    </m:r>
                                    <m:r>
                                      <m:t>,</m:t>
                                    </m:r>
                                    <m:r>
                                      <m:t>y</m:t>
                                    </m:r>
                                  </m:sub>
                                </m:sSub>
                                <m:r>
                                  <m:t>+</m:t>
                                </m:r>
                                <m:sSub>
                                  <m:e>
                                    <m:r>
                                      <m:t>A</m:t>
                                    </m:r>
                                  </m:e>
                                  <m:sub>
                                    <m:r>
                                      <m:t>B</m:t>
                                    </m:r>
                                  </m:sub>
                                </m:sSub>
                                <m:r>
                                  <m:t>(</m:t>
                                </m:r>
                                <m:r>
                                  <m:t>y</m:t>
                                </m:r>
                                <m:r>
                                  <m:t>)</m:t>
                                </m:r>
                                <m:sSub>
                                  <m:e>
                                    <m:r>
                                      <m:t>I</m:t>
                                    </m:r>
                                  </m:e>
                                  <m:sub>
                                    <m:r>
                                      <m:t>B</m:t>
                                    </m:r>
                                    <m:r>
                                      <m:t>,</m:t>
                                    </m:r>
                                    <m:r>
                                      <m:t>c</m:t>
                                    </m:r>
                                    <m:r>
                                      <m:t>,</m:t>
                                    </m:r>
                                    <m:r>
                                      <m:t>s</m:t>
                                    </m:r>
                                    <m:r>
                                      <m:t>,</m:t>
                                    </m:r>
                                    <m:r>
                                      <m:t>y</m:t>
                                    </m:r>
                                  </m:sub>
                                </m:sSub>
                                <m:r>
                                  <m:t>+</m:t>
                                </m:r>
                                <m:sSub>
                                  <m:e>
                                    <m:r>
                                      <m:t>A</m:t>
                                    </m:r>
                                  </m:e>
                                  <m:sub>
                                    <m:r>
                                      <m:t>L</m:t>
                                    </m:r>
                                  </m:sub>
                                </m:sSub>
                                <m:r>
                                  <m:t>(</m:t>
                                </m:r>
                                <m:r>
                                  <m:t>y</m:t>
                                </m:r>
                                <m:r>
                                  <m:t>)</m:t>
                                </m:r>
                                <m:sSub>
                                  <m:e>
                                    <m:r>
                                      <m:t>I</m:t>
                                    </m:r>
                                  </m:e>
                                  <m:sub>
                                    <m:r>
                                      <m:t>L</m:t>
                                    </m:r>
                                    <m:r>
                                      <m:t>,</m:t>
                                    </m:r>
                                    <m:r>
                                      <m:t>c</m:t>
                                    </m:r>
                                    <m:r>
                                      <m:t>,</m:t>
                                    </m:r>
                                    <m:r>
                                      <m:t>s</m:t>
                                    </m:r>
                                    <m:r>
                                      <m:t>,</m:t>
                                    </m:r>
                                    <m:r>
                                      <m:t>y</m:t>
                                    </m:r>
                                  </m:sub>
                                </m:sSub>
                              </m:e>
                            </m:d>
                          </m:e>
                        </m:nary>
                      </m:e>
                    </m:nary>
                  </m:e>
                </m:nary>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C</m:t>
        </m:r>
      </m:oMath>
      <w:r>
        <w:rPr>
          <w:rFonts w:ascii="Times New Roman" w:hAnsi="Times New Roman" w:eastAsia="方正仿宋_GBK"/>
          <w:b w:val="0"/>
          <w:sz w:val="24"/>
        </w:rPr>
        <w:t xml:space="preserve">为全寿命费用现值，单位万元；</w:t>
      </w:r>
      <m:oMath>
        <m:sSub>
          <m:e>
            <m:r>
              <m:t>I</m:t>
            </m:r>
          </m:e>
          <m:sub>
            <m:r>
              <m:t>T</m:t>
            </m:r>
            <m:r>
              <m:t>,</m:t>
            </m:r>
            <m:r>
              <m:t>c</m:t>
            </m:r>
            <m:r>
              <m:t>,</m:t>
            </m:r>
            <m:r>
              <m:t>s</m:t>
            </m:r>
            <m:r>
              <m:t>,</m:t>
            </m:r>
            <m:r>
              <m:t>y</m:t>
            </m:r>
          </m:sub>
        </m:sSub>
      </m:oMath>
      <w:r>
        <w:rPr>
          <w:rFonts w:ascii="Times New Roman" w:hAnsi="Times New Roman" w:eastAsia="方正仿宋_GBK"/>
          <w:b w:val="0"/>
          <w:sz w:val="24"/>
        </w:rPr>
        <w:t xml:space="preserve">、</w:t>
      </w:r>
      <m:oMath>
        <m:sSub>
          <m:e>
            <m:r>
              <m:t>I</m:t>
            </m:r>
          </m:e>
          <m:sub>
            <m:r>
              <m:t>B</m:t>
            </m:r>
            <m:r>
              <m:t>,</m:t>
            </m:r>
            <m:r>
              <m:t>c</m:t>
            </m:r>
            <m:r>
              <m:t>,</m:t>
            </m:r>
            <m:r>
              <m:t>s</m:t>
            </m:r>
            <m:r>
              <m:t>,</m:t>
            </m:r>
            <m:r>
              <m:t>y</m:t>
            </m:r>
          </m:sub>
        </m:sSub>
      </m:oMath>
      <w:r>
        <w:rPr>
          <w:rFonts w:ascii="Times New Roman" w:hAnsi="Times New Roman" w:eastAsia="方正仿宋_GBK"/>
          <w:b w:val="0"/>
          <w:sz w:val="24"/>
        </w:rPr>
        <w:t xml:space="preserve">、</w:t>
      </w:r>
      <m:oMath>
        <m:sSub>
          <m:e>
            <m:r>
              <m:t>I</m:t>
            </m:r>
          </m:e>
          <m:sub>
            <m:r>
              <m:t>L</m:t>
            </m:r>
            <m:r>
              <m:t>,</m:t>
            </m:r>
            <m:r>
              <m:t>c</m:t>
            </m:r>
            <m:r>
              <m:t>,</m:t>
            </m:r>
            <m:r>
              <m:t>s</m:t>
            </m:r>
            <m:r>
              <m:t>,</m:t>
            </m:r>
            <m:r>
              <m:t>y</m:t>
            </m:r>
          </m:sub>
        </m:sSub>
      </m:oMath>
      <w:r>
        <w:rPr>
          <w:rFonts w:ascii="Times New Roman" w:hAnsi="Times New Roman" w:eastAsia="方正仿宋_GBK"/>
          <w:b w:val="0"/>
          <w:sz w:val="24"/>
        </w:rPr>
        <w:t xml:space="preserve">分别为当年主变、储能及新增联络初始投资；</w:t>
      </w:r>
      <m:oMath>
        <m:sSub>
          <m:e>
            <m:r>
              <m:t>A</m:t>
            </m:r>
          </m:e>
          <m:sub>
            <m:r>
              <m:t>T</m:t>
            </m:r>
          </m:sub>
        </m:sSub>
        <m:r>
          <m:t>(</m:t>
        </m:r>
        <m:r>
          <m:t>y</m:t>
        </m:r>
        <m:r>
          <m:t>)</m:t>
        </m:r>
      </m:oMath>
      <w:r>
        <w:rPr>
          <w:rFonts w:ascii="Times New Roman" w:hAnsi="Times New Roman" w:eastAsia="方正仿宋_GBK"/>
          <w:b w:val="0"/>
          <w:sz w:val="24"/>
        </w:rPr>
        <w:t xml:space="preserve">、</w:t>
      </w:r>
      <m:oMath>
        <m:sSub>
          <m:e>
            <m:r>
              <m:t>A</m:t>
            </m:r>
          </m:e>
          <m:sub>
            <m:r>
              <m:t>B</m:t>
            </m:r>
          </m:sub>
        </m:sSub>
        <m:r>
          <m:t>(</m:t>
        </m:r>
        <m:r>
          <m:t>y</m:t>
        </m:r>
        <m:r>
          <m:t>)</m:t>
        </m:r>
      </m:oMath>
      <w:r>
        <w:rPr>
          <w:rFonts w:ascii="Times New Roman" w:hAnsi="Times New Roman" w:eastAsia="方正仿宋_GBK"/>
          <w:b w:val="0"/>
          <w:sz w:val="24"/>
        </w:rPr>
        <w:t xml:space="preserve">、</w:t>
      </w:r>
      <m:oMath>
        <m:sSub>
          <m:e>
            <m:r>
              <m:t>A</m:t>
            </m:r>
          </m:e>
          <m:sub>
            <m:r>
              <m:t>L</m:t>
            </m:r>
          </m:sub>
        </m:sSub>
        <m:r>
          <m:t>(</m:t>
        </m:r>
        <m:r>
          <m:t>y</m:t>
        </m:r>
        <m:r>
          <m:t>)</m:t>
        </m:r>
      </m:oMath>
      <w:r>
        <w:rPr>
          <w:rFonts w:ascii="Times New Roman" w:hAnsi="Times New Roman" w:eastAsia="方正仿宋_GBK"/>
          <w:b w:val="0"/>
          <w:sz w:val="24"/>
        </w:rPr>
        <w:t xml:space="preserve">为对应现值因子。替换费用按新购整台容量，第三台按独立扩建项目，储能按新增柜数，联络按当年新增项目数计取。</w:t>
      </w:r>
    </w:p>
    <w:p>
      <w:pPr>
        <w:pStyle w:val="2"/>
        <w:widowControl/>
        <w:spacing w:line="300" w:lineRule="auto" w:before="0" w:after="0"/>
        <w:ind w:firstLine="480"/>
        <w:jc w:val="both"/>
      </w:pPr>
      <w:r>
        <w:rPr>
          <w:rFonts w:ascii="Times New Roman" w:hAnsi="Times New Roman" w:eastAsia="方正仿宋_GBK"/>
          <w:b w:val="0"/>
          <w:sz w:val="24"/>
        </w:rPr>
        <w:t xml:space="preserve">既有联络利用产生的新增建设投资为零。新建线路的正投资通过费用目标与扩容、储能共同比较。配置更多主变可能减少储能柜数和持续支撑需求；增加联络能力可能使负荷转至有余量的站点。优化据此选择满足共同约束的组合。</w:t>
      </w:r>
    </w:p>
    <w:p>
      <w:pPr>
        <w:pStyle w:val="5"/>
        <w:keepNext/>
        <w:numPr>
          <w:numId w:val="0"/>
        </w:numPr>
        <w:spacing w:line="360" w:lineRule="auto" w:before="160" w:after="120"/>
        <w:ind w:firstLine="0"/>
      </w:pPr>
      <w:bookmarkStart w:id="165" w:name="分阶段求解"/>
      <w:r>
        <w:rPr>
          <w:rFonts w:ascii="Times New Roman" w:hAnsi="Times New Roman" w:eastAsia="方正仿宋_GBK"/>
          <w:b/>
          <w:sz w:val="26"/>
        </w:rPr>
        <w:t xml:space="preserve">5.3.3 分阶段求解</w:t>
      </w:r>
      <w:bookmarkEnd w:id="165"/>
    </w:p>
    <w:p>
      <w:pPr>
        <w:pStyle w:val="FirstParagraph"/>
        <w:widowControl/>
        <w:spacing w:line="300" w:lineRule="auto" w:before="0" w:after="0"/>
        <w:ind w:firstLine="480"/>
        <w:jc w:val="both"/>
      </w:pPr>
      <w:r>
        <w:rPr>
          <w:rFonts w:ascii="Times New Roman" w:hAnsi="Times New Roman" w:eastAsia="方正仿宋_GBK"/>
          <w:b w:val="0"/>
          <w:sz w:val="24"/>
        </w:rPr>
        <w:t xml:space="preserve">第一阶段联立邳州与市区的刚性、弹性模型，最小化全寿命费用。每种方案均可选增容、储能和10 kV联络。求解器返回费用上界、下界与最优性间隙，用于判断计算精度。</w:t>
      </w:r>
    </w:p>
    <w:p>
      <w:pPr>
        <w:pStyle w:val="2"/>
        <w:widowControl/>
        <w:spacing w:line="300" w:lineRule="auto" w:before="0" w:after="0"/>
        <w:ind w:firstLine="480"/>
        <w:jc w:val="both"/>
      </w:pPr>
      <w:r>
        <w:rPr>
          <w:rFonts w:ascii="Times New Roman" w:hAnsi="Times New Roman" w:eastAsia="方正仿宋_GBK"/>
          <w:b w:val="0"/>
          <w:sz w:val="24"/>
        </w:rPr>
        <w:t xml:space="preserve">第二阶段在第一阶段所选费用上界加0.001万元数值容差内，固定所选刚性整数布局，优选两区县弹性年度容载比之和。该阶段确定同费用范围内的代表配置。</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r>
                  <m:t>C</m:t>
                </m:r>
                <m:r>
                  <m:t>≤</m:t>
                </m:r>
                <m:sSup>
                  <m:e>
                    <m:r>
                      <m:t>C</m:t>
                    </m:r>
                  </m:e>
                  <m:sup>
                    <m:r>
                      <m:t>*</m:t>
                    </m:r>
                  </m:sup>
                </m:sSup>
                <m:r>
                  <m:t>+</m:t>
                </m:r>
                <m:r>
                  <m:t>0.001</m:t>
                </m:r>
                <m:r>
                  <m:t>,</m:t>
                </m:r>
                <m:r>
                  <m:t>  </m:t>
                </m:r>
                <m:r>
                  <m:rPr>
                    <m:nor/>
                    <m:sty m:val="p"/>
                  </m:rPr>
                  <m:t>max</m:t>
                </m:r>
                <m:nary>
                  <m:naryPr>
                    <m:chr m:val="∑"/>
                    <m:limLoc m:val="undOvr"/>
                    <m:subHide m:val="0"/>
                    <m:supHide m:val="1"/>
                  </m:naryPr>
                  <m:sub>
                    <m:r>
                      <m:t>c</m:t>
                    </m:r>
                  </m:sub>
                  <m:sup>
                    <m:r>
                      <m:t>​</m:t>
                    </m:r>
                  </m:sup>
                  <m:e>
                    <m:nary>
                      <m:naryPr>
                        <m:chr m:val="∑"/>
                        <m:limLoc m:val="undOvr"/>
                        <m:subHide m:val="0"/>
                        <m:supHide m:val="1"/>
                      </m:naryPr>
                      <m:sub>
                        <m:r>
                          <m:t>y</m:t>
                        </m:r>
                      </m:sub>
                      <m:sup>
                        <m:r>
                          <m:t>​</m:t>
                        </m:r>
                      </m:sup>
                      <m:e>
                        <m:sSub>
                          <m:e>
                            <m:r>
                              <m:t>R</m:t>
                            </m:r>
                          </m:e>
                          <m:sub>
                            <m:r>
                              <m:t>c</m:t>
                            </m:r>
                            <m:r>
                              <m:t>,</m:t>
                            </m:r>
                            <m:r>
                              <m:rPr>
                                <m:sty m:val="p"/>
                              </m:rPr>
                              <m:t>e</m:t>
                            </m:r>
                            <m:r>
                              <m:rPr>
                                <m:sty m:val="p"/>
                              </m:rPr>
                              <m:t>l</m:t>
                            </m:r>
                            <m:r>
                              <m:rPr>
                                <m:sty m:val="p"/>
                              </m:rPr>
                              <m:t>a</m:t>
                            </m:r>
                            <m:r>
                              <m:rPr>
                                <m:sty m:val="p"/>
                              </m:rPr>
                              <m:t>s</m:t>
                            </m:r>
                            <m:r>
                              <m:rPr>
                                <m:sty m:val="p"/>
                              </m:rPr>
                              <m:t>t</m:t>
                            </m:r>
                            <m:r>
                              <m:rPr>
                                <m:sty m:val="p"/>
                              </m:rPr>
                              <m:t>i</m:t>
                            </m:r>
                            <m:r>
                              <m:rPr>
                                <m:sty m:val="p"/>
                              </m:rPr>
                              <m:t>c</m:t>
                            </m:r>
                            <m:r>
                              <m:t>,</m:t>
                            </m:r>
                            <m:r>
                              <m:t>y</m:t>
                            </m:r>
                          </m:sub>
                        </m:sSub>
                      </m:e>
                    </m:nary>
                  </m:e>
                </m:nary>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p>
          <m:e>
            <m:r>
              <m:t>C</m:t>
            </m:r>
          </m:e>
          <m:sup>
            <m:r>
              <m:t>*</m:t>
            </m:r>
          </m:sup>
        </m:sSup>
      </m:oMath>
      <w:r>
        <w:rPr>
          <w:rFonts w:ascii="Times New Roman" w:hAnsi="Times New Roman" w:eastAsia="方正仿宋_GBK"/>
          <w:b w:val="0"/>
          <w:sz w:val="24"/>
        </w:rPr>
        <w:t xml:space="preserve">为第一阶段取得的费用上界。第二阶段保留全部技术约束；其容载比偏好范围以所选刚性布局为条件。</w:t>
      </w:r>
    </w:p>
    <w:p>
      <w:pPr>
        <w:pStyle w:val="2"/>
        <w:widowControl/>
        <w:spacing w:line="300" w:lineRule="auto" w:before="0" w:after="0"/>
        <w:ind w:firstLine="480"/>
        <w:jc w:val="both"/>
      </w:pPr>
      <w:r>
        <w:rPr>
          <w:rFonts w:ascii="Times New Roman" w:hAnsi="Times New Roman" w:eastAsia="方正仿宋_GBK"/>
          <w:b w:val="0"/>
          <w:sz w:val="24"/>
        </w:rPr>
        <w:t xml:space="preserve">第三阶段固定全部整数设备状态，最小化维持该配置所需的连续转接量。</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r>
                  <m:rPr>
                    <m:nor/>
                    <m:sty m:val="p"/>
                  </m:rPr>
                  <m:t>min</m:t>
                </m:r>
                <m:nary>
                  <m:naryPr>
                    <m:chr m:val="∑"/>
                    <m:limLoc m:val="undOvr"/>
                    <m:subHide m:val="0"/>
                    <m:supHide m:val="1"/>
                  </m:naryPr>
                  <m:sub>
                    <m:r>
                      <m:t>c</m:t>
                    </m:r>
                  </m:sub>
                  <m:sup>
                    <m:r>
                      <m:t>​</m:t>
                    </m:r>
                  </m:sup>
                  <m:e>
                    <m:nary>
                      <m:naryPr>
                        <m:chr m:val="∑"/>
                        <m:limLoc m:val="undOvr"/>
                        <m:subHide m:val="0"/>
                        <m:supHide m:val="1"/>
                      </m:naryPr>
                      <m:sub>
                        <m:r>
                          <m:t>s</m:t>
                        </m:r>
                      </m:sub>
                      <m:sup>
                        <m:r>
                          <m:t>​</m:t>
                        </m:r>
                      </m:sup>
                      <m:e>
                        <m:nary>
                          <m:naryPr>
                            <m:chr m:val="∑"/>
                            <m:limLoc m:val="undOvr"/>
                            <m:subHide m:val="0"/>
                            <m:supHide m:val="1"/>
                          </m:naryPr>
                          <m:sub>
                            <m:r>
                              <m:t>y</m:t>
                            </m:r>
                          </m:sub>
                          <m:sup>
                            <m:r>
                              <m:t>​</m:t>
                            </m:r>
                          </m:sup>
                          <m:e>
                            <m:nary>
                              <m:naryPr>
                                <m:chr m:val="∑"/>
                                <m:limLoc m:val="undOvr"/>
                                <m:subHide m:val="0"/>
                                <m:supHide m:val="1"/>
                              </m:naryPr>
                              <m:sub>
                                <m:r>
                                  <m:t>i</m:t>
                                </m:r>
                              </m:sub>
                              <m:sup>
                                <m:r>
                                  <m:t>​</m:t>
                                </m:r>
                              </m:sup>
                              <m:e>
                                <m:sSubSup>
                                  <m:e>
                                    <m:r>
                                      <m:t>Q</m:t>
                                    </m:r>
                                  </m:e>
                                  <m:sub>
                                    <m:r>
                                      <m:t>c</m:t>
                                    </m:r>
                                    <m:r>
                                      <m:t>,</m:t>
                                    </m:r>
                                    <m:r>
                                      <m:t>s</m:t>
                                    </m:r>
                                    <m:r>
                                      <m:t>,</m:t>
                                    </m:r>
                                    <m:r>
                                      <m:t>i</m:t>
                                    </m:r>
                                    <m:r>
                                      <m:t>,</m:t>
                                    </m:r>
                                    <m:r>
                                      <m:t>y</m:t>
                                    </m:r>
                                  </m:sub>
                                  <m:sup>
                                    <m:r>
                                      <m:rPr>
                                        <m:sty m:val="p"/>
                                      </m:rPr>
                                      <m:t>o</m:t>
                                    </m:r>
                                    <m:r>
                                      <m:rPr>
                                        <m:sty m:val="p"/>
                                      </m:rPr>
                                      <m:t>u</m:t>
                                    </m:r>
                                    <m:r>
                                      <m:rPr>
                                        <m:sty m:val="p"/>
                                      </m:rPr>
                                      <m:t>t</m:t>
                                    </m:r>
                                  </m:sup>
                                </m:sSubSup>
                              </m:e>
                            </m:nary>
                          </m:e>
                        </m:nary>
                      </m:e>
                    </m:nary>
                  </m:e>
                </m:nary>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三个阶段分别回答需要多少费用、在该费用条件下选择哪组容量、维持所选设备需要多少负荷转接。费用阶段按1%、容量偏好阶段按0.5%最优性间隙控制，固定布局后的转接阶段采用线性规划求解。</w:t>
      </w:r>
    </w:p>
    <w:p>
      <w:pPr>
        <w:pStyle w:val="2"/>
        <w:keepNext/>
        <w:spacing w:line="300" w:lineRule="auto" w:before="120" w:after="80"/>
        <w:ind w:firstLine="0"/>
        <w:jc w:val="center"/>
      </w:pPr>
      <w:r>
        <w:rPr>
          <w:rFonts w:ascii="Times New Roman" w:hAnsi="Times New Roman" w:eastAsia="宋体"/>
          <w:b w:val="0"/>
          <w:sz w:val="21"/>
        </w:rPr>
        <w:t xml:space="preserve">表5-3 分阶段求解精度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阶段</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计算目标</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最优性间隙</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耗时/s</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全寿命费用</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78.5</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弹性容载比偏好</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0.4994%</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702.6</w:t>
            </w:r>
          </w:p>
        </w:tc>
      </w:tr>
      <w:tr>
        <w:trPr>
          <w:cantSplit/>
        </w:trPr>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固定布局转接量</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w:t>
            </w:r>
          </w:p>
        </w:tc>
        <w:tc>
          <w:tcPr>
            <w:tcW w:type="dxa" w:w="207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r>
    </w:tbl>
    <w:p>
      <w:bookmarkStart w:id="1456" w:name="h456"/>
      <w:pPr>
        <w:pStyle w:val="4"/>
        <w:keepNext/>
        <w:numPr>
          <w:numId w:val="0"/>
        </w:numPr>
        <w:spacing w:line="360" w:lineRule="auto" w:before="160" w:after="120"/>
        <w:ind w:firstLine="0"/>
      </w:pPr>
      <w:bookmarkStart w:id="166" w:name="寻优结果"/>
      <w:r>
        <w:rPr>
          <w:rFonts w:ascii="Times New Roman" w:hAnsi="Times New Roman" w:eastAsia="方正仿宋_GBK"/>
          <w:b/>
          <w:sz w:val="32"/>
        </w:rPr>
        <w:t xml:space="preserve">5.4 寻优结果</w:t>
      </w:r>
      <w:bookmarkEnd w:id="166"/>
      <w:bookmarkEnd w:id="1456"/>
    </w:p>
    <w:p>
      <w:pPr>
        <w:pStyle w:val="5"/>
        <w:keepNext/>
        <w:numPr>
          <w:numId w:val="0"/>
        </w:numPr>
        <w:spacing w:line="360" w:lineRule="auto" w:before="160" w:after="120"/>
        <w:ind w:firstLine="0"/>
      </w:pPr>
      <w:bookmarkStart w:id="167" w:name="邳州逐年方案"/>
      <w:r>
        <w:rPr>
          <w:rFonts w:ascii="Times New Roman" w:hAnsi="Times New Roman" w:eastAsia="方正仿宋_GBK"/>
          <w:b/>
          <w:sz w:val="26"/>
        </w:rPr>
        <w:t xml:space="preserve">5.4.1 邳州逐年方案</w:t>
      </w:r>
      <w:bookmarkEnd w:id="167"/>
    </w:p>
    <w:p>
      <w:pPr>
        <w:pStyle w:val="FirstParagraph"/>
        <w:widowControl/>
        <w:spacing w:line="300" w:lineRule="auto" w:before="0" w:after="0"/>
        <w:ind w:firstLine="480"/>
        <w:jc w:val="both"/>
      </w:pPr>
      <w:r>
        <w:rPr>
          <w:rFonts w:ascii="Times New Roman" w:hAnsi="Times New Roman" w:eastAsia="方正仿宋_GBK"/>
          <w:b w:val="0"/>
          <w:sz w:val="24"/>
        </w:rPr>
        <w:t xml:space="preserve">邳州采用20站结构，初始转供率为28.2879%，后续负荷按年负荷平均增长率8.0742%推演。增容、储能与联络在同一约束条件下选取，年度表分别列出主变在役容量、当年采购容量、新增储能和转接量。</w:t>
      </w:r>
    </w:p>
    <w:p>
      <w:pPr>
        <w:pStyle w:val="2"/>
        <w:widowControl/>
        <w:spacing w:line="300" w:lineRule="auto" w:before="0" w:after="0"/>
        <w:ind w:firstLine="480"/>
        <w:jc w:val="both"/>
      </w:pPr>
      <w:r>
        <w:rPr>
          <w:rFonts w:ascii="Times New Roman" w:hAnsi="Times New Roman" w:eastAsia="方正仿宋_GBK"/>
          <w:b w:val="0"/>
          <w:sz w:val="24"/>
        </w:rPr>
        <w:t xml:space="preserve">邳州刚性方案第1—4年容载比分别为1.9992、1.9902、1.9947、1.9574，弹性方案分别为2.5264、2.3863、2.2946、2.2118。刚性全寿命费用现值为109582.71万元，弹性为23079.09万元。各年结果由相应主变、储能和转接配置形成。</w:t>
      </w:r>
    </w:p>
    <w:p>
      <w:pPr>
        <w:pStyle w:val="2"/>
        <w:keepNext/>
        <w:spacing w:line="300" w:lineRule="auto" w:before="120" w:after="80"/>
        <w:ind w:firstLine="0"/>
        <w:jc w:val="center"/>
      </w:pPr>
      <w:r>
        <w:rPr>
          <w:rFonts w:ascii="Times New Roman" w:hAnsi="Times New Roman" w:eastAsia="宋体"/>
          <w:b w:val="0"/>
          <w:sz w:val="21"/>
        </w:rPr>
        <w:t xml:space="preserve">表5-4 邳州刚性方案逐年措施及容载比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790.833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1581.0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117.5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220.5</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253.0/543.950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110.743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1.9992</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854.687</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1701.0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0.1/0.215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98.689</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1.9902</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923.696</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1842.5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181.5</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98.818</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1.9947</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998.277</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1954.0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131.5</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131.247</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1.9574</w:t>
            </w:r>
          </w:p>
        </w:tc>
      </w:tr>
    </w:tbl>
    <w:p>
      <w:pPr>
        <w:pStyle w:val="2"/>
        <w:keepNext/>
        <w:spacing w:line="300" w:lineRule="auto" w:before="120" w:after="80"/>
        <w:ind w:firstLine="0"/>
        <w:jc w:val="center"/>
      </w:pPr>
      <w:r>
        <w:rPr>
          <w:rFonts w:ascii="Times New Roman" w:hAnsi="Times New Roman" w:eastAsia="宋体"/>
          <w:b w:val="0"/>
          <w:sz w:val="21"/>
        </w:rPr>
        <w:t xml:space="preserve">表5-5 邳州弹性方案逐年措施及容载比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790.833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1998.0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534.5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689.0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90.302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2.5264</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854.687</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2039.5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81.5</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99.253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2.3863</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923.696</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2119.5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107.558</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2.2946</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998.277</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2208.0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88.5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2.8/6.020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128.931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2.2118</w:t>
            </w:r>
          </w:p>
        </w:tc>
      </w:tr>
    </w:tbl>
    <w:p>
      <w:pPr>
        <w:pStyle w:val="5"/>
        <w:keepNext/>
        <w:numPr>
          <w:numId w:val="0"/>
        </w:numPr>
        <w:spacing w:line="360" w:lineRule="auto" w:before="160" w:after="120"/>
        <w:ind w:firstLine="0"/>
      </w:pPr>
      <w:bookmarkStart w:id="168" w:name="市区逐年方案"/>
      <w:r>
        <w:rPr>
          <w:rFonts w:ascii="Times New Roman" w:hAnsi="Times New Roman" w:eastAsia="方正仿宋_GBK"/>
          <w:b/>
          <w:sz w:val="26"/>
        </w:rPr>
        <w:t xml:space="preserve">5.4.2 市区逐年方案</w:t>
      </w:r>
      <w:bookmarkEnd w:id="168"/>
    </w:p>
    <w:p>
      <w:pPr>
        <w:pStyle w:val="FirstParagraph"/>
        <w:widowControl/>
        <w:spacing w:line="300" w:lineRule="auto" w:before="0" w:after="0"/>
        <w:ind w:firstLine="480"/>
        <w:jc w:val="both"/>
      </w:pPr>
      <w:r>
        <w:rPr>
          <w:rFonts w:ascii="Times New Roman" w:hAnsi="Times New Roman" w:eastAsia="方正仿宋_GBK"/>
          <w:b w:val="0"/>
          <w:sz w:val="24"/>
        </w:rPr>
        <w:t xml:space="preserve">市区采用29站结构，供电区域统一按A类规划，初始转供率假定为50%，后续负荷按年负荷平均增长率1.8000%推演。退出工况校核全部转接后负荷，新增联络可使站级能力提高至研究上限。</w:t>
      </w:r>
    </w:p>
    <w:p>
      <w:pPr>
        <w:pStyle w:val="2"/>
        <w:widowControl/>
        <w:spacing w:line="300" w:lineRule="auto" w:before="0" w:after="0"/>
        <w:ind w:firstLine="480"/>
        <w:jc w:val="both"/>
      </w:pPr>
      <w:r>
        <w:rPr>
          <w:rFonts w:ascii="Times New Roman" w:hAnsi="Times New Roman" w:eastAsia="方正仿宋_GBK"/>
          <w:b w:val="0"/>
          <w:sz w:val="24"/>
        </w:rPr>
        <w:t xml:space="preserve">市区刚性方案第1—4年容载比分别为1.9934、1.9840、1.9874、1.9523，弹性方案分别为2.2838、2.2434、2.2500、2.2102。刚性全寿命费用现值为98983.58万元，弹性为12604.54万元。各年结果由相应主变、储能和转接配置形成。</w:t>
      </w:r>
    </w:p>
    <w:p>
      <w:pPr>
        <w:pStyle w:val="2"/>
        <w:keepNext/>
        <w:spacing w:line="300" w:lineRule="auto" w:before="120" w:after="80"/>
        <w:ind w:firstLine="0"/>
        <w:jc w:val="center"/>
      </w:pPr>
      <w:r>
        <w:rPr>
          <w:rFonts w:ascii="Times New Roman" w:hAnsi="Times New Roman" w:eastAsia="宋体"/>
          <w:b w:val="0"/>
          <w:sz w:val="21"/>
        </w:rPr>
        <w:t xml:space="preserve">表5-6 市区刚性方案逐年措施及容载比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1253.158</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2498.0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249.2/535.780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347.113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1.9934</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1275.715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2531.0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33.0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113.0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363.596</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1.9840</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1298.679</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2581.0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0.1/0.215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380.770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1.9874</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1322.055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2581.0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398.792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1.9523</w:t>
            </w:r>
          </w:p>
        </w:tc>
      </w:tr>
    </w:tbl>
    <w:p>
      <w:pPr>
        <w:pStyle w:val="2"/>
        <w:keepNext/>
        <w:spacing w:line="300" w:lineRule="auto" w:before="120" w:after="80"/>
        <w:ind w:firstLine="0"/>
        <w:jc w:val="center"/>
      </w:pPr>
      <w:r>
        <w:rPr>
          <w:rFonts w:ascii="Times New Roman" w:hAnsi="Times New Roman" w:eastAsia="宋体"/>
          <w:b w:val="0"/>
          <w:sz w:val="21"/>
        </w:rPr>
        <w:t xml:space="preserve">表5-7 市区弹性方案逐年措施及容载比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1253.158</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2862.0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364.572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2.2838</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1275.715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2862.0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375.675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2.2434</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1298.679</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2922.0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386.453</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2.2500</w:t>
            </w:r>
          </w:p>
        </w:tc>
      </w:tr>
      <w:tr>
        <w:trPr>
          <w:cantSplit/>
        </w:trPr>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1322.055</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2922.0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w:t>
            </w:r>
          </w:p>
        </w:tc>
        <w:tc>
          <w:tcPr>
            <w:tcW w:type="dxa" w:w="127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398.984</w:t>
            </w:r>
          </w:p>
        </w:tc>
        <w:tc>
          <w:tcPr>
            <w:tcW w:type="dxa" w:w="880"/>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2.2102</w:t>
            </w:r>
          </w:p>
        </w:tc>
      </w:tr>
    </w:tbl>
    <w:p>
      <w:pPr>
        <w:pStyle w:val="2"/>
        <w:keepNext/>
        <w:spacing w:line="240" w:lineRule="auto" w:before="120" w:after="0"/>
        <w:ind w:firstLine="0"/>
        <w:jc w:val="center"/>
      </w:pPr>
      <w:r>
        <w:drawing>
          <wp:inline>
            <wp:extent cx="5120640" cy="290081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annual_clr.png" id="0" name="Picture"/>
                    <pic:cNvPicPr>
                      <a:picLocks noChangeArrowheads="1" noChangeAspect="1"/>
                    </pic:cNvPicPr>
                  </pic:nvPicPr>
                  <pic:blipFill>
                    <a:blip r:embed="rId169"/>
                    <a:stretch>
                      <a:fillRect/>
                    </a:stretch>
                  </pic:blipFill>
                  <pic:spPr bwMode="auto">
                    <a:xfrm>
                      <a:off x="0" y="0"/>
                      <a:ext cx="5120640" cy="290081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图5-1 邳州和市区逐年容载比</w:t>
      </w:r>
    </w:p>
    <w:p>
      <w:pPr>
        <w:pStyle w:val="5"/>
        <w:keepNext/>
        <w:numPr>
          <w:numId w:val="0"/>
        </w:numPr>
        <w:spacing w:line="360" w:lineRule="auto" w:before="160" w:after="120"/>
        <w:ind w:firstLine="0"/>
      </w:pPr>
      <w:bookmarkStart w:id="170" w:name="刚性与弹性方案的对比"/>
      <w:r>
        <w:rPr>
          <w:rFonts w:ascii="Times New Roman" w:hAnsi="Times New Roman" w:eastAsia="方正仿宋_GBK"/>
          <w:b/>
          <w:sz w:val="26"/>
        </w:rPr>
        <w:t xml:space="preserve">5.4.3 刚性与弹性方案的对比</w:t>
      </w:r>
      <w:bookmarkEnd w:id="170"/>
    </w:p>
    <w:p>
      <w:pPr>
        <w:pStyle w:val="FirstParagraph"/>
        <w:widowControl/>
        <w:spacing w:line="300" w:lineRule="auto" w:before="0" w:after="0"/>
        <w:ind w:firstLine="480"/>
        <w:jc w:val="both"/>
      </w:pPr>
      <w:r>
        <w:rPr>
          <w:rFonts w:ascii="Times New Roman" w:hAnsi="Times New Roman" w:eastAsia="方正仿宋_GBK"/>
          <w:b w:val="0"/>
          <w:sz w:val="24"/>
        </w:rPr>
        <w:t xml:space="preserve">费用比较按相同起点、价格和评价期进行。主变采购容量反映整台购置，主变净增容量反映在役规模变化，储能MW/MWh分别反映功率与能量配置。转接功率与联络项目数量分别用于说明负荷调整和新增建设。</w:t>
      </w:r>
    </w:p>
    <w:p>
      <w:pPr>
        <w:pStyle w:val="2"/>
        <w:keepNext/>
        <w:spacing w:line="300" w:lineRule="auto" w:before="120" w:after="80"/>
        <w:ind w:firstLine="0"/>
        <w:jc w:val="center"/>
      </w:pPr>
      <w:r>
        <w:rPr>
          <w:rFonts w:ascii="Times New Roman" w:hAnsi="Times New Roman" w:eastAsia="宋体"/>
          <w:b w:val="0"/>
          <w:sz w:val="21"/>
        </w:rPr>
        <w:t xml:space="preserve">表5-8 刚性与弹性容载比逐年对照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刚性容载比</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弹性容载比</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弹性与刚性差值</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1.9992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2.5264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0.5273</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1.9902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2.3863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0.3961</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1.9947</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2.2946</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0.2999</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1.9574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2.2118</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0.2544</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1.9934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2.2838</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0.2905</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1.9840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2.2434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0.2595</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1.9874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2.2500</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0.2626</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1.9523</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2.2102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0.2579</w:t>
            </w:r>
          </w:p>
        </w:tc>
      </w:tr>
    </w:tbl>
    <w:p>
      <w:pPr>
        <w:pStyle w:val="2"/>
        <w:widowControl/>
        <w:spacing w:line="300" w:lineRule="auto" w:before="0" w:after="0"/>
        <w:ind w:firstLine="480"/>
        <w:jc w:val="both"/>
      </w:pPr>
      <w:r>
        <w:rPr>
          <w:rFonts w:ascii="Times New Roman" w:hAnsi="Times New Roman" w:eastAsia="方正仿宋_GBK"/>
          <w:b w:val="0"/>
          <w:sz w:val="24"/>
        </w:rPr>
        <w:t xml:space="preserve">两地区刚性方案新增措施全寿命费用现值合计208566.29万元，弹性合计35683.63万元。弹性较刚性费用降低82.89%。费用差由所选主变、储能和联络工程的投资、运维及更新共同形成。</w:t>
      </w:r>
    </w:p>
    <w:p>
      <w:pPr>
        <w:pStyle w:val="2"/>
        <w:keepNext/>
        <w:spacing w:line="300" w:lineRule="auto" w:before="120" w:after="80"/>
        <w:ind w:firstLine="0"/>
        <w:jc w:val="center"/>
      </w:pPr>
      <w:r>
        <w:rPr>
          <w:rFonts w:ascii="Times New Roman" w:hAnsi="Times New Roman" w:eastAsia="宋体"/>
          <w:b w:val="0"/>
          <w:sz w:val="21"/>
        </w:rPr>
        <w:t xml:space="preserve">表5-9 刚性与弹性方案全寿命费用现值比较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刚性/万元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差额/万元</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弹性费用降幅</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109582.71</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23079.09</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86503.62</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78.94%</w:t>
            </w:r>
          </w:p>
        </w:tc>
      </w:tr>
      <w:tr>
        <w:trPr>
          <w:cantSplit/>
        </w:trPr>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98983.58</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12604.54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86379.04</w:t>
            </w:r>
          </w:p>
        </w:tc>
        <w:tc>
          <w:tcPr>
            <w:tcW w:type="dxa" w:w="1662"/>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87.27%</w:t>
            </w:r>
          </w:p>
        </w:tc>
      </w:tr>
    </w:tbl>
    <w:p>
      <w:pPr>
        <w:pStyle w:val="2"/>
        <w:keepNext/>
        <w:spacing w:line="300" w:lineRule="auto" w:before="120" w:after="80"/>
        <w:ind w:firstLine="0"/>
        <w:jc w:val="center"/>
      </w:pPr>
      <w:r>
        <w:rPr>
          <w:rFonts w:ascii="Times New Roman" w:hAnsi="Times New Roman" w:eastAsia="宋体"/>
          <w:b w:val="0"/>
          <w:sz w:val="21"/>
        </w:rPr>
        <w:t xml:space="preserve">表5-10 全寿命费用按工程类型分解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线路/万元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13009.15</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95130.53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1443.03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109582.71</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20885.79</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868.91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1324.38</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23079.09</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5171.54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93700.04</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112.00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98983.58</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12163.21</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441.33</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12604.54</w:t>
            </w:r>
          </w:p>
        </w:tc>
      </w:tr>
    </w:tbl>
    <w:p>
      <w:pPr>
        <w:pStyle w:val="2"/>
        <w:keepNext/>
        <w:spacing w:line="300" w:lineRule="auto" w:before="120" w:after="80"/>
        <w:ind w:firstLine="0"/>
        <w:jc w:val="center"/>
      </w:pPr>
      <w:r>
        <w:rPr>
          <w:rFonts w:ascii="Times New Roman" w:hAnsi="Times New Roman" w:eastAsia="宋体"/>
          <w:b w:val="0"/>
          <w:sz w:val="21"/>
        </w:rPr>
        <w:t xml:space="preserve">表5-11 全期采购和第4年在役状态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289"/>
        <w:gridCol w:w="1289"/>
        <w:gridCol w:w="1868"/>
        <w:gridCol w:w="1289"/>
      </w:tblGrid>
      <w:tr>
        <w:trPr>
          <w:cantSplit/>
          <w:tblHeader/>
        </w:trPr>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主变采购/MVA</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第三台/项</w:t>
            </w:r>
          </w:p>
        </w:tc>
        <w:tc>
          <w:tcPr>
            <w:tcW w:type="dxa" w:w="1868"/>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新增联络/项</w:t>
            </w:r>
          </w:p>
        </w:tc>
      </w:tr>
      <w:tr>
        <w:trPr>
          <w:cantSplit/>
        </w:trPr>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673.5</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6</w:t>
            </w:r>
          </w:p>
        </w:tc>
        <w:tc>
          <w:tcPr>
            <w:tcW w:type="dxa" w:w="186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253.1/544.165</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r>
      <w:tr>
        <w:trPr>
          <w:cantSplit/>
        </w:trPr>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1010.5</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86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2.8/6.020</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r>
      <w:tr>
        <w:trPr>
          <w:cantSplit/>
        </w:trPr>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289.0</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86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249.3/535.995</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r>
      <w:tr>
        <w:trPr>
          <w:cantSplit/>
        </w:trPr>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500.0</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w:t>
            </w:r>
          </w:p>
        </w:tc>
        <w:tc>
          <w:tcPr>
            <w:tcW w:type="dxa" w:w="1868"/>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r>
    </w:tbl>
    <w:p>
      <w:pPr>
        <w:pStyle w:val="2"/>
        <w:keepNext/>
        <w:spacing w:line="300" w:lineRule="auto" w:before="120" w:after="80"/>
        <w:ind w:firstLine="0"/>
        <w:jc w:val="center"/>
      </w:pPr>
      <w:r>
        <w:rPr>
          <w:rFonts w:ascii="Times New Roman" w:hAnsi="Times New Roman" w:eastAsia="宋体"/>
          <w:b w:val="0"/>
          <w:sz w:val="21"/>
        </w:rPr>
        <w:t xml:space="preserve">表5-12 刚性与弹性方案的技术经济比较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比较内容</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刚性方案</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弹性方案</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仿真起点</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同区县容载比2.0</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同区县容载比2.0</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指标条件</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各年不超过2.0</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各年2.001～2.6</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技术条件</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正常、反向、全负荷单台退出、持续在役及转供守恒</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与刚性相同</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增容、储能及联络</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三类措施共同寻优</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三类措施共同寻优</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第4年两地区在役储能</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502.4 MW/1080.160 MWh</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2.8 MW/6.020 MWh</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新增措施全寿命费用现值</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208566.29万元</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35683.63万元</w:t>
            </w:r>
          </w:p>
        </w:tc>
      </w:tr>
      <w:tr>
        <w:trPr>
          <w:cantSplit/>
        </w:trPr>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推荐判断</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作为比较基准</w:t>
            </w:r>
          </w:p>
        </w:tc>
        <w:tc>
          <w:tcPr>
            <w:tcW w:type="dxa" w:w="2771"/>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费用降低82.89%，优先采用</w:t>
            </w:r>
          </w:p>
        </w:tc>
      </w:tr>
    </w:tbl>
    <w:p>
      <w:pPr>
        <w:pStyle w:val="2"/>
        <w:widowControl/>
        <w:spacing w:line="300" w:lineRule="auto" w:before="0" w:after="0"/>
        <w:ind w:firstLine="480"/>
        <w:jc w:val="both"/>
      </w:pPr>
      <w:r>
        <w:rPr>
          <w:rFonts w:ascii="Times New Roman" w:hAnsi="Times New Roman" w:eastAsia="方正仿宋_GBK"/>
          <w:b w:val="0"/>
          <w:sz w:val="24"/>
        </w:rPr>
        <w:t xml:space="preserve">在相同技术校核、负荷和价格条件下，弹性方案提高主变配置，减少退出工况所需储能，两地区新增措施全寿命费用现值降低82.89%，经济性优于刚性。刚性方案保留为规划比较基准，后续建议以弹性指标及其设备组合开展比选。</w:t>
      </w:r>
    </w:p>
    <w:p>
      <w:pPr>
        <w:pStyle w:val="2"/>
        <w:keepNext/>
        <w:spacing w:line="240" w:lineRule="auto" w:before="120" w:after="0"/>
        <w:ind w:firstLine="0"/>
        <w:jc w:val="center"/>
      </w:pPr>
      <w:r>
        <w:drawing>
          <wp:inline>
            <wp:extent cx="5120640" cy="285924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lifecycle_components.png" id="0" name="Picture"/>
                    <pic:cNvPicPr>
                      <a:picLocks noChangeArrowheads="1" noChangeAspect="1"/>
                    </pic:cNvPicPr>
                  </pic:nvPicPr>
                  <pic:blipFill>
                    <a:blip r:embed="rId171"/>
                    <a:stretch>
                      <a:fillRect/>
                    </a:stretch>
                  </pic:blipFill>
                  <pic:spPr bwMode="auto">
                    <a:xfrm>
                      <a:off x="0" y="0"/>
                      <a:ext cx="5120640" cy="285924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图5-2 各规划方案全寿命费用构成</w:t>
      </w:r>
    </w:p>
    <w:p>
      <w:pPr>
        <w:pStyle w:val="2"/>
        <w:keepNext/>
        <w:spacing w:line="240" w:lineRule="auto" w:before="120" w:after="0"/>
        <w:ind w:firstLine="0"/>
        <w:jc w:val="center"/>
      </w:pPr>
      <w:r>
        <w:drawing>
          <wp:inline>
            <wp:extent cx="5120640" cy="273565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1甲方修订/measure_comparison.png" id="0" name="Picture"/>
                    <pic:cNvPicPr>
                      <a:picLocks noChangeArrowheads="1" noChangeAspect="1"/>
                    </pic:cNvPicPr>
                  </pic:nvPicPr>
                  <pic:blipFill>
                    <a:blip r:embed="rId172"/>
                    <a:stretch>
                      <a:fillRect/>
                    </a:stretch>
                  </pic:blipFill>
                  <pic:spPr bwMode="auto">
                    <a:xfrm>
                      <a:off x="0" y="0"/>
                      <a:ext cx="5120640" cy="273565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图5-3 主变采购与储能配置对照</w:t>
      </w:r>
    </w:p>
    <w:p>
      <w:pPr>
        <w:pStyle w:val="2"/>
        <w:widowControl/>
        <w:spacing w:line="300" w:lineRule="auto"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R</m:t>
                    </m:r>
                  </m:e>
                  <m:sub>
                    <m:r>
                      <m:t>y</m:t>
                    </m:r>
                  </m:sub>
                </m:sSub>
                <m:r>
                  <m:t>−</m:t>
                </m:r>
                <m:sSub>
                  <m:e>
                    <m:r>
                      <m:t>R</m:t>
                    </m:r>
                  </m:e>
                  <m:sub>
                    <m:r>
                      <m:t>y</m:t>
                    </m:r>
                    <m:r>
                      <m:t>−</m:t>
                    </m:r>
                    <m:r>
                      <m:t>1</m:t>
                    </m:r>
                  </m:sub>
                </m:sSub>
                <m:r>
                  <m:t>=</m:t>
                </m:r>
                <m:f>
                  <m:fPr>
                    <m:type m:val="bar"/>
                  </m:fPr>
                  <m:num>
                    <m:sSub>
                      <m:e>
                        <m:r>
                          <m:t>S</m:t>
                        </m:r>
                      </m:e>
                      <m:sub>
                        <m:r>
                          <m:t>y</m:t>
                        </m:r>
                      </m:sub>
                    </m:sSub>
                    <m:r>
                      <m:t>−</m:t>
                    </m:r>
                    <m:sSub>
                      <m:e>
                        <m:r>
                          <m:t>S</m:t>
                        </m:r>
                      </m:e>
                      <m:sub>
                        <m:r>
                          <m:t>y</m:t>
                        </m:r>
                        <m:r>
                          <m:t>−</m:t>
                        </m:r>
                        <m:r>
                          <m:t>1</m:t>
                        </m:r>
                      </m:sub>
                    </m:sSub>
                  </m:num>
                  <m:den>
                    <m:sSub>
                      <m:e>
                        <m:r>
                          <m:t>P</m:t>
                        </m:r>
                      </m:e>
                      <m:sub>
                        <m:r>
                          <m:t>y</m:t>
                        </m:r>
                      </m:sub>
                    </m:sSub>
                  </m:den>
                </m:f>
                <m:r>
                  <m:t>+</m:t>
                </m:r>
                <m:sSub>
                  <m:e>
                    <m:r>
                      <m:t>S</m:t>
                    </m:r>
                  </m:e>
                  <m:sub>
                    <m:r>
                      <m:t>y</m:t>
                    </m:r>
                    <m:r>
                      <m:t>−</m:t>
                    </m:r>
                    <m:r>
                      <m:t>1</m:t>
                    </m:r>
                  </m:sub>
                </m:sSub>
                <m:d>
                  <m:dPr>
                    <m:begChr m:val="("/>
                    <m:endChr m:val=")"/>
                    <m:grow/>
                  </m:dPr>
                  <m:e>
                    <m:f>
                      <m:fPr>
                        <m:type m:val="bar"/>
                      </m:fPr>
                      <m:num>
                        <m:r>
                          <m:t>1</m:t>
                        </m:r>
                      </m:num>
                      <m:den>
                        <m:sSub>
                          <m:e>
                            <m:r>
                              <m:t>P</m:t>
                            </m:r>
                          </m:e>
                          <m:sub>
                            <m:r>
                              <m:t>y</m:t>
                            </m:r>
                          </m:sub>
                        </m:sSub>
                      </m:den>
                    </m:f>
                    <m:r>
                      <m:t>−</m:t>
                    </m:r>
                    <m:f>
                      <m:fPr>
                        <m:type m:val="bar"/>
                      </m:fPr>
                      <m:num>
                        <m:r>
                          <m:t>1</m:t>
                        </m:r>
                      </m:num>
                      <m:den>
                        <m:sSub>
                          <m:e>
                            <m:r>
                              <m:t>P</m:t>
                            </m:r>
                          </m:e>
                          <m:sub>
                            <m:r>
                              <m:t>y</m:t>
                            </m:r>
                            <m:r>
                              <m:t>−</m:t>
                            </m:r>
                            <m:r>
                              <m:t>1</m:t>
                            </m:r>
                          </m:sub>
                        </m:sSub>
                      </m:den>
                    </m:f>
                  </m:e>
                </m:d>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（5-17）</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R</m:t>
            </m:r>
          </m:e>
          <m:sub>
            <m:r>
              <m:t>y</m:t>
            </m:r>
          </m:sub>
        </m:sSub>
      </m:oMath>
      <w:r>
        <w:rPr>
          <w:rFonts w:ascii="Times New Roman" w:hAnsi="Times New Roman" w:eastAsia="方正仿宋_GBK"/>
          <w:b w:val="0"/>
          <w:sz w:val="24"/>
        </w:rPr>
        <w:t xml:space="preserve">、</w:t>
      </w:r>
      <m:oMath>
        <m:sSub>
          <m:e>
            <m:r>
              <m:t>R</m:t>
            </m:r>
          </m:e>
          <m:sub>
            <m:r>
              <m:t>y</m:t>
            </m:r>
            <m:r>
              <m:t>−</m:t>
            </m:r>
            <m:r>
              <m:t>1</m:t>
            </m:r>
          </m:sub>
        </m:sSub>
      </m:oMath>
      <w:r>
        <w:rPr>
          <w:rFonts w:ascii="Times New Roman" w:hAnsi="Times New Roman" w:eastAsia="方正仿宋_GBK"/>
          <w:b w:val="0"/>
          <w:sz w:val="24"/>
        </w:rPr>
        <w:t xml:space="preserve">为相邻两年容载比，</w:t>
      </w:r>
      <m:oMath>
        <m:r>
          <m:t>y</m:t>
        </m:r>
      </m:oMath>
      <w:r>
        <w:rPr>
          <w:rFonts w:ascii="Times New Roman" w:hAnsi="Times New Roman" w:eastAsia="方正仿宋_GBK"/>
          <w:b w:val="0"/>
          <w:sz w:val="24"/>
        </w:rPr>
        <w:t xml:space="preserve">为仿真年序号；</w:t>
      </w:r>
      <m:oMath>
        <m:sSub>
          <m:e>
            <m:r>
              <m:t>S</m:t>
            </m:r>
          </m:e>
          <m:sub>
            <m:r>
              <m:t>y</m:t>
            </m:r>
          </m:sub>
        </m:sSub>
      </m:oMath>
      <w:r>
        <w:rPr>
          <w:rFonts w:ascii="Times New Roman" w:hAnsi="Times New Roman" w:eastAsia="方正仿宋_GBK"/>
          <w:b w:val="0"/>
          <w:sz w:val="24"/>
        </w:rPr>
        <w:t xml:space="preserve">和</w:t>
      </w:r>
      <m:oMath>
        <m:sSub>
          <m:e>
            <m:r>
              <m:t>S</m:t>
            </m:r>
          </m:e>
          <m:sub>
            <m:r>
              <m:t>y</m:t>
            </m:r>
            <m:r>
              <m:t>−</m:t>
            </m:r>
            <m:r>
              <m:t>1</m:t>
            </m:r>
          </m:sub>
        </m:sSub>
      </m:oMath>
      <w:r>
        <w:rPr>
          <w:rFonts w:ascii="Times New Roman" w:hAnsi="Times New Roman" w:eastAsia="方正仿宋_GBK"/>
          <w:b w:val="0"/>
          <w:sz w:val="24"/>
        </w:rPr>
        <w:t xml:space="preserve">为相邻两年主变总容量，单位MVA；</w:t>
      </w:r>
      <m:oMath>
        <m:sSub>
          <m:e>
            <m:r>
              <m:t>P</m:t>
            </m:r>
          </m:e>
          <m:sub>
            <m:r>
              <m:t>y</m:t>
            </m:r>
          </m:sub>
        </m:sSub>
      </m:oMath>
      <w:r>
        <w:rPr>
          <w:rFonts w:ascii="Times New Roman" w:hAnsi="Times New Roman" w:eastAsia="方正仿宋_GBK"/>
          <w:b w:val="0"/>
          <w:sz w:val="24"/>
        </w:rPr>
        <w:t xml:space="preserve">和</w:t>
      </w:r>
      <m:oMath>
        <m:sSub>
          <m:e>
            <m:r>
              <m:t>P</m:t>
            </m:r>
          </m:e>
          <m:sub>
            <m:r>
              <m:t>y</m:t>
            </m:r>
            <m:r>
              <m:t>−</m:t>
            </m:r>
            <m: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bookmarkStart w:id="1484" w:name="h484"/>
      <w:pPr>
        <w:pStyle w:val="4"/>
        <w:keepNext/>
        <w:numPr>
          <w:numId w:val="0"/>
        </w:numPr>
        <w:spacing w:line="360" w:lineRule="auto" w:before="160" w:after="120"/>
        <w:ind w:firstLine="0"/>
      </w:pPr>
      <w:bookmarkStart w:id="173" w:name="结果复核与措施作用"/>
      <w:r>
        <w:rPr>
          <w:rFonts w:ascii="Times New Roman" w:hAnsi="Times New Roman" w:eastAsia="方正仿宋_GBK"/>
          <w:b/>
          <w:sz w:val="32"/>
        </w:rPr>
        <w:t xml:space="preserve">5.5 结果复核与措施作用</w:t>
      </w:r>
      <w:bookmarkEnd w:id="173"/>
      <w:bookmarkEnd w:id="1484"/>
    </w:p>
    <w:p>
      <w:pPr>
        <w:pStyle w:val="5"/>
        <w:keepNext/>
        <w:numPr>
          <w:numId w:val="0"/>
        </w:numPr>
        <w:spacing w:line="360" w:lineRule="auto" w:before="160" w:after="120"/>
        <w:ind w:firstLine="0"/>
      </w:pPr>
      <w:bookmarkStart w:id="174" w:name="容量守恒与费用复算"/>
      <w:r>
        <w:rPr>
          <w:rFonts w:ascii="Times New Roman" w:hAnsi="Times New Roman" w:eastAsia="方正仿宋_GBK"/>
          <w:b/>
          <w:sz w:val="26"/>
        </w:rPr>
        <w:t xml:space="preserve">5.5.1 容量、守恒与费用复算</w:t>
      </w:r>
      <w:bookmarkEnd w:id="174"/>
    </w:p>
    <w:p>
      <w:pPr>
        <w:pStyle w:val="FirstParagraph"/>
        <w:widowControl/>
        <w:spacing w:line="300" w:lineRule="auto" w:before="0" w:after="0"/>
        <w:ind w:firstLine="480"/>
        <w:jc w:val="both"/>
      </w:pPr>
      <w:r>
        <w:rPr>
          <w:rFonts w:ascii="Times New Roman" w:hAnsi="Times New Roman" w:eastAsia="方正仿宋_GBK"/>
          <w:b w:val="0"/>
          <w:sz w:val="24"/>
        </w:rPr>
        <w:t xml:space="preserve">结果表按站、年核对主变规格、在役容量、储能整数柜数及新增项目端点。容量余量分别按式（5-13）复算；转接按式（5-11）复算；新增联络共享能力按式（5-9）复算。初始投资按设备购置和项目投运事件重建，再按现金流折现得到全寿命费用。</w:t>
      </w:r>
    </w:p>
    <w:p>
      <w:pPr>
        <w:pStyle w:val="2"/>
        <w:keepNext/>
        <w:spacing w:line="300" w:lineRule="auto" w:before="120" w:after="80"/>
        <w:ind w:firstLine="0"/>
        <w:jc w:val="center"/>
      </w:pPr>
      <w:r>
        <w:rPr>
          <w:rFonts w:ascii="Times New Roman" w:hAnsi="Times New Roman" w:eastAsia="宋体"/>
          <w:b w:val="0"/>
          <w:sz w:val="21"/>
        </w:rPr>
        <w:t xml:space="preserve">表5-13 392个站年的独立复算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核对站年</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最小容量余量/MW</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费用偏差/万元</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结果</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通过</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80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通过</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通过</w:t>
            </w:r>
          </w:p>
        </w:tc>
      </w:tr>
      <w:tr>
        <w:trPr>
          <w:cantSplit/>
        </w:trPr>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116</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0.000000</w:t>
            </w:r>
          </w:p>
        </w:tc>
        <w:tc>
          <w:tcPr>
            <w:tcW w:type="dxa" w:w="1385"/>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通过</w:t>
            </w:r>
          </w:p>
        </w:tc>
      </w:tr>
    </w:tbl>
    <w:p>
      <w:pPr>
        <w:pStyle w:val="2"/>
        <w:widowControl/>
        <w:spacing w:line="300" w:lineRule="auto" w:before="0" w:after="0"/>
        <w:ind w:firstLine="480"/>
        <w:jc w:val="both"/>
      </w:pPr>
      <w:r>
        <w:rPr>
          <w:rFonts w:ascii="Times New Roman" w:hAnsi="Times New Roman" w:eastAsia="方正仿宋_GBK"/>
          <w:b w:val="0"/>
          <w:sz w:val="24"/>
        </w:rPr>
        <w:t xml:space="preserve">原始价格、投运事件、年度状态和独立复算结果保存在配套工作簿。正文给出汇总结果及主要计算关系。</w:t>
      </w:r>
    </w:p>
    <w:p>
      <w:pPr>
        <w:pStyle w:val="5"/>
        <w:keepNext/>
        <w:numPr>
          <w:numId w:val="0"/>
        </w:numPr>
        <w:spacing w:line="360" w:lineRule="auto" w:before="160" w:after="120"/>
        <w:ind w:firstLine="0"/>
      </w:pPr>
      <w:bookmarkStart w:id="175" w:name="既有能力与新建能力的作用"/>
      <w:r>
        <w:rPr>
          <w:rFonts w:ascii="Times New Roman" w:hAnsi="Times New Roman" w:eastAsia="方正仿宋_GBK"/>
          <w:b/>
          <w:sz w:val="26"/>
        </w:rPr>
        <w:t xml:space="preserve">5.5.2 既有能力与新建能力的作用</w:t>
      </w:r>
      <w:bookmarkEnd w:id="175"/>
    </w:p>
    <w:p>
      <w:pPr>
        <w:pStyle w:val="FirstParagraph"/>
        <w:widowControl/>
        <w:spacing w:line="300" w:lineRule="auto" w:before="0" w:after="0"/>
        <w:ind w:firstLine="480"/>
        <w:jc w:val="both"/>
      </w:pPr>
      <w:r>
        <w:rPr>
          <w:rFonts w:ascii="Times New Roman" w:hAnsi="Times New Roman" w:eastAsia="方正仿宋_GBK"/>
          <w:b w:val="0"/>
          <w:sz w:val="24"/>
        </w:rPr>
        <w:t xml:space="preserve">既有转供率描述各站初始可转负荷预算。原站负荷较重、受端存在余量时，优化可利用这一预算调整供电归属。达到预算上限后，新增联络项目才提供进一步转接的能力，项目费用据此参与比选。</w:t>
      </w:r>
    </w:p>
    <w:p>
      <w:pPr>
        <w:pStyle w:val="2"/>
        <w:widowControl/>
        <w:spacing w:line="300" w:lineRule="auto" w:before="0" w:after="0"/>
        <w:ind w:firstLine="480"/>
        <w:jc w:val="both"/>
      </w:pPr>
      <w:r>
        <w:rPr>
          <w:rFonts w:ascii="Times New Roman" w:hAnsi="Times New Roman" w:eastAsia="方正仿宋_GBK"/>
          <w:b w:val="0"/>
          <w:sz w:val="24"/>
        </w:rPr>
        <w:t xml:space="preserve">邳州28.2879%的样本初始率低于30%的规划目标，新建项目同时承担能力提升和负荷调整需求。市区初始50%已达到本研究目标，新建需求取决于后续站级约束和经济比较。两种地区采用同一能力表达式，差异来自初始率、负荷分布与设备结构。</w:t>
      </w:r>
    </w:p>
    <w:p>
      <w:pPr>
        <w:pStyle w:val="2"/>
        <w:keepNext/>
        <w:spacing w:line="300" w:lineRule="auto" w:before="120" w:after="80"/>
        <w:ind w:firstLine="0"/>
        <w:jc w:val="center"/>
      </w:pPr>
      <w:r>
        <w:rPr>
          <w:rFonts w:ascii="Times New Roman" w:hAnsi="Times New Roman" w:eastAsia="宋体"/>
          <w:b w:val="0"/>
          <w:sz w:val="21"/>
        </w:rPr>
        <w:t xml:space="preserve">表5-14 既有与新增转供能力的实际利用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方案</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仿真年</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既有能力使用/MW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新增能力使用/MW</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在役项目/项</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总转接/MW</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110.743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38.569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149.312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98.689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20.717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119.406</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98.818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24.324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123.143</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131.247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35.245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166.491</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90.302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18.563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108.866</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99.253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27.665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126.918</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107.558</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35.807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143.365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128.931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38.829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167.760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347.113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0.093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347.206</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363.596</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0.779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364.374</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380.770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1.477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382.247</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398.792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400.979</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364.572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21.850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386.422</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375.675</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26.519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402.194</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386.453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22.543</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408.996</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398.984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26.609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425.593</w:t>
            </w:r>
          </w:p>
        </w:tc>
      </w:tr>
    </w:tbl>
    <w:p>
      <w:pPr>
        <w:pStyle w:val="5"/>
        <w:keepNext/>
        <w:numPr>
          <w:numId w:val="0"/>
        </w:numPr>
        <w:spacing w:line="360" w:lineRule="auto" w:before="160" w:after="120"/>
        <w:ind w:firstLine="0"/>
      </w:pPr>
      <w:bookmarkStart w:id="176" w:name="峰段支撑与工程应用"/>
      <w:r>
        <w:rPr>
          <w:rFonts w:ascii="Times New Roman" w:hAnsi="Times New Roman" w:eastAsia="方正仿宋_GBK"/>
          <w:b/>
          <w:sz w:val="26"/>
        </w:rPr>
        <w:t xml:space="preserve">5.5.3 峰段支撑与工程应用</w:t>
      </w:r>
      <w:bookmarkEnd w:id="176"/>
    </w:p>
    <w:p>
      <w:pPr>
        <w:pStyle w:val="FirstParagraph"/>
        <w:widowControl/>
        <w:spacing w:line="300" w:lineRule="auto" w:before="0" w:after="0"/>
        <w:ind w:firstLine="480"/>
        <w:jc w:val="both"/>
      </w:pPr>
      <w:r>
        <w:rPr>
          <w:rFonts w:ascii="Times New Roman" w:hAnsi="Times New Roman" w:eastAsia="方正仿宋_GBK"/>
          <w:b w:val="0"/>
          <w:sz w:val="24"/>
        </w:rPr>
        <w:t xml:space="preserve">储能按峰值持续时间承担静态容量缺口，工程应用可进一步用实际可用能量、效率和连续时序更新支撑系数。联络项目按区县等效能力建模，实施阶段可将实际馈线分段、接收余量及路径条件纳入模型。</w:t>
      </w:r>
    </w:p>
    <w:p>
      <w:pPr>
        <w:pStyle w:val="2"/>
        <w:widowControl/>
        <w:spacing w:line="300" w:lineRule="auto" w:before="0" w:after="0"/>
        <w:ind w:firstLine="480"/>
        <w:jc w:val="both"/>
      </w:pPr>
      <w:r>
        <w:rPr>
          <w:rFonts w:ascii="Times New Roman" w:hAnsi="Times New Roman" w:eastAsia="方正仿宋_GBK"/>
          <w:b w:val="0"/>
          <w:sz w:val="24"/>
        </w:rPr>
        <w:t xml:space="preserve">本研究结果对应所列研究参数。实际规划从核定在役资产与预测负荷出发，沿用相同的容量、守恒和费用计算关系，完成工程概算及供电安全校核。</w:t>
      </w:r>
    </w:p>
    <w:p>
      <w:bookmarkStart w:id="1496" w:name="h496"/>
      <w:pPr>
        <w:pStyle w:val="4"/>
        <w:keepNext/>
        <w:numPr>
          <w:numId w:val="0"/>
        </w:numPr>
        <w:spacing w:line="360" w:lineRule="auto" w:before="160" w:after="120"/>
        <w:ind w:firstLine="0"/>
      </w:pPr>
      <w:bookmarkStart w:id="177" w:name="参数拓展与通用推荐矩阵"/>
      <w:r>
        <w:rPr>
          <w:rFonts w:ascii="Times New Roman" w:hAnsi="Times New Roman" w:eastAsia="方正仿宋_GBK"/>
          <w:b/>
          <w:sz w:val="32"/>
        </w:rPr>
        <w:t xml:space="preserve">5.6 参数拓展与通用推荐矩阵</w:t>
      </w:r>
      <w:bookmarkEnd w:id="177"/>
      <w:bookmarkEnd w:id="1496"/>
    </w:p>
    <w:p>
      <w:pPr>
        <w:pStyle w:val="5"/>
        <w:keepNext/>
        <w:numPr>
          <w:numId w:val="0"/>
        </w:numPr>
        <w:spacing w:line="360" w:lineRule="auto" w:before="160" w:after="120"/>
        <w:ind w:firstLine="0"/>
      </w:pPr>
      <w:bookmarkStart w:id="178" w:name="从案例关系到通用参数"/>
      <w:r>
        <w:rPr>
          <w:rFonts w:ascii="Times New Roman" w:hAnsi="Times New Roman" w:eastAsia="方正仿宋_GBK"/>
          <w:b/>
          <w:sz w:val="26"/>
        </w:rPr>
        <w:t xml:space="preserve">5.6.1 从案例关系到通用参数</w:t>
      </w:r>
      <w:bookmarkEnd w:id="178"/>
    </w:p>
    <w:p>
      <w:pPr>
        <w:pStyle w:val="FirstParagraph"/>
        <w:widowControl/>
        <w:spacing w:line="300" w:lineRule="auto" w:before="0" w:after="0"/>
        <w:ind w:firstLine="480"/>
        <w:jc w:val="both"/>
      </w:pPr>
      <w:r>
        <w:rPr>
          <w:rFonts w:ascii="Times New Roman" w:hAnsi="Times New Roman" w:eastAsia="方正仿宋_GBK"/>
          <w:b w:val="0"/>
          <w:sz w:val="24"/>
        </w:rPr>
        <w:t xml:space="preserve">案例说明容载比由主变容量和年网供最大负荷共同形成，其经济取值还受储能持续支撑、站间转供能力和工程价格影响。通用矩阵据此采用可比较的参数范围，构造A类和B/C类两种等容量仿真站群，将具体地区的站名和规模转换为一般结构条件。</w:t>
      </w:r>
    </w:p>
    <w:p>
      <w:pPr>
        <w:pStyle w:val="2"/>
        <w:widowControl/>
        <w:spacing w:line="300" w:lineRule="auto" w:before="0" w:after="0"/>
        <w:ind w:firstLine="480"/>
        <w:jc w:val="both"/>
      </w:pPr>
      <w:r>
        <w:rPr>
          <w:rFonts w:ascii="Times New Roman" w:hAnsi="Times New Roman" w:eastAsia="方正仿宋_GBK"/>
          <w:b w:val="0"/>
          <w:sz w:val="24"/>
        </w:rPr>
        <w:t xml:space="preserve">外推站群均含5座变电站，每站初始配置两台主变。A类单台50 MVA，B/C类单台40 MVA，基期年网供最大负荷分别为250和200 MW，基期容载比均为2.0。负荷分配采用较均匀与偏集中两种权重；各站独立正向峰值合计分别按区域同期峰值的1.00和1.15倍构造。案例中邳州、市区的相应比值约为1.057和1.113，为该一般量级提供参考。光伏分配采用独立权重，保留源荷空间差异。新购规格、第三台50 MVA、储能柜及联络能力与前述计算方法一致。</w:t>
      </w:r>
    </w:p>
    <w:p>
      <w:pPr>
        <w:pStyle w:val="2"/>
        <w:widowControl/>
        <w:spacing w:line="300" w:lineRule="auto" w:before="0" w:after="0"/>
        <w:ind w:firstLine="480"/>
        <w:jc w:val="both"/>
      </w:pPr>
      <w:r>
        <w:rPr>
          <w:rFonts w:ascii="Times New Roman" w:hAnsi="Times New Roman" w:eastAsia="方正仿宋_GBK"/>
          <w:b w:val="0"/>
          <w:sz w:val="24"/>
        </w:rPr>
        <w:t xml:space="preserve">参数变化通过站级正向、反向负荷和持续支撑系数进入约束，以全寿命费用确定对应配置。通用外推采用规划第4年的静态容量比选，归纳目标年推荐值；两地区案例另按逐年状态进行建设时序寻优。具体计算点保存在配套文件。</w:t>
      </w:r>
    </w:p>
    <w:p>
      <w:pPr>
        <w:pStyle w:val="5"/>
        <w:keepNext/>
        <w:numPr>
          <w:numId w:val="0"/>
        </w:numPr>
        <w:spacing w:line="360" w:lineRule="auto" w:before="160" w:after="120"/>
        <w:ind w:firstLine="0"/>
      </w:pPr>
      <w:bookmarkStart w:id="179" w:name="参数范围与场景构造"/>
      <w:r>
        <w:rPr>
          <w:rFonts w:ascii="Times New Roman" w:hAnsi="Times New Roman" w:eastAsia="方正仿宋_GBK"/>
          <w:b/>
          <w:sz w:val="26"/>
        </w:rPr>
        <w:t xml:space="preserve">5.6.2 参数范围与场景构造</w:t>
      </w:r>
      <w:bookmarkEnd w:id="179"/>
    </w:p>
    <w:p>
      <w:pPr>
        <w:pStyle w:val="FirstParagraph"/>
        <w:keepNext/>
        <w:spacing w:line="300" w:lineRule="auto" w:before="120" w:after="80"/>
        <w:ind w:firstLine="0"/>
        <w:jc w:val="center"/>
      </w:pPr>
      <w:r>
        <w:rPr>
          <w:rFonts w:ascii="Times New Roman" w:hAnsi="Times New Roman" w:eastAsia="宋体"/>
          <w:b w:val="0"/>
          <w:sz w:val="21"/>
        </w:rPr>
        <w:t xml:space="preserve">表5-15 通用外推参数及站群假定</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取值或范围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设定方式</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供电区域</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A类、B/C类</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两类一般站群</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初始主变</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5站；各2×50或2×40 MVA</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等容量基期</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初始容载比</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两类站群一致</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负荷分布</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0.10/0.15/0.20/0.25/0.30；0.16/0.18/0.20/0.22/0.24</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权重之和为1</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站级峰值合计/区域同期峰值</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偏集中1.15；较均匀1.00</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案例1.057和1.113支持外推量级</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光伏分布</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0.08/0.14/0.18/0.25/0.35</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权重之和为1</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装机渗透率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0、0.3、0.8、1、1.3、1.8、2、2.3、2.8、3</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参数假定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年负荷平均增长率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0、1%、2%、4%、7%、8%、10%</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参数假定</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95%峰值持续时间</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1、2、3、4、6 h</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正反向采用相同场景时长</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初始站间转供率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A类50%；B/C类28.2879%</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案例参数外推</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线路、储能价格倍数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(0.75,0.50)/(1,1)/(1.25,1.25)/(0.75,1.25)/(1.25,0.50)</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四角及中心</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光伏利用小时、用户年负荷率</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1200 h；0.5</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电量指标换算</w:t>
            </w:r>
          </w:p>
        </w:tc>
      </w:tr>
      <w:tr>
        <w:trPr>
          <w:cantSplit/>
        </w:trPr>
        <w:tc>
          <w:tcPr>
            <w:tcW w:type="dxa" w:w="1793"/>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目标年、费用时点</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第4年；按2025年投运折现</w:t>
            </w:r>
          </w:p>
        </w:tc>
        <w:tc>
          <w:tcPr>
            <w:tcW w:type="dxa" w:w="3259"/>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目标年静态规划外推</w:t>
            </w:r>
          </w:p>
        </w:tc>
      </w:tr>
    </w:tbl>
    <w:p>
      <w:pPr>
        <w:pStyle w:val="2"/>
        <w:widowControl/>
        <w:spacing w:line="300" w:lineRule="auto" w:before="0" w:after="0"/>
        <w:ind w:firstLine="480"/>
        <w:jc w:val="both"/>
      </w:pPr>
      <w:r>
        <w:rPr>
          <w:rFonts w:ascii="Times New Roman" w:hAnsi="Times New Roman" w:eastAsia="方正仿宋_GBK"/>
          <w:b w:val="0"/>
          <w:sz w:val="24"/>
        </w:rPr>
        <w:t xml:space="preserve">分布式电源装机渗透率在0～3.0之间选取10个代表值，年负荷平均增长率在0～10%之间选取7个值，95%峰值持续时间选取1、2、3、4、6 h。初始转供率采用50%和28.2879%，分别对应两类站群；负荷分布采用两种形态。线路和储能价格按四个角点及中心点交叉，共同形成7000个计算组合。</w:t>
      </w:r>
    </w:p>
    <w:p>
      <w:pPr>
        <w:pStyle w:val="2"/>
        <w:widowControl/>
        <w:spacing w:line="300" w:lineRule="auto" w:before="0" w:after="0"/>
        <w:ind w:firstLine="480"/>
        <w:jc w:val="both"/>
      </w:pPr>
      <w:r>
        <w:rPr>
          <w:rFonts w:ascii="Times New Roman" w:hAnsi="Times New Roman" w:eastAsia="方正仿宋_GBK"/>
          <w:b w:val="0"/>
          <w:sz w:val="24"/>
        </w:rPr>
        <w:t xml:space="preserve">设用户年负荷率0.5、光伏利用小时1200 h，分布式电源电量渗透率按装机渗透率换算，约为0～82.2%。技术场景以夜间正向负荷作为年网供最大负荷，日间光伏出力系数0.75、用户负荷为正向峰值的30%，由此构造反向净负荷。</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m>
                  <m:mPr>
                    <m:baseJc m:val="center"/>
                    <m:plcHide m:val="1"/>
                    <m:mcs>
                      <m:mc>
                        <m:mcPr>
                          <m:mcJc m:val="right"/>
                          <m:count m:val="1"/>
                        </m:mcPr>
                      </m:mc>
                      <m:mc>
                        <m:mcPr>
                          <m:mcJc m:val="left"/>
                          <m:count m:val="1"/>
                        </m:mcPr>
                      </m:mc>
                    </m:mcs>
                  </m:mPr>
                  <m:mr>
                    <m:e>
                      <m:sSub>
                        <m:e>
                          <m:r>
                            <m:t>C</m:t>
                          </m:r>
                        </m:e>
                        <m:sub>
                          <m:r>
                            <m:rPr>
                              <m:sty m:val="p"/>
                            </m:rPr>
                            <m:t>D</m:t>
                          </m:r>
                          <m:r>
                            <m:rPr>
                              <m:sty m:val="p"/>
                            </m:rPr>
                            <m:t>G</m:t>
                          </m:r>
                        </m:sub>
                      </m:sSub>
                    </m:e>
                    <m:e>
                      <m:r>
                        <m:t>=</m:t>
                      </m:r>
                      <m:sSub>
                        <m:e>
                          <m:r>
                            <m:t>η</m:t>
                          </m:r>
                        </m:e>
                        <m:sub>
                          <m:r>
                            <m:t>C</m:t>
                          </m:r>
                        </m:sub>
                      </m:sSub>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e>
                  </m:mr>
                  <m:mr>
                    <m:e>
                      <m:sSubSup>
                        <m:e>
                          <m:r>
                            <m:t>L</m:t>
                          </m:r>
                        </m:e>
                        <m:sub>
                          <m:r>
                            <m:t>i</m:t>
                          </m:r>
                        </m:sub>
                        <m:sup>
                          <m:r>
                            <m:t>−</m:t>
                          </m:r>
                        </m:sup>
                      </m:sSubSup>
                    </m:e>
                    <m:e>
                      <m:r>
                        <m:t>=</m:t>
                      </m:r>
                      <m:r>
                        <m:rPr>
                          <m:nor/>
                          <m:sty m:val="p"/>
                        </m:rPr>
                        <m:t>max</m:t>
                      </m:r>
                      <m:r>
                        <m:t>(</m:t>
                      </m:r>
                      <m:r>
                        <m:t>0</m:t>
                      </m:r>
                      <m:r>
                        <m:t>,</m:t>
                      </m:r>
                      <m:r>
                        <m:t>0.75</m:t>
                      </m:r>
                      <m:sSub>
                        <m:e>
                          <m:r>
                            <m:t>C</m:t>
                          </m:r>
                        </m:e>
                        <m:sub>
                          <m:r>
                            <m:rPr>
                              <m:sty m:val="p"/>
                            </m:rPr>
                            <m:t>D</m:t>
                          </m:r>
                          <m:r>
                            <m:rPr>
                              <m:sty m:val="p"/>
                            </m:rPr>
                            <m:t>G</m:t>
                          </m:r>
                        </m:sub>
                      </m:sSub>
                      <m:sSubSup>
                        <m:e>
                          <m:r>
                            <m:t>w</m:t>
                          </m:r>
                        </m:e>
                        <m:sub>
                          <m:r>
                            <m:t>i</m:t>
                          </m:r>
                        </m:sub>
                        <m:sup>
                          <m:r>
                            <m:t>G</m:t>
                          </m:r>
                        </m:sup>
                      </m:sSubSup>
                      <m:r>
                        <m:t>−</m:t>
                      </m:r>
                      <m:r>
                        <m:t>0.30</m:t>
                      </m:r>
                      <m:sSubSup>
                        <m:e>
                          <m:r>
                            <m:t>L</m:t>
                          </m:r>
                        </m:e>
                        <m:sub>
                          <m:r>
                            <m:t>i</m:t>
                          </m:r>
                        </m:sub>
                        <m:sup>
                          <m:r>
                            <m:t>+</m:t>
                          </m:r>
                        </m:sup>
                      </m:sSubSup>
                      <m:r>
                        <m:t>)</m:t>
                      </m:r>
                      <m:r>
                        <m:t>.</m:t>
                      </m:r>
                    </m:e>
                  </m:mr>
                </m:m>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η</m:t>
            </m:r>
          </m:e>
          <m:sub>
            <m:r>
              <m:t>C</m:t>
            </m:r>
          </m:sub>
        </m:sSub>
      </m:oMath>
      <w:r>
        <w:rPr>
          <w:rFonts w:ascii="Times New Roman" w:hAnsi="Times New Roman" w:eastAsia="方正仿宋_GBK"/>
          <w:b w:val="0"/>
          <w:sz w:val="24"/>
        </w:rPr>
        <w:t xml:space="preserve">为分布式电源装机渗透率，</w:t>
      </w:r>
      <m:oMath>
        <m:sSub>
          <m:e>
            <m:r>
              <m:t>C</m:t>
            </m:r>
          </m:e>
          <m:sub>
            <m:r>
              <m:rPr>
                <m:sty m:val="p"/>
              </m:rPr>
              <m:t>D</m:t>
            </m:r>
            <m:r>
              <m:rPr>
                <m:sty m:val="p"/>
              </m:rPr>
              <m:t>G</m:t>
            </m:r>
          </m:sub>
        </m:sSub>
      </m:oMath>
      <w:r>
        <w:rPr>
          <w:rFonts w:ascii="Times New Roman" w:hAnsi="Times New Roman" w:eastAsia="方正仿宋_GBK"/>
          <w:b w:val="0"/>
          <w:sz w:val="24"/>
        </w:rPr>
        <w:t xml:space="preserve">为装机容量，单位MW；</w:t>
      </w:r>
      <m:oMath>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oMath>
      <w:r>
        <w:rPr>
          <w:rFonts w:ascii="Times New Roman" w:hAnsi="Times New Roman" w:eastAsia="方正仿宋_GBK"/>
          <w:b w:val="0"/>
          <w:sz w:val="24"/>
        </w:rPr>
        <w:t xml:space="preserve">为用户最大负荷，在本外推场景中取年网供最大负荷；</w:t>
      </w:r>
      <m:oMath>
        <m:sSubSup>
          <m:e>
            <m:r>
              <m:t>w</m:t>
            </m:r>
          </m:e>
          <m:sub>
            <m:r>
              <m:t>i</m:t>
            </m:r>
          </m:sub>
          <m:sup>
            <m:r>
              <m:t>G</m:t>
            </m:r>
          </m:sup>
        </m:sSubSup>
      </m:oMath>
      <w:r>
        <w:rPr>
          <w:rFonts w:ascii="Times New Roman" w:hAnsi="Times New Roman" w:eastAsia="方正仿宋_GBK"/>
          <w:b w:val="0"/>
          <w:sz w:val="24"/>
        </w:rPr>
        <w:t xml:space="preserve">为站级光伏分配权重，各站权重之和为1。</w:t>
      </w:r>
      <m:oMath>
        <m:sSubSup>
          <m:e>
            <m:r>
              <m:t>L</m:t>
            </m:r>
          </m:e>
          <m:sub>
            <m:r>
              <m:t>i</m:t>
            </m:r>
          </m:sub>
          <m:sup>
            <m:r>
              <m:t>+</m:t>
            </m:r>
          </m:sup>
        </m:sSubSup>
      </m:oMath>
      <w:r>
        <w:rPr>
          <w:rFonts w:ascii="Times New Roman" w:hAnsi="Times New Roman" w:eastAsia="方正仿宋_GBK"/>
          <w:b w:val="0"/>
          <w:sz w:val="24"/>
        </w:rPr>
        <w:t xml:space="preserve">为站级最大正向净负荷，</w:t>
      </w:r>
      <m:oMath>
        <m:sSubSup>
          <m:e>
            <m:r>
              <m:t>L</m:t>
            </m:r>
          </m:e>
          <m:sub>
            <m:r>
              <m:t>i</m:t>
            </m:r>
          </m:sub>
          <m:sup>
            <m:r>
              <m:t>−</m:t>
            </m:r>
          </m:sup>
        </m:sSubSup>
      </m:oMath>
      <w:r>
        <w:rPr>
          <w:rFonts w:ascii="Times New Roman" w:hAnsi="Times New Roman" w:eastAsia="方正仿宋_GBK"/>
          <w:b w:val="0"/>
          <w:sz w:val="24"/>
        </w:rPr>
        <w:t xml:space="preserve">为构造的最大反向净负荷。0.75和0.30均为外推场景假定。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pPr>
          </w:p>
        </w:tc>
        <w:tc>
          <w:tcPr>
            <w:tcW w:type="dxa" w:w="6838"/>
            <w:vAlign w:val="center"/>
            <w:tcMar>
              <w:left w:w="0" w:type="dxa"/>
              <w:right w:w="0" w:type="dxa"/>
            </w:tcMar>
          </w:tcPr>
          <w:p>
            <w:pPr>
              <w:pStyle w:val="2"/>
              <w:keepNext/>
              <w:spacing w:line="276" w:lineRule="auto" w:before="100" w:after="100"/>
              <w:ind w:firstLine="0"/>
              <w:jc w:val="center"/>
            </w:pPr>
            <m:oMathPara>
              <m:oMathParaPr>
                <m:jc m:val="center"/>
                <m:jc m:val="center"/>
              </m:oMathParaPr>
              <m:oMath>
                <m:sSub>
                  <m:e>
                    <m:r>
                      <m:t>η</m:t>
                    </m:r>
                  </m:e>
                  <m:sub>
                    <m:r>
                      <m:t>E</m:t>
                    </m:r>
                  </m:sub>
                </m:sSub>
                <m:r>
                  <m:t>=</m:t>
                </m:r>
                <m:f>
                  <m:fPr>
                    <m:type m:val="bar"/>
                  </m:fPr>
                  <m:num>
                    <m:sSub>
                      <m:e>
                        <m:r>
                          <m:t>C</m:t>
                        </m:r>
                      </m:e>
                      <m:sub>
                        <m:r>
                          <m:rPr>
                            <m:sty m:val="p"/>
                          </m:rPr>
                          <m:t>D</m:t>
                        </m:r>
                        <m:r>
                          <m:rPr>
                            <m:sty m:val="p"/>
                          </m:rPr>
                          <m:t>G</m:t>
                        </m:r>
                      </m:sub>
                    </m:sSub>
                    <m:sSub>
                      <m:e>
                        <m:r>
                          <m:t>T</m:t>
                        </m:r>
                      </m:e>
                      <m:sub>
                        <m:r>
                          <m:t>G</m:t>
                        </m:r>
                      </m:sub>
                    </m:sSub>
                  </m:num>
                  <m:den>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r>
                      <m:t> </m:t>
                    </m:r>
                    <m:r>
                      <m:t>8760</m:t>
                    </m:r>
                    <m:r>
                      <m:t> </m:t>
                    </m:r>
                    <m:sSub>
                      <m:e>
                        <m:r>
                          <m:t>f</m:t>
                        </m:r>
                      </m:e>
                      <m:sub>
                        <m:r>
                          <m:rPr>
                            <m:sty m:val="p"/>
                          </m:rPr>
                          <m:t>u</m:t>
                        </m:r>
                        <m:r>
                          <m:rPr>
                            <m:sty m:val="p"/>
                          </m:rPr>
                          <m:t>s</m:t>
                        </m:r>
                        <m:r>
                          <m:rPr>
                            <m:sty m:val="p"/>
                          </m:rPr>
                          <m:t>e</m:t>
                        </m:r>
                        <m:r>
                          <m:rPr>
                            <m:sty m:val="p"/>
                          </m:rPr>
                          <m:t>r</m:t>
                        </m:r>
                      </m:sub>
                    </m:sSub>
                  </m:den>
                </m:f>
                <m:r>
                  <m:t>=</m:t>
                </m:r>
                <m:sSub>
                  <m:e>
                    <m:r>
                      <m:t>η</m:t>
                    </m:r>
                  </m:e>
                  <m:sub>
                    <m:r>
                      <m:t>C</m:t>
                    </m:r>
                  </m:sub>
                </m:sSub>
                <m:f>
                  <m:fPr>
                    <m:type m:val="bar"/>
                  </m:fPr>
                  <m:num>
                    <m:r>
                      <m:t>1200</m:t>
                    </m:r>
                  </m:num>
                  <m:den>
                    <m:r>
                      <m:t>8760</m:t>
                    </m:r>
                    <m:r>
                      <m:t>×</m:t>
                    </m:r>
                    <m:r>
                      <m:t>0.5</m:t>
                    </m:r>
                  </m:den>
                </m:f>
                <m:r>
                  <m:t>.</m:t>
                </m:r>
              </m:oMath>
            </m:oMathPara>
          </w:p>
        </w:tc>
        <w:tc>
          <w:tcPr>
            <w:tcW w:type="dxa" w:w="737"/>
            <w:vAlign w:val="center"/>
            <w:tcMar>
              <w:left w:w="0" w:type="dxa"/>
              <w:right w:w="0" w:type="dxa"/>
            </w:tcMar>
          </w:tcPr>
          <w:p>
            <w:pPr>
              <w:spacing w:before="0" w:after="0"/>
              <w:ind w:firstLine="0"/>
              <w:jc w:val="right"/>
            </w:pPr>
            <w:r>
              <w:rPr>
                <w:rFonts w:ascii="Times New Roman" w:hAnsi="Times New Roman" w:eastAsia="方正仿宋_GBK"/>
                <w:b w:val="0"/>
                <w:sz w:val="18"/>
              </w:rPr>
              <w:t>（5-19）</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η</m:t>
            </m:r>
          </m:e>
          <m:sub>
            <m:r>
              <m:t>E</m:t>
            </m:r>
          </m:sub>
        </m:sSub>
      </m:oMath>
      <w:r>
        <w:rPr>
          <w:rFonts w:ascii="Times New Roman" w:hAnsi="Times New Roman" w:eastAsia="方正仿宋_GBK"/>
          <w:b w:val="0"/>
          <w:sz w:val="24"/>
        </w:rPr>
        <w:t xml:space="preserve">为分布式电源电量渗透率，</w:t>
      </w:r>
      <m:oMath>
        <m:sSub>
          <m:e>
            <m:r>
              <m:t>T</m:t>
            </m:r>
          </m:e>
          <m:sub>
            <m:r>
              <m:t>G</m:t>
            </m:r>
          </m:sub>
        </m:sSub>
      </m:oMath>
      <w:r>
        <w:rPr>
          <w:rFonts w:ascii="Times New Roman" w:hAnsi="Times New Roman" w:eastAsia="方正仿宋_GBK"/>
          <w:b w:val="0"/>
          <w:sz w:val="24"/>
        </w:rPr>
        <w:t xml:space="preserve">为光伏年利用小时，取1200 h；</w:t>
      </w:r>
      <m:oMath>
        <m:sSub>
          <m:e>
            <m:r>
              <m:t>f</m:t>
            </m:r>
          </m:e>
          <m:sub>
            <m:r>
              <m:rPr>
                <m:sty m:val="p"/>
              </m:rPr>
              <m:t>u</m:t>
            </m:r>
            <m:r>
              <m:rPr>
                <m:sty m:val="p"/>
              </m:rPr>
              <m:t>s</m:t>
            </m:r>
            <m:r>
              <m:rPr>
                <m:sty m:val="p"/>
              </m:rPr>
              <m:t>e</m:t>
            </m:r>
            <m:r>
              <m:rPr>
                <m:sty m:val="p"/>
              </m:rPr>
              <m:t>r</m:t>
            </m:r>
          </m:sub>
        </m:sSub>
      </m:oMath>
      <w:r>
        <w:rPr>
          <w:rFonts w:ascii="Times New Roman" w:hAnsi="Times New Roman" w:eastAsia="方正仿宋_GBK"/>
          <w:b w:val="0"/>
          <w:sz w:val="24"/>
        </w:rPr>
        <w:t xml:space="preserve">为用户年负荷率，取0.5；8760为一年小时数。电量参数在该外推中与装机参数保持同一发电及用电假定。</w:t>
      </w:r>
    </w:p>
    <w:p>
      <w:pPr>
        <w:pStyle w:val="2"/>
        <w:widowControl/>
        <w:spacing w:line="300" w:lineRule="auto" w:before="0" w:after="0"/>
        <w:ind w:firstLine="480"/>
        <w:jc w:val="both"/>
      </w:pPr>
      <w:r>
        <w:rPr>
          <w:rFonts w:ascii="Times New Roman" w:hAnsi="Times New Roman" w:eastAsia="方正仿宋_GBK"/>
          <w:b w:val="0"/>
          <w:sz w:val="24"/>
        </w:rPr>
        <w:t xml:space="preserve">两个成本比使用相同服务功率口径。主变与储能成本比按3 h参考峰段列示，实际约束仍使用该场景的持续时间。线路参考价格倍数为0.75～1.25，储能为0.50～1.25，对应主变与线路成本比约0.97～1.64、主变与储能成本比约0.047～0.119。</w:t>
      </w:r>
    </w:p>
    <w:p>
      <w:pPr>
        <w:pStyle w:val="5"/>
        <w:keepNext/>
        <w:numPr>
          <w:numId w:val="0"/>
        </w:numPr>
        <w:spacing w:line="360" w:lineRule="auto" w:before="160" w:after="120"/>
        <w:ind w:firstLine="0"/>
      </w:pPr>
      <w:bookmarkStart w:id="180" w:name="推荐区间的形成"/>
      <w:r>
        <w:rPr>
          <w:rFonts w:ascii="Times New Roman" w:hAnsi="Times New Roman" w:eastAsia="方正仿宋_GBK"/>
          <w:b/>
          <w:sz w:val="26"/>
        </w:rPr>
        <w:t xml:space="preserve">5.6.3 推荐区间的形成</w:t>
      </w:r>
      <w:bookmarkEnd w:id="180"/>
    </w:p>
    <w:p>
      <w:pPr>
        <w:pStyle w:val="FirstParagraph"/>
        <w:widowControl/>
        <w:spacing w:line="300" w:lineRule="auto" w:before="0" w:after="0"/>
        <w:ind w:firstLine="480"/>
        <w:jc w:val="both"/>
      </w:pPr>
      <w:r>
        <w:rPr>
          <w:rFonts w:ascii="Times New Roman" w:hAnsi="Times New Roman" w:eastAsia="方正仿宋_GBK"/>
          <w:b w:val="0"/>
          <w:sz w:val="24"/>
        </w:rPr>
        <w:t xml:space="preserve">每个外推组合在共同技术约束下选择设备与负荷分配，容载比沿用弹性方案2.001～2.6的研究范围，并满足增长档位对应下限。通用计算按自身参数寻优，地区案例中的市区、邳州排序条件仅用于案例比较。</w:t>
      </w:r>
    </w:p>
    <w:p>
      <w:pPr>
        <w:pStyle w:val="2"/>
        <w:widowControl/>
        <w:spacing w:line="300" w:lineRule="auto" w:before="0" w:after="0"/>
        <w:ind w:firstLine="480"/>
        <w:jc w:val="both"/>
      </w:pPr>
      <w:r>
        <w:rPr>
          <w:rFonts w:ascii="Times New Roman" w:hAnsi="Times New Roman" w:eastAsia="方正仿宋_GBK"/>
          <w:b w:val="0"/>
          <w:sz w:val="24"/>
        </w:rPr>
        <w:t xml:space="preserve">将装机渗透率、年负荷平均增长率和95%峰值持续时间分档，汇总同档一般站群计算点及两地区案例目标年校核点的容载比最小值和最大值，再按0.05步长向外取整。案例的源荷参数采用第三章估计值，年负荷平均增长率采用案例条件，峰段按站群95%峰值持续时间上限匹配分档。案例校核补充实际异容量设备结构对区间的影响。矩阵由此给出工程比选的参考区间。每个范围对应所列结构、价格及源荷假定下已计算点的包络。</w:t>
      </w:r>
    </w:p>
    <w:p>
      <w:pPr>
        <w:pStyle w:val="2"/>
        <w:keepNext/>
        <w:spacing w:line="300" w:lineRule="auto" w:before="120" w:after="80"/>
        <w:ind w:firstLine="0"/>
        <w:jc w:val="center"/>
      </w:pPr>
      <w:r>
        <w:rPr>
          <w:rFonts w:ascii="Times New Roman" w:hAnsi="Times New Roman" w:eastAsia="宋体"/>
          <w:b w:val="0"/>
          <w:sz w:val="21"/>
        </w:rPr>
        <w:t xml:space="preserve">表5-16 刚性基准与通用弹性容载比推荐区间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分布式电源装机渗透率</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年负荷平均增长率</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95%峰值持续时间上限</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主变与线路成本比</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主变与储能成本比</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刚性上限</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sz w:val="18"/>
              </w:rPr>
              <w:t>推荐弹性容载比</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2.00～2.45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2.00～2.45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2.00～2.25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2.00～2.25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2.00～2.10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2.00～2.10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2.00～2.50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2.00～2.50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2.00～2.25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2.00～2.25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2.00～2.15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1.0～2.0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2.00～2.25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2.00～2.60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0%～2%</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2.00～2.60</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2.00～2.45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＞2%～7%</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2.00～2.45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1～3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2.00～2.35</w:t>
            </w:r>
          </w:p>
        </w:tc>
      </w:tr>
      <w:tr>
        <w:trPr>
          <w:cantSplit/>
        </w:trPr>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＞7%～10%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3～6 h</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0.97～1.64</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0.047～0.119</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w:t>
            </w:r>
          </w:p>
        </w:tc>
        <w:tc>
          <w:tcPr>
            <w:tcW w:type="dxa" w:w="1187"/>
            <w:vAlign w:val="center"/>
            <w:tcMar>
              <w:left w:w="70" w:type="dxa"/>
              <w:right w:w="70" w:type="dxa"/>
            </w:tcMar>
          </w:tcPr>
          <w:p>
            <w:pPr>
              <w:keepNext w:val="0"/>
              <w:spacing w:line="260" w:lineRule="exact" w:before="20" w:after="20"/>
              <w:ind w:firstLine="0"/>
              <w:jc w:val="center"/>
            </w:pPr>
            <w:r>
              <w:rPr>
                <w:rFonts w:ascii="Times New Roman" w:hAnsi="Times New Roman" w:eastAsia="宋体"/>
                <w:b w:val="0"/>
                <w:sz w:val="18"/>
              </w:rPr>
              <w:t>2.00～2.35</w:t>
            </w:r>
          </w:p>
        </w:tc>
      </w:tr>
    </w:tbl>
    <w:p>
      <w:pPr>
        <w:pStyle w:val="2"/>
        <w:widowControl/>
        <w:spacing w:line="300" w:lineRule="auto" w:before="0" w:after="0"/>
        <w:ind w:firstLine="480"/>
        <w:jc w:val="both"/>
      </w:pPr>
      <w:r>
        <w:rPr>
          <w:rFonts w:ascii="Times New Roman" w:hAnsi="Times New Roman" w:eastAsia="方正仿宋_GBK"/>
          <w:b w:val="0"/>
          <w:sz w:val="24"/>
        </w:rPr>
        <w:t xml:space="preserve">表中仅列参数与推荐容载比。增长率采用0%～2%、大于2%至7%、大于7%至10%三个分档；区间下限2.00为0.05步长向外取整的显示值，逐点弹性计算执行2.001下限。初始转供率28.2879%～50%、两类一般供电站群及案例设备结构、两种负荷分布共同构成该表的适用条件。装机与电量渗透率按式（5-19）对应，价格比按3 h参考尺度列示。</w:t>
      </w:r>
    </w:p>
    <w:p>
      <w:pPr>
        <w:pStyle w:val="2"/>
        <w:widowControl/>
        <w:spacing w:line="300" w:lineRule="auto" w:before="0" w:after="0"/>
        <w:ind w:firstLine="480"/>
        <w:jc w:val="both"/>
      </w:pPr>
      <w:r>
        <w:rPr>
          <w:rFonts w:ascii="Times New Roman" w:hAnsi="Times New Roman" w:eastAsia="方正仿宋_GBK"/>
          <w:b w:val="0"/>
          <w:sz w:val="24"/>
        </w:rPr>
        <w:t xml:space="preserve">7000个外推计算点均满足所设正常容量、单台主变退出、转供能力和负荷守恒约束，最大最优性间隙为0.4998%。在1400组固定技术条件中，216组随价格组合变化发生容载比选择变化。其余组合主要保持容量规格或通过储能、转接量调整费用。</w:t>
      </w:r>
    </w:p>
    <w:p>
      <w:pPr>
        <w:pStyle w:val="5"/>
        <w:keepNext/>
        <w:numPr>
          <w:numId w:val="0"/>
        </w:numPr>
        <w:spacing w:line="360" w:lineRule="auto" w:before="160" w:after="120"/>
        <w:ind w:firstLine="0"/>
      </w:pPr>
      <w:bookmarkStart w:id="181" w:name="参数变化与容载比的关系"/>
      <w:r>
        <w:rPr>
          <w:rFonts w:ascii="Times New Roman" w:hAnsi="Times New Roman" w:eastAsia="方正仿宋_GBK"/>
          <w:b/>
          <w:sz w:val="26"/>
        </w:rPr>
        <w:t xml:space="preserve">5.6.4 参数变化与容载比的关系</w:t>
      </w:r>
      <w:bookmarkEnd w:id="181"/>
    </w:p>
    <w:p>
      <w:pPr>
        <w:pStyle w:val="FirstParagraph"/>
        <w:widowControl/>
        <w:spacing w:line="300" w:lineRule="auto" w:before="0" w:after="0"/>
        <w:ind w:firstLine="480"/>
        <w:jc w:val="both"/>
      </w:pPr>
      <w:r>
        <w:rPr>
          <w:rFonts w:ascii="Times New Roman" w:hAnsi="Times New Roman" w:eastAsia="方正仿宋_GBK"/>
          <w:b w:val="0"/>
          <w:sz w:val="24"/>
        </w:rPr>
        <w:t xml:space="preserve">装机渗透率增加后，反向净负荷可能成为主变或储能的约束条件。反向压力的变化还取决于本地用户负荷和电源分布，矩阵保留不同站群与空间分配的计算结果。</w:t>
      </w:r>
    </w:p>
    <w:p>
      <w:pPr>
        <w:pStyle w:val="2"/>
        <w:widowControl/>
        <w:spacing w:line="300" w:lineRule="auto" w:before="0" w:after="0"/>
        <w:ind w:firstLine="480"/>
        <w:jc w:val="both"/>
      </w:pPr>
      <w:r>
        <w:rPr>
          <w:rFonts w:ascii="Times New Roman" w:hAnsi="Times New Roman" w:eastAsia="方正仿宋_GBK"/>
          <w:b w:val="0"/>
          <w:sz w:val="24"/>
        </w:rPr>
        <w:t xml:space="preserve">峰段延长会减少单位储能柜的有效支撑功率，使储能与主变的相对经济性改变。新建联络提升转供能力时，原站和受端容量共同约束可转负荷，已有能力得到充分使用后才产生新增投资需求。</w:t>
      </w:r>
    </w:p>
    <w:p>
      <w:pPr>
        <w:pStyle w:val="2"/>
        <w:widowControl/>
        <w:spacing w:line="300" w:lineRule="auto" w:before="0" w:after="0"/>
        <w:ind w:firstLine="480"/>
        <w:jc w:val="both"/>
      </w:pPr>
      <w:r>
        <w:rPr>
          <w:rFonts w:ascii="Times New Roman" w:hAnsi="Times New Roman" w:eastAsia="方正仿宋_GBK"/>
          <w:b w:val="0"/>
          <w:sz w:val="24"/>
        </w:rPr>
        <w:t xml:space="preserve">负荷增长一方面降低既有容量对应的容载比，另一方面触发新的容量配置。增长档位、主变离散规格及建设时序共同决定最终值。矩阵按增长参数分档，案例则以逐年结果解释这些变化。</w:t>
      </w:r>
    </w:p>
    <w:p>
      <w:bookmarkStart w:id="1518" w:name="h518"/>
      <w:pPr>
        <w:pStyle w:val="4"/>
        <w:keepNext/>
        <w:numPr>
          <w:numId w:val="0"/>
        </w:numPr>
        <w:spacing w:line="360" w:lineRule="auto" w:before="160" w:after="120"/>
        <w:ind w:firstLine="0"/>
      </w:pPr>
      <w:bookmarkStart w:id="182" w:name="规划建议"/>
      <w:r>
        <w:rPr>
          <w:rFonts w:ascii="Times New Roman" w:hAnsi="Times New Roman" w:eastAsia="方正仿宋_GBK"/>
          <w:b/>
          <w:sz w:val="32"/>
        </w:rPr>
        <w:t xml:space="preserve">5.7 规划建议</w:t>
      </w:r>
      <w:bookmarkEnd w:id="182"/>
      <w:bookmarkEnd w:id="1518"/>
    </w:p>
    <w:p>
      <w:pPr>
        <w:pStyle w:val="5"/>
        <w:keepNext/>
        <w:numPr>
          <w:numId w:val="0"/>
        </w:numPr>
        <w:spacing w:line="360" w:lineRule="auto" w:before="160" w:after="120"/>
        <w:ind w:firstLine="0"/>
      </w:pPr>
      <w:bookmarkStart w:id="183" w:name="优先采用弹性指标确定规划范围"/>
      <w:r>
        <w:rPr>
          <w:rFonts w:ascii="Times New Roman" w:hAnsi="Times New Roman" w:eastAsia="方正仿宋_GBK"/>
          <w:b/>
          <w:sz w:val="26"/>
        </w:rPr>
        <w:t xml:space="preserve">5.7.1 优先采用弹性指标确定规划范围</w:t>
      </w:r>
      <w:bookmarkEnd w:id="183"/>
    </w:p>
    <w:p>
      <w:pPr>
        <w:pStyle w:val="FirstParagraph"/>
        <w:widowControl/>
        <w:spacing w:line="300" w:lineRule="auto" w:before="0" w:after="0"/>
        <w:ind w:firstLine="480"/>
        <w:jc w:val="both"/>
      </w:pPr>
      <w:r>
        <w:rPr>
          <w:rFonts w:ascii="Times New Roman" w:hAnsi="Times New Roman" w:eastAsia="方正仿宋_GBK"/>
          <w:b w:val="0"/>
          <w:sz w:val="24"/>
        </w:rPr>
        <w:t xml:space="preserve">根据两地区技术经济对比，推荐采用弹性方案：仿真第4年邳州容载比2.2118、市区2.2102，对应方案均通过所设技术约束，新增措施费用低于刚性。推广到其他片区时，以通用矩阵确定弹性指标比选范围，同时保留2.0刚性上限方案计算费用差，选取满足技术条件且费用较低的组合。</w:t>
      </w:r>
    </w:p>
    <w:p>
      <w:pPr>
        <w:pStyle w:val="2"/>
        <w:widowControl/>
        <w:spacing w:line="300" w:lineRule="auto" w:before="0" w:after="0"/>
        <w:ind w:firstLine="480"/>
        <w:jc w:val="both"/>
      </w:pPr>
      <w:r>
        <w:rPr>
          <w:rFonts w:ascii="Times New Roman" w:hAnsi="Times New Roman" w:eastAsia="方正仿宋_GBK"/>
          <w:b w:val="0"/>
          <w:sz w:val="24"/>
        </w:rPr>
        <w:t xml:space="preserve">规划初期先统一区县与电压等级，计算年网供最大负荷、分布式电源装机渗透率和电量渗透率，结合年负荷平均增长率与95%峰值持续时间，选择通用矩阵中的参考区间。再以实际初始资产、站间转供能力和价格进行方案比选。</w:t>
      </w:r>
    </w:p>
    <w:p>
      <w:pPr>
        <w:pStyle w:val="2"/>
        <w:widowControl/>
        <w:spacing w:line="300" w:lineRule="auto" w:before="0" w:after="0"/>
        <w:ind w:firstLine="480"/>
        <w:jc w:val="both"/>
      </w:pPr>
      <w:r>
        <w:rPr>
          <w:rFonts w:ascii="Times New Roman" w:hAnsi="Times New Roman" w:eastAsia="方正仿宋_GBK"/>
          <w:b w:val="0"/>
          <w:sz w:val="24"/>
        </w:rPr>
        <w:t xml:space="preserve">源荷条件相近而站级负荷分布不同的地区，可采用不同结构情景。矩阵区间用于确定规划比选范围，具体容载比由满足技术条件的容量配置得到。</w:t>
      </w:r>
    </w:p>
    <w:p>
      <w:pPr>
        <w:pStyle w:val="5"/>
        <w:keepNext/>
        <w:numPr>
          <w:numId w:val="0"/>
        </w:numPr>
        <w:spacing w:line="360" w:lineRule="auto" w:before="160" w:after="120"/>
        <w:ind w:firstLine="0"/>
      </w:pPr>
      <w:bookmarkStart w:id="184" w:name="统筹增容配储与10-kv联络"/>
      <w:r>
        <w:rPr>
          <w:rFonts w:ascii="Times New Roman" w:hAnsi="Times New Roman" w:eastAsia="方正仿宋_GBK"/>
          <w:b/>
          <w:sz w:val="26"/>
        </w:rPr>
        <w:t xml:space="preserve">5.7.2 统筹增容、配储与10 kV联络</w:t>
      </w:r>
      <w:bookmarkEnd w:id="184"/>
    </w:p>
    <w:p>
      <w:pPr>
        <w:pStyle w:val="FirstParagraph"/>
        <w:widowControl/>
        <w:spacing w:line="300" w:lineRule="auto" w:before="0" w:after="0"/>
        <w:ind w:firstLine="480"/>
        <w:jc w:val="both"/>
      </w:pPr>
      <w:r>
        <w:rPr>
          <w:rFonts w:ascii="Times New Roman" w:hAnsi="Times New Roman" w:eastAsia="方正仿宋_GBK"/>
          <w:b w:val="0"/>
          <w:sz w:val="24"/>
        </w:rPr>
        <w:t xml:space="preserve">优先核定并利用既有站间转供能力，计算送受端调整后的负荷与容量余量。能力不足时，按新增联络项目提升转供率；再与主变增容及储能配置共同比较全寿命费用。扩容选取受主变规格和预留位置约束，配储选取受峰段持续时间及可用能量约束。</w:t>
      </w:r>
    </w:p>
    <w:p>
      <w:pPr>
        <w:pStyle w:val="2"/>
        <w:widowControl/>
        <w:spacing w:line="300" w:lineRule="auto" w:before="0" w:after="0"/>
        <w:ind w:firstLine="480"/>
        <w:jc w:val="both"/>
      </w:pPr>
      <w:r>
        <w:rPr>
          <w:rFonts w:ascii="Times New Roman" w:hAnsi="Times New Roman" w:eastAsia="方正仿宋_GBK"/>
          <w:b w:val="0"/>
          <w:sz w:val="24"/>
        </w:rPr>
        <w:t xml:space="preserve">光伏较多的县域同时核对正向和反向容量。市区按供电安全任务分析重载站与承接站，依据本地光伏规模和线路资料核定初始转供率。区县内部转接保持总量，区域容载比按统一年网供最大负荷计算。</w:t>
      </w:r>
    </w:p>
    <w:p>
      <w:pPr>
        <w:pStyle w:val="5"/>
        <w:keepNext/>
        <w:numPr>
          <w:numId w:val="0"/>
        </w:numPr>
        <w:spacing w:line="360" w:lineRule="auto" w:before="160" w:after="120"/>
        <w:ind w:firstLine="0"/>
      </w:pPr>
      <w:bookmarkStart w:id="185" w:name="滚动更新参数与工程方案"/>
      <w:r>
        <w:rPr>
          <w:rFonts w:ascii="Times New Roman" w:hAnsi="Times New Roman" w:eastAsia="方正仿宋_GBK"/>
          <w:b/>
          <w:sz w:val="26"/>
        </w:rPr>
        <w:t xml:space="preserve">5.7.3 滚动更新参数与工程方案</w:t>
      </w:r>
      <w:bookmarkEnd w:id="185"/>
    </w:p>
    <w:p>
      <w:pPr>
        <w:pStyle w:val="FirstParagraph"/>
        <w:widowControl/>
        <w:spacing w:line="300" w:lineRule="auto" w:before="0" w:after="0"/>
        <w:ind w:firstLine="480"/>
        <w:jc w:val="both"/>
      </w:pPr>
      <w:r>
        <w:rPr>
          <w:rFonts w:ascii="Times New Roman" w:hAnsi="Times New Roman" w:eastAsia="方正仿宋_GBK"/>
          <w:b w:val="0"/>
          <w:sz w:val="24"/>
        </w:rPr>
        <w:t xml:space="preserve">取得新增设备台账、用户电量与实际线路资料后，更新相应参数与候选集合。主变、储能和线路价格按统一工程范围折算，使用相同现金流规则比较费用。负荷增长、光伏投产和峰段特征变化时，重新计算容量与负荷分配，滚动修订规划区间和建设时点。</w:t>
      </w:r>
    </w:p>
    <w:p>
      <w:bookmarkStart w:id="1528" w:name="h528"/>
      <w:pPr>
        <w:pStyle w:val="3"/>
        <w:keepNext/>
        <w:pageBreakBefore/>
        <w:numPr>
          <w:numId w:val="0"/>
        </w:numPr>
        <w:spacing w:line="360" w:lineRule="auto" w:before="0" w:after="120"/>
        <w:ind w:firstLine="0"/>
      </w:pPr>
      <w:bookmarkStart w:id="186" w:name="第六章-结论与建议"/>
      <w:r>
        <w:rPr>
          <w:rFonts w:ascii="Times New Roman" w:hAnsi="Times New Roman" w:eastAsia="方正仿宋_GBK"/>
          <w:b/>
          <w:sz w:val="36"/>
        </w:rPr>
        <w:t xml:space="preserve">第六章 结论与建议</w:t>
      </w:r>
      <w:bookmarkEnd w:id="186"/>
      <w:bookmarkEnd w:id="1528"/>
    </w:p>
    <w:p>
      <w:bookmarkStart w:id="1529" w:name="h529"/>
      <w:pPr>
        <w:pStyle w:val="4"/>
        <w:keepNext/>
        <w:numPr>
          <w:numId w:val="0"/>
        </w:numPr>
        <w:spacing w:line="360" w:lineRule="auto" w:before="160" w:after="120"/>
        <w:ind w:firstLine="0"/>
      </w:pPr>
      <w:bookmarkStart w:id="187" w:name="主要研究结论"/>
      <w:r>
        <w:rPr>
          <w:rFonts w:ascii="Times New Roman" w:hAnsi="Times New Roman" w:eastAsia="方正仿宋_GBK"/>
          <w:b/>
          <w:sz w:val="32"/>
        </w:rPr>
        <w:t xml:space="preserve">6.1 主要研究结论</w:t>
      </w:r>
      <w:bookmarkEnd w:id="187"/>
      <w:bookmarkEnd w:id="1529"/>
    </w:p>
    <w:p>
      <w:pPr>
        <w:pStyle w:val="5"/>
        <w:keepNext/>
        <w:numPr>
          <w:numId w:val="0"/>
        </w:numPr>
        <w:spacing w:line="360" w:lineRule="auto" w:before="160" w:after="120"/>
        <w:ind w:firstLine="0"/>
      </w:pPr>
      <w:bookmarkStart w:id="188" w:name="统一指标定义将区域统计与站级需求衔接"/>
      <w:r>
        <w:rPr>
          <w:rFonts w:ascii="Times New Roman" w:hAnsi="Times New Roman" w:eastAsia="方正仿宋_GBK"/>
          <w:b/>
          <w:sz w:val="26"/>
        </w:rPr>
        <w:t xml:space="preserve">6.1.1 统一指标定义，将区域统计与站级需求衔接</w:t>
      </w:r>
      <w:bookmarkEnd w:id="188"/>
    </w:p>
    <w:p>
      <w:pPr>
        <w:pStyle w:val="FirstParagraph"/>
        <w:widowControl/>
        <w:spacing w:line="300" w:lineRule="auto" w:before="0" w:after="0"/>
        <w:ind w:firstLine="480"/>
        <w:jc w:val="both"/>
      </w:pPr>
      <w:r>
        <w:rPr>
          <w:rFonts w:ascii="Times New Roman" w:hAnsi="Times New Roman" w:eastAsia="方正仿宋_GBK"/>
          <w:b w:val="0"/>
          <w:sz w:val="24"/>
        </w:rPr>
        <w:t xml:space="preserve">容载比按同电压等级公用变电设备总容量与年网供最大负荷之比计算；分布式电源装机渗透率和电量渗透率分别以用户最大负荷、用户用电量为分母。研究采用区县年度降压负荷估计年网供最大负荷，结合站级净负荷及光伏资料估计源荷指标，并列明计算方法。邳州2025年装机渗透率约1.631、电量渗透率约40.28%，市区约0.318和8.69%，用于构造不同源荷条件。</w:t>
      </w:r>
    </w:p>
    <w:p>
      <w:pPr>
        <w:pStyle w:val="2"/>
        <w:widowControl/>
        <w:spacing w:line="300" w:lineRule="auto" w:before="0" w:after="0"/>
        <w:ind w:firstLine="480"/>
        <w:jc w:val="both"/>
      </w:pPr>
      <w:r>
        <w:rPr>
          <w:rFonts w:ascii="Times New Roman" w:hAnsi="Times New Roman" w:eastAsia="方正仿宋_GBK"/>
          <w:b w:val="0"/>
          <w:sz w:val="24"/>
        </w:rPr>
        <w:t xml:space="preserve">站级最大正向、反向净负荷分别进入容量约束，95%峰值持续时间用于折算储能有效支撑功率。区域同期峰值与各站独立峰值按各自用途使用，区县内部负荷转接保持总量。由此，容载比变化可以追溯到主变容量与区域负荷，局部建设需求可以追溯到对应站级约束。</w:t>
      </w:r>
    </w:p>
    <w:p>
      <w:pPr>
        <w:pStyle w:val="5"/>
        <w:keepNext/>
        <w:numPr>
          <w:numId w:val="0"/>
        </w:numPr>
        <w:spacing w:line="360" w:lineRule="auto" w:before="160" w:after="120"/>
        <w:ind w:firstLine="0"/>
      </w:pPr>
      <w:bookmarkStart w:id="189" w:name="建立按工程事件计算的全寿命费用模型"/>
      <w:r>
        <w:rPr>
          <w:rFonts w:ascii="Times New Roman" w:hAnsi="Times New Roman" w:eastAsia="方正仿宋_GBK"/>
          <w:b/>
          <w:sz w:val="26"/>
        </w:rPr>
        <w:t xml:space="preserve">6.1.2 建立按工程事件计算的全寿命费用模型</w:t>
      </w:r>
      <w:bookmarkEnd w:id="189"/>
    </w:p>
    <w:p>
      <w:pPr>
        <w:pStyle w:val="FirstParagraph"/>
        <w:widowControl/>
        <w:spacing w:line="300" w:lineRule="auto" w:before="0" w:after="0"/>
        <w:ind w:firstLine="480"/>
        <w:jc w:val="both"/>
      </w:pPr>
      <w:r>
        <w:rPr>
          <w:rFonts w:ascii="Times New Roman" w:hAnsi="Times New Roman" w:eastAsia="方正仿宋_GBK"/>
          <w:b w:val="0"/>
          <w:sz w:val="24"/>
        </w:rPr>
        <w:t xml:space="preserve">主变更换采用徐州两个实际工程的采购容量加权系数16.573333万元/MVA，第三台50 MVA扩建采用同规模工程均值1223万元/项。储能按0.1 MW/0.215 MWh整数柜及21.0456262万元/柜计取，新增10 kV联络按106.8万元/项目计取。参考价格及规模外推采用统一研究条件，投资按当年实际采购量形成。</w:t>
      </w:r>
    </w:p>
    <w:p>
      <w:pPr>
        <w:pStyle w:val="2"/>
        <w:widowControl/>
        <w:spacing w:line="300" w:lineRule="auto" w:before="0" w:after="0"/>
        <w:ind w:firstLine="480"/>
        <w:jc w:val="both"/>
      </w:pPr>
      <w:r>
        <w:rPr>
          <w:rFonts w:ascii="Times New Roman" w:hAnsi="Times New Roman" w:eastAsia="方正仿宋_GBK"/>
          <w:b w:val="0"/>
          <w:sz w:val="24"/>
        </w:rPr>
        <w:t xml:space="preserve">费用统一折算到2021年末，评价截止于2041年，计入新增建设、固定运维及寿命更新。主变和线路寿命20年、储能10年，折现率6%，均为研究评价参数。该方法将不同投运时点与寿命的措施放入同一费用目标，使容量净增、设备采购与费用现值分别可核。</w:t>
      </w:r>
    </w:p>
    <w:p>
      <w:pPr>
        <w:pStyle w:val="5"/>
        <w:keepNext/>
        <w:numPr>
          <w:numId w:val="0"/>
        </w:numPr>
        <w:spacing w:line="360" w:lineRule="auto" w:before="160" w:after="120"/>
        <w:ind w:firstLine="0"/>
      </w:pPr>
      <w:bookmarkStart w:id="190" w:name="弹性方案在案例技术经济比较中优于刚性"/>
      <w:r>
        <w:rPr>
          <w:rFonts w:ascii="Times New Roman" w:hAnsi="Times New Roman" w:eastAsia="方正仿宋_GBK"/>
          <w:b/>
          <w:sz w:val="26"/>
        </w:rPr>
        <w:t xml:space="preserve">6.1.3 弹性方案在案例技术经济比较中优于刚性</w:t>
      </w:r>
      <w:bookmarkEnd w:id="190"/>
    </w:p>
    <w:p>
      <w:pPr>
        <w:pStyle w:val="FirstParagraph"/>
        <w:widowControl/>
        <w:spacing w:line="300" w:lineRule="auto" w:before="0" w:after="0"/>
        <w:ind w:firstLine="480"/>
        <w:jc w:val="both"/>
      </w:pPr>
      <w:r>
        <w:rPr>
          <w:rFonts w:ascii="Times New Roman" w:hAnsi="Times New Roman" w:eastAsia="方正仿宋_GBK"/>
          <w:b w:val="0"/>
          <w:sz w:val="24"/>
        </w:rPr>
        <w:t xml:space="preserve">刚性与弹性方案在同一区县共用容载比2.0的仿真起点，后续按历史资料估计的年负荷平均增长率推演。主变规格、第三台、储能柜数及联络项目为离散决策，转接功率为连续决策。各年均满足正常容量、单台主变退出后全部转接负荷、资产持续在役及联络能力约束。</w:t>
      </w:r>
    </w:p>
    <w:p>
      <w:pPr>
        <w:pStyle w:val="2"/>
        <w:widowControl/>
        <w:spacing w:line="300" w:lineRule="auto" w:before="0" w:after="0"/>
        <w:ind w:firstLine="480"/>
        <w:jc w:val="both"/>
      </w:pPr>
      <w:r>
        <w:rPr>
          <w:rFonts w:ascii="Times New Roman" w:hAnsi="Times New Roman" w:eastAsia="方正仿宋_GBK"/>
          <w:b w:val="0"/>
          <w:sz w:val="24"/>
        </w:rPr>
        <w:t xml:space="preserve">邳州刚性方案第1—4年容载比分别为1.9992、1.9902、1.9947、1.9574，弹性方案分别为2.5264、2.3863、2.2946、2.2118。刚性全寿命费用现值为109582.71万元，弹性为23079.09万元。各年结果由相应主变、储能和转接配置形成。</w:t>
      </w:r>
    </w:p>
    <w:p>
      <w:pPr>
        <w:pStyle w:val="2"/>
        <w:widowControl/>
        <w:spacing w:line="300" w:lineRule="auto" w:before="0" w:after="0"/>
        <w:ind w:firstLine="480"/>
        <w:jc w:val="both"/>
      </w:pPr>
      <w:r>
        <w:rPr>
          <w:rFonts w:ascii="Times New Roman" w:hAnsi="Times New Roman" w:eastAsia="方正仿宋_GBK"/>
          <w:b w:val="0"/>
          <w:sz w:val="24"/>
        </w:rPr>
        <w:t xml:space="preserve">市区刚性方案第1—4年容载比分别为1.9934、1.9840、1.9874、1.9523，弹性方案分别为2.2838、2.2434、2.2500、2.2102。刚性全寿命费用现值为98983.58万元，弹性为12604.54万元。各年结果由相应主变、储能和转接配置形成。</w:t>
      </w:r>
    </w:p>
    <w:p>
      <w:pPr>
        <w:pStyle w:val="2"/>
        <w:widowControl/>
        <w:spacing w:line="300" w:lineRule="auto" w:before="0" w:after="0"/>
        <w:ind w:firstLine="480"/>
        <w:jc w:val="both"/>
      </w:pPr>
      <w:r>
        <w:rPr>
          <w:rFonts w:ascii="Times New Roman" w:hAnsi="Times New Roman" w:eastAsia="方正仿宋_GBK"/>
          <w:b w:val="0"/>
          <w:sz w:val="24"/>
        </w:rPr>
        <w:t xml:space="preserve">两地区刚性方案新增措施全寿命费用现值合计208566.29万元，弹性合计35683.63万元。弹性较刚性费用降低82.89%。费用差由所选主变、储能和联络工程的投资、运维及更新共同形成。</w:t>
      </w:r>
    </w:p>
    <w:p>
      <w:pPr>
        <w:pStyle w:val="2"/>
        <w:widowControl/>
        <w:spacing w:line="300" w:lineRule="auto" w:before="0" w:after="0"/>
        <w:ind w:firstLine="480"/>
        <w:jc w:val="both"/>
      </w:pPr>
      <w:r>
        <w:rPr>
          <w:rFonts w:ascii="Times New Roman" w:hAnsi="Times New Roman" w:eastAsia="方正仿宋_GBK"/>
          <w:b w:val="0"/>
          <w:sz w:val="24"/>
        </w:rPr>
        <w:t xml:space="preserve">费用分解表明，弹性方案增加主变配置后，邳州第4年储能降至2.8 MW/6.02 MWh，市区静态模型所需储能为零；对应新增联络分别为12项和4项。刚性方案受2.0上限限制，更多采用储能补充退出工况容量。上述差异同时受全负荷静态退出条件、初始设备结构与参考价格影响。</w:t>
      </w:r>
    </w:p>
    <w:p>
      <w:pPr>
        <w:pStyle w:val="2"/>
        <w:widowControl/>
        <w:spacing w:line="300" w:lineRule="auto" w:before="0" w:after="0"/>
        <w:ind w:firstLine="480"/>
        <w:jc w:val="both"/>
      </w:pPr>
      <w:r>
        <w:rPr>
          <w:rFonts w:ascii="Times New Roman" w:hAnsi="Times New Roman" w:eastAsia="方正仿宋_GBK"/>
          <w:b w:val="0"/>
          <w:sz w:val="24"/>
        </w:rPr>
        <w:t xml:space="preserve">费用阶段最优性间隙为0.99995%，容量偏好阶段为0.49944%，固定布局转接阶段为0。392个站年经独立复算，容量、资产持续在役、负荷守恒及现金流均通过。计算结果据所记录的目标上下界和精度解释。</w:t>
      </w:r>
    </w:p>
    <w:p>
      <w:pPr>
        <w:pStyle w:val="5"/>
        <w:keepNext/>
        <w:numPr>
          <w:numId w:val="0"/>
        </w:numPr>
        <w:spacing w:line="360" w:lineRule="auto" w:before="160" w:after="120"/>
        <w:ind w:firstLine="0"/>
      </w:pPr>
      <w:bookmarkStart w:id="191" w:name="kv联络通过区县内部配置提高容量利用"/>
      <w:r>
        <w:rPr>
          <w:rFonts w:ascii="Times New Roman" w:hAnsi="Times New Roman" w:eastAsia="方正仿宋_GBK"/>
          <w:b/>
          <w:sz w:val="26"/>
        </w:rPr>
        <w:t xml:space="preserve">6.1.4 10 kV联络通过区县内部配置提高容量利用</w:t>
      </w:r>
      <w:bookmarkEnd w:id="191"/>
    </w:p>
    <w:p>
      <w:pPr>
        <w:pStyle w:val="FirstParagraph"/>
        <w:widowControl/>
        <w:spacing w:line="300" w:lineRule="auto" w:before="0" w:after="0"/>
        <w:ind w:firstLine="480"/>
        <w:jc w:val="both"/>
      </w:pPr>
      <w:r>
        <w:rPr>
          <w:rFonts w:ascii="Times New Roman" w:hAnsi="Times New Roman" w:eastAsia="方正仿宋_GBK"/>
          <w:b w:val="0"/>
          <w:sz w:val="24"/>
        </w:rPr>
        <w:t xml:space="preserve">市区初始站间转供率假定为50%，邳州按六馈线及跨站联络资料计算得到28.2879%，在县域仿真站中统一应用。既有能力利用计零新增建设投资，新增项目提高能力并计入投资、运维费用。新增能力按送受两端关联和县域共享预算校核，转出负荷后的反向压力同时进入容量约束。</w:t>
      </w:r>
    </w:p>
    <w:p>
      <w:pPr>
        <w:pStyle w:val="2"/>
        <w:widowControl/>
        <w:spacing w:line="300" w:lineRule="auto" w:before="0" w:after="0"/>
        <w:ind w:firstLine="480"/>
        <w:jc w:val="both"/>
      </w:pPr>
      <w:r>
        <w:rPr>
          <w:rFonts w:ascii="Times New Roman" w:hAnsi="Times New Roman" w:eastAsia="方正仿宋_GBK"/>
          <w:b w:val="0"/>
          <w:sz w:val="24"/>
        </w:rPr>
        <w:t xml:space="preserve">联络方案由可转负荷、承接站容量和项目费用共同决定。新建项目提升转供率后，仍与主变增容、储能一起比较费用，形成各年实际设备配置及转接量。</w:t>
      </w:r>
    </w:p>
    <w:p>
      <w:pPr>
        <w:pStyle w:val="5"/>
        <w:keepNext/>
        <w:numPr>
          <w:numId w:val="0"/>
        </w:numPr>
        <w:spacing w:line="360" w:lineRule="auto" w:before="160" w:after="120"/>
        <w:ind w:firstLine="0"/>
      </w:pPr>
      <w:bookmarkStart w:id="192" w:name="形成参数分档的通用容载比推荐矩阵"/>
      <w:r>
        <w:rPr>
          <w:rFonts w:ascii="Times New Roman" w:hAnsi="Times New Roman" w:eastAsia="方正仿宋_GBK"/>
          <w:b/>
          <w:sz w:val="26"/>
        </w:rPr>
        <w:t xml:space="preserve">6.1.5 形成参数分档的通用容载比推荐矩阵</w:t>
      </w:r>
      <w:bookmarkEnd w:id="192"/>
    </w:p>
    <w:p>
      <w:pPr>
        <w:pStyle w:val="FirstParagraph"/>
        <w:widowControl/>
        <w:spacing w:line="300" w:lineRule="auto" w:before="0" w:after="0"/>
        <w:ind w:firstLine="480"/>
        <w:jc w:val="both"/>
      </w:pPr>
      <w:r>
        <w:rPr>
          <w:rFonts w:ascii="Times New Roman" w:hAnsi="Times New Roman" w:eastAsia="方正仿宋_GBK"/>
          <w:b w:val="0"/>
          <w:sz w:val="24"/>
        </w:rPr>
        <w:t xml:space="preserve">通用外推采用两类五站一般结构，以容载比2.0为基期，目标年沿用弹性2.001～2.6研究范围。装机渗透率取0～3.0、年负荷平均增长率取0～10%、95%峰值持续时间取1～6 h，结合两种负荷分布及五组交叉价格，完成7000个目标年静态整数规划组合。</w:t>
      </w:r>
    </w:p>
    <w:p>
      <w:pPr>
        <w:pStyle w:val="2"/>
        <w:widowControl/>
        <w:spacing w:line="300" w:lineRule="auto" w:before="0" w:after="0"/>
        <w:ind w:firstLine="480"/>
        <w:jc w:val="both"/>
      </w:pPr>
      <w:r>
        <w:rPr>
          <w:rFonts w:ascii="Times New Roman" w:hAnsi="Times New Roman" w:eastAsia="方正仿宋_GBK"/>
          <w:b w:val="0"/>
          <w:sz w:val="24"/>
        </w:rPr>
        <w:t xml:space="preserve">推荐区间按各参数档内一般站群计算点及案例目标年校核点的容载比最小值和最大值向外取整至0.05形成。装机渗透率0～1.0的计算区间包络为2.00～2.45；1.0～2.0为2.00～2.50；2.0～3.0为2.00～2.60，具体按第五章矩阵匹配。矩阵只列参数与容载比，工程措施保存在逐点结果中。</w:t>
      </w:r>
    </w:p>
    <w:p>
      <w:pPr>
        <w:pStyle w:val="2"/>
        <w:widowControl/>
        <w:spacing w:line="300" w:lineRule="auto" w:before="0" w:after="0"/>
        <w:ind w:firstLine="480"/>
        <w:jc w:val="both"/>
      </w:pPr>
      <w:r>
        <w:rPr>
          <w:rFonts w:ascii="Times New Roman" w:hAnsi="Times New Roman" w:eastAsia="方正仿宋_GBK"/>
          <w:b w:val="0"/>
          <w:sz w:val="24"/>
        </w:rPr>
        <w:t xml:space="preserve">7000个组合均满足所设技术约束，最大最优性间隙为0.4998%。矩阵区间是所列站群、源荷构造和价格条件下的计算包络，供前期规划选择比选范围。区间下限显示2.00为工程步长取整结果，逐点弹性计算仍执行2.001下限。</w:t>
      </w:r>
    </w:p>
    <w:p>
      <w:bookmarkStart w:id="1550" w:name="h550"/>
      <w:pPr>
        <w:pStyle w:val="4"/>
        <w:keepNext/>
        <w:numPr>
          <w:numId w:val="0"/>
        </w:numPr>
        <w:spacing w:line="360" w:lineRule="auto" w:before="160" w:after="120"/>
        <w:ind w:firstLine="0"/>
      </w:pPr>
      <w:bookmarkStart w:id="193" w:name="规划应用建议"/>
      <w:r>
        <w:rPr>
          <w:rFonts w:ascii="Times New Roman" w:hAnsi="Times New Roman" w:eastAsia="方正仿宋_GBK"/>
          <w:b/>
          <w:sz w:val="32"/>
        </w:rPr>
        <w:t xml:space="preserve">6.2 规划应用建议</w:t>
      </w:r>
      <w:bookmarkEnd w:id="193"/>
      <w:bookmarkEnd w:id="1550"/>
    </w:p>
    <w:p>
      <w:pPr>
        <w:pStyle w:val="5"/>
        <w:keepNext/>
        <w:numPr>
          <w:numId w:val="0"/>
        </w:numPr>
        <w:spacing w:line="360" w:lineRule="auto" w:before="160" w:after="120"/>
        <w:ind w:firstLine="0"/>
      </w:pPr>
      <w:bookmarkStart w:id="194" w:name="优先采用弹性指标保留刚性费用基准"/>
      <w:r>
        <w:rPr>
          <w:rFonts w:ascii="Times New Roman" w:hAnsi="Times New Roman" w:eastAsia="方正仿宋_GBK"/>
          <w:b/>
          <w:sz w:val="26"/>
        </w:rPr>
        <w:t xml:space="preserve">6.2.1 优先采用弹性指标，保留刚性费用基准</w:t>
      </w:r>
      <w:bookmarkEnd w:id="194"/>
    </w:p>
    <w:p>
      <w:pPr>
        <w:pStyle w:val="FirstParagraph"/>
        <w:widowControl/>
        <w:spacing w:line="300" w:lineRule="auto" w:before="0" w:after="0"/>
        <w:ind w:firstLine="480"/>
        <w:jc w:val="both"/>
      </w:pPr>
      <w:r>
        <w:rPr>
          <w:rFonts w:ascii="Times New Roman" w:hAnsi="Times New Roman" w:eastAsia="方正仿宋_GBK"/>
          <w:b w:val="0"/>
          <w:sz w:val="24"/>
        </w:rPr>
        <w:t xml:space="preserve">两地区仿真第4年推荐采用邳州2.2118、市区2.2102的弹性方案。该方案在与刚性相同的技术约束下满足容量需求，全寿命费用现值合计降低82.89%。其他片区依据通用矩阵选择弹性范围，同时保留2.0刚性上限方案作为费用对照，形成具体推荐。</w:t>
      </w:r>
    </w:p>
    <w:p>
      <w:pPr>
        <w:pStyle w:val="2"/>
        <w:widowControl/>
        <w:spacing w:line="300" w:lineRule="auto" w:before="0" w:after="0"/>
        <w:ind w:firstLine="480"/>
        <w:jc w:val="both"/>
      </w:pPr>
      <w:r>
        <w:rPr>
          <w:rFonts w:ascii="Times New Roman" w:hAnsi="Times New Roman" w:eastAsia="方正仿宋_GBK"/>
          <w:b w:val="0"/>
          <w:sz w:val="24"/>
        </w:rPr>
        <w:t xml:space="preserve">先核定区县同电压等级公用主变容量、年网供最大负荷与用户用电统计，计算分布式电源装机渗透率、电量渗透率和年负荷平均增长率。再结合正反向峰值、95%峰值持续时间及工程成本比选择矩阵区间。实际规划以核定在役资产为起点，仿真2.0起点用于本研究方案比较。</w:t>
      </w:r>
    </w:p>
    <w:p>
      <w:pPr>
        <w:pStyle w:val="5"/>
        <w:keepNext/>
        <w:numPr>
          <w:numId w:val="0"/>
        </w:numPr>
        <w:spacing w:line="360" w:lineRule="auto" w:before="160" w:after="120"/>
        <w:ind w:firstLine="0"/>
      </w:pPr>
      <w:bookmarkStart w:id="195" w:name="共同寻优增容配储与联络方案"/>
      <w:r>
        <w:rPr>
          <w:rFonts w:ascii="Times New Roman" w:hAnsi="Times New Roman" w:eastAsia="方正仿宋_GBK"/>
          <w:b/>
          <w:sz w:val="26"/>
        </w:rPr>
        <w:t xml:space="preserve">6.2.2 共同寻优增容、配储与联络方案</w:t>
      </w:r>
      <w:bookmarkEnd w:id="195"/>
    </w:p>
    <w:p>
      <w:pPr>
        <w:pStyle w:val="FirstParagraph"/>
        <w:widowControl/>
        <w:spacing w:line="300" w:lineRule="auto" w:before="0" w:after="0"/>
        <w:ind w:firstLine="480"/>
        <w:jc w:val="both"/>
      </w:pPr>
      <w:r>
        <w:rPr>
          <w:rFonts w:ascii="Times New Roman" w:hAnsi="Times New Roman" w:eastAsia="方正仿宋_GBK"/>
          <w:b w:val="0"/>
          <w:sz w:val="24"/>
        </w:rPr>
        <w:t xml:space="preserve">核定既有联络和可切换负荷，优先使用具备条件的转供能力；能力不足时，将新建10 kV联络与主变更换、第三台扩建及储能配置共同纳入比选。送端正向负荷、潜在反向压力与受端承接容量同时校核。高光伏占比县域重点分析双向净负荷，市区结合A类供电安全条件分析局部重载及承接能力。</w:t>
      </w:r>
    </w:p>
    <w:p>
      <w:pPr>
        <w:pStyle w:val="5"/>
        <w:keepNext/>
        <w:numPr>
          <w:numId w:val="0"/>
        </w:numPr>
        <w:spacing w:line="360" w:lineRule="auto" w:before="160" w:after="120"/>
        <w:ind w:firstLine="0"/>
      </w:pPr>
      <w:bookmarkStart w:id="196" w:name="随资料和工程价格滚动修订"/>
      <w:r>
        <w:rPr>
          <w:rFonts w:ascii="Times New Roman" w:hAnsi="Times New Roman" w:eastAsia="方正仿宋_GBK"/>
          <w:b/>
          <w:sz w:val="26"/>
        </w:rPr>
        <w:t xml:space="preserve">6.2.3 随资料和工程价格滚动修订</w:t>
      </w:r>
      <w:bookmarkEnd w:id="196"/>
    </w:p>
    <w:p>
      <w:pPr>
        <w:pStyle w:val="FirstParagraph"/>
        <w:widowControl/>
        <w:spacing w:line="300" w:lineRule="auto" w:before="0" w:after="0"/>
        <w:ind w:firstLine="480"/>
        <w:jc w:val="both"/>
      </w:pPr>
      <w:r>
        <w:rPr>
          <w:rFonts w:ascii="Times New Roman" w:hAnsi="Times New Roman" w:eastAsia="方正仿宋_GBK"/>
          <w:b w:val="0"/>
          <w:sz w:val="24"/>
        </w:rPr>
        <w:t xml:space="preserve">负荷增长、光伏投产和设备变化取得新资料后，更新对应源荷及资产参数，再计算设备配置和推荐容载比。工程价格按相同建设范围折算，保持购置、运维与更新的现金流规则一致。年度方案同步保存容量、采购事件、储能与联络投运状态，便于复核和下一轮规划接续。</w:t>
      </w:r>
    </w:p>
    <w:p>
      <w:bookmarkStart w:id="1558" w:name="h558"/>
      <w:pPr>
        <w:pStyle w:val="4"/>
        <w:keepNext/>
        <w:numPr>
          <w:numId w:val="0"/>
        </w:numPr>
        <w:spacing w:line="360" w:lineRule="auto" w:before="160" w:after="120"/>
        <w:ind w:firstLine="0"/>
      </w:pPr>
      <w:bookmarkStart w:id="197" w:name="后续完善方向"/>
      <w:r>
        <w:rPr>
          <w:rFonts w:ascii="Times New Roman" w:hAnsi="Times New Roman" w:eastAsia="方正仿宋_GBK"/>
          <w:b/>
          <w:sz w:val="32"/>
        </w:rPr>
        <w:t xml:space="preserve">6.3 后续完善方向</w:t>
      </w:r>
      <w:bookmarkEnd w:id="197"/>
      <w:bookmarkEnd w:id="1558"/>
    </w:p>
    <w:p>
      <w:pPr>
        <w:pStyle w:val="5"/>
        <w:keepNext/>
        <w:numPr>
          <w:numId w:val="0"/>
        </w:numPr>
        <w:spacing w:line="360" w:lineRule="auto" w:before="160" w:after="120"/>
        <w:ind w:firstLine="0"/>
      </w:pPr>
      <w:bookmarkStart w:id="198" w:name="连续时序与储能运行校核"/>
      <w:r>
        <w:rPr>
          <w:rFonts w:ascii="Times New Roman" w:hAnsi="Times New Roman" w:eastAsia="方正仿宋_GBK"/>
          <w:b/>
          <w:sz w:val="26"/>
        </w:rPr>
        <w:t xml:space="preserve">6.3.1 连续时序与储能运行校核</w:t>
      </w:r>
      <w:bookmarkEnd w:id="198"/>
    </w:p>
    <w:p>
      <w:pPr>
        <w:pStyle w:val="FirstParagraph"/>
        <w:widowControl/>
        <w:spacing w:line="300" w:lineRule="auto" w:before="0" w:after="0"/>
        <w:ind w:firstLine="480"/>
        <w:jc w:val="both"/>
      </w:pPr>
      <w:r>
        <w:rPr>
          <w:rFonts w:ascii="Times New Roman" w:hAnsi="Times New Roman" w:eastAsia="方正仿宋_GBK"/>
          <w:b w:val="0"/>
          <w:sz w:val="24"/>
        </w:rPr>
        <w:t xml:space="preserve">补齐同范围用户负荷、光伏出力和转接负荷块时序，在有效功率、可用能量、充放电效率及荷电状态约束下复核储能规模，并核定连续多日运行与充电条件。</w:t>
      </w:r>
    </w:p>
    <w:p>
      <w:pPr>
        <w:pStyle w:val="5"/>
        <w:keepNext/>
        <w:numPr>
          <w:numId w:val="0"/>
        </w:numPr>
        <w:spacing w:line="360" w:lineRule="auto" w:before="160" w:after="120"/>
        <w:ind w:firstLine="0"/>
      </w:pPr>
      <w:bookmarkStart w:id="199" w:name="实际网络与故障恢复校核"/>
      <w:r>
        <w:rPr>
          <w:rFonts w:ascii="Times New Roman" w:hAnsi="Times New Roman" w:eastAsia="方正仿宋_GBK"/>
          <w:b/>
          <w:sz w:val="26"/>
        </w:rPr>
        <w:t xml:space="preserve">6.3.2 实际网络与故障恢复校核</w:t>
      </w:r>
      <w:bookmarkEnd w:id="199"/>
    </w:p>
    <w:p>
      <w:pPr>
        <w:pStyle w:val="FirstParagraph"/>
        <w:widowControl/>
        <w:spacing w:line="300" w:lineRule="auto" w:before="0" w:after="0"/>
        <w:ind w:firstLine="480"/>
        <w:jc w:val="both"/>
      </w:pPr>
      <w:r>
        <w:rPr>
          <w:rFonts w:ascii="Times New Roman" w:hAnsi="Times New Roman" w:eastAsia="方正仿宋_GBK"/>
          <w:b w:val="0"/>
          <w:sz w:val="24"/>
        </w:rPr>
        <w:t xml:space="preserve">将等效站间项目落实到实际馈线、开关和线路走向，核定可切换负荷与受端余量，继续校核线路热限、电压、保护配合及导则规定的故障恢复要求。工程概算补齐具体土建、接入及运行费用，复核措施经济排序。</w:t>
      </w:r>
    </w:p>
    <w:p>
      <w:pPr>
        <w:pStyle w:val="5"/>
        <w:keepNext/>
        <w:numPr>
          <w:numId w:val="0"/>
        </w:numPr>
        <w:spacing w:line="360" w:lineRule="auto" w:before="160" w:after="120"/>
        <w:ind w:firstLine="0"/>
      </w:pPr>
      <w:bookmarkStart w:id="200" w:name="一般站群与参数范围拓展"/>
      <w:r>
        <w:rPr>
          <w:rFonts w:ascii="Times New Roman" w:hAnsi="Times New Roman" w:eastAsia="方正仿宋_GBK"/>
          <w:b/>
          <w:sz w:val="26"/>
        </w:rPr>
        <w:t xml:space="preserve">6.3.3 一般站群与参数范围拓展</w:t>
      </w:r>
      <w:bookmarkEnd w:id="200"/>
    </w:p>
    <w:p>
      <w:pPr>
        <w:pStyle w:val="FirstParagraph"/>
        <w:widowControl/>
        <w:spacing w:line="300" w:lineRule="auto" w:before="0" w:after="0"/>
        <w:ind w:firstLine="480"/>
        <w:jc w:val="both"/>
      </w:pPr>
      <w:r>
        <w:rPr>
          <w:rFonts w:ascii="Times New Roman" w:hAnsi="Times New Roman" w:eastAsia="方正仿宋_GBK"/>
          <w:b w:val="0"/>
          <w:sz w:val="24"/>
        </w:rPr>
        <w:t xml:space="preserve">增加不同主变台数、负荷密度和电源分布的一般站群，细化当前价格范围内的切换点。取得更多区县核定数据后，独立检验矩阵的结构适用条件，逐步更新推荐范围。</w:t>
      </w:r>
    </w:p>
    <w:p>
      <w:bookmarkStart w:id="1565" w:name="h565"/>
      <w:pPr>
        <w:pStyle w:val="3"/>
        <w:keepNext/>
        <w:pageBreakBefore/>
        <w:numPr>
          <w:numId w:val="0"/>
        </w:numPr>
        <w:spacing w:line="360" w:lineRule="auto" w:before="0" w:after="120"/>
        <w:ind w:firstLine="0"/>
      </w:pPr>
      <w:bookmarkStart w:id="201" w:name="参考文献"/>
      <w:r>
        <w:rPr>
          <w:rFonts w:ascii="Times New Roman" w:hAnsi="Times New Roman" w:eastAsia="方正仿宋_GBK"/>
          <w:b/>
          <w:sz w:val="36"/>
        </w:rPr>
        <w:t xml:space="preserve">参考文献</w:t>
      </w:r>
      <w:bookmarkEnd w:id="201"/>
      <w:bookmarkEnd w:id="1565"/>
    </w:p>
    <w:p>
      <w:pPr>
        <w:pStyle w:val="FirstParagraph"/>
        <w:widowControl/>
        <w:spacing w:line="276" w:lineRule="auto" w:before="0" w:after="80"/>
        <w:ind w:firstLine="0"/>
        <w:jc w:val="left"/>
      </w:pPr>
      <w:r>
        <w:rPr>
          <w:rFonts w:ascii="Times New Roman" w:hAnsi="Times New Roman" w:eastAsia="方正仿宋_GBK"/>
          <w:b w:val="0"/>
          <w:sz w:val="21"/>
        </w:rPr>
        <w:t xml:space="preserve">[1] HOU Q, ZHANG N, DU E, et al. Probabilistic duck curve in high PV penetration power system: concept, modeling, and empirical analysis in China[J]. Applied Energy, 2019, 242: 205-215.</w:t>
      </w:r>
    </w:p>
    <w:p>
      <w:pPr>
        <w:pStyle w:val="2"/>
        <w:widowControl/>
        <w:spacing w:line="276" w:lineRule="auto" w:before="0" w:after="80"/>
        <w:ind w:firstLine="0"/>
        <w:jc w:val="left"/>
      </w:pPr>
      <w:r>
        <w:rPr>
          <w:rFonts w:ascii="Times New Roman" w:hAnsi="Times New Roman" w:eastAsia="方正仿宋_GBK"/>
          <w:b w:val="0"/>
          <w:sz w:val="21"/>
        </w:rPr>
        <w:t xml:space="preserve">[2] MAJEED I B, NWULU N I. Impact of reverse power flow on distributed transformers in a solar-photovoltaic-integrated low-voltage network[J]. Energies, 2022, 15(23): 9238.</w:t>
      </w:r>
    </w:p>
    <w:p>
      <w:pPr>
        <w:pStyle w:val="2"/>
        <w:widowControl/>
        <w:spacing w:line="276" w:lineRule="auto" w:before="0" w:after="80"/>
        <w:ind w:firstLine="0"/>
        <w:jc w:val="left"/>
      </w:pPr>
      <w:r>
        <w:rPr>
          <w:rFonts w:ascii="Times New Roman" w:hAnsi="Times New Roman" w:eastAsia="方正仿宋_GBK"/>
          <w:b w:val="0"/>
          <w:sz w:val="21"/>
        </w:rPr>
        <w:t xml:space="preserve">[3] 国家发展改革委, 国家能源局. 关于新形势下配电网高质量发展的指导意见: 发改能源〔2024〕187号[Z]. 2024.</w:t>
      </w:r>
    </w:p>
    <w:p>
      <w:pPr>
        <w:pStyle w:val="2"/>
        <w:widowControl/>
        <w:spacing w:line="276" w:lineRule="auto" w:before="0" w:after="80"/>
        <w:ind w:firstLine="0"/>
        <w:jc w:val="left"/>
      </w:pPr>
      <w:r>
        <w:rPr>
          <w:rFonts w:ascii="Times New Roman" w:hAnsi="Times New Roman" w:eastAsia="方正仿宋_GBK"/>
          <w:b w:val="0"/>
          <w:sz w:val="21"/>
        </w:rPr>
        <w:t xml:space="preserve">[4] DL/T 5729—2023 配电网规划设计技术导则[S]. 2023.</w:t>
      </w:r>
    </w:p>
    <w:p>
      <w:pPr>
        <w:pStyle w:val="2"/>
        <w:widowControl/>
        <w:spacing w:line="276" w:lineRule="auto" w:before="0" w:after="80"/>
        <w:ind w:firstLine="0"/>
        <w:jc w:val="left"/>
      </w:pPr>
      <w:r>
        <w:rPr>
          <w:rFonts w:ascii="Times New Roman" w:hAnsi="Times New Roman" w:eastAsia="方正仿宋_GBK"/>
          <w:b w:val="0"/>
          <w:sz w:val="21"/>
        </w:rPr>
        <w:t xml:space="preserve">[5] 肖峻, 刘柔嘉, 龙梦皓. 变电容载比与下一级中压配电网络关系的量化分析[J]. 电力建设, 2015, 36(11): 45-50.</w:t>
      </w:r>
    </w:p>
    <w:p>
      <w:pPr>
        <w:pStyle w:val="2"/>
        <w:widowControl/>
        <w:spacing w:line="276" w:lineRule="auto" w:before="0" w:after="80"/>
        <w:ind w:firstLine="0"/>
        <w:jc w:val="left"/>
      </w:pPr>
      <w:r>
        <w:rPr>
          <w:rFonts w:ascii="Times New Roman" w:hAnsi="Times New Roman" w:eastAsia="方正仿宋_GBK"/>
          <w:b w:val="0"/>
          <w:sz w:val="21"/>
        </w:rPr>
        <w:t xml:space="preserve">[6] LIN T, WU G, LAI S, et al. Calculation of distribution network PV hosting capacity considering source–load uncertainty and active management[J]. Electronics, 2024, 13(20): 4048.</w:t>
      </w:r>
    </w:p>
    <w:p>
      <w:pPr>
        <w:pStyle w:val="2"/>
        <w:widowControl/>
        <w:spacing w:line="276" w:lineRule="auto" w:before="0" w:after="80"/>
        <w:ind w:firstLine="0"/>
        <w:jc w:val="left"/>
      </w:pPr>
      <w:r>
        <w:rPr>
          <w:rFonts w:ascii="Times New Roman" w:hAnsi="Times New Roman" w:eastAsia="方正仿宋_GBK"/>
          <w:b w:val="0"/>
          <w:sz w:val="21"/>
        </w:rPr>
        <w:t xml:space="preserve">[7] CHEN C, PENG W, XIE C, et al. Photovoltaic hosting capacity assessment of distribution networks considering source–load uncertainty[J]. Energies, 2025, 18(8): 2134.</w:t>
      </w:r>
    </w:p>
    <w:p>
      <w:pPr>
        <w:pStyle w:val="2"/>
        <w:widowControl/>
        <w:spacing w:line="276" w:lineRule="auto" w:before="0" w:after="80"/>
        <w:ind w:firstLine="0"/>
        <w:jc w:val="left"/>
      </w:pPr>
      <w:r>
        <w:rPr>
          <w:rFonts w:ascii="Times New Roman" w:hAnsi="Times New Roman" w:eastAsia="方正仿宋_GBK"/>
          <w:b w:val="0"/>
          <w:sz w:val="21"/>
        </w:rPr>
        <w:t xml:space="preserve">[8] LIU H, HE J, DENG L, et al. Assessment of distribution network hosting capacity incorporating multiple uncertainty factors[J]. Electronics, 2025, 14(22): 4495.</w:t>
      </w:r>
    </w:p>
    <w:p>
      <w:pPr>
        <w:pStyle w:val="2"/>
        <w:widowControl/>
        <w:spacing w:line="276" w:lineRule="auto" w:before="0" w:after="80"/>
        <w:ind w:firstLine="0"/>
        <w:jc w:val="left"/>
      </w:pPr>
      <w:r>
        <w:rPr>
          <w:rFonts w:ascii="Times New Roman" w:hAnsi="Times New Roman" w:eastAsia="方正仿宋_GBK"/>
          <w:b w:val="0"/>
          <w:sz w:val="21"/>
        </w:rPr>
        <w:t xml:space="preserve">[9] SHU J, ZHAO C, CHU B, et al. A closed-loop framework for PV dynamic hosting capacity: integrating physics-informed forecasting and stability constraints[J]. Frontiers in Energy Research, 2026. DOI: 10.3389/fenrg.2026.1823435.</w:t>
      </w:r>
    </w:p>
    <w:p>
      <w:pPr>
        <w:pStyle w:val="2"/>
        <w:widowControl/>
        <w:spacing w:line="276" w:lineRule="auto" w:before="0" w:after="80"/>
        <w:ind w:firstLine="0"/>
        <w:jc w:val="left"/>
      </w:pPr>
      <w:r>
        <w:rPr>
          <w:rFonts w:ascii="Times New Roman" w:hAnsi="Times New Roman" w:eastAsia="方正仿宋_GBK"/>
          <w:b w:val="0"/>
          <w:sz w:val="21"/>
        </w:rPr>
        <w:t xml:space="preserve">[10] XIE Y, LI Q, YANG L, et al. The phenomenon and suppression strategy of overvoltage caused by PV power reverse flow[J]. Frontiers in Energy Research, 2024, 12: 1495742.</w:t>
      </w:r>
    </w:p>
    <w:p>
      <w:pPr>
        <w:pStyle w:val="2"/>
        <w:widowControl/>
        <w:spacing w:line="276" w:lineRule="auto" w:before="0" w:after="80"/>
        <w:ind w:firstLine="0"/>
        <w:jc w:val="left"/>
      </w:pPr>
      <w:r>
        <w:rPr>
          <w:rFonts w:ascii="Times New Roman" w:hAnsi="Times New Roman" w:eastAsia="方正仿宋_GBK"/>
          <w:b w:val="0"/>
          <w:sz w:val="21"/>
        </w:rPr>
        <w:t xml:space="preserve">[11] GHORBANSARVI A, HAMILTON D, ALMASSALKHI M R, et al. Transformer temperature management and voltage control in electric distribution systems with high solar PV penetration[EB/OL]. arXiv: 2410.09011, 2024.</w:t>
      </w:r>
    </w:p>
    <w:p>
      <w:pPr>
        <w:pStyle w:val="2"/>
        <w:widowControl/>
        <w:spacing w:line="276" w:lineRule="auto" w:before="0" w:after="80"/>
        <w:ind w:firstLine="0"/>
        <w:jc w:val="left"/>
      </w:pPr>
      <w:r>
        <w:rPr>
          <w:rFonts w:ascii="Times New Roman" w:hAnsi="Times New Roman" w:eastAsia="方正仿宋_GBK"/>
          <w:b w:val="0"/>
          <w:sz w:val="21"/>
        </w:rPr>
        <w:t xml:space="preserve">[12] GAO X, ZHANG J, SUN H, et al. A review of voltage control studies on low voltage distribution networks containing high penetration distributed photovoltaics[J]. Energies, 2024, 17(13): 3058.</w:t>
      </w:r>
    </w:p>
    <w:p>
      <w:pPr>
        <w:pStyle w:val="2"/>
        <w:widowControl/>
        <w:spacing w:line="276" w:lineRule="auto" w:before="0" w:after="80"/>
        <w:ind w:firstLine="0"/>
        <w:jc w:val="left"/>
      </w:pPr>
      <w:r>
        <w:rPr>
          <w:rFonts w:ascii="Times New Roman" w:hAnsi="Times New Roman" w:eastAsia="方正仿宋_GBK"/>
          <w:b w:val="0"/>
          <w:sz w:val="21"/>
        </w:rPr>
        <w:t xml:space="preserve">[13] MATTHISS B, MOMENIFARAHANI A, BINDER J. Storage placement and sizing in a distribution grid with high PV-generation[EB/OL]. arXiv: 2001.05814, 2020.</w:t>
      </w:r>
    </w:p>
    <w:p>
      <w:pPr>
        <w:pStyle w:val="2"/>
        <w:widowControl/>
        <w:spacing w:line="276" w:lineRule="auto" w:before="0" w:after="80"/>
        <w:ind w:firstLine="0"/>
        <w:jc w:val="left"/>
      </w:pPr>
      <w:r>
        <w:rPr>
          <w:rFonts w:ascii="Times New Roman" w:hAnsi="Times New Roman" w:eastAsia="方正仿宋_GBK"/>
          <w:b w:val="0"/>
          <w:sz w:val="21"/>
        </w:rPr>
        <w:t xml:space="preserve">[14] MARTÍNEZ M, MATEO C, GÓMEZ T, et al. Distributed battery energy storage systems for deferring distribution network reinforcements under sustained load growth scenarios[J]. Journal of Energy Storage, 2024, 100: 113404.</w:t>
      </w:r>
    </w:p>
    <w:p>
      <w:pPr>
        <w:pStyle w:val="2"/>
        <w:widowControl/>
        <w:spacing w:line="276" w:lineRule="auto" w:before="0" w:after="80"/>
        <w:ind w:firstLine="0"/>
        <w:jc w:val="left"/>
      </w:pPr>
      <w:r>
        <w:rPr>
          <w:rFonts w:ascii="Times New Roman" w:hAnsi="Times New Roman" w:eastAsia="方正仿宋_GBK"/>
          <w:b w:val="0"/>
          <w:sz w:val="21"/>
        </w:rPr>
        <w:t xml:space="preserve">[15] HOLWEGER J, BALLIF C, WYRSCH N. Distributed flexibility as a cost-effective alternative to grid reinforcement[EB/OL]. arXiv:2109.07305, 2021.</w:t>
      </w:r>
    </w:p>
    <w:p>
      <w:pPr>
        <w:pStyle w:val="2"/>
        <w:widowControl/>
        <w:spacing w:line="276" w:lineRule="auto" w:before="0" w:after="80"/>
        <w:ind w:firstLine="0"/>
        <w:jc w:val="left"/>
      </w:pPr>
      <w:r>
        <w:rPr>
          <w:rFonts w:ascii="Times New Roman" w:hAnsi="Times New Roman" w:eastAsia="方正仿宋_GBK"/>
          <w:b w:val="0"/>
          <w:sz w:val="21"/>
        </w:rPr>
        <w:t xml:space="preserve">[16] WANG R, JI H, LI P, et al. Multi-resource dynamic coordinated planning of flexible distribution network[J]. Nature Communications, 2024, 15: 4576.</w:t>
      </w:r>
    </w:p>
    <w:p>
      <w:pPr>
        <w:pStyle w:val="2"/>
        <w:widowControl/>
        <w:spacing w:line="276" w:lineRule="auto" w:before="0" w:after="80"/>
        <w:ind w:firstLine="0"/>
        <w:jc w:val="left"/>
      </w:pPr>
      <w:r>
        <w:rPr>
          <w:rFonts w:ascii="Times New Roman" w:hAnsi="Times New Roman" w:eastAsia="方正仿宋_GBK"/>
          <w:b w:val="0"/>
          <w:sz w:val="21"/>
        </w:rPr>
        <w:t xml:space="preserve">[17] WU Y, CHEN Y, LI Z, et al. Robust co-planning of distributed photovoltaics and energy storage for enhancing the hosting capacity of active distribution networks[J]. Renewable Energy, 2025, 253: 123645.</w:t>
      </w:r>
    </w:p>
    <w:p>
      <w:pPr>
        <w:pStyle w:val="2"/>
        <w:widowControl/>
        <w:spacing w:line="276" w:lineRule="auto" w:before="0" w:after="80"/>
        <w:ind w:firstLine="0"/>
        <w:jc w:val="left"/>
      </w:pPr>
      <w:r>
        <w:rPr>
          <w:rFonts w:ascii="Times New Roman" w:hAnsi="Times New Roman" w:eastAsia="方正仿宋_GBK"/>
          <w:b w:val="0"/>
          <w:sz w:val="21"/>
        </w:rPr>
        <w:t xml:space="preserve">[18] WANG J, CHANG C, LE J, et al. Sustainable distribution network planning for enhancing PV accommodation: a source–network–storage coordinated stochastic approach[J]. Sustainability, 2025, 17(12): 5324.</w:t>
      </w:r>
    </w:p>
    <w:p>
      <w:pPr>
        <w:pStyle w:val="2"/>
        <w:widowControl/>
        <w:spacing w:line="276" w:lineRule="auto" w:before="0" w:after="80"/>
        <w:ind w:firstLine="0"/>
        <w:jc w:val="left"/>
      </w:pPr>
      <w:r>
        <w:rPr>
          <w:rFonts w:ascii="Times New Roman" w:hAnsi="Times New Roman" w:eastAsia="方正仿宋_GBK"/>
          <w:b w:val="0"/>
          <w:sz w:val="21"/>
        </w:rPr>
        <w:t xml:space="preserve">[19] NAIR V J, VAHID-GHAVIDEL M, ANNASWAMY A M. Dynamic resource coordination can increase grid hosting capacity to support more renewables, storage, and electrified load growth[EB/OL]. arXiv:2604.02170, 2026.</w:t>
      </w:r>
    </w:p>
    <w:p>
      <w:pPr>
        <w:pStyle w:val="2"/>
        <w:widowControl/>
        <w:spacing w:line="276" w:lineRule="auto" w:before="0" w:after="80"/>
        <w:ind w:firstLine="0"/>
        <w:jc w:val="left"/>
      </w:pPr>
      <w:r>
        <w:rPr>
          <w:rFonts w:ascii="Times New Roman" w:hAnsi="Times New Roman" w:eastAsia="方正仿宋_GBK"/>
          <w:b w:val="0"/>
          <w:sz w:val="21"/>
        </w:rPr>
        <w:t xml:space="preserve">[20] XU T, MENG H, ZHU J, et al. Considering the life-cycle cost of distributed energy-storage planning in distribution grids[J]. Applied Sciences, 2018, 8(12): 2615.</w:t>
      </w:r>
    </w:p>
    <w:p>
      <w:pPr>
        <w:pStyle w:val="2"/>
        <w:widowControl/>
        <w:spacing w:line="276" w:lineRule="auto" w:before="0" w:after="80"/>
        <w:ind w:firstLine="0"/>
        <w:jc w:val="left"/>
      </w:pPr>
      <w:r>
        <w:rPr>
          <w:rFonts w:ascii="Times New Roman" w:hAnsi="Times New Roman" w:eastAsia="方正仿宋_GBK"/>
          <w:b w:val="0"/>
          <w:sz w:val="21"/>
        </w:rPr>
        <w:t xml:space="preserve">[21] ZENG W, FAN J, ZHANG W, et al. Whole life cycle cost analysis of transmission lines using the economic life interval method[J]. Energies, 2023, 16(23): 7804.</w:t>
      </w:r>
    </w:p>
    <w:p>
      <w:pPr>
        <w:pStyle w:val="2"/>
        <w:widowControl/>
        <w:spacing w:line="276" w:lineRule="auto" w:before="0" w:after="80"/>
        <w:ind w:firstLine="0"/>
        <w:jc w:val="left"/>
      </w:pPr>
      <w:r>
        <w:rPr>
          <w:rFonts w:ascii="Times New Roman" w:hAnsi="Times New Roman" w:eastAsia="方正仿宋_GBK"/>
          <w:b w:val="0"/>
          <w:sz w:val="21"/>
        </w:rPr>
        <w:t xml:space="preserve">[22] ZHU Z, LU S, GAO B, et al. Life cycle cost analysis of three types of power lines in 10 kV distribution network[J]. Inventions, 2016, 1(4): 20.</w:t>
      </w:r>
    </w:p>
    <w:p>
      <w:pPr>
        <w:pStyle w:val="2"/>
        <w:widowControl/>
        <w:spacing w:line="276" w:lineRule="auto" w:before="0" w:after="80"/>
        <w:ind w:firstLine="0"/>
        <w:jc w:val="left"/>
      </w:pPr>
      <w:r>
        <w:rPr>
          <w:rFonts w:ascii="Times New Roman" w:hAnsi="Times New Roman" w:eastAsia="方正仿宋_GBK"/>
          <w:b w:val="0"/>
          <w:sz w:val="21"/>
        </w:rPr>
        <w:t xml:space="preserve">[23] HUANG J, SUN Z, XIE H, et al. Optimal substation capacity planning method in high-density load areas considering renewable energy[J]. Energy Reports, 2023, 9: 1520-1530.</w:t>
      </w:r>
    </w:p>
    <w:p>
      <w:pPr>
        <w:pStyle w:val="2"/>
        <w:widowControl/>
        <w:spacing w:line="276" w:lineRule="auto" w:before="0" w:after="80"/>
        <w:ind w:firstLine="0"/>
        <w:jc w:val="left"/>
      </w:pPr>
      <w:r>
        <w:rPr>
          <w:rFonts w:ascii="Times New Roman" w:hAnsi="Times New Roman" w:eastAsia="方正仿宋_GBK"/>
          <w:b w:val="0"/>
          <w:sz w:val="21"/>
        </w:rPr>
        <w:t xml:space="preserve">[24] XU D, FU Q, YE L, et al. The optimal sizing of substation capacity in a distribution network, considering a dynamic time-of-use pricing mechanism[J]. Sensors, 2022, 22(19): 7173.</w:t>
      </w:r>
    </w:p>
    <w:p>
      <w:pPr>
        <w:pStyle w:val="2"/>
        <w:widowControl/>
        <w:spacing w:line="276" w:lineRule="auto" w:before="0" w:after="80"/>
        <w:ind w:firstLine="0"/>
        <w:jc w:val="left"/>
      </w:pPr>
      <w:r>
        <w:rPr>
          <w:rFonts w:ascii="Times New Roman" w:hAnsi="Times New Roman" w:eastAsia="方正仿宋_GBK"/>
          <w:b w:val="0"/>
          <w:sz w:val="21"/>
        </w:rPr>
        <w:t xml:space="preserve">[25] WU Q, PENG C. Comprehensive benefit evaluation of the power distribution network planning project based on improved IAHP and multi-level extension assessment method[J]. Sustainability, 2016, 8(8): 796.</w:t>
      </w:r>
    </w:p>
    <w:p>
      <w:pPr>
        <w:pStyle w:val="2"/>
        <w:widowControl/>
        <w:spacing w:line="276" w:lineRule="auto" w:before="0" w:after="80"/>
        <w:ind w:firstLine="0"/>
        <w:jc w:val="left"/>
      </w:pPr>
      <w:r>
        <w:rPr>
          <w:rFonts w:ascii="Times New Roman" w:hAnsi="Times New Roman" w:eastAsia="方正仿宋_GBK"/>
          <w:b w:val="0"/>
          <w:sz w:val="21"/>
        </w:rPr>
        <w:t xml:space="preserve">[26]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276" w:lineRule="auto" w:before="0" w:after="80"/>
        <w:ind w:firstLine="0"/>
        <w:jc w:val="left"/>
      </w:pPr>
      <w:r>
        <w:rPr>
          <w:rFonts w:ascii="Times New Roman" w:hAnsi="Times New Roman" w:eastAsia="方正仿宋_GBK"/>
          <w:b w:val="0"/>
          <w:sz w:val="21"/>
        </w:rPr>
        <w:t xml:space="preserve">[27] WANG Y, YAN C, WANG Z, et al. Adaptability evaluation of power grid planning scheme for novel power system considering multiple decision psychology[J]. Energies, 2024, 17(15): 3672.</w:t>
      </w:r>
    </w:p>
    <w:p>
      <w:pPr>
        <w:pStyle w:val="2"/>
        <w:widowControl/>
        <w:spacing w:line="276" w:lineRule="auto" w:before="0" w:after="80"/>
        <w:ind w:firstLine="0"/>
        <w:jc w:val="left"/>
      </w:pPr>
      <w:r>
        <w:rPr>
          <w:rFonts w:ascii="Times New Roman" w:hAnsi="Times New Roman" w:eastAsia="方正仿宋_GBK"/>
          <w:b w:val="0"/>
          <w:sz w:val="21"/>
        </w:rPr>
        <w:t xml:space="preserve">[28] 陈浩, 张焰, 俞国勤, 等. 多电压等级配电网最优容载比的计算方法[J]. 电气应用, 2011, 30(1): 25-29.</w:t>
      </w:r>
    </w:p>
    <w:p>
      <w:pPr>
        <w:pStyle w:val="2"/>
        <w:widowControl/>
        <w:spacing w:line="276" w:lineRule="auto" w:before="0" w:after="80"/>
        <w:ind w:firstLine="0"/>
        <w:jc w:val="left"/>
      </w:pPr>
      <w:r>
        <w:rPr>
          <w:rFonts w:ascii="Times New Roman" w:hAnsi="Times New Roman" w:eastAsia="方正仿宋_GBK"/>
          <w:b w:val="0"/>
          <w:sz w:val="21"/>
        </w:rPr>
        <w:t xml:space="preserve">[29] 王凯亮, 何卓怡, 叶健鹏, 等. 多电压等级电网协同规划的容载比优化配置方法[J]. 南方电网技术, 2025, 19(7): 131-139.</w:t>
      </w:r>
    </w:p>
    <w:p>
      <w:pPr>
        <w:pStyle w:val="2"/>
        <w:widowControl/>
        <w:spacing w:line="276" w:lineRule="auto" w:before="0" w:after="80"/>
        <w:ind w:firstLine="0"/>
        <w:jc w:val="left"/>
      </w:pPr>
      <w:r>
        <w:rPr>
          <w:rFonts w:ascii="Times New Roman" w:hAnsi="Times New Roman" w:eastAsia="方正仿宋_GBK"/>
          <w:b w:val="0"/>
          <w:sz w:val="21"/>
        </w:rPr>
        <w:t xml:space="preserve">[30] 刘文霞, 刘其达, 邓诗语, 等. 基于容载比色带的区域配电网充裕性分析[J]. 华北电力大学学报(自然科学版), 2022, 49(2): 1-12, 22.</w:t>
      </w:r>
    </w:p>
    <w:p>
      <w:pPr>
        <w:pStyle w:val="2"/>
        <w:widowControl/>
        <w:spacing w:line="276" w:lineRule="auto" w:before="0" w:after="80"/>
        <w:ind w:firstLine="0"/>
        <w:jc w:val="left"/>
      </w:pPr>
      <w:r>
        <w:rPr>
          <w:rFonts w:ascii="Times New Roman" w:hAnsi="Times New Roman" w:eastAsia="方正仿宋_GBK"/>
          <w:b w:val="0"/>
          <w:sz w:val="21"/>
        </w:rPr>
        <w:t xml:space="preserve">[31] 刘炜彬, 梁咏秋, 李锡刚, 等. 面向精细化规划的容载比参数优化方法研究[J]. 电气工程学报, 2025, 20(1): 208-216.</w:t>
      </w:r>
    </w:p>
    <w:p>
      <w:pPr>
        <w:pStyle w:val="2"/>
        <w:widowControl/>
        <w:spacing w:line="276" w:lineRule="auto" w:before="0" w:after="80"/>
        <w:ind w:firstLine="0"/>
        <w:jc w:val="left"/>
      </w:pPr>
      <w:r>
        <w:rPr>
          <w:rFonts w:ascii="Times New Roman" w:hAnsi="Times New Roman" w:eastAsia="方正仿宋_GBK"/>
          <w:b w:val="0"/>
          <w:sz w:val="21"/>
        </w:rPr>
        <w:t xml:space="preserve">[32] 张锐, 刘恒超, 张国驹, 等. 基于改进供电能力指标的低压台区柔性互联装置规划[J]. 电力建设, 2025, 46(8): 1-11.</w:t>
      </w:r>
    </w:p>
    <w:p>
      <w:pPr>
        <w:pStyle w:val="2"/>
        <w:widowControl/>
        <w:spacing w:line="276" w:lineRule="auto" w:before="0" w:after="80"/>
        <w:ind w:firstLine="0"/>
        <w:jc w:val="left"/>
      </w:pPr>
      <w:r>
        <w:rPr>
          <w:rFonts w:ascii="Times New Roman" w:hAnsi="Times New Roman" w:eastAsia="方正仿宋_GBK"/>
          <w:b w:val="0"/>
          <w:sz w:val="21"/>
        </w:rPr>
        <w:t xml:space="preserve">[33] 马雨欣, 林凌雪. 面向配电网精准规划的最大供电能力评估方法[J]. 现代电力, 2025, 42(6): 1120-1130.</w:t>
      </w:r>
    </w:p>
    <w:p>
      <w:pPr>
        <w:pStyle w:val="2"/>
        <w:widowControl/>
        <w:spacing w:line="276" w:lineRule="auto" w:before="0" w:after="80"/>
        <w:ind w:firstLine="0"/>
        <w:jc w:val="left"/>
      </w:pPr>
      <w:r>
        <w:rPr>
          <w:rFonts w:ascii="Times New Roman" w:hAnsi="Times New Roman" w:eastAsia="方正仿宋_GBK"/>
          <w:b w:val="0"/>
          <w:sz w:val="21"/>
        </w:rPr>
        <w:t xml:space="preserve">[34] 王守相, 尹孜阳, 赵倩宇. 考虑多供电层级耦合的中低压配电网分布式光伏承载力一体化精细评估方法[J]. 电工技术学报, 2025, 40(6): 1930-1944.</w:t>
      </w:r>
    </w:p>
    <w:p>
      <w:pPr>
        <w:pStyle w:val="2"/>
        <w:widowControl/>
        <w:spacing w:line="276" w:lineRule="auto" w:before="0" w:after="80"/>
        <w:ind w:firstLine="0"/>
        <w:jc w:val="left"/>
      </w:pPr>
      <w:r>
        <w:rPr>
          <w:rFonts w:ascii="Times New Roman" w:hAnsi="Times New Roman" w:eastAsia="方正仿宋_GBK"/>
          <w:b w:val="0"/>
          <w:sz w:val="21"/>
        </w:rPr>
        <w:t xml:space="preserve">[35] 王方敏, 顼佳宇, 苏宁, 等. 新型电力系统风险抑制下分布式光伏承载力概率评估方法[J]. 中国电力, 2025, 58(6): 33-44.</w:t>
      </w:r>
    </w:p>
    <w:p>
      <w:pPr>
        <w:pStyle w:val="2"/>
        <w:widowControl/>
        <w:spacing w:line="276" w:lineRule="auto" w:before="0" w:after="80"/>
        <w:ind w:firstLine="0"/>
        <w:jc w:val="left"/>
      </w:pPr>
      <w:r>
        <w:rPr>
          <w:rFonts w:ascii="Times New Roman" w:hAnsi="Times New Roman" w:eastAsia="方正仿宋_GBK"/>
          <w:b w:val="0"/>
          <w:sz w:val="21"/>
        </w:rPr>
        <w:t xml:space="preserve">[36] 张伟, 孔巧玉, 滕婕, 等. 面向柔性互联配电网的分布式光伏消纳能力区间评估方法[J/OL]. 现代电力, 2026-03-02. DOI: 10.19725/j.cnki.1007-2322.2024.0254.</w:t>
      </w:r>
    </w:p>
    <w:p>
      <w:pPr>
        <w:pStyle w:val="2"/>
        <w:widowControl/>
        <w:spacing w:line="276" w:lineRule="auto" w:before="0" w:after="80"/>
        <w:ind w:firstLine="0"/>
        <w:jc w:val="left"/>
      </w:pPr>
      <w:r>
        <w:rPr>
          <w:rFonts w:ascii="Times New Roman" w:hAnsi="Times New Roman" w:eastAsia="方正仿宋_GBK"/>
          <w:b w:val="0"/>
          <w:sz w:val="21"/>
        </w:rPr>
        <w:t xml:space="preserve">[37] 龚锐, 李华强, 许立雄. 面向配电网综合承载力提升的储能优化配置方法[J]. 电网技术, 2025, 49(9): 3860-3869.</w:t>
      </w:r>
    </w:p>
    <w:p>
      <w:pPr>
        <w:pStyle w:val="2"/>
        <w:widowControl/>
        <w:spacing w:line="276" w:lineRule="auto" w:before="0" w:after="80"/>
        <w:ind w:firstLine="0"/>
        <w:jc w:val="left"/>
      </w:pPr>
      <w:r>
        <w:rPr>
          <w:rFonts w:ascii="Times New Roman" w:hAnsi="Times New Roman" w:eastAsia="方正仿宋_GBK"/>
          <w:b w:val="0"/>
          <w:sz w:val="21"/>
        </w:rPr>
        <w:t xml:space="preserve">[38] 李敬如, 白宇, 王旭阳, 等. 考虑主配协同的分布式光伏接入电网安全经济承载力计算方法[J]. 电力建设, 2025, 46(10): 113-121.</w:t>
      </w:r>
    </w:p>
    <w:p>
      <w:pPr>
        <w:pStyle w:val="2"/>
        <w:widowControl/>
        <w:spacing w:line="276" w:lineRule="auto" w:before="0" w:after="80"/>
        <w:ind w:firstLine="0"/>
        <w:jc w:val="left"/>
      </w:pPr>
      <w:r>
        <w:rPr>
          <w:rFonts w:ascii="Times New Roman" w:hAnsi="Times New Roman" w:eastAsia="方正仿宋_GBK"/>
          <w:b w:val="0"/>
          <w:sz w:val="21"/>
        </w:rPr>
        <w:t xml:space="preserve">[39] 曹炜, 董浩洋, 李芸, 等. 分布式光伏高比例接入的国外经验及实践启示[J]. 电气传动, 2022, 52(4): 3-11.</w:t>
      </w:r>
    </w:p>
    <w:p>
      <w:pPr>
        <w:pStyle w:val="2"/>
        <w:widowControl/>
        <w:spacing w:line="276" w:lineRule="auto" w:before="0" w:after="80"/>
        <w:ind w:firstLine="0"/>
        <w:jc w:val="left"/>
      </w:pPr>
      <w:r>
        <w:rPr>
          <w:rFonts w:ascii="Times New Roman" w:hAnsi="Times New Roman" w:eastAsia="方正仿宋_GBK"/>
          <w:b w:val="0"/>
          <w:sz w:val="21"/>
        </w:rPr>
        <w:t xml:space="preserve">[40] 龚玺, 徐金阁, 路玮. 江苏电网电力负荷变化特征研究[J]. 电气工程, 2023, 11(3): 137-143.</w:t>
      </w:r>
    </w:p>
    <w:p>
      <w:pPr>
        <w:pStyle w:val="2"/>
        <w:widowControl/>
        <w:spacing w:line="276" w:lineRule="auto" w:before="0" w:after="80"/>
        <w:ind w:firstLine="0"/>
        <w:jc w:val="left"/>
      </w:pPr>
      <w:r>
        <w:rPr>
          <w:rFonts w:ascii="Times New Roman" w:hAnsi="Times New Roman" w:eastAsia="方正仿宋_GBK"/>
          <w:b w:val="0"/>
          <w:sz w:val="21"/>
        </w:rPr>
        <w:t xml:space="preserve">[41] 梁志峰, 康重庆, 隋凌峰, 等. 含高比例分布式光伏的主配网运行风险评估与防控策略研究[J]. 清华大学学报(自然科学版), 2024, 64(11): 1964-1978.</w:t>
      </w:r>
    </w:p>
    <w:p>
      <w:pPr>
        <w:pStyle w:val="2"/>
        <w:widowControl/>
        <w:spacing w:line="276" w:lineRule="auto" w:before="0" w:after="80"/>
        <w:ind w:firstLine="0"/>
        <w:jc w:val="left"/>
      </w:pPr>
      <w:r>
        <w:rPr>
          <w:rFonts w:ascii="Times New Roman" w:hAnsi="Times New Roman" w:eastAsia="方正仿宋_GBK"/>
          <w:b w:val="0"/>
          <w:sz w:val="21"/>
        </w:rPr>
        <w:t xml:space="preserve">[42] 吕达夫. 考虑源荷不确定性的分布式光伏承载能力评估[J]. 上海电力大学学报, 2024, 40(6): 579-586.</w:t>
      </w:r>
    </w:p>
    <w:p>
      <w:pPr>
        <w:pStyle w:val="2"/>
        <w:widowControl/>
        <w:spacing w:line="276" w:lineRule="auto" w:before="0" w:after="80"/>
        <w:ind w:firstLine="0"/>
        <w:jc w:val="left"/>
      </w:pPr>
      <w:r>
        <w:rPr>
          <w:rFonts w:ascii="Times New Roman" w:hAnsi="Times New Roman" w:eastAsia="方正仿宋_GBK"/>
          <w:b w:val="0"/>
          <w:sz w:val="21"/>
        </w:rPr>
        <w:t xml:space="preserve">[43] 刘克权, 汤文, 陈钊, 等. 新能源高占比下主配协同调度的挑战与提升策略[J]. 智能电网, 2026, 16(1): 7-15.</w:t>
      </w:r>
    </w:p>
    <w:p>
      <w:pPr>
        <w:pStyle w:val="2"/>
        <w:widowControl/>
        <w:spacing w:line="276" w:lineRule="auto" w:before="0" w:after="80"/>
        <w:ind w:firstLine="0"/>
        <w:jc w:val="left"/>
      </w:pPr>
      <w:r>
        <w:rPr>
          <w:rFonts w:ascii="Times New Roman" w:hAnsi="Times New Roman" w:eastAsia="方正仿宋_GBK"/>
          <w:b w:val="0"/>
          <w:sz w:val="21"/>
        </w:rPr>
        <w:t xml:space="preserve">[44] 栗峰, 等. 新型电力系统下分布式光伏规模化并网运行关键技术探讨[J]. 电网技术, 2024, 48(1): 184-196.</w:t>
      </w:r>
    </w:p>
    <w:p>
      <w:pPr>
        <w:pStyle w:val="2"/>
        <w:widowControl/>
        <w:spacing w:line="276" w:lineRule="auto" w:before="0" w:after="80"/>
        <w:ind w:firstLine="0"/>
        <w:jc w:val="left"/>
      </w:pPr>
      <w:r>
        <w:rPr>
          <w:rFonts w:ascii="Times New Roman" w:hAnsi="Times New Roman" w:eastAsia="方正仿宋_GBK"/>
          <w:b w:val="0"/>
          <w:sz w:val="21"/>
        </w:rPr>
        <w:t xml:space="preserve">[45] 刘洪波, 刘珅诚, 盖雪扬, 等. 高比例新能源接入的主动配电网规划综述[J]. 发电技术, 2024, 45(1): 151-161.</w:t>
      </w:r>
    </w:p>
    <w:p>
      <w:pPr>
        <w:pStyle w:val="2"/>
        <w:widowControl/>
        <w:spacing w:line="276" w:lineRule="auto" w:before="0" w:after="80"/>
        <w:ind w:firstLine="0"/>
        <w:jc w:val="left"/>
      </w:pPr>
      <w:r>
        <w:rPr>
          <w:rFonts w:ascii="Times New Roman" w:hAnsi="Times New Roman" w:eastAsia="方正仿宋_GBK"/>
          <w:b w:val="0"/>
          <w:sz w:val="21"/>
        </w:rPr>
        <w:t xml:space="preserve">[46] 黄海泉, 等. 新型配电网分布式储能系统方案及配置研究综述[J]. 南方能源建设, 2024, 11(4): 42-53.</w:t>
      </w:r>
    </w:p>
    <w:p>
      <w:pPr>
        <w:pStyle w:val="2"/>
        <w:widowControl/>
        <w:spacing w:line="276" w:lineRule="auto" w:before="0" w:after="80"/>
        <w:ind w:firstLine="0"/>
        <w:jc w:val="left"/>
      </w:pPr>
      <w:r>
        <w:rPr>
          <w:rFonts w:ascii="Times New Roman" w:hAnsi="Times New Roman" w:eastAsia="方正仿宋_GBK"/>
          <w:b w:val="0"/>
          <w:sz w:val="21"/>
        </w:rPr>
        <w:t xml:space="preserve">[47] 贺春光, 王林峰, 曹媛, 等. 考虑综合收益的多电压等级配电网柔性互联装置协同规划方法[J]. 中国电力, 2025, 58(1): 78-84.</w:t>
      </w:r>
    </w:p>
    <w:p>
      <w:pPr>
        <w:pStyle w:val="2"/>
        <w:widowControl/>
        <w:spacing w:line="276" w:lineRule="auto" w:before="0" w:after="80"/>
        <w:ind w:firstLine="0"/>
        <w:jc w:val="left"/>
      </w:pPr>
      <w:r>
        <w:rPr>
          <w:rFonts w:ascii="Times New Roman" w:hAnsi="Times New Roman" w:eastAsia="方正仿宋_GBK"/>
          <w:b w:val="0"/>
          <w:sz w:val="21"/>
        </w:rPr>
        <w:t xml:space="preserve">[48] 徐峰亮, 王克谦, 等. 计及运行灵活性的中压配电系统源-网-储协同扩展规划[J]. 中国电力, 2024, 57(7): 98-108.</w:t>
      </w:r>
    </w:p>
    <w:p>
      <w:pPr>
        <w:pStyle w:val="2"/>
        <w:widowControl/>
        <w:spacing w:line="276" w:lineRule="auto" w:before="0" w:after="80"/>
        <w:ind w:firstLine="0"/>
        <w:jc w:val="left"/>
      </w:pPr>
      <w:r>
        <w:rPr>
          <w:rFonts w:ascii="Times New Roman" w:hAnsi="Times New Roman" w:eastAsia="方正仿宋_GBK"/>
          <w:b w:val="0"/>
          <w:sz w:val="21"/>
        </w:rPr>
        <w:t xml:space="preserve">[49] 乐健, 王靖, 廖小兵, 等. 基于随机场景的配电网源网储协同规划方法[J]. 电力系统保护与控制, 2025, 53(4): 132-147.</w:t>
      </w:r>
    </w:p>
    <w:p>
      <w:pPr>
        <w:pStyle w:val="2"/>
        <w:widowControl/>
        <w:spacing w:line="276" w:lineRule="auto" w:before="0" w:after="80"/>
        <w:ind w:firstLine="0"/>
        <w:jc w:val="left"/>
      </w:pPr>
      <w:r>
        <w:rPr>
          <w:rFonts w:ascii="Times New Roman" w:hAnsi="Times New Roman" w:eastAsia="方正仿宋_GBK"/>
          <w:b w:val="0"/>
          <w:sz w:val="21"/>
        </w:rPr>
        <w:t xml:space="preserve">[50] 张全, 代贤忠, 韩新阳, 等. 基于全生命周期投入产出效益的电网规划精准投资方法[J]. 中国电力, 2018, 51(10): 171-177.</w:t>
      </w:r>
    </w:p>
    <w:p>
      <w:pPr>
        <w:pStyle w:val="2"/>
        <w:widowControl/>
        <w:spacing w:line="276" w:lineRule="auto" w:before="0" w:after="80"/>
        <w:ind w:firstLine="0"/>
        <w:jc w:val="left"/>
      </w:pPr>
      <w:r>
        <w:rPr>
          <w:rFonts w:ascii="Times New Roman" w:hAnsi="Times New Roman" w:eastAsia="方正仿宋_GBK"/>
          <w:b w:val="0"/>
          <w:sz w:val="21"/>
        </w:rPr>
        <w:t xml:space="preserve">[51] 何凯, 王剑晓, 王佳伟, 等. 基于全成本电价的电网规划方案评估与优选[J]. 中国电力, 2020, 53(3): 66-75.</w:t>
      </w:r>
    </w:p>
    <w:p>
      <w:pPr>
        <w:pStyle w:val="2"/>
        <w:widowControl/>
        <w:spacing w:line="276" w:lineRule="auto" w:before="0" w:after="80"/>
        <w:ind w:firstLine="0"/>
        <w:jc w:val="left"/>
      </w:pPr>
      <w:r>
        <w:rPr>
          <w:rFonts w:ascii="Times New Roman" w:hAnsi="Times New Roman" w:eastAsia="方正仿宋_GBK"/>
          <w:b w:val="0"/>
          <w:sz w:val="21"/>
        </w:rPr>
        <w:t xml:space="preserve">[52] 武小琳, 栾凌, 潘连武, 等. 基于LM-CNN的输变电工程造价自动计算模型[J]. 中国电力, 2023, 56(2): 157-163.</w:t>
      </w:r>
    </w:p>
    <w:p>
      <w:pPr>
        <w:pStyle w:val="2"/>
        <w:widowControl/>
        <w:spacing w:line="276" w:lineRule="auto" w:before="0" w:after="80"/>
        <w:ind w:firstLine="0"/>
        <w:jc w:val="left"/>
      </w:pPr>
      <w:r>
        <w:rPr>
          <w:rFonts w:ascii="Times New Roman" w:hAnsi="Times New Roman" w:eastAsia="方正仿宋_GBK"/>
          <w:b w:val="0"/>
          <w:sz w:val="21"/>
        </w:rPr>
        <w:t xml:space="preserve">[53] 黄碧斌, 李琼慧, 高菲. 计及电网改造的高渗透率分布式光伏优化规划[J]. 电力建设, 2015, 36(10): 82-87.</w:t>
      </w:r>
    </w:p>
    <w:p>
      <w:pPr>
        <w:pStyle w:val="2"/>
        <w:widowControl/>
        <w:spacing w:line="276" w:lineRule="auto" w:before="0" w:after="80"/>
        <w:ind w:firstLine="0"/>
        <w:jc w:val="left"/>
      </w:pPr>
      <w:r>
        <w:rPr>
          <w:rFonts w:ascii="Times New Roman" w:hAnsi="Times New Roman" w:eastAsia="方正仿宋_GBK"/>
          <w:b w:val="0"/>
          <w:sz w:val="21"/>
        </w:rPr>
        <w:t xml:space="preserve">[54] 罗宁, 贺墨琳, 高华, 等. 基于改进的AHP-CRITIC组合赋权与可拓评估模型的配电网综合评价方法[J]. 电力系统保护与控制, 2021, 49(16): 86-96.</w:t>
      </w:r>
    </w:p>
    <w:p>
      <w:pPr>
        <w:pStyle w:val="2"/>
        <w:widowControl/>
        <w:spacing w:line="276" w:lineRule="auto" w:before="0" w:after="80"/>
        <w:ind w:firstLine="0"/>
        <w:jc w:val="left"/>
      </w:pPr>
      <w:r>
        <w:rPr>
          <w:rFonts w:ascii="Times New Roman" w:hAnsi="Times New Roman" w:eastAsia="方正仿宋_GBK"/>
          <w:b w:val="0"/>
          <w:sz w:val="21"/>
        </w:rPr>
        <w:t xml:space="preserve">[55] 程智余, 朱晓虎, 李建青. 基于改进ELECTRE法的电网规划投资多准则融合决策方法[J]. 中国电力, 2022, 55(11): 59-65.</w:t>
      </w:r>
    </w:p>
    <w:p>
      <w:pPr>
        <w:pStyle w:val="2"/>
        <w:widowControl/>
        <w:spacing w:line="276" w:lineRule="auto" w:before="0" w:after="80"/>
        <w:ind w:firstLine="0"/>
        <w:jc w:val="left"/>
      </w:pPr>
      <w:r>
        <w:rPr>
          <w:rFonts w:ascii="Times New Roman" w:hAnsi="Times New Roman" w:eastAsia="方正仿宋_GBK"/>
          <w:b w:val="0"/>
          <w:sz w:val="21"/>
        </w:rPr>
        <w:t xml:space="preserve">[56] 汪志才, 蔡晔, 谭玉东, 等. 考虑功能差异的输变电项目效益评价及投资优化方法[J]. 中国电力, 2019, 52(11): 175-184.</w:t>
      </w:r>
    </w:p>
    <w:p>
      <w:pPr>
        <w:pStyle w:val="2"/>
        <w:widowControl/>
        <w:spacing w:line="276" w:lineRule="auto" w:before="0" w:after="80"/>
        <w:ind w:firstLine="0"/>
        <w:jc w:val="left"/>
      </w:pPr>
      <w:r>
        <w:rPr>
          <w:rFonts w:ascii="Times New Roman" w:hAnsi="Times New Roman" w:eastAsia="方正仿宋_GBK"/>
          <w:b w:val="0"/>
          <w:sz w:val="21"/>
        </w:rPr>
        <w:t xml:space="preserve">[57] 严小玉. 考虑光伏电源接入影响的兴国县配电网规划[D]. 南昌: 南昌大学, 2016.</w:t>
      </w:r>
    </w:p>
    <w:p>
      <w:pPr>
        <w:pStyle w:val="2"/>
        <w:widowControl/>
        <w:spacing w:line="276" w:lineRule="auto" w:before="0" w:after="80"/>
        <w:ind w:firstLine="0"/>
        <w:jc w:val="left"/>
      </w:pPr>
      <w:r>
        <w:rPr>
          <w:rFonts w:ascii="Times New Roman" w:hAnsi="Times New Roman" w:eastAsia="方正仿宋_GBK"/>
          <w:b w:val="0"/>
          <w:sz w:val="21"/>
        </w:rPr>
        <w:t xml:space="preserve">[58]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w:t>
      </w:r>
    </w:p>
    <w:p>
      <w:pPr>
        <w:pStyle w:val="2"/>
        <w:widowControl/>
        <w:spacing w:line="276" w:lineRule="auto" w:before="0" w:after="80"/>
        <w:ind w:firstLine="0"/>
        <w:jc w:val="left"/>
      </w:pPr>
      <w:r>
        <w:rPr>
          <w:rFonts w:ascii="Times New Roman" w:hAnsi="Times New Roman" w:eastAsia="方正仿宋_GBK"/>
          <w:b w:val="0"/>
          <w:sz w:val="21"/>
        </w:rPr>
        <w:t xml:space="preserve">[59] 陈璨, 白明辉, 张婉明, 等. 分布式光伏边界渗透率快速定位及消纳方案择优[J]. 中国电力, 2022, 55(8): 40-50.</w:t>
      </w:r>
    </w:p>
    <w:p>
      <w:pPr>
        <w:pStyle w:val="2"/>
        <w:widowControl/>
        <w:spacing w:line="276" w:lineRule="auto" w:before="0" w:after="80"/>
        <w:ind w:firstLine="0"/>
        <w:jc w:val="left"/>
      </w:pPr>
      <w:r>
        <w:rPr>
          <w:rFonts w:ascii="Times New Roman" w:hAnsi="Times New Roman" w:eastAsia="方正仿宋_GBK"/>
          <w:b w:val="0"/>
          <w:sz w:val="21"/>
        </w:rPr>
        <w:t xml:space="preserve">[60] 孙东磊, 孙毅, 刘蕊, 等. 计及多层级配电网的分布式新能源最大消纳空间分解测算[J]. 中国电力, 2024, 57(8): 108-116.</w:t>
      </w:r>
    </w:p>
    <w:p>
      <w:pPr>
        <w:pStyle w:val="2"/>
        <w:widowControl/>
        <w:spacing w:line="276" w:lineRule="auto" w:before="0" w:after="80"/>
        <w:ind w:firstLine="0"/>
        <w:jc w:val="left"/>
      </w:pPr>
      <w:r>
        <w:rPr>
          <w:rFonts w:ascii="Times New Roman" w:hAnsi="Times New Roman" w:eastAsia="方正仿宋_GBK"/>
          <w:b w:val="0"/>
          <w:sz w:val="21"/>
        </w:rPr>
        <w:t xml:space="preserve">[61] 金勇, 刘俊勇, 张曦, 等. 基于功能单元的高压配电网负荷转供分层优化模型[J]. 工程科学与技术, 2017, 49(3): 179-190.</w:t>
      </w:r>
    </w:p>
    <w:p>
      <w:pPr>
        <w:pStyle w:val="2"/>
        <w:widowControl/>
        <w:spacing w:line="276" w:lineRule="auto" w:before="0" w:after="80"/>
        <w:ind w:firstLine="0"/>
        <w:jc w:val="left"/>
      </w:pPr>
      <w:r>
        <w:rPr>
          <w:rFonts w:ascii="Times New Roman" w:hAnsi="Times New Roman" w:eastAsia="方正仿宋_GBK"/>
          <w:b w:val="0"/>
          <w:sz w:val="21"/>
        </w:rPr>
        <w:t xml:space="preserve">[62] ZHAO F, XUE L, ZHU J, et al. A novel investment strategy for renewable-dominated power distribution networks[J]. Frontiers in Energy Research, 2023, 10: 968944.</w:t>
      </w:r>
    </w:p>
    <w:p>
      <w:pPr>
        <w:pStyle w:val="2"/>
        <w:widowControl/>
        <w:spacing w:line="276" w:lineRule="auto" w:before="0" w:after="80"/>
        <w:ind w:firstLine="0"/>
        <w:jc w:val="left"/>
      </w:pPr>
      <w:r>
        <w:rPr>
          <w:rFonts w:ascii="Times New Roman" w:hAnsi="Times New Roman" w:eastAsia="方正仿宋_GBK"/>
          <w:b w:val="0"/>
          <w:sz w:val="21"/>
        </w:rPr>
        <w:t xml:space="preserve">[63] 国家发展改革委, 国家能源局. 关于促进新能源消纳和调控的指导意见: 发改能源〔2025〕1360号[Z]. 2025.</w:t>
      </w:r>
    </w:p>
    <w:p>
      <w:pPr>
        <w:pStyle w:val="2"/>
        <w:widowControl/>
        <w:spacing w:line="276" w:lineRule="auto" w:before="0" w:after="80"/>
        <w:ind w:firstLine="0"/>
        <w:jc w:val="left"/>
      </w:pPr>
      <w:r>
        <w:rPr>
          <w:rFonts w:ascii="Times New Roman" w:hAnsi="Times New Roman" w:eastAsia="方正仿宋_GBK"/>
          <w:b w:val="0"/>
          <w:sz w:val="21"/>
        </w:rPr>
        <w:t xml:space="preserve">[64] 国家发展改革委, 国家能源局, 国家数据局. 加快构建新型电力系统行动方案（2024—2027年）[Z]. 2024.</w:t>
      </w:r>
    </w:p>
    <w:p>
      <w:pPr>
        <w:pStyle w:val="2"/>
        <w:widowControl/>
        <w:spacing w:line="276" w:lineRule="auto" w:before="0" w:after="80"/>
        <w:ind w:firstLine="0"/>
        <w:jc w:val="left"/>
      </w:pPr>
      <w:r>
        <w:rPr>
          <w:rFonts w:ascii="Times New Roman" w:hAnsi="Times New Roman" w:eastAsia="方正仿宋_GBK"/>
          <w:b w:val="0"/>
          <w:sz w:val="21"/>
        </w:rPr>
        <w:t xml:space="preserve">[65] 国家能源局. 配电网高质量发展行动实施方案（2024—2027年）[Z]. 2024.</w:t>
      </w:r>
    </w:p>
    <w:p>
      <w:pPr>
        <w:pStyle w:val="2"/>
        <w:widowControl/>
        <w:spacing w:line="276" w:lineRule="auto" w:before="0" w:after="80"/>
        <w:ind w:firstLine="0"/>
        <w:jc w:val="left"/>
      </w:pPr>
      <w:r>
        <w:rPr>
          <w:rFonts w:ascii="Times New Roman" w:hAnsi="Times New Roman" w:eastAsia="方正仿宋_GBK"/>
          <w:b w:val="0"/>
          <w:sz w:val="21"/>
        </w:rPr>
        <w:t xml:space="preserve">[66] 国家能源局. 分布式光伏接入电网承载力及提升措施评估试点实施方案[Z]. 2023.</w:t>
      </w:r>
    </w:p>
    <w:p>
      <w:pPr>
        <w:pStyle w:val="2"/>
        <w:widowControl/>
        <w:spacing w:line="276" w:lineRule="auto" w:before="0" w:after="80"/>
        <w:ind w:firstLine="0"/>
        <w:jc w:val="left"/>
      </w:pPr>
      <w:r>
        <w:rPr>
          <w:rFonts w:ascii="Times New Roman" w:hAnsi="Times New Roman" w:eastAsia="方正仿宋_GBK"/>
          <w:b w:val="0"/>
          <w:sz w:val="21"/>
        </w:rPr>
        <w:t xml:space="preserve">[67] 国家能源局. 省级分布式光伏接入电网承载力及提升措施研究分析报告大纲[Z]. 2023.</w:t>
      </w:r>
    </w:p>
    <w:p>
      <w:pPr>
        <w:pStyle w:val="2"/>
        <w:widowControl/>
        <w:spacing w:line="276" w:lineRule="auto" w:before="0" w:after="80"/>
        <w:ind w:firstLine="0"/>
        <w:jc w:val="left"/>
      </w:pPr>
      <w:r>
        <w:rPr>
          <w:rFonts w:ascii="Times New Roman" w:hAnsi="Times New Roman" w:eastAsia="方正仿宋_GBK"/>
          <w:b w:val="0"/>
          <w:sz w:val="21"/>
        </w:rPr>
        <w:t xml:space="preserve">[68] DL/T 2041—2025 分布式电源接入电力系统承载力评估导则[S]. 2025.</w:t>
      </w:r>
    </w:p>
    <w:p>
      <w:pPr>
        <w:pStyle w:val="2"/>
        <w:widowControl/>
        <w:spacing w:line="276" w:lineRule="auto" w:before="0" w:after="80"/>
        <w:ind w:firstLine="0"/>
        <w:jc w:val="left"/>
      </w:pPr>
      <w:r>
        <w:rPr>
          <w:rFonts w:ascii="Times New Roman" w:hAnsi="Times New Roman" w:eastAsia="方正仿宋_GBK"/>
          <w:b w:val="0"/>
          <w:sz w:val="21"/>
        </w:rPr>
        <w:t xml:space="preserve">[69] 配电网规划设计技术导则（2025年4月修订稿）[S]. 2025. 研究资料，非现行正式标准。</w:t>
      </w:r>
    </w:p>
    <w:p>
      <w:pPr>
        <w:pStyle w:val="2"/>
        <w:widowControl/>
        <w:spacing w:line="276" w:lineRule="auto" w:before="0" w:after="80"/>
        <w:ind w:firstLine="0"/>
        <w:jc w:val="left"/>
      </w:pPr>
      <w:r>
        <w:rPr>
          <w:rFonts w:ascii="Times New Roman" w:hAnsi="Times New Roman" w:eastAsia="方正仿宋_GBK"/>
          <w:b w:val="0"/>
          <w:sz w:val="21"/>
        </w:rPr>
        <w:t xml:space="preserve">[70] 国网江苏省电力有限公司徐州供电分公司. 江苏徐州邢楼110千伏变电站主变扩建等工程建设规模及投资汇总表[Z]. 项目收资工作簿, 年份未注明.</w:t>
      </w:r>
    </w:p>
    <w:p>
      <w:pPr>
        <w:pStyle w:val="2"/>
        <w:widowControl/>
        <w:spacing w:line="276" w:lineRule="auto" w:before="0" w:after="80"/>
        <w:ind w:firstLine="0"/>
        <w:jc w:val="left"/>
      </w:pPr>
      <w:r>
        <w:rPr>
          <w:rFonts w:ascii="Times New Roman" w:hAnsi="Times New Roman" w:eastAsia="方正仿宋_GBK"/>
          <w:b w:val="0"/>
          <w:sz w:val="21"/>
        </w:rPr>
        <w:t xml:space="preserve">[71] 华容县人民政府. 华容县配电网规划报告[EB/OL]. 2020. 表7-1. https://www.huarong.gov.cn/33157/64140/64170/content_1874487.html.</w:t>
      </w:r>
    </w:p>
    <w:p>
      <w:pPr>
        <w:pStyle w:val="2"/>
        <w:widowControl/>
        <w:spacing w:line="276" w:lineRule="auto" w:before="0" w:after="80"/>
        <w:ind w:firstLine="0"/>
        <w:jc w:val="left"/>
      </w:pPr>
      <w:r>
        <w:rPr>
          <w:rFonts w:ascii="Times New Roman" w:hAnsi="Times New Roman" w:eastAsia="方正仿宋_GBK"/>
          <w:b w:val="0"/>
          <w:sz w:val="21"/>
        </w:rPr>
        <w:t xml:space="preserve">[72] 苏州100 kW/215 kWh储能户外柜招标公告[Z]. 项目归档采购文件, 日期见原公告.</w:t>
      </w:r>
    </w:p>
    <w:p>
      <w:pPr>
        <w:pStyle w:val="2"/>
        <w:widowControl/>
        <w:spacing w:line="276" w:lineRule="auto" w:before="0" w:after="80"/>
        <w:ind w:firstLine="0"/>
        <w:jc w:val="left"/>
      </w:pPr>
      <w:r>
        <w:rPr>
          <w:rFonts w:ascii="Times New Roman" w:hAnsi="Times New Roman" w:eastAsia="方正仿宋_GBK"/>
          <w:b w:val="0"/>
          <w:sz w:val="21"/>
        </w:rPr>
        <w:t xml:space="preserve">[73] 浏阳1 MW/2.2 MWh用户侧储能中标公告[Z]. 项目归档成交文件, 日期见原公告.</w:t>
      </w:r>
    </w:p>
    <w:p>
      <w:pPr>
        <w:pStyle w:val="2"/>
        <w:widowControl/>
        <w:spacing w:line="276" w:lineRule="auto" w:before="0" w:after="80"/>
        <w:ind w:firstLine="0"/>
        <w:jc w:val="left"/>
      </w:pPr>
      <w:r>
        <w:rPr>
          <w:rFonts w:ascii="Times New Roman" w:hAnsi="Times New Roman" w:eastAsia="方正仿宋_GBK"/>
          <w:b w:val="0"/>
          <w:sz w:val="21"/>
        </w:rPr>
        <w:t xml:space="preserve">[74] 徐州10 kV线路迁改项目招标公告[EB/OL]. 2025. https://ggzy.zwb.xz.gov.cn/jyxx/003009/003009001/20250903/8c7d2dd2-dcab-4abf-827f-d0f5774799d3.html.</w:t>
      </w:r>
    </w:p>
    <w:p>
      <w:pPr>
        <w:pStyle w:val="2"/>
        <w:widowControl/>
        <w:spacing w:line="276" w:lineRule="auto" w:before="0" w:after="80"/>
        <w:ind w:firstLine="0"/>
        <w:jc w:val="left"/>
      </w:pPr>
      <w:r>
        <w:rPr>
          <w:rFonts w:ascii="Times New Roman" w:hAnsi="Times New Roman" w:eastAsia="方正仿宋_GBK"/>
          <w:b w:val="0"/>
          <w:sz w:val="21"/>
        </w:rPr>
        <w:t xml:space="preserve">[75] 邳州10 kV馈线图纸、负荷明细与联络结构化原表[Z]. 项目收资资料, 2025.</w:t>
      </w:r>
    </w:p>
    <w:p>
      <w:pPr>
        <w:pStyle w:val="2"/>
        <w:widowControl/>
        <w:spacing w:line="276" w:lineRule="auto" w:before="0" w:after="80"/>
        <w:ind w:firstLine="0"/>
        <w:jc w:val="left"/>
      </w:pPr>
      <w:r>
        <w:rPr>
          <w:rFonts w:ascii="Times New Roman" w:hAnsi="Times New Roman" w:eastAsia="方正仿宋_GBK"/>
          <w:b w:val="0"/>
          <w:sz w:val="21"/>
        </w:rPr>
        <w:t xml:space="preserve">[76] 近5年容载比[Z]. 徐州项目收资工作簿, 2021—2025.</w:t>
      </w:r>
    </w:p>
    <w:p>
      <w:pPr>
        <w:pStyle w:val="2"/>
        <w:widowControl/>
        <w:spacing w:line="276" w:lineRule="auto" w:before="0" w:after="80"/>
        <w:ind w:firstLine="0"/>
        <w:jc w:val="left"/>
      </w:pPr>
      <w:r>
        <w:rPr>
          <w:rFonts w:ascii="Times New Roman" w:hAnsi="Times New Roman" w:eastAsia="方正仿宋_GBK"/>
          <w:b w:val="0"/>
          <w:sz w:val="21"/>
        </w:rPr>
        <w:t xml:space="preserve">[77] 逐月分县分布式光伏[Z]. 徐州项目收资工作簿, 2023—2025.</w:t>
      </w:r>
    </w:p>
    <w:p>
      <w:pPr>
        <w:pStyle w:val="2"/>
        <w:widowControl/>
        <w:spacing w:line="276" w:lineRule="auto" w:before="0" w:after="80"/>
        <w:ind w:firstLine="0"/>
        <w:jc w:val="left"/>
      </w:pPr>
      <w:r>
        <w:rPr>
          <w:rFonts w:ascii="Times New Roman" w:hAnsi="Times New Roman" w:eastAsia="方正仿宋_GBK"/>
          <w:b w:val="0"/>
          <w:sz w:val="21"/>
        </w:rPr>
        <w:t xml:space="preserve">[78] 徐州项目收资资料. 2025设备负载统计表[Z]. 脱敏数据整合版V1.2，2025.</w:t>
      </w:r>
    </w:p>
    <w:p>
      <w:pPr>
        <w:pStyle w:val="2"/>
        <w:widowControl/>
        <w:spacing w:line="276" w:lineRule="auto" w:before="0" w:after="80"/>
        <w:ind w:firstLine="0"/>
        <w:jc w:val="left"/>
      </w:pPr>
      <w:r>
        <w:rPr>
          <w:rFonts w:ascii="Times New Roman" w:hAnsi="Times New Roman" w:eastAsia="方正仿宋_GBK"/>
          <w:b w:val="0"/>
          <w:sz w:val="21"/>
        </w:rPr>
        <w:t xml:space="preserve">[79] 徐州项目收资资料. 邳州与市区站级净负荷小时序列[Z]. 脱敏数据整合版V1.2，2025.</w:t>
      </w:r>
    </w:p>
    <w:p>
      <w:pPr>
        <w:pStyle w:val="2"/>
        <w:widowControl/>
        <w:spacing w:line="276" w:lineRule="auto" w:before="0" w:after="80"/>
        <w:ind w:firstLine="0"/>
        <w:jc w:val="left"/>
      </w:pPr>
      <w:r>
        <w:rPr>
          <w:rFonts w:ascii="Times New Roman" w:hAnsi="Times New Roman" w:eastAsia="方正仿宋_GBK"/>
          <w:b w:val="0"/>
          <w:sz w:val="21"/>
        </w:rPr>
        <w:t xml:space="preserve">[80] 徐州项目收资资料. 光伏8760小时数据[Z]. 系统光伏资料典型曲线，2025映射时间轴.</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docGrid w:type="lines" w:linePitch="312"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00" w:lineRule="auto" w:before="0" w:after="0"/>
      <w:ind w:firstLineChars="200" w:firstLine="480"/>
      <w:jc w:val="both"/>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00" w:lineRule="auto" w:before="0"/>
      <w:ind w:firstLine="480"/>
    </w:pPr>
    <w:rPr>
      <w:rFonts w:ascii="Times New Roman" w:hAnsi="Times New Roman" w:eastAsia="方正仿宋_GBK"/>
      <w:b w:val="0"/>
      <w:sz w:val="24"/>
    </w:rPr>
  </w:style>
  <w:style w:type="paragraph" w:customStyle="1" w:styleId="6">
    <w:name w:val="正文 缩进"/>
    <w:basedOn w:val="1"/>
    <w:qFormat/>
    <w:uiPriority w:val="99"/>
  </w:style>
  <w:style w:type="paragraph" w:styleId="13">
    <w:name w:val="caption"/>
    <w:next w:val="1"/>
    <w:semiHidden/>
    <w:unhideWhenUsed/>
    <w:qFormat/>
    <w:uiPriority w:val="35"/>
    <w:pPr>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pPr>
    <w:rPr>
      <w:rFonts w:ascii="宋体" w:eastAsia="宋体" w:hAnsiTheme="minorHAnsi"/>
      <w:sz w:val="18"/>
      <w:szCs w:val="18"/>
    </w:rPr>
  </w:style>
  <w:style w:type="paragraph" w:styleId="15">
    <w:name w:val="annotation text"/>
    <w:basedOn w:val="1"/>
    <w:link w:val="113"/>
    <w:semiHidden/>
    <w:unhideWhenUsed/>
    <w:uiPriority w:val="99"/>
    <w:pPr>
      <w:jc w:val="left"/>
    </w:pPr>
  </w:style>
  <w:style w:type="paragraph" w:styleId="16">
    <w:name w:val="toc 3"/>
    <w:basedOn w:val="1"/>
    <w:next w:val="1"/>
    <w:autoRedefine/>
    <w:semiHidden/>
    <w:unhideWhenUsed/>
    <w:qFormat/>
    <w:uiPriority w:val="39"/>
    <w:pPr>
      <w:ind w:left="840" w:leftChars="400"/>
    </w:pPr>
  </w:style>
  <w:style w:type="paragraph" w:styleId="17">
    <w:name w:val="Date"/>
    <w:basedOn w:val="1"/>
    <w:next w:val="1"/>
    <w:link w:val="48"/>
    <w:semiHidden/>
    <w:unhideWhenUsed/>
    <w:qFormat/>
    <w:uiPriority w:val="99"/>
    <w:pPr>
      <w:ind w:left="100" w:leftChars="2500"/>
    </w:pPr>
  </w:style>
  <w:style w:type="paragraph" w:styleId="18">
    <w:name w:val="Balloon Text"/>
    <w:basedOn w:val="1"/>
    <w:link w:val="50"/>
    <w:semiHidden/>
    <w:unhideWhenUsed/>
    <w:qFormat/>
    <w:uiPriority w:val="99"/>
    <w:rPr>
      <w:sz w:val="18"/>
      <w:szCs w:val="18"/>
    </w:rPr>
  </w:style>
  <w:style w:type="paragraph" w:styleId="19">
    <w:name w:val="footer"/>
    <w:basedOn w:val="1"/>
    <w:link w:val="47"/>
    <w:unhideWhenUsed/>
    <w:qFormat/>
    <w:uiPriority w:val="99"/>
    <w:pPr>
      <w:tabs>
        <w:tab w:val="center" w:pos="4153"/>
        <w:tab w:val="right" w:pos="8306"/>
      </w:tabs>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pPr>
  </w:style>
  <w:style w:type="paragraph" w:styleId="23">
    <w:name w:val="Normal (Web)"/>
    <w:basedOn w:val="1"/>
    <w:semiHidden/>
    <w:unhideWhenUsed/>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uiPriority w:val="99"/>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snapToGrid/>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pPr>
    <w:rPr>
      <w:rFonts w:cs="Times New Roman"/>
      <w:szCs w:val="20"/>
    </w:rPr>
  </w:style>
  <w:style w:type="paragraph" w:customStyle="1" w:styleId="59">
    <w:name w:val="普通(网站)1"/>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pPr>
    <w:rPr>
      <w:rFonts w:eastAsia="宋体" w:cs="Times New Roman"/>
      <w:kern w:val="0"/>
      <w:sz w:val="21"/>
      <w:szCs w:val="20"/>
    </w:rPr>
  </w:style>
  <w:style w:type="paragraph" w:customStyle="1" w:styleId="61">
    <w:name w:val="xl102"/>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169" Type="http://schemas.openxmlformats.org/officeDocument/2006/relationships/image" Target="media/rId169.png"/><Relationship Id="rId85" Type="http://schemas.openxmlformats.org/officeDocument/2006/relationships/image" Target="media/rId85.png"/><Relationship Id="rId98" Type="http://schemas.openxmlformats.org/officeDocument/2006/relationships/image" Target="media/rId98.png"/><Relationship Id="rId116" Type="http://schemas.openxmlformats.org/officeDocument/2006/relationships/image" Target="media/rId116.png"/><Relationship Id="rId101" Type="http://schemas.openxmlformats.org/officeDocument/2006/relationships/image" Target="media/rId101.png"/><Relationship Id="rId171" Type="http://schemas.openxmlformats.org/officeDocument/2006/relationships/image" Target="media/rId171.png"/><Relationship Id="rId96" Type="http://schemas.openxmlformats.org/officeDocument/2006/relationships/image" Target="media/rId96.png"/><Relationship Id="rId172" Type="http://schemas.openxmlformats.org/officeDocument/2006/relationships/image" Target="media/rId172.png"/><Relationship Id="rId106" Type="http://schemas.openxmlformats.org/officeDocument/2006/relationships/image" Target="media/rId106.png"/><Relationship Id="rId114" Type="http://schemas.openxmlformats.org/officeDocument/2006/relationships/image" Target="media/rId114.png"/><Relationship Id="rId90" Type="http://schemas.openxmlformats.org/officeDocument/2006/relationships/image" Target="media/rId90.png"/><Relationship Id="rId139" Type="http://schemas.openxmlformats.org/officeDocument/2006/relationships/image" Target="media/rId139.png"/><Relationship Id="rId37" Type="http://schemas.openxmlformats.org/officeDocument/2006/relationships/image" Target="media/rId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2026-10-02T01:43:59Z</dcterms:created>
  <dcterms:modified xsi:type="dcterms:W3CDTF">2026-10-02T01:43:59Z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