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93" w:lineRule="auto" w:after="100"/>
        <w:jc w:val="center"/>
      </w:pPr>
      <w:r>
        <w:rPr>
          <w:rFonts w:ascii="Times New Roman" w:hAnsi="Times New Roman" w:eastAsia="方正仿宋_GBK"/>
          <w:b/>
          <w:sz w:val="34"/>
        </w:rPr>
        <w:t>徐州地区110 kV电网弹性容载比研究</w:t>
      </w:r>
    </w:p>
    <w:p>
      <w:pPr>
        <w:keepNext/>
        <w:spacing w:line="293" w:lineRule="auto" w:after="240"/>
        <w:jc w:val="center"/>
      </w:pPr>
      <w:r>
        <w:rPr>
          <w:rFonts w:ascii="Times New Roman" w:hAnsi="Times New Roman" w:eastAsia="方正仿宋_GBK"/>
          <w:b w:val="0"/>
          <w:sz w:val="22"/>
        </w:rPr>
        <w:t>供电公司讨论材料</w:t>
      </w:r>
    </w:p>
    <w:p>
      <w:pPr>
        <w:keepNext/>
        <w:spacing w:line="293" w:lineRule="auto" w:after="100" w:before="120"/>
        <w:jc w:val="both"/>
      </w:pPr>
      <w:r>
        <w:rPr>
          <w:rFonts w:ascii="Times New Roman" w:hAnsi="Times New Roman" w:eastAsia="方正仿宋_GBK"/>
          <w:b/>
          <w:sz w:val="26"/>
        </w:rPr>
        <w:t>研究背景与拟解决的问题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分布式光伏接入后，日间网供负荷下降，部分站点出现反向输送；晚间用电高峰仍需电网支撑。区域主变总容量充足，也可能存在个别站点容量紧张、邻站余量难以利用的情况。单独用一个容载比数值控制建设，难以同时反映正反向功率、主变故障和站间转供需求。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本研究以邳州和徐州市区为案例，讨论在满足供电安全约束的前提下，如何组合主变增容、10 kV联络和储能，形成适合不同片区的容量配置。容载比按同一地区110 kV公用主变总容量（MVA）与年网供最大负荷（MW）之比计算。</w:t>
      </w:r>
    </w:p>
    <w:p>
      <w:pPr>
        <w:keepNext/>
        <w:spacing w:line="293" w:lineRule="auto" w:after="100" w:before="120"/>
        <w:jc w:val="both"/>
      </w:pPr>
      <w:r>
        <w:rPr>
          <w:rFonts w:ascii="Times New Roman" w:hAnsi="Times New Roman" w:eastAsia="方正仿宋_GBK"/>
          <w:b/>
          <w:sz w:val="26"/>
        </w:rPr>
        <w:t>比选方案与共同条件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采用2022—2025年实际年度负荷回算，两类方案共用各地区的初始设备和候选网络，分别校核正向峰值、日间最低净负荷及最大单台主变退出运行（N-1）工况。刚性方案以2.00控制新增主变后的容载比；弹性方案允许突破该控制值，由满足约束的设备组合确定容量。负荷回落造成的既有容量被动超限保留。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三类建设措施统一比较费用：主变增容增加本站容量，联络利用邻站可用容量，储能补充一定时间内的功率缺口。正向储能支撑统一取4 h，按额定功率和可用电量共同核定。费用按6%折现率计算至2041年，计入建设、固定运维和规定更新费用。</w:t>
      </w:r>
    </w:p>
    <w:p>
      <w:pPr>
        <w:keepNext/>
        <w:spacing w:line="293" w:lineRule="auto" w:after="100" w:before="120"/>
        <w:jc w:val="both"/>
      </w:pPr>
      <w:r>
        <w:rPr>
          <w:rFonts w:ascii="Times New Roman" w:hAnsi="Times New Roman" w:eastAsia="方正仿宋_GBK"/>
          <w:b/>
          <w:sz w:val="26"/>
        </w:rPr>
        <w:t>两地区比选结果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以下为模型回算方案的2025年配置，不代表实际投运安排。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/>
                <w:sz w:val="21"/>
              </w:rPr>
              <w:t>地区／方案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/>
                <w:sz w:val="21"/>
              </w:rPr>
              <w:t>主变容量</w:t>
              <w:br/>
              <w:t>MVA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/>
                <w:sz w:val="21"/>
              </w:rPr>
              <w:t>容载比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/>
                <w:sz w:val="21"/>
              </w:rPr>
              <w:t>储能功率</w:t>
              <w:br/>
              <w:t>MW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/>
                <w:sz w:val="21"/>
              </w:rPr>
              <w:t>新增联络</w:t>
              <w:br/>
              <w:t>条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/>
                <w:sz w:val="21"/>
              </w:rPr>
              <w:t>费用现值</w:t>
              <w:br/>
              <w:t>万元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邳州刚性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1782.50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1.86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32.90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61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34468.84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邳州弹性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1955.50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2.04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0.00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30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26103.52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市区刚性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2937.00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1.92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4.80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138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85750.47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市区弹性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3324.00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2.17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0.50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64</w:t>
            </w:r>
          </w:p>
        </w:tc>
        <w:tc>
          <w:tcPr>
            <w:tcW w:type="dxa" w:w="1606"/>
            <w:vAlign w:val="center"/>
          </w:tcPr>
          <w:p>
            <w:pPr>
              <w:spacing w:after="60" w:before="60" w:line="252" w:lineRule="auto"/>
              <w:jc w:val="center"/>
            </w:pPr>
            <w:r>
              <w:rPr>
                <w:rFonts w:ascii="Times New Roman" w:hAnsi="Times New Roman" w:eastAsia="方正仿宋_GBK"/>
                <w:b w:val="0"/>
                <w:sz w:val="21"/>
              </w:rPr>
              <w:t>58346.09</w:t>
            </w:r>
          </w:p>
        </w:tc>
      </w:tr>
    </w:tbl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两地区费用现值合计由120219.30万元降至84449.61万元，减少35769.70万元，约30%。邳州和市区分别减少8365.32万元、27404.38万元。</w:t>
      </w:r>
    </w:p>
    <w:p>
      <w:r>
        <w:br w:type="page"/>
      </w:r>
    </w:p>
    <w:p>
      <w:pPr>
        <w:keepNext/>
        <w:spacing w:line="293" w:lineRule="auto" w:after="100" w:before="120"/>
        <w:jc w:val="both"/>
      </w:pPr>
      <w:r>
        <w:rPr>
          <w:rFonts w:ascii="Times New Roman" w:hAnsi="Times New Roman" w:eastAsia="方正仿宋_GBK"/>
          <w:b/>
          <w:sz w:val="26"/>
        </w:rPr>
        <w:t>结果反映的规划含义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弹性方案增加部分主变容量，减少储能及新增联络需求。邳州储能额定功率由32.90 MW降至零，市区由4.80 MW降至0.50 MW；新增联络分别由61条、138条减至30条、64条。三类措施的组合变化，使评价期总费用下降。工程选择应同时比较容量、网络和持续支撑能力。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转供效果取决于具体路径、馈线可转负荷和邻站余量。邳州需要同时关注正向供电和日间反向输送；市区更需核实局部负荷与站间承接能力。区域补齐后的小时曲线显示，95%峰值最长连续时段分别为2 h和6 h，可用于识别近峰特征；储能实际支撑时间仍应结合故障恢复和本站功率缺口确定。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储能价格的作用也受支撑时间影响。推广算例中，2 h条件下价格上涨促使方案增加主变、减少储能；4、6 h条件下，已计算价格范围内的设备组合稳定，费用随储能单价增加。采购价格、支撑时间和扩建条件应共同纳入比选。</w:t>
      </w:r>
    </w:p>
    <w:p>
      <w:pPr>
        <w:keepNext/>
        <w:spacing w:line="293" w:lineRule="auto" w:after="100" w:before="120"/>
        <w:jc w:val="both"/>
      </w:pPr>
      <w:r>
        <w:rPr>
          <w:rFonts w:ascii="Times New Roman" w:hAnsi="Times New Roman" w:eastAsia="方正仿宋_GBK"/>
          <w:b/>
          <w:sz w:val="26"/>
        </w:rPr>
        <w:t>片区应用方式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推广计算覆盖六项参数：分布式电源装机渗透率、年最大净负荷平均增长率、线路成本系数、初始转供率、储能支撑持续时间和负荷分散系数。12600组组合形成648个分类单元，计算容载比总体为2.01～3.28；不同单元对应不同条件，应按片区参数选取参考范围，再落实到具体设备与建设时序。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建议先选取源荷特征不同、网络资料较完整的片区，核定现状及候选工程，按相同安全条件比较刚性和弹性方案，形成“容量规模—联络安排—储能需求—工程费用”对应的项目清单。</w:t>
      </w:r>
    </w:p>
    <w:p>
      <w:pPr>
        <w:keepNext/>
        <w:spacing w:line="293" w:lineRule="auto" w:after="100" w:before="120"/>
        <w:jc w:val="both"/>
      </w:pPr>
      <w:r>
        <w:rPr>
          <w:rFonts w:ascii="Times New Roman" w:hAnsi="Times New Roman" w:eastAsia="方正仿宋_GBK"/>
          <w:b/>
          <w:sz w:val="26"/>
        </w:rPr>
        <w:t>本次讨论需核实的工程条件</w:t>
      </w:r>
    </w:p>
    <w:p>
      <w:pPr>
        <w:spacing w:line="293" w:lineRule="auto" w:after="100"/>
        <w:ind w:firstLine="0"/>
        <w:jc w:val="both"/>
      </w:pPr>
      <w:r>
        <w:rPr>
          <w:rFonts w:ascii="Times New Roman" w:hAnsi="Times New Roman" w:eastAsia="方正仿宋_GBK"/>
          <w:b w:val="0"/>
          <w:sz w:val="23"/>
        </w:rPr>
        <w:t>核定统计范围、逐站负荷与光伏出力，以及未来负荷增长和电源投产安排。</w:t>
      </w:r>
    </w:p>
    <w:p>
      <w:pPr>
        <w:spacing w:line="293" w:lineRule="auto" w:after="100"/>
        <w:ind w:firstLine="0"/>
        <w:jc w:val="both"/>
      </w:pPr>
      <w:r>
        <w:rPr>
          <w:rFonts w:ascii="Times New Roman" w:hAnsi="Times New Roman" w:eastAsia="方正仿宋_GBK"/>
          <w:b w:val="0"/>
          <w:sz w:val="23"/>
        </w:rPr>
        <w:t>确认主变规格、扩建间隔、可用站址和既有联络路径，核实馈线及邻站在正常和N-1条件下的承接能力。市区40%初始转供率目前为研究参考值。</w:t>
      </w:r>
    </w:p>
    <w:p>
      <w:pPr>
        <w:spacing w:line="293" w:lineRule="auto" w:after="100"/>
        <w:ind w:firstLine="0"/>
        <w:jc w:val="both"/>
      </w:pPr>
      <w:r>
        <w:rPr>
          <w:rFonts w:ascii="Times New Roman" w:hAnsi="Times New Roman" w:eastAsia="方正仿宋_GBK"/>
          <w:b w:val="0"/>
          <w:sz w:val="23"/>
        </w:rPr>
        <w:t>明确储能的支撑任务、保证可用能量、故障恢复时间及充电条件，并用工程概算更新三类措施费用。</w:t>
      </w:r>
    </w:p>
    <w:p>
      <w:pPr>
        <w:spacing w:line="293" w:lineRule="auto" w:after="100"/>
        <w:ind w:firstLine="460"/>
        <w:jc w:val="both"/>
      </w:pPr>
      <w:r>
        <w:rPr>
          <w:rFonts w:ascii="Times New Roman" w:hAnsi="Times New Roman" w:eastAsia="方正仿宋_GBK"/>
          <w:b w:val="0"/>
          <w:sz w:val="23"/>
        </w:rPr>
        <w:t>当前结果基于静态功率与容量校核。落地片区需进一步开展潮流、电压、保护配合及储能逐时运行校核，并完善充电、损耗和期末残值等费用。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方正仿宋_GBK"/>
        <w:b w:val="0"/>
        <w:sz w:val="18"/>
      </w:rPr>
      <w:t xml:space="preserve">徐州地区110 kV电网弹性容载比研究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方正仿宋_GBK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