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4"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7"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h77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0"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h80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40"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h140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4"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h154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8"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h168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5"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h185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9"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h199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2"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h212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4"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h234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6"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h236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7"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7"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5"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h265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7"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h287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4"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h354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1"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h461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0"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h500 \h </w:instrText>
      </w:r>
      <w:r>
        <w:rPr>
          <w:rFonts w:ascii="Times New Roman" w:hAnsi="Times New Roman" w:eastAsia="方正仿宋_GBK"/>
          <w:b/>
          <w:sz w:val="24"/>
        </w:rPr>
        <w:fldChar w:fldCharType="separate"/>
      </w:r>
      <w:r>
        <w:rPr>
          <w:rFonts w:ascii="Times New Roman" w:hAnsi="Times New Roman" w:eastAsia="方正仿宋_GBK"/>
          <w:b/>
          <w:sz w:val="24"/>
        </w:rPr>
        <w:t>59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2"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h502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7"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h527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9"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h549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1"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h561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h879 \h </w:instrText>
      </w:r>
      <w:r>
        <w:rPr>
          <w:rFonts w:ascii="Times New Roman" w:hAnsi="Times New Roman" w:eastAsia="方正仿宋_GBK"/>
          <w:b w:val="0"/>
          <w:sz w:val="24"/>
        </w:rPr>
        <w:fldChar w:fldCharType="separate"/>
      </w:r>
      <w:r>
        <w:rPr>
          <w:rFonts w:ascii="Times New Roman" w:hAnsi="Times New Roman" w:eastAsia="方正仿宋_GBK"/>
          <w:b w:val="0"/>
          <w:sz w:val="24"/>
        </w:rPr>
        <w:t>102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0"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h900 \h </w:instrText>
      </w:r>
      <w:r>
        <w:rPr>
          <w:rFonts w:ascii="Times New Roman" w:hAnsi="Times New Roman" w:eastAsia="方正仿宋_GBK"/>
          <w:b w:val="0"/>
          <w:sz w:val="24"/>
        </w:rPr>
        <w:fldChar w:fldCharType="separate"/>
      </w:r>
      <w:r>
        <w:rPr>
          <w:rFonts w:ascii="Times New Roman" w:hAnsi="Times New Roman" w:eastAsia="方正仿宋_GBK"/>
          <w:b w:val="0"/>
          <w:sz w:val="24"/>
        </w:rPr>
        <w:t>105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98"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h998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17"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h1017 \h </w:instrText>
      </w:r>
      <w:r>
        <w:rPr>
          <w:rFonts w:ascii="Times New Roman" w:hAnsi="Times New Roman" w:eastAsia="方正仿宋_GBK"/>
          <w:b/>
          <w:sz w:val="24"/>
        </w:rPr>
        <w:fldChar w:fldCharType="separate"/>
      </w:r>
      <w:r>
        <w:rPr>
          <w:rFonts w:ascii="Times New Roman" w:hAnsi="Times New Roman" w:eastAsia="方正仿宋_GBK"/>
          <w:b/>
          <w:sz w:val="24"/>
        </w:rPr>
        <w:t>135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9"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h1019 \h </w:instrText>
      </w:r>
      <w:r>
        <w:rPr>
          <w:rFonts w:ascii="Times New Roman" w:hAnsi="Times New Roman" w:eastAsia="方正仿宋_GBK"/>
          <w:b w:val="0"/>
          <w:sz w:val="24"/>
        </w:rPr>
        <w:fldChar w:fldCharType="separate"/>
      </w:r>
      <w:r>
        <w:rPr>
          <w:rFonts w:ascii="Times New Roman" w:hAnsi="Times New Roman" w:eastAsia="方正仿宋_GBK"/>
          <w:b w:val="0"/>
          <w:sz w:val="24"/>
        </w:rPr>
        <w:t>135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5"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h1045 \h </w:instrText>
      </w:r>
      <w:r>
        <w:rPr>
          <w:rFonts w:ascii="Times New Roman" w:hAnsi="Times New Roman" w:eastAsia="方正仿宋_GBK"/>
          <w:b w:val="0"/>
          <w:sz w:val="24"/>
        </w:rPr>
        <w:fldChar w:fldCharType="separate"/>
      </w:r>
      <w:r>
        <w:rPr>
          <w:rFonts w:ascii="Times New Roman" w:hAnsi="Times New Roman" w:eastAsia="方正仿宋_GBK"/>
          <w:b w:val="0"/>
          <w:sz w:val="24"/>
        </w:rPr>
        <w:t>137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51"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h1051 \h </w:instrText>
      </w:r>
      <w:r>
        <w:rPr>
          <w:rFonts w:ascii="Times New Roman" w:hAnsi="Times New Roman" w:eastAsia="方正仿宋_GBK"/>
          <w:b/>
          <w:sz w:val="24"/>
        </w:rPr>
        <w:fldChar w:fldCharType="separate"/>
      </w:r>
      <w:r>
        <w:rPr>
          <w:rFonts w:ascii="Times New Roman" w:hAnsi="Times New Roman" w:eastAsia="方正仿宋_GBK"/>
          <w:b/>
          <w:sz w:val="24"/>
        </w:rPr>
        <w:t>138</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主变N-1条件下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年度负荷、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9" w:name="h19"/>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3" w:name="h33"/>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MW/km²。市区含不同分区，不能整体等同于A类；本研究按A类较少、B类较多设置转供率参考，设备候选按各站资料和研究假设分别确定。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不由统一比例直接生成。</w:t>
      </w:r>
    </w:p>
    <w:p>
      <w:pPr>
        <w:pStyle w:val="4"/>
        <w:keepNext/>
        <w:numPr>
          <w:numId w:val="0"/>
        </w:numPr>
        <w:spacing w:line="480" w:lineRule="exact" w:before="160" w:after="120"/>
        <w:ind w:firstLine="0"/>
      </w:pPr>
      <w:bookmarkStart w:id="1046" w:name="h46"/>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最后，围绕六项核心参数构造推广矩阵，储能价格及辅助技术经济参数另作敏感性分析。矩阵按输入区间归纳容载比计算范围，设备措施与费用分别列示。输入参数的首尾开口形式不改变输出容载比的有限端点。</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8" w:name="h58"/>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4" w:name="h74"/>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7" w:name="h77"/>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80" w:name="h80"/>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2" w:name="h102"/>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40" w:name="h140"/>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4" w:name="h154"/>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仅作为参数研究条件，不直接代表地区实际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8" w:name="h168"/>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5" w:name="h185"/>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避免持续时间变化与价格变化混入同一指标。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9" w:name="h199"/>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费用相近时可以出现多组可行配置。以费用目标求得的可行方案对应具体设备和联络项目。地区间的容载比排序不作为预设约束。</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pPr>
        <w:pStyle w:val="4"/>
        <w:keepNext/>
        <w:numPr>
          <w:numId w:val="0"/>
        </w:numPr>
        <w:spacing w:line="480" w:lineRule="exact" w:before="160" w:after="120"/>
        <w:ind w:firstLine="0"/>
      </w:pPr>
      <w:bookmarkStart w:id="1212" w:name="h212"/>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源荷规模、负荷增长、线路造价、初始转供率和储能支撑持续时间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不称为导则规定。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端点不作无界延伸。主变按允许规格和台数建设，区间内并非每个小数值都对应独立可行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倍数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pPr>
        <w:pStyle w:val="4"/>
        <w:keepNext/>
        <w:numPr>
          <w:numId w:val="0"/>
        </w:numPr>
        <w:spacing w:line="480" w:lineRule="exact" w:before="160" w:after="120"/>
        <w:ind w:firstLine="0"/>
      </w:pPr>
      <w:bookmarkStart w:id="1234" w:name="h234"/>
      <w:bookmarkStart w:id="89" w:name="本章小结"/>
      <w:r>
        <w:rPr>
          <w:rFonts w:ascii="Times New Roman" w:hAnsi="Times New Roman" w:eastAsia="方正仿宋_GBK"/>
          <w:b/>
          <w:sz w:val="32"/>
        </w:rPr>
        <w:t xml:space="preserve">2.9 本章小结</w:t>
      </w:r>
      <w:bookmarkEnd w:id="89"/>
      <w:bookmarkEnd w:id="1234"/>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pPr>
        <w:pStyle w:val="3"/>
        <w:keepNext/>
        <w:pageBreakBefore/>
        <w:numPr>
          <w:numId w:val="0"/>
        </w:numPr>
        <w:spacing w:line="540" w:lineRule="exact" w:before="0" w:after="120"/>
        <w:ind w:firstLine="0"/>
      </w:pPr>
      <w:bookmarkStart w:id="1236" w:name="h236"/>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6"/>
    </w:p>
    <w:p>
      <w:pPr>
        <w:pStyle w:val="4"/>
        <w:keepNext/>
        <w:numPr>
          <w:numId w:val="0"/>
        </w:numPr>
        <w:spacing w:line="480" w:lineRule="exact" w:before="160" w:after="120"/>
        <w:ind w:firstLine="0"/>
      </w:pPr>
      <w:bookmarkStart w:id="1237" w:name="h237"/>
      <w:bookmarkStart w:id="91" w:name="研究地区与原始资料"/>
      <w:r>
        <w:rPr>
          <w:rFonts w:ascii="Times New Roman" w:hAnsi="Times New Roman" w:eastAsia="方正仿宋_GBK"/>
          <w:b/>
          <w:sz w:val="32"/>
        </w:rPr>
        <w:t xml:space="preserve">3.1 研究地区与原始资料</w:t>
      </w:r>
      <w:bookmarkEnd w:id="91"/>
      <w:bookmarkEnd w:id="1237"/>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95%峰值持续时间描述补齐后区域曲线的连续近峰事件，年度电量估计用于源荷背景分析。地区案例使用区域正向峰值和最低净负荷两类静态工况，各站功率按同一工况组织；正向储能支撑另统一取4 h作对照，不将实测近峰时长等同于N-1支撑要求。</w:t>
      </w:r>
    </w:p>
    <w:p>
      <w:pPr>
        <w:pStyle w:val="4"/>
        <w:keepNext/>
        <w:numPr>
          <w:numId w:val="0"/>
        </w:numPr>
        <w:spacing w:line="480" w:lineRule="exact" w:before="160" w:after="120"/>
        <w:ind w:firstLine="0"/>
      </w:pPr>
      <w:bookmarkStart w:id="1247" w:name="h247"/>
      <w:bookmarkStart w:id="95" w:name="年度容量负荷与增长特征"/>
      <w:r>
        <w:rPr>
          <w:rFonts w:ascii="Times New Roman" w:hAnsi="Times New Roman" w:eastAsia="方正仿宋_GBK"/>
          <w:b/>
          <w:sz w:val="32"/>
        </w:rPr>
        <w:t xml:space="preserve">3.2 年度容量、负荷与增长特征</w:t>
      </w:r>
      <w:bookmarkEnd w:id="95"/>
      <w:bookmarkEnd w:id="1247"/>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5" w:name="h265"/>
      <w:bookmarkStart w:id="101" w:name="分布式光伏装机与电量"/>
      <w:r>
        <w:rPr>
          <w:rFonts w:ascii="Times New Roman" w:hAnsi="Times New Roman" w:eastAsia="方正仿宋_GBK"/>
          <w:b/>
          <w:sz w:val="32"/>
        </w:rPr>
        <w:t xml:space="preserve">3.3 分布式光伏装机与电量</w:t>
      </w:r>
      <w:bookmarkEnd w:id="101"/>
      <w:bookmarkEnd w:id="1265"/>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7" w:name="h287"/>
      <w:bookmarkStart w:id="107" w:name="主变负载率与双向净负荷"/>
      <w:r>
        <w:rPr>
          <w:rFonts w:ascii="Times New Roman" w:hAnsi="Times New Roman" w:eastAsia="方正仿宋_GBK"/>
          <w:b/>
          <w:sz w:val="32"/>
        </w:rPr>
        <w:t xml:space="preserve">3.4 主变负载率与双向净负荷</w:t>
      </w:r>
      <w:bookmarkEnd w:id="107"/>
      <w:bookmarkEnd w:id="1287"/>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5" w:name="h315"/>
      <w:bookmarkStart w:id="117" w:name="核心参数的案例敏感性分析"/>
      <w:r>
        <w:rPr>
          <w:rFonts w:ascii="Times New Roman" w:hAnsi="Times New Roman" w:eastAsia="方正仿宋_GBK"/>
          <w:b/>
          <w:sz w:val="32"/>
        </w:rPr>
        <w:t xml:space="preserve">3.5 核心参数的案例敏感性分析</w:t>
      </w:r>
      <w:bookmarkEnd w:id="117"/>
      <w:bookmarkEnd w:id="1315"/>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上述差异用于说明案例基础，不能通过两个地区的横向差值认定某一参数对容载比的独立影响。</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二者的来源和统计范围不同，不将其作为两地区已核定的实际初始转供率直接比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以净负荷静态工况为输入，缺少同范围用户负荷与分布式电源出力的完整分解，故不直接按装机渗透率比例缩放净负荷。推广模板分别构造用户负荷和电源出力后，再改变分布式电源装机渗透率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以各地区2021—2025年实际负荷计算的年最大净负荷平均增长率为基准，分别增加和减少2个百分点。历史基准序列保留年度波动，扰动序列在每个年份乘以相应发展倍率，不将实际负荷替换为平滑等比曲线。第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为扰动幅度。相同年度倍率作用于各站同步功率，保留原有工况内的站间分布与负荷守恒。基期设备、候选线路热限及初始馈线能力不随负荷增长自动增加。</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邳州在较低、基准及较高年最大净负荷平均增长率下，目标年负荷分别为886.87、956.45、1030.04 MW，对应主变容量1795.50、1955.50、2078.50 MVA，容载比为2.02、2.04、2.02。上述变化说明容量随设备投运调整，不能由负荷增长倍率直接推定同倍率的容载比变化。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市区在较低、基准及较高年最大净负荷平均增长率下，目标年负荷分别为1411.65、1528.82、1653.13 MW，对应主变容量3311.00、3311.00、3324.00 MVA，容载比为2.35、2.17、2.01。上述变化说明容量随设备投运调整，不能由负荷增长倍率直接推定同倍率的容载比变化。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仅凭容载比下降，无法认定供电能力降低。</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该比较保持线路技术能力不变，避免把造价变化解释成转供能力变化。</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h作为共同技术经济基准。近峰持续时间描述区域负荷曲线，工程所需储能能量还取决于主变N-1后的缺口幅值、持续过程及故障恢复时间，不能只按地区峰值持续时间确定储能规模。</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三项参数通过不同机制作用于容载比，不能将费用变化或储能规模变化直接当作容载比的同义指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模板中的总体相关系数不替代地区案例的独立扰动结果。</w:t>
      </w:r>
    </w:p>
    <w:p>
      <w:pPr>
        <w:pStyle w:val="4"/>
        <w:keepNext/>
        <w:numPr>
          <w:numId w:val="0"/>
        </w:numPr>
        <w:spacing w:line="480" w:lineRule="exact" w:before="160" w:after="120"/>
        <w:ind w:firstLine="0"/>
      </w:pPr>
      <w:bookmarkStart w:id="1354" w:name="h354"/>
      <w:bookmarkStart w:id="124" w:name="kv负荷转接资料与仿真条件"/>
      <w:r>
        <w:rPr>
          <w:rFonts w:ascii="Times New Roman" w:hAnsi="Times New Roman" w:eastAsia="方正仿宋_GBK"/>
          <w:b/>
          <w:sz w:val="32"/>
        </w:rPr>
        <w:t xml:space="preserve">3.6 10 kV负荷转接资料与仿真条件</w:t>
      </w:r>
      <w:bookmarkEnd w:id="124"/>
      <w:bookmarkEnd w:id="1354"/>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MW，比值约28%。该值反映局部资料，不直接代表全县实际转供率。当前网络模型以已知联络和候选区段建立具体路径，新增单项目有效能力采用7.49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不能超过本站原始可转负荷，不把从其他站接收的负荷再次作为新增源端能力。转供后净负荷同时校核正向供电和反向容量，区域内部转入、转出合计相等。</w:t>
      </w:r>
    </w:p>
    <w:p>
      <w:pPr>
        <w:pStyle w:val="4"/>
        <w:keepNext/>
        <w:numPr>
          <w:numId w:val="0"/>
        </w:numPr>
        <w:spacing w:line="480" w:lineRule="exact" w:before="160" w:after="120"/>
        <w:ind w:firstLine="0"/>
      </w:pPr>
      <w:bookmarkStart w:id="1362" w:name="h362"/>
      <w:bookmarkStart w:id="128" w:name="站级负载率与配置需求"/>
      <w:r>
        <w:rPr>
          <w:rFonts w:ascii="Times New Roman" w:hAnsi="Times New Roman" w:eastAsia="方正仿宋_GBK"/>
          <w:b/>
          <w:sz w:val="32"/>
        </w:rPr>
        <w:t xml:space="preserve">3.7 站级负载率与配置需求</w:t>
      </w:r>
      <w:bookmarkEnd w:id="128"/>
      <w:bookmarkEnd w:id="1362"/>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按初始主变容量折算后，较大净负荷站与较高负载率站不必相同。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该方向统计未覆盖全年所有局部峰值，建设结论仍以第五章逐工况网络校核为依据。</w:t>
      </w:r>
    </w:p>
    <w:p>
      <w:pPr>
        <w:pStyle w:val="4"/>
        <w:keepNext/>
        <w:numPr>
          <w:numId w:val="0"/>
        </w:numPr>
        <w:spacing w:line="480" w:lineRule="exact" w:before="160" w:after="120"/>
        <w:ind w:firstLine="0"/>
      </w:pPr>
      <w:bookmarkStart w:id="1379" w:name="h379"/>
      <w:bookmarkStart w:id="136" w:name="运行特征的综合分析"/>
      <w:r>
        <w:rPr>
          <w:rFonts w:ascii="Times New Roman" w:hAnsi="Times New Roman" w:eastAsia="方正仿宋_GBK"/>
          <w:b/>
          <w:sz w:val="32"/>
        </w:rPr>
        <w:t xml:space="preserve">3.8 运行特征的综合分析</w:t>
      </w:r>
      <w:bookmarkEnd w:id="136"/>
      <w:bookmarkEnd w:id="1379"/>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pPr>
        <w:pStyle w:val="3"/>
        <w:keepNext/>
        <w:pageBreakBefore/>
        <w:numPr>
          <w:numId w:val="0"/>
        </w:numPr>
        <w:spacing w:line="540" w:lineRule="exact" w:before="0" w:after="120"/>
        <w:ind w:firstLine="0"/>
      </w:pPr>
      <w:bookmarkStart w:id="1401" w:name="h401"/>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1"/>
    </w:p>
    <w:p>
      <w:pPr>
        <w:pStyle w:val="4"/>
        <w:keepNext/>
        <w:numPr>
          <w:numId w:val="0"/>
        </w:numPr>
        <w:spacing w:line="480" w:lineRule="exact" w:before="160" w:after="120"/>
        <w:ind w:firstLine="0"/>
      </w:pPr>
      <w:bookmarkStart w:id="1402" w:name="h402"/>
      <w:bookmarkStart w:id="142" w:name="成本模型的范围与建立原则"/>
      <w:r>
        <w:rPr>
          <w:rFonts w:ascii="Times New Roman" w:hAnsi="Times New Roman" w:eastAsia="方正仿宋_GBK"/>
          <w:b/>
          <w:sz w:val="32"/>
        </w:rPr>
        <w:t xml:space="preserve">4.1 成本模型的范围与建立原则</w:t>
      </w:r>
      <w:bookmarkEnd w:id="142"/>
      <w:bookmarkEnd w:id="1402"/>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6" w:name="主变工程成本系数"/>
      <w:r>
        <w:rPr>
          <w:rFonts w:ascii="Times New Roman" w:hAnsi="Times New Roman" w:eastAsia="方正仿宋_GBK"/>
          <w:b/>
          <w:sz w:val="32"/>
        </w:rPr>
        <w:t xml:space="preserve">4.2 主变工程成本系数</w:t>
      </w:r>
      <w:bookmarkEnd w:id="146"/>
      <w:bookmarkEnd w:id="1414"/>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1" w:name="kv联络工程费用"/>
      <w:r>
        <w:rPr>
          <w:rFonts w:ascii="Times New Roman" w:hAnsi="Times New Roman" w:eastAsia="方正仿宋_GBK"/>
          <w:b/>
          <w:sz w:val="32"/>
        </w:rPr>
        <w:t xml:space="preserve">4.3 10 kV联络工程费用</w:t>
      </w:r>
      <w:bookmarkEnd w:id="151"/>
      <w:bookmarkEnd w:id="1433"/>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。两地区案例保留这两个工程参考费用，推广时直接改变系数，不设置</w:t>
      </w:r>
      <w:r>
        <w:rPr>
          <w:rFonts w:ascii="Times New Roman" w:hAnsi="Times New Roman" w:eastAsia="方正仿宋_GBK"/>
          <w:b w:val="0"/>
          <w:sz w:val="24"/>
        </w:rPr>
        <w:t xml:space="preserve">“</w:t>
      </w:r>
      <w:r>
        <w:rPr>
          <w:rFonts w:ascii="Times New Roman" w:hAnsi="Times New Roman" w:eastAsia="方正仿宋_GBK"/>
          <w:b w:val="0"/>
          <w:sz w:val="24"/>
        </w:rPr>
        <w:t xml:space="preserve">架空为主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电缆为主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两套分类。</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同一馈线连接多条候选联络时，共用其源端可转负荷和接收余量。单边7.49 MW不意味着每增建一条线路都能独立增加同等地区转供能力，还需核对共用馈线和接收主变。</w:t>
      </w:r>
    </w:p>
    <w:p>
      <w:pPr>
        <w:pStyle w:val="4"/>
        <w:keepNext/>
        <w:numPr>
          <w:numId w:val="0"/>
        </w:numPr>
        <w:spacing w:line="480" w:lineRule="exact" w:before="160" w:after="120"/>
        <w:ind w:firstLine="0"/>
      </w:pPr>
      <w:bookmarkStart w:id="1445" w:name="h445"/>
      <w:bookmarkStart w:id="155" w:name="储能投资模型"/>
      <w:r>
        <w:rPr>
          <w:rFonts w:ascii="Times New Roman" w:hAnsi="Times New Roman" w:eastAsia="方正仿宋_GBK"/>
          <w:b/>
          <w:sz w:val="32"/>
        </w:rPr>
        <w:t xml:space="preserve">4.4 储能投资模型</w:t>
      </w:r>
      <w:bookmarkEnd w:id="155"/>
      <w:bookmarkEnd w:id="1445"/>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统一静态比选，不能替代运行状态约束。正向支撑需要可放电电量，反向吸收需要可充电空间。当前模型未追踪荷电状态，不能保证每次连续事件均具备设定能力。工程应用需结合保证可用电量、充放电效率、充电条件及恢复时间核定支撑能力。</w:t>
      </w:r>
    </w:p>
    <w:p>
      <w:pPr>
        <w:pStyle w:val="4"/>
        <w:keepNext/>
        <w:numPr>
          <w:numId w:val="0"/>
        </w:numPr>
        <w:spacing w:line="480" w:lineRule="exact" w:before="160" w:after="120"/>
        <w:ind w:firstLine="0"/>
      </w:pPr>
      <w:bookmarkStart w:id="1461" w:name="h461"/>
      <w:bookmarkStart w:id="161" w:name="经济参数与敏感性分析"/>
      <w:r>
        <w:rPr>
          <w:rFonts w:ascii="Times New Roman" w:hAnsi="Times New Roman" w:eastAsia="方正仿宋_GBK"/>
          <w:b/>
          <w:sz w:val="32"/>
        </w:rPr>
        <w:t xml:space="preserve">4.5 经济参数与敏感性分析</w:t>
      </w:r>
      <w:bookmarkEnd w:id="161"/>
      <w:bookmarkEnd w:id="1461"/>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h。储能价格采用相对单柜参考投资的倍数，另取0.50、0.75、1.00、1.25作专项分析。每次价格倍数较固定功率、能量规格及持续时间，价格倍数作用于新增采购费用和由其计算的固定运维费用。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不能将当前无响应解释为设备寿命没有经济意义。</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避免仅凭某项费用下降推断容量必然下降。</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MW。提高系数只改变这条候选线路的费用，不扩大热限或可切换负荷。若邻站没有可用容量，降低线路价格仍不能消除本地供电缺口；若既有联络已经能够完成转供，则系数变化不会增加既有资产建设支出。</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4" w:name="h474"/>
      <w:bookmarkStart w:id="166" w:name="现金流现值计算"/>
      <w:r>
        <w:rPr>
          <w:rFonts w:ascii="Times New Roman" w:hAnsi="Times New Roman" w:eastAsia="方正仿宋_GBK"/>
          <w:b/>
          <w:sz w:val="32"/>
        </w:rPr>
        <w:t xml:space="preserve">4.6 现金流现值计算</w:t>
      </w:r>
      <w:bookmarkEnd w:id="166"/>
      <w:bookmarkEnd w:id="1474"/>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避免将固定项目与可变长度费用同时按比例缩放。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不能仅由某一类设备的数量变化推断。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500" w:name="h500"/>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0"/>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pPr>
        <w:pStyle w:val="4"/>
        <w:keepNext/>
        <w:numPr>
          <w:numId w:val="0"/>
        </w:numPr>
        <w:spacing w:line="480" w:lineRule="exact" w:before="160" w:after="120"/>
        <w:ind w:firstLine="0"/>
      </w:pPr>
      <w:bookmarkStart w:id="1502" w:name="h502"/>
      <w:bookmarkStart w:id="174" w:name="寻优问题与共同起点"/>
      <w:r>
        <w:rPr>
          <w:rFonts w:ascii="Times New Roman" w:hAnsi="Times New Roman" w:eastAsia="方正仿宋_GBK"/>
          <w:b/>
          <w:sz w:val="32"/>
        </w:rPr>
        <w:t xml:space="preserve">5.1 寻优问题与共同起点</w:t>
      </w:r>
      <w:bookmarkEnd w:id="174"/>
      <w:bookmarkEnd w:id="1502"/>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MVA；基期负荷取2021年实际统计值，两地区基期容载比按两位小数均为2.00。该设置用于方案比较，实际在役容量仍采用第三章年度统计，不叠加到仿真设备上。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年的原表网供最大负荷估计值，单位MW。已有年度负荷直接进入模型，保留2023年邳州及2022、2024年市区的负荷回落。标准复合增长率用于增长水平描述和通用情景设置，不替代已知年度负荷。</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研究情景，不表述为各历史年度实测反送极值。地区案例采用静态工况比选，未开展逐时荷电状态仿真。</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允许保留既有资产，但不能据此继续扩容。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在候选设备及场地条件下允许的最大容量。2.001用于表达本次弹性比选突破2.00的条件，不作为导则新增规定。容载比由容量和同年网供峰值计算，储能及线路能力不计入其分子。</w:t>
      </w:r>
    </w:p>
    <w:p>
      <w:pPr>
        <w:pStyle w:val="2"/>
        <w:widowControl/>
        <w:spacing w:line="348" w:lineRule="exact" w:before="0" w:after="0"/>
        <w:ind w:firstLine="480"/>
        <w:jc w:val="both"/>
      </w:pPr>
      <w:r>
        <w:rPr>
          <w:rFonts w:ascii="Times New Roman" w:hAnsi="Times New Roman" w:eastAsia="方正仿宋_GBK"/>
          <w:b w:val="0"/>
          <w:sz w:val="24"/>
        </w:rPr>
        <w:t xml:space="preserve">屋顶资源和光伏发展条件用于构造源荷情景。可实施的容量规模受站址、设备候选和网络条件限制，地区间容载比及费用关系由计算结果判断。</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资源可开发规模不能单独推导主变容量上限：同样的装机规模，在用户负荷、光伏空间分布、联络条件及储能持续时间不同的情况下，对正反向容量的要求也不同。本研究保留上述资源分析，容量比选的最大可选值由实际设备候选与站址条件确定，不据此设置统一容载比上限。</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不能用线路价格代替转供能力[8]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7" w:name="h527"/>
      <w:bookmarkStart w:id="178" w:name="三类措施的选取与寻优方法"/>
      <w:r>
        <w:rPr>
          <w:rFonts w:ascii="Times New Roman" w:hAnsi="Times New Roman" w:eastAsia="方正仿宋_GBK"/>
          <w:b/>
          <w:sz w:val="32"/>
        </w:rPr>
        <w:t xml:space="preserve">5.2 三类措施的选取与寻优方法</w:t>
      </w:r>
      <w:bookmarkEnd w:id="178"/>
      <w:bookmarkEnd w:id="1527"/>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MVA，并可能提高最大单台主变N-1后的剩余容量。设备结构对供电安全的影响进入约束，不能只按每MVA投资排序[85]。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MW，比例约28%。该比例说明局部样本条件，不能直接认定为全县实测水平。当前地区案例按具体已知联络与候选区段建模，不按统一比例凭空增加站间连接。</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未建设的候选边不能承担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为接收余量计算采用的馈线负荷。各量单位均为MW，负的接收余量按0处理。送端可转负荷不包括先从其他站转入的负荷，避免重复利用同一负荷块。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邳州保留已知存量联络及原付费候选。市区按共同上级电源及间隔资料筛选候选，馈线分配和热限含研究假设。共同上级电源只表示规划筛查条件，不证明现实已存在10 kV联络。市区没有已核实存量边的部分按新增建设计费，其费用应结合后续存量网络核查解释。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不把互不同时发生的故障需求相加。线路投运后持续在役，后续负荷增加不自动扩大线路热限。</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MW。这一转接还必须经过已投运线路，并同时满足源端可转负荷、受端馈线余量和两站主变容量要求。算术守恒本身不能证明转接能够实施。</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MW的静态支撑。该折算用于技术经济比选，不能替代工程阶段对充电条件、连续运行及保证可用电量的校核。</w:t>
      </w:r>
    </w:p>
    <w:p>
      <w:pPr>
        <w:pStyle w:val="4"/>
        <w:keepNext/>
        <w:numPr>
          <w:numId w:val="0"/>
        </w:numPr>
        <w:spacing w:line="480" w:lineRule="exact" w:before="160" w:after="120"/>
        <w:ind w:firstLine="0"/>
      </w:pPr>
      <w:bookmarkStart w:id="1549" w:name="h549"/>
      <w:bookmarkStart w:id="184" w:name="约束条件与求解流程"/>
      <w:r>
        <w:rPr>
          <w:rFonts w:ascii="Times New Roman" w:hAnsi="Times New Roman" w:eastAsia="方正仿宋_GBK"/>
          <w:b/>
          <w:sz w:val="32"/>
        </w:rPr>
        <w:t xml:space="preserve">5.3 约束条件与求解流程</w:t>
      </w:r>
      <w:bookmarkEnd w:id="184"/>
      <w:bookmarkEnd w:id="1549"/>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每个静态工况分别校核正常运行及各站主变N-1。故障站按剩余主变容量计算，健康邻站保留全部主变，允许通过已投运线路重新安排负荷。不同故障工况互不同时发生，不能把全区各站容量同时扣减一台主变。</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为相应费用现值因子。供电裕度在技术约束中满足，不另设容量优先目标。相同费用附近可能存在多种离散设备组合，不能把求解器选出的单一组合表述为唯一工程方案。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允许储能的措施集合包含无储能方案；两组求解精度不同时，优先保留已通过核查的较低费用候选，避免将搜索差异解释为储能效益。</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设备状态按年份衔接，避免将某年新增工程在下一年无费用拆回。</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不在费用相近时另行偏好较大容量。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1" w:name="h561"/>
      <w:bookmarkStart w:id="188" w:name="寻优结果"/>
      <w:r>
        <w:rPr>
          <w:rFonts w:ascii="Times New Roman" w:hAnsi="Times New Roman" w:eastAsia="方正仿宋_GBK"/>
          <w:b/>
          <w:sz w:val="32"/>
        </w:rPr>
        <w:t xml:space="preserve">5.4 寻优结果</w:t>
      </w:r>
      <w:bookmarkEnd w:id="188"/>
      <w:bookmarkEnd w:id="1561"/>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MW。刚性方案同期容载比为1.86。逐年变化同时受实际负荷起伏与离散设备投运影响，不能按平滑增长趋势解释。</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不能按平滑增长趋势解释。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与当年主动增加容量不同。年度建设安排应结合两者区分，不能用一条平均增长曲线代替实际年际变化，也不能只根据容载比升降判断是否实施了增容。</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不能将试算费用直接作为核定现状资产下的工程预算。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各自安排转接并分别校核，不将转接量相加。所列功率对应这些同步时刻，不作为各站全年独立极值。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MW。两类方案本站总容量相同，仍需结合主变组合和邻站转接安排解释储能配置。弹性方案2022—2025年主变总容量依次为81.50、81.50、81.50、81.50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MW。两类方案本站总容量相同，仍需结合主变组合和邻站转接安排解释储能配置。弹性方案2022—2025年主变总容量依次为100.00、100.00、100.00、100.00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MVA，区域容量增加并不要求每座站同步增容。弹性方案2022—2025年主变总容量依次为100.00、100.00、100.00、100.00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MW。两类方案本站总容量相同，仍需结合主变组合和邻站转接安排解释储能配置。弹性方案2022—2025年主变总容量依次为81.50、81.50、81.50、81.50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MW。两类方案本站总容量相同，仍需结合主变组合和邻站转接安排解释储能配置。弹性方案2022—2025年主变总容量依次为100.00、100.00、100.00、100.00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MW。两类方案本站总容量相同，仍需结合主变组合和邻站转接安排解释储能配置。弹性方案2022—2025年主变总容量依次为70.00、70.00、70.00、70.00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MW。两类方案本站总容量相同，仍需结合主变组合和邻站转接安排解释储能配置。弹性方案2022—2025年主变总容量依次为103.00、103.00、103.00、103.00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MW。两类方案本站总容量相同，仍需结合主变组合和邻站转接安排解释储能配置。弹性方案2022—2025年主变总容量依次为160.00、160.00、160.00、160.00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MW。两类方案本站总容量相同，仍需结合主变组合和邻站转接安排解释储能配置。弹性方案2022—2025年主变总容量依次为80.00、80.00、80.00、80.00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不能由地区比值反推每座站采用相同配置。</w:t>
      </w:r>
    </w:p>
    <w:p>
      <w:pPr>
        <w:pStyle w:val="4"/>
        <w:keepNext/>
        <w:numPr>
          <w:numId w:val="0"/>
        </w:numPr>
        <w:spacing w:line="480" w:lineRule="exact" w:before="160" w:after="120"/>
        <w:ind w:firstLine="0"/>
      </w:pPr>
      <w:bookmarkStart w:id="1879" w:name="h879"/>
      <w:bookmarkStart w:id="244" w:name="措施作用与工程衔接"/>
      <w:r>
        <w:rPr>
          <w:rFonts w:ascii="Times New Roman" w:hAnsi="Times New Roman" w:eastAsia="方正仿宋_GBK"/>
          <w:b/>
          <w:sz w:val="32"/>
        </w:rPr>
        <w:t xml:space="preserve">5.5 措施作用与工程衔接</w:t>
      </w:r>
      <w:bookmarkEnd w:id="244"/>
      <w:bookmarkEnd w:id="1879"/>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不把不同工况的转接功率累加。</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MW。转接量同时受年度负荷和设备投运影响，不能仅由地区增长率判断。目标年正常转接中，经既有边和新增边的功率分别为0.00 MW、79.30 MW；N-1条件另按故障站逐一安排，不将不同故障的功率相加。</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MW。转接量同时受年度负荷和设备投运影响，不能仅由地区增长率判断。目标年正常转接中，经既有边和新增边的功率分别为0.00 MW、37.07 MW；N-1条件另按故障站逐一安排，不将不同故障的功率相加。</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费用目标没有要求正常转接量最小，因此同一设备布局下还可能存在其他可行的负荷分配。表中转接量用于说明当前候选的网络利用，不作为唯一调度指令。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仅增加联络条数，不能保证按额定能力等比例增加地区可转负荷。</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不能只凭某个正常时刻的利用率认定冗余。</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该结果不等于现实地区普遍必须配置储能；弹性方案可通过允许的主变增容和付费联络满足同一静态约束。</w:t>
      </w:r>
    </w:p>
    <w:p>
      <w:pPr>
        <w:pStyle w:val="4"/>
        <w:keepNext/>
        <w:numPr>
          <w:numId w:val="0"/>
        </w:numPr>
        <w:spacing w:line="480" w:lineRule="exact" w:before="160" w:after="120"/>
        <w:ind w:firstLine="0"/>
      </w:pPr>
      <w:bookmarkStart w:id="1900" w:name="h900"/>
      <w:bookmarkStart w:id="249" w:name="参数拓展与通用推荐矩阵"/>
      <w:r>
        <w:rPr>
          <w:rFonts w:ascii="Times New Roman" w:hAnsi="Times New Roman" w:eastAsia="方正仿宋_GBK"/>
          <w:b/>
          <w:sz w:val="32"/>
        </w:rPr>
        <w:t xml:space="preserve">5.6 参数拓展与通用推荐矩阵</w:t>
      </w:r>
      <w:bookmarkEnd w:id="249"/>
      <w:bookmarkEnd w:id="1900"/>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容载比推荐区间取相应参数组合下可行配置的最小值与最大值。</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，不将站峰之和用作容载比分母。</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不随年度负荷免费增长。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六项输入采用独立全因子组合。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表5-83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因此容载比降低不必然意味着主变容量减少。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表5-84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MVA、容载比均为2.05，新增联络项目数分别为0、1、2。容量比值相同仍存在网络建设差异，说明负荷分散系数不能因总体相关较弱而从分类条件中删除。分布式电源装机渗透率为2.50时，三组均采用820.00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表5-85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表5-86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5" w:name="分布式电源装机规模与双向容量需求"/>
      <w:r>
        <w:rPr>
          <w:rFonts w:ascii="Times New Roman" w:hAnsi="Times New Roman" w:eastAsia="方正仿宋_GBK"/>
          <w:b/>
          <w:sz w:val="26"/>
        </w:rPr>
        <w:t xml:space="preserve">5.6.5 分布式电源装机规模与双向容量需求</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56" w:name="初始转供率30"/>
      <w:r>
        <w:rPr>
          <w:rFonts w:ascii="Times New Roman" w:hAnsi="Times New Roman" w:eastAsia="方正仿宋_GBK"/>
          <w:b/>
          <w:sz w:val="24"/>
        </w:rPr>
        <w:t xml:space="preserve">初始转供率30%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57" w:name="初始转供率70"/>
      <w:r>
        <w:rPr>
          <w:rFonts w:ascii="Times New Roman" w:hAnsi="Times New Roman" w:eastAsia="方正仿宋_GBK"/>
          <w:b/>
          <w:sz w:val="24"/>
        </w:rPr>
        <w:t xml:space="preserve">初始转供率70%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对两方向分别校核，不能只按区域装机与总容量之比判断承载能力。</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高分布式电源装机渗透率档为首尾开口分类，表中有限节点只说明已计算条件，不能证明任意高装机规模均可由当前设备集合满足。</w:t>
      </w:r>
    </w:p>
    <w:p>
      <w:pPr>
        <w:pStyle w:val="5"/>
        <w:keepNext/>
        <w:numPr>
          <w:numId w:val="0"/>
        </w:numPr>
        <w:spacing w:line="390" w:lineRule="exact" w:before="160" w:after="120"/>
        <w:ind w:firstLine="0"/>
      </w:pPr>
      <w:bookmarkStart w:id="258" w:name="负荷增长与主变建设时序"/>
      <w:r>
        <w:rPr>
          <w:rFonts w:ascii="Times New Roman" w:hAnsi="Times New Roman" w:eastAsia="方正仿宋_GBK"/>
          <w:b/>
          <w:sz w:val="26"/>
        </w:rPr>
        <w:t xml:space="preserve">5.6.6 负荷增长与主变建设时序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59" w:name="分布式电源装机渗透率0.50"/>
      <w:r>
        <w:rPr>
          <w:rFonts w:ascii="Times New Roman" w:hAnsi="Times New Roman" w:eastAsia="方正仿宋_GBK"/>
          <w:b/>
          <w:sz w:val="24"/>
        </w:rPr>
        <w:t xml:space="preserve">分布式电源装机渗透率0.50</w:t>
      </w:r>
      <w:bookmarkEnd w:id="259"/>
    </w:p>
    <w:p>
      <w:pPr>
        <w:pStyle w:val="FirstParagraph"/>
        <w:keepNext/>
        <w:spacing w:line="280" w:lineRule="exact" w:before="120" w:after="80"/>
        <w:ind w:firstLine="0"/>
        <w:jc w:val="center"/>
      </w:pPr>
      <w:r>
        <w:rPr>
          <w:rFonts w:ascii="Times New Roman" w:hAnsi="Times New Roman" w:eastAsia="宋体"/>
          <w:b w:val="0"/>
          <w:sz w:val="21"/>
        </w:rPr>
        <w:t xml:space="preserve">表5-89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0" w:name="分布式电源装机渗透率2.50"/>
      <w:r>
        <w:rPr>
          <w:rFonts w:ascii="Times New Roman" w:hAnsi="Times New Roman" w:eastAsia="方正仿宋_GBK"/>
          <w:b/>
          <w:sz w:val="24"/>
        </w:rPr>
        <w:t xml:space="preserve">分布式电源装机渗透率2.50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因此较高增长情景下的容载比降低，不表示设备容量一定减少，也不直接表示发展储备不足。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不能只按末年总容量平均分配年度投资。</w:t>
      </w:r>
    </w:p>
    <w:p>
      <w:pPr>
        <w:pStyle w:val="5"/>
        <w:keepNext/>
        <w:numPr>
          <w:numId w:val="0"/>
        </w:numPr>
        <w:spacing w:line="390" w:lineRule="exact" w:before="160" w:after="120"/>
        <w:ind w:firstLine="0"/>
      </w:pPr>
      <w:bookmarkStart w:id="261" w:name="储能支撑持续时间与配置变化"/>
      <w:r>
        <w:rPr>
          <w:rFonts w:ascii="Times New Roman" w:hAnsi="Times New Roman" w:eastAsia="方正仿宋_GBK"/>
          <w:b/>
          <w:sz w:val="26"/>
        </w:rPr>
        <w:t xml:space="preserve">5.6.7 储能支撑持续时间与配置变化</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表5-91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2" w:name="储能价格的专项比较"/>
      <w:r>
        <w:rPr>
          <w:rFonts w:ascii="Times New Roman" w:hAnsi="Times New Roman" w:eastAsia="方正仿宋_GBK"/>
          <w:b/>
          <w:sz w:val="26"/>
        </w:rPr>
        <w:t xml:space="preserve">5.6.8 储能价格的专项比较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3" w:name="h支撑条件下的设备替换"/>
      <w:r>
        <w:rPr>
          <w:rFonts w:ascii="Times New Roman" w:hAnsi="Times New Roman" w:eastAsia="方正仿宋_GBK"/>
          <w:b/>
          <w:sz w:val="24"/>
        </w:rPr>
        <w:t xml:space="preserve">2 h支撑条件下的设备替换</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4" w:name="h支撑条件下的费用变化"/>
      <w:r>
        <w:rPr>
          <w:rFonts w:ascii="Times New Roman" w:hAnsi="Times New Roman" w:eastAsia="方正仿宋_GBK"/>
          <w:b/>
          <w:sz w:val="24"/>
        </w:rPr>
        <w:t xml:space="preserve">4、6 h支撑条件下的费用变化</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表5-93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5"/>
        <w:keepNext/>
        <w:numPr>
          <w:numId w:val="0"/>
        </w:numPr>
        <w:spacing w:line="390" w:lineRule="exact" w:before="160" w:after="120"/>
        <w:ind w:firstLine="0"/>
      </w:pPr>
      <w:bookmarkStart w:id="265" w:name="储能价格及辅助参数敏感性"/>
      <w:r>
        <w:rPr>
          <w:rFonts w:ascii="Times New Roman" w:hAnsi="Times New Roman" w:eastAsia="方正仿宋_GBK"/>
          <w:b/>
          <w:sz w:val="26"/>
        </w:rPr>
        <w:t xml:space="preserve">5.6.9 储能价格及辅助参数敏感性</w:t>
      </w:r>
      <w:bookmarkEnd w:id="265"/>
    </w:p>
    <w:p>
      <w:pPr>
        <w:pStyle w:val="FirstParagraph"/>
        <w:keepNext/>
        <w:spacing w:line="280" w:lineRule="exact" w:before="120" w:after="80"/>
        <w:ind w:firstLine="0"/>
        <w:jc w:val="center"/>
      </w:pPr>
      <w:r>
        <w:rPr>
          <w:rFonts w:ascii="Times New Roman" w:hAnsi="Times New Roman" w:eastAsia="宋体"/>
          <w:b w:val="0"/>
          <w:sz w:val="21"/>
        </w:rPr>
        <w:t xml:space="preserve">表5-94 辅助参数单因素配对变化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低值→高值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8453.30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主变价格倍数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3565.83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0.65 → 0.85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线路长度/km</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 → 5.0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197.51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馈线热限倍数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-1305.47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 → 0.98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-2913.62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-26753.13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 MVA主变候选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-5743.86</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候选联络拓扑</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增密网络 → 相邻站网络</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折现率倍数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-2465.27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设备寿命倍数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固定运维率倍数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1903.48</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负荷分配权重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基准分配 → 较均匀分配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2016.03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弹性比选下限</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 → 2.001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注：设备候选由不允许变为允许；拓扑及空间分布为类别对照，顺序不表示连续数值。比选下限变化仅为研究约束诊断，不并入主矩阵。</w:t>
      </w:r>
    </w:p>
    <w:p>
      <w:pPr>
        <w:pStyle w:val="2"/>
        <w:widowControl/>
        <w:spacing w:line="348" w:lineRule="exact" w:before="0" w:after="0"/>
        <w:ind w:firstLine="480"/>
        <w:jc w:val="both"/>
      </w:pPr>
      <w:r>
        <w:rPr>
          <w:rFonts w:ascii="Times New Roman" w:hAnsi="Times New Roman" w:eastAsia="方正仿宋_GBK"/>
          <w:b w:val="0"/>
          <w:sz w:val="24"/>
        </w:rPr>
        <w:t xml:space="preserve">储能价格在固定持续时间下单独变化，费用变化包含采购规模和措施组合的调整。馈线热限、扩建位置和候选拓扑直接改变技术可行集合，应与价格参数分别解释。设备寿命变化在本次评价期内未必触发更新，响应为零时仅说明当前现金流时段尚未进入相应寿命边界。</w:t>
      </w:r>
    </w:p>
    <w:p>
      <w:pPr>
        <w:pStyle w:val="2"/>
        <w:widowControl/>
        <w:spacing w:line="348" w:lineRule="exact" w:before="0" w:after="0"/>
        <w:ind w:firstLine="480"/>
        <w:jc w:val="both"/>
      </w:pPr>
      <w:r>
        <w:rPr>
          <w:rFonts w:ascii="Times New Roman" w:hAnsi="Times New Roman" w:eastAsia="方正仿宋_GBK"/>
          <w:b w:val="0"/>
          <w:sz w:val="24"/>
        </w:rPr>
        <w:t xml:space="preserve">辅助参数包括主变及储能价格、可用电量系数、功率因数、线路长度、馈线热限、设备扩建条件、候选拓扑和费用评价参数。每次固定其他条件后改变一项，避免把线路价格和转供能力同时变化造成的效果混为一项。</w:t>
      </w:r>
    </w:p>
    <w:p>
      <w:pPr>
        <w:pStyle w:val="2"/>
        <w:keepNext/>
        <w:spacing w:line="280" w:lineRule="exact" w:before="120" w:after="80"/>
        <w:ind w:firstLine="0"/>
        <w:jc w:val="center"/>
      </w:pPr>
      <w:r>
        <w:rPr>
          <w:rFonts w:ascii="Times New Roman" w:hAnsi="Times New Roman" w:eastAsia="宋体"/>
          <w:b w:val="0"/>
          <w:sz w:val="21"/>
        </w:rPr>
        <w:t xml:space="preserve">表5-95 两参数交互差分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交互参数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比较节点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容载比交互差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费用交互差/万元</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 7.5]；[0.3,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2.5]；[2, 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22397.54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储能价格（分布式电源装机渗透率0.50）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储能价格（分布式电源装机渗透率2.50）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16489.14</w:t>
            </w:r>
          </w:p>
        </w:tc>
      </w:tr>
    </w:tbl>
    <w:p>
      <w:pPr>
        <w:pStyle w:val="2"/>
        <w:widowControl/>
        <w:spacing w:line="348" w:lineRule="exact" w:before="0" w:after="0"/>
        <w:ind w:firstLine="480"/>
        <w:jc w:val="both"/>
      </w:pPr>
      <w:r>
        <w:rPr>
          <w:rFonts w:ascii="Times New Roman" w:hAnsi="Times New Roman" w:eastAsia="方正仿宋_GBK"/>
          <w:b w:val="0"/>
          <w:sz w:val="24"/>
        </w:rPr>
        <w:t xml:space="preserve">注：交互差为高高−高低−低高+低低；未列参数采用基准值。</w:t>
      </w:r>
    </w:p>
    <w:p>
      <w:pPr>
        <w:pStyle w:val="2"/>
        <w:widowControl/>
        <w:spacing w:line="348" w:lineRule="exact" w:before="0" w:after="0"/>
        <w:ind w:firstLine="480"/>
        <w:jc w:val="both"/>
      </w:pPr>
      <w:r>
        <w:rPr>
          <w:rFonts w:ascii="Times New Roman" w:hAnsi="Times New Roman" w:eastAsia="方正仿宋_GBK"/>
          <w:b w:val="0"/>
          <w:sz w:val="24"/>
        </w:rPr>
        <w:t xml:space="preserve">线路成本与初始转供率的交互反映存量网络和新增措施的替代条件；持续时间与储能价格的交互反映功率需求转化为储能能量及投资后的变化。交互差分限于所设离散点，不作连续单调关系或因果关系的无条件推断。</w:t>
      </w:r>
    </w:p>
    <w:p>
      <w:pPr>
        <w:pStyle w:val="5"/>
        <w:keepNext/>
        <w:numPr>
          <w:numId w:val="0"/>
        </w:numPr>
        <w:spacing w:line="390" w:lineRule="exact" w:before="160" w:after="120"/>
        <w:ind w:firstLine="0"/>
      </w:pPr>
      <w:bookmarkStart w:id="266" w:name="首尾档与计算结果的验证范围"/>
      <w:r>
        <w:rPr>
          <w:rFonts w:ascii="Times New Roman" w:hAnsi="Times New Roman" w:eastAsia="方正仿宋_GBK"/>
          <w:b/>
          <w:sz w:val="26"/>
        </w:rPr>
        <w:t xml:space="preserve">5.6.10 首尾档与计算结果的验证范围</w:t>
      </w:r>
      <w:bookmarkEnd w:id="266"/>
    </w:p>
    <w:p>
      <w:pPr>
        <w:pStyle w:val="FirstParagraph"/>
        <w:keepNext/>
        <w:spacing w:line="280" w:lineRule="exact" w:before="120" w:after="80"/>
        <w:ind w:firstLine="0"/>
        <w:jc w:val="center"/>
      </w:pPr>
      <w:r>
        <w:rPr>
          <w:rFonts w:ascii="Times New Roman" w:hAnsi="Times New Roman" w:eastAsia="宋体"/>
          <w:b w:val="0"/>
          <w:sz w:val="21"/>
        </w:rPr>
        <w:t xml:space="preserve">表5-96 首尾区间补充点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补充值</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组数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核验结果</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3.27～3.39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2.17～3.30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2.01～2.13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全部可行</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网格以有限节点计算，并补充负增长、高增长、较高分布式电源装机渗透率和首尾成本等检查点。参数区间完整覆盖相应定义域，计算得到的容载比范围只对应已验证条件。个别参数组不能满足固定设备候选时，报告不可行及限制条件，不因所属区间已有可行结果而填入推荐值。</w:t>
      </w:r>
    </w:p>
    <w:p>
      <w:pPr>
        <w:pStyle w:val="4"/>
        <w:keepNext/>
        <w:numPr>
          <w:numId w:val="0"/>
        </w:numPr>
        <w:spacing w:line="480" w:lineRule="exact" w:before="160" w:after="120"/>
        <w:ind w:firstLine="0"/>
      </w:pPr>
      <w:bookmarkStart w:id="1998" w:name="h998"/>
      <w:bookmarkStart w:id="267" w:name="规划建议"/>
      <w:r>
        <w:rPr>
          <w:rFonts w:ascii="Times New Roman" w:hAnsi="Times New Roman" w:eastAsia="方正仿宋_GBK"/>
          <w:b/>
          <w:sz w:val="32"/>
        </w:rPr>
        <w:t xml:space="preserve">5.7 规划建议</w:t>
      </w:r>
      <w:bookmarkEnd w:id="267"/>
      <w:bookmarkEnd w:id="1998"/>
    </w:p>
    <w:p>
      <w:pPr>
        <w:pStyle w:val="5"/>
        <w:keepNext/>
        <w:numPr>
          <w:numId w:val="0"/>
        </w:numPr>
        <w:spacing w:line="390" w:lineRule="exact" w:before="160" w:after="120"/>
        <w:ind w:firstLine="0"/>
      </w:pPr>
      <w:bookmarkStart w:id="268" w:name="按源荷条件和网络能力选取容量"/>
      <w:r>
        <w:rPr>
          <w:rFonts w:ascii="Times New Roman" w:hAnsi="Times New Roman" w:eastAsia="方正仿宋_GBK"/>
          <w:b/>
          <w:sz w:val="26"/>
        </w:rPr>
        <w:t xml:space="preserve">5.7.1 按源荷条件和网络能力选取容量</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该比例不能直接生成无路径的免费转供能力。待取得分区负荷和存量网络后，再按一致的负荷基数核定区域参数。</w:t>
      </w:r>
    </w:p>
    <w:p>
      <w:pPr>
        <w:pStyle w:val="5"/>
        <w:keepNext/>
        <w:numPr>
          <w:numId w:val="0"/>
        </w:numPr>
        <w:spacing w:line="390" w:lineRule="exact" w:before="160" w:after="120"/>
        <w:ind w:firstLine="0"/>
      </w:pPr>
      <w:bookmarkStart w:id="269" w:name="统筹主变储能及联络建设"/>
      <w:r>
        <w:rPr>
          <w:rFonts w:ascii="Times New Roman" w:hAnsi="Times New Roman" w:eastAsia="方正仿宋_GBK"/>
          <w:b/>
          <w:sz w:val="26"/>
        </w:rPr>
        <w:t xml:space="preserve">5.7.2 统筹主变、储能及联络建设</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不直接按光伏装机比例配置。</w:t>
      </w:r>
    </w:p>
    <w:p>
      <w:pPr>
        <w:pStyle w:val="5"/>
        <w:keepNext/>
        <w:numPr>
          <w:numId w:val="0"/>
        </w:numPr>
        <w:spacing w:line="390" w:lineRule="exact" w:before="160" w:after="120"/>
        <w:ind w:firstLine="0"/>
      </w:pPr>
      <w:bookmarkStart w:id="270" w:name="保留参数区间滚动更新计算依据"/>
      <w:r>
        <w:rPr>
          <w:rFonts w:ascii="Times New Roman" w:hAnsi="Times New Roman" w:eastAsia="方正仿宋_GBK"/>
          <w:b/>
          <w:sz w:val="26"/>
        </w:rPr>
        <w:t xml:space="preserve">5.7.3 保留参数区间，滚动更新计算依据</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71" w:name="相同源荷条件下的推荐区间选择"/>
      <w:r>
        <w:rPr>
          <w:rFonts w:ascii="Times New Roman" w:hAnsi="Times New Roman" w:eastAsia="方正仿宋_GBK"/>
          <w:b/>
          <w:sz w:val="26"/>
        </w:rPr>
        <w:t xml:space="preserve">5.7.4 相同源荷条件下的推荐区间选择</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表5-97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不能直接把模板容量按地区负荷等比例放大。</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2" w:name="邳州与市区建设措施的综合比较"/>
      <w:r>
        <w:rPr>
          <w:rFonts w:ascii="Times New Roman" w:hAnsi="Times New Roman" w:eastAsia="方正仿宋_GBK"/>
          <w:b/>
          <w:sz w:val="26"/>
        </w:rPr>
        <w:t xml:space="preserve">5.7.5 邳州与市区建设措施的综合比较</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但逐站建设方式并不一致。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MWh，累计新增联络64条。不同地区的容量和费用关系由实际年度负荷、仿真设备及候选网络共同形成，不预设排序。</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17" w:name="h1017"/>
      <w:bookmarkStart w:id="273" w:name="第六章-结论与建议"/>
      <w:r>
        <w:rPr>
          <w:rFonts w:ascii="Times New Roman" w:hAnsi="Times New Roman" w:eastAsia="方正仿宋_GBK"/>
          <w:b/>
          <w:sz w:val="36"/>
        </w:rPr>
        <w:t xml:space="preserve">第六章 结论与建议</w:t>
      </w:r>
      <w:bookmarkEnd w:id="273"/>
      <w:bookmarkEnd w:id="2017"/>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pPr>
        <w:pStyle w:val="4"/>
        <w:keepNext/>
        <w:numPr>
          <w:numId w:val="0"/>
        </w:numPr>
        <w:spacing w:line="480" w:lineRule="exact" w:before="160" w:after="120"/>
        <w:ind w:firstLine="0"/>
      </w:pPr>
      <w:bookmarkStart w:id="2019" w:name="h1019"/>
      <w:bookmarkStart w:id="274" w:name="主要研究结论"/>
      <w:r>
        <w:rPr>
          <w:rFonts w:ascii="Times New Roman" w:hAnsi="Times New Roman" w:eastAsia="方正仿宋_GBK"/>
          <w:b/>
          <w:sz w:val="32"/>
        </w:rPr>
        <w:t xml:space="preserve">6.1 主要研究结论</w:t>
      </w:r>
      <w:bookmarkEnd w:id="274"/>
      <w:bookmarkEnd w:id="2019"/>
    </w:p>
    <w:p>
      <w:pPr>
        <w:pStyle w:val="5"/>
        <w:keepNext/>
        <w:numPr>
          <w:numId w:val="0"/>
        </w:numPr>
        <w:spacing w:line="390" w:lineRule="exact" w:before="160" w:after="120"/>
        <w:ind w:firstLine="0"/>
      </w:pPr>
      <w:bookmarkStart w:id="275" w:name="容载比与局部容量压力应结合分析"/>
      <w:r>
        <w:rPr>
          <w:rFonts w:ascii="Times New Roman" w:hAnsi="Times New Roman" w:eastAsia="方正仿宋_GBK"/>
          <w:b/>
          <w:sz w:val="26"/>
        </w:rPr>
        <w:t xml:space="preserve">6.1.1 容载比与局部容量压力应结合分析</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2021—2025年年最大净负荷平均增长率按复合开根方式计算，邳州为7%、市区为1%。地区案例采用实际年度负荷，保留负荷回落及其引起的容载比变化，不以平均增长曲线替换已知数据。</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6" w:name="弹性容量配置降低了所设条件下的方案费用"/>
      <w:r>
        <w:rPr>
          <w:rFonts w:ascii="Times New Roman" w:hAnsi="Times New Roman" w:eastAsia="方正仿宋_GBK"/>
          <w:b/>
          <w:sz w:val="26"/>
        </w:rPr>
        <w:t xml:space="preserve">6.1.2 弹性容量配置降低了所设条件下的方案费用</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MW。增容和联络能够减少储能需求，但是否完全替代储能取决于局部网络、设备候选和持续时间。当前刚性无储能四年模型不可行，2022年必要容量下界已超过刚性允许范围；该结论限于本研究候选集合。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7"/>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市区40%为B类主导背景下的参数研究参考，尚不能作为已核实的地区实际转供率。</w:t>
      </w:r>
    </w:p>
    <w:p>
      <w:pPr>
        <w:pStyle w:val="5"/>
        <w:keepNext/>
        <w:numPr>
          <w:numId w:val="0"/>
        </w:numPr>
        <w:spacing w:line="390" w:lineRule="exact" w:before="160" w:after="120"/>
        <w:ind w:firstLine="0"/>
      </w:pPr>
      <w:bookmarkStart w:id="278" w:name="六参数矩阵给出有条件的容载比范围"/>
      <w:r>
        <w:rPr>
          <w:rFonts w:ascii="Times New Roman" w:hAnsi="Times New Roman" w:eastAsia="方正仿宋_GBK"/>
          <w:b/>
          <w:sz w:val="26"/>
        </w:rPr>
        <w:t xml:space="preserve">6.1.4 六参数矩阵给出有条件的容载比范围</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该总体范围包含不同源荷和网络条件，不作为所有地区共用的推荐上下限。</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仍取已验证样本的有限范围，不因输入区间开口而延伸。分布式电源装机渗透率与容载比在主网格中的Pearson系数为0.81，年最大净负荷平均增长率为-0.30；线路成本系数的总体相关较弱，但局部配对仍出现配置切换。相关分析与受控配对、交互差分结合解释，不能仅凭总体相关删除参数。</w:t>
      </w:r>
    </w:p>
    <w:p>
      <w:pPr>
        <w:pStyle w:val="4"/>
        <w:keepNext/>
        <w:numPr>
          <w:numId w:val="0"/>
        </w:numPr>
        <w:spacing w:line="480" w:lineRule="exact" w:before="160" w:after="120"/>
        <w:ind w:firstLine="0"/>
      </w:pPr>
      <w:bookmarkStart w:id="2033" w:name="h1033"/>
      <w:bookmarkStart w:id="279" w:name="规划应用建议"/>
      <w:r>
        <w:rPr>
          <w:rFonts w:ascii="Times New Roman" w:hAnsi="Times New Roman" w:eastAsia="方正仿宋_GBK"/>
          <w:b/>
          <w:sz w:val="32"/>
        </w:rPr>
        <w:t xml:space="preserve">6.2 规划应用建议</w:t>
      </w:r>
      <w:bookmarkEnd w:id="279"/>
      <w:bookmarkEnd w:id="2033"/>
    </w:p>
    <w:p>
      <w:pPr>
        <w:pStyle w:val="5"/>
        <w:keepNext/>
        <w:numPr>
          <w:numId w:val="0"/>
        </w:numPr>
        <w:spacing w:line="390" w:lineRule="exact" w:before="160" w:after="120"/>
        <w:ind w:firstLine="0"/>
      </w:pPr>
      <w:bookmarkStart w:id="280" w:name="按输入区间查表再落实设备方案"/>
      <w:r>
        <w:rPr>
          <w:rFonts w:ascii="Times New Roman" w:hAnsi="Times New Roman" w:eastAsia="方正仿宋_GBK"/>
          <w:b/>
          <w:sz w:val="26"/>
        </w:rPr>
        <w:t xml:space="preserve">6.2.1 按输入区间查表，再落实设备方案</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81" w:name="核实分区转供能力与储能支撑条件"/>
      <w:r>
        <w:rPr>
          <w:rFonts w:ascii="Times New Roman" w:hAnsi="Times New Roman" w:eastAsia="方正仿宋_GBK"/>
          <w:b/>
          <w:sz w:val="26"/>
        </w:rPr>
        <w:t xml:space="preserve">6.2.2 核实分区转供能力与储能支撑条件</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h用于本次统一比较，工程应用结合地区网供峰值曲线、容量缺口持续时间及故障恢复条件确定实际需求。可用电量与充电空间均需校核，不能把95%近峰事件时长直接等同于储能保证支撑时间。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2" w:name="随数据和工程条件更新结果"/>
      <w:r>
        <w:rPr>
          <w:rFonts w:ascii="Times New Roman" w:hAnsi="Times New Roman" w:eastAsia="方正仿宋_GBK"/>
          <w:b/>
          <w:sz w:val="26"/>
        </w:rPr>
        <w:t xml:space="preserve">6.2.3 随数据和工程条件更新结果</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保留输入参数的区间形式，新增年度资料用于更新区间内的计算节点和设备配置。线路造价、储能价格、负荷分布或可用间隔改变后，按统一费用范围重新比较，不仅调整表中比值。</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45" w:name="h1045"/>
      <w:bookmarkStart w:id="283" w:name="后续研究方向"/>
      <w:r>
        <w:rPr>
          <w:rFonts w:ascii="Times New Roman" w:hAnsi="Times New Roman" w:eastAsia="方正仿宋_GBK"/>
          <w:b/>
          <w:sz w:val="32"/>
        </w:rPr>
        <w:t xml:space="preserve">6.3 后续研究方向</w:t>
      </w:r>
      <w:bookmarkEnd w:id="283"/>
      <w:bookmarkEnd w:id="2045"/>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4" w:name="深化储能运行与实际网络校核"/>
      <w:r>
        <w:rPr>
          <w:rFonts w:ascii="Times New Roman" w:hAnsi="Times New Roman" w:eastAsia="方正仿宋_GBK"/>
          <w:b/>
          <w:sz w:val="26"/>
        </w:rPr>
        <w:t xml:space="preserve">6.3.1 深化储能运行与实际网络校核</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5" w:name="拓展片区结构和经济参数"/>
      <w:r>
        <w:rPr>
          <w:rFonts w:ascii="Times New Roman" w:hAnsi="Times New Roman" w:eastAsia="方正仿宋_GBK"/>
          <w:b/>
          <w:sz w:val="26"/>
        </w:rPr>
        <w:t xml:space="preserve">6.3.2 拓展片区结构和经济参数</w:t>
      </w:r>
      <w:bookmarkEnd w:id="285"/>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51" w:name="h1051"/>
      <w:bookmarkStart w:id="286" w:name="参考文献"/>
      <w:r>
        <w:rPr>
          <w:rFonts w:ascii="Times New Roman" w:hAnsi="Times New Roman" w:eastAsia="方正仿宋_GBK"/>
          <w:b/>
          <w:sz w:val="36"/>
        </w:rPr>
        <w:t xml:space="preserve">参考文献</w:t>
      </w:r>
      <w:bookmarkEnd w:id="286"/>
      <w:bookmarkEnd w:id="2051"/>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143</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2026-10-11T03:56:14Z</dcterms:created>
  <dcterms:modified xsi:type="dcterms:W3CDTF">2026-10-11T03:56:14Z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