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69</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69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79</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83</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148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169</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171</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171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173</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174</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commentRangeStart w:id="0"/>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commentRangeStart w:id="1"/>
            <w:r>
              <w:rPr>
                <w:rFonts w:ascii="Times New Roman" w:hAnsi="Times New Roman" w:eastAsia="宋体"/>
                <w:b/>
                <w:sz w:val="18"/>
              </w:rPr>
              <w:t>110 kV变电站</w:t>
            </w:r>
            <w:commentRangeEnd w:id="1"/>
            <w:r>
              <w:commentReference w:id="1"/>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commentRangeStart w:id="2"/>
            <w:r>
              <w:rPr>
                <w:rFonts w:ascii="Times New Roman" w:hAnsi="Times New Roman" w:eastAsia="宋体"/>
                <w:b w:val="0"/>
                <w:sz w:val="18"/>
              </w:rPr>
              <w:t>八义集变</w:t>
            </w:r>
            <w:commentRangeEnd w:id="2"/>
            <w:r>
              <w:commentReference w:id="2"/>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commentRangeStart w:id="3"/>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≤1.15；&gt;1.15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既有通道与新增候选分别记录馈线端点和有效容量，各通道共同校核源端可切负荷、共享馈线余量和接收站容量。邳州403条10 kV线路中，最大允许电流为416 A的有4条、455 A的有1条，其余398条均不低于485 A。485 A对应视在容量8.40 MVA，新增联络的工程计算限值取8.00 MVA，按0.95功率因数折算有功上限为7.60 MW。具体可转功率还受可切换区段负荷限制。墩振线23—24杆拟设分段点下游配电变压器额定容量占全馈线已识别容量的90.97%，按该馈线2025年最大有功负荷8.23 MW分配，区段负荷为7.49 MW，作为该区段的有效转供功率。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7.60</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为新增联络的工程视在容量限值，取8.00 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commentRangeStart w:id="4"/>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commentRangeEnd w:id="4"/>
      <w:r>
        <w:commentReference w:id="4"/>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commentRangeStart w:id="5"/>
      <w:r>
        <w:rPr>
          <w:rFonts w:ascii="Times New Roman" w:hAnsi="Times New Roman" w:eastAsia="方正仿宋_GBK"/>
          <w:b w:val="0"/>
          <w:sz w:val="24"/>
        </w:rPr>
        <w:t xml:space="preserve">新增联络能力的取值依据邳州10 kV线路允许电流、联络关系及区段明细。工程计算限值取8.00 MVA，按0.95功率因数折算有功上限为7.60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commentRangeEnd w:id="5"/>
      <w:r>
        <w:commentReference w:id="5"/>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commentRangeStart w:id="9"/>
      <w:r>
        <w:rPr>
          <w:rFonts w:ascii="Times New Roman" w:hAnsi="Times New Roman" w:eastAsia="宋体"/>
          <w:b w:val="0"/>
          <w:sz w:val="21"/>
        </w:rPr>
        <w:t xml:space="preserve">表5-1 两地区共同基期及规划年度</w:t>
      </w:r>
      <w:commentRangeEnd w:id="9"/>
      <w:r>
        <w:commentReference w:id="9"/>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2026—2035年未来源荷按区域负荷预测及全市光伏装机相对2025年的比例缩放，站点空间分配继承基准模板，未来源荷的预测数据详见第3.2节和第3.3节。</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commentRangeStart w:id="6"/>
      <w:bookmarkStart w:id="197" w:name="供电安全及供电能力约束"/>
      <w:r>
        <w:rPr>
          <w:rFonts w:ascii="Times New Roman" w:hAnsi="Times New Roman" w:eastAsia="方正仿宋_GBK"/>
          <w:b/>
          <w:sz w:val="26"/>
        </w:rPr>
        <w:t xml:space="preserve">5.3.1 供电安全及供电能力约束</w:t>
      </w:r>
      <w:bookmarkEnd w:id="197"/>
      <w:commentRangeEnd w:id="6"/>
      <w:r>
        <w:commentReference w:id="6"/>
      </w:r>
    </w:p>
    <w:p>
      <w:pPr>
        <w:pStyle w:val="FirstParagraph"/>
        <w:widowControl/>
        <w:spacing w:line="348" w:lineRule="exact" w:before="0" w:after="0"/>
        <w:ind w:firstLine="480"/>
        <w:jc w:val="both"/>
      </w:pPr>
      <w:commentRangeStart w:id="7"/>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7"/>
      <w:r>
        <w:commentReference w:id="7"/>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commentRangeStart w:id="8"/>
      <w:r>
        <w:rPr>
          <w:rFonts w:ascii="Times New Roman" w:hAnsi="Times New Roman" w:eastAsia="宋体"/>
          <w:b w:val="0"/>
          <w:sz w:val="21"/>
        </w:rPr>
        <w:t xml:space="preserve">表5-4 邳州逐年容量及措施</w:t>
      </w:r>
      <w:commentRangeEnd w:id="8"/>
      <w:r>
        <w:commentReference w:id="8"/>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km；工程限值8.00 MVA，区段有效转供7.49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宽度统一为0.20，中心取最接近该代表值的0.05网格值。窗口随各单元的代表容量水平移动，表示中部配置的容量初选范围。实际设备按片区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commentRangeStart w:id="10"/>
      <w:r>
        <w:rPr>
          <w:rFonts w:ascii="Times New Roman" w:hAnsi="Times New Roman" w:eastAsia="宋体"/>
          <w:b w:val="0"/>
          <w:sz w:val="21"/>
        </w:rPr>
        <w:t xml:space="preserve">表5-63 电缆长度占比≤10%、负荷分散系数≤1.15的容载比分档建议矩阵</w:t>
      </w:r>
      <w:commentRangeEnd w:id="10"/>
      <w:r>
        <w:commentReference w:id="10"/>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1.60～1.80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电缆长度占比&gt;30%、负荷分散系数&gt;1.15的容载比分档建议矩阵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1.15、年最大净负荷平均增长率&gt;7%、装机渗透率(1,2]这一行为例，初始转供率四档的推荐窗口依次为1.90～2.10、1.85～2.05、1.55～1.75、1.50～1.70。各窗口宽度相同，位置反映相应档位的中部容量需求。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88"/>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电缆长度占比&gt;30%、负荷分散系数&gt;1.15下的矩阵端点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中位代表节点定位四个推荐窗口，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表5-69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注：两组均采用电缆长度占比50%和五站设备重新选配条件；按第5.6.2节的固定宽度窗口方法归纳。</w:t>
      </w:r>
    </w:p>
    <w:p>
      <w:pPr>
        <w:pStyle w:val="2"/>
        <w:keepNext/>
        <w:spacing w:line="280" w:lineRule="exact" w:before="120" w:after="80"/>
        <w:ind w:firstLine="0"/>
        <w:jc w:val="center"/>
      </w:pPr>
      <w:r>
        <w:rPr>
          <w:rFonts w:ascii="Times New Roman" w:hAnsi="Times New Roman" w:eastAsia="宋体"/>
          <w:b w:val="0"/>
          <w:sz w:val="21"/>
        </w:rPr>
        <w:t xml:space="preserve">表5-70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表5-71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表5-72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表5-73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表5-74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1.05—1.25、间隔0.02的11个节点。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表5-75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29580.26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30644.74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31445.83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32792.73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35089.06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36131.81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1.21、1.23、1.25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37759.70</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注：同列多个参数节点表示所列设备规模及费用相同。</w:t>
      </w:r>
    </w:p>
    <w:p>
      <w:pPr>
        <w:pStyle w:val="2"/>
        <w:widowControl/>
        <w:spacing w:line="348" w:lineRule="exact" w:before="0" w:after="0"/>
        <w:ind w:firstLine="480"/>
        <w:jc w:val="both"/>
      </w:pPr>
      <w:r>
        <w:rPr>
          <w:rFonts w:ascii="Times New Roman" w:hAnsi="Times New Roman" w:eastAsia="方正仿宋_GBK"/>
          <w:b w:val="0"/>
          <w:sz w:val="24"/>
        </w:rPr>
        <w:t xml:space="preserve">主变补强发生在1.07和1.15两个节点，分别增加50.00 MVA和34.00 MVA。新增联络相应由9项减少至3项，站内容量与配储共同替代部分联络支援。分散系数达到1.21时，主变容量保持820.00 MVA，新增联络由3项增加至10项，网络支援承担新增局部高峰任务。1.21—1.25三个节点采用相同设备规模，容载比与费用形成平台。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572461"/>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9"/>
                    <a:stretch>
                      <a:fillRect/>
                    </a:stretch>
                  </pic:blipFill>
                  <pic:spPr bwMode="auto">
                    <a:xfrm>
                      <a:off x="0" y="0"/>
                      <a:ext cx="5120640" cy="55724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从1.05至1.25，储能额定功率由80.90 MW调整至115.30 MW，容载比由2.25调整至2.50。主变、储能及线路费用现值的差额分别为2015.69万元、7473.09万元、120.83万元，合计9609.61万元。费用增量主要来自储能配置增加。</w:t>
      </w:r>
    </w:p>
    <w:p>
      <w:pPr>
        <w:pStyle w:val="2"/>
        <w:widowControl/>
        <w:spacing w:line="348" w:lineRule="exact" w:before="0" w:after="0"/>
        <w:ind w:firstLine="480"/>
        <w:jc w:val="both"/>
      </w:pPr>
      <w:r>
        <w:rPr>
          <w:rFonts w:ascii="Times New Roman" w:hAnsi="Times New Roman" w:eastAsia="方正仿宋_GBK"/>
          <w:b w:val="0"/>
          <w:sz w:val="24"/>
        </w:rPr>
        <w:t xml:space="preserve">矩阵以1.15划分负荷分散系数区间，将局部高峰条件归入对应推荐窗口。片区应用以同范围站级峰值及区域同时峰值核定该参数，再结合站间支援条件选择容量和配套措施。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中位代表节点定位宽度0.20的推荐窗口，按0.05步长随条件移动。另以两组设备重新选配的典型源荷条件分析18个细节点及8个转供区间，完整保留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1"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2"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3"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4"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5"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6"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7"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p>
    <w:bookmarkEnd w:id="291"/>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1E10FD32" w15:done="0"/>
  <w15:commentEx w15:paraId="641D9167" w15:done="0"/>
  <w15:commentEx w15:paraId="219532EC" w15:done="0"/>
  <w15:commentEx w15:paraId="388AC0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 Id="rId288" Type="http://schemas.openxmlformats.org/officeDocument/2006/relationships/image" Target="media/update_e554ef04804998fcd1e1.png"/><Relationship Id="rId289" Type="http://schemas.openxmlformats.org/officeDocument/2006/relationships/image" Target="media/update_af35ad3987af612a5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179</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2026-10-18T15:05:06Z</dcterms:created>
  <dcterms:modified xsi:type="dcterms:W3CDTF">2026-10-18T15:05:06Z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