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660" w:lineRule="exact"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600" w:lineRule="exact"/>
        <w:ind w:firstLine="0"/>
        <w:jc w:val="center"/>
      </w:pPr>
      <w:r>
        <w:rPr>
          <w:rFonts w:ascii="Times New Roman" w:hAnsi="Times New Roman" w:eastAsia="方正仿宋_GBK"/>
          <w:b/>
          <w:sz w:val="40"/>
        </w:rPr>
        <w:t>研究报告</w:t>
      </w:r>
    </w:p>
    <w:p>
      <w:pPr>
        <w:spacing w:line="420" w:lineRule="exact" w:before="2400"/>
        <w:ind w:firstLine="0"/>
        <w:jc w:val="center"/>
      </w:pPr>
      <w:r>
        <w:rPr>
          <w:rFonts w:ascii="Times New Roman" w:hAnsi="Times New Roman" w:eastAsia="方正仿宋_GBK"/>
          <w:b w:val="0"/>
          <w:sz w:val="28"/>
        </w:rPr>
        <w:t>2026年10月</w:t>
      </w:r>
    </w:p>
    <w:p>
      <w:pPr>
        <w:pageBreakBefore/>
        <w:spacing w:line="540" w:lineRule="exact" w:after="300"/>
        <w:ind w:firstLine="0"/>
        <w:jc w:val="center"/>
      </w:pPr>
      <w:r>
        <w:rPr>
          <w:rFonts w:ascii="Times New Roman" w:hAnsi="Times New Roman" w:eastAsia="方正仿宋_GBK"/>
          <w:b/>
          <w:sz w:val="36"/>
        </w:rPr>
        <w:t>目  录</w:t>
      </w:r>
    </w:p>
    <w:p>
      <w:pPr>
        <w:tabs>
          <w:tab w:pos="8220" w:val="right" w:leader="dot"/>
        </w:tabs>
        <w:spacing w:line="360" w:lineRule="exact" w:after="40"/>
        <w:ind w:firstLine="0" w:left="0"/>
        <w:jc w:val="left"/>
      </w:pPr>
      <w:r>
        <w:rPr>
          <w:rFonts w:ascii="Times New Roman" w:hAnsi="Times New Roman" w:eastAsia="方正仿宋_GBK"/>
          <w:b/>
          <w:sz w:val="24"/>
        </w:rPr>
      </w:r>
      <w:hyperlink w:anchor="h0" w:history="1">
        <w:r>
          <w:rPr>
            <w:rFonts w:ascii="Times New Roman" w:hAnsi="Times New Roman" w:eastAsia="方正仿宋_GBK"/>
            <w:b/>
            <w:sz w:val="24"/>
          </w:rPr>
          <w:t>第一章 绪论</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h0 \h </w:instrText>
      </w:r>
      <w:r>
        <w:rPr>
          <w:rFonts w:ascii="Times New Roman" w:hAnsi="Times New Roman" w:eastAsia="方正仿宋_GBK"/>
          <w:b/>
          <w:sz w:val="24"/>
        </w:rPr>
        <w:fldChar w:fldCharType="separate"/>
      </w:r>
      <w:r>
        <w:rPr>
          <w:rFonts w:ascii="Times New Roman" w:hAnsi="Times New Roman" w:eastAsia="方正仿宋_GBK"/>
          <w:b/>
          <w:sz w:val="24"/>
        </w:rPr>
        <w:t>4</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 w:history="1">
        <w:r>
          <w:rPr>
            <w:rFonts w:ascii="Times New Roman" w:hAnsi="Times New Roman" w:eastAsia="方正仿宋_GBK"/>
            <w:b w:val="0"/>
            <w:sz w:val="24"/>
          </w:rPr>
          <w:t>1.1 研究背景与意义</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 \h </w:instrText>
      </w:r>
      <w:r>
        <w:rPr>
          <w:rFonts w:ascii="Times New Roman" w:hAnsi="Times New Roman" w:eastAsia="方正仿宋_GBK"/>
          <w:b w:val="0"/>
          <w:sz w:val="24"/>
        </w:rPr>
        <w:fldChar w:fldCharType="separate"/>
      </w:r>
      <w:r>
        <w:rPr>
          <w:rFonts w:ascii="Times New Roman" w:hAnsi="Times New Roman" w:eastAsia="方正仿宋_GBK"/>
          <w:b w:val="0"/>
          <w:sz w:val="24"/>
        </w:rPr>
        <w:t>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 w:history="1">
        <w:r>
          <w:rPr>
            <w:rFonts w:ascii="Times New Roman" w:hAnsi="Times New Roman" w:eastAsia="方正仿宋_GBK"/>
            <w:b w:val="0"/>
            <w:sz w:val="24"/>
          </w:rPr>
          <w:t>1.2 主要概念与规范依据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 \h </w:instrText>
      </w:r>
      <w:r>
        <w:rPr>
          <w:rFonts w:ascii="Times New Roman" w:hAnsi="Times New Roman" w:eastAsia="方正仿宋_GBK"/>
          <w:b w:val="0"/>
          <w:sz w:val="24"/>
        </w:rPr>
        <w:fldChar w:fldCharType="separate"/>
      </w:r>
      <w:r>
        <w:rPr>
          <w:rFonts w:ascii="Times New Roman" w:hAnsi="Times New Roman" w:eastAsia="方正仿宋_GBK"/>
          <w:b w:val="0"/>
          <w:sz w:val="24"/>
        </w:rPr>
        <w:t>6</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2" w:history="1">
        <w:r>
          <w:rPr>
            <w:rFonts w:ascii="Times New Roman" w:hAnsi="Times New Roman" w:eastAsia="方正仿宋_GBK"/>
            <w:b w:val="0"/>
            <w:sz w:val="24"/>
          </w:rPr>
          <w:t>1.3 研究范围与对象</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h32 \h </w:instrText>
      </w:r>
      <w:r>
        <w:rPr>
          <w:rFonts w:ascii="Times New Roman" w:hAnsi="Times New Roman" w:eastAsia="方正仿宋_GBK"/>
          <w:b w:val="0"/>
          <w:sz w:val="24"/>
        </w:rPr>
        <w:fldChar w:fldCharType="separate"/>
      </w:r>
      <w:r>
        <w:rPr>
          <w:rFonts w:ascii="Times New Roman" w:hAnsi="Times New Roman" w:eastAsia="方正仿宋_GBK"/>
          <w:b w:val="0"/>
          <w:sz w:val="24"/>
        </w:rPr>
        <w:t>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5" w:history="1">
        <w:r>
          <w:rPr>
            <w:rFonts w:ascii="Times New Roman" w:hAnsi="Times New Roman" w:eastAsia="方正仿宋_GBK"/>
            <w:b w:val="0"/>
            <w:sz w:val="24"/>
          </w:rPr>
          <w:t>1.4 研究目标与内容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h45 \h </w:instrText>
      </w:r>
      <w:r>
        <w:rPr>
          <w:rFonts w:ascii="Times New Roman" w:hAnsi="Times New Roman" w:eastAsia="方正仿宋_GBK"/>
          <w:b w:val="0"/>
          <w:sz w:val="24"/>
        </w:rPr>
        <w:fldChar w:fldCharType="separate"/>
      </w:r>
      <w:r>
        <w:rPr>
          <w:rFonts w:ascii="Times New Roman" w:hAnsi="Times New Roman" w:eastAsia="方正仿宋_GBK"/>
          <w:b w:val="0"/>
          <w:sz w:val="24"/>
        </w:rPr>
        <w:t>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7" w:history="1">
        <w:r>
          <w:rPr>
            <w:rFonts w:ascii="Times New Roman" w:hAnsi="Times New Roman" w:eastAsia="方正仿宋_GBK"/>
            <w:b w:val="0"/>
            <w:sz w:val="24"/>
          </w:rPr>
          <w:t>1.5 研究方法与技术路线</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h57 \h </w:instrText>
      </w:r>
      <w:r>
        <w:rPr>
          <w:rFonts w:ascii="Times New Roman" w:hAnsi="Times New Roman" w:eastAsia="方正仿宋_GBK"/>
          <w:b w:val="0"/>
          <w:sz w:val="24"/>
        </w:rPr>
        <w:fldChar w:fldCharType="separate"/>
      </w:r>
      <w:r>
        <w:rPr>
          <w:rFonts w:ascii="Times New Roman" w:hAnsi="Times New Roman" w:eastAsia="方正仿宋_GBK"/>
          <w:b w:val="0"/>
          <w:sz w:val="24"/>
        </w:rPr>
        <w:t>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3" w:history="1">
        <w:r>
          <w:rPr>
            <w:rFonts w:ascii="Times New Roman" w:hAnsi="Times New Roman" w:eastAsia="方正仿宋_GBK"/>
            <w:b w:val="0"/>
            <w:sz w:val="24"/>
          </w:rPr>
          <w:t>1.6 研究成果及应用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h73 \h </w:instrText>
      </w:r>
      <w:r>
        <w:rPr>
          <w:rFonts w:ascii="Times New Roman" w:hAnsi="Times New Roman" w:eastAsia="方正仿宋_GBK"/>
          <w:b w:val="0"/>
          <w:sz w:val="24"/>
        </w:rPr>
        <w:fldChar w:fldCharType="separate"/>
      </w:r>
      <w:r>
        <w:rPr>
          <w:rFonts w:ascii="Times New Roman" w:hAnsi="Times New Roman" w:eastAsia="方正仿宋_GBK"/>
          <w:b w:val="0"/>
          <w:sz w:val="24"/>
        </w:rPr>
        <w:t>10</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76" w:history="1">
        <w:r>
          <w:rPr>
            <w:rFonts w:ascii="Times New Roman" w:hAnsi="Times New Roman" w:eastAsia="方正仿宋_GBK"/>
            <w:b/>
            <w:sz w:val="24"/>
          </w:rPr>
          <w:t>第二章 国内外研究现状</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h76 \h </w:instrText>
      </w:r>
      <w:r>
        <w:rPr>
          <w:rFonts w:ascii="Times New Roman" w:hAnsi="Times New Roman" w:eastAsia="方正仿宋_GBK"/>
          <w:b/>
          <w:sz w:val="24"/>
        </w:rPr>
        <w:fldChar w:fldCharType="separate"/>
      </w:r>
      <w:r>
        <w:rPr>
          <w:rFonts w:ascii="Times New Roman" w:hAnsi="Times New Roman" w:eastAsia="方正仿宋_GBK"/>
          <w:b/>
          <w:sz w:val="24"/>
        </w:rPr>
        <w:t>12</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79" w:history="1">
        <w:r>
          <w:rPr>
            <w:rFonts w:ascii="Times New Roman" w:hAnsi="Times New Roman" w:eastAsia="方正仿宋_GBK"/>
            <w:b w:val="0"/>
            <w:sz w:val="24"/>
          </w:rPr>
          <w:t>2.1 国外研究现状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h79 \h </w:instrText>
      </w:r>
      <w:r>
        <w:rPr>
          <w:rFonts w:ascii="Times New Roman" w:hAnsi="Times New Roman" w:eastAsia="方正仿宋_GBK"/>
          <w:b w:val="0"/>
          <w:sz w:val="24"/>
        </w:rPr>
        <w:fldChar w:fldCharType="separate"/>
      </w:r>
      <w:r>
        <w:rPr>
          <w:rFonts w:ascii="Times New Roman" w:hAnsi="Times New Roman" w:eastAsia="方正仿宋_GBK"/>
          <w:b w:val="0"/>
          <w:sz w:val="24"/>
        </w:rPr>
        <w:t>12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1" w:history="1">
        <w:r>
          <w:rPr>
            <w:rFonts w:ascii="Times New Roman" w:hAnsi="Times New Roman" w:eastAsia="方正仿宋_GBK"/>
            <w:b w:val="0"/>
            <w:sz w:val="24"/>
          </w:rPr>
          <w:t>2.2 国内研究现状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h101 \h </w:instrText>
      </w:r>
      <w:r>
        <w:rPr>
          <w:rFonts w:ascii="Times New Roman" w:hAnsi="Times New Roman" w:eastAsia="方正仿宋_GBK"/>
          <w:b w:val="0"/>
          <w:sz w:val="24"/>
        </w:rPr>
        <w:fldChar w:fldCharType="separate"/>
      </w:r>
      <w:r>
        <w:rPr>
          <w:rFonts w:ascii="Times New Roman" w:hAnsi="Times New Roman" w:eastAsia="方正仿宋_GBK"/>
          <w:b w:val="0"/>
          <w:sz w:val="24"/>
        </w:rPr>
        <w:t>14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39" w:history="1">
        <w:r>
          <w:rPr>
            <w:rFonts w:ascii="Times New Roman" w:hAnsi="Times New Roman" w:eastAsia="方正仿宋_GBK"/>
            <w:b w:val="0"/>
            <w:sz w:val="24"/>
          </w:rPr>
          <w:t>2.3 国内外研究对比与述评</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h139 \h </w:instrText>
      </w:r>
      <w:r>
        <w:rPr>
          <w:rFonts w:ascii="Times New Roman" w:hAnsi="Times New Roman" w:eastAsia="方正仿宋_GBK"/>
          <w:b w:val="0"/>
          <w:sz w:val="24"/>
        </w:rPr>
        <w:fldChar w:fldCharType="separate"/>
      </w:r>
      <w:r>
        <w:rPr>
          <w:rFonts w:ascii="Times New Roman" w:hAnsi="Times New Roman" w:eastAsia="方正仿宋_GBK"/>
          <w:b w:val="0"/>
          <w:sz w:val="24"/>
        </w:rPr>
        <w:t>19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53" w:history="1">
        <w:r>
          <w:rPr>
            <w:rFonts w:ascii="Times New Roman" w:hAnsi="Times New Roman" w:eastAsia="方正仿宋_GBK"/>
            <w:b w:val="0"/>
            <w:sz w:val="24"/>
          </w:rPr>
          <w:t>2.4 容载比与供电能力的理论联系</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h153 \h </w:instrText>
      </w:r>
      <w:r>
        <w:rPr>
          <w:rFonts w:ascii="Times New Roman" w:hAnsi="Times New Roman" w:eastAsia="方正仿宋_GBK"/>
          <w:b w:val="0"/>
          <w:sz w:val="24"/>
        </w:rPr>
        <w:fldChar w:fldCharType="separate"/>
      </w:r>
      <w:r>
        <w:rPr>
          <w:rFonts w:ascii="Times New Roman" w:hAnsi="Times New Roman" w:eastAsia="方正仿宋_GBK"/>
          <w:b w:val="0"/>
          <w:sz w:val="24"/>
        </w:rPr>
        <w:t>20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67" w:history="1">
        <w:r>
          <w:rPr>
            <w:rFonts w:ascii="Times New Roman" w:hAnsi="Times New Roman" w:eastAsia="方正仿宋_GBK"/>
            <w:b w:val="0"/>
            <w:sz w:val="24"/>
          </w:rPr>
          <w:t>2.5 高渗透率下的源荷特征与容量压力</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h167 \h </w:instrText>
      </w:r>
      <w:r>
        <w:rPr>
          <w:rFonts w:ascii="Times New Roman" w:hAnsi="Times New Roman" w:eastAsia="方正仿宋_GBK"/>
          <w:b w:val="0"/>
          <w:sz w:val="24"/>
        </w:rPr>
        <w:fldChar w:fldCharType="separate"/>
      </w:r>
      <w:r>
        <w:rPr>
          <w:rFonts w:ascii="Times New Roman" w:hAnsi="Times New Roman" w:eastAsia="方正仿宋_GBK"/>
          <w:b w:val="0"/>
          <w:sz w:val="24"/>
        </w:rPr>
        <w:t>21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84" w:history="1">
        <w:r>
          <w:rPr>
            <w:rFonts w:ascii="Times New Roman" w:hAnsi="Times New Roman" w:eastAsia="方正仿宋_GBK"/>
            <w:b w:val="0"/>
            <w:sz w:val="24"/>
          </w:rPr>
          <w:t>2.6 主变、联络与储能的经济替代条件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h184 \h </w:instrText>
      </w:r>
      <w:r>
        <w:rPr>
          <w:rFonts w:ascii="Times New Roman" w:hAnsi="Times New Roman" w:eastAsia="方正仿宋_GBK"/>
          <w:b w:val="0"/>
          <w:sz w:val="24"/>
        </w:rPr>
        <w:fldChar w:fldCharType="separate"/>
      </w:r>
      <w:r>
        <w:rPr>
          <w:rFonts w:ascii="Times New Roman" w:hAnsi="Times New Roman" w:eastAsia="方正仿宋_GBK"/>
          <w:b w:val="0"/>
          <w:sz w:val="24"/>
        </w:rPr>
        <w:t>22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98" w:history="1">
        <w:r>
          <w:rPr>
            <w:rFonts w:ascii="Times New Roman" w:hAnsi="Times New Roman" w:eastAsia="方正仿宋_GBK"/>
            <w:b w:val="0"/>
            <w:sz w:val="24"/>
          </w:rPr>
          <w:t>2.7 规划寻优方法与本项目选型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h198 \h </w:instrText>
      </w:r>
      <w:r>
        <w:rPr>
          <w:rFonts w:ascii="Times New Roman" w:hAnsi="Times New Roman" w:eastAsia="方正仿宋_GBK"/>
          <w:b w:val="0"/>
          <w:sz w:val="24"/>
        </w:rPr>
        <w:fldChar w:fldCharType="separate"/>
      </w:r>
      <w:r>
        <w:rPr>
          <w:rFonts w:ascii="Times New Roman" w:hAnsi="Times New Roman" w:eastAsia="方正仿宋_GBK"/>
          <w:b w:val="0"/>
          <w:sz w:val="24"/>
        </w:rPr>
        <w:t>24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11" w:history="1">
        <w:r>
          <w:rPr>
            <w:rFonts w:ascii="Times New Roman" w:hAnsi="Times New Roman" w:eastAsia="方正仿宋_GBK"/>
            <w:b w:val="0"/>
            <w:sz w:val="24"/>
          </w:rPr>
          <w:t>2.8 本项目方法选择与工程衔接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h211 \h </w:instrText>
      </w:r>
      <w:r>
        <w:rPr>
          <w:rFonts w:ascii="Times New Roman" w:hAnsi="Times New Roman" w:eastAsia="方正仿宋_GBK"/>
          <w:b w:val="0"/>
          <w:sz w:val="24"/>
        </w:rPr>
        <w:fldChar w:fldCharType="separate"/>
      </w:r>
      <w:r>
        <w:rPr>
          <w:rFonts w:ascii="Times New Roman" w:hAnsi="Times New Roman" w:eastAsia="方正仿宋_GBK"/>
          <w:b w:val="0"/>
          <w:sz w:val="24"/>
        </w:rPr>
        <w:t>25</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3" w:history="1">
        <w:r>
          <w:rPr>
            <w:rFonts w:ascii="Times New Roman" w:hAnsi="Times New Roman" w:eastAsia="方正仿宋_GBK"/>
            <w:b w:val="0"/>
            <w:sz w:val="24"/>
          </w:rPr>
          <w:t>2.9 本章小结</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h233 \h </w:instrText>
      </w:r>
      <w:r>
        <w:rPr>
          <w:rFonts w:ascii="Times New Roman" w:hAnsi="Times New Roman" w:eastAsia="方正仿宋_GBK"/>
          <w:b w:val="0"/>
          <w:sz w:val="24"/>
        </w:rPr>
        <w:fldChar w:fldCharType="separate"/>
      </w:r>
      <w:r>
        <w:rPr>
          <w:rFonts w:ascii="Times New Roman" w:hAnsi="Times New Roman" w:eastAsia="方正仿宋_GBK"/>
          <w:b w:val="0"/>
          <w:sz w:val="24"/>
        </w:rPr>
        <w:t>27</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235" w:history="1">
        <w:r>
          <w:rPr>
            <w:rFonts w:ascii="Times New Roman" w:hAnsi="Times New Roman" w:eastAsia="方正仿宋_GBK"/>
            <w:b/>
            <w:sz w:val="24"/>
          </w:rPr>
          <w:t>第三章 徐州典型地区运行特征分析</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h235 \h </w:instrText>
      </w:r>
      <w:r>
        <w:rPr>
          <w:rFonts w:ascii="Times New Roman" w:hAnsi="Times New Roman" w:eastAsia="方正仿宋_GBK"/>
          <w:b/>
          <w:sz w:val="24"/>
        </w:rPr>
        <w:fldChar w:fldCharType="separate"/>
      </w:r>
      <w:r>
        <w:rPr>
          <w:rFonts w:ascii="Times New Roman" w:hAnsi="Times New Roman" w:eastAsia="方正仿宋_GBK"/>
          <w:b/>
          <w:sz w:val="24"/>
        </w:rPr>
        <w:t>28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36" w:history="1">
        <w:r>
          <w:rPr>
            <w:rFonts w:ascii="Times New Roman" w:hAnsi="Times New Roman" w:eastAsia="方正仿宋_GBK"/>
            <w:b w:val="0"/>
            <w:sz w:val="24"/>
          </w:rPr>
          <w:t>3.1 研究地区与原始资料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h236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46" w:history="1">
        <w:r>
          <w:rPr>
            <w:rFonts w:ascii="Times New Roman" w:hAnsi="Times New Roman" w:eastAsia="方正仿宋_GBK"/>
            <w:b w:val="0"/>
            <w:sz w:val="24"/>
          </w:rPr>
          <w:t>3.2 年度容量、负荷与增长特征</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h246 \h </w:instrText>
      </w:r>
      <w:r>
        <w:rPr>
          <w:rFonts w:ascii="Times New Roman" w:hAnsi="Times New Roman" w:eastAsia="方正仿宋_GBK"/>
          <w:b w:val="0"/>
          <w:sz w:val="24"/>
        </w:rPr>
        <w:fldChar w:fldCharType="separate"/>
      </w:r>
      <w:r>
        <w:rPr>
          <w:rFonts w:ascii="Times New Roman" w:hAnsi="Times New Roman" w:eastAsia="方正仿宋_GBK"/>
          <w:b w:val="0"/>
          <w:sz w:val="24"/>
        </w:rPr>
        <w:t>28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64" w:history="1">
        <w:r>
          <w:rPr>
            <w:rFonts w:ascii="Times New Roman" w:hAnsi="Times New Roman" w:eastAsia="方正仿宋_GBK"/>
            <w:b w:val="0"/>
            <w:sz w:val="24"/>
          </w:rPr>
          <w:t>3.3 分布式光伏装机与电量</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h264 \h </w:instrText>
      </w:r>
      <w:r>
        <w:rPr>
          <w:rFonts w:ascii="Times New Roman" w:hAnsi="Times New Roman" w:eastAsia="方正仿宋_GBK"/>
          <w:b w:val="0"/>
          <w:sz w:val="24"/>
        </w:rPr>
        <w:fldChar w:fldCharType="separate"/>
      </w:r>
      <w:r>
        <w:rPr>
          <w:rFonts w:ascii="Times New Roman" w:hAnsi="Times New Roman" w:eastAsia="方正仿宋_GBK"/>
          <w:b w:val="0"/>
          <w:sz w:val="24"/>
        </w:rPr>
        <w:t>30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286" w:history="1">
        <w:r>
          <w:rPr>
            <w:rFonts w:ascii="Times New Roman" w:hAnsi="Times New Roman" w:eastAsia="方正仿宋_GBK"/>
            <w:b w:val="0"/>
            <w:sz w:val="24"/>
          </w:rPr>
          <w:t>3.4 主变负载率与双向净负荷</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h286 \h </w:instrText>
      </w:r>
      <w:r>
        <w:rPr>
          <w:rFonts w:ascii="Times New Roman" w:hAnsi="Times New Roman" w:eastAsia="方正仿宋_GBK"/>
          <w:b w:val="0"/>
          <w:sz w:val="24"/>
        </w:rPr>
        <w:fldChar w:fldCharType="separate"/>
      </w:r>
      <w:r>
        <w:rPr>
          <w:rFonts w:ascii="Times New Roman" w:hAnsi="Times New Roman" w:eastAsia="方正仿宋_GBK"/>
          <w:b w:val="0"/>
          <w:sz w:val="24"/>
        </w:rPr>
        <w:t>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14" w:history="1">
        <w:r>
          <w:rPr>
            <w:rFonts w:ascii="Times New Roman" w:hAnsi="Times New Roman" w:eastAsia="方正仿宋_GBK"/>
            <w:b w:val="0"/>
            <w:sz w:val="24"/>
          </w:rPr>
          <w:t>3.5 核心参数的案例敏感性分析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h314 \h </w:instrText>
      </w:r>
      <w:r>
        <w:rPr>
          <w:rFonts w:ascii="Times New Roman" w:hAnsi="Times New Roman" w:eastAsia="方正仿宋_GBK"/>
          <w:b w:val="0"/>
          <w:sz w:val="24"/>
        </w:rPr>
        <w:fldChar w:fldCharType="separate"/>
      </w:r>
      <w:r>
        <w:rPr>
          <w:rFonts w:ascii="Times New Roman" w:hAnsi="Times New Roman" w:eastAsia="方正仿宋_GBK"/>
          <w:b w:val="0"/>
          <w:sz w:val="24"/>
        </w:rPr>
        <w:t>37</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53" w:history="1">
        <w:r>
          <w:rPr>
            <w:rFonts w:ascii="Times New Roman" w:hAnsi="Times New Roman" w:eastAsia="方正仿宋_GBK"/>
            <w:b w:val="0"/>
            <w:sz w:val="24"/>
          </w:rPr>
          <w:t>3.6 10 kV负荷转接资料与仿真条件</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h353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61" w:history="1">
        <w:r>
          <w:rPr>
            <w:rFonts w:ascii="Times New Roman" w:hAnsi="Times New Roman" w:eastAsia="方正仿宋_GBK"/>
            <w:b w:val="0"/>
            <w:sz w:val="24"/>
          </w:rPr>
          <w:t>3.7 站级负载率与配置需求</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h361 \h </w:instrText>
      </w:r>
      <w:r>
        <w:rPr>
          <w:rFonts w:ascii="Times New Roman" w:hAnsi="Times New Roman" w:eastAsia="方正仿宋_GBK"/>
          <w:b w:val="0"/>
          <w:sz w:val="24"/>
        </w:rPr>
        <w:fldChar w:fldCharType="separate"/>
      </w:r>
      <w:r>
        <w:rPr>
          <w:rFonts w:ascii="Times New Roman" w:hAnsi="Times New Roman" w:eastAsia="方正仿宋_GBK"/>
          <w:b w:val="0"/>
          <w:sz w:val="24"/>
        </w:rPr>
        <w:t>43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378" w:history="1">
        <w:r>
          <w:rPr>
            <w:rFonts w:ascii="Times New Roman" w:hAnsi="Times New Roman" w:eastAsia="方正仿宋_GBK"/>
            <w:b w:val="0"/>
            <w:sz w:val="24"/>
          </w:rPr>
          <w:t>3.8 运行特征的综合分析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h378 \h </w:instrText>
      </w:r>
      <w:r>
        <w:rPr>
          <w:rFonts w:ascii="Times New Roman" w:hAnsi="Times New Roman" w:eastAsia="方正仿宋_GBK"/>
          <w:b w:val="0"/>
          <w:sz w:val="24"/>
        </w:rPr>
        <w:fldChar w:fldCharType="separate"/>
      </w:r>
      <w:r>
        <w:rPr>
          <w:rFonts w:ascii="Times New Roman" w:hAnsi="Times New Roman" w:eastAsia="方正仿宋_GBK"/>
          <w:b w:val="0"/>
          <w:sz w:val="24"/>
        </w:rPr>
        <w:t>46</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00" w:history="1">
        <w:r>
          <w:rPr>
            <w:rFonts w:ascii="Times New Roman" w:hAnsi="Times New Roman" w:eastAsia="方正仿宋_GBK"/>
            <w:b/>
            <w:sz w:val="24"/>
          </w:rPr>
          <w:t>第四章 基于实际工程的建设成本模型</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h400 \h </w:instrText>
      </w:r>
      <w:r>
        <w:rPr>
          <w:rFonts w:ascii="Times New Roman" w:hAnsi="Times New Roman" w:eastAsia="方正仿宋_GBK"/>
          <w:b/>
          <w:sz w:val="24"/>
        </w:rPr>
        <w:fldChar w:fldCharType="separate"/>
      </w:r>
      <w:r>
        <w:rPr>
          <w:rFonts w:ascii="Times New Roman" w:hAnsi="Times New Roman" w:eastAsia="方正仿宋_GBK"/>
          <w:b/>
          <w:sz w:val="24"/>
        </w:rPr>
        <w:t>49</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01" w:history="1">
        <w:r>
          <w:rPr>
            <w:rFonts w:ascii="Times New Roman" w:hAnsi="Times New Roman" w:eastAsia="方正仿宋_GBK"/>
            <w:b w:val="0"/>
            <w:sz w:val="24"/>
          </w:rPr>
          <w:t>4.1 成本模型的范围与建立原则</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h401 \h </w:instrText>
      </w:r>
      <w:r>
        <w:rPr>
          <w:rFonts w:ascii="Times New Roman" w:hAnsi="Times New Roman" w:eastAsia="方正仿宋_GBK"/>
          <w:b w:val="0"/>
          <w:sz w:val="24"/>
        </w:rPr>
        <w:fldChar w:fldCharType="separate"/>
      </w:r>
      <w:r>
        <w:rPr>
          <w:rFonts w:ascii="Times New Roman" w:hAnsi="Times New Roman" w:eastAsia="方正仿宋_GBK"/>
          <w:b w:val="0"/>
          <w:sz w:val="24"/>
        </w:rPr>
        <w:t>49</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13" w:history="1">
        <w:r>
          <w:rPr>
            <w:rFonts w:ascii="Times New Roman" w:hAnsi="Times New Roman" w:eastAsia="方正仿宋_GBK"/>
            <w:b w:val="0"/>
            <w:sz w:val="24"/>
          </w:rPr>
          <w:t>4.2 主变工程成本系数</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h413 \h </w:instrText>
      </w:r>
      <w:r>
        <w:rPr>
          <w:rFonts w:ascii="Times New Roman" w:hAnsi="Times New Roman" w:eastAsia="方正仿宋_GBK"/>
          <w:b w:val="0"/>
          <w:sz w:val="24"/>
        </w:rPr>
        <w:fldChar w:fldCharType="separate"/>
      </w:r>
      <w:r>
        <w:rPr>
          <w:rFonts w:ascii="Times New Roman" w:hAnsi="Times New Roman" w:eastAsia="方正仿宋_GBK"/>
          <w:b w:val="0"/>
          <w:sz w:val="24"/>
        </w:rPr>
        <w:t>50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32" w:history="1">
        <w:r>
          <w:rPr>
            <w:rFonts w:ascii="Times New Roman" w:hAnsi="Times New Roman" w:eastAsia="方正仿宋_GBK"/>
            <w:b w:val="0"/>
            <w:sz w:val="24"/>
          </w:rPr>
          <w:t>4.3 10 kV联络工程费用</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h432 \h </w:instrText>
      </w:r>
      <w:r>
        <w:rPr>
          <w:rFonts w:ascii="Times New Roman" w:hAnsi="Times New Roman" w:eastAsia="方正仿宋_GBK"/>
          <w:b w:val="0"/>
          <w:sz w:val="24"/>
        </w:rPr>
        <w:fldChar w:fldCharType="separate"/>
      </w:r>
      <w:r>
        <w:rPr>
          <w:rFonts w:ascii="Times New Roman" w:hAnsi="Times New Roman" w:eastAsia="方正仿宋_GBK"/>
          <w:b w:val="0"/>
          <w:sz w:val="24"/>
        </w:rPr>
        <w:t>51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44" w:history="1">
        <w:r>
          <w:rPr>
            <w:rFonts w:ascii="Times New Roman" w:hAnsi="Times New Roman" w:eastAsia="方正仿宋_GBK"/>
            <w:b w:val="0"/>
            <w:sz w:val="24"/>
          </w:rPr>
          <w:t>4.4 储能投资模型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h444 \h </w:instrText>
      </w:r>
      <w:r>
        <w:rPr>
          <w:rFonts w:ascii="Times New Roman" w:hAnsi="Times New Roman" w:eastAsia="方正仿宋_GBK"/>
          <w:b w:val="0"/>
          <w:sz w:val="24"/>
        </w:rPr>
        <w:fldChar w:fldCharType="separate"/>
      </w:r>
      <w:r>
        <w:rPr>
          <w:rFonts w:ascii="Times New Roman" w:hAnsi="Times New Roman" w:eastAsia="方正仿宋_GBK"/>
          <w:b w:val="0"/>
          <w:sz w:val="24"/>
        </w:rPr>
        <w:t>52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60" w:history="1">
        <w:r>
          <w:rPr>
            <w:rFonts w:ascii="Times New Roman" w:hAnsi="Times New Roman" w:eastAsia="方正仿宋_GBK"/>
            <w:b w:val="0"/>
            <w:sz w:val="24"/>
          </w:rPr>
          <w:t>4.5 经济参数与敏感性分析</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h460 \h </w:instrText>
      </w:r>
      <w:r>
        <w:rPr>
          <w:rFonts w:ascii="Times New Roman" w:hAnsi="Times New Roman" w:eastAsia="方正仿宋_GBK"/>
          <w:b w:val="0"/>
          <w:sz w:val="24"/>
        </w:rPr>
        <w:fldChar w:fldCharType="separate"/>
      </w:r>
      <w:r>
        <w:rPr>
          <w:rFonts w:ascii="Times New Roman" w:hAnsi="Times New Roman" w:eastAsia="方正仿宋_GBK"/>
          <w:b w:val="0"/>
          <w:sz w:val="24"/>
        </w:rPr>
        <w:t>54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473" w:history="1">
        <w:r>
          <w:rPr>
            <w:rFonts w:ascii="Times New Roman" w:hAnsi="Times New Roman" w:eastAsia="方正仿宋_GBK"/>
            <w:b w:val="0"/>
            <w:sz w:val="24"/>
          </w:rPr>
          <w:t>4.6 现金流现值计算</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h473 \h </w:instrText>
      </w:r>
      <w:r>
        <w:rPr>
          <w:rFonts w:ascii="Times New Roman" w:hAnsi="Times New Roman" w:eastAsia="方正仿宋_GBK"/>
          <w:b w:val="0"/>
          <w:sz w:val="24"/>
        </w:rPr>
        <w:fldChar w:fldCharType="separate"/>
      </w:r>
      <w:r>
        <w:rPr>
          <w:rFonts w:ascii="Times New Roman" w:hAnsi="Times New Roman" w:eastAsia="方正仿宋_GBK"/>
          <w:b w:val="0"/>
          <w:sz w:val="24"/>
        </w:rPr>
        <w:t>55</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499" w:history="1">
        <w:r>
          <w:rPr>
            <w:rFonts w:ascii="Times New Roman" w:hAnsi="Times New Roman" w:eastAsia="方正仿宋_GBK"/>
            <w:b/>
            <w:sz w:val="24"/>
          </w:rPr>
          <w:t>第五章 “一片一策”弹性容载比规划建议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h499 \h </w:instrText>
      </w:r>
      <w:r>
        <w:rPr>
          <w:rFonts w:ascii="Times New Roman" w:hAnsi="Times New Roman" w:eastAsia="方正仿宋_GBK"/>
          <w:b/>
          <w:sz w:val="24"/>
        </w:rPr>
        <w:fldChar w:fldCharType="separate"/>
      </w:r>
      <w:r>
        <w:rPr>
          <w:rFonts w:ascii="Times New Roman" w:hAnsi="Times New Roman" w:eastAsia="方正仿宋_GBK"/>
          <w:b/>
          <w:sz w:val="24"/>
        </w:rPr>
        <w:t>58</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01" w:history="1">
        <w:r>
          <w:rPr>
            <w:rFonts w:ascii="Times New Roman" w:hAnsi="Times New Roman" w:eastAsia="方正仿宋_GBK"/>
            <w:b w:val="0"/>
            <w:sz w:val="24"/>
          </w:rPr>
          <w:t>5.1 寻优问题与共同起点</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h501 \h </w:instrText>
      </w:r>
      <w:r>
        <w:rPr>
          <w:rFonts w:ascii="Times New Roman" w:hAnsi="Times New Roman" w:eastAsia="方正仿宋_GBK"/>
          <w:b w:val="0"/>
          <w:sz w:val="24"/>
        </w:rPr>
        <w:fldChar w:fldCharType="separate"/>
      </w:r>
      <w:r>
        <w:rPr>
          <w:rFonts w:ascii="Times New Roman" w:hAnsi="Times New Roman" w:eastAsia="方正仿宋_GBK"/>
          <w:b w:val="0"/>
          <w:sz w:val="24"/>
        </w:rPr>
        <w:t>58</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26" w:history="1">
        <w:r>
          <w:rPr>
            <w:rFonts w:ascii="Times New Roman" w:hAnsi="Times New Roman" w:eastAsia="方正仿宋_GBK"/>
            <w:b w:val="0"/>
            <w:sz w:val="24"/>
          </w:rPr>
          <w:t>5.2 三类措施的选取与寻优方法</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h526 \h </w:instrText>
      </w:r>
      <w:r>
        <w:rPr>
          <w:rFonts w:ascii="Times New Roman" w:hAnsi="Times New Roman" w:eastAsia="方正仿宋_GBK"/>
          <w:b w:val="0"/>
          <w:sz w:val="24"/>
        </w:rPr>
        <w:fldChar w:fldCharType="separate"/>
      </w:r>
      <w:r>
        <w:rPr>
          <w:rFonts w:ascii="Times New Roman" w:hAnsi="Times New Roman" w:eastAsia="方正仿宋_GBK"/>
          <w:b w:val="0"/>
          <w:sz w:val="24"/>
        </w:rPr>
        <w:t>61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48" w:history="1">
        <w:r>
          <w:rPr>
            <w:rFonts w:ascii="Times New Roman" w:hAnsi="Times New Roman" w:eastAsia="方正仿宋_GBK"/>
            <w:b w:val="0"/>
            <w:sz w:val="24"/>
          </w:rPr>
          <w:t>5.3 约束条件与求解流程</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h548 \h </w:instrText>
      </w:r>
      <w:r>
        <w:rPr>
          <w:rFonts w:ascii="Times New Roman" w:hAnsi="Times New Roman" w:eastAsia="方正仿宋_GBK"/>
          <w:b w:val="0"/>
          <w:sz w:val="24"/>
        </w:rPr>
        <w:fldChar w:fldCharType="separate"/>
      </w:r>
      <w:r>
        <w:rPr>
          <w:rFonts w:ascii="Times New Roman" w:hAnsi="Times New Roman" w:eastAsia="方正仿宋_GBK"/>
          <w:b w:val="0"/>
          <w:sz w:val="24"/>
        </w:rPr>
        <w:t>63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560" w:history="1">
        <w:r>
          <w:rPr>
            <w:rFonts w:ascii="Times New Roman" w:hAnsi="Times New Roman" w:eastAsia="方正仿宋_GBK"/>
            <w:b w:val="0"/>
            <w:sz w:val="24"/>
          </w:rPr>
          <w:t>5.4 寻优结果</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h560 \h </w:instrText>
      </w:r>
      <w:r>
        <w:rPr>
          <w:rFonts w:ascii="Times New Roman" w:hAnsi="Times New Roman" w:eastAsia="方正仿宋_GBK"/>
          <w:b w:val="0"/>
          <w:sz w:val="24"/>
        </w:rPr>
        <w:fldChar w:fldCharType="separate"/>
      </w:r>
      <w:r>
        <w:rPr>
          <w:rFonts w:ascii="Times New Roman" w:hAnsi="Times New Roman" w:eastAsia="方正仿宋_GBK"/>
          <w:b w:val="0"/>
          <w:sz w:val="24"/>
        </w:rPr>
        <w:t>64</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78" w:history="1">
        <w:r>
          <w:rPr>
            <w:rFonts w:ascii="Times New Roman" w:hAnsi="Times New Roman" w:eastAsia="方正仿宋_GBK"/>
            <w:b w:val="0"/>
            <w:sz w:val="24"/>
          </w:rPr>
          <w:t>5.5 措施作用与工程衔接</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h878 \h </w:instrText>
      </w:r>
      <w:r>
        <w:rPr>
          <w:rFonts w:ascii="Times New Roman" w:hAnsi="Times New Roman" w:eastAsia="方正仿宋_GBK"/>
          <w:b w:val="0"/>
          <w:sz w:val="24"/>
        </w:rPr>
        <w:fldChar w:fldCharType="separate"/>
      </w:r>
      <w:r>
        <w:rPr>
          <w:rFonts w:ascii="Times New Roman" w:hAnsi="Times New Roman" w:eastAsia="方正仿宋_GBK"/>
          <w:b w:val="0"/>
          <w:sz w:val="24"/>
        </w:rPr>
        <w:t>100</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899" w:history="1">
        <w:r>
          <w:rPr>
            <w:rFonts w:ascii="Times New Roman" w:hAnsi="Times New Roman" w:eastAsia="方正仿宋_GBK"/>
            <w:b w:val="0"/>
            <w:sz w:val="24"/>
          </w:rPr>
          <w:t>5.6 参数拓展与通用推荐矩阵</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h899 \h </w:instrText>
      </w:r>
      <w:r>
        <w:rPr>
          <w:rFonts w:ascii="Times New Roman" w:hAnsi="Times New Roman" w:eastAsia="方正仿宋_GBK"/>
          <w:b w:val="0"/>
          <w:sz w:val="24"/>
        </w:rPr>
        <w:fldChar w:fldCharType="separate"/>
      </w:r>
      <w:r>
        <w:rPr>
          <w:rFonts w:ascii="Times New Roman" w:hAnsi="Times New Roman" w:eastAsia="方正仿宋_GBK"/>
          <w:b w:val="0"/>
          <w:sz w:val="24"/>
        </w:rPr>
        <w:t>103</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986" w:history="1">
        <w:r>
          <w:rPr>
            <w:rFonts w:ascii="Times New Roman" w:hAnsi="Times New Roman" w:eastAsia="方正仿宋_GBK"/>
            <w:b w:val="0"/>
            <w:sz w:val="24"/>
          </w:rPr>
          <w:t>5.7 规划建议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h986 \h </w:instrText>
      </w:r>
      <w:r>
        <w:rPr>
          <w:rFonts w:ascii="Times New Roman" w:hAnsi="Times New Roman" w:eastAsia="方正仿宋_GBK"/>
          <w:b w:val="0"/>
          <w:sz w:val="24"/>
        </w:rPr>
        <w:fldChar w:fldCharType="separate"/>
      </w:r>
      <w:r>
        <w:rPr>
          <w:rFonts w:ascii="Times New Roman" w:hAnsi="Times New Roman" w:eastAsia="方正仿宋_GBK"/>
          <w:b w:val="0"/>
          <w:sz w:val="24"/>
        </w:rPr>
        <w:t>129</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05" w:history="1">
        <w:r>
          <w:rPr>
            <w:rFonts w:ascii="Times New Roman" w:hAnsi="Times New Roman" w:eastAsia="方正仿宋_GBK"/>
            <w:b/>
            <w:sz w:val="24"/>
          </w:rPr>
          <w:t>第六章 结论与建议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h1005 \h </w:instrText>
      </w:r>
      <w:r>
        <w:rPr>
          <w:rFonts w:ascii="Times New Roman" w:hAnsi="Times New Roman" w:eastAsia="方正仿宋_GBK"/>
          <w:b/>
          <w:sz w:val="24"/>
        </w:rPr>
        <w:fldChar w:fldCharType="separate"/>
      </w:r>
      <w:r>
        <w:rPr>
          <w:rFonts w:ascii="Times New Roman" w:hAnsi="Times New Roman" w:eastAsia="方正仿宋_GBK"/>
          <w:b/>
          <w:sz w:val="24"/>
        </w:rPr>
        <w:t>131</w:t>
      </w:r>
      <w:r>
        <w:rPr>
          <w:rFonts w:ascii="Times New Roman" w:hAnsi="Times New Roman" w:eastAsia="方正仿宋_GBK"/>
          <w:b/>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07" w:history="1">
        <w:r>
          <w:rPr>
            <w:rFonts w:ascii="Times New Roman" w:hAnsi="Times New Roman" w:eastAsia="方正仿宋_GBK"/>
            <w:b w:val="0"/>
            <w:sz w:val="24"/>
          </w:rPr>
          <w:t>6.1 主要研究结论</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h1007 \h </w:instrText>
      </w:r>
      <w:r>
        <w:rPr>
          <w:rFonts w:ascii="Times New Roman" w:hAnsi="Times New Roman" w:eastAsia="方正仿宋_GBK"/>
          <w:b w:val="0"/>
          <w:sz w:val="24"/>
        </w:rPr>
        <w:fldChar w:fldCharType="separate"/>
      </w:r>
      <w:r>
        <w:rPr>
          <w:rFonts w:ascii="Times New Roman" w:hAnsi="Times New Roman" w:eastAsia="方正仿宋_GBK"/>
          <w:b w:val="0"/>
          <w:sz w:val="24"/>
        </w:rPr>
        <w:t>131</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21" w:history="1">
        <w:r>
          <w:rPr>
            <w:rFonts w:ascii="Times New Roman" w:hAnsi="Times New Roman" w:eastAsia="方正仿宋_GBK"/>
            <w:b w:val="0"/>
            <w:sz w:val="24"/>
          </w:rPr>
          <w:t>6.2 规划应用建议</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h1021 \h </w:instrText>
      </w:r>
      <w:r>
        <w:rPr>
          <w:rFonts w:ascii="Times New Roman" w:hAnsi="Times New Roman" w:eastAsia="方正仿宋_GBK"/>
          <w:b w:val="0"/>
          <w:sz w:val="24"/>
        </w:rPr>
        <w:fldChar w:fldCharType="separate"/>
      </w:r>
      <w:r>
        <w:rPr>
          <w:rFonts w:ascii="Times New Roman" w:hAnsi="Times New Roman" w:eastAsia="方正仿宋_GBK"/>
          <w:b w:val="0"/>
          <w:sz w:val="24"/>
        </w:rPr>
        <w:t>132</w:t>
      </w:r>
      <w:r>
        <w:rPr>
          <w:rFonts w:ascii="Times New Roman" w:hAnsi="Times New Roman" w:eastAsia="方正仿宋_GBK"/>
          <w:b w:val="0"/>
          <w:sz w:val="24"/>
        </w:rPr>
        <w:fldChar w:fldCharType="end"/>
      </w:r>
    </w:p>
    <w:p>
      <w:pPr>
        <w:tabs>
          <w:tab w:pos="8220" w:val="right" w:leader="dot"/>
        </w:tabs>
        <w:spacing w:line="360" w:lineRule="exact" w:after="40"/>
        <w:ind w:firstLine="0" w:left="240"/>
        <w:jc w:val="left"/>
      </w:pPr>
      <w:r>
        <w:rPr>
          <w:rFonts w:ascii="Times New Roman" w:hAnsi="Times New Roman" w:eastAsia="方正仿宋_GBK"/>
          <w:b w:val="0"/>
          <w:sz w:val="24"/>
        </w:rPr>
      </w:r>
      <w:hyperlink w:anchor="h1033" w:history="1">
        <w:r>
          <w:rPr>
            <w:rFonts w:ascii="Times New Roman" w:hAnsi="Times New Roman" w:eastAsia="方正仿宋_GBK"/>
            <w:b w:val="0"/>
            <w:sz w:val="24"/>
          </w:rPr>
          <w:t>6.3 后续研究方向</w:t>
        </w:r>
      </w:hyperlink>
      <w:r>
        <w:rPr>
          <w:rFonts w:ascii="Times New Roman" w:hAnsi="Times New Roman" w:eastAsia="方正仿宋_GBK"/>
          <w:b w:val="0"/>
          <w:sz w:val="24"/>
        </w:rPr>
        <w:tab/>
      </w:r>
      <w:r>
        <w:rPr>
          <w:rFonts w:ascii="Times New Roman" w:hAnsi="Times New Roman" w:eastAsia="方正仿宋_GBK"/>
          <w:b w:val="0"/>
          <w:sz w:val="24"/>
        </w:rPr>
        <w:fldChar w:fldCharType="begin"/>
      </w:r>
      <w:r>
        <w:rPr>
          <w:rFonts w:ascii="Times New Roman" w:hAnsi="Times New Roman" w:eastAsia="方正仿宋_GBK"/>
          <w:b w:val="0"/>
          <w:sz w:val="24"/>
        </w:rPr>
        <w:instrText xml:space="preserve"> PAGEREF h1033 \h </w:instrText>
      </w:r>
      <w:r>
        <w:rPr>
          <w:rFonts w:ascii="Times New Roman" w:hAnsi="Times New Roman" w:eastAsia="方正仿宋_GBK"/>
          <w:b w:val="0"/>
          <w:sz w:val="24"/>
        </w:rPr>
        <w:fldChar w:fldCharType="separate"/>
      </w:r>
      <w:r>
        <w:rPr>
          <w:rFonts w:ascii="Times New Roman" w:hAnsi="Times New Roman" w:eastAsia="方正仿宋_GBK"/>
          <w:b w:val="0"/>
          <w:sz w:val="24"/>
        </w:rPr>
        <w:t>133</w:t>
      </w:r>
      <w:r>
        <w:rPr>
          <w:rFonts w:ascii="Times New Roman" w:hAnsi="Times New Roman" w:eastAsia="方正仿宋_GBK"/>
          <w:b w:val="0"/>
          <w:sz w:val="24"/>
        </w:rPr>
        <w:fldChar w:fldCharType="end"/>
      </w:r>
    </w:p>
    <w:p>
      <w:pPr>
        <w:tabs>
          <w:tab w:pos="8220" w:val="right" w:leader="dot"/>
        </w:tabs>
        <w:spacing w:line="360" w:lineRule="exact" w:after="40"/>
        <w:ind w:firstLine="0" w:left="0"/>
        <w:jc w:val="left"/>
      </w:pPr>
      <w:r>
        <w:rPr>
          <w:rFonts w:ascii="Times New Roman" w:hAnsi="Times New Roman" w:eastAsia="方正仿宋_GBK"/>
          <w:b/>
          <w:sz w:val="24"/>
        </w:rPr>
      </w:r>
      <w:hyperlink w:anchor="h1039" w:history="1">
        <w:r>
          <w:rPr>
            <w:rFonts w:ascii="Times New Roman" w:hAnsi="Times New Roman" w:eastAsia="方正仿宋_GBK"/>
            <w:b/>
            <w:sz w:val="24"/>
          </w:rPr>
          <w:t>参考文献</w:t>
        </w:r>
      </w:hyperlink>
      <w:r>
        <w:rPr>
          <w:rFonts w:ascii="Times New Roman" w:hAnsi="Times New Roman" w:eastAsia="方正仿宋_GBK"/>
          <w:b/>
          <w:sz w:val="24"/>
        </w:rPr>
        <w:tab/>
      </w:r>
      <w:r>
        <w:rPr>
          <w:rFonts w:ascii="Times New Roman" w:hAnsi="Times New Roman" w:eastAsia="方正仿宋_GBK"/>
          <w:b/>
          <w:sz w:val="24"/>
        </w:rPr>
        <w:fldChar w:fldCharType="begin"/>
      </w:r>
      <w:r>
        <w:rPr>
          <w:rFonts w:ascii="Times New Roman" w:hAnsi="Times New Roman" w:eastAsia="方正仿宋_GBK"/>
          <w:b/>
          <w:sz w:val="24"/>
        </w:rPr>
        <w:instrText xml:space="preserve"> PAGEREF h1039 \h </w:instrText>
      </w:r>
      <w:r>
        <w:rPr>
          <w:rFonts w:ascii="Times New Roman" w:hAnsi="Times New Roman" w:eastAsia="方正仿宋_GBK"/>
          <w:b/>
          <w:sz w:val="24"/>
        </w:rPr>
        <w:fldChar w:fldCharType="separate"/>
      </w:r>
      <w:r>
        <w:rPr>
          <w:rFonts w:ascii="Times New Roman" w:hAnsi="Times New Roman" w:eastAsia="方正仿宋_GBK"/>
          <w:b/>
          <w:sz w:val="24"/>
        </w:rPr>
        <w:t>134</w:t>
      </w:r>
      <w:r>
        <w:rPr>
          <w:rFonts w:ascii="Times New Roman" w:hAnsi="Times New Roman" w:eastAsia="方正仿宋_GBK"/>
          <w:b/>
          <w:sz w:val="24"/>
        </w:rPr>
        <w:fldChar w:fldCharType="end"/>
      </w:r>
    </w:p>
    <w:p>
      <w:pPr>
        <w:pStyle w:val="3"/>
        <w:keepNext/>
        <w:pageBreakBefore/>
        <w:numPr>
          <w:numId w:val="0"/>
        </w:numPr>
        <w:spacing w:line="540" w:lineRule="exact" w:before="0" w:after="120"/>
        <w:ind w:firstLine="0"/>
      </w:pPr>
      <w:bookmarkStart w:id="1000" w:name="h0"/>
      <w:bookmarkStart w:id="20" w:name="第一章-绪论"/>
      <w:r>
        <w:rPr>
          <w:rFonts w:ascii="Times New Roman" w:hAnsi="Times New Roman" w:eastAsia="方正仿宋_GBK"/>
          <w:b/>
          <w:sz w:val="36"/>
        </w:rPr>
        <w:t xml:space="preserve">第一章 绪论</w:t>
      </w:r>
      <w:bookmarkEnd w:id="20"/>
      <w:bookmarkEnd w:id="1000"/>
    </w:p>
    <w:p>
      <w:pPr>
        <w:pStyle w:val="4"/>
        <w:keepNext/>
        <w:numPr>
          <w:numId w:val="0"/>
        </w:numPr>
        <w:spacing w:line="480" w:lineRule="exact" w:before="160" w:after="120"/>
        <w:ind w:firstLine="0"/>
      </w:pPr>
      <w:bookmarkStart w:id="1001" w:name="h1"/>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90" w:lineRule="exact"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48" w:lineRule="exact" w:before="0" w:after="0"/>
        <w:ind w:firstLine="480"/>
        <w:jc w:val="both"/>
      </w:pPr>
      <w:r>
        <w:rPr>
          <w:rFonts w:ascii="Times New Roman" w:hAnsi="Times New Roman" w:eastAsia="方正仿宋_GBK"/>
          <w:b w:val="0"/>
          <w:sz w:val="24"/>
        </w:rPr>
        <w:t xml:space="preserve">在新型电力系统建设和能源绿色转型背景下，分布式光伏进入规模化发展阶段。国家能源局公布，截至2026年3月底，全国分布式光伏装机容量达到5.54亿千瓦[1]；江苏分布式光伏累计并网容量为6629.40万千瓦[2]。随着电源在用户侧广泛接入，110 kV变电站承担的供电任务随本地发电与用电的时段关系发生变化。</w:t>
      </w:r>
    </w:p>
    <w:p>
      <w:pPr>
        <w:pStyle w:val="2"/>
        <w:widowControl/>
        <w:spacing w:line="348" w:lineRule="exact" w:before="0" w:after="0"/>
        <w:ind w:firstLine="480"/>
        <w:jc w:val="both"/>
      </w:pPr>
      <w:r>
        <w:rPr>
          <w:rFonts w:ascii="Times New Roman" w:hAnsi="Times New Roman" w:eastAsia="方正仿宋_GBK"/>
          <w:b w:val="0"/>
          <w:sz w:val="24"/>
        </w:rPr>
        <w:t xml:space="preserve">光伏出力较高时，部分用户用电由本地电源供给，主变受入功率减小；当本地发电超过本地用电时，剩余电力经主变反送。光伏出力下降后，上级电网仍需承担剩余用电需求。因此，主变容量需要同时满足正向供电和反向输送要求，并在主变N-1时通过剩余设备及下级网络维持供电[3][4][5]。</w:t>
      </w:r>
    </w:p>
    <w:p>
      <w:pPr>
        <w:pStyle w:val="2"/>
        <w:widowControl/>
        <w:spacing w:line="348" w:lineRule="exact" w:before="0" w:after="0"/>
        <w:ind w:firstLine="480"/>
        <w:jc w:val="both"/>
      </w:pPr>
      <w:r>
        <w:rPr>
          <w:rFonts w:ascii="Times New Roman" w:hAnsi="Times New Roman" w:eastAsia="方正仿宋_GBK"/>
          <w:b w:val="0"/>
          <w:sz w:val="24"/>
        </w:rPr>
        <w:t xml:space="preserve">容载比按同电压等级公用变电设备总容量与区域年网供最大负荷之比计算，用于规划区域容量储备，具体取值结合负荷发展、供电安全及技术经济条件确定[5]。光伏对其分母的影响取决于峰值时刻：峰值在日间时，光伏供电可能降低受入峰值或使峰值转移；峰值在晚间时，主变仍需承担该时段的供电任务。同时，日间反向输送可能提出新增容量需求。区域容量选取因而需要联系逐站双向功率、主变结构和联络支援条件。</w:t>
      </w:r>
    </w:p>
    <w:p>
      <w:pPr>
        <w:pStyle w:val="2"/>
        <w:widowControl/>
        <w:spacing w:line="348" w:lineRule="exact"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发展方向[6]。落实到容量规划，主变增容、下级网络联络和储能可以通过不同方式满足局部需求，各自所需规模及费用受负荷分布和持续时间影响。规划比选需要先确定满足供电任务的措施组合，再评价相应的容量水平和工程费用。</w:t>
      </w:r>
    </w:p>
    <w:p>
      <w:pPr>
        <w:pStyle w:val="2"/>
        <w:widowControl/>
        <w:spacing w:line="348" w:lineRule="exact" w:before="0" w:after="0"/>
        <w:ind w:firstLine="480"/>
        <w:jc w:val="both"/>
      </w:pPr>
      <w:r>
        <w:rPr>
          <w:rFonts w:ascii="Times New Roman" w:hAnsi="Times New Roman" w:eastAsia="方正仿宋_GBK"/>
          <w:b w:val="0"/>
          <w:sz w:val="24"/>
        </w:rPr>
        <w:t xml:space="preserve">为识别上述任务，本报告以分布式电源装机渗透率和电量渗透率描述地区电源规模及供能水平，以主变年最大负载率和正反向净负荷识别设备压力，以95%峰值持续时间描述近峰过程。运行特征分析为后续容量约束和措施比选提供源荷条件。</w:t>
      </w:r>
    </w:p>
    <w:p>
      <w:pPr>
        <w:pStyle w:val="5"/>
        <w:keepNext/>
        <w:numPr>
          <w:numId w:val="0"/>
        </w:numPr>
        <w:spacing w:line="390" w:lineRule="exact"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48" w:lineRule="exact" w:before="0" w:after="0"/>
        <w:ind w:firstLine="480"/>
        <w:jc w:val="both"/>
      </w:pPr>
      <w:r>
        <w:rPr>
          <w:rFonts w:ascii="Times New Roman" w:hAnsi="Times New Roman" w:eastAsia="方正仿宋_GBK"/>
          <w:b w:val="0"/>
          <w:sz w:val="24"/>
        </w:rPr>
        <w:t xml:space="preserve">2025年4月《配电网规划设计技术导则》修订资料引入分布式电源装机渗透率（源荷比）和分布式电源电量渗透率，提出源荷比超过2.00，或分布式电源电量渗透率超过40%～50%时，以110～35 kV反向净负荷极值校核公用主变反向重过载；出现反向重过载时，通过技术经济比选采用增加变电容量、独立储能或新能源配储等措施[7]。与此同时，容量规划仍需参照按负荷增长分档的容载比范围，上限一般为2.00[5][7]。增加主变容量可能使容载比超过该上限，规划人员需要判断：反向容量或供电安全要求形成的增容需求，应如何与区域容载比控制值协调。</w:t>
      </w:r>
    </w:p>
    <w:p>
      <w:pPr>
        <w:pStyle w:val="2"/>
        <w:widowControl/>
        <w:spacing w:line="348" w:lineRule="exact" w:before="0" w:after="0"/>
        <w:ind w:firstLine="480"/>
        <w:jc w:val="both"/>
      </w:pPr>
      <w:r>
        <w:rPr>
          <w:rFonts w:ascii="Times New Roman" w:hAnsi="Times New Roman" w:eastAsia="方正仿宋_GBK"/>
          <w:b w:val="0"/>
          <w:sz w:val="24"/>
        </w:rPr>
        <w:t xml:space="preserve">徐州不同片区的源荷条件存在差异。装机统计显示，邳州2025年末分布式光伏装机为1559.64 MW，110 kV降压负荷为956.45 MW；市区分别为491.18 MW和1528.82 MW。按典型场景估计的分布式电源装机渗透率，邳州为1.63、市区为0.32；分布式电源电量渗透率分别为40%和9%。按上述电量估计，邳州已达到开展反向容量校核的参考水平。市区样本容量配置更多受正向供电及主变N-1条件影响。本研究据此选择邳州和市区，分别分析光伏规模较大县域与负荷较集中城区的容量配置。两地区均按同一电压等级、同一统计范围组织源荷和设备资料，使区域指标与站级规划相对应。</w:t>
      </w:r>
    </w:p>
    <w:p>
      <w:pPr>
        <w:pStyle w:val="2"/>
        <w:widowControl/>
        <w:spacing w:line="348" w:lineRule="exact" w:before="0" w:after="0"/>
        <w:ind w:firstLine="480"/>
        <w:jc w:val="both"/>
      </w:pPr>
      <w:r>
        <w:rPr>
          <w:rFonts w:ascii="Times New Roman" w:hAnsi="Times New Roman" w:eastAsia="方正仿宋_GBK"/>
          <w:b w:val="0"/>
          <w:sz w:val="24"/>
        </w:rPr>
        <w:t xml:space="preserve">针对上述容量协调问题，本课题在相同年度负荷、设备初态和技术约束下，比较容载比按2.00上限控制与突破2.00时的主变、储能及联络组合，判断增加主变费用能否由其他措施的费用节省抵消。再分析源荷水平、负荷增长和峰段特征改变时的配置响应，形成分片区的弹性指标及适用条件。</w:t>
      </w:r>
    </w:p>
    <w:p>
      <w:pPr>
        <w:pStyle w:val="5"/>
        <w:keepNext/>
        <w:numPr>
          <w:numId w:val="0"/>
        </w:numPr>
        <w:spacing w:line="390" w:lineRule="exact"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于规划阶段估计一个地区需要配置的公用主变总容量。主变容量既要承担当前最大负荷，还需满足负荷增长、检修及主变N-1条件；设备台数和负荷同时性也会影响所需储备。因此，规划通常以年网供最大负荷乘以相应容载比估算区域容量，再通过逐站校核落实建设规模[5][8]。这一指标便于在站址和网络方案尚未完全确定时控制容量总量，具体取值需要与负荷发展和供电条件对应。</w:t>
      </w:r>
    </w:p>
    <w:p>
      <w:pPr>
        <w:pStyle w:val="2"/>
        <w:widowControl/>
        <w:spacing w:line="348" w:lineRule="exact"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评价期费用。这样形成的推荐值具有对应的建设措施及约束条件，便于说明采用某个比值需要付出多少投资、获得何种容量配置，以及哪些条件发生变化后需要重新比选。</w:t>
      </w:r>
    </w:p>
    <w:p>
      <w:pPr>
        <w:pStyle w:val="2"/>
        <w:widowControl/>
        <w:spacing w:line="348" w:lineRule="exact"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储能支撑持续时间和负荷空间分布。研究以同措施集合、同价格和同初态比较方案，通过费用结果评价两类方案的经济性。</w:t>
      </w:r>
    </w:p>
    <w:p>
      <w:pPr>
        <w:pStyle w:val="2"/>
        <w:widowControl/>
        <w:spacing w:line="348" w:lineRule="exact" w:before="0" w:after="0"/>
        <w:ind w:firstLine="480"/>
        <w:jc w:val="both"/>
      </w:pPr>
      <w:r>
        <w:rPr>
          <w:rFonts w:ascii="Times New Roman" w:hAnsi="Times New Roman" w:eastAsia="方正仿宋_GBK"/>
          <w:b w:val="0"/>
          <w:sz w:val="24"/>
        </w:rPr>
        <w:t xml:space="preserve">实际规划还应区分容量变化与负荷变化对年度容载比的影响。既有主变保持不变而年最大负荷下降，容载比会升高。反之，负荷增长快于容量增长时，新增主变后容载比仍可能降低。逐年方案需同时列出主变在役容量、采购容量和年度负荷，才能把指标变化与建设行为对应起来。</w:t>
      </w:r>
    </w:p>
    <w:p>
      <w:pPr>
        <w:pStyle w:val="2"/>
        <w:widowControl/>
        <w:spacing w:line="348" w:lineRule="exact"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pPr>
        <w:pStyle w:val="4"/>
        <w:keepNext/>
        <w:numPr>
          <w:numId w:val="0"/>
        </w:numPr>
        <w:spacing w:line="480" w:lineRule="exact" w:before="160" w:after="120"/>
        <w:ind w:firstLine="0"/>
      </w:pPr>
      <w:bookmarkStart w:id="1018" w:name="h18"/>
      <w:bookmarkStart w:id="25" w:name="主要概念与规范依据"/>
      <w:r>
        <w:rPr>
          <w:rFonts w:ascii="Times New Roman" w:hAnsi="Times New Roman" w:eastAsia="方正仿宋_GBK"/>
          <w:b/>
          <w:sz w:val="32"/>
        </w:rPr>
        <w:t xml:space="preserve">1.2 主要概念与规范依据</w:t>
      </w:r>
      <w:bookmarkEnd w:id="25"/>
      <w:bookmarkEnd w:id="1018"/>
    </w:p>
    <w:p>
      <w:pPr>
        <w:pStyle w:val="5"/>
        <w:keepNext/>
        <w:numPr>
          <w:numId w:val="0"/>
        </w:numPr>
        <w:spacing w:line="390" w:lineRule="exact"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48" w:lineRule="exact"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48" w:lineRule="exact"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[9]。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90" w:lineRule="exact"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本研究将弹性容载比定义为：在满足相同技术约束条件下，经评价期费用比较确定、允许适度偏离一般容载比上限的取值。该名称用于本课题的规划研究。</w:t>
      </w:r>
    </w:p>
    <w:p>
      <w:pPr>
        <w:pStyle w:val="2"/>
        <w:widowControl/>
        <w:spacing w:line="348" w:lineRule="exact" w:before="0" w:after="0"/>
        <w:ind w:firstLine="480"/>
        <w:jc w:val="both"/>
      </w:pPr>
      <w:r>
        <w:rPr>
          <w:rFonts w:ascii="Times New Roman" w:hAnsi="Times New Roman" w:eastAsia="方正仿宋_GBK"/>
          <w:b w:val="0"/>
          <w:sz w:val="24"/>
        </w:rPr>
        <w:t xml:space="preserve">DL/T 5729—2023《配电网规划设计技术导则》第6.3.4条按负荷发展阶段给出容载比建议范围，第6.3.5条允许负荷快速发展、发展潜力较大或负荷较分散的地区适当提高取值[5]。《配电网规划设计技术导则》第6.2.2.1条进一步提出，建议范围内不能满足供电安全准则时，可结合实际情况适当提高[7]。本课题保留相同初始设备结构：刚性方案新增扩容按当年负荷两倍控制，负荷下降导致的既有容量被动超限允许保留；弹性方案在容载比高于2.00的研究条件下比选，最大容量由设备规格和可扩建位置确定。</w:t>
      </w:r>
    </w:p>
    <w:p>
      <w:pPr>
        <w:pStyle w:val="2"/>
        <w:widowControl/>
        <w:spacing w:line="348" w:lineRule="exact" w:before="0" w:after="0"/>
        <w:ind w:firstLine="480"/>
        <w:jc w:val="both"/>
      </w:pPr>
      <w:r>
        <w:rPr>
          <w:rFonts w:ascii="Times New Roman" w:hAnsi="Times New Roman" w:eastAsia="方正仿宋_GBK"/>
          <w:b w:val="0"/>
          <w:sz w:val="24"/>
        </w:rPr>
        <w:t xml:space="preserve">两类方案采用相同的年度负荷、候选设备与工程价格，逐年比较主变容量、储能规模、站间负荷转接及评价期费用。推荐值与相应设备配置共同列示，供片区规划采用。</w:t>
      </w:r>
    </w:p>
    <w:p>
      <w:pPr>
        <w:pStyle w:val="5"/>
        <w:keepNext/>
        <w:numPr>
          <w:numId w:val="0"/>
        </w:numPr>
        <w:spacing w:line="390" w:lineRule="exact" w:before="160" w:after="120"/>
        <w:ind w:firstLine="0"/>
      </w:pPr>
      <w:bookmarkStart w:id="28" w:name="费用现值与方案评价"/>
      <w:r>
        <w:rPr>
          <w:rFonts w:ascii="Times New Roman" w:hAnsi="Times New Roman" w:eastAsia="方正仿宋_GBK"/>
          <w:b/>
          <w:sz w:val="26"/>
        </w:rPr>
        <w:t xml:space="preserve">1.2.3 费用现值与方案评价</w:t>
      </w:r>
      <w:bookmarkEnd w:id="28"/>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本研究参照全寿命周期费用方法，将新增措施初始投资、固定运维及评价期内设备更新费用折算到2021年末，统一计算至2041年[10,11,12]。结果称为</w:t>
      </w:r>
      <w:r>
        <w:rPr>
          <w:rFonts w:ascii="Times New Roman" w:hAnsi="Times New Roman" w:eastAsia="方正仿宋_GBK"/>
          <w:b w:val="0"/>
          <w:sz w:val="24"/>
        </w:rPr>
        <w:t xml:space="preserve">“</w:t>
      </w:r>
      <w:r>
        <w:rPr>
          <w:rFonts w:ascii="Times New Roman" w:hAnsi="Times New Roman" w:eastAsia="方正仿宋_GBK"/>
          <w:b w:val="0"/>
          <w:sz w:val="24"/>
        </w:rPr>
        <w:t xml:space="preserve">共同评价期内新增措施费用现值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，下文简称</w:t>
      </w:r>
      <w:r>
        <w:rPr>
          <w:rFonts w:ascii="Times New Roman" w:hAnsi="Times New Roman" w:eastAsia="方正仿宋_GBK"/>
          <w:b w:val="0"/>
          <w:sz w:val="24"/>
        </w:rPr>
        <w:t xml:space="preserve">“</w:t>
      </w:r>
      <w:r>
        <w:rPr>
          <w:rFonts w:ascii="Times New Roman" w:hAnsi="Times New Roman" w:eastAsia="方正仿宋_GBK"/>
          <w:b w:val="0"/>
          <w:sz w:val="24"/>
        </w:rPr>
        <w:t xml:space="preserve">评价期费用现值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或</w:t>
      </w:r>
      <w:r>
        <w:rPr>
          <w:rFonts w:ascii="Times New Roman" w:hAnsi="Times New Roman" w:eastAsia="方正仿宋_GBK"/>
          <w:b w:val="0"/>
          <w:sz w:val="24"/>
        </w:rPr>
        <w:t xml:space="preserve">“</w:t>
      </w:r>
      <w:r>
        <w:rPr>
          <w:rFonts w:ascii="Times New Roman" w:hAnsi="Times New Roman" w:eastAsia="方正仿宋_GBK"/>
          <w:b w:val="0"/>
          <w:sz w:val="24"/>
        </w:rPr>
        <w:t xml:space="preserve">费用现值</w:t>
      </w:r>
      <w:r>
        <w:rPr>
          <w:rFonts w:ascii="Times New Roman" w:hAnsi="Times New Roman" w:eastAsia="方正仿宋_GBK"/>
          <w:b w:val="0"/>
          <w:sz w:val="24"/>
        </w:rPr>
        <w:t xml:space="preserve">”</w:t>
      </w:r>
      <w:r>
        <w:rPr>
          <w:rFonts w:ascii="Times New Roman" w:hAnsi="Times New Roman" w:eastAsia="方正仿宋_GBK"/>
          <w:b w:val="0"/>
          <w:sz w:val="24"/>
        </w:rPr>
        <w:t xml:space="preserve">。该评价期短于设备完整寿命，费用科目及未计事项见第4.6.4节。主变增容和主变扩建形成长期在役容量，储能承担相应峰段支撑，10 kV联络改善站间负荷配置，各措施按实际购置批次计算费用。</w:t>
      </w:r>
    </w:p>
    <w:p>
      <w:pPr>
        <w:pStyle w:val="2"/>
        <w:widowControl/>
        <w:spacing w:line="348" w:lineRule="exact"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[13][14][15][16]。本项目采用评价期费用最小作为寻优目标，供电安全及设备容量作为约束，并结合片区源荷条件形成推荐范围。工程实施阶段可补充施工条件、土地资源及运行方式的综合评价。</w:t>
      </w:r>
    </w:p>
    <w:p>
      <w:pPr>
        <w:pStyle w:val="5"/>
        <w:keepNext/>
        <w:numPr>
          <w:numId w:val="0"/>
        </w:numPr>
        <w:spacing w:line="390" w:lineRule="exact"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48" w:lineRule="exact"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2041—2025《分布式电源接入电力系统承载力评估导则》组织分布式电源容量校核[5][9]。GB/T 45418—2025《配电网通用技术导则》作为下级配电网技术分析的补充依据[17]。分布式电源装机渗透率和分布式电源电量渗透率采用《配电网规划设计技术导则》的指标定义[7]，用于描述片区源荷条件。</w:t>
      </w:r>
    </w:p>
    <w:p>
      <w:pPr>
        <w:pStyle w:val="4"/>
        <w:keepNext/>
        <w:numPr>
          <w:numId w:val="0"/>
        </w:numPr>
        <w:spacing w:line="480" w:lineRule="exact" w:before="160" w:after="120"/>
        <w:ind w:firstLine="0"/>
      </w:pPr>
      <w:bookmarkStart w:id="1032" w:name="h32"/>
      <w:bookmarkStart w:id="30" w:name="研究范围与对象"/>
      <w:r>
        <w:rPr>
          <w:rFonts w:ascii="Times New Roman" w:hAnsi="Times New Roman" w:eastAsia="方正仿宋_GBK"/>
          <w:b/>
          <w:sz w:val="32"/>
        </w:rPr>
        <w:t xml:space="preserve">1.3 研究范围与对象</w:t>
      </w:r>
      <w:bookmarkEnd w:id="30"/>
      <w:bookmarkEnd w:id="1032"/>
    </w:p>
    <w:p>
      <w:pPr>
        <w:pStyle w:val="5"/>
        <w:keepNext/>
        <w:numPr>
          <w:numId w:val="0"/>
        </w:numPr>
        <w:spacing w:line="390" w:lineRule="exact" w:before="160" w:after="120"/>
        <w:ind w:firstLine="0"/>
      </w:pPr>
      <w:bookmarkStart w:id="31" w:name="电压等级与统计范围"/>
      <w:r>
        <w:rPr>
          <w:rFonts w:ascii="Times New Roman" w:hAnsi="Times New Roman" w:eastAsia="方正仿宋_GBK"/>
          <w:b/>
          <w:sz w:val="26"/>
        </w:rPr>
        <w:t xml:space="preserve">1.3.1 电压等级与统计范围</w:t>
      </w:r>
      <w:bookmarkEnd w:id="31"/>
    </w:p>
    <w:p>
      <w:pPr>
        <w:pStyle w:val="FirstParagraph"/>
        <w:widowControl/>
        <w:spacing w:line="348" w:lineRule="exact"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5729—2023第6.3.3条，以行政区县作为最小统计分析范围[5]。本研究优化对象为邳州和市区。电网运行统计和规划优化均按110 kV范围开展。</w:t>
      </w:r>
    </w:p>
    <w:p>
      <w:pPr>
        <w:pStyle w:val="2"/>
        <w:widowControl/>
        <w:spacing w:line="348" w:lineRule="exact" w:before="0" w:after="0"/>
        <w:ind w:firstLine="480"/>
        <w:jc w:val="both"/>
      </w:pPr>
      <w:r>
        <w:rPr>
          <w:rFonts w:ascii="Times New Roman" w:hAnsi="Times New Roman" w:eastAsia="方正仿宋_GBK"/>
          <w:b w:val="0"/>
          <w:sz w:val="24"/>
        </w:rPr>
        <w:t xml:space="preserve">研究地区为邳州和市区110 kV电网，站级图表分别列示20座和26座具有设备对应资料的变电站。年网供最大负荷采用区县同电压等级年度降压负荷估计，站级空间分布由样本时序标定。区域年度负荷用于容载比计算，各站最大净负荷用于局部容量校核。</w:t>
      </w:r>
    </w:p>
    <w:p>
      <w:pPr>
        <w:pStyle w:val="2"/>
        <w:widowControl/>
        <w:spacing w:line="348" w:lineRule="exact" w:before="0" w:after="0"/>
        <w:ind w:firstLine="480"/>
        <w:jc w:val="both"/>
      </w:pPr>
      <w:r>
        <w:rPr>
          <w:rFonts w:ascii="Times New Roman" w:hAnsi="Times New Roman" w:eastAsia="方正仿宋_GBK"/>
          <w:b w:val="0"/>
          <w:sz w:val="24"/>
        </w:rPr>
        <w:t xml:space="preserve">供电区域分类按DL/T 5729—2023表4.1.2核定，以饱和负荷密度为主要依据，并参考行政级别及发展水平[5]。A类对应15至低于30 MW/km²，B类为6至低于15 MW/km²，C类为1至低于6 MW/km²。本研究按市区A类较少、B类较多的分区特征设置转供率参考，设备候选按各站资料和研究假设分别确定。</w:t>
      </w:r>
    </w:p>
    <w:p>
      <w:pPr>
        <w:pStyle w:val="5"/>
        <w:keepNext/>
        <w:numPr>
          <w:numId w:val="0"/>
        </w:numPr>
        <w:spacing w:line="390" w:lineRule="exact" w:before="160" w:after="120"/>
        <w:ind w:firstLine="0"/>
      </w:pPr>
      <w:bookmarkStart w:id="32" w:name="年份与评价期"/>
      <w:r>
        <w:rPr>
          <w:rFonts w:ascii="Times New Roman" w:hAnsi="Times New Roman" w:eastAsia="方正仿宋_GBK"/>
          <w:b/>
          <w:sz w:val="26"/>
        </w:rPr>
        <w:t xml:space="preserve">1.3.2 年份与评价期</w:t>
      </w:r>
      <w:bookmarkEnd w:id="32"/>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2021—2025年资料用于分析负荷发展、光伏装机和设备运行特征。地区案例保留共同仿真起点，直接使用2022—2025年实际年度负荷；各年容量及建设规模由满足约束的优化结果确定，实际统计容量单独列示。</w:t>
      </w:r>
    </w:p>
    <w:p>
      <w:pPr>
        <w:pStyle w:val="2"/>
        <w:widowControl/>
        <w:spacing w:line="348" w:lineRule="exact" w:before="0" w:after="0"/>
        <w:ind w:firstLine="480"/>
        <w:jc w:val="both"/>
      </w:pPr>
      <w:r>
        <w:rPr>
          <w:rFonts w:ascii="Times New Roman" w:hAnsi="Times New Roman" w:eastAsia="方正仿宋_GBK"/>
          <w:b w:val="0"/>
          <w:sz w:val="24"/>
        </w:rPr>
        <w:t xml:space="preserve">基期主变按离散规格配置，基期年网供最大负荷取2021年实际统计值，两地区起点容载比按两位小数均为2.00。站级负荷沿用实际样本的空间分布，再按年度区域负荷标定。邳州和市区的刚性、弹性方案分别共用本地区的起点、负荷和价格。</w:t>
      </w:r>
    </w:p>
    <w:p>
      <w:pPr>
        <w:pStyle w:val="2"/>
        <w:widowControl/>
        <w:spacing w:line="348" w:lineRule="exact"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经济评价以2021年末为折现基准，评价截止于2041年。仿真第1—4年在计算文件中分别标记为2022—2025年，用于统一投运时间和现金流折现。主变、线路和储能的寿命、运维率采用第四章列明的研究参数[10,11,12]。</w:t>
      </w:r>
    </w:p>
    <w:p>
      <w:pPr>
        <w:pStyle w:val="5"/>
        <w:keepNext/>
        <w:numPr>
          <w:numId w:val="0"/>
        </w:numPr>
        <w:spacing w:line="390" w:lineRule="exact" w:before="160" w:after="120"/>
        <w:ind w:firstLine="0"/>
      </w:pPr>
      <w:bookmarkStart w:id="33" w:name="技术分析与费用边界"/>
      <w:r>
        <w:rPr>
          <w:rFonts w:ascii="Times New Roman" w:hAnsi="Times New Roman" w:eastAsia="方正仿宋_GBK"/>
          <w:b/>
          <w:sz w:val="26"/>
        </w:rPr>
        <w:t xml:space="preserve">1.3.3 技术分析与费用边界</w:t>
      </w:r>
      <w:bookmarkEnd w:id="33"/>
    </w:p>
    <w:p>
      <w:pPr>
        <w:pStyle w:val="FirstParagraph"/>
        <w:widowControl/>
        <w:spacing w:line="348" w:lineRule="exact" w:before="0" w:after="0"/>
        <w:ind w:firstLine="480"/>
        <w:jc w:val="both"/>
      </w:pPr>
      <w:r>
        <w:rPr>
          <w:rFonts w:ascii="Times New Roman" w:hAnsi="Times New Roman" w:eastAsia="方正仿宋_GBK"/>
          <w:b w:val="0"/>
          <w:sz w:val="24"/>
        </w:rPr>
        <w:t xml:space="preserve">技术模型包括正向供电、反向功率、主变N-1及站间转供约束。储能按额定功率、可用电量和支撑持续时间折算有效能力，正向储能支撑持续时间为4 h，反向按各站支撑要求设置。联络按具体送受端路径计量，共享馈线余量。模型采用静态工况进行规划比选。</w:t>
      </w:r>
    </w:p>
    <w:p>
      <w:pPr>
        <w:pStyle w:val="2"/>
        <w:widowControl/>
        <w:spacing w:line="348" w:lineRule="exact"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期末资产价值、存量设备运维变化及储能充电损耗费用尚未计入，费用比较按第四章列明的范围解释。</w:t>
      </w:r>
    </w:p>
    <w:p>
      <w:pPr>
        <w:pStyle w:val="2"/>
        <w:widowControl/>
        <w:spacing w:line="348" w:lineRule="exact" w:before="0" w:after="0"/>
        <w:ind w:firstLine="480"/>
        <w:jc w:val="both"/>
      </w:pPr>
      <w:r>
        <w:rPr>
          <w:rFonts w:ascii="Times New Roman" w:hAnsi="Times New Roman" w:eastAsia="方正仿宋_GBK"/>
          <w:b w:val="0"/>
          <w:sz w:val="24"/>
        </w:rPr>
        <w:t xml:space="preserve">两类方案共用主变更换与扩建、储能和联络候选。已核实既有联络不重复计原建设费，新增联络按项目计费。初始转供率用于推广参数研究，地区案例的实际可转功率由具体网络约束确定。</w:t>
      </w:r>
    </w:p>
    <w:p>
      <w:pPr>
        <w:pStyle w:val="4"/>
        <w:keepNext/>
        <w:numPr>
          <w:numId w:val="0"/>
        </w:numPr>
        <w:spacing w:line="480" w:lineRule="exact" w:before="160" w:after="120"/>
        <w:ind w:firstLine="0"/>
      </w:pPr>
      <w:bookmarkStart w:id="1045" w:name="h45"/>
      <w:bookmarkStart w:id="34" w:name="研究目标与内容"/>
      <w:r>
        <w:rPr>
          <w:rFonts w:ascii="Times New Roman" w:hAnsi="Times New Roman" w:eastAsia="方正仿宋_GBK"/>
          <w:b/>
          <w:sz w:val="32"/>
        </w:rPr>
        <w:t xml:space="preserve">1.4 研究目标与内容</w:t>
      </w:r>
      <w:bookmarkEnd w:id="34"/>
      <w:bookmarkEnd w:id="1045"/>
    </w:p>
    <w:p>
      <w:pPr>
        <w:pStyle w:val="5"/>
        <w:keepNext/>
        <w:numPr>
          <w:numId w:val="0"/>
        </w:numPr>
        <w:spacing w:line="390" w:lineRule="exact" w:before="160" w:after="120"/>
        <w:ind w:firstLine="0"/>
      </w:pPr>
      <w:bookmarkStart w:id="35" w:name="研究目标"/>
      <w:r>
        <w:rPr>
          <w:rFonts w:ascii="Times New Roman" w:hAnsi="Times New Roman" w:eastAsia="方正仿宋_GBK"/>
          <w:b/>
          <w:sz w:val="26"/>
        </w:rPr>
        <w:t xml:space="preserve">1.4.1 研究目标</w:t>
      </w:r>
      <w:bookmarkEnd w:id="35"/>
    </w:p>
    <w:p>
      <w:pPr>
        <w:pStyle w:val="FirstParagraph"/>
        <w:widowControl/>
        <w:spacing w:line="348" w:lineRule="exact"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48" w:lineRule="exact"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比较建设、运维与更新支出。</w:t>
      </w:r>
    </w:p>
    <w:p>
      <w:pPr>
        <w:pStyle w:val="2"/>
        <w:widowControl/>
        <w:spacing w:line="348" w:lineRule="exact"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新购主变容量及建设安排、储能配置、正常负荷转接及费用。推荐容载比由这些实际决策计算得到，并满足正反向供电需求与供电安全要求。</w:t>
      </w:r>
    </w:p>
    <w:p>
      <w:pPr>
        <w:pStyle w:val="2"/>
        <w:widowControl/>
        <w:spacing w:line="348" w:lineRule="exact" w:before="0" w:after="0"/>
        <w:ind w:firstLine="480"/>
        <w:jc w:val="both"/>
      </w:pPr>
      <w:r>
        <w:rPr>
          <w:rFonts w:ascii="Times New Roman" w:hAnsi="Times New Roman" w:eastAsia="方正仿宋_GBK"/>
          <w:b w:val="0"/>
          <w:sz w:val="24"/>
        </w:rPr>
        <w:t xml:space="preserve">最后，围绕六项核心参数构造推广矩阵，储能价格及辅助技术经济参数另作敏感性分析。矩阵按输入区间归纳容载比计算范围，设备措施与费用分别列示。</w:t>
      </w:r>
    </w:p>
    <w:p>
      <w:pPr>
        <w:pStyle w:val="5"/>
        <w:keepNext/>
        <w:numPr>
          <w:numId w:val="0"/>
        </w:numPr>
        <w:spacing w:line="390" w:lineRule="exact" w:before="160" w:after="120"/>
        <w:ind w:firstLine="0"/>
      </w:pPr>
      <w:bookmarkStart w:id="36" w:name="主要研究内容"/>
      <w:r>
        <w:rPr>
          <w:rFonts w:ascii="Times New Roman" w:hAnsi="Times New Roman" w:eastAsia="方正仿宋_GBK"/>
          <w:b/>
          <w:sz w:val="26"/>
        </w:rPr>
        <w:t xml:space="preserve">1.4.2 主要研究内容</w:t>
      </w:r>
      <w:bookmarkEnd w:id="36"/>
    </w:p>
    <w:p>
      <w:pPr>
        <w:pStyle w:val="FirstParagraph"/>
        <w:widowControl/>
        <w:spacing w:line="348" w:lineRule="exact"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95%峰值持续时间和主变负载率。分布式光伏月度装机与典型出力曲线用于估计发电量，并分别估计用户最大负荷和用户电量，明确相应分母的统计范围。</w:t>
      </w:r>
    </w:p>
    <w:p>
      <w:pPr>
        <w:pStyle w:val="2"/>
        <w:widowControl/>
        <w:spacing w:line="348" w:lineRule="exact" w:before="0" w:after="0"/>
        <w:ind w:firstLine="480"/>
        <w:jc w:val="both"/>
      </w:pPr>
      <w:r>
        <w:rPr>
          <w:rFonts w:ascii="Times New Roman" w:hAnsi="Times New Roman" w:eastAsia="方正仿宋_GBK"/>
          <w:b w:val="0"/>
          <w:sz w:val="24"/>
        </w:rPr>
        <w:t xml:space="preserve">工程费用研究以徐州主变扩建和替换工程为价格依据，以采购案例标定储能费用，以公开规划造价形成线路参考基价。线路成本系数反映单位长度综合造价，储能价格在固定支撑持续时间下单独分析；各项工程范围与计算方法分别列示。</w:t>
      </w:r>
    </w:p>
    <w:p>
      <w:pPr>
        <w:pStyle w:val="2"/>
        <w:widowControl/>
        <w:spacing w:line="348" w:lineRule="exact" w:before="0" w:after="0"/>
        <w:ind w:firstLine="480"/>
        <w:jc w:val="both"/>
      </w:pPr>
      <w:r>
        <w:rPr>
          <w:rFonts w:ascii="Times New Roman" w:hAnsi="Times New Roman" w:eastAsia="方正仿宋_GBK"/>
          <w:b w:val="0"/>
          <w:sz w:val="24"/>
        </w:rPr>
        <w:t xml:space="preserve">规划采用混合整数线性优化。在役20、40 MVA等设备可保留，新购主变采用31.50、50、63、80 MVA等候选规格并按站限制；扩建、联络投运状态及储能柜数为整数决策，站间转供功率为连续决策。以新增措施评价期费用现值最小为目标，在正常及主变N-1等约束下确定逐年设备与线路配置。</w:t>
      </w:r>
    </w:p>
    <w:p>
      <w:pPr>
        <w:pStyle w:val="2"/>
        <w:widowControl/>
        <w:spacing w:line="348" w:lineRule="exact"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方案分析结合区域年度容量与逐站建设安排，说明主变、储能和联络对容量配置及评价期费用的影响。</w:t>
      </w:r>
    </w:p>
    <w:p>
      <w:pPr>
        <w:pStyle w:val="2"/>
        <w:widowControl/>
        <w:spacing w:line="348" w:lineRule="exact" w:before="0" w:after="0"/>
        <w:ind w:firstLine="480"/>
        <w:jc w:val="both"/>
      </w:pPr>
      <w:r>
        <w:rPr>
          <w:rFonts w:ascii="Times New Roman" w:hAnsi="Times New Roman" w:eastAsia="方正仿宋_GBK"/>
          <w:b w:val="0"/>
          <w:sz w:val="24"/>
        </w:rPr>
        <w:t xml:space="preserve">参数研究以五站网络为模板，设置分布式电源装机渗透率、年最大净负荷平均增长率、线路成本系数、初始转供率、储能支撑持续时间及负荷分散系数六项输入，开展12600组目标年静态比选。输入区间采用首尾开口形式，增长分界与DL/T 5729—2023表6.3.4一致；计算所得容载比仍按有限范围列示。</w:t>
      </w:r>
    </w:p>
    <w:p>
      <w:pPr>
        <w:pStyle w:val="4"/>
        <w:keepNext/>
        <w:numPr>
          <w:numId w:val="0"/>
        </w:numPr>
        <w:spacing w:line="480" w:lineRule="exact" w:before="160" w:after="120"/>
        <w:ind w:firstLine="0"/>
      </w:pPr>
      <w:bookmarkStart w:id="1057" w:name="h57"/>
      <w:bookmarkStart w:id="37" w:name="研究方法与技术路线"/>
      <w:r>
        <w:rPr>
          <w:rFonts w:ascii="Times New Roman" w:hAnsi="Times New Roman" w:eastAsia="方正仿宋_GBK"/>
          <w:b/>
          <w:sz w:val="32"/>
        </w:rPr>
        <w:t xml:space="preserve">1.5 研究方法与技术路线</w:t>
      </w:r>
      <w:bookmarkEnd w:id="37"/>
      <w:bookmarkEnd w:id="1057"/>
    </w:p>
    <w:p>
      <w:pPr>
        <w:pStyle w:val="5"/>
        <w:keepNext/>
        <w:numPr>
          <w:numId w:val="0"/>
        </w:numPr>
        <w:spacing w:line="390" w:lineRule="exact" w:before="160" w:after="120"/>
        <w:ind w:firstLine="0"/>
      </w:pPr>
      <w:bookmarkStart w:id="38" w:name="运行指标分析与负荷增长估计"/>
      <w:r>
        <w:rPr>
          <w:rFonts w:ascii="Times New Roman" w:hAnsi="Times New Roman" w:eastAsia="方正仿宋_GBK"/>
          <w:b/>
          <w:sz w:val="26"/>
        </w:rPr>
        <w:t xml:space="preserve">1.5.1 运行指标分析与负荷增长估计</w:t>
      </w:r>
      <w:bookmarkEnd w:id="38"/>
    </w:p>
    <w:p>
      <w:pPr>
        <w:pStyle w:val="FirstParagraph"/>
        <w:widowControl/>
        <w:spacing w:line="348" w:lineRule="exact" w:before="0" w:after="0"/>
        <w:ind w:firstLine="480"/>
        <w:jc w:val="both"/>
      </w:pPr>
      <w:r>
        <w:rPr>
          <w:rFonts w:ascii="Times New Roman" w:hAnsi="Times New Roman" w:eastAsia="方正仿宋_GBK"/>
          <w:b w:val="0"/>
          <w:sz w:val="24"/>
        </w:rPr>
        <w:t xml:space="preserve">结合区域年度负荷与设备运行资料，分析分布式电源渗透水平、双向净负荷及95%峰值持续时间。先核对指标的统计范围及计算关系，再根据其对容量需求、网络能力和费用的作用选取参数。第3.5节按地区案例开展独立扰动，第5.6节对人为设置的参数组合计算相关系数，并结合受控配对解释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年最大净负荷平均增长率按2021—2025年起止负荷之比开四次方计算。地区案例直接使用2022—2025年逐年实际负荷，保留年度回落；复合增长率用于概括发展水平及设置推广情景。</w:t>
      </w:r>
    </w:p>
    <w:p>
      <w:pPr>
        <w:pStyle w:val="5"/>
        <w:keepNext/>
        <w:numPr>
          <w:numId w:val="0"/>
        </w:numPr>
        <w:spacing w:line="390" w:lineRule="exact" w:before="160" w:after="120"/>
        <w:ind w:firstLine="0"/>
      </w:pPr>
      <w:bookmarkStart w:id="39" w:name="工程单位费用计算与联合寻优"/>
      <w:r>
        <w:rPr>
          <w:rFonts w:ascii="Times New Roman" w:hAnsi="Times New Roman" w:eastAsia="方正仿宋_GBK"/>
          <w:b/>
          <w:sz w:val="26"/>
        </w:rPr>
        <w:t xml:space="preserve">1.5.2 工程单位费用计算与联合寻优</w:t>
      </w:r>
      <w:bookmarkEnd w:id="39"/>
    </w:p>
    <w:p>
      <w:pPr>
        <w:pStyle w:val="FirstParagraph"/>
        <w:widowControl/>
        <w:spacing w:line="348" w:lineRule="exact"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48" w:lineRule="exact" w:before="0" w:after="0"/>
        <w:ind w:firstLine="480"/>
        <w:jc w:val="both"/>
      </w:pPr>
      <w:r>
        <w:rPr>
          <w:rFonts w:ascii="Times New Roman" w:hAnsi="Times New Roman" w:eastAsia="方正仿宋_GBK"/>
          <w:b w:val="0"/>
          <w:sz w:val="24"/>
        </w:rPr>
        <w:t xml:space="preserve">在联合寻优中，年度容载比约束与各变电站的技术约束同时进入模型，包括正常正向供电、反向输送、主变N-1剩余容量、储能持续支撑及送受端转供能力。区县内部转接改变站级负荷分配而保持区域总任务守恒；反向压力按电源原归属保守处理，负荷转出后的潜在反送压力同步校核。按上述方法计算邳州和市区的刚性、弹性方案，比较两地区的容量配置及费用差异。</w:t>
      </w:r>
    </w:p>
    <w:p>
      <w:pPr>
        <w:pStyle w:val="2"/>
        <w:widowControl/>
        <w:spacing w:line="348" w:lineRule="exact" w:before="0" w:after="0"/>
        <w:ind w:firstLine="480"/>
        <w:jc w:val="both"/>
      </w:pPr>
      <w:r>
        <w:rPr>
          <w:rFonts w:ascii="Times New Roman" w:hAnsi="Times New Roman" w:eastAsia="方正仿宋_GBK"/>
          <w:b w:val="0"/>
          <w:sz w:val="24"/>
        </w:rPr>
        <w:t xml:space="preserve">求解以评价期费用最小为主要目标，在相同规划起点和技术条件下，比较主变增容、储能配置与10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90" w:lineRule="exact" w:before="160" w:after="120"/>
        <w:ind w:firstLine="0"/>
      </w:pPr>
      <w:bookmarkStart w:id="40" w:name="条件矩阵与方案核查"/>
      <w:r>
        <w:rPr>
          <w:rFonts w:ascii="Times New Roman" w:hAnsi="Times New Roman" w:eastAsia="方正仿宋_GBK"/>
          <w:b/>
          <w:sz w:val="26"/>
        </w:rPr>
        <w:t xml:space="preserve">1.5.3 条件矩阵与方案核查</w:t>
      </w:r>
      <w:bookmarkEnd w:id="40"/>
    </w:p>
    <w:p>
      <w:pPr>
        <w:pStyle w:val="FirstParagraph"/>
        <w:widowControl/>
        <w:spacing w:line="348" w:lineRule="exact" w:before="0" w:after="0"/>
        <w:ind w:firstLine="480"/>
        <w:jc w:val="both"/>
      </w:pPr>
      <w:r>
        <w:rPr>
          <w:rFonts w:ascii="Times New Roman" w:hAnsi="Times New Roman" w:eastAsia="方正仿宋_GBK"/>
          <w:b w:val="0"/>
          <w:sz w:val="24"/>
        </w:rPr>
        <w:t xml:space="preserve">推荐矩阵采用五站模板开展目标年参数推广。分布式电源装机渗透率与年最大净负荷平均增长率确定源荷规模，负荷分散系数表达各站峰值与区域同时峰值的关系，初始转供率表达既有网络条件，储能支撑持续时间确定储能有效支撑功率，线路成本系数改变新增联络费用。储能价格与辅助技术参数单独分析，各区间均保留计算节点、配置结果及适用条件。</w:t>
      </w:r>
    </w:p>
    <w:p>
      <w:pPr>
        <w:pStyle w:val="2"/>
        <w:widowControl/>
        <w:spacing w:line="348" w:lineRule="exact" w:before="0" w:after="0"/>
        <w:ind w:firstLine="480"/>
        <w:jc w:val="both"/>
      </w:pPr>
      <w:r>
        <w:rPr>
          <w:rFonts w:ascii="Times New Roman" w:hAnsi="Times New Roman" w:eastAsia="方正仿宋_GBK"/>
          <w:b w:val="0"/>
          <w:sz w:val="24"/>
        </w:rPr>
        <w:t xml:space="preserve">核查包括数据单位换算和区县容量汇总，也检查年度资产不减、负荷转接守恒及储能整数规模，并复算正反向容量和主变N-1容量。费用另按购置与投运批次重建现金流复算。通用外推核对目标年的相同容量、转供与守恒关系，各参数组合分别进行整数寻优。</w:t>
      </w:r>
    </w:p>
    <w:p>
      <w:pPr>
        <w:pStyle w:val="2"/>
        <w:widowControl/>
        <w:spacing w:line="348" w:lineRule="exact"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用于保存计算依据和结果复核。</w:t>
      </w:r>
    </w:p>
    <w:p>
      <w:pPr>
        <w:pStyle w:val="5"/>
        <w:keepNext/>
        <w:numPr>
          <w:numId w:val="0"/>
        </w:numPr>
        <w:spacing w:line="390" w:lineRule="exact" w:before="160" w:after="120"/>
        <w:ind w:firstLine="0"/>
      </w:pPr>
      <w:bookmarkStart w:id="41" w:name="计算流程与成果衔接"/>
      <w:r>
        <w:rPr>
          <w:rFonts w:ascii="Times New Roman" w:hAnsi="Times New Roman" w:eastAsia="方正仿宋_GBK"/>
          <w:b/>
          <w:sz w:val="26"/>
        </w:rPr>
        <w:t xml:space="preserve">1.5.4 计算流程与成果衔接</w:t>
      </w:r>
      <w:bookmarkEnd w:id="41"/>
    </w:p>
    <w:p>
      <w:pPr>
        <w:pStyle w:val="FirstParagraph"/>
        <w:widowControl/>
        <w:spacing w:line="348" w:lineRule="exact"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93235"/>
            <wp:effectExtent b="0" l="0" r="0" t="0"/>
            <wp:docPr descr="" title="" id="1" name="Picture"/>
            <a:graphic>
              <a:graphicData uri="http://schemas.openxmlformats.org/drawingml/2006/picture">
                <pic:pic>
                  <pic:nvPicPr>
                    <pic:cNvPr descr="研究报告/02图表/当前版/technical_route.png" id="0" name="Picture"/>
                    <pic:cNvPicPr>
                      <a:picLocks noChangeArrowheads="1" noChangeAspect="1"/>
                    </pic:cNvPicPr>
                  </pic:nvPicPr>
                  <pic:blipFill>
                    <a:blip r:embed="rId42"/>
                    <a:stretch>
                      <a:fillRect/>
                    </a:stretch>
                  </pic:blipFill>
                  <pic:spPr bwMode="auto">
                    <a:xfrm>
                      <a:off x="0" y="0"/>
                      <a:ext cx="5120640" cy="2993235"/>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图1-1 逐年规划计算与推荐矩阵形成过程</w:t>
      </w:r>
    </w:p>
    <w:p>
      <w:pPr>
        <w:pStyle w:val="4"/>
        <w:keepNext/>
        <w:numPr>
          <w:numId w:val="0"/>
        </w:numPr>
        <w:spacing w:line="480" w:lineRule="exact" w:before="160" w:after="120"/>
        <w:ind w:firstLine="0"/>
      </w:pPr>
      <w:bookmarkStart w:id="1073" w:name="h73"/>
      <w:bookmarkStart w:id="43" w:name="研究成果及应用"/>
      <w:r>
        <w:rPr>
          <w:rFonts w:ascii="Times New Roman" w:hAnsi="Times New Roman" w:eastAsia="方正仿宋_GBK"/>
          <w:b/>
          <w:sz w:val="32"/>
        </w:rPr>
        <w:t xml:space="preserve">1.6 研究成果及应用</w:t>
      </w:r>
      <w:bookmarkEnd w:id="43"/>
      <w:bookmarkEnd w:id="1073"/>
    </w:p>
    <w:p>
      <w:pPr>
        <w:pStyle w:val="FirstParagraph"/>
        <w:widowControl/>
        <w:spacing w:line="348" w:lineRule="exact"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评价期费用。通用推荐矩阵按负荷分散系数分组，列出其余五项参数条件及容载比推荐区间，逐点设备配置和计算记录保存在配套工作簿中。</w:t>
      </w:r>
    </w:p>
    <w:p>
      <w:pPr>
        <w:pStyle w:val="2"/>
        <w:widowControl/>
        <w:spacing w:line="348" w:lineRule="exact"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规划应用先核定实际在役资产、年网供最大负荷和站间转供能力，依据源荷水平、负荷增长、转供条件与储能支撑持续时间选择比选范围，再以本地工程价格开展增容、配储和10 kV联络联合寻优。工程设计阶段继续校核实际线路、电压、保护及储能连续运行条件。</w:t>
      </w:r>
    </w:p>
    <w:p>
      <w:pPr>
        <w:pStyle w:val="3"/>
        <w:keepNext/>
        <w:pageBreakBefore/>
        <w:numPr>
          <w:numId w:val="0"/>
        </w:numPr>
        <w:spacing w:line="540" w:lineRule="exact" w:before="0" w:after="120"/>
        <w:ind w:firstLine="0"/>
      </w:pPr>
      <w:bookmarkStart w:id="1076" w:name="h76"/>
      <w:bookmarkStart w:id="44" w:name="第二章-国内外研究现状"/>
      <w:r>
        <w:rPr>
          <w:rFonts w:ascii="Times New Roman" w:hAnsi="Times New Roman" w:eastAsia="方正仿宋_GBK"/>
          <w:b/>
          <w:sz w:val="36"/>
        </w:rPr>
        <w:t xml:space="preserve">第二章 国内外研究现状</w:t>
      </w:r>
      <w:bookmarkEnd w:id="44"/>
      <w:bookmarkEnd w:id="1076"/>
    </w:p>
    <w:p>
      <w:pPr>
        <w:pStyle w:val="FirstParagraph"/>
        <w:widowControl/>
        <w:spacing w:line="348" w:lineRule="exact"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48" w:lineRule="exact"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pPr>
        <w:pStyle w:val="4"/>
        <w:keepNext/>
        <w:numPr>
          <w:numId w:val="0"/>
        </w:numPr>
        <w:spacing w:line="480" w:lineRule="exact" w:before="160" w:after="120"/>
        <w:ind w:firstLine="0"/>
      </w:pPr>
      <w:bookmarkStart w:id="1079" w:name="h79"/>
      <w:bookmarkStart w:id="45" w:name="国外研究现状"/>
      <w:r>
        <w:rPr>
          <w:rFonts w:ascii="Times New Roman" w:hAnsi="Times New Roman" w:eastAsia="方正仿宋_GBK"/>
          <w:b/>
          <w:sz w:val="32"/>
        </w:rPr>
        <w:t xml:space="preserve">2.1 国外研究现状</w:t>
      </w:r>
      <w:bookmarkEnd w:id="45"/>
      <w:bookmarkEnd w:id="1079"/>
    </w:p>
    <w:p>
      <w:pPr>
        <w:pStyle w:val="5"/>
        <w:keepNext/>
        <w:numPr>
          <w:numId w:val="0"/>
        </w:numPr>
        <w:spacing w:line="390" w:lineRule="exact" w:before="160" w:after="120"/>
        <w:ind w:firstLine="0"/>
      </w:pPr>
      <w:bookmarkStart w:id="46" w:name="分布式电源承载力评估"/>
      <w:r>
        <w:rPr>
          <w:rFonts w:ascii="Times New Roman" w:hAnsi="Times New Roman" w:eastAsia="方正仿宋_GBK"/>
          <w:b/>
          <w:sz w:val="26"/>
        </w:rPr>
        <w:t xml:space="preserve">2.1.1 分布式电源承载力评估</w:t>
      </w:r>
      <w:bookmarkEnd w:id="46"/>
    </w:p>
    <w:p>
      <w:pPr>
        <w:pStyle w:val="FirstParagraph"/>
        <w:widowControl/>
        <w:spacing w:line="348" w:lineRule="exact"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光伏（photovoltaic，PV）承载力计算模型，先采用鲁棒优化分析源荷不确定性下的最不利场景，再构建计及主动管理的混合整数二阶锥规划模型，算例分析表明，负荷降低及光伏出力提高可能使接入约束趋紧；对受过电压限制的网络主动管理（无功、SVC）提升明显、对受最大传输功率限制的网络效果有限；网络重构可使薄弱支路网络承载力提升超过 50%（达原值约 150%）[18]。</w:t>
      </w:r>
    </w:p>
    <w:p>
      <w:pPr>
        <w:pStyle w:val="2"/>
        <w:widowControl/>
        <w:spacing w:line="348" w:lineRule="exact" w:before="0" w:after="0"/>
        <w:ind w:firstLine="480"/>
        <w:jc w:val="both"/>
      </w:pPr>
      <w:r>
        <w:rPr>
          <w:rFonts w:ascii="Times New Roman" w:hAnsi="Times New Roman" w:eastAsia="方正仿宋_GBK"/>
          <w:b w:val="0"/>
          <w:sz w:val="24"/>
        </w:rPr>
        <w:t xml:space="preserve">Chen 等进一步引入物理—数据双驱动的 WGAN-GP 场景生成（夜间太阳辐照度设为零等物理约束）刻画源侧时序不确定性，以麻雀搜索算法寻优最大承载力，为承载力计算提供符合物理条件的出力场景[19]。</w:t>
      </w:r>
    </w:p>
    <w:p>
      <w:pPr>
        <w:pStyle w:val="2"/>
        <w:widowControl/>
        <w:spacing w:line="348" w:lineRule="exact"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100%），综合风险最优条件下的承载力为 3.90 MW，给定综合风险阈值下的最大承载力为 5.20 MW（渗透率 140%），较综合风险最优条件提高 33%，超过 175% 渗透率后边际收益递减、风险非线性上升[20]。</w:t>
      </w:r>
    </w:p>
    <w:p>
      <w:pPr>
        <w:pStyle w:val="2"/>
        <w:widowControl/>
        <w:spacing w:line="348" w:lineRule="exact"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20%～34%，说明主动支撑及稳定约束对接入能力的影响[21]。</w:t>
      </w:r>
    </w:p>
    <w:p>
      <w:pPr>
        <w:pStyle w:val="2"/>
        <w:widowControl/>
        <w:spacing w:line="348" w:lineRule="exact" w:before="0" w:after="0"/>
        <w:ind w:firstLine="480"/>
        <w:jc w:val="both"/>
      </w:pPr>
      <w:r>
        <w:rPr>
          <w:rFonts w:ascii="Times New Roman" w:hAnsi="Times New Roman" w:eastAsia="方正仿宋_GBK"/>
          <w:b w:val="0"/>
          <w:sz w:val="24"/>
        </w:rPr>
        <w:t xml:space="preserve">在机理层面，Majeed 等分析了光伏出力超过本地负荷时的反向潮流，指出其可能引起低压、中压网络电压升高及配电变压器过载，并通过热效应影响绝缘老化和设备寿命[4]。</w:t>
      </w:r>
    </w:p>
    <w:p>
      <w:pPr>
        <w:pStyle w:val="5"/>
        <w:keepNext/>
        <w:numPr>
          <w:numId w:val="0"/>
        </w:numPr>
        <w:spacing w:line="390" w:lineRule="exact" w:before="160" w:after="120"/>
        <w:ind w:firstLine="0"/>
      </w:pPr>
      <w:bookmarkStart w:id="47" w:name="高渗透率运行特征与反向潮流"/>
      <w:r>
        <w:rPr>
          <w:rFonts w:ascii="Times New Roman" w:hAnsi="Times New Roman" w:eastAsia="方正仿宋_GBK"/>
          <w:b/>
          <w:sz w:val="26"/>
        </w:rPr>
        <w:t xml:space="preserve">2.1.2 高渗透率运行特征与反向潮流</w:t>
      </w:r>
      <w:bookmarkEnd w:id="47"/>
    </w:p>
    <w:p>
      <w:pPr>
        <w:pStyle w:val="FirstParagraph"/>
        <w:widowControl/>
        <w:spacing w:line="348" w:lineRule="exact"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48" w:lineRule="exact"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23%，为以灵活资源平抑净负荷爬坡提供依据[22]。</w:t>
      </w:r>
    </w:p>
    <w:p>
      <w:pPr>
        <w:pStyle w:val="2"/>
        <w:widowControl/>
        <w:spacing w:line="348" w:lineRule="exact"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2%[23]；Ghorbansarvi 等以模型预测控制（MPC）联合管理母线电压与配变温度、最小化弃光，通过协调控制推迟配变过载的发生[24]。</w:t>
      </w:r>
    </w:p>
    <w:p>
      <w:pPr>
        <w:pStyle w:val="2"/>
        <w:widowControl/>
        <w:spacing w:line="348" w:lineRule="exact" w:before="0" w:after="0"/>
        <w:ind w:firstLine="480"/>
        <w:jc w:val="both"/>
      </w:pPr>
      <w:r>
        <w:rPr>
          <w:rFonts w:ascii="Times New Roman" w:hAnsi="Times New Roman" w:eastAsia="方正仿宋_GBK"/>
          <w:b w:val="0"/>
          <w:sz w:val="24"/>
        </w:rPr>
        <w:t xml:space="preserve">综述性研究则归纳出 光伏有功削减、有载分接开关调节（OLTC）、配网重构及多柔性资源协调四类电压越限治理手段，并讨论了协调控制中调节时序与经济性考虑不足，以及低压网络模型简化对分析结果的影响[25]。</w:t>
      </w:r>
    </w:p>
    <w:p>
      <w:pPr>
        <w:pStyle w:val="5"/>
        <w:keepNext/>
        <w:numPr>
          <w:numId w:val="0"/>
        </w:numPr>
        <w:spacing w:line="390" w:lineRule="exact" w:before="160" w:after="120"/>
        <w:ind w:firstLine="0"/>
      </w:pPr>
      <w:bookmarkStart w:id="48" w:name="灵活资源与网络协同配置"/>
      <w:r>
        <w:rPr>
          <w:rFonts w:ascii="Times New Roman" w:hAnsi="Times New Roman" w:eastAsia="方正仿宋_GBK"/>
          <w:b/>
          <w:sz w:val="26"/>
        </w:rPr>
        <w:t xml:space="preserve">2.1.3 灵活资源与网络协同配置</w:t>
      </w:r>
      <w:bookmarkEnd w:id="48"/>
    </w:p>
    <w:p>
      <w:pPr>
        <w:pStyle w:val="FirstParagraph"/>
        <w:widowControl/>
        <w:spacing w:line="348" w:lineRule="exact"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倍，并指出动态方案波动性更高、临界性排序为电池＞热泵＞EV[26]；Wang 等（Nature Communications）提出基于智能软开关（SOP）的柔性配电网多资源动态协同规划，在风险小于 5% 内实现 100% 本地光伏消纳，且最优方案总成本较对照方案降低 7%～55%[27]。</w:t>
      </w:r>
    </w:p>
    <w:p>
      <w:pPr>
        <w:pStyle w:val="2"/>
        <w:widowControl/>
        <w:spacing w:line="348" w:lineRule="exact"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节点中压网得出，专用分布式电池储能（BESS）替代网架增容仅在年负荷增长率不超过千分之一点六时净现值为正，移动式储能仅在不超过千分之二点五时可行[28]；Holweger 等在 CIGRE 低压网上得到分布式柔性优于网架增强的盈亏平衡点位于 PV 占年用电量的 110%～145% 区间（廉价变压器约 110%、昂贵变压器约 145%），且变压器为承载瓶颈元件[29]；Matthiss 等分别比较初始投资和年化费用，发现按投资成本储能远低于网架增强，但折算为计入电池 10 年寿命的年成本后差距明显收窄[30]。</w:t>
      </w:r>
    </w:p>
    <w:p>
      <w:pPr>
        <w:pStyle w:val="2"/>
        <w:widowControl/>
        <w:spacing w:line="348" w:lineRule="exact" w:before="0" w:after="0"/>
        <w:ind w:firstLine="480"/>
        <w:jc w:val="both"/>
      </w:pPr>
      <w:r>
        <w:rPr>
          <w:rFonts w:ascii="Times New Roman" w:hAnsi="Times New Roman" w:eastAsia="方正仿宋_GBK"/>
          <w:b w:val="0"/>
          <w:sz w:val="24"/>
        </w:rPr>
        <w:t xml:space="preserve">在储能定容方面，Xu 等以两阶段启发式优化最小化储能全寿命周期成本（LCC，包含投资、更换、运维及处置，并计及锂电池容量衰减），算例显示合理定容可使节点平均年化成本下降约 47%[10]；Wu 等以两阶段分布鲁棒优化并嵌入并网点短路电流约束做 PV+储能联合规划，较传统方法 PV 可装容量提升约 60%、电压偏差降低 17%，且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[31]。</w:t>
      </w:r>
    </w:p>
    <w:p>
      <w:pPr>
        <w:pStyle w:val="2"/>
        <w:widowControl/>
        <w:spacing w:line="348" w:lineRule="exact" w:before="0" w:after="0"/>
        <w:ind w:firstLine="480"/>
        <w:jc w:val="both"/>
      </w:pPr>
      <w:r>
        <w:rPr>
          <w:rFonts w:ascii="Times New Roman" w:hAnsi="Times New Roman" w:eastAsia="方正仿宋_GBK"/>
          <w:b w:val="0"/>
          <w:sz w:val="24"/>
        </w:rPr>
        <w:t xml:space="preserve">Zhang 等还表明随 PV 渗透由 9% 升至 99%，配电系统供电恢复量较基准提升 27%～45%，但 99% 相对 81% 的边际收益已不显著（拐点约 81% 渗透率），且其孤岛恢复方案采用构网型光伏与储能[32]。</w:t>
      </w:r>
    </w:p>
    <w:p>
      <w:pPr>
        <w:pStyle w:val="2"/>
        <w:widowControl/>
        <w:spacing w:line="348" w:lineRule="exact"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等以多元宇宙优化器同时优化主变容量与台数，算例表明，本地可再生能源供电可减少净负荷，并延缓主变建设[33]；Xu 等则从分时电价/需求侧响应改变负荷曲线的角度论证削峰可节省变电建设投资[34]，Nespoli 等给出无需历史数据量化柔性负荷经济价值的全局预测方法[35]。</w:t>
      </w:r>
    </w:p>
    <w:p>
      <w:pPr>
        <w:pStyle w:val="2"/>
        <w:widowControl/>
        <w:spacing w:line="348" w:lineRule="exact"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15%、电压不平衡全部降至 2% 以内[36]，SOP+储能联合规划使供电能力提升 31%[37]，源—网—储协同随机规划以仅增成本 2% 换取大幅消纳提升[38]，Shi等通过源网荷储多主体演化博弈，分析收益分配对储能配置及主体协同的影响[39]。</w:t>
      </w:r>
    </w:p>
    <w:p>
      <w:pPr>
        <w:pStyle w:val="5"/>
        <w:keepNext/>
        <w:numPr>
          <w:numId w:val="0"/>
        </w:numPr>
        <w:spacing w:line="390" w:lineRule="exact" w:before="160" w:after="120"/>
        <w:ind w:firstLine="0"/>
      </w:pPr>
      <w:bookmarkStart w:id="49" w:name="规划费用与决策方法"/>
      <w:r>
        <w:rPr>
          <w:rFonts w:ascii="Times New Roman" w:hAnsi="Times New Roman" w:eastAsia="方正仿宋_GBK"/>
          <w:b/>
          <w:sz w:val="26"/>
        </w:rPr>
        <w:t xml:space="preserve">2.1.4 规划费用与决策方法</w:t>
      </w:r>
      <w:bookmarkEnd w:id="49"/>
    </w:p>
    <w:p>
      <w:pPr>
        <w:pStyle w:val="FirstParagraph"/>
        <w:widowControl/>
        <w:spacing w:line="348" w:lineRule="exact"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在小样本下预测成本、以区间法处理不确定性[11]；Zhu 等对 10 kV 三类线路建立显式包含投资、运维、故障与报废（discard）四部分的 LCC 模型，研究表明，高负载率下运维成本成为 LCC 最主要影响因素、三类线路 LCC 平衡点出现在第 7～8 年，为线路寿命和费用边界分析提供参考[12]。</w:t>
      </w:r>
    </w:p>
    <w:p>
      <w:pPr>
        <w:pStyle w:val="2"/>
        <w:widowControl/>
        <w:spacing w:line="348" w:lineRule="exact"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与累积前景理论用于电网规划方案适应性评价[40]；Fermatean 模糊 TOPSIS 配合 FAHP-熵权与 DEMATEL 因果分析处理专家评分不确定性[41]；最优最劣法（BWM）+ 反熵权 + 纳什博弈 + 马氏距离改进 TOPSIS 用于输电项目优选[42]；改进 AHP 叠加物元可拓评估实现效益分级[14]。多准则评价通过指标与权重表达方案差异，适用于技术可行方案的综合比较。</w:t>
      </w:r>
    </w:p>
    <w:p>
      <w:pPr>
        <w:pStyle w:val="4"/>
        <w:keepNext/>
        <w:numPr>
          <w:numId w:val="0"/>
        </w:numPr>
        <w:spacing w:line="480" w:lineRule="exact" w:before="160" w:after="120"/>
        <w:ind w:firstLine="0"/>
      </w:pPr>
      <w:bookmarkStart w:id="1101" w:name="h101"/>
      <w:bookmarkStart w:id="50" w:name="国内研究现状"/>
      <w:r>
        <w:rPr>
          <w:rFonts w:ascii="Times New Roman" w:hAnsi="Times New Roman" w:eastAsia="方正仿宋_GBK"/>
          <w:b/>
          <w:sz w:val="32"/>
        </w:rPr>
        <w:t xml:space="preserve">2.2 国内研究现状</w:t>
      </w:r>
      <w:bookmarkEnd w:id="50"/>
      <w:bookmarkEnd w:id="1101"/>
    </w:p>
    <w:p>
      <w:pPr>
        <w:pStyle w:val="5"/>
        <w:keepNext/>
        <w:numPr>
          <w:numId w:val="0"/>
        </w:numPr>
        <w:spacing w:line="390" w:lineRule="exact" w:before="160" w:after="120"/>
        <w:ind w:firstLine="0"/>
      </w:pPr>
      <w:bookmarkStart w:id="51" w:name="容载比与下级网络供电能力"/>
      <w:r>
        <w:rPr>
          <w:rFonts w:ascii="Times New Roman" w:hAnsi="Times New Roman" w:eastAsia="方正仿宋_GBK"/>
          <w:b/>
          <w:sz w:val="26"/>
        </w:rPr>
        <w:t xml:space="preserve">2.2.1 容载比与下级网络供电能力</w:t>
      </w:r>
      <w:bookmarkEnd w:id="51"/>
    </w:p>
    <w:p>
      <w:pPr>
        <w:pStyle w:val="FirstParagraph"/>
        <w:widowControl/>
        <w:spacing w:line="348" w:lineRule="exact"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[43]；王凯亮等进一步以建设成本最小为目标统筹 220/110/10 kV 协同规划，用贝叶斯优化—遗传算法（BOA-GA）求解多电压等级容载比配比，证明长时间尺度下容载比配比与整体投资近似呈二次关系，规划方案较实际网架降低建设成本约 8%，并给出按负荷密度（以 10 MW·km⁻² 为界）与负荷增长率分档的差异化容载比推荐表[44]。</w:t>
      </w:r>
    </w:p>
    <w:p>
      <w:pPr>
        <w:pStyle w:val="2"/>
        <w:widowControl/>
        <w:spacing w:line="348" w:lineRule="exact"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，以理想值为基准的带状标尺可视化表达充裕性，以供电可靠性和发展阶段评价区域容量储备[45]；刘炜彬等则从负荷分散系数、储备系数、变压器安全运行率、平均功率因数四参数入手，用 BP 神经网络拟合负荷同时率、将 N-1 通过率纳入安全运行率，实现容载比精细化与差异化配置[46]。</w:t>
      </w:r>
    </w:p>
    <w:p>
      <w:pPr>
        <w:pStyle w:val="2"/>
        <w:widowControl/>
        <w:spacing w:line="348" w:lineRule="exact"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左右[8]；张锐等进一步以改进供电能力指标指导低压柔性互联装置规划，将设备容量与实际供电能力分别评价[47]；马雨欣、林凌雪提出面向精准规划的 TSC 评估方法并将分布式电源场景纳入供电能力计算[48]。</w:t>
      </w:r>
    </w:p>
    <w:p>
      <w:pPr>
        <w:pStyle w:val="5"/>
        <w:keepNext/>
        <w:numPr>
          <w:numId w:val="0"/>
        </w:numPr>
        <w:spacing w:line="390" w:lineRule="exact" w:before="160" w:after="120"/>
        <w:ind w:firstLine="0"/>
      </w:pPr>
      <w:bookmarkStart w:id="52" w:name="分布式光伏承载力与安全经济评价"/>
      <w:r>
        <w:rPr>
          <w:rFonts w:ascii="Times New Roman" w:hAnsi="Times New Roman" w:eastAsia="方正仿宋_GBK"/>
          <w:b/>
          <w:sz w:val="26"/>
        </w:rPr>
        <w:t xml:space="preserve">2.2.2 分布式光伏承载力与安全经济评价</w:t>
      </w:r>
      <w:bookmarkEnd w:id="52"/>
    </w:p>
    <w:p>
      <w:pPr>
        <w:pStyle w:val="FirstParagraph"/>
        <w:widowControl/>
        <w:spacing w:line="348" w:lineRule="exact"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，并指出单电压等级独立评估会使低压侧承载力估计过于乐观[49]。</w:t>
      </w:r>
    </w:p>
    <w:p>
      <w:pPr>
        <w:pStyle w:val="2"/>
        <w:widowControl/>
        <w:spacing w:line="348" w:lineRule="exact"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2041开展评估）[50]；徐非非等提出计及不确定性的承载能力区间分析方法[51]；张伟等针对含储能与软开关的柔性配电网，以确定性模型刻画最乐观、双层鲁棒优化刻画最悲观，构成消纳能力区间，并验证随 E-SOP 端口容量增大区间整体抬升、宽度收窄（由 7.93～10.89 MW 升至 9.32～11.34 MW）[52]。</w:t>
      </w:r>
    </w:p>
    <w:p>
      <w:pPr>
        <w:pStyle w:val="2"/>
        <w:widowControl/>
        <w:spacing w:line="348" w:lineRule="exact"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在安全经济承载力上，宋钰等构建兼顾安全与经济的分布式光伏承载力评估方法[53]，李敬如等研究主配协同条件下的安全经济承载力计算[54]，二者均强调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，通过运行评价系数反映接入容量的质量差异[55]。</w:t>
      </w:r>
    </w:p>
    <w:p>
      <w:pPr>
        <w:pStyle w:val="5"/>
        <w:keepNext/>
        <w:numPr>
          <w:numId w:val="0"/>
        </w:numPr>
        <w:spacing w:line="390" w:lineRule="exact" w:before="160" w:after="120"/>
        <w:ind w:firstLine="0"/>
      </w:pPr>
      <w:bookmarkStart w:id="53" w:name="源荷运行特征与净负荷"/>
      <w:r>
        <w:rPr>
          <w:rFonts w:ascii="Times New Roman" w:hAnsi="Times New Roman" w:eastAsia="方正仿宋_GBK"/>
          <w:b/>
          <w:sz w:val="26"/>
        </w:rPr>
        <w:t xml:space="preserve">2.2.3 源荷运行特征与净负荷</w:t>
      </w:r>
      <w:bookmarkEnd w:id="53"/>
    </w:p>
    <w:p>
      <w:pPr>
        <w:pStyle w:val="FirstParagraph"/>
        <w:widowControl/>
        <w:spacing w:line="348" w:lineRule="exact"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大停电经验，分析高比例新能源接入后向主网反向输送功率的现象，并提示防孤岛与频率保护设定的重要性[56]。</w:t>
      </w:r>
    </w:p>
    <w:p>
      <w:pPr>
        <w:pStyle w:val="2"/>
        <w:widowControl/>
        <w:spacing w:line="348" w:lineRule="exact"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，为分析江苏地区负荷与气温的关系提供参考[57]。</w:t>
      </w:r>
    </w:p>
    <w:p>
      <w:pPr>
        <w:pStyle w:val="2"/>
        <w:widowControl/>
        <w:spacing w:line="348" w:lineRule="exact"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风险评估指标体系并提出分层分区紧急切负荷策略[58]，吕达夫等以多场景源荷不确定性模型评估承载能力、得出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[59]，刘克权等则以甘肃为例定性论证高比例新能源下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的真实困境[60]。</w:t>
      </w:r>
    </w:p>
    <w:p>
      <w:pPr>
        <w:pStyle w:val="5"/>
        <w:keepNext/>
        <w:numPr>
          <w:numId w:val="0"/>
        </w:numPr>
        <w:spacing w:line="390" w:lineRule="exact" w:before="160" w:after="120"/>
        <w:ind w:firstLine="0"/>
      </w:pPr>
      <w:bookmarkStart w:id="54" w:name="源网荷储协同规划"/>
      <w:r>
        <w:rPr>
          <w:rFonts w:ascii="Times New Roman" w:hAnsi="Times New Roman" w:eastAsia="方正仿宋_GBK"/>
          <w:b/>
          <w:sz w:val="26"/>
        </w:rPr>
        <w:t xml:space="preserve">2.2.4 源网荷储协同规划</w:t>
      </w:r>
      <w:bookmarkEnd w:id="54"/>
    </w:p>
    <w:p>
      <w:pPr>
        <w:pStyle w:val="FirstParagraph"/>
        <w:widowControl/>
        <w:spacing w:line="348" w:lineRule="exact"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[61]、主动配电网规划[62]与新型配电网分布式储能配置[63]。在 SOP/柔性互联协同上，贺春光等以混合整数二阶锥规划做多电压等级 SOP 协同规划，算例中年综合成本由 457.30 万元降至 357.70 万元、各节点电压维持在 [0.95,1.05]、缓解 220 kV 变电站潮流倒送[64]。在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渗透率最高（57%）[65]；乐健等以 Frank-Copula 刻画源荷时空相关、蒙特卡洛生成并削减典型场景，比较基准与差异化源网储方案的全寿命费用（25 节点方案 4 综合成本较方案 2 降约 45%）[66]。</w:t>
      </w:r>
    </w:p>
    <w:p>
      <w:pPr>
        <w:pStyle w:val="5"/>
        <w:keepNext/>
        <w:numPr>
          <w:numId w:val="0"/>
        </w:numPr>
        <w:spacing w:line="390" w:lineRule="exact" w:before="160" w:after="120"/>
        <w:ind w:firstLine="0"/>
      </w:pPr>
      <w:bookmarkStart w:id="55" w:name="工程费用与评价方法"/>
      <w:r>
        <w:rPr>
          <w:rFonts w:ascii="Times New Roman" w:hAnsi="Times New Roman" w:eastAsia="方正仿宋_GBK"/>
          <w:b/>
          <w:sz w:val="26"/>
        </w:rPr>
        <w:t xml:space="preserve">2.2.5 工程费用与评价方法</w:t>
      </w:r>
      <w:bookmarkEnd w:id="55"/>
    </w:p>
    <w:p>
      <w:pPr>
        <w:pStyle w:val="FirstParagraph"/>
        <w:widowControl/>
        <w:spacing w:line="348" w:lineRule="exact"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网架、灵活资源）项目，按工程功能和投入产出组织投资排序[67]；何凯等提出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84%～92%），包含高压配电网的工程比选[68]。</w:t>
      </w:r>
    </w:p>
    <w:p>
      <w:pPr>
        <w:pStyle w:val="2"/>
        <w:widowControl/>
        <w:spacing w:line="348" w:lineRule="exact"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98%、RMSE 7.38 元/(kV·A)，为工程造价的参数化分析提供参考[69]。</w:t>
      </w:r>
    </w:p>
    <w:p>
      <w:pPr>
        <w:pStyle w:val="2"/>
        <w:widowControl/>
        <w:spacing w:line="348" w:lineRule="exact"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40%[70]。评价时应结合研究目标统一费用范围和现金流时点。</w:t>
      </w:r>
    </w:p>
    <w:p>
      <w:pPr>
        <w:pStyle w:val="5"/>
        <w:keepNext/>
        <w:numPr>
          <w:numId w:val="0"/>
        </w:numPr>
        <w:spacing w:line="390" w:lineRule="exact" w:before="160" w:after="120"/>
        <w:ind w:firstLine="0"/>
      </w:pPr>
      <w:bookmarkStart w:id="56" w:name="多准则评价与差异化投资"/>
      <w:r>
        <w:rPr>
          <w:rFonts w:ascii="Times New Roman" w:hAnsi="Times New Roman" w:eastAsia="方正仿宋_GBK"/>
          <w:b/>
          <w:sz w:val="26"/>
        </w:rPr>
        <w:t xml:space="preserve">2.2.6 多准则评价与差异化投资</w:t>
      </w:r>
      <w:bookmarkEnd w:id="56"/>
    </w:p>
    <w:p>
      <w:pPr>
        <w:pStyle w:val="FirstParagraph"/>
        <w:widowControl/>
        <w:spacing w:line="348" w:lineRule="exact"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容载比纳入评价指标并给出四级分级阈值，用于区域电网分类和综合评价[15]。</w:t>
      </w:r>
    </w:p>
    <w:p>
      <w:pPr>
        <w:pStyle w:val="2"/>
        <w:widowControl/>
        <w:spacing w:line="348" w:lineRule="exact"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机制可用于剔除不满足关键要求的规划方案[16]；汪志才等的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将不同项目的工程功能纳入评价[71]。</w:t>
      </w:r>
    </w:p>
    <w:p>
      <w:pPr>
        <w:pStyle w:val="5"/>
        <w:keepNext/>
        <w:numPr>
          <w:numId w:val="0"/>
        </w:numPr>
        <w:spacing w:line="390" w:lineRule="exact" w:before="160" w:after="120"/>
        <w:ind w:firstLine="0"/>
      </w:pPr>
      <w:bookmarkStart w:id="57" w:name="区域案例与分层规划"/>
      <w:r>
        <w:rPr>
          <w:rFonts w:ascii="Times New Roman" w:hAnsi="Times New Roman" w:eastAsia="方正仿宋_GBK"/>
          <w:b/>
          <w:sz w:val="26"/>
        </w:rPr>
        <w:t xml:space="preserve">2.2.7 区域案例与分层规划</w:t>
      </w:r>
      <w:bookmarkEnd w:id="57"/>
    </w:p>
    <w:p>
      <w:pPr>
        <w:pStyle w:val="FirstParagraph"/>
        <w:widowControl/>
        <w:spacing w:line="348" w:lineRule="exact"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类三套方案对比），体现县域规划的资料组织与工程比选方法[72]。谢天祥等以浙江绍兴某含6座变电站的网格为对象，在不降低供电可靠性的条件下，节约主变1台/50 MVA、公用中压线路13条及配变64台/156 MVA，变电站层弹性度为0.93[73]；其分层规划方法及容载比变化在下一节说明。</w:t>
      </w:r>
    </w:p>
    <w:p>
      <w:pPr>
        <w:pStyle w:val="2"/>
        <w:widowControl/>
        <w:spacing w:line="348" w:lineRule="exact"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做承德实际系统的消纳方案择优[74]；孙东磊等以 ADMM + 二阶锥松弛做多层级配电网消纳空间分解测算，论证层间协调可提升总消纳空间（但其算例为 IEEE 6/7/9/10/12/15 合成测试系统，用于检验多层级协调方法）[75]。</w:t>
      </w:r>
    </w:p>
    <w:p>
      <w:pPr>
        <w:pStyle w:val="2"/>
        <w:widowControl/>
        <w:spacing w:line="348" w:lineRule="exact"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高压配电网负荷转供分层优化模型，为分析负荷转供与变电容量储备的关系提供参考[76]。</w:t>
      </w:r>
    </w:p>
    <w:p>
      <w:pPr>
        <w:pStyle w:val="2"/>
        <w:widowControl/>
        <w:spacing w:line="348" w:lineRule="exact" w:before="0" w:after="0"/>
        <w:ind w:firstLine="480"/>
        <w:jc w:val="both"/>
      </w:pPr>
      <w:r>
        <w:rPr>
          <w:rFonts w:ascii="Times New Roman" w:hAnsi="Times New Roman" w:eastAsia="方正仿宋_GBK"/>
          <w:b w:val="0"/>
          <w:sz w:val="24"/>
        </w:rPr>
        <w:t xml:space="preserve">Zhao 等还以浙江嘉兴/平湖示范区构建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万美元），说明电网侧工程是综合投资的重要组成部分[77]。</w:t>
      </w:r>
    </w:p>
    <w:p>
      <w:pPr>
        <w:pStyle w:val="5"/>
        <w:keepNext/>
        <w:numPr>
          <w:numId w:val="0"/>
        </w:numPr>
        <w:spacing w:line="390" w:lineRule="exact" w:before="160" w:after="120"/>
        <w:ind w:firstLine="0"/>
      </w:pPr>
      <w:bookmarkStart w:id="58" w:name="弹性规划与容载比差异化优化"/>
      <w:r>
        <w:rPr>
          <w:rFonts w:ascii="Times New Roman" w:hAnsi="Times New Roman" w:eastAsia="方正仿宋_GBK"/>
          <w:b/>
          <w:sz w:val="26"/>
        </w:rPr>
        <w:t xml:space="preserve">2.2.8 弹性规划与容载比差异化优化</w:t>
      </w:r>
      <w:bookmarkEnd w:id="58"/>
    </w:p>
    <w:p>
      <w:pPr>
        <w:pStyle w:val="FirstParagraph"/>
        <w:widowControl/>
        <w:spacing w:line="348" w:lineRule="exact" w:before="0" w:after="0"/>
        <w:ind w:firstLine="480"/>
        <w:jc w:val="both"/>
      </w:pPr>
      <w:r>
        <w:rPr>
          <w:rFonts w:ascii="Times New Roman" w:hAnsi="Times New Roman" w:eastAsia="方正仿宋_GBK"/>
          <w:b w:val="0"/>
          <w:sz w:val="24"/>
        </w:rPr>
        <w:t xml:space="preserve">谢天祥等从变电站、中压线路和配变三个层级建立</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[73]。变电站层考虑分布式电源置信容量和储能平滑负荷、削峰填谷；中压线路层结合负荷类型、同时率和接线模式调整装接容量；配变层利用K-means聚类区分负荷特性，按相应同时率确定需求。该文表4列示，绍兴案例的公用主变总容量由660 MVA降至610 MVA，容载比由1.86降至1.72[73]。在该网格的负荷与供电条件下，分层分析减少了所需设备规模，为按网格负荷特征确定容量储备提供了案例依据。</w:t>
      </w:r>
    </w:p>
    <w:p>
      <w:pPr>
        <w:pStyle w:val="2"/>
        <w:widowControl/>
        <w:spacing w:line="348" w:lineRule="exact" w:before="0" w:after="0"/>
        <w:ind w:firstLine="480"/>
        <w:jc w:val="both"/>
      </w:pPr>
      <w:r>
        <w:rPr>
          <w:rFonts w:ascii="Times New Roman" w:hAnsi="Times New Roman" w:eastAsia="方正仿宋_GBK"/>
          <w:b w:val="0"/>
          <w:sz w:val="24"/>
        </w:rPr>
        <w:t xml:space="preserve">刘炜彬等将负荷同时性、安全运行水平和负荷发展储备纳入容载比参数优化，结合负荷增长及密度分析容量储备年限[46]；王凯亮等研究多电压等级协同规划，说明上级容量与下级网络条件需要共同考虑[44]。这些研究为容载比按片区条件调整提供了依据。</w:t>
      </w:r>
    </w:p>
    <w:p>
      <w:pPr>
        <w:pStyle w:val="2"/>
        <w:widowControl/>
        <w:spacing w:line="348" w:lineRule="exact" w:before="0" w:after="0"/>
        <w:ind w:firstLine="480"/>
        <w:jc w:val="both"/>
      </w:pPr>
      <w:r>
        <w:rPr>
          <w:rFonts w:ascii="Times New Roman" w:hAnsi="Times New Roman" w:eastAsia="方正仿宋_GBK"/>
          <w:b w:val="0"/>
          <w:sz w:val="24"/>
        </w:rPr>
        <w:t xml:space="preserve">弹性规划文献还包含极端事件下的防御和供电恢复。娄奇鹤等综述极端事件量化、韧性规划及投资评价，关注配电网面对灾害的抵御和恢复能力[78]。本研究关注一般规划上限与正反向容量需求之间的协调，以相同技术条件下的共同评价期费用确定容载比及设备组合。其与</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研究的联系在于按运行条件调整容量配置，研究重点为110 kV容量与10 kV联络、储能的经济比选；极端灾害恢复需要另行建立故障及恢复过程模型。</w:t>
      </w:r>
    </w:p>
    <w:p>
      <w:pPr>
        <w:pStyle w:val="5"/>
        <w:keepNext/>
        <w:numPr>
          <w:numId w:val="0"/>
        </w:numPr>
        <w:spacing w:line="390" w:lineRule="exact" w:before="160" w:after="120"/>
        <w:ind w:firstLine="0"/>
      </w:pPr>
      <w:bookmarkStart w:id="59" w:name="政策与标准导向"/>
      <w:r>
        <w:rPr>
          <w:rFonts w:ascii="Times New Roman" w:hAnsi="Times New Roman" w:eastAsia="方正仿宋_GBK"/>
          <w:b/>
          <w:sz w:val="26"/>
        </w:rPr>
        <w:t xml:space="preserve">2.2.9 政策与标准导向</w:t>
      </w:r>
      <w:bookmarkEnd w:id="59"/>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2041—2025《分布式电源接入电力系统承载力评估导则》规定系统级及设备级承载力计算、结果校核和可开放容量评估方法[9]。GB/T 45418—2025《配电网通用技术导则》为下级配电网技术分析提供补充依据[17]。《配电网规划设计技术导则》提出分布式电源装机渗透率和分布式电源电量渗透率指标，用于判断源荷发展水平及反向容量校核需求[7]。</w:t>
      </w:r>
    </w:p>
    <w:p>
      <w:pPr>
        <w:pStyle w:val="2"/>
        <w:widowControl/>
        <w:spacing w:line="348" w:lineRule="exact"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48" w:lineRule="exact"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90" w:lineRule="exact" w:before="160" w:after="120"/>
        <w:ind w:firstLine="0"/>
      </w:pPr>
      <w:bookmarkStart w:id="60" w:name="国内研究小结"/>
      <w:r>
        <w:rPr>
          <w:rFonts w:ascii="Times New Roman" w:hAnsi="Times New Roman" w:eastAsia="方正仿宋_GBK"/>
          <w:b/>
          <w:sz w:val="26"/>
        </w:rPr>
        <w:t xml:space="preserve">2.2.10 国内研究小结</w:t>
      </w:r>
      <w:bookmarkEnd w:id="60"/>
    </w:p>
    <w:p>
      <w:pPr>
        <w:pStyle w:val="FirstParagraph"/>
        <w:widowControl/>
        <w:spacing w:line="348" w:lineRule="exact"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pPr>
        <w:pStyle w:val="4"/>
        <w:keepNext/>
        <w:numPr>
          <w:numId w:val="0"/>
        </w:numPr>
        <w:spacing w:line="480" w:lineRule="exact" w:before="160" w:after="120"/>
        <w:ind w:firstLine="0"/>
      </w:pPr>
      <w:bookmarkStart w:id="1139" w:name="h139"/>
      <w:bookmarkStart w:id="61" w:name="国内外研究对比与述评"/>
      <w:r>
        <w:rPr>
          <w:rFonts w:ascii="Times New Roman" w:hAnsi="Times New Roman" w:eastAsia="方正仿宋_GBK"/>
          <w:b/>
          <w:sz w:val="32"/>
        </w:rPr>
        <w:t xml:space="preserve">2.3 国内外研究对比与述评</w:t>
      </w:r>
      <w:bookmarkEnd w:id="61"/>
      <w:bookmarkEnd w:id="1139"/>
    </w:p>
    <w:p>
      <w:pPr>
        <w:pStyle w:val="FirstParagraph"/>
        <w:widowControl/>
        <w:spacing w:line="348" w:lineRule="exact"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48" w:lineRule="exact"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280" w:lineRule="exact"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研究主题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工程关注点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2.1.1、2.2.2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2.1.2、2.2.3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2.1.3、2.2.4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分析邳州和市区的站级配置差异</w:t>
            </w:r>
          </w:p>
        </w:tc>
      </w:tr>
    </w:tbl>
    <w:p>
      <w:pPr>
        <w:pStyle w:val="2"/>
        <w:widowControl/>
        <w:spacing w:line="348" w:lineRule="exact"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p>
    <w:p>
      <w:pPr>
        <w:pStyle w:val="5"/>
        <w:keepNext/>
        <w:numPr>
          <w:numId w:val="0"/>
        </w:numPr>
        <w:spacing w:line="390" w:lineRule="exact" w:before="160" w:after="120"/>
        <w:ind w:firstLine="0"/>
      </w:pPr>
      <w:bookmarkStart w:id="62" w:name="承载力评估与容量规划的侧重点"/>
      <w:r>
        <w:rPr>
          <w:rFonts w:ascii="Times New Roman" w:hAnsi="Times New Roman" w:eastAsia="方正仿宋_GBK"/>
          <w:b/>
          <w:sz w:val="26"/>
        </w:rPr>
        <w:t xml:space="preserve">2.3.1 承载力评估与容量规划的侧重点</w:t>
      </w:r>
      <w:bookmarkEnd w:id="62"/>
    </w:p>
    <w:p>
      <w:pPr>
        <w:pStyle w:val="FirstParagraph"/>
        <w:widowControl/>
        <w:spacing w:line="348" w:lineRule="exact" w:before="0" w:after="0"/>
        <w:ind w:firstLine="480"/>
        <w:jc w:val="both"/>
      </w:pPr>
      <w:r>
        <w:rPr>
          <w:rFonts w:ascii="Times New Roman" w:hAnsi="Times New Roman" w:eastAsia="方正仿宋_GBK"/>
          <w:b w:val="0"/>
          <w:sz w:val="24"/>
        </w:rPr>
        <w:t xml:space="preserve">本章所列国外文献较多从光伏接入上限出发，采用概率、鲁棒优化或主动控制判断电压和设备约束；国内文献同时积累了容载比、最大供电能力、供电区域分类和工程造价研究。两类研究在数据和约束层面可以衔接：用户负荷与分布式电源出力共同决定站级正反向净负荷，变电容量与下级网络决定可供负荷，储能及联络措施在技术可行范围内影响费用。</w:t>
      </w:r>
    </w:p>
    <w:p>
      <w:pPr>
        <w:pStyle w:val="2"/>
        <w:widowControl/>
        <w:spacing w:line="348" w:lineRule="exact"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90" w:lineRule="exact" w:before="160" w:after="120"/>
        <w:ind w:firstLine="0"/>
      </w:pPr>
      <w:bookmarkStart w:id="63" w:name="储能与网架建设的经济比较"/>
      <w:r>
        <w:rPr>
          <w:rFonts w:ascii="Times New Roman" w:hAnsi="Times New Roman" w:eastAsia="方正仿宋_GBK"/>
          <w:b/>
          <w:sz w:val="26"/>
        </w:rPr>
        <w:t xml:space="preserve">2.3.2 储能与网架建设的经济比较</w:t>
      </w:r>
      <w:bookmarkEnd w:id="63"/>
    </w:p>
    <w:p>
      <w:pPr>
        <w:pStyle w:val="FirstParagraph"/>
        <w:widowControl/>
        <w:spacing w:line="348" w:lineRule="exact"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48" w:lineRule="exact"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N-1条件下的供电需求，费用结果因而能够对应明确的设备配置。</w:t>
      </w:r>
    </w:p>
    <w:p>
      <w:pPr>
        <w:pStyle w:val="5"/>
        <w:keepNext/>
        <w:numPr>
          <w:numId w:val="0"/>
        </w:numPr>
        <w:spacing w:line="390" w:lineRule="exact" w:before="160" w:after="120"/>
        <w:ind w:firstLine="0"/>
      </w:pPr>
      <w:bookmarkStart w:id="64" w:name="区域案例与参数推荐表的联系"/>
      <w:r>
        <w:rPr>
          <w:rFonts w:ascii="Times New Roman" w:hAnsi="Times New Roman" w:eastAsia="方正仿宋_GBK"/>
          <w:b/>
          <w:sz w:val="26"/>
        </w:rPr>
        <w:t xml:space="preserve">2.3.3 区域案例与参数推荐表的联系</w:t>
      </w:r>
      <w:bookmarkEnd w:id="64"/>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[44][45][73]。本项目先用邳州与市区案例分析实际源荷、设备和网络条件下的配置，再另建五站模板，独立改变源荷规模、负荷增长、转供条件、持续时间及工程费用，考察更广的参数组合。</w:t>
      </w:r>
    </w:p>
    <w:p>
      <w:pPr>
        <w:pStyle w:val="2"/>
        <w:widowControl/>
        <w:spacing w:line="348" w:lineRule="exact" w:before="0" w:after="0"/>
        <w:ind w:firstLine="480"/>
        <w:jc w:val="both"/>
      </w:pPr>
      <w:r>
        <w:rPr>
          <w:rFonts w:ascii="Times New Roman" w:hAnsi="Times New Roman" w:eastAsia="方正仿宋_GBK"/>
          <w:b w:val="0"/>
          <w:sz w:val="24"/>
        </w:rPr>
        <w:t xml:space="preserve">推荐矩阵按负荷分散系数分组，并交叉设置其余核心参数，归纳不同源荷及经济条件下的容载比区间；逐站方案说明容量取值与建设措施的联系。片区源荷条件或费用发生变化时，可以先调整对应参数档，再通过实际设备和网络条件重新确定主变、储能与联络组合。</w:t>
      </w:r>
    </w:p>
    <w:p>
      <w:pPr>
        <w:pStyle w:val="4"/>
        <w:keepNext/>
        <w:numPr>
          <w:numId w:val="0"/>
        </w:numPr>
        <w:spacing w:line="480" w:lineRule="exact" w:before="160" w:after="120"/>
        <w:ind w:firstLine="0"/>
      </w:pPr>
      <w:bookmarkStart w:id="1153" w:name="h153"/>
      <w:bookmarkStart w:id="65" w:name="容载比与供电能力的理论联系"/>
      <w:r>
        <w:rPr>
          <w:rFonts w:ascii="Times New Roman" w:hAnsi="Times New Roman" w:eastAsia="方正仿宋_GBK"/>
          <w:b/>
          <w:sz w:val="32"/>
        </w:rPr>
        <w:t xml:space="preserve">2.4 容载比与供电能力的理论联系</w:t>
      </w:r>
      <w:bookmarkEnd w:id="65"/>
      <w:bookmarkEnd w:id="1153"/>
    </w:p>
    <w:p>
      <w:pPr>
        <w:pStyle w:val="5"/>
        <w:keepNext/>
        <w:numPr>
          <w:numId w:val="0"/>
        </w:numPr>
        <w:spacing w:line="390" w:lineRule="exact" w:before="160" w:after="120"/>
        <w:ind w:firstLine="0"/>
      </w:pPr>
      <w:bookmarkStart w:id="66" w:name="区域容量储备与局部容量分布"/>
      <w:r>
        <w:rPr>
          <w:rFonts w:ascii="Times New Roman" w:hAnsi="Times New Roman" w:eastAsia="方正仿宋_GBK"/>
          <w:b/>
          <w:sz w:val="26"/>
        </w:rPr>
        <w:t xml:space="preserve">2.4.1 区域容量储备与局部容量分布</w:t>
      </w:r>
      <w:bookmarkEnd w:id="66"/>
    </w:p>
    <w:p>
      <w:pPr>
        <w:pStyle w:val="FirstParagraph"/>
        <w:widowControl/>
        <w:spacing w:line="348" w:lineRule="exact"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主变N-1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48" w:lineRule="exact" w:before="0" w:after="0"/>
        <w:ind w:firstLine="480"/>
        <w:jc w:val="both"/>
      </w:pPr>
      <w:r>
        <w:rPr>
          <w:rFonts w:ascii="Times New Roman" w:hAnsi="Times New Roman" w:eastAsia="方正仿宋_GBK"/>
          <w:b w:val="0"/>
          <w:sz w:val="24"/>
        </w:rPr>
        <w:t xml:space="preserve">两台等容量主变在N-1条件下剩余容量为原总容量的一半；三台等容量主变在N-1条件下剩余比例为三分之二。扩建主变可以同时改变总容量和N-1后的剩余容量，其作用需要结合主变规格和供电需求分析。本研究将主变扩建作为独立建设变量，根据预留位置确定扩建条件，并计入相应工程费用。</w:t>
      </w:r>
    </w:p>
    <w:p>
      <w:pPr>
        <w:pStyle w:val="2"/>
        <w:widowControl/>
        <w:spacing w:line="348" w:lineRule="exact"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本项目将可选规格直接纳入整数模型，年度指标从实际规格合计得到。</w:t>
      </w:r>
    </w:p>
    <w:p>
      <w:pPr>
        <w:pStyle w:val="5"/>
        <w:keepNext/>
        <w:numPr>
          <w:numId w:val="0"/>
        </w:numPr>
        <w:spacing w:line="390" w:lineRule="exact" w:before="160" w:after="120"/>
        <w:ind w:firstLine="0"/>
      </w:pPr>
      <w:bookmarkStart w:id="67" w:name="中压联络对容量配置的作用"/>
      <w:r>
        <w:rPr>
          <w:rFonts w:ascii="Times New Roman" w:hAnsi="Times New Roman" w:eastAsia="方正仿宋_GBK"/>
          <w:b/>
          <w:sz w:val="26"/>
        </w:rPr>
        <w:t xml:space="preserve">2.4.2 中压联络对容量配置的作用</w:t>
      </w:r>
      <w:bookmarkEnd w:id="67"/>
    </w:p>
    <w:p>
      <w:pPr>
        <w:pStyle w:val="FirstParagraph"/>
        <w:widowControl/>
        <w:spacing w:line="348" w:lineRule="exact"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48" w:lineRule="exact"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本研究保留两端约束，通过设备配置变化评价联络的作用。</w:t>
      </w:r>
    </w:p>
    <w:p>
      <w:pPr>
        <w:pStyle w:val="2"/>
        <w:widowControl/>
        <w:spacing w:line="348" w:lineRule="exact"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[5]。本报告将转供能力落实到已知联络与付费候选，正常和各站主变N-1工况分别重新分配负荷，并校核馈线和健康邻站的剩余容量。初始转供率用于设置推广模板的既有能力预算。</w:t>
      </w:r>
    </w:p>
    <w:p>
      <w:pPr>
        <w:pStyle w:val="2"/>
        <w:widowControl/>
        <w:spacing w:line="348" w:lineRule="exact" w:before="0" w:after="0"/>
        <w:ind w:firstLine="480"/>
        <w:jc w:val="both"/>
      </w:pPr>
      <w:r>
        <w:rPr>
          <w:rFonts w:ascii="Times New Roman" w:hAnsi="Times New Roman" w:eastAsia="方正仿宋_GBK"/>
          <w:b w:val="0"/>
          <w:sz w:val="24"/>
        </w:rPr>
        <w:t xml:space="preserve">推广模板分别设置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90" w:lineRule="exact" w:before="160" w:after="120"/>
        <w:ind w:firstLine="0"/>
      </w:pPr>
      <w:bookmarkStart w:id="68" w:name="负荷发展储备的时间特征"/>
      <w:r>
        <w:rPr>
          <w:rFonts w:ascii="Times New Roman" w:hAnsi="Times New Roman" w:eastAsia="方正仿宋_GBK"/>
          <w:b/>
          <w:sz w:val="26"/>
        </w:rPr>
        <w:t xml:space="preserve">2.4.3 负荷发展储备的时间特征</w:t>
      </w:r>
      <w:bookmarkEnd w:id="68"/>
    </w:p>
    <w:p>
      <w:pPr>
        <w:pStyle w:val="FirstParagraph"/>
        <w:widowControl/>
        <w:spacing w:line="348" w:lineRule="exact" w:before="0" w:after="0"/>
        <w:ind w:firstLine="480"/>
        <w:jc w:val="both"/>
      </w:pPr>
      <w:r>
        <w:rPr>
          <w:rFonts w:ascii="Times New Roman" w:hAnsi="Times New Roman" w:eastAsia="方正仿宋_GBK"/>
          <w:b w:val="0"/>
          <w:sz w:val="24"/>
        </w:rPr>
        <w:t xml:space="preserve">负荷发展储备与规划年份直接相关。主变投运后持续在役，负荷则可能在不同年份上升或下降。年度规划路径因此需要处理资产持续在役和负荷波动的共同影响。模型逐年计取建设费用，并校核中间年份的容量需求。</w:t>
      </w:r>
    </w:p>
    <w:p>
      <w:pPr>
        <w:pStyle w:val="2"/>
        <w:widowControl/>
        <w:spacing w:line="348" w:lineRule="exact" w:before="0" w:after="0"/>
        <w:ind w:firstLine="480"/>
        <w:jc w:val="both"/>
      </w:pPr>
      <w:r>
        <w:rPr>
          <w:rFonts w:ascii="Times New Roman" w:hAnsi="Times New Roman" w:eastAsia="方正仿宋_GBK"/>
          <w:b w:val="0"/>
          <w:sz w:val="24"/>
        </w:rPr>
        <w:t xml:space="preserve">DL/T 5729—2023按年负荷平均增长水平给出容载比建议范围[5]。本项目采用起止负荷之比开根得到年最大净负荷平均增长率，按未舍入结果判断年最大净负荷平均增长率区间。已知历史年度用于案例时，直接采用对应年度实际负荷；面向其他片区的情景分析再按增长率推算目标年需求。工程预测还需结合统计范围、气象、新增用户及负荷兑现情况。</w:t>
      </w:r>
    </w:p>
    <w:p>
      <w:pPr>
        <w:pStyle w:val="2"/>
        <w:widowControl/>
        <w:spacing w:line="348" w:lineRule="exact"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pPr>
        <w:pStyle w:val="4"/>
        <w:keepNext/>
        <w:numPr>
          <w:numId w:val="0"/>
        </w:numPr>
        <w:spacing w:line="480" w:lineRule="exact" w:before="160" w:after="120"/>
        <w:ind w:firstLine="0"/>
      </w:pPr>
      <w:bookmarkStart w:id="1167" w:name="h167"/>
      <w:bookmarkStart w:id="69" w:name="高渗透率下的源荷特征与容量压力"/>
      <w:r>
        <w:rPr>
          <w:rFonts w:ascii="Times New Roman" w:hAnsi="Times New Roman" w:eastAsia="方正仿宋_GBK"/>
          <w:b/>
          <w:sz w:val="32"/>
        </w:rPr>
        <w:t xml:space="preserve">2.5 高渗透率下的源荷特征与容量压力</w:t>
      </w:r>
      <w:bookmarkEnd w:id="69"/>
      <w:bookmarkEnd w:id="1167"/>
    </w:p>
    <w:p>
      <w:pPr>
        <w:pStyle w:val="5"/>
        <w:keepNext/>
        <w:numPr>
          <w:numId w:val="0"/>
        </w:numPr>
        <w:spacing w:line="390" w:lineRule="exact" w:before="160" w:after="120"/>
        <w:ind w:firstLine="0"/>
      </w:pPr>
      <w:bookmarkStart w:id="70" w:name="用户负荷网供负荷与净负荷"/>
      <w:r>
        <w:rPr>
          <w:rFonts w:ascii="Times New Roman" w:hAnsi="Times New Roman" w:eastAsia="方正仿宋_GBK"/>
          <w:b/>
          <w:sz w:val="26"/>
        </w:rPr>
        <w:t xml:space="preserve">2.5.1 用户负荷、网供负荷与净负荷</w:t>
      </w:r>
      <w:bookmarkEnd w:id="70"/>
    </w:p>
    <w:p>
      <w:pPr>
        <w:pStyle w:val="FirstParagraph"/>
        <w:widowControl/>
        <w:spacing w:line="348" w:lineRule="exact"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的分母是用户最大负荷，容载比的分母是年网供最大负荷；前者用于表达装机与用电规模，后者用于表达主变容量与区域供电峰值[5][7]。光伏增长时，两种分母可能发生不同变化。用户负荷按同期净交换功率与本地电源出力重建。</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90" w:lineRule="exact" w:before="160" w:after="120"/>
        <w:ind w:firstLine="0"/>
      </w:pPr>
      <w:bookmarkStart w:id="71" w:name="正反向极值的设备含义"/>
      <w:r>
        <w:rPr>
          <w:rFonts w:ascii="Times New Roman" w:hAnsi="Times New Roman" w:eastAsia="方正仿宋_GBK"/>
          <w:b/>
          <w:sz w:val="26"/>
        </w:rPr>
        <w:t xml:space="preserve">2.5.2 正反向极值的设备含义</w:t>
      </w:r>
      <w:bookmarkEnd w:id="71"/>
    </w:p>
    <w:p>
      <w:pPr>
        <w:pStyle w:val="FirstParagraph"/>
        <w:widowControl/>
        <w:spacing w:line="348" w:lineRule="exact"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48" w:lineRule="exact"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分析功率方向及对应场景。正反向净负荷分别对应相应技术约束。</w:t>
      </w:r>
    </w:p>
    <w:p>
      <w:pPr>
        <w:pStyle w:val="2"/>
        <w:widowControl/>
        <w:spacing w:line="348" w:lineRule="exact" w:before="0" w:after="0"/>
        <w:ind w:firstLine="480"/>
        <w:jc w:val="both"/>
      </w:pPr>
      <w:r>
        <w:rPr>
          <w:rFonts w:ascii="Times New Roman" w:hAnsi="Times New Roman" w:eastAsia="方正仿宋_GBK"/>
          <w:b w:val="0"/>
          <w:sz w:val="24"/>
        </w:rPr>
        <w:t xml:space="preserve">各站非同时反向峰值之和仅用于反向容量压力的上界分析；形成区域峰值时，应先在同一时间轴上逐时汇总，再取极值。</w:t>
      </w:r>
    </w:p>
    <w:p>
      <w:pPr>
        <w:pStyle w:val="5"/>
        <w:keepNext/>
        <w:numPr>
          <w:numId w:val="0"/>
        </w:numPr>
        <w:spacing w:line="390" w:lineRule="exact" w:before="160" w:after="120"/>
        <w:ind w:firstLine="0"/>
      </w:pPr>
      <w:bookmarkStart w:id="72" w:name="峰值持续时间与尖峰能量"/>
      <w:r>
        <w:rPr>
          <w:rFonts w:ascii="Times New Roman" w:hAnsi="Times New Roman" w:eastAsia="方正仿宋_GBK"/>
          <w:b/>
          <w:sz w:val="26"/>
        </w:rPr>
        <w:t xml:space="preserve">2.5.3 峰值持续时间与尖峰能量</w:t>
      </w:r>
      <w:bookmarkEnd w:id="72"/>
    </w:p>
    <w:p>
      <w:pPr>
        <w:pStyle w:val="FirstParagraph"/>
        <w:widowControl/>
        <w:spacing w:line="348" w:lineRule="exact" w:before="0" w:after="0"/>
        <w:ind w:firstLine="480"/>
        <w:jc w:val="both"/>
      </w:pPr>
      <w:r>
        <w:rPr>
          <w:rFonts w:ascii="Times New Roman" w:hAnsi="Times New Roman" w:eastAsia="方正仿宋_GBK"/>
          <w:b w:val="0"/>
          <w:sz w:val="24"/>
        </w:rPr>
        <w:t xml:space="preserve">本项目以区域净负荷绝对值达到全年最大绝对值的95%为近峰条件，统计最长连续时长和全年累计时数。最长连续时长反映单次近峰过程的持续支撑需求，累计时数反映近峰状态的全年占用时间。</w:t>
      </w:r>
    </w:p>
    <w:p>
      <w:pPr>
        <w:pStyle w:val="2"/>
        <w:widowControl/>
        <w:spacing w:line="348" w:lineRule="exact"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，所需能量相应增加。这是功率与能量的直接关系，实际工程还需考虑效率、可用荷电状态及容量衰减[28][10]。本项目静态模型以铭牌功率和峰段可持续能量共同限制储能支撑。</w:t>
      </w:r>
    </w:p>
    <w:p>
      <w:pPr>
        <w:pStyle w:val="2"/>
        <w:widowControl/>
        <w:spacing w:line="348" w:lineRule="exact" w:before="0" w:after="0"/>
        <w:ind w:firstLine="480"/>
        <w:jc w:val="both"/>
      </w:pPr>
      <w:r>
        <w:rPr>
          <w:rFonts w:ascii="Times New Roman" w:hAnsi="Times New Roman" w:eastAsia="方正仿宋_GBK"/>
          <w:b w:val="0"/>
          <w:sz w:val="24"/>
        </w:rPr>
        <w:t xml:space="preserve">持续时间按补齐后的全年小时序列统计，数据处理见第3.1.3节。</w:t>
      </w:r>
    </w:p>
    <w:p>
      <w:pPr>
        <w:pStyle w:val="5"/>
        <w:keepNext/>
        <w:numPr>
          <w:numId w:val="0"/>
        </w:numPr>
        <w:spacing w:line="390" w:lineRule="exact" w:before="160" w:after="120"/>
        <w:ind w:firstLine="0"/>
      </w:pPr>
      <w:bookmarkStart w:id="73" w:name="分布式电源电量渗透率与负载率的相关性"/>
      <w:r>
        <w:rPr>
          <w:rFonts w:ascii="Times New Roman" w:hAnsi="Times New Roman" w:eastAsia="方正仿宋_GBK"/>
          <w:b/>
          <w:sz w:val="26"/>
        </w:rPr>
        <w:t xml:space="preserve">2.5.4 分布式电源电量渗透率与负载率的相关性</w:t>
      </w:r>
      <w:bookmarkEnd w:id="73"/>
    </w:p>
    <w:p>
      <w:pPr>
        <w:pStyle w:val="FirstParagraph"/>
        <w:widowControl/>
        <w:spacing w:line="348" w:lineRule="exact"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光伏增加可能降低部分日间净负荷，而年度设备最大负载率还可能由晚间高峰或局部反送决定。两项指标的相关方向受容量配置、负荷时段和统计边界共同影响[3][4][58]。</w:t>
      </w:r>
    </w:p>
    <w:p>
      <w:pPr>
        <w:pStyle w:val="2"/>
        <w:widowControl/>
        <w:spacing w:line="348" w:lineRule="exact" w:before="0" w:after="0"/>
        <w:ind w:firstLine="480"/>
        <w:jc w:val="both"/>
      </w:pPr>
      <w:r>
        <w:rPr>
          <w:rFonts w:ascii="Times New Roman" w:hAnsi="Times New Roman" w:eastAsia="方正仿宋_GBK"/>
          <w:b w:val="0"/>
          <w:sz w:val="24"/>
        </w:rPr>
        <w:t xml:space="preserve">容载比与负载率还共享容量和峰值成分。若容载比固定按区域峰值计算，负载率也按同一峰值与总容量构造，二者具有代数反比关系，该相关性源于指标的计算关系。设备统计中的逐台主变负载率的中位数与区域容载比范围不同，分别反映设备分布和区域容量储备。</w:t>
      </w:r>
    </w:p>
    <w:p>
      <w:pPr>
        <w:pStyle w:val="2"/>
        <w:widowControl/>
        <w:spacing w:line="348" w:lineRule="exact"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pPr>
        <w:pStyle w:val="4"/>
        <w:keepNext/>
        <w:numPr>
          <w:numId w:val="0"/>
        </w:numPr>
        <w:spacing w:line="480" w:lineRule="exact" w:before="160" w:after="120"/>
        <w:ind w:firstLine="0"/>
      </w:pPr>
      <w:bookmarkStart w:id="1184" w:name="h184"/>
      <w:bookmarkStart w:id="74" w:name="主变联络与储能的经济替代条件"/>
      <w:r>
        <w:rPr>
          <w:rFonts w:ascii="Times New Roman" w:hAnsi="Times New Roman" w:eastAsia="方正仿宋_GBK"/>
          <w:b/>
          <w:sz w:val="32"/>
        </w:rPr>
        <w:t xml:space="preserve">2.6 主变、联络与储能的经济替代条件</w:t>
      </w:r>
      <w:bookmarkEnd w:id="74"/>
      <w:bookmarkEnd w:id="1184"/>
    </w:p>
    <w:p>
      <w:pPr>
        <w:pStyle w:val="5"/>
        <w:keepNext/>
        <w:numPr>
          <w:numId w:val="0"/>
        </w:numPr>
        <w:spacing w:line="390" w:lineRule="exact" w:before="160" w:after="120"/>
        <w:ind w:firstLine="0"/>
      </w:pPr>
      <w:bookmarkStart w:id="75" w:name="供电能力与单位功率投资"/>
      <w:r>
        <w:rPr>
          <w:rFonts w:ascii="Times New Roman" w:hAnsi="Times New Roman" w:eastAsia="方正仿宋_GBK"/>
          <w:b/>
          <w:sz w:val="26"/>
        </w:rPr>
        <w:t xml:space="preserve">2.6.1 供电能力与单位功率投资</w:t>
      </w:r>
      <w:bookmarkEnd w:id="75"/>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主变增容、10 kV联络和储能配置分别通过增加变电容量、转移负荷及充放电调节改善供电条件。依据供电能力和转供能力的工程含义[5][8]，主变投资按额定容量经功率因数折算的有功功率计算，联络投资按可转负荷计算，储能投资按相应持续时间内的充放电功率计算，统一采用万元/MW。容量和转供约束确定措施可承担的负荷，单位功率投资反映各措施的相对价格。</w:t>
      </w:r>
    </w:p>
    <w:p>
      <w:pPr>
        <w:pStyle w:val="2"/>
        <w:widowControl/>
        <w:spacing w:line="348" w:lineRule="exact" w:before="0" w:after="0"/>
        <w:ind w:firstLine="480"/>
        <w:jc w:val="both"/>
      </w:pPr>
      <w:r>
        <w:rPr>
          <w:rFonts w:ascii="Times New Roman" w:hAnsi="Times New Roman" w:eastAsia="方正仿宋_GBK"/>
          <w:b w:val="0"/>
          <w:sz w:val="24"/>
        </w:rPr>
        <w:t xml:space="preserve">主变替换工程采购50 MVA、拆除原20 MVA设备时，新增容量为30 MVA。如果目标函数按新购容量计价，价格倍数应与新购主变折算有功功率对应；若说明工程每净增MW的投资，则需另按30 MVA计算。工程费用按新购容量计算，净增MW费用另用于说明替换项目的增量效果。本报告对这两种用途分别给出算式[85]。</w:t>
      </w:r>
    </w:p>
    <w:p>
      <w:pPr>
        <w:pStyle w:val="2"/>
        <w:widowControl/>
        <w:spacing w:line="348" w:lineRule="exact" w:before="0" w:after="0"/>
        <w:ind w:firstLine="480"/>
        <w:jc w:val="both"/>
      </w:pPr>
      <w:r>
        <w:rPr>
          <w:rFonts w:ascii="Times New Roman" w:hAnsi="Times New Roman" w:eastAsia="方正仿宋_GBK"/>
          <w:b w:val="0"/>
          <w:sz w:val="24"/>
        </w:rPr>
        <w:t xml:space="preserve">新增联络线的可转负荷还取决于受端剩余容量。可转负荷受线路热限、负荷可分段条件和受端可用容量共同限制。公开线路单位造价能够提供价格参考，实际可转任务需要网络资料支撑[8]。</w:t>
      </w:r>
    </w:p>
    <w:p>
      <w:pPr>
        <w:pStyle w:val="2"/>
        <w:widowControl/>
        <w:spacing w:line="348" w:lineRule="exact" w:before="0" w:after="0"/>
        <w:ind w:firstLine="480"/>
        <w:jc w:val="both"/>
      </w:pPr>
      <w:r>
        <w:rPr>
          <w:rFonts w:ascii="Times New Roman" w:hAnsi="Times New Roman" w:eastAsia="方正仿宋_GBK"/>
          <w:b w:val="0"/>
          <w:sz w:val="24"/>
        </w:rPr>
        <w:t xml:space="preserve">储能单位有效支撑功率投资随支撑持续时间变化。10柜组合额定功率1 MW、额定能量2.15 MWh，在可用电量系数0.76及4 h条件下，有效支撑功率为0.4085 MW。经济比较应按可持续功率折算，并保留额定功率限制[10][86]。</w:t>
      </w:r>
    </w:p>
    <w:p>
      <w:pPr>
        <w:pStyle w:val="5"/>
        <w:keepNext/>
        <w:numPr>
          <w:numId w:val="0"/>
        </w:numPr>
        <w:spacing w:line="390" w:lineRule="exact" w:before="160" w:after="120"/>
        <w:ind w:firstLine="0"/>
      </w:pPr>
      <w:bookmarkStart w:id="76" w:name="统一评价期与更新费用"/>
      <w:r>
        <w:rPr>
          <w:rFonts w:ascii="Times New Roman" w:hAnsi="Times New Roman" w:eastAsia="方正仿宋_GBK"/>
          <w:b/>
          <w:sz w:val="26"/>
        </w:rPr>
        <w:t xml:space="preserve">2.6.2 统一评价期与更新费用</w:t>
      </w:r>
      <w:bookmarkEnd w:id="76"/>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方法将初始投资、固定运维及寿命更新纳入同一评价基准[10][11][12]。如果储能寿命短于网架设备，评价期内可能出现更新投资。更新支出影响储能替代长期容量建设的经济性。相反，延后投运减少早期资金占用，也可能影响费用现值。</w:t>
      </w:r>
    </w:p>
    <w:p>
      <w:pPr>
        <w:pStyle w:val="2"/>
        <w:widowControl/>
        <w:spacing w:line="348" w:lineRule="exact"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48" w:lineRule="exact" w:before="0" w:after="0"/>
        <w:ind w:firstLine="480"/>
        <w:jc w:val="both"/>
      </w:pPr>
      <w:r>
        <w:rPr>
          <w:rFonts w:ascii="Times New Roman" w:hAnsi="Times New Roman" w:eastAsia="方正仿宋_GBK"/>
          <w:b w:val="0"/>
          <w:sz w:val="24"/>
        </w:rPr>
        <w:t xml:space="preserve">本项目采用固定实价和固定运维比例。线路费用以相对架空基价的成本系数表达，储能价格以独立倍数作敏感性分析。未来价格情景用于比较相同技术条件下的措施费用。</w:t>
      </w:r>
    </w:p>
    <w:p>
      <w:pPr>
        <w:pStyle w:val="5"/>
        <w:keepNext/>
        <w:numPr>
          <w:numId w:val="0"/>
        </w:numPr>
        <w:spacing w:line="390" w:lineRule="exact" w:before="160" w:after="120"/>
        <w:ind w:firstLine="0"/>
      </w:pPr>
      <w:bookmarkStart w:id="77" w:name="技术约束先于经济优选"/>
      <w:r>
        <w:rPr>
          <w:rFonts w:ascii="Times New Roman" w:hAnsi="Times New Roman" w:eastAsia="方正仿宋_GBK"/>
          <w:b/>
          <w:sz w:val="26"/>
        </w:rPr>
        <w:t xml:space="preserve">2.6.3 技术约束先于经济优选</w:t>
      </w:r>
      <w:bookmarkEnd w:id="77"/>
    </w:p>
    <w:p>
      <w:pPr>
        <w:pStyle w:val="FirstParagraph"/>
        <w:widowControl/>
        <w:spacing w:line="348" w:lineRule="exact" w:before="0" w:after="0"/>
        <w:ind w:firstLine="480"/>
        <w:jc w:val="both"/>
      </w:pPr>
      <w:r>
        <w:rPr>
          <w:rFonts w:ascii="Times New Roman" w:hAnsi="Times New Roman" w:eastAsia="方正仿宋_GBK"/>
          <w:b w:val="0"/>
          <w:sz w:val="24"/>
        </w:rPr>
        <w:t xml:space="preserve">经济模型只在技术可行集合内选择措施。首先要明确正反向供电能力及主变N-1后剩余供电能力的计算方法，再比较设备采购和投运年份。</w:t>
      </w:r>
    </w:p>
    <w:p>
      <w:pPr>
        <w:pStyle w:val="2"/>
        <w:widowControl/>
        <w:spacing w:line="348" w:lineRule="exact" w:before="0" w:after="0"/>
        <w:ind w:firstLine="480"/>
        <w:jc w:val="both"/>
      </w:pPr>
      <w:r>
        <w:rPr>
          <w:rFonts w:ascii="Times New Roman" w:hAnsi="Times New Roman" w:eastAsia="方正仿宋_GBK"/>
          <w:b w:val="0"/>
          <w:sz w:val="24"/>
        </w:rPr>
        <w:t xml:space="preserve">多准则评价适于对已通过技术筛查的方案比较实施条件和规划适应性[14][15][16]。本报告以费用最小形成计算推荐，供电安全和设备规格作为硬约束，工程实施条件作为应用前核对项。</w:t>
      </w:r>
    </w:p>
    <w:p>
      <w:pPr>
        <w:pStyle w:val="2"/>
        <w:widowControl/>
        <w:spacing w:line="348" w:lineRule="exact" w:before="0" w:after="0"/>
        <w:ind w:firstLine="480"/>
        <w:jc w:val="both"/>
      </w:pPr>
      <w:r>
        <w:rPr>
          <w:rFonts w:ascii="Times New Roman" w:hAnsi="Times New Roman" w:eastAsia="方正仿宋_GBK"/>
          <w:b w:val="0"/>
          <w:sz w:val="24"/>
        </w:rPr>
        <w:t xml:space="preserve">在矩阵中，推荐值应与线路成本系数、转供条件、支撑持续时间和源荷条件一起给出。同一推荐容载比可对应不同设备布局，费用相同也可能出现多组可行配置。推荐区间结合主变与储能配置、建设时序和站间负荷转接结果确定，相应方案在第五章逐站列示。</w:t>
      </w:r>
    </w:p>
    <w:p>
      <w:pPr>
        <w:pStyle w:val="4"/>
        <w:keepNext/>
        <w:numPr>
          <w:numId w:val="0"/>
        </w:numPr>
        <w:spacing w:line="480" w:lineRule="exact" w:before="160" w:after="120"/>
        <w:ind w:firstLine="0"/>
      </w:pPr>
      <w:bookmarkStart w:id="1198" w:name="h198"/>
      <w:bookmarkStart w:id="78" w:name="规划寻优方法与本项目选型"/>
      <w:r>
        <w:rPr>
          <w:rFonts w:ascii="Times New Roman" w:hAnsi="Times New Roman" w:eastAsia="方正仿宋_GBK"/>
          <w:b/>
          <w:sz w:val="32"/>
        </w:rPr>
        <w:t xml:space="preserve">2.7 规划寻优方法与本项目选型</w:t>
      </w:r>
      <w:bookmarkEnd w:id="78"/>
      <w:bookmarkEnd w:id="1198"/>
    </w:p>
    <w:p>
      <w:pPr>
        <w:pStyle w:val="5"/>
        <w:keepNext/>
        <w:numPr>
          <w:numId w:val="0"/>
        </w:numPr>
        <w:spacing w:line="390" w:lineRule="exact" w:before="160" w:after="120"/>
        <w:ind w:firstLine="0"/>
      </w:pPr>
      <w:bookmarkStart w:id="79" w:name="整数规划与工程措施选择"/>
      <w:r>
        <w:rPr>
          <w:rFonts w:ascii="Times New Roman" w:hAnsi="Times New Roman" w:eastAsia="方正仿宋_GBK"/>
          <w:b/>
          <w:sz w:val="26"/>
        </w:rPr>
        <w:t xml:space="preserve">2.7.1 整数规划与工程措施选择</w:t>
      </w:r>
      <w:bookmarkEnd w:id="79"/>
    </w:p>
    <w:p>
      <w:pPr>
        <w:pStyle w:val="FirstParagraph"/>
        <w:widowControl/>
        <w:spacing w:line="348" w:lineRule="exact" w:before="0" w:after="0"/>
        <w:ind w:firstLine="480"/>
        <w:jc w:val="both"/>
      </w:pPr>
      <w:r>
        <w:rPr>
          <w:rFonts w:ascii="Times New Roman" w:hAnsi="Times New Roman" w:eastAsia="方正仿宋_GBK"/>
          <w:b w:val="0"/>
          <w:sz w:val="24"/>
        </w:rPr>
        <w:t xml:space="preserve">混合整数规划用于同时确定主变规格与台数、储能柜数、联络工程数量及投运年份。主变按允许规格整台选购，储能按成套柜配置，联络工程按项目建设；站间转接功率则在可转负荷范围内连续调整。计算结果直接形成分年度建设规模和负荷转接安排[43][44]。</w:t>
      </w:r>
    </w:p>
    <w:p>
      <w:pPr>
        <w:pStyle w:val="2"/>
        <w:widowControl/>
        <w:spacing w:line="348" w:lineRule="exact" w:before="0" w:after="0"/>
        <w:ind w:firstLine="480"/>
        <w:jc w:val="both"/>
      </w:pPr>
      <w:r>
        <w:rPr>
          <w:rFonts w:ascii="Times New Roman" w:hAnsi="Times New Roman" w:eastAsia="方正仿宋_GBK"/>
          <w:b w:val="0"/>
          <w:sz w:val="24"/>
        </w:rPr>
        <w:t xml:space="preserve">对给定峰值持续时间，储能功率与能量折算为已知系数；主变有功供电能力按统一功率因数折算；线路负荷转接保持线性守恒。技术条件因此可以写成线性约束。本研究统一按主变N-1后满足全部转接负荷校核，供电区域类别用于确定候选设备规格和转供能力范围。</w:t>
      </w:r>
    </w:p>
    <w:p>
      <w:pPr>
        <w:pStyle w:val="2"/>
        <w:widowControl/>
        <w:spacing w:line="348" w:lineRule="exact"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w:t>
      </w:r>
    </w:p>
    <w:p>
      <w:pPr>
        <w:pStyle w:val="5"/>
        <w:keepNext/>
        <w:numPr>
          <w:numId w:val="0"/>
        </w:numPr>
        <w:spacing w:line="390" w:lineRule="exact" w:before="160" w:after="120"/>
        <w:ind w:firstLine="0"/>
      </w:pPr>
      <w:bookmarkStart w:id="80" w:name="评价期费用比选与方案形成"/>
      <w:r>
        <w:rPr>
          <w:rFonts w:ascii="Times New Roman" w:hAnsi="Times New Roman" w:eastAsia="方正仿宋_GBK"/>
          <w:b/>
          <w:sz w:val="26"/>
        </w:rPr>
        <w:t xml:space="preserve">2.7.2 评价期费用比选与方案形成</w:t>
      </w:r>
      <w:bookmarkEnd w:id="80"/>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评价期费用比选在满足技术约束的可行配置中进行。主变增容、储能配置和10 kV联络采用同一评价期，建设投资、运维和设备更新按投运年份折现，设备状态与站间负荷转接共同进入规划期优化。</w:t>
      </w:r>
    </w:p>
    <w:p>
      <w:pPr>
        <w:pStyle w:val="2"/>
        <w:widowControl/>
        <w:spacing w:line="348" w:lineRule="exact" w:before="0" w:after="0"/>
        <w:ind w:firstLine="480"/>
        <w:jc w:val="both"/>
      </w:pPr>
      <w:r>
        <w:rPr>
          <w:rFonts w:ascii="Times New Roman" w:hAnsi="Times New Roman" w:eastAsia="方正仿宋_GBK"/>
          <w:b w:val="0"/>
          <w:sz w:val="24"/>
        </w:rPr>
        <w:t xml:space="preserve">刚性与弹性方案采用相同的初始资产、负荷情景和措施集合，分别满足各自容载比范围。比较结果同时列示设备配置、负荷转接与费用，使推荐容载比能够对应到具体建设方案。</w:t>
      </w:r>
    </w:p>
    <w:p>
      <w:pPr>
        <w:pStyle w:val="2"/>
        <w:widowControl/>
        <w:spacing w:line="348" w:lineRule="exact" w:before="0" w:after="0"/>
        <w:ind w:firstLine="480"/>
        <w:jc w:val="both"/>
      </w:pPr>
      <w:r>
        <w:rPr>
          <w:rFonts w:ascii="Times New Roman" w:hAnsi="Times New Roman" w:eastAsia="方正仿宋_GBK"/>
          <w:b w:val="0"/>
          <w:sz w:val="24"/>
        </w:rPr>
        <w:t xml:space="preserve">费用相近时可以出现多组可行配置。以费用目标求得的可行方案对应具体设备和联络项目。</w:t>
      </w:r>
    </w:p>
    <w:p>
      <w:pPr>
        <w:pStyle w:val="5"/>
        <w:keepNext/>
        <w:numPr>
          <w:numId w:val="0"/>
        </w:numPr>
        <w:spacing w:line="390" w:lineRule="exact" w:before="160" w:after="120"/>
        <w:ind w:firstLine="0"/>
      </w:pPr>
      <w:bookmarkStart w:id="81" w:name="参数矩阵的适用范围"/>
      <w:r>
        <w:rPr>
          <w:rFonts w:ascii="Times New Roman" w:hAnsi="Times New Roman" w:eastAsia="方正仿宋_GBK"/>
          <w:b/>
          <w:sz w:val="26"/>
        </w:rPr>
        <w:t xml:space="preserve">2.7.3 参数矩阵的适用范围</w:t>
      </w:r>
      <w:bookmarkEnd w:id="81"/>
    </w:p>
    <w:p>
      <w:pPr>
        <w:pStyle w:val="FirstParagraph"/>
        <w:widowControl/>
        <w:spacing w:line="348" w:lineRule="exact"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48" w:lineRule="exact" w:before="0" w:after="0"/>
        <w:ind w:firstLine="480"/>
        <w:jc w:val="both"/>
      </w:pPr>
      <w:r>
        <w:rPr>
          <w:rFonts w:ascii="Times New Roman" w:hAnsi="Times New Roman" w:eastAsia="方正仿宋_GBK"/>
          <w:b w:val="0"/>
          <w:sz w:val="24"/>
        </w:rPr>
        <w:t xml:space="preserve">本项目先以两地区资料分析运行与配置关系，再以五站网络开展参数推广，增加候选邻接关系作结构对照。矩阵表达指定初始设备、负荷分配及网络条件下的计算范围。应用于其他片区时，需要核对设备初态、负荷分散系数、联络路径和馈线余量，补充计算具体配置。</w:t>
      </w:r>
    </w:p>
    <w:p>
      <w:pPr>
        <w:pStyle w:val="2"/>
        <w:widowControl/>
        <w:spacing w:line="348" w:lineRule="exact" w:before="0" w:after="0"/>
        <w:ind w:firstLine="480"/>
        <w:jc w:val="both"/>
      </w:pPr>
      <w:r>
        <w:rPr>
          <w:rFonts w:ascii="Times New Roman" w:hAnsi="Times New Roman" w:eastAsia="方正仿宋_GBK"/>
          <w:b w:val="0"/>
          <w:sz w:val="24"/>
        </w:rPr>
        <w:t xml:space="preserve">反向压力外推保留电源原站归属，并使用非负用户负荷的典型场景。光伏规模变化后，反送压力相应改变；正向高峰按夜间包络保持。该构造用于典型场景下的容量压力敏感性分析，分布式电源电量渗透率作为源荷条件标签。</w:t>
      </w:r>
    </w:p>
    <w:p>
      <w:pPr>
        <w:pStyle w:val="4"/>
        <w:keepNext/>
        <w:numPr>
          <w:numId w:val="0"/>
        </w:numPr>
        <w:spacing w:line="480" w:lineRule="exact" w:before="160" w:after="120"/>
        <w:ind w:firstLine="0"/>
      </w:pPr>
      <w:bookmarkStart w:id="1211" w:name="h211"/>
      <w:bookmarkStart w:id="82" w:name="本项目方法选择与工程衔接"/>
      <w:r>
        <w:rPr>
          <w:rFonts w:ascii="Times New Roman" w:hAnsi="Times New Roman" w:eastAsia="方正仿宋_GBK"/>
          <w:b/>
          <w:sz w:val="32"/>
        </w:rPr>
        <w:t xml:space="preserve">2.8 本项目方法选择与工程衔接</w:t>
      </w:r>
      <w:bookmarkEnd w:id="82"/>
      <w:bookmarkEnd w:id="1211"/>
    </w:p>
    <w:p>
      <w:pPr>
        <w:pStyle w:val="5"/>
        <w:keepNext/>
        <w:numPr>
          <w:numId w:val="0"/>
        </w:numPr>
        <w:spacing w:line="390" w:lineRule="exact" w:before="160" w:after="120"/>
        <w:ind w:firstLine="0"/>
      </w:pPr>
      <w:bookmarkStart w:id="83" w:name="运行特征与技术约束"/>
      <w:r>
        <w:rPr>
          <w:rFonts w:ascii="Times New Roman" w:hAnsi="Times New Roman" w:eastAsia="方正仿宋_GBK"/>
          <w:b/>
          <w:sz w:val="26"/>
        </w:rPr>
        <w:t xml:space="preserve">2.8.1 运行特征与技术约束</w:t>
      </w:r>
      <w:bookmarkEnd w:id="83"/>
    </w:p>
    <w:p>
      <w:pPr>
        <w:pStyle w:val="FirstParagraph"/>
        <w:widowControl/>
        <w:spacing w:line="348" w:lineRule="exact" w:before="0" w:after="0"/>
        <w:ind w:firstLine="480"/>
        <w:jc w:val="both"/>
      </w:pPr>
      <w:r>
        <w:rPr>
          <w:rFonts w:ascii="Times New Roman" w:hAnsi="Times New Roman" w:eastAsia="方正仿宋_GBK"/>
          <w:b w:val="0"/>
          <w:sz w:val="24"/>
        </w:rPr>
        <w:t xml:space="preserve">负荷与光伏研究强调日内、季节和空间分布[3][57]；供电能力研究强调主变结构及下级网络互济[8][45]。本项目据此分别提取最大正向、反向净负荷及95%峰值持续时间，构造正常运行和主变N-1容量约束。站间转接保持区县负荷总量，原站电源保留归属，转出负荷后的反向压力同步校核。</w:t>
      </w:r>
    </w:p>
    <w:p>
      <w:pPr>
        <w:pStyle w:val="5"/>
        <w:keepNext/>
        <w:numPr>
          <w:numId w:val="0"/>
        </w:numPr>
        <w:spacing w:line="390" w:lineRule="exact" w:before="160" w:after="120"/>
        <w:ind w:firstLine="0"/>
      </w:pPr>
      <w:bookmarkStart w:id="84" w:name="工程配置与费用寻优"/>
      <w:r>
        <w:rPr>
          <w:rFonts w:ascii="Times New Roman" w:hAnsi="Times New Roman" w:eastAsia="方正仿宋_GBK"/>
          <w:b/>
          <w:sz w:val="26"/>
        </w:rPr>
        <w:t xml:space="preserve">2.8.2 工程配置与费用寻优</w:t>
      </w:r>
      <w:bookmarkEnd w:id="84"/>
    </w:p>
    <w:p>
      <w:pPr>
        <w:pStyle w:val="FirstParagraph"/>
        <w:widowControl/>
        <w:spacing w:line="348" w:lineRule="exact"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批次和投运年份形成现金流，以建设、固定运维与寿命更新的现值之和比较方案[10,11,12][43][44]。同一区县刚性、弹性方案使用相同仿真起点和措施集合，全部配置满足当年技术约束。</w:t>
      </w:r>
    </w:p>
    <w:p>
      <w:pPr>
        <w:pStyle w:val="5"/>
        <w:keepNext/>
        <w:numPr>
          <w:numId w:val="0"/>
        </w:numPr>
        <w:spacing w:line="390" w:lineRule="exact" w:before="160" w:after="120"/>
        <w:ind w:firstLine="0"/>
      </w:pPr>
      <w:bookmarkStart w:id="85" w:name="案例分析与通用矩阵"/>
      <w:r>
        <w:rPr>
          <w:rFonts w:ascii="Times New Roman" w:hAnsi="Times New Roman" w:eastAsia="方正仿宋_GBK"/>
          <w:b/>
          <w:sz w:val="26"/>
        </w:rPr>
        <w:t xml:space="preserve">2.8.3 案例分析与通用矩阵</w:t>
      </w:r>
      <w:bookmarkEnd w:id="85"/>
    </w:p>
    <w:p>
      <w:pPr>
        <w:pStyle w:val="FirstParagraph"/>
        <w:widowControl/>
        <w:spacing w:line="348" w:lineRule="exact" w:before="0" w:after="0"/>
        <w:ind w:firstLine="480"/>
        <w:jc w:val="both"/>
      </w:pPr>
      <w:r>
        <w:rPr>
          <w:rFonts w:ascii="Times New Roman" w:hAnsi="Times New Roman" w:eastAsia="方正仿宋_GBK"/>
          <w:b w:val="0"/>
          <w:sz w:val="24"/>
        </w:rPr>
        <w:t xml:space="preserve">案例按四年设备状态连续寻优，保留实际年度负荷变化。通用矩阵计算12600组目标年静态方案，按六项输入参数归纳648个区间单元。储能价格、设备候选及网络结构等另作专项敏感性分析，不增加主矩阵查表维度。</w:t>
      </w:r>
    </w:p>
    <w:p>
      <w:pPr>
        <w:pStyle w:val="5"/>
        <w:keepNext/>
        <w:numPr>
          <w:numId w:val="0"/>
        </w:numPr>
        <w:spacing w:line="390" w:lineRule="exact" w:before="160" w:after="120"/>
        <w:ind w:firstLine="0"/>
      </w:pPr>
      <w:bookmarkStart w:id="86" w:name="运行指标的统计范围与联合解释"/>
      <w:r>
        <w:rPr>
          <w:rFonts w:ascii="Times New Roman" w:hAnsi="Times New Roman" w:eastAsia="方正仿宋_GBK"/>
          <w:b/>
          <w:sz w:val="26"/>
        </w:rPr>
        <w:t xml:space="preserve">2.8.4 运行指标的统计范围与联合解释</w:t>
      </w:r>
      <w:bookmarkEnd w:id="86"/>
    </w:p>
    <w:p>
      <w:pPr>
        <w:pStyle w:val="FirstParagraph"/>
        <w:widowControl/>
        <w:spacing w:line="348" w:lineRule="exact" w:before="0" w:after="0"/>
        <w:ind w:firstLine="480"/>
        <w:jc w:val="both"/>
      </w:pPr>
      <w:r>
        <w:rPr>
          <w:rFonts w:ascii="Times New Roman" w:hAnsi="Times New Roman" w:eastAsia="方正仿宋_GBK"/>
          <w:b w:val="0"/>
          <w:sz w:val="24"/>
        </w:rPr>
        <w:t xml:space="preserve">容量规划所用指标可以按统计对象分为区域、变电站和设备三个层次。容载比观察区域总容量与年网供最大负荷，主变年最大负载率观察单台设备承受的负载，站间转供能力观察相邻供电范围之间可转移的负荷。同一组运行资料在不同层次下回答的问题不同，指标名称、统计范围和时间范围需要相互对应[5][8]。</w:t>
      </w:r>
    </w:p>
    <w:p>
      <w:pPr>
        <w:pStyle w:val="2"/>
        <w:widowControl/>
        <w:spacing w:line="348" w:lineRule="exact" w:before="0" w:after="0"/>
        <w:ind w:firstLine="480"/>
        <w:jc w:val="both"/>
      </w:pPr>
      <w:r>
        <w:rPr>
          <w:rFonts w:ascii="Times New Roman" w:hAnsi="Times New Roman" w:eastAsia="方正仿宋_GBK"/>
          <w:b w:val="0"/>
          <w:sz w:val="24"/>
        </w:rPr>
        <w:t xml:space="preserve">区域最大负荷应由同一时刻的负荷汇总后取最大值，各站独立最大负荷之和则用于描述所有站点各自的峰值需求。两者通过负荷分散系数联系。某站峰值出现在夏季午后，另一站峰值出现在晚间时，区域同时峰值可能低于两站独立峰值之和；各站主变仍分别需要满足本站高峰。负荷分散系数由此为区域容载比与站级容量之间的联系提供补充信息[46]。</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和分布式电源电量渗透率的分子、分母分别对应容量和电量。前者将分布式电源装机与用户最大负荷比较，后者将发电量与用户用电量比较[7]。相同分布式电源装机渗透率在光伏利用小时、用户年负荷率不同的地区，会形成不同分布式电源电量渗透率。对年度电量较高但峰值相对平缓的用户，分布式电源电量渗透率可能较低；对全年用电量较少、峰值短时集中的用户，相同光伏装机可能形成较高分布式电源电量渗透率。两项指标结合使用，可以区分电源规模与全年能源供给关系。</w:t>
      </w:r>
    </w:p>
    <w:p>
      <w:pPr>
        <w:pStyle w:val="2"/>
        <w:widowControl/>
        <w:spacing w:line="348" w:lineRule="exact" w:before="0" w:after="0"/>
        <w:ind w:firstLine="480"/>
        <w:jc w:val="both"/>
      </w:pPr>
      <w:r>
        <w:rPr>
          <w:rFonts w:ascii="Times New Roman" w:hAnsi="Times New Roman" w:eastAsia="方正仿宋_GBK"/>
          <w:b w:val="0"/>
          <w:sz w:val="24"/>
        </w:rPr>
        <w:t xml:space="preserve">净负荷的正反向符号需要在功率统计中保持。正向值表示从高电压等级流向低电压等级，反向值表示低电压等级向高电压等级输送[7]。当分析设备容量压力时，可以比较两个方向的峰值幅度；当分析电量时，则需要保留符号积分。</w:t>
      </w:r>
    </w:p>
    <w:p>
      <w:pPr>
        <w:pStyle w:val="2"/>
        <w:widowControl/>
        <w:spacing w:line="348" w:lineRule="exact" w:before="0" w:after="0"/>
        <w:ind w:firstLine="480"/>
        <w:jc w:val="both"/>
      </w:pPr>
      <w:r>
        <w:rPr>
          <w:rFonts w:ascii="Times New Roman" w:hAnsi="Times New Roman" w:eastAsia="方正仿宋_GBK"/>
          <w:b w:val="0"/>
          <w:sz w:val="24"/>
        </w:rPr>
        <w:t xml:space="preserve">主变年最大负载率与用户年负荷率也需要区分。前者以设备额定容量或额定电流为基准，反映设备峰值负载；后者以用户最大负荷为基准，反映全年平均用电与峰值的关系。前者较高可能意味着设备运行余量较小，后者较高则说明用户负荷较平稳。两个名称虽接近，工程含义和计算分母均不同，正文和图表分别列示。</w:t>
      </w:r>
    </w:p>
    <w:p>
      <w:pPr>
        <w:pStyle w:val="2"/>
        <w:widowControl/>
        <w:spacing w:line="348" w:lineRule="exact" w:before="0" w:after="0"/>
        <w:ind w:firstLine="480"/>
        <w:jc w:val="both"/>
      </w:pPr>
      <w:r>
        <w:rPr>
          <w:rFonts w:ascii="Times New Roman" w:hAnsi="Times New Roman" w:eastAsia="方正仿宋_GBK"/>
          <w:b w:val="0"/>
          <w:sz w:val="24"/>
        </w:rPr>
        <w:t xml:space="preserve">在储能配置分析中，额定功率说明瞬时充放电规模，额定能量说明可存储和转换的电量，持续时间把两者联系起来。同样1 MW的储能，配置1 MWh和4 MWh时承担连续负荷的能力不同；同样2 MWh能量，0.50 MW和1 MW额定功率也对应不同持续时间。研究通过功率与能量共同约束进行比较。</w:t>
      </w:r>
    </w:p>
    <w:p>
      <w:pPr>
        <w:pStyle w:val="5"/>
        <w:keepNext/>
        <w:numPr>
          <w:numId w:val="0"/>
        </w:numPr>
        <w:spacing w:line="390" w:lineRule="exact" w:before="160" w:after="120"/>
        <w:ind w:firstLine="0"/>
      </w:pPr>
      <w:bookmarkStart w:id="87" w:name="参数分档与文献方法的衔接"/>
      <w:r>
        <w:rPr>
          <w:rFonts w:ascii="Times New Roman" w:hAnsi="Times New Roman" w:eastAsia="方正仿宋_GBK"/>
          <w:b/>
          <w:sz w:val="26"/>
        </w:rPr>
        <w:t xml:space="preserve">2.8.5 参数分档与文献方法的衔接</w:t>
      </w:r>
      <w:bookmarkEnd w:id="87"/>
    </w:p>
    <w:p>
      <w:pPr>
        <w:pStyle w:val="FirstParagraph"/>
        <w:widowControl/>
        <w:spacing w:line="348" w:lineRule="exact" w:before="0" w:after="0"/>
        <w:ind w:firstLine="480"/>
        <w:jc w:val="both"/>
      </w:pPr>
      <w:r>
        <w:rPr>
          <w:rFonts w:ascii="Times New Roman" w:hAnsi="Times New Roman" w:eastAsia="方正仿宋_GBK"/>
          <w:b w:val="0"/>
          <w:sz w:val="24"/>
        </w:rPr>
        <w:t xml:space="preserve">王凯亮等按负荷密度与增长水平给出差异化容载比建议[44]，刘炜彬等从负荷分散系数、安全运行及发展储备等因素分析参数取值[46]。这些研究强调容量储备与地区条件的对应关系。本报告采用分布式电源装机渗透率、年最大净负荷平均增长率、线路成本系数、初始转供率、储能支撑持续时间及负荷分散系数作为主矩阵输入，供电区域类别及设备条件用于解释应用范围。</w:t>
      </w:r>
    </w:p>
    <w:p>
      <w:pPr>
        <w:pStyle w:val="2"/>
        <w:widowControl/>
        <w:spacing w:line="348" w:lineRule="exact" w:before="0" w:after="0"/>
        <w:ind w:firstLine="480"/>
        <w:jc w:val="both"/>
      </w:pPr>
      <w:r>
        <w:rPr>
          <w:rFonts w:ascii="Times New Roman" w:hAnsi="Times New Roman" w:eastAsia="方正仿宋_GBK"/>
          <w:b w:val="0"/>
          <w:sz w:val="24"/>
        </w:rPr>
        <w:t xml:space="preserve">DL/T 5729—2023表6.3.4的年最大净负荷平均增长率区间依次为不大于2%、大于2%且不大于4%、大于4%且不大于7%、大于7%。本报告增长参数沿用这些分界，其他输入参数参照其首尾开口的分档形式。后者的具体分界由研究设置。输入分档覆盖参数定义域，有限计算节点覆盖的验证范围另行说明。</w:t>
      </w:r>
    </w:p>
    <w:p>
      <w:pPr>
        <w:pStyle w:val="2"/>
        <w:widowControl/>
        <w:spacing w:line="348" w:lineRule="exact" w:before="0" w:after="0"/>
        <w:ind w:firstLine="480"/>
        <w:jc w:val="both"/>
      </w:pPr>
      <w:r>
        <w:rPr>
          <w:rFonts w:ascii="Times New Roman" w:hAnsi="Times New Roman" w:eastAsia="方正仿宋_GBK"/>
          <w:b w:val="0"/>
          <w:sz w:val="24"/>
        </w:rPr>
        <w:t xml:space="preserve">各单元的容载比范围由已核验配置归纳，具体取值对应允许主变规格和台数形成的离散配置。规划应用先核对输入与模板条件，再将容量规模落实到设备、联络及储能方案[43][44]。</w:t>
      </w:r>
    </w:p>
    <w:p>
      <w:pPr>
        <w:pStyle w:val="5"/>
        <w:keepNext/>
        <w:numPr>
          <w:numId w:val="0"/>
        </w:numPr>
        <w:spacing w:line="390" w:lineRule="exact" w:before="160" w:after="120"/>
        <w:ind w:firstLine="0"/>
      </w:pPr>
      <w:bookmarkStart w:id="88" w:name="技术经济结论的比较层次"/>
      <w:r>
        <w:rPr>
          <w:rFonts w:ascii="Times New Roman" w:hAnsi="Times New Roman" w:eastAsia="方正仿宋_GBK"/>
          <w:b/>
          <w:sz w:val="26"/>
        </w:rPr>
        <w:t xml:space="preserve">2.8.6 技术经济结论的比较层次</w:t>
      </w:r>
      <w:bookmarkEnd w:id="88"/>
    </w:p>
    <w:p>
      <w:pPr>
        <w:pStyle w:val="FirstParagraph"/>
        <w:widowControl/>
        <w:spacing w:line="348" w:lineRule="exact" w:before="0" w:after="0"/>
        <w:ind w:firstLine="480"/>
        <w:jc w:val="both"/>
      </w:pPr>
      <w:r>
        <w:rPr>
          <w:rFonts w:ascii="Times New Roman" w:hAnsi="Times New Roman" w:eastAsia="方正仿宋_GBK"/>
          <w:b w:val="0"/>
          <w:sz w:val="24"/>
        </w:rPr>
        <w:t xml:space="preserve">文献中的储能与网架建设比较，既有按初始投资判断的研究，也有计及运行、更新和寿命的费用分析[30][28][10]。比较目的不同，费用范围也随之变化。初始投资适合解释设备采购和工程规模；评价期费用适合比较不同建设年份及运维水平；包含收益的财务分析则还需电价、运行策略和市场机制。使用研究结论时，应先确认其所回答的经济问题。</w:t>
      </w:r>
    </w:p>
    <w:p>
      <w:pPr>
        <w:pStyle w:val="2"/>
        <w:widowControl/>
        <w:spacing w:line="348" w:lineRule="exact" w:before="0" w:after="0"/>
        <w:ind w:firstLine="480"/>
        <w:jc w:val="both"/>
      </w:pPr>
      <w:r>
        <w:rPr>
          <w:rFonts w:ascii="Times New Roman" w:hAnsi="Times New Roman" w:eastAsia="方正仿宋_GBK"/>
          <w:b w:val="0"/>
          <w:sz w:val="24"/>
        </w:rPr>
        <w:t xml:space="preserve">本报告以新增措施费用为主要比较对象，主变、储能与线路在同一评价期内折现。工程价格通过实际建设投资、公开规划造价和储能采购项目形成，单位功率投资比进一步反映措施之间的相对价格。站级容量和转供条件决定各措施能够承担的负荷，费用目标比较相应建设组合。</w:t>
      </w:r>
    </w:p>
    <w:p>
      <w:pPr>
        <w:pStyle w:val="2"/>
        <w:widowControl/>
        <w:spacing w:line="348" w:lineRule="exact" w:before="0" w:after="0"/>
        <w:ind w:firstLine="480"/>
        <w:jc w:val="both"/>
      </w:pPr>
      <w:r>
        <w:rPr>
          <w:rFonts w:ascii="Times New Roman" w:hAnsi="Times New Roman" w:eastAsia="方正仿宋_GBK"/>
          <w:b w:val="0"/>
          <w:sz w:val="24"/>
        </w:rPr>
        <w:t xml:space="preserve">对新增线路，价格下降可能只降低既定建设规模的费用；对储能，价格下降则可能使部分容量缺口由储能承担，从而减少主变建设。两种响应分别体现价格对既定方案费用和设备选择的影响。本报告在第五章分别列示容载比、设备规模和费用变化。</w:t>
      </w:r>
    </w:p>
    <w:p>
      <w:pPr>
        <w:pStyle w:val="4"/>
        <w:keepNext/>
        <w:numPr>
          <w:numId w:val="0"/>
        </w:numPr>
        <w:spacing w:line="480" w:lineRule="exact" w:before="160" w:after="120"/>
        <w:ind w:firstLine="0"/>
      </w:pPr>
      <w:bookmarkStart w:id="1233" w:name="h233"/>
      <w:bookmarkStart w:id="89" w:name="本章小结"/>
      <w:r>
        <w:rPr>
          <w:rFonts w:ascii="Times New Roman" w:hAnsi="Times New Roman" w:eastAsia="方正仿宋_GBK"/>
          <w:b/>
          <w:sz w:val="32"/>
        </w:rPr>
        <w:t xml:space="preserve">2.9 本章小结</w:t>
      </w:r>
      <w:bookmarkEnd w:id="89"/>
      <w:bookmarkEnd w:id="1233"/>
    </w:p>
    <w:p>
      <w:pPr>
        <w:pStyle w:val="FirstParagraph"/>
        <w:widowControl/>
        <w:spacing w:line="348" w:lineRule="exact" w:before="0" w:after="0"/>
        <w:ind w:firstLine="480"/>
        <w:jc w:val="both"/>
      </w:pPr>
      <w:r>
        <w:rPr>
          <w:rFonts w:ascii="Times New Roman" w:hAnsi="Times New Roman" w:eastAsia="方正仿宋_GBK"/>
          <w:b w:val="0"/>
          <w:sz w:val="24"/>
        </w:rPr>
        <w:t xml:space="preserve">相关研究表明，源荷时段关系决定正反向运行任务，主变结构和下级网络影响局部供电能力，储能与网架的替代选择还受持续时间及工程费用影响。本研究据此将地区运行资料和实际工程价格纳入同一规划模型：第三章确定源荷及设备条件，第四章建立各类措施费用，第五章在相同约束下比较配置，并用五站模板归纳不同参数条件下的推荐范围。</w:t>
      </w:r>
    </w:p>
    <w:p>
      <w:pPr>
        <w:pStyle w:val="3"/>
        <w:keepNext/>
        <w:pageBreakBefore/>
        <w:numPr>
          <w:numId w:val="0"/>
        </w:numPr>
        <w:spacing w:line="540" w:lineRule="exact" w:before="0" w:after="120"/>
        <w:ind w:firstLine="0"/>
      </w:pPr>
      <w:bookmarkStart w:id="1235" w:name="h235"/>
      <w:bookmarkStart w:id="90" w:name="第三章-徐州典型地区运行特征分析"/>
      <w:r>
        <w:rPr>
          <w:rFonts w:ascii="Times New Roman" w:hAnsi="Times New Roman" w:eastAsia="方正仿宋_GBK"/>
          <w:b/>
          <w:sz w:val="36"/>
        </w:rPr>
        <w:t xml:space="preserve">第三章 徐州典型地区运行特征分析</w:t>
      </w:r>
      <w:bookmarkEnd w:id="90"/>
      <w:bookmarkEnd w:id="1235"/>
    </w:p>
    <w:p>
      <w:pPr>
        <w:pStyle w:val="4"/>
        <w:keepNext/>
        <w:numPr>
          <w:numId w:val="0"/>
        </w:numPr>
        <w:spacing w:line="480" w:lineRule="exact" w:before="160" w:after="120"/>
        <w:ind w:firstLine="0"/>
      </w:pPr>
      <w:bookmarkStart w:id="1236" w:name="h236"/>
      <w:bookmarkStart w:id="91" w:name="研究地区与原始资料"/>
      <w:r>
        <w:rPr>
          <w:rFonts w:ascii="Times New Roman" w:hAnsi="Times New Roman" w:eastAsia="方正仿宋_GBK"/>
          <w:b/>
          <w:sz w:val="32"/>
        </w:rPr>
        <w:t xml:space="preserve">3.1 研究地区与原始资料</w:t>
      </w:r>
      <w:bookmarkEnd w:id="91"/>
      <w:bookmarkEnd w:id="1236"/>
    </w:p>
    <w:p>
      <w:pPr>
        <w:pStyle w:val="5"/>
        <w:keepNext/>
        <w:numPr>
          <w:numId w:val="0"/>
        </w:numPr>
        <w:spacing w:line="390" w:lineRule="exact" w:before="160" w:after="120"/>
        <w:ind w:firstLine="0"/>
      </w:pPr>
      <w:bookmarkStart w:id="92" w:name="地区选择及比较范围"/>
      <w:r>
        <w:rPr>
          <w:rFonts w:ascii="Times New Roman" w:hAnsi="Times New Roman" w:eastAsia="方正仿宋_GBK"/>
          <w:b/>
          <w:sz w:val="26"/>
        </w:rPr>
        <w:t xml:space="preserve">3.1.1 地区选择及比较范围</w:t>
      </w:r>
      <w:bookmarkEnd w:id="92"/>
    </w:p>
    <w:p>
      <w:pPr>
        <w:pStyle w:val="FirstParagraph"/>
        <w:widowControl/>
        <w:spacing w:line="348" w:lineRule="exact"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48" w:lineRule="exact" w:before="0" w:after="0"/>
        <w:ind w:firstLine="480"/>
        <w:jc w:val="both"/>
      </w:pPr>
      <w:r>
        <w:rPr>
          <w:rFonts w:ascii="Times New Roman" w:hAnsi="Times New Roman" w:eastAsia="方正仿宋_GBK"/>
          <w:b w:val="0"/>
          <w:sz w:val="24"/>
        </w:rPr>
        <w:t xml:space="preserve">站级图表列示邳州20座和市区26座具有设备对应资料的110 kV变电站，覆盖主变配置、负荷水平及正反向运行特征。市区年度负荷采用同一行政范围的110 kV降压负荷统计，站级资料用于分析负荷在各站之间的分布。区域容载比按同一区县、同一电压等级统计，各站独立峰值用于现状压力分析，规划工况另按同一时刻的站级分布组织[5]。</w:t>
      </w:r>
    </w:p>
    <w:p>
      <w:pPr>
        <w:pStyle w:val="5"/>
        <w:keepNext/>
        <w:numPr>
          <w:numId w:val="0"/>
        </w:numPr>
        <w:spacing w:line="390" w:lineRule="exact" w:before="160" w:after="120"/>
        <w:ind w:firstLine="0"/>
      </w:pPr>
      <w:bookmarkStart w:id="93" w:name="历史分析与规划参数的衔接"/>
      <w:r>
        <w:rPr>
          <w:rFonts w:ascii="Times New Roman" w:hAnsi="Times New Roman" w:eastAsia="方正仿宋_GBK"/>
          <w:b/>
          <w:sz w:val="26"/>
        </w:rPr>
        <w:t xml:space="preserve">3.1.2 历史分析与规划参数的衔接</w:t>
      </w:r>
      <w:bookmarkEnd w:id="93"/>
    </w:p>
    <w:p>
      <w:pPr>
        <w:pStyle w:val="FirstParagraph"/>
        <w:widowControl/>
        <w:spacing w:line="348" w:lineRule="exact"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48" w:lineRule="exact" w:before="0" w:after="0"/>
        <w:ind w:firstLine="480"/>
        <w:jc w:val="both"/>
      </w:pPr>
      <w:r>
        <w:rPr>
          <w:rFonts w:ascii="Times New Roman" w:hAnsi="Times New Roman" w:eastAsia="方正仿宋_GBK"/>
          <w:b w:val="0"/>
          <w:sz w:val="24"/>
        </w:rPr>
        <w:t xml:space="preserve">历史容量和负荷用于本章现状分析。第五章采用各地区共同的仿真初始设备和2021年实际负荷，基期容载比均约为2.00，后续容量由逐年优化确定。设备统计形成允许规格、供电区域类别及主变扩建位置；正常负荷调整使用相同仿真通道。资料来源与统计范围见配套数据说明。</w:t>
      </w:r>
    </w:p>
    <w:p>
      <w:pPr>
        <w:pStyle w:val="5"/>
        <w:keepNext/>
        <w:numPr>
          <w:numId w:val="0"/>
        </w:numPr>
        <w:spacing w:line="390" w:lineRule="exact" w:before="160" w:after="120"/>
        <w:ind w:firstLine="0"/>
      </w:pPr>
      <w:bookmarkStart w:id="94" w:name="时序处理与模型适用范围"/>
      <w:r>
        <w:rPr>
          <w:rFonts w:ascii="Times New Roman" w:hAnsi="Times New Roman" w:eastAsia="方正仿宋_GBK"/>
          <w:b/>
          <w:sz w:val="26"/>
        </w:rPr>
        <w:t xml:space="preserve">3.1.3 时序处理与模型适用范围</w:t>
      </w:r>
      <w:bookmarkEnd w:id="94"/>
    </w:p>
    <w:p>
      <w:pPr>
        <w:pStyle w:val="FirstParagraph"/>
        <w:widowControl/>
        <w:spacing w:line="348" w:lineRule="exact"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缺失记录补齐后统一形成8760小时序列：邳州采用相邻小时均值，市区采用相邻周同星期、同时刻的观测均值。</w:t>
      </w:r>
    </w:p>
    <w:p>
      <w:pPr>
        <w:pStyle w:val="2"/>
        <w:widowControl/>
        <w:spacing w:line="348" w:lineRule="exact" w:before="0" w:after="0"/>
        <w:ind w:firstLine="480"/>
        <w:jc w:val="both"/>
      </w:pPr>
      <w:r>
        <w:rPr>
          <w:rFonts w:ascii="Times New Roman" w:hAnsi="Times New Roman" w:eastAsia="方正仿宋_GBK"/>
          <w:b w:val="0"/>
          <w:sz w:val="24"/>
        </w:rPr>
        <w:t xml:space="preserve">95%峰值持续时间描述补齐后区域曲线的连续近峰事件，年度电量估计用于源荷背景分析。地区案例使用区域正向峰值和最低净负荷两类静态工况，各站功率按同一工况组织；正向储能支撑统一取4 h作对照。</w:t>
      </w:r>
    </w:p>
    <w:p>
      <w:pPr>
        <w:pStyle w:val="4"/>
        <w:keepNext/>
        <w:numPr>
          <w:numId w:val="0"/>
        </w:numPr>
        <w:spacing w:line="480" w:lineRule="exact" w:before="160" w:after="120"/>
        <w:ind w:firstLine="0"/>
      </w:pPr>
      <w:bookmarkStart w:id="1246" w:name="h246"/>
      <w:bookmarkStart w:id="95" w:name="年度容量负荷与增长特征"/>
      <w:r>
        <w:rPr>
          <w:rFonts w:ascii="Times New Roman" w:hAnsi="Times New Roman" w:eastAsia="方正仿宋_GBK"/>
          <w:b/>
          <w:sz w:val="32"/>
        </w:rPr>
        <w:t xml:space="preserve">3.2 年度容量、负荷与增长特征</w:t>
      </w:r>
      <w:bookmarkEnd w:id="95"/>
      <w:bookmarkEnd w:id="1246"/>
    </w:p>
    <w:p>
      <w:pPr>
        <w:pStyle w:val="5"/>
        <w:keepNext/>
        <w:numPr>
          <w:numId w:val="0"/>
        </w:numPr>
        <w:spacing w:line="390" w:lineRule="exact" w:before="160" w:after="120"/>
        <w:ind w:firstLine="0"/>
      </w:pPr>
      <w:bookmarkStart w:id="96" w:name="邳州年度变化"/>
      <w:r>
        <w:rPr>
          <w:rFonts w:ascii="Times New Roman" w:hAnsi="Times New Roman" w:eastAsia="方正仿宋_GBK"/>
          <w:b/>
          <w:sz w:val="26"/>
        </w:rPr>
        <w:t xml:space="preserve">3.2.1 邳州年度变化</w:t>
      </w:r>
      <w:bookmarkEnd w:id="96"/>
    </w:p>
    <w:p>
      <w:pPr>
        <w:pStyle w:val="FirstParagraph"/>
        <w:widowControl/>
        <w:spacing w:line="348" w:lineRule="exact"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48" w:lineRule="exact"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280" w:lineRule="exact"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r>
    </w:tbl>
    <w:p>
      <w:pPr>
        <w:pStyle w:val="5"/>
        <w:keepNext/>
        <w:numPr>
          <w:numId w:val="0"/>
        </w:numPr>
        <w:spacing w:line="390" w:lineRule="exact" w:before="160" w:after="120"/>
        <w:ind w:firstLine="0"/>
      </w:pPr>
      <w:bookmarkStart w:id="97" w:name="市区年度变化"/>
      <w:r>
        <w:rPr>
          <w:rFonts w:ascii="Times New Roman" w:hAnsi="Times New Roman" w:eastAsia="方正仿宋_GBK"/>
          <w:b/>
          <w:sz w:val="26"/>
        </w:rPr>
        <w:t xml:space="preserve">3.2.2 市区年度变化</w:t>
      </w:r>
      <w:bookmarkEnd w:id="97"/>
    </w:p>
    <w:p>
      <w:pPr>
        <w:pStyle w:val="FirstParagraph"/>
        <w:widowControl/>
        <w:spacing w:line="348" w:lineRule="exact"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48" w:lineRule="exact" w:before="0" w:after="0"/>
        <w:ind w:firstLine="480"/>
        <w:jc w:val="both"/>
      </w:pPr>
      <w:r>
        <w:rPr>
          <w:rFonts w:ascii="Times New Roman" w:hAnsi="Times New Roman" w:eastAsia="方正仿宋_GBK"/>
          <w:b w:val="0"/>
          <w:sz w:val="24"/>
        </w:rPr>
        <w:t xml:space="preserve">市区案例保留样本负荷的空间分布，设备候选按站级资料及研究假设设置。第五章保留统一仿真起点，采用2022—2025年实际年度负荷进行方案比较。</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787963"/>
            <wp:effectExtent b="0" l="0" r="0" t="0"/>
            <wp:docPr descr="" title="" id="1" name="Picture"/>
            <a:graphic>
              <a:graphicData uri="http://schemas.openxmlformats.org/drawingml/2006/picture">
                <pic:pic>
                  <pic:nvPicPr>
                    <pic:cNvPr descr="研究报告/02图表/当前版/annual_load.png" id="0" name="Picture"/>
                    <pic:cNvPicPr>
                      <a:picLocks noChangeArrowheads="1" noChangeAspect="1"/>
                    </pic:cNvPicPr>
                  </pic:nvPicPr>
                  <pic:blipFill>
                    <a:blip r:embed="rId98"/>
                    <a:stretch>
                      <a:fillRect/>
                    </a:stretch>
                  </pic:blipFill>
                  <pic:spPr bwMode="auto">
                    <a:xfrm>
                      <a:off x="0" y="0"/>
                      <a:ext cx="5120640" cy="278796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图3-1 邳州和市区年网供最大负荷</w:t>
      </w:r>
    </w:p>
    <w:p>
      <w:pPr>
        <w:pStyle w:val="5"/>
        <w:keepNext/>
        <w:numPr>
          <w:numId w:val="0"/>
        </w:numPr>
        <w:spacing w:line="390" w:lineRule="exact" w:before="160" w:after="120"/>
        <w:ind w:firstLine="0"/>
      </w:pPr>
      <w:bookmarkStart w:id="99" w:name="年最大净负荷平均增长率"/>
      <w:r>
        <w:rPr>
          <w:rFonts w:ascii="Times New Roman" w:hAnsi="Times New Roman" w:eastAsia="方正仿宋_GBK"/>
          <w:b/>
          <w:sz w:val="26"/>
        </w:rPr>
        <w:t xml:space="preserve">3.2.3 年最大净负荷平均增长率</w:t>
      </w:r>
      <w:bookmarkEnd w:id="99"/>
    </w:p>
    <w:p>
      <w:pPr>
        <w:pStyle w:val="FirstParagraph"/>
        <w:widowControl/>
        <w:spacing w:line="348" w:lineRule="exact" w:before="0" w:after="0"/>
        <w:ind w:firstLine="480"/>
        <w:jc w:val="both"/>
      </w:pPr>
      <w:r>
        <w:rPr>
          <w:rFonts w:ascii="Times New Roman" w:hAnsi="Times New Roman" w:eastAsia="方正仿宋_GBK"/>
          <w:b w:val="0"/>
          <w:sz w:val="24"/>
        </w:rPr>
        <w:t xml:space="preserve">年最大净负荷平均增长率[7]由同范围起止年度负荷按复合增长形式计算。2021—2025年包含四个年度间隔，增长分档采用DL/T 5729—2023表6.3.4[5]。</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acc>
                  <m:accPr>
                    <m:chr m:val="‾"/>
                  </m:accPr>
                  <m:e>
                    <m:r>
                      <m:t>g</m:t>
                    </m:r>
                  </m:e>
                </m:acc>
                <m:r>
                  <m:t>=</m:t>
                </m:r>
                <m:sSup>
                  <m:e>
                    <m:d>
                      <m:dPr>
                        <m:begChr m:val="("/>
                        <m:endChr m:val=")"/>
                        <m:grow/>
                      </m:dPr>
                      <m:e>
                        <m:f>
                          <m:fPr>
                            <m:type m:val="bar"/>
                          </m:fPr>
                          <m:num>
                            <m:sSub>
                              <m:e>
                                <m:r>
                                  <m:t>P</m:t>
                                </m:r>
                              </m:e>
                              <m:sub>
                                <m:r>
                                  <m:t>2025</m:t>
                                </m:r>
                              </m:sub>
                            </m:sSub>
                          </m:num>
                          <m:den>
                            <m:sSub>
                              <m:e>
                                <m:r>
                                  <m:t>P</m:t>
                                </m:r>
                              </m:e>
                              <m:sub>
                                <m:r>
                                  <m:t>2021</m:t>
                                </m:r>
                              </m:sub>
                            </m:sSub>
                          </m:den>
                        </m:f>
                      </m:e>
                    </m:d>
                  </m:e>
                  <m:sup>
                    <m:r>
                      <m:t>1</m:t>
                    </m:r>
                    <m:r>
                      <m:t>/</m:t>
                    </m:r>
                    <m:r>
                      <m:t>4</m:t>
                    </m:r>
                  </m:sup>
                </m:sSup>
                <m:r>
                  <m:t>−</m:t>
                </m:r>
                <m:r>
                  <m:t>1</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年网供最大负荷估计值，单位MW；</w:t>
      </w:r>
      <m:oMath>
        <m:acc>
          <m:accPr>
            <m:chr m:val="‾"/>
          </m:accPr>
          <m:e>
            <m:r>
              <m:t>g</m:t>
            </m:r>
          </m:e>
        </m:acc>
      </m:oMath>
      <w:r>
        <w:rPr>
          <w:rFonts w:ascii="Times New Roman" w:hAnsi="Times New Roman" w:eastAsia="方正仿宋_GBK"/>
          <w:b w:val="0"/>
          <w:sz w:val="24"/>
        </w:rPr>
        <w:t xml:space="preserve">为年最大净负荷平均增长率。</w:t>
      </w:r>
    </w:p>
    <w:p>
      <w:pPr>
        <w:pStyle w:val="2"/>
        <w:keepNext/>
        <w:spacing w:line="280" w:lineRule="exact" w:before="120" w:after="80"/>
        <w:ind w:firstLine="0"/>
        <w:jc w:val="center"/>
      </w:pPr>
      <w:r>
        <w:rPr>
          <w:rFonts w:ascii="Times New Roman" w:hAnsi="Times New Roman" w:eastAsia="宋体"/>
          <w:b w:val="0"/>
          <w:sz w:val="21"/>
        </w:rPr>
        <w:t xml:space="preserve">表3-2 年最大净负荷平均增长率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间隔/年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年最大净负荷平均增长率所属区间</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导则参考容载比</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731.77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1.70～1.90</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1.50～1.70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邳州对应的容载比参考范围为1.70～1.90，市区为1.50～1.70。</w:t>
      </w:r>
    </w:p>
    <w:p>
      <w:pPr>
        <w:pStyle w:val="5"/>
        <w:keepNext/>
        <w:numPr>
          <w:numId w:val="0"/>
        </w:numPr>
        <w:spacing w:line="390" w:lineRule="exact" w:before="160" w:after="120"/>
        <w:ind w:firstLine="0"/>
      </w:pPr>
      <w:bookmarkStart w:id="100" w:name="历史统计与规划仿真的衔接"/>
      <w:r>
        <w:rPr>
          <w:rFonts w:ascii="Times New Roman" w:hAnsi="Times New Roman" w:eastAsia="方正仿宋_GBK"/>
          <w:b/>
          <w:sz w:val="26"/>
        </w:rPr>
        <w:t xml:space="preserve">3.2.4 历史统计与规划仿真的衔接</w:t>
      </w:r>
      <w:bookmarkEnd w:id="100"/>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2021—2025年实际容量与负荷用于现状分析，2022—2025年已知年度负荷直接进入地区案例。仿真保留市区2900.00 MVA、邳州1463.50 MVA的初始设备容量，基期及后续各年负荷均采用实际年度统计值，基期容载比按两位小数均为2.00。主变增容由逐年优化确定，实际在役容量与仿真容量分别列示。</w:t>
      </w:r>
    </w:p>
    <w:p>
      <w:pPr>
        <w:pStyle w:val="2"/>
        <w:widowControl/>
        <w:spacing w:line="348" w:lineRule="exact" w:before="0" w:after="0"/>
        <w:ind w:firstLine="480"/>
        <w:jc w:val="both"/>
      </w:pPr>
      <w:r>
        <w:rPr>
          <w:rFonts w:ascii="Times New Roman" w:hAnsi="Times New Roman" w:eastAsia="方正仿宋_GBK"/>
          <w:b w:val="0"/>
          <w:sz w:val="24"/>
        </w:rPr>
        <w:t xml:space="preserve">通用参数推广需要构造不同发展水平，采用基期峰值乘以</w:t>
      </w:r>
      <m:oMath>
        <m:r>
          <m:t>(</m:t>
        </m:r>
        <m:r>
          <m:t>1</m:t>
        </m:r>
        <m:r>
          <m:t>+</m:t>
        </m:r>
        <m:acc>
          <m:accPr>
            <m:chr m:val="‾"/>
          </m:accPr>
          <m:e>
            <m:r>
              <m:t>g</m:t>
            </m:r>
          </m:e>
        </m:acc>
        <m:sSup>
          <m:e>
            <m:r>
              <m:t>)</m:t>
            </m:r>
          </m:e>
          <m:sup>
            <m:r>
              <m:t>4</m:t>
            </m:r>
          </m:sup>
        </m:sSup>
      </m:oMath>
      <w:r>
        <w:rPr>
          <w:rFonts w:ascii="Times New Roman" w:hAnsi="Times New Roman" w:eastAsia="方正仿宋_GBK"/>
          <w:b w:val="0"/>
          <w:sz w:val="24"/>
        </w:rPr>
        <w:t xml:space="preserve">确定目标年负荷。地区案例与通用模板的用途不同，分别保留其负荷来源和计算条件。</w:t>
      </w:r>
    </w:p>
    <w:p>
      <w:pPr>
        <w:pStyle w:val="4"/>
        <w:keepNext/>
        <w:numPr>
          <w:numId w:val="0"/>
        </w:numPr>
        <w:spacing w:line="480" w:lineRule="exact" w:before="160" w:after="120"/>
        <w:ind w:firstLine="0"/>
      </w:pPr>
      <w:bookmarkStart w:id="1264" w:name="h264"/>
      <w:bookmarkStart w:id="101" w:name="分布式光伏装机与电量"/>
      <w:r>
        <w:rPr>
          <w:rFonts w:ascii="Times New Roman" w:hAnsi="Times New Roman" w:eastAsia="方正仿宋_GBK"/>
          <w:b/>
          <w:sz w:val="32"/>
        </w:rPr>
        <w:t xml:space="preserve">3.3 分布式光伏装机与电量</w:t>
      </w:r>
      <w:bookmarkEnd w:id="101"/>
      <w:bookmarkEnd w:id="1264"/>
    </w:p>
    <w:p>
      <w:pPr>
        <w:pStyle w:val="5"/>
        <w:keepNext/>
        <w:numPr>
          <w:numId w:val="0"/>
        </w:numPr>
        <w:spacing w:line="390" w:lineRule="exact" w:before="160" w:after="120"/>
        <w:ind w:firstLine="0"/>
      </w:pPr>
      <w:bookmarkStart w:id="102" w:name="装机规模与月度变化"/>
      <w:r>
        <w:rPr>
          <w:rFonts w:ascii="Times New Roman" w:hAnsi="Times New Roman" w:eastAsia="方正仿宋_GBK"/>
          <w:b/>
          <w:sz w:val="26"/>
        </w:rPr>
        <w:t xml:space="preserve">3.3.1 装机规模与月度变化</w:t>
      </w:r>
      <w:bookmarkEnd w:id="102"/>
    </w:p>
    <w:p>
      <w:pPr>
        <w:pStyle w:val="FirstParagraph"/>
        <w:widowControl/>
        <w:spacing w:line="348" w:lineRule="exact" w:before="0" w:after="0"/>
        <w:ind w:firstLine="480"/>
        <w:jc w:val="both"/>
      </w:pPr>
      <w:r>
        <w:rPr>
          <w:rFonts w:ascii="Times New Roman" w:hAnsi="Times New Roman" w:eastAsia="方正仿宋_GBK"/>
          <w:b w:val="0"/>
          <w:sz w:val="24"/>
        </w:rPr>
        <w:t xml:space="preserve">邳州年末分布式光伏装机容量由2023年564.70 MW增加到2024年1126.58 MW、2025年1559.64 MW；市区同期为253.68、362.44和491.18 MW。现有月度装机数据始于2023年，2021—2022年装机容量按同月份增长关系回推，图中以虚线区分估计结果与统计记录。</w:t>
      </w:r>
    </w:p>
    <w:p>
      <w:pPr>
        <w:pStyle w:val="2"/>
        <w:widowControl/>
        <w:spacing w:line="348" w:lineRule="exact"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48" w:lineRule="exact" w:before="0" w:after="0"/>
        <w:ind w:firstLine="480"/>
        <w:jc w:val="both"/>
      </w:pPr>
      <w:r>
        <w:rPr>
          <w:rFonts w:ascii="Times New Roman" w:hAnsi="Times New Roman" w:eastAsia="方正仿宋_GBK"/>
          <w:b w:val="0"/>
          <w:sz w:val="24"/>
        </w:rPr>
        <w:t xml:space="preserve">现有资料未提供2021—2022年的逐月末光伏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280" w:lineRule="exact"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2021年/MW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2022年/MW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2023年/MW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2024年/MW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141.89</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283.06</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564.70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1126.58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491.18</w:t>
            </w:r>
          </w:p>
        </w:tc>
      </w:tr>
    </w:tbl>
    <w:p>
      <w:pPr>
        <w:pStyle w:val="2"/>
        <w:widowControl/>
        <w:spacing w:line="348" w:lineRule="exact" w:before="0" w:after="0"/>
        <w:ind w:firstLine="480"/>
        <w:jc w:val="both"/>
      </w:pPr>
      <w:r>
        <w:rPr>
          <w:rFonts w:ascii="Times New Roman" w:hAnsi="Times New Roman" w:eastAsia="方正仿宋_GBK"/>
          <w:b w:val="0"/>
          <w:sz w:val="24"/>
        </w:rPr>
        <w:t xml:space="preserve">注：2021—2022年为几何回推估计，2023—2025年采用月末装机统计，统一以MW列示。</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646082"/>
            <wp:effectExtent b="0" l="0" r="0" t="0"/>
            <wp:docPr descr="" title="" id="1" name="Picture"/>
            <a:graphic>
              <a:graphicData uri="http://schemas.openxmlformats.org/drawingml/2006/picture">
                <pic:pic>
                  <pic:nvPicPr>
                    <pic:cNvPr descr="研究报告/02图表/当前版/pv_monthly.png" id="0" name="Picture"/>
                    <pic:cNvPicPr>
                      <a:picLocks noChangeArrowheads="1" noChangeAspect="1"/>
                    </pic:cNvPicPr>
                  </pic:nvPicPr>
                  <pic:blipFill>
                    <a:blip r:embed="rId103"/>
                    <a:stretch>
                      <a:fillRect/>
                    </a:stretch>
                  </pic:blipFill>
                  <pic:spPr bwMode="auto">
                    <a:xfrm>
                      <a:off x="0" y="0"/>
                      <a:ext cx="5120640" cy="364608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图3-2 2021—2025年月末分布式光伏装机容量</w:t>
      </w:r>
    </w:p>
    <w:p>
      <w:pPr>
        <w:pStyle w:val="5"/>
        <w:keepNext/>
        <w:numPr>
          <w:numId w:val="0"/>
        </w:numPr>
        <w:spacing w:line="390" w:lineRule="exact" w:before="160" w:after="120"/>
        <w:ind w:firstLine="0"/>
      </w:pPr>
      <w:bookmarkStart w:id="104" w:name="年发电量估计方法"/>
      <w:r>
        <w:rPr>
          <w:rFonts w:ascii="Times New Roman" w:hAnsi="Times New Roman" w:eastAsia="方正仿宋_GBK"/>
          <w:b/>
          <w:sz w:val="26"/>
        </w:rPr>
        <w:t xml:space="preserve">3.3.2 年发电量估计方法</w:t>
      </w:r>
      <w:bookmarkEnd w:id="104"/>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48" w:lineRule="exact" w:before="0" w:after="0"/>
        <w:ind w:firstLine="480"/>
        <w:jc w:val="both"/>
      </w:pPr>
      <w:r>
        <w:rPr>
          <w:rFonts w:ascii="Times New Roman" w:hAnsi="Times New Roman" w:eastAsia="方正仿宋_GBK"/>
          <w:b w:val="0"/>
          <w:sz w:val="24"/>
        </w:rPr>
        <w:t xml:space="preserve">按该方法，邳州2025年发电量估计为1698270.73 MWh，市区为590451.12 MWh。不同地区的年内投运速度和月末装机差异均进入计算。</w:t>
      </w:r>
    </w:p>
    <w:p>
      <w:pPr>
        <w:pStyle w:val="5"/>
        <w:keepNext/>
        <w:numPr>
          <w:numId w:val="0"/>
        </w:numPr>
        <w:spacing w:line="390" w:lineRule="exact" w:before="160" w:after="120"/>
        <w:ind w:firstLine="0"/>
      </w:pPr>
      <w:bookmarkStart w:id="105" w:name="用户最大负荷与分布式电源装机渗透率"/>
      <w:r>
        <w:rPr>
          <w:rFonts w:ascii="Times New Roman" w:hAnsi="Times New Roman" w:eastAsia="方正仿宋_GBK"/>
          <w:b/>
          <w:sz w:val="26"/>
        </w:rPr>
        <w:t xml:space="preserve">3.3.3 用户最大负荷与分布式电源装机渗透率</w:t>
      </w:r>
      <w:bookmarkEnd w:id="105"/>
    </w:p>
    <w:p>
      <w:pPr>
        <w:pStyle w:val="FirstParagraph"/>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分布式电源装机渗透率采用《配电网规划设计技术导则》的指标定义，作为描述源荷条件的研究参数[7]。</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单位MW。DG为分布式电源的英文缩写[7]。用户日间负荷由设备典型时刻净功率加回相应光伏出力估计，夜间候选负荷由设备夜间统计得到，再取两者较大值。该方法得到的用户最大负荷为典型场景估计值。</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90" w:lineRule="exact" w:before="160" w:after="120"/>
        <w:ind w:firstLine="0"/>
      </w:pPr>
      <w:bookmarkStart w:id="106" w:name="用户电量与分布式电源电量渗透率"/>
      <w:r>
        <w:rPr>
          <w:rFonts w:ascii="Times New Roman" w:hAnsi="Times New Roman" w:eastAsia="方正仿宋_GBK"/>
          <w:b/>
          <w:sz w:val="26"/>
        </w:rPr>
        <w:t xml:space="preserve">3.3.4 用户电量与分布式电源电量渗透率</w:t>
      </w:r>
      <w:bookmarkEnd w:id="106"/>
    </w:p>
    <w:p>
      <w:pPr>
        <w:pStyle w:val="FirstParagraph"/>
        <w:widowControl/>
        <w:spacing w:line="348" w:lineRule="exact"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逐时样本未完整覆盖区县全部用户，且缺少同范围用户年电量记录，因此先按样本覆盖系数估计区县净交换电量，再加本地光伏发电量。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48" w:lineRule="exact" w:before="0" w:after="0"/>
        <w:ind w:firstLine="480"/>
        <w:jc w:val="both"/>
      </w:pPr>
      <w:r>
        <w:rPr>
          <w:rFonts w:ascii="Times New Roman" w:hAnsi="Times New Roman" w:eastAsia="方正仿宋_GBK"/>
          <w:b w:val="0"/>
          <w:sz w:val="24"/>
        </w:rPr>
        <w:t xml:space="preserve">邳州估计用户年电量为4216392.40 MWh，分布式电源电量渗透率为40%；市区为6791485.10 MWh和9%。上述估计值用于源荷背景分析，费用目标采用第四章规定的新增措施支出。</w:t>
      </w:r>
    </w:p>
    <w:p>
      <w:pPr>
        <w:pStyle w:val="4"/>
        <w:keepNext/>
        <w:numPr>
          <w:numId w:val="0"/>
        </w:numPr>
        <w:spacing w:line="480" w:lineRule="exact" w:before="160" w:after="120"/>
        <w:ind w:firstLine="0"/>
      </w:pPr>
      <w:bookmarkStart w:id="1286" w:name="h286"/>
      <w:bookmarkStart w:id="107" w:name="主变负载率与双向净负荷"/>
      <w:r>
        <w:rPr>
          <w:rFonts w:ascii="Times New Roman" w:hAnsi="Times New Roman" w:eastAsia="方正仿宋_GBK"/>
          <w:b/>
          <w:sz w:val="32"/>
        </w:rPr>
        <w:t xml:space="preserve">3.4 主变负载率与双向净负荷</w:t>
      </w:r>
      <w:bookmarkEnd w:id="107"/>
      <w:bookmarkEnd w:id="1286"/>
    </w:p>
    <w:p>
      <w:pPr>
        <w:pStyle w:val="5"/>
        <w:keepNext/>
        <w:numPr>
          <w:numId w:val="0"/>
        </w:numPr>
        <w:spacing w:line="390" w:lineRule="exact" w:before="160" w:after="120"/>
        <w:ind w:firstLine="0"/>
      </w:pPr>
      <w:bookmarkStart w:id="108" w:name="主变年最大负载率统计"/>
      <w:r>
        <w:rPr>
          <w:rFonts w:ascii="Times New Roman" w:hAnsi="Times New Roman" w:eastAsia="方正仿宋_GBK"/>
          <w:b/>
          <w:sz w:val="26"/>
        </w:rPr>
        <w:t xml:space="preserve">3.4.1 主变年最大负载率统计</w:t>
      </w:r>
      <w:bookmarkEnd w:id="108"/>
    </w:p>
    <w:p>
      <w:pPr>
        <w:pStyle w:val="FirstParagraph"/>
        <w:widowControl/>
        <w:spacing w:line="348" w:lineRule="exact" w:before="0" w:after="0"/>
        <w:ind w:firstLine="480"/>
        <w:jc w:val="both"/>
      </w:pPr>
      <w:r>
        <w:rPr>
          <w:rFonts w:ascii="Times New Roman" w:hAnsi="Times New Roman" w:eastAsia="方正仿宋_GBK"/>
          <w:b w:val="0"/>
          <w:sz w:val="24"/>
        </w:rPr>
        <w:t xml:space="preserve">设备统计表记录逐台主变年最大负载率。按110 kV及区县筛选，计算样本均值、中位数及较高负载设备数量。分布统计采用各台设备的年度极值，各自最大时刻可能不同。</w:t>
      </w:r>
    </w:p>
    <w:p>
      <w:pPr>
        <w:pStyle w:val="2"/>
        <w:keepNext/>
        <w:spacing w:line="280" w:lineRule="exact"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样本台数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均值/%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≥80%台数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邳州逐台主变年最大负载率中位数为53%，市区为55%，两地区均有设备达到80%及以上。中位水平与较高负载设备并存，表明容量需求在设备之间存在差异，建设措施需落实到具体站点。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926080"/>
            <wp:effectExtent b="0" l="0" r="0" t="0"/>
            <wp:docPr descr="" title="" id="1" name="Picture"/>
            <a:graphic>
              <a:graphicData uri="http://schemas.openxmlformats.org/drawingml/2006/picture">
                <pic:pic>
                  <pic:nvPicPr>
                    <pic:cNvPr descr="研究报告/02图表/当前版/loading_distribution.png" id="0" name="Picture"/>
                    <pic:cNvPicPr>
                      <a:picLocks noChangeArrowheads="1" noChangeAspect="1"/>
                    </pic:cNvPicPr>
                  </pic:nvPicPr>
                  <pic:blipFill>
                    <a:blip r:embed="rId109"/>
                    <a:stretch>
                      <a:fillRect/>
                    </a:stretch>
                  </pic:blipFill>
                  <pic:spPr bwMode="auto">
                    <a:xfrm>
                      <a:off x="0" y="0"/>
                      <a:ext cx="5120640" cy="292608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图3-3 邳州和市区逐台主变最大负载率分布</w:t>
      </w:r>
    </w:p>
    <w:p>
      <w:pPr>
        <w:pStyle w:val="5"/>
        <w:keepNext/>
        <w:numPr>
          <w:numId w:val="0"/>
        </w:numPr>
        <w:spacing w:line="390" w:lineRule="exact" w:before="160" w:after="120"/>
        <w:ind w:firstLine="0"/>
      </w:pPr>
      <w:bookmarkStart w:id="110" w:name="最大正向反向净负荷"/>
      <w:r>
        <w:rPr>
          <w:rFonts w:ascii="Times New Roman" w:hAnsi="Times New Roman" w:eastAsia="方正仿宋_GBK"/>
          <w:b/>
          <w:sz w:val="26"/>
        </w:rPr>
        <w:t xml:space="preserve">3.4.2 最大正向、反向净负荷</w:t>
      </w:r>
      <w:bookmarkEnd w:id="110"/>
    </w:p>
    <w:p>
      <w:pPr>
        <w:pStyle w:val="FirstParagraph"/>
        <w:widowControl/>
        <w:spacing w:line="348" w:lineRule="exact" w:before="0" w:after="0"/>
        <w:ind w:firstLine="480"/>
        <w:jc w:val="both"/>
      </w:pPr>
      <w:r>
        <w:rPr>
          <w:rFonts w:ascii="Times New Roman" w:hAnsi="Times New Roman" w:eastAsia="方正仿宋_GBK"/>
          <w:b w:val="0"/>
          <w:sz w:val="24"/>
        </w:rPr>
        <w:t xml:space="preserve">净负荷序列以受电为正、反送为负。容量压力采用最大绝对值，同时列示正向和反向极值用于容量校核。由带符号序列分别提取方向峰值：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p>
                        <m:e>
                          <m:r>
                            <m:t>P</m:t>
                          </m:r>
                        </m:e>
                        <m:sup>
                          <m:r>
                            <m:t>+</m:t>
                          </m:r>
                        </m:sup>
                      </m:sSup>
                    </m:e>
                    <m:e>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e>
                  </m:mr>
                  <m:mr>
                    <m:e>
                      <m:sSup>
                        <m:e>
                          <m:r>
                            <m:t>P</m:t>
                          </m:r>
                        </m:e>
                        <m:sup>
                          <m:r>
                            <m:rPr>
                              <m:sty m:val="p"/>
                            </m:rPr>
                            <m:t>a</m:t>
                          </m:r>
                          <m:r>
                            <m:rPr>
                              <m:sty m:val="p"/>
                            </m:rPr>
                            <m:t>b</m:t>
                          </m:r>
                          <m:r>
                            <m:rPr>
                              <m:sty m:val="p"/>
                            </m:rPr>
                            <m:t>s</m:t>
                          </m:r>
                        </m:sup>
                      </m:sSup>
                    </m:e>
                    <m:e>
                      <m:r>
                        <m:t>=</m:t>
                      </m:r>
                      <m:r>
                        <m:rPr>
                          <m:nor/>
                          <m:sty m:val="p"/>
                        </m:rPr>
                        <m:t>max</m:t>
                      </m:r>
                      <m:r>
                        <m:t>(</m:t>
                      </m:r>
                      <m:sSup>
                        <m:e>
                          <m:r>
                            <m:t>P</m:t>
                          </m:r>
                        </m:e>
                        <m:sup>
                          <m:r>
                            <m:t>+</m:t>
                          </m:r>
                        </m:sup>
                      </m:sSup>
                      <m:r>
                        <m:t>,</m:t>
                      </m:r>
                      <m:sSup>
                        <m:e>
                          <m:r>
                            <m:t>P</m:t>
                          </m:r>
                        </m:e>
                        <m:sup>
                          <m:r>
                            <m:t>−</m:t>
                          </m:r>
                        </m:sup>
                      </m:sSup>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为净负荷最大绝对值，单位均为MW。站级负载率按</w:t>
      </w:r>
      <m:oMath>
        <m:sSup>
          <m:e>
            <m:r>
              <m:t>P</m:t>
            </m:r>
          </m:e>
          <m:sup>
            <m:r>
              <m:rPr>
                <m:sty m:val="p"/>
              </m:rPr>
              <m:t>a</m:t>
            </m:r>
            <m:r>
              <m:rPr>
                <m:sty m:val="p"/>
              </m:rPr>
              <m:t>b</m:t>
            </m:r>
            <m:r>
              <m:rPr>
                <m:sty m:val="p"/>
              </m:rPr>
              <m:t>s</m:t>
            </m:r>
          </m:sup>
        </m:sSup>
        <m:r>
          <m:t>/</m:t>
        </m:r>
        <m:r>
          <m:t>(</m:t>
        </m:r>
        <m:r>
          <m:t>S</m:t>
        </m:r>
        <m:r>
          <m:rPr>
            <m:nor/>
            <m:sty m:val="p"/>
          </m:rPr>
          <m:t>cos</m:t>
        </m:r>
        <m:r>
          <m:t>φ</m:t>
        </m:r>
        <m:r>
          <m:t>)</m:t>
        </m:r>
      </m:oMath>
      <w:r>
        <w:rPr>
          <w:rFonts w:ascii="Times New Roman" w:hAnsi="Times New Roman" w:eastAsia="方正仿宋_GBK"/>
          <w:b w:val="0"/>
          <w:sz w:val="24"/>
        </w:rPr>
        <w:t xml:space="preserve">计算，</w:t>
      </w:r>
      <m:oMath>
        <m:r>
          <m:t>S</m:t>
        </m:r>
      </m:oMath>
      <w:r>
        <w:rPr>
          <w:rFonts w:ascii="Times New Roman" w:hAnsi="Times New Roman" w:eastAsia="方正仿宋_GBK"/>
          <w:b w:val="0"/>
          <w:sz w:val="24"/>
        </w:rPr>
        <w:t xml:space="preserve">为本站主变总容量，功率因数取0.95。本章采用初始容量和所设静态工况，第五章采用方案配置容量；均为按视在功率折算的站级计算值。正反向运行分别校核网络、电压及保护条件[4][5]。</w:t>
      </w:r>
    </w:p>
    <w:p>
      <w:pPr>
        <w:pStyle w:val="2"/>
        <w:keepNext/>
        <w:spacing w:line="280" w:lineRule="exact" w:before="120" w:after="80"/>
        <w:ind w:firstLine="0"/>
        <w:jc w:val="center"/>
      </w:pPr>
      <w:r>
        <w:rPr>
          <w:rFonts w:ascii="Times New Roman" w:hAnsi="Times New Roman" w:eastAsia="宋体"/>
          <w:b w:val="0"/>
          <w:sz w:val="21"/>
        </w:rPr>
        <w:t xml:space="preserve">表3-5 2025年站级样本最大正向、反向净负荷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110千伏八义集变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大宋变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戴圩变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30.15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坊上变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29.53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富山变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26.86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河湾变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72.74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邳城变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30.81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69.04</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61.12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84.40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39.67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汶河变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19.10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38.95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议堂变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大黄山变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27.61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古彭变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71.91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惠民变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72.93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花园变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54.36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夹河变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奎山变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71.60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开元变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龙湖变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27.22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刘湾变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60.90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彭场变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110千伏庞庄变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升辉变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山南变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94.08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62.83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88.09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祥和变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16.56</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109.68</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响山变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玉潭变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38.50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翟山变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81.77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茱萸变</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4.80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14.08</w:t>
            </w:r>
          </w:p>
        </w:tc>
      </w:tr>
    </w:tbl>
    <w:p>
      <w:pPr>
        <w:pStyle w:val="2"/>
        <w:keepNext/>
        <w:spacing w:line="280" w:lineRule="exact" w:before="120" w:after="80"/>
        <w:ind w:firstLine="0"/>
        <w:jc w:val="center"/>
      </w:pPr>
      <w:r>
        <w:rPr>
          <w:rFonts w:ascii="Times New Roman" w:hAnsi="Times New Roman" w:eastAsia="宋体"/>
          <w:b w:val="0"/>
          <w:sz w:val="21"/>
        </w:rPr>
        <w:t xml:space="preserve">表3-6 两地区站级负载率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中位数/%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19636"/>
            <wp:effectExtent b="0" l="0" r="0" t="0"/>
            <wp:docPr descr="" title="" id="1" name="Picture"/>
            <a:graphic>
              <a:graphicData uri="http://schemas.openxmlformats.org/drawingml/2006/picture">
                <pic:pic>
                  <pic:nvPicPr>
                    <pic:cNvPr descr="研究报告/02图表/当前版/annual_model_pressure.png" id="0" name="Picture"/>
                    <pic:cNvPicPr>
                      <a:picLocks noChangeArrowheads="1" noChangeAspect="1"/>
                    </pic:cNvPicPr>
                  </pic:nvPicPr>
                  <pic:blipFill>
                    <a:blip r:embed="rId111"/>
                    <a:stretch>
                      <a:fillRect/>
                    </a:stretch>
                  </pic:blipFill>
                  <pic:spPr bwMode="auto">
                    <a:xfrm>
                      <a:off x="0" y="0"/>
                      <a:ext cx="5120640" cy="2519636"/>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图3-4 两地区静态工况下的站级负载率</w:t>
      </w:r>
    </w:p>
    <w:p>
      <w:pPr>
        <w:pStyle w:val="5"/>
        <w:keepNext/>
        <w:numPr>
          <w:numId w:val="0"/>
        </w:numPr>
        <w:spacing w:line="390" w:lineRule="exact" w:before="160" w:after="120"/>
        <w:ind w:firstLine="0"/>
      </w:pPr>
      <w:bookmarkStart w:id="112" w:name="区域同步净负荷曲线"/>
      <w:r>
        <w:rPr>
          <w:rFonts w:ascii="Times New Roman" w:hAnsi="Times New Roman" w:eastAsia="方正仿宋_GBK"/>
          <w:b/>
          <w:sz w:val="26"/>
        </w:rPr>
        <w:t xml:space="preserve">3.4.3 区域同步净负荷曲线</w:t>
      </w:r>
      <w:bookmarkEnd w:id="112"/>
    </w:p>
    <w:p>
      <w:pPr>
        <w:pStyle w:val="FirstParagraph"/>
        <w:widowControl/>
        <w:spacing w:line="348" w:lineRule="exact" w:before="0" w:after="0"/>
        <w:ind w:firstLine="480"/>
        <w:jc w:val="both"/>
      </w:pPr>
      <w:r>
        <w:rPr>
          <w:rFonts w:ascii="Times New Roman" w:hAnsi="Times New Roman" w:eastAsia="方正仿宋_GBK"/>
          <w:b w:val="0"/>
          <w:sz w:val="24"/>
        </w:rPr>
        <w:t xml:space="preserve">在统一小时轴上汇总区域内各站净负荷，得到区域同步净负荷曲线。图中按净负荷绝对值绘制全年过程，并放大最长近峰时段。邳州和市区的绝对值峰值均出现在正向受电时段。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pizhou_regional_peak.png" id="0" name="Picture"/>
                    <pic:cNvPicPr>
                      <a:picLocks noChangeArrowheads="1" noChangeAspect="1"/>
                    </pic:cNvPicPr>
                  </pic:nvPicPr>
                  <pic:blipFill>
                    <a:blip r:embed="rId113"/>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图3-5 邳州区域净负荷曲线及95%近峰时段</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510927"/>
            <wp:effectExtent b="0" l="0" r="0" t="0"/>
            <wp:docPr descr="" title="" id="1" name="Picture"/>
            <a:graphic>
              <a:graphicData uri="http://schemas.openxmlformats.org/drawingml/2006/picture">
                <pic:pic>
                  <pic:nvPicPr>
                    <pic:cNvPr descr="研究报告/02图表/当前版/city_regional_peak.png" id="0" name="Picture"/>
                    <pic:cNvPicPr>
                      <a:picLocks noChangeArrowheads="1" noChangeAspect="1"/>
                    </pic:cNvPicPr>
                  </pic:nvPicPr>
                  <pic:blipFill>
                    <a:blip r:embed="rId114"/>
                    <a:stretch>
                      <a:fillRect/>
                    </a:stretch>
                  </pic:blipFill>
                  <pic:spPr bwMode="auto">
                    <a:xfrm>
                      <a:off x="0" y="0"/>
                      <a:ext cx="5120640" cy="3510927"/>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图3-6 市区区域净负荷曲线及95%近峰时段</w:t>
      </w:r>
    </w:p>
    <w:p>
      <w:pPr>
        <w:pStyle w:val="5"/>
        <w:keepNext/>
        <w:numPr>
          <w:numId w:val="0"/>
        </w:numPr>
        <w:spacing w:line="390" w:lineRule="exact" w:before="160" w:after="120"/>
        <w:ind w:firstLine="0"/>
      </w:pPr>
      <w:bookmarkStart w:id="115" w:name="峰值持续时间"/>
      <w:r>
        <w:rPr>
          <w:rFonts w:ascii="Times New Roman" w:hAnsi="Times New Roman" w:eastAsia="方正仿宋_GBK"/>
          <w:b/>
          <w:sz w:val="26"/>
        </w:rPr>
        <w:t xml:space="preserve">3.4.4 95%峰值持续时间</w:t>
      </w:r>
      <w:bookmarkEnd w:id="115"/>
    </w:p>
    <w:p>
      <w:pPr>
        <w:pStyle w:val="FirstParagraph"/>
        <w:widowControl/>
        <w:spacing w:line="348" w:lineRule="exact" w:before="0" w:after="0"/>
        <w:ind w:firstLine="480"/>
        <w:jc w:val="both"/>
      </w:pPr>
      <w:r>
        <w:rPr>
          <w:rFonts w:ascii="Times New Roman" w:hAnsi="Times New Roman" w:eastAsia="方正仿宋_GBK"/>
          <w:b w:val="0"/>
          <w:sz w:val="24"/>
        </w:rPr>
        <w:t xml:space="preserve">以区域净负荷最大绝对值的95%为阈值，统计达到阈值的最长连续时长和全年累计时数。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H</m:t>
                    </m:r>
                  </m:e>
                  <m:sub>
                    <m:r>
                      <m:t>95</m:t>
                    </m:r>
                  </m:sub>
                </m:sSub>
                <m:r>
                  <m:t>=</m:t>
                </m:r>
                <m:r>
                  <m:rPr>
                    <m:nor/>
                    <m:sty m:val="p"/>
                  </m:rPr>
                  <m:t>max</m:t>
                </m:r>
                <m:r>
                  <m:t>{</m:t>
                </m:r>
                <m:r>
                  <m:rPr>
                    <m:nor/>
                    <m:sty m:val="p"/>
                  </m:rPr>
                  <m:t>连续时段长度</m:t>
                </m:r>
                <m:r>
                  <m:t>:</m:t>
                </m:r>
                <m:r>
                  <m:t>|</m:t>
                </m:r>
                <m:sSub>
                  <m:e>
                    <m:r>
                      <m:t>P</m:t>
                    </m:r>
                  </m:e>
                  <m:sub>
                    <m:r>
                      <m:rPr>
                        <m:sty m:val="p"/>
                      </m:rPr>
                      <m:t>r</m:t>
                    </m:r>
                    <m:r>
                      <m:rPr>
                        <m:sty m:val="p"/>
                      </m:rPr>
                      <m:t>e</m:t>
                    </m:r>
                    <m:r>
                      <m:rPr>
                        <m:sty m:val="p"/>
                      </m:rPr>
                      <m:t>g</m:t>
                    </m:r>
                    <m:r>
                      <m:rPr>
                        <m:sty m:val="p"/>
                      </m:rPr>
                      <m:t>i</m:t>
                    </m:r>
                    <m:r>
                      <m:rPr>
                        <m:sty m:val="p"/>
                      </m:rPr>
                      <m:t>o</m:t>
                    </m:r>
                    <m:r>
                      <m:rPr>
                        <m:sty m:val="p"/>
                      </m:rPr>
                      <m:t>n</m:t>
                    </m:r>
                    <m:r>
                      <m:t>,</m:t>
                    </m:r>
                    <m:r>
                      <m:t>t</m:t>
                    </m:r>
                  </m:sub>
                </m:sSub>
                <m:r>
                  <m:t>|</m:t>
                </m:r>
                <m:r>
                  <m:t>≥</m:t>
                </m:r>
                <m:r>
                  <m:t>0.95</m:t>
                </m:r>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r>
                  <m:t>}</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H</m:t>
            </m:r>
          </m:e>
          <m:sub>
            <m:r>
              <m:t>95</m:t>
            </m:r>
          </m:sub>
        </m:sSub>
      </m:oMath>
      <w:r>
        <w:rPr>
          <w:rFonts w:ascii="Times New Roman" w:hAnsi="Times New Roman" w:eastAsia="方正仿宋_GBK"/>
          <w:b w:val="0"/>
          <w:sz w:val="24"/>
        </w:rPr>
        <w:t xml:space="preserve">为95%峰值持续时间，单位h；</w:t>
      </w:r>
      <m:oMath>
        <m:sSub>
          <m:e>
            <m:r>
              <m:t>P</m:t>
            </m:r>
          </m:e>
          <m:sub>
            <m:r>
              <m:rPr>
                <m:sty m:val="p"/>
              </m:rPr>
              <m:t>r</m:t>
            </m:r>
            <m:r>
              <m:rPr>
                <m:sty m:val="p"/>
              </m:rPr>
              <m:t>e</m:t>
            </m:r>
            <m:r>
              <m:rPr>
                <m:sty m:val="p"/>
              </m:rPr>
              <m:t>g</m:t>
            </m:r>
            <m:r>
              <m:rPr>
                <m:sty m:val="p"/>
              </m:rPr>
              <m:t>i</m:t>
            </m:r>
            <m:r>
              <m:rPr>
                <m:sty m:val="p"/>
              </m:rPr>
              <m:t>o</m:t>
            </m:r>
            <m:r>
              <m:rPr>
                <m:sty m:val="p"/>
              </m:rPr>
              <m:t>n</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的区域净负荷，</w:t>
      </w:r>
      <m:oMath>
        <m:sSubSup>
          <m:e>
            <m:r>
              <m:t>P</m:t>
            </m:r>
          </m:e>
          <m:sub>
            <m:r>
              <m:rPr>
                <m:sty m:val="p"/>
              </m:rPr>
              <m:t>r</m:t>
            </m:r>
            <m:r>
              <m:rPr>
                <m:sty m:val="p"/>
              </m:rPr>
              <m:t>e</m:t>
            </m:r>
            <m:r>
              <m:rPr>
                <m:sty m:val="p"/>
              </m:rPr>
              <m:t>g</m:t>
            </m:r>
            <m:r>
              <m:rPr>
                <m:sty m:val="p"/>
              </m:rPr>
              <m:t>i</m:t>
            </m:r>
            <m:r>
              <m:rPr>
                <m:sty m:val="p"/>
              </m:rPr>
              <m:t>o</m:t>
            </m:r>
            <m:r>
              <m:rPr>
                <m:sty m:val="p"/>
              </m:rPr>
              <m:t>n</m:t>
            </m:r>
          </m:sub>
          <m:sup>
            <m:r>
              <m:rPr>
                <m:sty m:val="p"/>
              </m:rPr>
              <m:t>a</m:t>
            </m:r>
            <m:r>
              <m:rPr>
                <m:sty m:val="p"/>
              </m:rPr>
              <m:t>b</m:t>
            </m:r>
            <m:r>
              <m:rPr>
                <m:sty m:val="p"/>
              </m:rPr>
              <m:t>s</m:t>
            </m:r>
          </m:sup>
        </m:sSubSup>
      </m:oMath>
      <w:r>
        <w:rPr>
          <w:rFonts w:ascii="Times New Roman" w:hAnsi="Times New Roman" w:eastAsia="方正仿宋_GBK"/>
          <w:b w:val="0"/>
          <w:sz w:val="24"/>
        </w:rPr>
        <w:t xml:space="preserve">为其全年最大绝对值，单位MW。</w:t>
      </w:r>
    </w:p>
    <w:p>
      <w:pPr>
        <w:pStyle w:val="2"/>
        <w:keepNext/>
        <w:spacing w:line="280" w:lineRule="exact" w:before="120" w:after="80"/>
        <w:ind w:firstLine="0"/>
        <w:jc w:val="center"/>
      </w:pPr>
      <w:r>
        <w:rPr>
          <w:rFonts w:ascii="Times New Roman" w:hAnsi="Times New Roman" w:eastAsia="宋体"/>
          <w:b w:val="0"/>
          <w:sz w:val="21"/>
        </w:rPr>
        <w:t xml:space="preserve">表3-7 两地区净负荷95%峰值持续时间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净负荷最大绝对值/MW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95%峰值阈值/MW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最长连续时长/h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累计时数/h</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904.08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1241.95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邳州95%峰值阈值为904.08 MW，最长连续近峰时段为7月4日21:00—23:00，持续2 h，全年累计7 h。市区阈值为1241.95 MW，最长连续近峰时段为8月21日17:00—23:00，持续6 h，全年累计11 h。市区近峰过程持续更长，容量比选应关注较长时间的支撑需求。</w:t>
      </w:r>
    </w:p>
    <w:p>
      <w:pPr>
        <w:pStyle w:val="5"/>
        <w:keepNext/>
        <w:numPr>
          <w:numId w:val="0"/>
        </w:numPr>
        <w:spacing w:line="390" w:lineRule="exact" w:before="160" w:after="120"/>
        <w:ind w:firstLine="0"/>
      </w:pPr>
      <w:bookmarkStart w:id="116" w:name="峰段与储能容量的联系"/>
      <w:r>
        <w:rPr>
          <w:rFonts w:ascii="Times New Roman" w:hAnsi="Times New Roman" w:eastAsia="方正仿宋_GBK"/>
          <w:b/>
          <w:sz w:val="26"/>
        </w:rPr>
        <w:t xml:space="preserve">3.4.5 峰段与储能容量的联系</w:t>
      </w:r>
      <w:bookmarkEnd w:id="116"/>
    </w:p>
    <w:p>
      <w:pPr>
        <w:pStyle w:val="FirstParagraph"/>
        <w:widowControl/>
        <w:spacing w:line="348" w:lineRule="exact" w:before="0" w:after="0"/>
        <w:ind w:firstLine="480"/>
        <w:jc w:val="both"/>
      </w:pPr>
      <w:r>
        <w:rPr>
          <w:rFonts w:ascii="Times New Roman" w:hAnsi="Times New Roman" w:eastAsia="方正仿宋_GBK"/>
          <w:b w:val="0"/>
          <w:sz w:val="24"/>
        </w:rPr>
        <w:t xml:space="preserve">峰值幅度和持续时间共同决定静态支撑需求。储能额定功率限制瞬时支撑幅度，可用能量限制连续支撑时长。模型使用铭牌功率与峰段可持续能量的较小值确定充放电功率。</w:t>
      </w:r>
    </w:p>
    <w:p>
      <w:pPr>
        <w:pStyle w:val="2"/>
        <w:widowControl/>
        <w:spacing w:line="348" w:lineRule="exact" w:before="0" w:after="0"/>
        <w:ind w:firstLine="480"/>
        <w:jc w:val="both"/>
      </w:pPr>
      <w:r>
        <w:rPr>
          <w:rFonts w:ascii="Times New Roman" w:hAnsi="Times New Roman" w:eastAsia="方正仿宋_GBK"/>
          <w:b w:val="0"/>
          <w:sz w:val="24"/>
        </w:rPr>
        <w:t xml:space="preserve">95%近峰持续时间用于描述区域负荷特征。N-1后的容量缺口可能在负荷未达到峰值95%时已经出现，实际能量需求应按超过剩余供电能力的功率差积分确定。4 h用于统一技术经济对照，其适用性需结合地区110 kV网供峰值曲线及故障恢复条件判断。当前研究采用可用电量系数0.76作静态折算，未开展逐时荷电状态仿真[28][10]。</w:t>
      </w:r>
    </w:p>
    <w:p>
      <w:pPr>
        <w:pStyle w:val="4"/>
        <w:keepNext/>
        <w:numPr>
          <w:numId w:val="0"/>
        </w:numPr>
        <w:spacing w:line="480" w:lineRule="exact" w:before="160" w:after="120"/>
        <w:ind w:firstLine="0"/>
      </w:pPr>
      <w:bookmarkStart w:id="1314" w:name="h314"/>
      <w:bookmarkStart w:id="117" w:name="核心参数的案例敏感性分析"/>
      <w:r>
        <w:rPr>
          <w:rFonts w:ascii="Times New Roman" w:hAnsi="Times New Roman" w:eastAsia="方正仿宋_GBK"/>
          <w:b/>
          <w:sz w:val="32"/>
        </w:rPr>
        <w:t xml:space="preserve">3.5 核心参数的案例敏感性分析</w:t>
      </w:r>
      <w:bookmarkEnd w:id="117"/>
      <w:bookmarkEnd w:id="1314"/>
    </w:p>
    <w:p>
      <w:pPr>
        <w:pStyle w:val="5"/>
        <w:keepNext/>
        <w:numPr>
          <w:numId w:val="0"/>
        </w:numPr>
        <w:spacing w:line="390" w:lineRule="exact" w:before="160" w:after="120"/>
        <w:ind w:firstLine="0"/>
      </w:pPr>
      <w:bookmarkStart w:id="118" w:name="案例基础与参数范围"/>
      <w:r>
        <w:rPr>
          <w:rFonts w:ascii="Times New Roman" w:hAnsi="Times New Roman" w:eastAsia="方正仿宋_GBK"/>
          <w:b/>
          <w:sz w:val="26"/>
        </w:rPr>
        <w:t xml:space="preserve">3.5.1 案例基础与参数范围</w:t>
      </w:r>
      <w:bookmarkEnd w:id="118"/>
    </w:p>
    <w:p>
      <w:pPr>
        <w:pStyle w:val="FirstParagraph"/>
        <w:widowControl/>
        <w:spacing w:line="348" w:lineRule="exact" w:before="0" w:after="0"/>
        <w:ind w:firstLine="480"/>
        <w:jc w:val="both"/>
      </w:pPr>
      <w:r>
        <w:rPr>
          <w:rFonts w:ascii="Times New Roman" w:hAnsi="Times New Roman" w:eastAsia="方正仿宋_GBK"/>
          <w:b w:val="0"/>
          <w:sz w:val="24"/>
        </w:rPr>
        <w:t xml:space="preserve">敏感性分析以邳州和市区的实际年度负荷、站级同步功率分布和具体候选网络为基础，保留各地区初始设备、可扩建位置及主变规格。采用弹性方案，在相同正常运行与主变N-1约束下，每次仅改变一项参数，重新确定逐年主变、储能及联络配置。分析对象为地区案例，推广模板的参数组合及其相关性在第5.6节讨论。</w:t>
      </w:r>
    </w:p>
    <w:p>
      <w:pPr>
        <w:pStyle w:val="2"/>
        <w:widowControl/>
        <w:spacing w:line="348" w:lineRule="exact" w:before="0" w:after="0"/>
        <w:ind w:firstLine="480"/>
        <w:jc w:val="both"/>
      </w:pPr>
      <w:r>
        <w:rPr>
          <w:rFonts w:ascii="Times New Roman" w:hAnsi="Times New Roman" w:eastAsia="方正仿宋_GBK"/>
          <w:b w:val="0"/>
          <w:sz w:val="24"/>
        </w:rPr>
        <w:t xml:space="preserve">两地区的源荷条件具有差异。邳州2025年分布式电源装机渗透率估计值为1.63，市区为0.32；年最大净负荷平均增长率按2021—2025年实际负荷计算，显示值分别为7%和1%。各参数的影响通过同一地区内固定其余条件的独立扰动分析。</w:t>
      </w:r>
    </w:p>
    <w:p>
      <w:pPr>
        <w:pStyle w:val="2"/>
        <w:keepNext/>
        <w:spacing w:line="280" w:lineRule="exact" w:before="120" w:after="80"/>
        <w:ind w:firstLine="0"/>
        <w:jc w:val="center"/>
      </w:pPr>
      <w:r>
        <w:rPr>
          <w:rFonts w:ascii="Times New Roman" w:hAnsi="Times New Roman" w:eastAsia="宋体"/>
          <w:b w:val="0"/>
          <w:sz w:val="21"/>
        </w:rPr>
        <w:t xml:space="preserve">表3-8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分布式电源电量渗透率估计值</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主变年最大负载率中位数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典型场景及样本外推</w:t>
            </w:r>
          </w:p>
        </w:tc>
      </w:tr>
    </w:tbl>
    <w:p>
      <w:pPr>
        <w:pStyle w:val="2"/>
        <w:widowControl/>
        <w:spacing w:line="348" w:lineRule="exact" w:before="0" w:after="0"/>
        <w:ind w:firstLine="480"/>
        <w:jc w:val="both"/>
      </w:pPr>
      <w:r>
        <w:rPr>
          <w:rFonts w:ascii="Times New Roman" w:hAnsi="Times New Roman" w:eastAsia="方正仿宋_GBK"/>
          <w:b w:val="0"/>
          <w:sz w:val="24"/>
        </w:rPr>
        <w:t xml:space="preserve">案例独立扰动包括年最大净负荷平均增长率、线路成本系数和储能支撑持续时间。三项参数分别作用于负荷发展、联络建设费用和储能有效支撑功率，能够在保留其余案例条件的情况下明确改变。储能价格保留基准值，其专项经济分析见第5.6节。</w:t>
      </w:r>
    </w:p>
    <w:p>
      <w:pPr>
        <w:pStyle w:val="2"/>
        <w:keepNext/>
        <w:spacing w:line="280" w:lineRule="exact" w:before="120" w:after="80"/>
        <w:ind w:firstLine="0"/>
        <w:jc w:val="center"/>
      </w:pPr>
      <w:r>
        <w:rPr>
          <w:rFonts w:ascii="Times New Roman" w:hAnsi="Times New Roman" w:eastAsia="宋体"/>
          <w:b w:val="0"/>
          <w:sz w:val="21"/>
        </w:rPr>
        <w:t xml:space="preserve">表3-9 地区案例核心参数及分析方式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基准</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扰动或对照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保持条件</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各地区2021—2025年复合计算值</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基准±2个百分点</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年度波动形态、初始设备及候选网络</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邳州1.65；市区6.85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基准的75%、100%、125%</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线路长度、固定接入费用及技术能力</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正向4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正向2、4、6 h</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反向支撑要求、储能价格及额定规格</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同一统计范围的站峰与区域同期峰关系</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站级与地区负荷对照</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不由两类工况估计全年系数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邳州局部样本约28%；市区研究参考40%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分别说明资料范围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地区案例按具体路径校核</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邳州1.63；市区0.32（估计值）</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两地区源荷背景对照</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不按装机比例直接缩放净负荷</w:t>
            </w:r>
          </w:p>
        </w:tc>
      </w:tr>
    </w:tbl>
    <w:p>
      <w:pPr>
        <w:pStyle w:val="2"/>
        <w:widowControl/>
        <w:spacing w:line="348" w:lineRule="exact" w:before="0" w:after="0"/>
        <w:ind w:firstLine="480"/>
        <w:jc w:val="both"/>
      </w:pPr>
      <w:r>
        <w:rPr>
          <w:rFonts w:ascii="Times New Roman" w:hAnsi="Times New Roman" w:eastAsia="方正仿宋_GBK"/>
          <w:b w:val="0"/>
          <w:sz w:val="24"/>
        </w:rPr>
        <w:t xml:space="preserve">负荷分散系数按同一统计期、同一范围的各站最大负荷之和与区域同时最大负荷之比定义[5]。各站峰值和区域同步峰值均取补齐后的全年序列。</w:t>
      </w:r>
    </w:p>
    <w:p>
      <w:pPr>
        <w:pStyle w:val="2"/>
        <w:widowControl/>
        <w:spacing w:line="348" w:lineRule="atLeast" w:before="0" w:after="0"/>
        <w:ind w:firstLine="480"/>
        <w:jc w:val="both"/>
      </w:pPr>
      <w:r>
        <w:rPr>
          <w:rFonts w:ascii="Times New Roman" w:hAnsi="Times New Roman" w:eastAsia="方正仿宋_GBK"/>
          <w:b w:val="0"/>
          <w:sz w:val="24"/>
        </w:rPr>
        <w:t xml:space="preserve">负荷分散系数记为</w:t>
      </w:r>
      <m:oMath>
        <m:sSub>
          <m:e>
            <m:r>
              <m:t>K</m:t>
            </m:r>
          </m:e>
          <m:sub>
            <m:r>
              <m:t>D</m:t>
            </m:r>
          </m:sub>
        </m:sSub>
      </m:oMath>
      <w:r>
        <w:rPr>
          <w:rFonts w:ascii="Times New Roman" w:hAnsi="Times New Roman" w:eastAsia="方正仿宋_GBK"/>
          <w:b w:val="0"/>
          <w:sz w:val="24"/>
        </w:rPr>
        <w:t xml:space="preserve">，按</w:t>
      </w:r>
      <m:oMath>
        <m:sSub>
          <m:e>
            <m:r>
              <m:t>K</m:t>
            </m:r>
          </m:e>
          <m:sub>
            <m:r>
              <m:t>D</m:t>
            </m:r>
          </m:sub>
        </m:sSub>
        <m:r>
          <m:t>=</m:t>
        </m:r>
        <m:nary>
          <m:naryPr>
            <m:chr m:val="∑"/>
            <m:limLoc m:val="undOvr"/>
            <m:subHide m:val="0"/>
            <m:supHide m:val="1"/>
          </m:naryPr>
          <m:sub>
            <m:r>
              <m:t>i</m:t>
            </m:r>
          </m:sub>
          <m:sup>
            <m:r>
              <m:t>​</m:t>
            </m:r>
          </m:sup>
          <m:e>
            <m:sSubSup>
              <m:e>
                <m:r>
                  <m:t>P</m:t>
                </m:r>
              </m:e>
              <m:sub>
                <m:r>
                  <m:t>i</m:t>
                </m:r>
                <m:r>
                  <m:t>,</m:t>
                </m:r>
                <m:r>
                  <m:rPr>
                    <m:nor/>
                    <m:sty m:val="p"/>
                  </m:rPr>
                  <m:t>max</m:t>
                </m:r>
              </m:sub>
              <m:sup>
                <m:r>
                  <m:t>+</m:t>
                </m:r>
              </m:sup>
            </m:sSubSup>
          </m:e>
        </m:nary>
        <m:r>
          <m:t>/</m:t>
        </m:r>
        <m:sSubSup>
          <m:e>
            <m:r>
              <m:t>P</m:t>
            </m:r>
          </m:e>
          <m:sub>
            <m:r>
              <m:rPr>
                <m:sty m:val="p"/>
              </m:rPr>
              <m:t>r</m:t>
            </m:r>
            <m:r>
              <m:rPr>
                <m:sty m:val="p"/>
              </m:rPr>
              <m:t>e</m:t>
            </m:r>
            <m:r>
              <m:rPr>
                <m:sty m:val="p"/>
              </m:rPr>
              <m:t>g</m:t>
            </m:r>
            <m:r>
              <m:rPr>
                <m:sty m:val="p"/>
              </m:rPr>
              <m:t>i</m:t>
            </m:r>
            <m:r>
              <m:rPr>
                <m:sty m:val="p"/>
              </m:rPr>
              <m:t>o</m:t>
            </m:r>
            <m:r>
              <m:rPr>
                <m:sty m:val="p"/>
              </m:rPr>
              <m:t>n</m:t>
            </m:r>
            <m:r>
              <m:t>,</m:t>
            </m:r>
            <m:r>
              <m:rPr>
                <m:nor/>
                <m:sty m:val="p"/>
              </m:rPr>
              <m:t>max</m:t>
            </m:r>
          </m:sub>
          <m:sup>
            <m:r>
              <m:t>+</m:t>
            </m:r>
          </m:sup>
        </m:sSubSup>
      </m:oMath>
      <w:r>
        <w:rPr>
          <w:rFonts w:ascii="Times New Roman" w:hAnsi="Times New Roman" w:eastAsia="方正仿宋_GBK"/>
          <w:b w:val="0"/>
          <w:sz w:val="24"/>
        </w:rPr>
        <w:t xml:space="preserve">计算；分子为各站最大正向净负荷之和，分母为同期地区汇总曲线的最大正向净负荷。</w:t>
      </w:r>
    </w:p>
    <w:p>
      <w:pPr>
        <w:pStyle w:val="2"/>
        <w:keepNext/>
        <w:spacing w:line="280" w:lineRule="exact" w:before="120" w:after="80"/>
        <w:ind w:firstLine="0"/>
        <w:jc w:val="center"/>
      </w:pPr>
      <w:r>
        <w:rPr>
          <w:rFonts w:ascii="Times New Roman" w:hAnsi="Times New Roman" w:eastAsia="宋体"/>
          <w:b w:val="0"/>
          <w:sz w:val="21"/>
        </w:rPr>
        <w:t xml:space="preserve">表3-10 两地区负荷分散系数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各站最大正向净负荷之和/MW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区域最大正向净负荷/MW</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1005.50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951.66</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1455.10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1307.32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样本负荷分散系数为1.06，市区为1.11。市区各站独立峰值之和相对区域同期峰值的偏离更大，表明站间峰值时刻差异在本样本中更明显。第5.6节采用负荷分散系数1.00、1.10、1.15计算节点，覆盖两地区样本值附近的比较条件。</w:t>
      </w:r>
    </w:p>
    <w:p>
      <w:pPr>
        <w:pStyle w:val="2"/>
        <w:widowControl/>
        <w:spacing w:line="348" w:lineRule="exact" w:before="0" w:after="0"/>
        <w:ind w:firstLine="480"/>
        <w:jc w:val="both"/>
      </w:pPr>
      <w:r>
        <w:rPr>
          <w:rFonts w:ascii="Times New Roman" w:hAnsi="Times New Roman" w:eastAsia="方正仿宋_GBK"/>
          <w:b w:val="0"/>
          <w:sz w:val="24"/>
        </w:rPr>
        <w:t xml:space="preserve">邳州局部馈线样本测算的可转比例约28%，市区40%为B类区域占主导条件下的研究参考。地区敏感性保持原有具体路径、馈线热限及邻站容量条件；初始转供率的独立作用在推广模板中按明确网络预算分析。</w:t>
      </w:r>
    </w:p>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分布式电源装机渗透率用于说明两地区电源发展水平。现有案例采用净负荷静态工况。装机渗透率敏感性在推广模板中开展，先分别构造用户负荷和电源出力，再改变装机规模检验双向容量需求。</w:t>
      </w:r>
    </w:p>
    <w:p>
      <w:pPr>
        <w:pStyle w:val="5"/>
        <w:keepNext/>
        <w:numPr>
          <w:numId w:val="0"/>
        </w:numPr>
        <w:spacing w:line="390" w:lineRule="exact" w:before="160" w:after="120"/>
        <w:ind w:firstLine="0"/>
      </w:pPr>
      <w:bookmarkStart w:id="119" w:name="年最大净负荷平均增长率的影响"/>
      <w:r>
        <w:rPr>
          <w:rFonts w:ascii="Times New Roman" w:hAnsi="Times New Roman" w:eastAsia="方正仿宋_GBK"/>
          <w:b/>
          <w:sz w:val="26"/>
        </w:rPr>
        <w:t xml:space="preserve">3.5.2 年最大净负荷平均增长率的影响</w:t>
      </w:r>
      <w:bookmarkEnd w:id="119"/>
    </w:p>
    <w:p>
      <w:pPr>
        <w:pStyle w:val="FirstParagraph"/>
        <w:widowControl/>
        <w:spacing w:line="348" w:lineRule="exact" w:before="0" w:after="0"/>
        <w:ind w:firstLine="480"/>
        <w:jc w:val="both"/>
      </w:pPr>
      <w:r>
        <w:rPr>
          <w:rFonts w:ascii="Times New Roman" w:hAnsi="Times New Roman" w:eastAsia="方正仿宋_GBK"/>
          <w:b w:val="0"/>
          <w:sz w:val="24"/>
        </w:rPr>
        <w:t xml:space="preserve">以各地区2021—2025年实际负荷计算的年最大净负荷平均增长率为基准，分别增加和减少2个百分点。历史基准序列保留年度波动，扰动序列在每个年份乘以相应发展倍率。第</w:t>
      </w:r>
      <m:oMath>
        <m:r>
          <m:t>y</m:t>
        </m:r>
      </m:oMath>
      <w:r>
        <w:rPr>
          <w:rFonts w:ascii="Times New Roman" w:hAnsi="Times New Roman" w:eastAsia="方正仿宋_GBK"/>
          <w:b w:val="0"/>
          <w:sz w:val="24"/>
        </w:rPr>
        <w:t xml:space="preserve">年的扰动负荷按式（3-8）构造。</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y</m:t>
                          </m:r>
                        </m:sub>
                      </m:sSub>
                    </m:e>
                    <m:e>
                      <m:r>
                        <m:t>=</m:t>
                      </m:r>
                      <m:sSub>
                        <m:e>
                          <m:r>
                            <m:t>P</m:t>
                          </m:r>
                        </m:e>
                        <m:sub>
                          <m:r>
                            <m:t>y</m:t>
                          </m:r>
                        </m:sub>
                      </m:sSub>
                      <m:sSup>
                        <m:e>
                          <m:d>
                            <m:dPr>
                              <m:begChr m:val="("/>
                              <m:endChr m:val=")"/>
                              <m:grow/>
                            </m:dPr>
                            <m:e>
                              <m:f>
                                <m:fPr>
                                  <m:type m:val="bar"/>
                                </m:fPr>
                                <m:num>
                                  <m:r>
                                    <m:t>1</m:t>
                                  </m:r>
                                  <m:r>
                                    <m:t>+</m:t>
                                  </m:r>
                                  <m:acc>
                                    <m:accPr>
                                      <m:chr m:val="‾"/>
                                    </m:accPr>
                                    <m:e>
                                      <m:r>
                                        <m:t>g</m:t>
                                      </m:r>
                                    </m:e>
                                  </m:acc>
                                  <m:r>
                                    <m:t>+</m:t>
                                  </m:r>
                                  <m:r>
                                    <m:t>Δ</m:t>
                                  </m:r>
                                  <m:r>
                                    <m:t>g</m:t>
                                  </m:r>
                                </m:num>
                                <m:den>
                                  <m:r>
                                    <m:t>1</m:t>
                                  </m:r>
                                  <m:r>
                                    <m:t>+</m:t>
                                  </m:r>
                                  <m:acc>
                                    <m:accPr>
                                      <m:chr m:val="‾"/>
                                    </m:accPr>
                                    <m:e>
                                      <m:r>
                                        <m:t>g</m:t>
                                      </m:r>
                                    </m:e>
                                  </m:acc>
                                </m:den>
                              </m:f>
                            </m:e>
                          </m:d>
                        </m:e>
                        <m:sup>
                          <m:r>
                            <m:t>y</m:t>
                          </m:r>
                          <m:r>
                            <m:t>−</m:t>
                          </m:r>
                          <m:r>
                            <m:t>2021</m:t>
                          </m:r>
                        </m:sup>
                      </m:sSup>
                      <m:r>
                        <m:t>,</m:t>
                      </m:r>
                    </m:e>
                  </m:mr>
                  <m:mr>
                    <m:e>
                      <m:r>
                        <m:t>Δ</m:t>
                      </m:r>
                      <m:r>
                        <m:t>g</m:t>
                      </m:r>
                    </m:e>
                    <m:e>
                      <m:r>
                        <m:t>∈</m:t>
                      </m:r>
                      <m:r>
                        <m:t>{</m:t>
                      </m:r>
                      <m:r>
                        <m:t>−</m:t>
                      </m:r>
                      <m:r>
                        <m:t>0.02</m:t>
                      </m:r>
                      <m:r>
                        <m:t>,</m:t>
                      </m:r>
                      <m:r>
                        <m:t>0</m:t>
                      </m:r>
                      <m:r>
                        <m:t>,</m:t>
                      </m:r>
                      <m:r>
                        <m:t>0.02</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（3-8）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为基准年度年网供最大负荷，</w:t>
      </w:r>
      <m:oMath>
        <m:r>
          <m:t>P</m:t>
        </m:r>
        <m:sSub>
          <m:e>
            <m:r>
              <m:t>′</m:t>
            </m:r>
          </m:e>
          <m:sub>
            <m:r>
              <m:t>y</m:t>
            </m:r>
          </m:sub>
        </m:sSub>
      </m:oMath>
      <w:r>
        <w:rPr>
          <w:rFonts w:ascii="Times New Roman" w:hAnsi="Times New Roman" w:eastAsia="方正仿宋_GBK"/>
          <w:b w:val="0"/>
          <w:sz w:val="24"/>
        </w:rPr>
        <w:t xml:space="preserve">为敏感性情景负荷，单位MW；</w:t>
      </w:r>
      <m:oMath>
        <m:acc>
          <m:accPr>
            <m:chr m:val="‾"/>
          </m:accPr>
          <m:e>
            <m:r>
              <m:t>g</m:t>
            </m:r>
          </m:e>
        </m:acc>
      </m:oMath>
      <w:r>
        <w:rPr>
          <w:rFonts w:ascii="Times New Roman" w:hAnsi="Times New Roman" w:eastAsia="方正仿宋_GBK"/>
          <w:b w:val="0"/>
          <w:sz w:val="24"/>
        </w:rPr>
        <w:t xml:space="preserve">为基准年最大净负荷平均增长率，</w:t>
      </w:r>
      <m:oMath>
        <m:r>
          <m:t>Δ</m:t>
        </m:r>
        <m:r>
          <m:t>g</m:t>
        </m:r>
      </m:oMath>
      <w:r>
        <w:rPr>
          <w:rFonts w:ascii="Times New Roman" w:hAnsi="Times New Roman" w:eastAsia="方正仿宋_GBK"/>
          <w:b w:val="0"/>
          <w:sz w:val="24"/>
        </w:rPr>
        <w:t xml:space="preserve">为扰动幅度。相同年度倍率作用于各站同步功率，保留原有工况内的站间分布与负荷守恒。基期设备、候选线路热限及初始馈线能力保持不变。</w:t>
      </w:r>
    </w:p>
    <w:p>
      <w:pPr>
        <w:pStyle w:val="2"/>
        <w:keepNext/>
        <w:spacing w:line="280" w:lineRule="exact" w:before="120" w:after="80"/>
        <w:ind w:firstLine="0"/>
        <w:jc w:val="center"/>
      </w:pPr>
      <w:r>
        <w:rPr>
          <w:rFonts w:ascii="Times New Roman" w:hAnsi="Times New Roman" w:eastAsia="宋体"/>
          <w:b w:val="0"/>
          <w:sz w:val="21"/>
        </w:rPr>
        <w:t xml:space="preserve">表3-11 两地区年最大净负荷平均增长率敏感性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1795.50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22016.50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2078.50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29087.82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54243.20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1653.13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64732.35</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邳州增长率提高时，主变容量从1795.50 MVA增至2078.50 MVA，目标年负荷从886.87 MW增至1030.04 MW。两端容载比均为2.02，基准为2.04，反映负荷增长与整台设备投运的幅度差异。</w:t>
      </w:r>
    </w:p>
    <w:p>
      <w:pPr>
        <w:pStyle w:val="2"/>
        <w:widowControl/>
        <w:spacing w:line="348" w:lineRule="exact" w:before="0" w:after="0"/>
        <w:ind w:firstLine="480"/>
        <w:jc w:val="both"/>
      </w:pPr>
      <w:r>
        <w:rPr>
          <w:rFonts w:ascii="Times New Roman" w:hAnsi="Times New Roman" w:eastAsia="方正仿宋_GBK"/>
          <w:b w:val="0"/>
          <w:sz w:val="24"/>
        </w:rPr>
        <w:t xml:space="preserve">市区较低与基准增长情景均采用3311.00 MVA主变，较高情景增至3324.00 MVA。目标年负荷由1411.65 MW增至1653.13 MW，增长幅度超过容量增幅，容载比由2.35降至2.01。</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改变后，容载比分母和设备容量需求同时变化。主变按整台规格投运，容量调整呈离散变化，故容载比与负荷发展未必同向。判断容量储备是否增加，应同时比较目标年公用主变总容量、年网供最大负荷及建设费用。</w:t>
      </w:r>
    </w:p>
    <w:p>
      <w:pPr>
        <w:pStyle w:val="5"/>
        <w:keepNext/>
        <w:numPr>
          <w:numId w:val="0"/>
        </w:numPr>
        <w:spacing w:line="390" w:lineRule="exact" w:before="160" w:after="120"/>
        <w:ind w:firstLine="0"/>
      </w:pPr>
      <w:bookmarkStart w:id="120" w:name="线路成本系数的影响"/>
      <w:r>
        <w:rPr>
          <w:rFonts w:ascii="Times New Roman" w:hAnsi="Times New Roman" w:eastAsia="方正仿宋_GBK"/>
          <w:b/>
          <w:sz w:val="26"/>
        </w:rPr>
        <w:t xml:space="preserve">3.5.3 线路成本系数的影响</w:t>
      </w:r>
      <w:bookmarkEnd w:id="120"/>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按各地区基准值的75%、100%、125%分别设置。线路长度、固定接入费用、单项目能力及候选路径保持不变，只有单位长度造价项随线路成本系数变化。邳州和市区基准线路成本系数分别为1.65、6.85，对应3 km参考工程投资124.80万元、499.20万元。</w:t>
      </w:r>
    </w:p>
    <w:p>
      <w:pPr>
        <w:pStyle w:val="2"/>
        <w:keepNext/>
        <w:spacing w:line="280" w:lineRule="exact" w:before="120" w:after="80"/>
        <w:ind w:firstLine="0"/>
        <w:jc w:val="center"/>
      </w:pPr>
      <w:r>
        <w:rPr>
          <w:rFonts w:ascii="Times New Roman" w:hAnsi="Times New Roman" w:eastAsia="宋体"/>
          <w:b w:val="0"/>
          <w:sz w:val="21"/>
        </w:rPr>
        <w:t xml:space="preserve">表3-12 两地区线路成本系数敏感性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24212.57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27102.99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48469.18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67519.11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邳州线路成本系数由基准的75%增至125%时，所取得可行方案的新增联络项目数由34项变为30项，主变容量由1921.00 MVA变为1955.50 MVA，储能额定功率由2.70 MW变为0.00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市区线路成本系数由基准的75%增至125%时，所取得可行方案的新增联络项目数由74项变为64项，主变容量由3267.00 MVA变为3324.00 MVA，储能额定功率保持0.50 MW。线路造价提高后，方案减少新增联络，并以增加主变容量补充支撑。</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提高时，同一线路组合的费用直接增加；重新优化后还可能出现主变增容、储能及联络项目之间的替换。若容载比未变，仍需观察新增联络项目数、储能额定功率及费用现值；若容载比发生变化，则应结合主变总容量识别离散设备选择。</w:t>
      </w:r>
    </w:p>
    <w:p>
      <w:pPr>
        <w:pStyle w:val="5"/>
        <w:keepNext/>
        <w:numPr>
          <w:numId w:val="0"/>
        </w:numPr>
        <w:spacing w:line="390" w:lineRule="exact" w:before="160" w:after="120"/>
        <w:ind w:firstLine="0"/>
      </w:pPr>
      <w:bookmarkStart w:id="121" w:name="储能支撑持续时间的影响"/>
      <w:r>
        <w:rPr>
          <w:rFonts w:ascii="Times New Roman" w:hAnsi="Times New Roman" w:eastAsia="方正仿宋_GBK"/>
          <w:b/>
          <w:sz w:val="26"/>
        </w:rPr>
        <w:t xml:space="preserve">3.5.4 储能支撑持续时间的影响</w:t>
      </w:r>
      <w:bookmarkEnd w:id="121"/>
    </w:p>
    <w:p>
      <w:pPr>
        <w:pStyle w:val="FirstParagraph"/>
        <w:widowControl/>
        <w:spacing w:line="348" w:lineRule="exact" w:before="0" w:after="0"/>
        <w:ind w:firstLine="480"/>
        <w:jc w:val="both"/>
      </w:pPr>
      <w:r>
        <w:rPr>
          <w:rFonts w:ascii="Times New Roman" w:hAnsi="Times New Roman" w:eastAsia="方正仿宋_GBK"/>
          <w:b w:val="0"/>
          <w:sz w:val="24"/>
        </w:rPr>
        <w:t xml:space="preserve">正向储能支撑持续时间分别取2、4、6 h。各站反向支撑要求、储能单柜额定功率与额定能量、可用电量系数及采购价格保持不变。单柜额定功率0.10 MW、额定能量215 kWh，可用电量系数0.76；三种正向持续时间下，单柜有效支撑功率分别为0.08170、0.04085、约0.02723 MW。</w:t>
      </w:r>
    </w:p>
    <w:p>
      <w:pPr>
        <w:pStyle w:val="2"/>
        <w:keepNext/>
        <w:spacing w:line="280" w:lineRule="exact" w:before="120" w:after="80"/>
        <w:ind w:firstLine="0"/>
        <w:jc w:val="center"/>
      </w:pPr>
      <w:r>
        <w:rPr>
          <w:rFonts w:ascii="Times New Roman" w:hAnsi="Times New Roman" w:eastAsia="宋体"/>
          <w:b w:val="0"/>
          <w:sz w:val="21"/>
        </w:rPr>
        <w:t xml:space="preserve">表3-13 两地区储能支撑持续时间敏感性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参数取值</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57835.89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 h（基准）</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58332.34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 h</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58767.94</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邳州三个持续时间方案均未配置储能，主变容量为1955.50 MVA、容载比为2.04，持续时间变化未改变容量配置。</w:t>
      </w:r>
    </w:p>
    <w:p>
      <w:pPr>
        <w:pStyle w:val="2"/>
        <w:widowControl/>
        <w:spacing w:line="348" w:lineRule="exact" w:before="0" w:after="0"/>
        <w:ind w:firstLine="480"/>
        <w:jc w:val="both"/>
      </w:pPr>
      <w:r>
        <w:rPr>
          <w:rFonts w:ascii="Times New Roman" w:hAnsi="Times New Roman" w:eastAsia="方正仿宋_GBK"/>
          <w:b w:val="0"/>
          <w:sz w:val="24"/>
        </w:rPr>
        <w:t xml:space="preserve">市区在2、4、6 h正向支撑要求下，目标年主变容量分别为3324.00、3311.00、3324.00 MVA，储能额定功率分别为5.30、1.60、2.20 MW，容载比为2.17、2.17、2.17。储能有效支撑功率随持续时间折算，额定功率变化需要连同主变与联络配置判断。</w:t>
      </w:r>
    </w:p>
    <w:p>
      <w:pPr>
        <w:pStyle w:val="2"/>
        <w:widowControl/>
        <w:spacing w:line="348" w:lineRule="exact" w:before="0" w:after="0"/>
        <w:ind w:firstLine="480"/>
        <w:jc w:val="both"/>
      </w:pPr>
      <w:r>
        <w:rPr>
          <w:rFonts w:ascii="Times New Roman" w:hAnsi="Times New Roman" w:eastAsia="方正仿宋_GBK"/>
          <w:b w:val="0"/>
          <w:sz w:val="24"/>
        </w:rPr>
        <w:t xml:space="preserve">邳州区域95%峰值持续时间为2 h，市区为6 h。持续时间分析因此分别覆盖短时与较长近峰条件，并以4 h作为共同技术经济基准。近峰持续时间描述区域负荷曲线，工程所需储能能量还取决于主变N-1后的缺口幅值、持续过程及故障恢复时间。</w:t>
      </w:r>
    </w:p>
    <w:p>
      <w:pPr>
        <w:pStyle w:val="5"/>
        <w:keepNext/>
        <w:numPr>
          <w:numId w:val="0"/>
        </w:numPr>
        <w:spacing w:line="390" w:lineRule="exact" w:before="160" w:after="120"/>
        <w:ind w:firstLine="0"/>
      </w:pPr>
      <w:bookmarkStart w:id="122" w:name="三项参数的响应比较"/>
      <w:r>
        <w:rPr>
          <w:rFonts w:ascii="Times New Roman" w:hAnsi="Times New Roman" w:eastAsia="方正仿宋_GBK"/>
          <w:b/>
          <w:sz w:val="26"/>
        </w:rPr>
        <w:t xml:space="preserve">3.5.5 三项参数的响应比较</w:t>
      </w:r>
      <w:bookmarkEnd w:id="122"/>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5125459"/>
            <wp:effectExtent b="0" l="0" r="0" t="0"/>
            <wp:docPr descr="" title="" id="1" name="Picture"/>
            <a:graphic>
              <a:graphicData uri="http://schemas.openxmlformats.org/drawingml/2006/picture">
                <pic:pic>
                  <pic:nvPicPr>
                    <pic:cNvPr descr="研究报告/02图表/当前版/case_sensitivity.png" id="0" name="Picture"/>
                    <pic:cNvPicPr>
                      <a:picLocks noChangeArrowheads="1" noChangeAspect="1"/>
                    </pic:cNvPicPr>
                  </pic:nvPicPr>
                  <pic:blipFill>
                    <a:blip r:embed="rId123"/>
                    <a:stretch>
                      <a:fillRect/>
                    </a:stretch>
                  </pic:blipFill>
                  <pic:spPr bwMode="auto">
                    <a:xfrm>
                      <a:off x="0" y="0"/>
                      <a:ext cx="5120640" cy="5125459"/>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图3-7 两地区核心参数扰动下的容载比与费用响应</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年最大净负荷平均增长率的扰动同时作用于各年功率规模及容载比分母；线路成本系数直接改变联络投资，设备组合可随经济条件调整；储能支撑持续时间改变单位储能可提供的持续功率。</w:t>
      </w:r>
    </w:p>
    <w:p>
      <w:pPr>
        <w:pStyle w:val="2"/>
        <w:widowControl/>
        <w:spacing w:line="348" w:lineRule="exact" w:before="0" w:after="0"/>
        <w:ind w:firstLine="480"/>
        <w:jc w:val="both"/>
      </w:pPr>
      <w:r>
        <w:rPr>
          <w:rFonts w:ascii="Times New Roman" w:hAnsi="Times New Roman" w:eastAsia="方正仿宋_GBK"/>
          <w:b w:val="0"/>
          <w:sz w:val="24"/>
        </w:rPr>
        <w:t xml:space="preserve">市区敏感性分析以零扰动方案为基准，其主变容量为3311.00 MVA、容载比为2.17、费用为58332.34万元。第五章规划方案采用3324.00 MVA，费用为58346.09万元。两种配置的费用接近。</w:t>
      </w:r>
    </w:p>
    <w:p>
      <w:pPr>
        <w:pStyle w:val="2"/>
        <w:widowControl/>
        <w:spacing w:line="348" w:lineRule="exact" w:before="0" w:after="0"/>
        <w:ind w:firstLine="480"/>
        <w:jc w:val="both"/>
      </w:pPr>
      <w:r>
        <w:rPr>
          <w:rFonts w:ascii="Times New Roman" w:hAnsi="Times New Roman" w:eastAsia="方正仿宋_GBK"/>
          <w:b w:val="0"/>
          <w:sz w:val="24"/>
        </w:rPr>
        <w:t xml:space="preserve">图中比较各情景方案的容载比与评价期费用现值。</w:t>
      </w:r>
    </w:p>
    <w:p>
      <w:pPr>
        <w:pStyle w:val="2"/>
        <w:widowControl/>
        <w:spacing w:line="348" w:lineRule="exact" w:before="0" w:after="0"/>
        <w:ind w:firstLine="480"/>
        <w:jc w:val="both"/>
      </w:pPr>
      <w:r>
        <w:rPr>
          <w:rFonts w:ascii="Times New Roman" w:hAnsi="Times New Roman" w:eastAsia="方正仿宋_GBK"/>
          <w:b w:val="0"/>
          <w:sz w:val="24"/>
        </w:rPr>
        <w:t xml:space="preserve">案例敏感性用于识别现有设备和网络条件下的响应，推广分析用于比较不同参数组合。两者共用指标定义与工程费用方法，保留各自的负荷、设备和网络基础。由案例发现的局部响应，可在推广矩阵中进一步检查适用条件。</w:t>
      </w:r>
    </w:p>
    <w:p>
      <w:pPr>
        <w:pStyle w:val="4"/>
        <w:keepNext/>
        <w:numPr>
          <w:numId w:val="0"/>
        </w:numPr>
        <w:spacing w:line="480" w:lineRule="exact" w:before="160" w:after="120"/>
        <w:ind w:firstLine="0"/>
      </w:pPr>
      <w:bookmarkStart w:id="1353" w:name="h353"/>
      <w:bookmarkStart w:id="124" w:name="kv负荷转接资料与仿真条件"/>
      <w:r>
        <w:rPr>
          <w:rFonts w:ascii="Times New Roman" w:hAnsi="Times New Roman" w:eastAsia="方正仿宋_GBK"/>
          <w:b/>
          <w:sz w:val="32"/>
        </w:rPr>
        <w:t xml:space="preserve">3.6 10 kV负荷转接资料与仿真条件</w:t>
      </w:r>
      <w:bookmarkEnd w:id="124"/>
      <w:bookmarkEnd w:id="1353"/>
    </w:p>
    <w:p>
      <w:pPr>
        <w:pStyle w:val="5"/>
        <w:keepNext/>
        <w:numPr>
          <w:numId w:val="0"/>
        </w:numPr>
        <w:spacing w:line="390" w:lineRule="exact" w:before="160" w:after="120"/>
        <w:ind w:firstLine="0"/>
      </w:pPr>
      <w:bookmarkStart w:id="125" w:name="现有馈线资料"/>
      <w:r>
        <w:rPr>
          <w:rFonts w:ascii="Times New Roman" w:hAnsi="Times New Roman" w:eastAsia="方正仿宋_GBK"/>
          <w:b/>
          <w:sz w:val="26"/>
        </w:rPr>
        <w:t xml:space="preserve">3.6.1 现有馈线资料</w:t>
      </w:r>
      <w:bookmarkEnd w:id="125"/>
    </w:p>
    <w:p>
      <w:pPr>
        <w:pStyle w:val="FirstParagraph"/>
        <w:widowControl/>
        <w:spacing w:line="348" w:lineRule="exact" w:before="0" w:after="0"/>
        <w:ind w:firstLine="480"/>
        <w:jc w:val="both"/>
      </w:pPr>
      <w:r>
        <w:rPr>
          <w:rFonts w:ascii="Times New Roman" w:hAnsi="Times New Roman" w:eastAsia="方正仿宋_GBK"/>
          <w:b w:val="0"/>
          <w:sz w:val="24"/>
        </w:rPr>
        <w:t xml:space="preserve">邳州局部六馈线样本的源端负荷为35.29 MW，可转移上界为9.98 MW，比值约28%。当前网络模型以已知联络和候选区段建立具体路径，新增单项目有效能力采用7.49 MW，并校核共享馈线及接收站余量。</w:t>
      </w:r>
    </w:p>
    <w:p>
      <w:pPr>
        <w:pStyle w:val="5"/>
        <w:keepNext/>
        <w:numPr>
          <w:numId w:val="0"/>
        </w:numPr>
        <w:spacing w:line="390" w:lineRule="exact" w:before="160" w:after="120"/>
        <w:ind w:firstLine="0"/>
      </w:pPr>
      <w:bookmarkStart w:id="126" w:name="供电分区与初始转供率"/>
      <w:r>
        <w:rPr>
          <w:rFonts w:ascii="Times New Roman" w:hAnsi="Times New Roman" w:eastAsia="方正仿宋_GBK"/>
          <w:b/>
          <w:sz w:val="26"/>
        </w:rPr>
        <w:t xml:space="preserve">3.6.2 供电分区与初始转供率</w:t>
      </w:r>
      <w:bookmarkEnd w:id="126"/>
    </w:p>
    <w:p>
      <w:pPr>
        <w:pStyle w:val="FirstParagraph"/>
        <w:widowControl/>
        <w:spacing w:line="348" w:lineRule="exact" w:before="0" w:after="0"/>
        <w:ind w:firstLine="480"/>
        <w:jc w:val="both"/>
      </w:pPr>
      <w:r>
        <w:rPr>
          <w:rFonts w:ascii="Times New Roman" w:hAnsi="Times New Roman" w:eastAsia="方正仿宋_GBK"/>
          <w:b w:val="0"/>
          <w:sz w:val="24"/>
        </w:rPr>
        <w:t xml:space="preserve">DL/T 5729—2023第7.1.2条提出，A+、A类供电区域通过中压配电网转移负荷的比例宜为50%～70%，B、C类宜为30%～50%[5]。按市区A类较少、B类较多的研究背景，采用B类区间中值40%作为参数研究基准，比较30%～50%的变化。该取值是研究假设，现有资料尚不足以计算市区A/B分区的负荷加权实际转供率。</w:t>
      </w:r>
    </w:p>
    <w:p>
      <w:pPr>
        <w:pStyle w:val="2"/>
        <w:widowControl/>
        <w:spacing w:line="348" w:lineRule="exact" w:before="0" w:after="0"/>
        <w:ind w:firstLine="480"/>
        <w:jc w:val="both"/>
      </w:pPr>
      <w:r>
        <w:rPr>
          <w:rFonts w:ascii="Times New Roman" w:hAnsi="Times New Roman" w:eastAsia="方正仿宋_GBK"/>
          <w:b w:val="0"/>
          <w:sz w:val="24"/>
        </w:rPr>
        <w:t xml:space="preserve">地区案例保留已核验的具体网络，既有边按已知资料设置，缺少存量证明的候选按新增建设计费。推广模板以初始转供率设置基期转供预算，预算以MW固定；目标年负荷增加时，不自动同比扩大既有网络能力。实际可转负荷还受源端分段、馈线热限、联络路径和邻站主变容量限制。</w:t>
      </w:r>
    </w:p>
    <w:p>
      <w:pPr>
        <w:pStyle w:val="5"/>
        <w:keepNext/>
        <w:numPr>
          <w:numId w:val="0"/>
        </w:numPr>
        <w:spacing w:line="390" w:lineRule="exact" w:before="160" w:after="120"/>
        <w:ind w:firstLine="0"/>
      </w:pPr>
      <w:bookmarkStart w:id="127" w:name="电源归属及反向功率"/>
      <w:r>
        <w:rPr>
          <w:rFonts w:ascii="Times New Roman" w:hAnsi="Times New Roman" w:eastAsia="方正仿宋_GBK"/>
          <w:b/>
          <w:sz w:val="26"/>
        </w:rPr>
        <w:t xml:space="preserve">3.6.3 电源归属及反向功率</w:t>
      </w:r>
      <w:bookmarkEnd w:id="127"/>
    </w:p>
    <w:p>
      <w:pPr>
        <w:pStyle w:val="FirstParagraph"/>
        <w:widowControl/>
        <w:spacing w:line="348" w:lineRule="exact" w:before="0" w:after="0"/>
        <w:ind w:firstLine="480"/>
        <w:jc w:val="both"/>
      </w:pPr>
      <w:r>
        <w:rPr>
          <w:rFonts w:ascii="Times New Roman" w:hAnsi="Times New Roman" w:eastAsia="方正仿宋_GBK"/>
          <w:b w:val="0"/>
          <w:sz w:val="24"/>
        </w:rPr>
        <w:t xml:space="preserve">正常转供改变用电负荷分配，电源仍保留原站归属。每个静态工况分别计算转出和转入功率，转出功率以本站原始可转负荷为上限。转供后净负荷同时校核正向供电和反向容量，区域内部转入、转出合计相等。</w:t>
      </w:r>
    </w:p>
    <w:p>
      <w:pPr>
        <w:pStyle w:val="4"/>
        <w:keepNext/>
        <w:numPr>
          <w:numId w:val="0"/>
        </w:numPr>
        <w:spacing w:line="480" w:lineRule="exact" w:before="160" w:after="120"/>
        <w:ind w:firstLine="0"/>
      </w:pPr>
      <w:bookmarkStart w:id="1361" w:name="h361"/>
      <w:bookmarkStart w:id="128" w:name="站级负载率与配置需求"/>
      <w:r>
        <w:rPr>
          <w:rFonts w:ascii="Times New Roman" w:hAnsi="Times New Roman" w:eastAsia="方正仿宋_GBK"/>
          <w:b/>
          <w:sz w:val="32"/>
        </w:rPr>
        <w:t xml:space="preserve">3.7 站级负载率与配置需求</w:t>
      </w:r>
      <w:bookmarkEnd w:id="128"/>
      <w:bookmarkEnd w:id="1361"/>
    </w:p>
    <w:p>
      <w:pPr>
        <w:pStyle w:val="5"/>
        <w:keepNext/>
        <w:numPr>
          <w:numId w:val="0"/>
        </w:numPr>
        <w:spacing w:line="390" w:lineRule="exact" w:before="160" w:after="120"/>
        <w:ind w:firstLine="0"/>
      </w:pPr>
      <w:bookmarkStart w:id="129" w:name="邳州站级相对负载"/>
      <w:r>
        <w:rPr>
          <w:rFonts w:ascii="Times New Roman" w:hAnsi="Times New Roman" w:eastAsia="方正仿宋_GBK"/>
          <w:b/>
          <w:sz w:val="26"/>
        </w:rPr>
        <w:t xml:space="preserve">3.7.1 邳州站级相对负载</w:t>
      </w:r>
      <w:bookmarkEnd w:id="129"/>
    </w:p>
    <w:p>
      <w:pPr>
        <w:pStyle w:val="FirstParagraph"/>
        <w:widowControl/>
        <w:spacing w:line="348" w:lineRule="exact" w:before="0" w:after="0"/>
        <w:ind w:firstLine="480"/>
        <w:jc w:val="both"/>
      </w:pPr>
      <w:r>
        <w:rPr>
          <w:rFonts w:ascii="Times New Roman" w:hAnsi="Times New Roman" w:eastAsia="方正仿宋_GBK"/>
          <w:b w:val="0"/>
          <w:sz w:val="24"/>
        </w:rPr>
        <w:t xml:space="preserve">图中比较各站2022—2025年的负载率，反映年度负荷变化对相同设备结构的影响。</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3286422"/>
            <wp:effectExtent b="0" l="0" r="0" t="0"/>
            <wp:docPr descr="" title="" id="1" name="Picture"/>
            <a:graphic>
              <a:graphicData uri="http://schemas.openxmlformats.org/drawingml/2006/picture">
                <pic:pic>
                  <pic:nvPicPr>
                    <pic:cNvPr descr="研究报告/02图表/当前版/pizhou_modeled_peaks.png" id="0" name="Picture"/>
                    <pic:cNvPicPr>
                      <a:picLocks noChangeArrowheads="1" noChangeAspect="1"/>
                    </pic:cNvPicPr>
                  </pic:nvPicPr>
                  <pic:blipFill>
                    <a:blip r:embed="rId130"/>
                    <a:stretch>
                      <a:fillRect/>
                    </a:stretch>
                  </pic:blipFill>
                  <pic:spPr bwMode="auto">
                    <a:xfrm>
                      <a:off x="0" y="0"/>
                      <a:ext cx="5120640" cy="3286422"/>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图3-8 邳州站级负载率</w:t>
      </w:r>
    </w:p>
    <w:p>
      <w:pPr>
        <w:pStyle w:val="5"/>
        <w:keepNext/>
        <w:numPr>
          <w:numId w:val="0"/>
        </w:numPr>
        <w:spacing w:line="390" w:lineRule="exact" w:before="160" w:after="120"/>
        <w:ind w:firstLine="0"/>
      </w:pPr>
      <w:bookmarkStart w:id="131" w:name="市区站级相对负载"/>
      <w:r>
        <w:rPr>
          <w:rFonts w:ascii="Times New Roman" w:hAnsi="Times New Roman" w:eastAsia="方正仿宋_GBK"/>
          <w:b/>
          <w:sz w:val="26"/>
        </w:rPr>
        <w:t xml:space="preserve">3.7.2 市区站级相对负载</w:t>
      </w:r>
      <w:bookmarkEnd w:id="131"/>
    </w:p>
    <w:p>
      <w:pPr>
        <w:pStyle w:val="FirstParagraph"/>
        <w:keepNext/>
        <w:spacing w:line="240" w:lineRule="auto" w:before="120" w:after="0"/>
        <w:ind w:firstLine="0" w:firstLineChars="0" w:hanging="0" w:hangingChars="0" w:left="0" w:right="0" w:start="0" w:end="0" w:leftChars="0" w:rightChars="0" w:startChars="0" w:endChars="0"/>
        <w:jc w:val="center"/>
      </w:pPr>
      <w:r>
        <w:drawing>
          <wp:inline>
            <wp:extent cx="5120640" cy="3929273"/>
            <wp:effectExtent b="0" l="0" r="0" t="0"/>
            <wp:docPr descr="" title="" id="1" name="Picture"/>
            <a:graphic>
              <a:graphicData uri="http://schemas.openxmlformats.org/drawingml/2006/picture">
                <pic:pic>
                  <pic:nvPicPr>
                    <pic:cNvPr descr="研究报告/02图表/当前版/city_modeled_peaks.png" id="0" name="Picture"/>
                    <pic:cNvPicPr>
                      <a:picLocks noChangeArrowheads="1" noChangeAspect="1"/>
                    </pic:cNvPicPr>
                  </pic:nvPicPr>
                  <pic:blipFill>
                    <a:blip r:embed="rId132"/>
                    <a:stretch>
                      <a:fillRect/>
                    </a:stretch>
                  </pic:blipFill>
                  <pic:spPr bwMode="auto">
                    <a:xfrm>
                      <a:off x="0" y="0"/>
                      <a:ext cx="5120640" cy="3929273"/>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图3-9 市区站级负载率</w:t>
      </w:r>
    </w:p>
    <w:p>
      <w:pPr>
        <w:pStyle w:val="2"/>
        <w:widowControl/>
        <w:spacing w:line="348" w:lineRule="exact" w:before="0" w:after="0"/>
        <w:ind w:firstLine="480"/>
        <w:jc w:val="both"/>
      </w:pPr>
      <w:r>
        <w:rPr>
          <w:rFonts w:ascii="Times New Roman" w:hAnsi="Times New Roman" w:eastAsia="方正仿宋_GBK"/>
          <w:b w:val="0"/>
          <w:sz w:val="24"/>
        </w:rPr>
        <w:t xml:space="preserve">市区站级图表按能够与设备资料对应的26座站列示。地区容量、负荷及费用按统一计算范围汇总，站级展示范围与地区汇总范围分别使用。</w:t>
      </w:r>
    </w:p>
    <w:p>
      <w:pPr>
        <w:pStyle w:val="5"/>
        <w:keepNext/>
        <w:numPr>
          <w:numId w:val="0"/>
        </w:numPr>
        <w:spacing w:line="390" w:lineRule="exact" w:before="160" w:after="120"/>
        <w:ind w:firstLine="0"/>
      </w:pPr>
      <w:bookmarkStart w:id="133" w:name="负载率与规划措施的联系"/>
      <w:r>
        <w:rPr>
          <w:rFonts w:ascii="Times New Roman" w:hAnsi="Times New Roman" w:eastAsia="方正仿宋_GBK"/>
          <w:b/>
          <w:sz w:val="26"/>
        </w:rPr>
        <w:t xml:space="preserve">3.7.3 负载率与规划措施的联系</w:t>
      </w:r>
      <w:bookmarkEnd w:id="133"/>
    </w:p>
    <w:p>
      <w:pPr>
        <w:pStyle w:val="FirstParagraph"/>
        <w:widowControl/>
        <w:spacing w:line="348" w:lineRule="exact" w:before="0" w:after="0"/>
        <w:ind w:firstLine="480"/>
        <w:jc w:val="both"/>
      </w:pPr>
      <w:r>
        <w:rPr>
          <w:rFonts w:ascii="Times New Roman" w:hAnsi="Times New Roman" w:eastAsia="方正仿宋_GBK"/>
          <w:b w:val="0"/>
          <w:sz w:val="24"/>
        </w:rPr>
        <w:t xml:space="preserve">站级负载率超过100%时，需要通过转供、扩容或储能满足容量需求。具体配置结合正常运行与主变N-1约束在第五章比较。</w:t>
      </w:r>
    </w:p>
    <w:p>
      <w:pPr>
        <w:pStyle w:val="5"/>
        <w:keepNext/>
        <w:numPr>
          <w:numId w:val="0"/>
        </w:numPr>
        <w:spacing w:line="390" w:lineRule="exact" w:before="160" w:after="120"/>
        <w:ind w:firstLine="0"/>
      </w:pPr>
      <w:bookmarkStart w:id="134" w:name="较高负载率站的方向与配置条件"/>
      <w:r>
        <w:rPr>
          <w:rFonts w:ascii="Times New Roman" w:hAnsi="Times New Roman" w:eastAsia="方正仿宋_GBK"/>
          <w:b/>
          <w:sz w:val="26"/>
        </w:rPr>
        <w:t xml:space="preserve">3.7.4 较高负载率站的方向与配置条件</w:t>
      </w:r>
      <w:bookmarkEnd w:id="134"/>
    </w:p>
    <w:p>
      <w:pPr>
        <w:pStyle w:val="FirstParagraph"/>
        <w:keepNext/>
        <w:spacing w:line="280" w:lineRule="exact" w:before="120" w:after="80"/>
        <w:ind w:firstLine="0"/>
        <w:jc w:val="center"/>
      </w:pPr>
      <w:r>
        <w:rPr>
          <w:rFonts w:ascii="Times New Roman" w:hAnsi="Times New Roman" w:eastAsia="宋体"/>
          <w:b w:val="0"/>
          <w:sz w:val="21"/>
        </w:rPr>
        <w:t xml:space="preserve">表3-14 2025年站级负载率较高的站</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变电站</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最大反向净负荷/MW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主导方向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110千伏铁富变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杜村变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兴塘变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30.66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宿羊山变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二庙变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111.50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89.75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墩集变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邢楼变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29.65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统一变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西郊变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拾屯变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堤北变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大庙变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吴庄变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96.47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庆云桥变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石桥变</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103.71</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w:t>
            </w:r>
          </w:p>
        </w:tc>
      </w:tr>
    </w:tbl>
    <w:p>
      <w:pPr>
        <w:pStyle w:val="2"/>
        <w:widowControl/>
        <w:spacing w:line="348" w:lineRule="exact" w:before="0" w:after="0"/>
        <w:ind w:firstLine="480"/>
        <w:jc w:val="both"/>
      </w:pPr>
      <w:r>
        <w:rPr>
          <w:rFonts w:ascii="Times New Roman" w:hAnsi="Times New Roman" w:eastAsia="方正仿宋_GBK"/>
          <w:b w:val="0"/>
          <w:sz w:val="24"/>
        </w:rPr>
        <w:t xml:space="preserve">站级负载率同时取决于净负荷和初始主变容量。容量较小的站，即使功率绝对值不大，也可能需要更多转供或本地支撑；容量较大的站则可能承担邻站负荷。上表同时保留正反向功率和初始容量，使图中的相对压力能够对应具体设备条件。</w:t>
      </w:r>
    </w:p>
    <w:p>
      <w:pPr>
        <w:pStyle w:val="5"/>
        <w:keepNext/>
        <w:numPr>
          <w:numId w:val="0"/>
        </w:numPr>
        <w:spacing w:line="390" w:lineRule="exact" w:before="160" w:after="120"/>
        <w:ind w:firstLine="0"/>
      </w:pPr>
      <w:bookmarkStart w:id="135" w:name="站级功率的主导方向"/>
      <w:r>
        <w:rPr>
          <w:rFonts w:ascii="Times New Roman" w:hAnsi="Times New Roman" w:eastAsia="方正仿宋_GBK"/>
          <w:b/>
          <w:sz w:val="26"/>
        </w:rPr>
        <w:t xml:space="preserve">3.7.5 站级功率的主导方向</w:t>
      </w:r>
      <w:bookmarkEnd w:id="135"/>
    </w:p>
    <w:p>
      <w:pPr>
        <w:pStyle w:val="FirstParagraph"/>
        <w:keepNext/>
        <w:spacing w:line="280" w:lineRule="exact" w:before="120" w:after="80"/>
        <w:ind w:firstLine="0"/>
        <w:jc w:val="center"/>
      </w:pPr>
      <w:r>
        <w:rPr>
          <w:rFonts w:ascii="Times New Roman" w:hAnsi="Times New Roman" w:eastAsia="宋体"/>
          <w:b w:val="0"/>
          <w:sz w:val="21"/>
        </w:rPr>
        <w:t xml:space="preserve">表3-15 站级展示范围内的功率方向及相对压力</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正向幅值较大站数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反向幅值较大站数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站级负载率超过100%的站数</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r>
    </w:tbl>
    <w:p>
      <w:pPr>
        <w:pStyle w:val="2"/>
        <w:widowControl/>
        <w:spacing w:line="348" w:lineRule="exact" w:before="0" w:after="0"/>
        <w:ind w:firstLine="480"/>
        <w:jc w:val="both"/>
      </w:pPr>
      <w:r>
        <w:rPr>
          <w:rFonts w:ascii="Times New Roman" w:hAnsi="Times New Roman" w:eastAsia="方正仿宋_GBK"/>
          <w:b w:val="0"/>
          <w:sz w:val="24"/>
        </w:rPr>
        <w:t xml:space="preserve">正向和反向幅值的比较用于识别所设工况下的容量压力来源。正向幅值较大的站重点核对负荷高峰及主变N-1后的供电能力；反向幅值较大的站还需检查转出用电负荷后是否增加本站反送需求。建设方案以第五章逐工况网络校核为依据。</w:t>
      </w:r>
    </w:p>
    <w:p>
      <w:pPr>
        <w:pStyle w:val="4"/>
        <w:keepNext/>
        <w:numPr>
          <w:numId w:val="0"/>
        </w:numPr>
        <w:spacing w:line="480" w:lineRule="exact" w:before="160" w:after="120"/>
        <w:ind w:firstLine="0"/>
      </w:pPr>
      <w:bookmarkStart w:id="1378" w:name="h378"/>
      <w:bookmarkStart w:id="136" w:name="运行特征的综合分析"/>
      <w:r>
        <w:rPr>
          <w:rFonts w:ascii="Times New Roman" w:hAnsi="Times New Roman" w:eastAsia="方正仿宋_GBK"/>
          <w:b/>
          <w:sz w:val="32"/>
        </w:rPr>
        <w:t xml:space="preserve">3.8 运行特征的综合分析</w:t>
      </w:r>
      <w:bookmarkEnd w:id="136"/>
      <w:bookmarkEnd w:id="1378"/>
    </w:p>
    <w:p>
      <w:pPr>
        <w:pStyle w:val="5"/>
        <w:keepNext/>
        <w:numPr>
          <w:numId w:val="0"/>
        </w:numPr>
        <w:spacing w:line="390" w:lineRule="exact" w:before="160" w:after="120"/>
        <w:ind w:firstLine="0"/>
      </w:pPr>
      <w:bookmarkStart w:id="137" w:name="容量建设与负荷变化的不同作用"/>
      <w:r>
        <w:rPr>
          <w:rFonts w:ascii="Times New Roman" w:hAnsi="Times New Roman" w:eastAsia="方正仿宋_GBK"/>
          <w:b/>
          <w:sz w:val="26"/>
        </w:rPr>
        <w:t xml:space="preserve">3.8.1 容量建设与负荷变化的不同作用</w:t>
      </w:r>
      <w:bookmarkEnd w:id="137"/>
    </w:p>
    <w:p>
      <w:pPr>
        <w:pStyle w:val="FirstParagraph"/>
        <w:widowControl/>
        <w:spacing w:line="348" w:lineRule="exact" w:before="0" w:after="0"/>
        <w:ind w:firstLine="480"/>
        <w:jc w:val="both"/>
      </w:pPr>
      <w:r>
        <w:rPr>
          <w:rFonts w:ascii="Times New Roman" w:hAnsi="Times New Roman" w:eastAsia="方正仿宋_GBK"/>
          <w:b w:val="0"/>
          <w:sz w:val="24"/>
        </w:rPr>
        <w:t xml:space="preserve">2021—2025年邳州公用主变总容量由2027.00 MVA变为2139.50 MVA，净增加112.50 MVA；年网供最大负荷由731.77 MW增加到956.45 MW，增加224.68 MW。负荷增长幅度高于容量增长幅度，年度容载比由2.77降至2.24。市区同期主变容量由3113.50 MVA增加到3701.00 MVA，增加587.50 MVA；年网供最大负荷增加79.05 MW，容载比由2.15升至2.42。两个地区的比值变化反映了不同的容量投放与负荷增长关系。</w:t>
      </w:r>
    </w:p>
    <w:p>
      <w:pPr>
        <w:pStyle w:val="2"/>
        <w:widowControl/>
        <w:spacing w:line="348" w:lineRule="exact" w:before="0" w:after="0"/>
        <w:ind w:firstLine="480"/>
        <w:jc w:val="both"/>
      </w:pPr>
      <w:r>
        <w:rPr>
          <w:rFonts w:ascii="Times New Roman" w:hAnsi="Times New Roman" w:eastAsia="方正仿宋_GBK"/>
          <w:b w:val="0"/>
          <w:sz w:val="24"/>
        </w:rPr>
        <w:t xml:space="preserve">年度比值按容量和负荷两部分分解。下表采用与第五章相同的代数关系：先将新增容量除以本年负荷，得到容量变化贡献；再将上年容量乘以两年负荷倒数之差，得到负荷变化贡献。两项之和等于相邻年度容载比差值，据此判断各年的比值变化主要来自容量调整还是负荷波动。</w:t>
      </w:r>
    </w:p>
    <w:p>
      <w:pPr>
        <w:pStyle w:val="2"/>
        <w:keepNext/>
        <w:spacing w:line="280" w:lineRule="exact" w:before="120" w:after="80"/>
        <w:ind w:firstLine="0"/>
        <w:jc w:val="center"/>
      </w:pPr>
      <w:r>
        <w:rPr>
          <w:rFonts w:ascii="Times New Roman" w:hAnsi="Times New Roman" w:eastAsia="宋体"/>
          <w:b w:val="0"/>
          <w:sz w:val="21"/>
        </w:rPr>
        <w:t xml:space="preserve">表3-16 年度容载比变化的容量与负荷分解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公用主变总容量变化/MVA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年网供最大负荷变化/MW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-63.77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101.43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93.79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109.85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0.22</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79.42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-0.13</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2023年负荷回落而容量增加，两项变化共同推高容载比。2025年则出现容量小幅减少、负荷较快增加，容载比下降。市区2024年容量增加、负荷回落，容载比提高到2.54；2025年负荷恢复增长，比值随之回落。年度容载比的升降由容量投放、存量调整与负荷变化共同解释。</w:t>
      </w:r>
    </w:p>
    <w:p>
      <w:pPr>
        <w:pStyle w:val="2"/>
        <w:widowControl/>
        <w:spacing w:line="348" w:lineRule="exact" w:before="0" w:after="0"/>
        <w:ind w:firstLine="480"/>
        <w:jc w:val="both"/>
      </w:pPr>
      <w:r>
        <w:rPr>
          <w:rFonts w:ascii="Times New Roman" w:hAnsi="Times New Roman" w:eastAsia="方正仿宋_GBK"/>
          <w:b w:val="0"/>
          <w:sz w:val="24"/>
        </w:rPr>
        <w:t xml:space="preserve">这种区分对规划建设时序有直接意义。新主变投运后，短期内常形成一定容量储备；新增用户逐步接入后，设备负载和年网供最大负荷上升，容载比相应降低。评价规划效果时，应同时观察容量、负荷和投运年份。第五章采用逐年方案，正是为了将这些变化落实到建设规模和投运时点。</w:t>
      </w:r>
    </w:p>
    <w:p>
      <w:pPr>
        <w:pStyle w:val="5"/>
        <w:keepNext/>
        <w:numPr>
          <w:numId w:val="0"/>
        </w:numPr>
        <w:spacing w:line="390" w:lineRule="exact" w:before="160" w:after="120"/>
        <w:ind w:firstLine="0"/>
      </w:pPr>
      <w:bookmarkStart w:id="138" w:name="光伏发电与用电高峰的季节关系"/>
      <w:r>
        <w:rPr>
          <w:rFonts w:ascii="Times New Roman" w:hAnsi="Times New Roman" w:eastAsia="方正仿宋_GBK"/>
          <w:b/>
          <w:sz w:val="26"/>
        </w:rPr>
        <w:t xml:space="preserve">3.8.2 光伏发电与用电高峰的季节关系</w:t>
      </w:r>
      <w:bookmarkEnd w:id="138"/>
    </w:p>
    <w:p>
      <w:pPr>
        <w:pStyle w:val="FirstParagraph"/>
        <w:widowControl/>
        <w:spacing w:line="348" w:lineRule="exact" w:before="0" w:after="0"/>
        <w:ind w:firstLine="480"/>
        <w:jc w:val="both"/>
      </w:pPr>
      <w:r>
        <w:rPr>
          <w:rFonts w:ascii="Times New Roman" w:hAnsi="Times New Roman" w:eastAsia="方正仿宋_GBK"/>
          <w:b w:val="0"/>
          <w:sz w:val="24"/>
        </w:rPr>
        <w:t xml:space="preserve">光伏发电量与用户用电量共同决定分布式电源电量渗透率。邳州2025年月度估计中，5月分布式电源电量渗透率约60%，高于7月的38%；但7月光伏发电量约212845.47 MWh，高于5月的163851.67 MWh。其原因是7月用户用电量同步升高到562354.97 MWh，而5月为271920.09 MWh。</w:t>
      </w:r>
    </w:p>
    <w:p>
      <w:pPr>
        <w:pStyle w:val="2"/>
        <w:keepNext/>
        <w:spacing w:line="280" w:lineRule="exact" w:before="120" w:after="80"/>
        <w:ind w:firstLine="0"/>
        <w:jc w:val="center"/>
      </w:pPr>
      <w:r>
        <w:rPr>
          <w:rFonts w:ascii="Times New Roman" w:hAnsi="Times New Roman" w:eastAsia="宋体"/>
          <w:b w:val="0"/>
          <w:sz w:val="21"/>
        </w:rPr>
        <w:t xml:space="preserve">表3-17 邳州2025年分季度源荷电量特征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光伏发电量估计/MWh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用户用电量估计/MWh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分布式电源电量渗透率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最大正向净负荷/MW</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第1季度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321354.59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975677.35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第2季度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485794.73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880481.11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700.77</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第3季度</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435215.49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1310676.45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第4季度</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455905.92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1049556.71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589.21</w:t>
            </w:r>
          </w:p>
        </w:tc>
      </w:tr>
    </w:tbl>
    <w:p>
      <w:pPr>
        <w:pStyle w:val="2"/>
        <w:widowControl/>
        <w:spacing w:line="348" w:lineRule="exact" w:before="0" w:after="0"/>
        <w:ind w:firstLine="480"/>
        <w:jc w:val="both"/>
      </w:pPr>
      <w:r>
        <w:rPr>
          <w:rFonts w:ascii="Times New Roman" w:hAnsi="Times New Roman" w:eastAsia="方正仿宋_GBK"/>
          <w:b w:val="0"/>
          <w:sz w:val="24"/>
        </w:rPr>
        <w:t xml:space="preserve">季度统计采用各月发电量与用电量分别加总后再计算比值，保留各月电量规模的差异。区域年度指标同样采用全年电量合计，月度指标则用于分析季节变化。</w:t>
      </w:r>
    </w:p>
    <w:p>
      <w:pPr>
        <w:pStyle w:val="2"/>
        <w:widowControl/>
        <w:spacing w:line="348" w:lineRule="exact" w:before="0" w:after="0"/>
        <w:ind w:firstLine="480"/>
        <w:jc w:val="both"/>
      </w:pPr>
      <w:r>
        <w:rPr>
          <w:rFonts w:ascii="Times New Roman" w:hAnsi="Times New Roman" w:eastAsia="方正仿宋_GBK"/>
          <w:b w:val="0"/>
          <w:sz w:val="24"/>
        </w:rPr>
        <w:t xml:space="preserve">最大正向净负荷反映电网需承担的峰值任务，发电量和用电量反映全年或全季的电量交换。7月出现较高光伏发电量，同时仍出现956.45 MW的最大正向净负荷，说明光伏电量规模与年度供电峰值需要分别评价。光伏出力较高的日间可以减少受电，但光伏较低或无出力时的负荷仍需要主变供给。容量规划因此同时保留装机、电量和功率极值三类信息。</w:t>
      </w:r>
    </w:p>
    <w:p>
      <w:pPr>
        <w:pStyle w:val="2"/>
        <w:widowControl/>
        <w:spacing w:line="348" w:lineRule="exact" w:before="0" w:after="0"/>
        <w:ind w:firstLine="480"/>
        <w:jc w:val="both"/>
      </w:pPr>
      <w:r>
        <w:rPr>
          <w:rFonts w:ascii="Times New Roman" w:hAnsi="Times New Roman" w:eastAsia="方正仿宋_GBK"/>
          <w:b w:val="0"/>
          <w:sz w:val="24"/>
        </w:rPr>
        <w:t xml:space="preserve">分布式电源电量渗透率说明本地电源对年度用电的贡献，储能定容则依据功率缺口所在时段及连续长度。若主要问题是较短的正向尖峰，放电削峰可能减少所需主变容量；若主要问题是持续较长的日间反送，充电吸收需要相应能量空间。两种用途分别对应不同运行方向和时序要求。</w:t>
      </w:r>
    </w:p>
    <w:p>
      <w:pPr>
        <w:pStyle w:val="5"/>
        <w:keepNext/>
        <w:numPr>
          <w:numId w:val="0"/>
        </w:numPr>
        <w:spacing w:line="390" w:lineRule="exact" w:before="160" w:after="120"/>
        <w:ind w:firstLine="0"/>
      </w:pPr>
      <w:bookmarkStart w:id="139" w:name="区域容量储备与重载设备并存"/>
      <w:r>
        <w:rPr>
          <w:rFonts w:ascii="Times New Roman" w:hAnsi="Times New Roman" w:eastAsia="方正仿宋_GBK"/>
          <w:b/>
          <w:sz w:val="26"/>
        </w:rPr>
        <w:t xml:space="preserve">3.8.3 区域容量储备与重载设备并存</w:t>
      </w:r>
      <w:bookmarkEnd w:id="139"/>
    </w:p>
    <w:p>
      <w:pPr>
        <w:pStyle w:val="FirstParagraph"/>
        <w:widowControl/>
        <w:spacing w:line="348" w:lineRule="exact" w:before="0" w:after="0"/>
        <w:ind w:firstLine="480"/>
        <w:jc w:val="both"/>
      </w:pPr>
      <w:r>
        <w:rPr>
          <w:rFonts w:ascii="Times New Roman" w:hAnsi="Times New Roman" w:eastAsia="方正仿宋_GBK"/>
          <w:b w:val="0"/>
          <w:sz w:val="24"/>
        </w:rPr>
        <w:t xml:space="preserve">邳州40台主变样本中，年最大负载率达到80%及以上的有7台，占18%；市区61台样本中有7台，占11%。两地区最大值分别为92%和97%，高于各自约50%的中位水平。设备负载分布存在差异，区域总容量较充足时，部分站点仍可能承担较大的供电任务。</w:t>
      </w:r>
    </w:p>
    <w:p>
      <w:pPr>
        <w:pStyle w:val="2"/>
        <w:widowControl/>
        <w:spacing w:line="348" w:lineRule="exact" w:before="0" w:after="0"/>
        <w:ind w:firstLine="480"/>
        <w:jc w:val="both"/>
      </w:pPr>
      <w:r>
        <w:rPr>
          <w:rFonts w:ascii="Times New Roman" w:hAnsi="Times New Roman" w:eastAsia="方正仿宋_GBK"/>
          <w:b w:val="0"/>
          <w:sz w:val="24"/>
        </w:rPr>
        <w:t xml:space="preserve">区域容载比反映公用主变总容量，站级负载率反映容量与本地负荷的匹配程度。轻载站的余量只有在下级网络能够转移负荷、受端接线允许且运行条件满足时，才能用于支援重载站。相反，若联络受限或用户负荷无法切换，局部重载可能需要本站增容。区域指标和设备指标共同使用，可以区分容量总量不足与站间容量分配不匹配这两类问题。</w:t>
      </w:r>
    </w:p>
    <w:p>
      <w:pPr>
        <w:pStyle w:val="2"/>
        <w:widowControl/>
        <w:spacing w:line="348" w:lineRule="exact" w:before="0" w:after="0"/>
        <w:ind w:firstLine="480"/>
        <w:jc w:val="both"/>
      </w:pPr>
      <w:r>
        <w:rPr>
          <w:rFonts w:ascii="Times New Roman" w:hAnsi="Times New Roman" w:eastAsia="方正仿宋_GBK"/>
          <w:b w:val="0"/>
          <w:sz w:val="24"/>
        </w:rPr>
        <w:t xml:space="preserve">主变台数也会改变停运后的剩余容量。两台等容量主变在N-1条件下只剩一半容量；增加一台主变后，即使正常运行负载率不高，N-1条件下的可用容量仍可能明显提高。因而，主变扩建的作用既包括增加总容量，也包括改变站内设备组合。第五章中弹性方案增加扩建项目、减少储能，需结合这一关系解释。</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联系各站峰值与区域同时峰值。系数大于1.00说明各站峰值不完全同时出现，区域峰值低于各站独立峰值之和；各站设备仍要承受本地高峰。本报告将负荷分散系数纳入专项敏感性分析，并结合站级负荷分配讨论容量配置。</w:t>
      </w:r>
    </w:p>
    <w:p>
      <w:pPr>
        <w:pStyle w:val="5"/>
        <w:keepNext/>
        <w:numPr>
          <w:numId w:val="0"/>
        </w:numPr>
        <w:spacing w:line="390" w:lineRule="exact" w:before="160" w:after="120"/>
        <w:ind w:firstLine="0"/>
      </w:pPr>
      <w:bookmarkStart w:id="140" w:name="两地区的容量规划重点"/>
      <w:r>
        <w:rPr>
          <w:rFonts w:ascii="Times New Roman" w:hAnsi="Times New Roman" w:eastAsia="方正仿宋_GBK"/>
          <w:b/>
          <w:sz w:val="26"/>
        </w:rPr>
        <w:t xml:space="preserve">3.8.4 两地区的容量规划重点</w:t>
      </w:r>
      <w:bookmarkEnd w:id="140"/>
    </w:p>
    <w:p>
      <w:pPr>
        <w:pStyle w:val="FirstParagraph"/>
        <w:widowControl/>
        <w:spacing w:line="348" w:lineRule="exact" w:before="0" w:after="0"/>
        <w:ind w:firstLine="480"/>
        <w:jc w:val="both"/>
      </w:pPr>
      <w:r>
        <w:rPr>
          <w:rFonts w:ascii="Times New Roman" w:hAnsi="Times New Roman" w:eastAsia="方正仿宋_GBK"/>
          <w:b w:val="0"/>
          <w:sz w:val="24"/>
        </w:rPr>
        <w:t xml:space="preserve">邳州分布式光伏装机由2023年564.70 MW增加到2025年1559.64 MW，增长较快；同期年网供最大负荷由761.23 MW增加到956.45 MW。光伏规模和供电负荷同时发展，规划需校核双向容量需求。日间反送较大的站点应结合本地负荷和电源位置安排容量，晚间正向高峰及主变N-1条件则继续决定供电储备。</w:t>
      </w:r>
    </w:p>
    <w:p>
      <w:pPr>
        <w:pStyle w:val="2"/>
        <w:widowControl/>
        <w:spacing w:line="348" w:lineRule="exact" w:before="0" w:after="0"/>
        <w:ind w:firstLine="480"/>
        <w:jc w:val="both"/>
      </w:pPr>
      <w:r>
        <w:rPr>
          <w:rFonts w:ascii="Times New Roman" w:hAnsi="Times New Roman" w:eastAsia="方正仿宋_GBK"/>
          <w:b w:val="0"/>
          <w:sz w:val="24"/>
        </w:rPr>
        <w:t xml:space="preserve">市区2025年分布式光伏装机为491.18 MW，年网供最大负荷为1528.82 MW。与邳州相比，光伏相对于用户负荷的规模较小，容量配置主要围绕正向供电、重载站及相邻站承接能力展开。既有联络可以改善负荷分配，但承接站的正常容量和N-1余量仍需共同校核。新增主变适宜与站间转接相配合，以减少局部供电缺口。</w:t>
      </w:r>
    </w:p>
    <w:p>
      <w:pPr>
        <w:pStyle w:val="2"/>
        <w:widowControl/>
        <w:spacing w:line="348" w:lineRule="exact" w:before="0" w:after="0"/>
        <w:ind w:firstLine="480"/>
        <w:jc w:val="both"/>
      </w:pPr>
      <w:r>
        <w:rPr>
          <w:rFonts w:ascii="Times New Roman" w:hAnsi="Times New Roman" w:eastAsia="方正仿宋_GBK"/>
          <w:b w:val="0"/>
          <w:sz w:val="24"/>
        </w:rPr>
        <w:t xml:space="preserve">两地区的研究共同表明，分片区确定容载比需要从运行任务出发。电源规模较大时关注反向输送，负荷增长较快时关注发展储备，设备集中重载时关注站间转供和本站建设；储能则根据相应方向的功率缺口与持续时间配置。区域容载比最终由满足这些任务的主变容量形成。</w:t>
      </w:r>
    </w:p>
    <w:p>
      <w:pPr>
        <w:pStyle w:val="3"/>
        <w:keepNext/>
        <w:pageBreakBefore/>
        <w:numPr>
          <w:numId w:val="0"/>
        </w:numPr>
        <w:spacing w:line="540" w:lineRule="exact" w:before="0" w:after="120"/>
        <w:ind w:firstLine="0"/>
      </w:pPr>
      <w:bookmarkStart w:id="1400" w:name="h400"/>
      <w:bookmarkStart w:id="141" w:name="第四章-基于实际工程的建设成本模型"/>
      <w:r>
        <w:rPr>
          <w:rFonts w:ascii="Times New Roman" w:hAnsi="Times New Roman" w:eastAsia="方正仿宋_GBK"/>
          <w:b/>
          <w:sz w:val="36"/>
        </w:rPr>
        <w:t xml:space="preserve">第四章 基于实际工程的建设成本模型</w:t>
      </w:r>
      <w:bookmarkEnd w:id="141"/>
      <w:bookmarkEnd w:id="1400"/>
    </w:p>
    <w:p>
      <w:pPr>
        <w:pStyle w:val="4"/>
        <w:keepNext/>
        <w:numPr>
          <w:numId w:val="0"/>
        </w:numPr>
        <w:spacing w:line="480" w:lineRule="exact" w:before="160" w:after="120"/>
        <w:ind w:firstLine="0"/>
      </w:pPr>
      <w:bookmarkStart w:id="1401" w:name="h401"/>
      <w:bookmarkStart w:id="142" w:name="成本模型的范围与建立原则"/>
      <w:r>
        <w:rPr>
          <w:rFonts w:ascii="Times New Roman" w:hAnsi="Times New Roman" w:eastAsia="方正仿宋_GBK"/>
          <w:b/>
          <w:sz w:val="32"/>
        </w:rPr>
        <w:t xml:space="preserve">4.1 成本模型的范围与建立原则</w:t>
      </w:r>
      <w:bookmarkEnd w:id="142"/>
      <w:bookmarkEnd w:id="1401"/>
    </w:p>
    <w:p>
      <w:pPr>
        <w:pStyle w:val="5"/>
        <w:keepNext/>
        <w:numPr>
          <w:numId w:val="0"/>
        </w:numPr>
        <w:spacing w:line="390" w:lineRule="exact" w:before="160" w:after="120"/>
        <w:ind w:firstLine="0"/>
      </w:pPr>
      <w:bookmarkStart w:id="143" w:name="建设改造措施与投资估算依据"/>
      <w:r>
        <w:rPr>
          <w:rFonts w:ascii="Times New Roman" w:hAnsi="Times New Roman" w:eastAsia="方正仿宋_GBK"/>
          <w:b/>
          <w:sz w:val="26"/>
        </w:rPr>
        <w:t xml:space="preserve">4.1.1 建设改造措施与投资估算依据</w:t>
      </w:r>
      <w:bookmarkEnd w:id="143"/>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第三章确定了地区正反向容量需求及转供条件，本章为满足这些需求的主变、储能与10 kV联络措施建立费用模型。先按实际工程形成单位费用，再按逐年购置和投运规模计算支出，供第五章在技术可行组合之间比较经济性。主变更换以整台新购铭牌容量计价，扩建主变按独立扩建项目计价，储能按新增柜数计价，线路按当年新投运条数计价。既有资产只影响技术条件，其原建设费用不重复计入。</w:t>
      </w:r>
    </w:p>
    <w:p>
      <w:pPr>
        <w:pStyle w:val="2"/>
        <w:widowControl/>
        <w:spacing w:line="348" w:lineRule="exact" w:before="0" w:after="0"/>
        <w:ind w:firstLine="480"/>
        <w:jc w:val="both"/>
      </w:pPr>
      <w:r>
        <w:rPr>
          <w:rFonts w:ascii="Times New Roman" w:hAnsi="Times New Roman" w:eastAsia="方正仿宋_GBK"/>
          <w:b w:val="0"/>
          <w:sz w:val="24"/>
        </w:rPr>
        <w:t xml:space="preserve">主变、储能与线路均按项目范围使用价格。徐州110 kV主变增容与扩建工程估算包括设备及配套建设，储能价格取成套采购及安装项目，线路价格取公开规划造价。线路成本系数、储能及主变价格倍数分别用于敏感性分析，工程范围差异在应用时另行核定[85][87][86]。</w:t>
      </w:r>
    </w:p>
    <w:p>
      <w:pPr>
        <w:pStyle w:val="5"/>
        <w:keepNext/>
        <w:numPr>
          <w:numId w:val="0"/>
        </w:numPr>
        <w:spacing w:line="390" w:lineRule="exact" w:before="160" w:after="120"/>
        <w:ind w:firstLine="0"/>
      </w:pPr>
      <w:bookmarkStart w:id="144" w:name="投资运维与更新"/>
      <w:r>
        <w:rPr>
          <w:rFonts w:ascii="Times New Roman" w:hAnsi="Times New Roman" w:eastAsia="方正仿宋_GBK"/>
          <w:b/>
          <w:sz w:val="26"/>
        </w:rPr>
        <w:t xml:space="preserve">4.1.2 投资、运维与更新</w:t>
      </w:r>
      <w:bookmarkEnd w:id="144"/>
    </w:p>
    <w:p>
      <w:pPr>
        <w:pStyle w:val="FirstParagraph"/>
        <w:widowControl/>
        <w:spacing w:line="348" w:lineRule="exact" w:before="0" w:after="0"/>
        <w:ind w:firstLine="480"/>
        <w:jc w:val="both"/>
      </w:pPr>
      <w:r>
        <w:rPr>
          <w:rFonts w:ascii="Times New Roman" w:hAnsi="Times New Roman" w:eastAsia="方正仿宋_GBK"/>
          <w:b w:val="0"/>
          <w:sz w:val="24"/>
        </w:rPr>
        <w:t xml:space="preserve">评价期费用以2021年末为评价基准，截止于2041年。新增工程在投运年发生初始投资，次年起计固定运维；设备达到设定寿命且评价期尚需服务时，按同等实价更新。不同寿命的措施以同一现金流边界比较[10][11][12]。</w:t>
      </w:r>
    </w:p>
    <w:p>
      <w:pPr>
        <w:pStyle w:val="2"/>
        <w:widowControl/>
        <w:spacing w:line="348" w:lineRule="exact" w:before="0" w:after="0"/>
        <w:ind w:firstLine="480"/>
        <w:jc w:val="both"/>
      </w:pPr>
      <w:r>
        <w:rPr>
          <w:rFonts w:ascii="Times New Roman" w:hAnsi="Times New Roman" w:eastAsia="方正仿宋_GBK"/>
          <w:b w:val="0"/>
          <w:sz w:val="24"/>
        </w:rPr>
        <w:t xml:space="preserve">按项目经济评价边界，主变和线路寿命均取40年，储能取25年；变电和线路固定运维率显示约为初始投资的4%/年、2%/年，计算分别保留系数0.042、0.022。储能固定运维率取3%/年，折现率取6%。费用采用初始投资、年度运维和设备更新分项折现的方法[10,11,12]，各项取值作为两类方案的统一经济比较参数。评价截止年为2041年，两类方案采用相同参数。</w:t>
      </w:r>
    </w:p>
    <w:p>
      <w:pPr>
        <w:pStyle w:val="2"/>
        <w:keepNext/>
        <w:spacing w:line="280" w:lineRule="exact" w:before="120" w:after="80"/>
        <w:ind w:firstLine="0"/>
        <w:jc w:val="center"/>
      </w:pPr>
      <w:r>
        <w:rPr>
          <w:rFonts w:ascii="Times New Roman" w:hAnsi="Times New Roman" w:eastAsia="宋体"/>
          <w:b w:val="0"/>
          <w:sz w:val="21"/>
        </w:rPr>
        <w:t xml:space="preserve">表4-1 统一经济评价参数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161"/>
        <w:gridCol w:w="2327"/>
        <w:gridCol w:w="3823"/>
      </w:tblGrid>
      <w:tr>
        <w:trPr>
          <w:cantSplit/>
          <w:tblHeader/>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计算依据与用途</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评价基准年/截止年</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2021/2041</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共同评价期费用比较</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折现率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现值法；统一资金时间价值参数[10,11,12]</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主变/线路使用年限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储能使用年限</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设备更新间隔；本评价期内无更新</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变电固定运维费率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初始投资4%/年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按初始投资比例估算年度运维[11]</w:t>
            </w:r>
          </w:p>
        </w:tc>
      </w:tr>
      <w:tr>
        <w:trPr>
          <w:cantSplit/>
        </w:trPr>
        <w:tc>
          <w:tcPr>
            <w:tcW w:type="dxa" w:w="216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线路固定运维费率</w:t>
            </w:r>
          </w:p>
        </w:tc>
        <w:tc>
          <w:tcPr>
            <w:tcW w:type="dxa" w:w="232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初始投资2%/年</w:t>
            </w:r>
          </w:p>
        </w:tc>
        <w:tc>
          <w:tcPr>
            <w:tcW w:type="dxa" w:w="382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按初始投资比例估算年度运维[12]</w:t>
            </w:r>
          </w:p>
        </w:tc>
      </w:tr>
      <w:tr>
        <w:trPr>
          <w:cantSplit/>
        </w:trPr>
        <w:tc>
          <w:tcPr>
            <w:tcW w:type="dxa" w:w="216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储能固定运维费率</w:t>
            </w:r>
          </w:p>
        </w:tc>
        <w:tc>
          <w:tcPr>
            <w:tcW w:type="dxa" w:w="232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初始投资3%/年</w:t>
            </w:r>
          </w:p>
        </w:tc>
        <w:tc>
          <w:tcPr>
            <w:tcW w:type="dxa" w:w="382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按初始投资比例估算年度运维[10]</w:t>
            </w:r>
          </w:p>
        </w:tc>
      </w:tr>
    </w:tbl>
    <w:p>
      <w:pPr>
        <w:pStyle w:val="2"/>
        <w:widowControl/>
        <w:spacing w:line="348" w:lineRule="exact" w:before="0" w:after="0"/>
        <w:ind w:firstLine="480"/>
        <w:jc w:val="both"/>
      </w:pPr>
      <w:r>
        <w:rPr>
          <w:rFonts w:ascii="Times New Roman" w:hAnsi="Times New Roman" w:eastAsia="方正仿宋_GBK"/>
          <w:b w:val="0"/>
          <w:sz w:val="24"/>
        </w:rPr>
        <w:t xml:space="preserve">注：文献支持费用构成和折现方法，所列年限与费率为本研究统一经济比较取值。</w:t>
      </w:r>
    </w:p>
    <w:p>
      <w:pPr>
        <w:pStyle w:val="5"/>
        <w:keepNext/>
        <w:numPr>
          <w:numId w:val="0"/>
        </w:numPr>
        <w:spacing w:line="390" w:lineRule="exact" w:before="160" w:after="120"/>
        <w:ind w:firstLine="0"/>
      </w:pPr>
      <w:bookmarkStart w:id="145" w:name="增量比较的适用范围"/>
      <w:r>
        <w:rPr>
          <w:rFonts w:ascii="Times New Roman" w:hAnsi="Times New Roman" w:eastAsia="方正仿宋_GBK"/>
          <w:b/>
          <w:sz w:val="26"/>
        </w:rPr>
        <w:t xml:space="preserve">4.1.3 增量比较的适用范围</w:t>
      </w:r>
      <w:bookmarkEnd w:id="145"/>
    </w:p>
    <w:p>
      <w:pPr>
        <w:pStyle w:val="FirstParagraph"/>
        <w:widowControl/>
        <w:spacing w:line="348" w:lineRule="exact" w:before="0" w:after="0"/>
        <w:ind w:firstLine="480"/>
        <w:jc w:val="both"/>
      </w:pPr>
      <w:r>
        <w:rPr>
          <w:rFonts w:ascii="Times New Roman" w:hAnsi="Times New Roman" w:eastAsia="方正仿宋_GBK"/>
          <w:b w:val="0"/>
          <w:sz w:val="24"/>
        </w:rPr>
        <w:t xml:space="preserve">2021年存量投资是两方案共有历史费用，不进入增量目标。两类方案共用仿真初始设备，基期及后续负荷采用实际年度统计值，基期容载比均约为2.00。2022年以后增加的措施按明确的购置和投运量计取，后续按各年在役状态计算运维费用，费用差来自新增措施规模及其投运时点。</w:t>
      </w:r>
    </w:p>
    <w:p>
      <w:pPr>
        <w:pStyle w:val="2"/>
        <w:widowControl/>
        <w:spacing w:line="348" w:lineRule="exact" w:before="0" w:after="0"/>
        <w:ind w:firstLine="480"/>
        <w:jc w:val="both"/>
      </w:pPr>
      <w:r>
        <w:rPr>
          <w:rFonts w:ascii="Times New Roman" w:hAnsi="Times New Roman" w:eastAsia="方正仿宋_GBK"/>
          <w:b w:val="0"/>
          <w:sz w:val="24"/>
        </w:rPr>
        <w:t xml:space="preserve">费用目标采用新增建设、固定运维和寿命更新支出，两类方案采用相同计价范围和折现基准。</w:t>
      </w:r>
    </w:p>
    <w:p>
      <w:pPr>
        <w:pStyle w:val="4"/>
        <w:keepNext/>
        <w:numPr>
          <w:numId w:val="0"/>
        </w:numPr>
        <w:spacing w:line="480" w:lineRule="exact" w:before="160" w:after="120"/>
        <w:ind w:firstLine="0"/>
      </w:pPr>
      <w:bookmarkStart w:id="1413" w:name="h413"/>
      <w:bookmarkStart w:id="146" w:name="主变工程成本系数"/>
      <w:r>
        <w:rPr>
          <w:rFonts w:ascii="Times New Roman" w:hAnsi="Times New Roman" w:eastAsia="方正仿宋_GBK"/>
          <w:b/>
          <w:sz w:val="32"/>
        </w:rPr>
        <w:t xml:space="preserve">4.2 主变工程成本系数</w:t>
      </w:r>
      <w:bookmarkEnd w:id="146"/>
      <w:bookmarkEnd w:id="1413"/>
    </w:p>
    <w:p>
      <w:pPr>
        <w:pStyle w:val="5"/>
        <w:keepNext/>
        <w:numPr>
          <w:numId w:val="0"/>
        </w:numPr>
        <w:spacing w:line="390" w:lineRule="exact" w:before="160" w:after="120"/>
        <w:ind w:firstLine="0"/>
      </w:pPr>
      <w:bookmarkStart w:id="147" w:name="替换工程案例"/>
      <w:r>
        <w:rPr>
          <w:rFonts w:ascii="Times New Roman" w:hAnsi="Times New Roman" w:eastAsia="方正仿宋_GBK"/>
          <w:b/>
          <w:sz w:val="26"/>
        </w:rPr>
        <w:t xml:space="preserve">4.2.1 替换工程案例</w:t>
      </w:r>
      <w:bookmarkEnd w:id="147"/>
    </w:p>
    <w:p>
      <w:pPr>
        <w:pStyle w:val="FirstParagraph"/>
        <w:widowControl/>
        <w:spacing w:line="348" w:lineRule="exact" w:before="0" w:after="0"/>
        <w:ind w:firstLine="480"/>
        <w:jc w:val="both"/>
      </w:pPr>
      <w:r>
        <w:rPr>
          <w:rFonts w:ascii="Times New Roman" w:hAnsi="Times New Roman" w:eastAsia="方正仿宋_GBK"/>
          <w:b w:val="0"/>
          <w:sz w:val="24"/>
        </w:rPr>
        <w:t xml:space="preserve">依据徐州110 kV输变电建设改造工程投资估算资料，王庄110 kV变电站2号主变由20 MVA更换为50 MVA，静态投资1151万元；鲁庙110 kV变电站两台主变由2×31.50 MVA更换为2×50 MVA，静态投资1335万元[85]。</w:t>
      </w:r>
    </w:p>
    <w:p>
      <w:pPr>
        <w:pStyle w:val="2"/>
        <w:widowControl/>
        <w:spacing w:line="348" w:lineRule="exact"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280" w:lineRule="exact" w:before="120" w:after="80"/>
        <w:ind w:firstLine="0"/>
        <w:jc w:val="center"/>
      </w:pPr>
      <w:r>
        <w:rPr>
          <w:rFonts w:ascii="Times New Roman" w:hAnsi="Times New Roman" w:eastAsia="宋体"/>
          <w:b w:val="0"/>
          <w:sz w:val="21"/>
        </w:rPr>
        <w:t xml:space="preserve">表4-2 徐州110 kV主变工程价格依据[85]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被替换主变容量/MVA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1335</w:t>
            </w:r>
          </w:p>
        </w:tc>
      </w:tr>
    </w:tbl>
    <w:p>
      <w:pPr>
        <w:pStyle w:val="5"/>
        <w:keepNext/>
        <w:numPr>
          <w:numId w:val="0"/>
        </w:numPr>
        <w:spacing w:line="390" w:lineRule="exact" w:before="160" w:after="120"/>
        <w:ind w:firstLine="0"/>
      </w:pPr>
      <w:bookmarkStart w:id="148" w:name="采购容量加权系数"/>
      <w:r>
        <w:rPr>
          <w:rFonts w:ascii="Times New Roman" w:hAnsi="Times New Roman" w:eastAsia="方正仿宋_GBK"/>
          <w:b/>
          <w:sz w:val="26"/>
        </w:rPr>
        <w:t xml:space="preserve">4.2.2 采购容量加权系数</w:t>
      </w:r>
      <w:bookmarkEnd w:id="148"/>
    </w:p>
    <w:p>
      <w:pPr>
        <w:pStyle w:val="FirstParagraph"/>
        <w:widowControl/>
        <w:spacing w:line="348" w:lineRule="exact"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48" w:lineRule="exact"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48" w:lineRule="exact" w:before="0" w:after="0"/>
        <w:ind w:firstLine="480"/>
        <w:jc w:val="both"/>
      </w:pPr>
      <w:r>
        <w:rPr>
          <w:rFonts w:ascii="Times New Roman" w:hAnsi="Times New Roman" w:eastAsia="方正仿宋_GBK"/>
          <w:b w:val="0"/>
          <w:sz w:val="24"/>
        </w:rPr>
        <w:t xml:space="preserve">主变容量按功率因数0.95折算为有功供电能力，单位费用约17.45万元/MW。该功率按新购主变额定容量折算，用于计算主变单位功率投资。</w:t>
      </w:r>
    </w:p>
    <w:p>
      <w:pPr>
        <w:pStyle w:val="5"/>
        <w:keepNext/>
        <w:numPr>
          <w:numId w:val="0"/>
        </w:numPr>
        <w:spacing w:line="390" w:lineRule="exact" w:before="160" w:after="120"/>
        <w:ind w:firstLine="0"/>
      </w:pPr>
      <w:bookmarkStart w:id="149" w:name="净增容量与工程费用"/>
      <w:r>
        <w:rPr>
          <w:rFonts w:ascii="Times New Roman" w:hAnsi="Times New Roman" w:eastAsia="方正仿宋_GBK"/>
          <w:b/>
          <w:sz w:val="26"/>
        </w:rPr>
        <w:t xml:space="preserve">4.2.3 净增容量与工程费用</w:t>
      </w:r>
      <w:bookmarkEnd w:id="149"/>
    </w:p>
    <w:p>
      <w:pPr>
        <w:pStyle w:val="FirstParagraph"/>
        <w:widowControl/>
        <w:spacing w:line="348" w:lineRule="exact" w:before="0" w:after="0"/>
        <w:ind w:firstLine="480"/>
        <w:jc w:val="both"/>
      </w:pPr>
      <w:r>
        <w:rPr>
          <w:rFonts w:ascii="Times New Roman" w:hAnsi="Times New Roman" w:eastAsia="方正仿宋_GBK"/>
          <w:b w:val="0"/>
          <w:sz w:val="24"/>
        </w:rPr>
        <w:t xml:space="preserve">王庄净增30 MVA，按单位净增有功功率折算的投资为1151/[30×0.95]=40.39万元/MW。该价格高于按新购50 MVA折算的单位有功功率投资，原因是新购设备需要替换原有20 MVA供电能力。鲁庙的净增比例不同，替换投资分别按实际采购容量计算。</w:t>
      </w:r>
    </w:p>
    <w:p>
      <w:pPr>
        <w:pStyle w:val="2"/>
        <w:widowControl/>
        <w:spacing w:line="348" w:lineRule="exact"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、主变安装位置</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为主变安装位置，</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分别为更换后、更换前容量，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为更换状态，发生更换取1，否则取0。未更换时投资为零；更换同一位置后，新容量在后续年份持续在役。</w:t>
      </w:r>
    </w:p>
    <w:p>
      <w:pPr>
        <w:pStyle w:val="5"/>
        <w:keepNext/>
        <w:numPr>
          <w:numId w:val="0"/>
        </w:numPr>
        <w:spacing w:line="390" w:lineRule="exact" w:before="160" w:after="120"/>
        <w:ind w:firstLine="0"/>
      </w:pPr>
      <w:bookmarkStart w:id="150" w:name="主变扩建"/>
      <w:r>
        <w:rPr>
          <w:rFonts w:ascii="Times New Roman" w:hAnsi="Times New Roman" w:eastAsia="方正仿宋_GBK"/>
          <w:b/>
          <w:sz w:val="26"/>
        </w:rPr>
        <w:t xml:space="preserve">4.2.4 主变扩建</w:t>
      </w:r>
      <w:bookmarkEnd w:id="150"/>
    </w:p>
    <w:p>
      <w:pPr>
        <w:pStyle w:val="FirstParagraph"/>
        <w:widowControl/>
        <w:spacing w:line="348" w:lineRule="exact"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kV出线，静态总投资分别为1206万元和1240万元[85]。同规模案例均值为1223万元，作为50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48" w:lineRule="exact" w:before="0" w:after="0"/>
        <w:ind w:firstLine="480"/>
        <w:jc w:val="both"/>
      </w:pPr>
      <w:r>
        <w:rPr>
          <w:rFonts w:ascii="Times New Roman" w:hAnsi="Times New Roman" w:eastAsia="方正仿宋_GBK"/>
          <w:b w:val="0"/>
          <w:sz w:val="24"/>
        </w:rPr>
        <w:t xml:space="preserve">主变扩建按1223万元/项计费，包含增加台数及相应配套工程。主变扩建适用于具备预留位置的站点。</w:t>
      </w:r>
    </w:p>
    <w:p>
      <w:pPr>
        <w:pStyle w:val="2"/>
        <w:widowControl/>
        <w:spacing w:line="348" w:lineRule="exact" w:before="0" w:after="0"/>
        <w:ind w:firstLine="480"/>
        <w:jc w:val="both"/>
      </w:pPr>
      <w:r>
        <w:rPr>
          <w:rFonts w:ascii="Times New Roman" w:hAnsi="Times New Roman" w:eastAsia="方正仿宋_GBK"/>
          <w:b w:val="0"/>
          <w:sz w:val="24"/>
        </w:rPr>
        <w:t xml:space="preserve">主变扩建提高公用主变总容量与主变N-1后剩余容量，按第五章的容量约束和费用目标评价。既有两台规格、正向需求及供电安全任务不同，会使同样的扩建费用对应不同替代储能规模。</w:t>
      </w:r>
    </w:p>
    <w:p>
      <w:pPr>
        <w:pStyle w:val="4"/>
        <w:keepNext/>
        <w:numPr>
          <w:numId w:val="0"/>
        </w:numPr>
        <w:spacing w:line="480" w:lineRule="exact" w:before="160" w:after="120"/>
        <w:ind w:firstLine="0"/>
      </w:pPr>
      <w:bookmarkStart w:id="1432" w:name="h432"/>
      <w:bookmarkStart w:id="151" w:name="kv联络工程费用"/>
      <w:r>
        <w:rPr>
          <w:rFonts w:ascii="Times New Roman" w:hAnsi="Times New Roman" w:eastAsia="方正仿宋_GBK"/>
          <w:b/>
          <w:sz w:val="32"/>
        </w:rPr>
        <w:t xml:space="preserve">4.3 10 kV联络工程费用</w:t>
      </w:r>
      <w:bookmarkEnd w:id="151"/>
      <w:bookmarkEnd w:id="1432"/>
    </w:p>
    <w:p>
      <w:pPr>
        <w:pStyle w:val="5"/>
        <w:keepNext/>
        <w:numPr>
          <w:numId w:val="0"/>
        </w:numPr>
        <w:spacing w:line="390" w:lineRule="exact" w:before="160" w:after="120"/>
        <w:ind w:firstLine="0"/>
      </w:pPr>
      <w:bookmarkStart w:id="152" w:name="参考工程及单位造价"/>
      <w:r>
        <w:rPr>
          <w:rFonts w:ascii="Times New Roman" w:hAnsi="Times New Roman" w:eastAsia="方正仿宋_GBK"/>
          <w:b/>
          <w:sz w:val="26"/>
        </w:rPr>
        <w:t xml:space="preserve">4.3.1 参考工程及单位造价</w:t>
      </w:r>
      <w:bookmarkEnd w:id="152"/>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工程的架空参考造价取华容县配电网规划报告表7-1的24万元/km，电缆电气部分为120万元/km，开关为3万元/台[87]。电缆采用含电气和土建的综合参考价180万元/km，其中土建按差额60万元/km计入研究费用。电缆工程投资范围包含电气安装及配套土建，徐州10 kV线路迁改工程公开建设内容亦包括相应电缆及通道工程[88]。</w:t>
      </w:r>
    </w:p>
    <w:p>
      <w:pPr>
        <w:pStyle w:val="5"/>
        <w:keepNext/>
        <w:numPr>
          <w:numId w:val="0"/>
        </w:numPr>
        <w:spacing w:line="390" w:lineRule="exact" w:before="160" w:after="120"/>
        <w:ind w:firstLine="0"/>
      </w:pPr>
      <w:bookmarkStart w:id="153" w:name="线路成本系数"/>
      <w:r>
        <w:rPr>
          <w:rFonts w:ascii="Times New Roman" w:hAnsi="Times New Roman" w:eastAsia="方正仿宋_GBK"/>
          <w:b/>
          <w:sz w:val="26"/>
        </w:rPr>
        <w:t xml:space="preserve">4.3.2 线路成本系数</w:t>
      </w:r>
      <w:bookmarkEnd w:id="153"/>
    </w:p>
    <w:p>
      <w:pPr>
        <w:pStyle w:val="FirstParagraph"/>
        <w:widowControl/>
        <w:spacing w:line="348" w:lineRule="exact" w:before="0" w:after="0"/>
        <w:ind w:firstLine="480"/>
        <w:jc w:val="both"/>
      </w:pPr>
      <w:r>
        <w:rPr>
          <w:rFonts w:ascii="Times New Roman" w:hAnsi="Times New Roman" w:eastAsia="方正仿宋_GBK"/>
          <w:b w:val="0"/>
          <w:sz w:val="24"/>
        </w:rPr>
        <w:t xml:space="preserve">线路造价以架空参考基价24万元/km为基准，定义线路成本系数</w:t>
      </w:r>
      <m:oMath>
        <m:sSub>
          <m:e>
            <m:r>
              <m:t>k</m:t>
            </m:r>
          </m:e>
          <m:sub>
            <m:r>
              <m:t>L</m:t>
            </m:r>
          </m:sub>
        </m:sSub>
      </m:oMath>
      <w:r>
        <w:rPr>
          <w:rFonts w:ascii="Times New Roman" w:hAnsi="Times New Roman" w:eastAsia="方正仿宋_GBK"/>
          <w:b w:val="0"/>
          <w:sz w:val="24"/>
        </w:rPr>
        <w:t xml:space="preserve">。若电缆长度占比为</w:t>
      </w:r>
      <m:oMath>
        <m:r>
          <m:t>α</m:t>
        </m:r>
      </m:oMath>
      <w:r>
        <w:rPr>
          <w:rFonts w:ascii="Times New Roman" w:hAnsi="Times New Roman" w:eastAsia="方正仿宋_GBK"/>
          <w:b w:val="0"/>
          <w:sz w:val="24"/>
        </w:rPr>
        <w:t xml:space="preserve">，电缆综合参考价为180万元/km，则单位长度综合费用为</w:t>
      </w:r>
      <m:oMath>
        <m:r>
          <m:t>24</m:t>
        </m:r>
        <m:r>
          <m:t>(</m:t>
        </m:r>
        <m:r>
          <m:t>1</m:t>
        </m:r>
        <m:r>
          <m:t>−</m:t>
        </m:r>
        <m:r>
          <m:t>α</m:t>
        </m:r>
        <m:r>
          <m:t>)</m:t>
        </m:r>
        <m:r>
          <m:t>+</m:t>
        </m:r>
        <m:r>
          <m:t>180</m:t>
        </m:r>
        <m:r>
          <m:t>α</m:t>
        </m:r>
      </m:oMath>
      <w:r>
        <w:rPr>
          <w:rFonts w:ascii="Times New Roman" w:hAnsi="Times New Roman" w:eastAsia="方正仿宋_GBK"/>
          <w:b w:val="0"/>
          <w:sz w:val="24"/>
        </w:rPr>
        <w:t xml:space="preserve">，对应</w:t>
      </w:r>
      <m:oMath>
        <m:sSub>
          <m:e>
            <m:r>
              <m:t>k</m:t>
            </m:r>
          </m:e>
          <m:sub>
            <m:r>
              <m:t>L</m:t>
            </m:r>
          </m:sub>
        </m:sSub>
        <m:r>
          <m:t>=</m:t>
        </m:r>
        <m:r>
          <m:t>1</m:t>
        </m:r>
        <m:r>
          <m:t>+</m:t>
        </m:r>
        <m:r>
          <m:t>6.5</m:t>
        </m:r>
        <m:r>
          <m:t>α</m:t>
        </m:r>
      </m:oMath>
      <w:r>
        <w:rPr>
          <w:rFonts w:ascii="Times New Roman" w:hAnsi="Times New Roman" w:eastAsia="方正仿宋_GBK"/>
          <w:b w:val="0"/>
          <w:sz w:val="24"/>
        </w:rPr>
        <w:t xml:space="preserve">。系数也可按实际工程单位长度造价与基价之比确定。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L</m:t>
                    </m:r>
                  </m:sub>
                </m:sSub>
                <m:r>
                  <m:t>=</m:t>
                </m:r>
                <m:r>
                  <m:t>24</m:t>
                </m:r>
                <m:r>
                  <m:t>L</m:t>
                </m:r>
                <m:sSub>
                  <m:e>
                    <m:r>
                      <m:t>k</m:t>
                    </m:r>
                  </m:e>
                  <m:sub>
                    <m:r>
                      <m:t>L</m:t>
                    </m:r>
                  </m:sub>
                </m:sSub>
                <m:r>
                  <m:t>+</m:t>
                </m:r>
                <m:r>
                  <m:t>6</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为单项目建设投资，单位万元；</w:t>
      </w:r>
      <m:oMath>
        <m:r>
          <m:t>L</m:t>
        </m:r>
      </m:oMath>
      <w:r>
        <w:rPr>
          <w:rFonts w:ascii="Times New Roman" w:hAnsi="Times New Roman" w:eastAsia="方正仿宋_GBK"/>
          <w:b w:val="0"/>
          <w:sz w:val="24"/>
        </w:rPr>
        <w:t xml:space="preserve">为线路长度，基准取3 km；</w:t>
      </w:r>
      <m:oMath>
        <m:sSub>
          <m:e>
            <m:r>
              <m:t>k</m:t>
            </m:r>
          </m:e>
          <m:sub>
            <m:r>
              <m:t>L</m:t>
            </m:r>
          </m:sub>
        </m:sSub>
      </m:oMath>
      <w:r>
        <w:rPr>
          <w:rFonts w:ascii="Times New Roman" w:hAnsi="Times New Roman" w:eastAsia="方正仿宋_GBK"/>
          <w:b w:val="0"/>
          <w:sz w:val="24"/>
        </w:rPr>
        <w:t xml:space="preserve">为无量纲线路成本系数；6万元为两台等效开关的固定接入费用。固定费用不随</w:t>
      </w:r>
      <m:oMath>
        <m:sSub>
          <m:e>
            <m:r>
              <m:t>k</m:t>
            </m:r>
          </m:e>
          <m:sub>
            <m:r>
              <m:t>L</m:t>
            </m:r>
          </m:sub>
        </m:sSub>
      </m:oMath>
      <w:r>
        <w:rPr>
          <w:rFonts w:ascii="Times New Roman" w:hAnsi="Times New Roman" w:eastAsia="方正仿宋_GBK"/>
          <w:b w:val="0"/>
          <w:sz w:val="24"/>
        </w:rPr>
        <w:t xml:space="preserve">同比缩放。</w:t>
      </w:r>
    </w:p>
    <w:p>
      <w:pPr>
        <w:pStyle w:val="2"/>
        <w:widowControl/>
        <w:spacing w:line="348" w:lineRule="exact" w:before="0" w:after="0"/>
        <w:ind w:firstLine="480"/>
        <w:jc w:val="both"/>
      </w:pPr>
      <w:r>
        <w:rPr>
          <w:rFonts w:ascii="Times New Roman" w:hAnsi="Times New Roman" w:eastAsia="方正仿宋_GBK"/>
          <w:b w:val="0"/>
          <w:sz w:val="24"/>
        </w:rPr>
        <w:t xml:space="preserve">邳州原案例项目投资124.80万元，对应</w:t>
      </w:r>
      <m:oMath>
        <m:sSub>
          <m:e>
            <m:r>
              <m:t>k</m:t>
            </m:r>
          </m:e>
          <m:sub>
            <m:r>
              <m:t>L</m:t>
            </m:r>
          </m:sub>
        </m:sSub>
        <m:r>
          <m:t>=</m:t>
        </m:r>
        <m:r>
          <m:t>1.65</m:t>
        </m:r>
      </m:oMath>
      <w:r>
        <w:rPr>
          <w:rFonts w:ascii="Times New Roman" w:hAnsi="Times New Roman" w:eastAsia="方正仿宋_GBK"/>
          <w:b w:val="0"/>
          <w:sz w:val="24"/>
        </w:rPr>
        <w:t xml:space="preserve">；市区499.20万元，对应</w:t>
      </w:r>
      <m:oMath>
        <m:sSub>
          <m:e>
            <m:r>
              <m:t>k</m:t>
            </m:r>
          </m:e>
          <m:sub>
            <m:r>
              <m:t>L</m:t>
            </m:r>
          </m:sub>
        </m:sSub>
        <m:r>
          <m:t>=</m:t>
        </m:r>
        <m:r>
          <m:t>6.85</m:t>
        </m:r>
      </m:oMath>
      <w:r>
        <w:rPr>
          <w:rFonts w:ascii="Times New Roman" w:hAnsi="Times New Roman" w:eastAsia="方正仿宋_GBK"/>
          <w:b w:val="0"/>
          <w:sz w:val="24"/>
        </w:rPr>
        <w:t xml:space="preserve">。两地区案例保留这两个工程参考费用，推广时直接改变线路成本系数。</w:t>
      </w:r>
    </w:p>
    <w:p>
      <w:pPr>
        <w:pStyle w:val="2"/>
        <w:keepNext/>
        <w:spacing w:line="280" w:lineRule="exact" w:before="120" w:after="80"/>
        <w:ind w:firstLine="0"/>
        <w:jc w:val="center"/>
      </w:pPr>
      <w:r>
        <w:rPr>
          <w:rFonts w:ascii="Times New Roman" w:hAnsi="Times New Roman" w:eastAsia="宋体"/>
          <w:b w:val="0"/>
          <w:sz w:val="21"/>
        </w:rPr>
        <w:t xml:space="preserve">表4-3 线路成本系数与项目费用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长度/km</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单位长度费用/万元·km⁻¹</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固定接入费/万元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项目投资/万元</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39.60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312.00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164.40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499.20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546.00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注：电缆与架空参考基价为180、24万元/km；系数统一表达单位长度综合费用。</w:t>
      </w:r>
    </w:p>
    <w:p>
      <w:pPr>
        <w:pStyle w:val="5"/>
        <w:keepNext/>
        <w:numPr>
          <w:numId w:val="0"/>
        </w:numPr>
        <w:spacing w:line="390" w:lineRule="exact" w:before="160" w:after="120"/>
        <w:ind w:firstLine="0"/>
      </w:pPr>
      <w:bookmarkStart w:id="154" w:name="联络能力与工程计费"/>
      <w:r>
        <w:rPr>
          <w:rFonts w:ascii="Times New Roman" w:hAnsi="Times New Roman" w:eastAsia="方正仿宋_GBK"/>
          <w:b/>
          <w:sz w:val="26"/>
        </w:rPr>
        <w:t xml:space="preserve">4.3.3 联络能力与工程计费</w:t>
      </w:r>
      <w:bookmarkEnd w:id="154"/>
    </w:p>
    <w:p>
      <w:pPr>
        <w:pStyle w:val="FirstParagraph"/>
        <w:widowControl/>
        <w:spacing w:line="348" w:lineRule="exact" w:before="0" w:after="0"/>
        <w:ind w:firstLine="480"/>
        <w:jc w:val="both"/>
      </w:pPr>
      <w:r>
        <w:rPr>
          <w:rFonts w:ascii="Times New Roman" w:hAnsi="Times New Roman" w:eastAsia="方正仿宋_GBK"/>
          <w:b w:val="0"/>
          <w:sz w:val="24"/>
        </w:rPr>
        <w:t xml:space="preserve">新增候选线的区段负荷参考值为7.49 MW，低于按允许电流折算的有功容量9.05 MW。模型按具体送受端馈线建立候选边，既有边不重复计原建设费，新增边按投运年计项目费用。线路价格改变时，候选路径、区段负荷及热限保持不变，用于识别经济参数的影响。</w:t>
      </w:r>
    </w:p>
    <w:p>
      <w:pPr>
        <w:pStyle w:val="2"/>
        <w:widowControl/>
        <w:spacing w:line="348" w:lineRule="exact" w:before="0" w:after="0"/>
        <w:ind w:firstLine="480"/>
        <w:jc w:val="both"/>
      </w:pPr>
      <w:r>
        <w:rPr>
          <w:rFonts w:ascii="Times New Roman" w:hAnsi="Times New Roman" w:eastAsia="方正仿宋_GBK"/>
          <w:b w:val="0"/>
          <w:sz w:val="24"/>
        </w:rPr>
        <w:t xml:space="preserve">同一馈线连接多条候选联络时，共用其源端可转负荷和接收余量，转供功率同时受接收主变容量限制。</w:t>
      </w:r>
    </w:p>
    <w:p>
      <w:pPr>
        <w:pStyle w:val="4"/>
        <w:keepNext/>
        <w:numPr>
          <w:numId w:val="0"/>
        </w:numPr>
        <w:spacing w:line="480" w:lineRule="exact" w:before="160" w:after="120"/>
        <w:ind w:firstLine="0"/>
      </w:pPr>
      <w:bookmarkStart w:id="1444" w:name="h444"/>
      <w:bookmarkStart w:id="155" w:name="储能投资模型"/>
      <w:r>
        <w:rPr>
          <w:rFonts w:ascii="Times New Roman" w:hAnsi="Times New Roman" w:eastAsia="方正仿宋_GBK"/>
          <w:b/>
          <w:sz w:val="32"/>
        </w:rPr>
        <w:t xml:space="preserve">4.4 储能投资模型</w:t>
      </w:r>
      <w:bookmarkEnd w:id="155"/>
      <w:bookmarkEnd w:id="1444"/>
    </w:p>
    <w:p>
      <w:pPr>
        <w:pStyle w:val="5"/>
        <w:keepNext/>
        <w:numPr>
          <w:numId w:val="0"/>
        </w:numPr>
        <w:spacing w:line="390" w:lineRule="exact" w:before="160" w:after="120"/>
        <w:ind w:firstLine="0"/>
      </w:pPr>
      <w:bookmarkStart w:id="156" w:name="储能规格与采购价格依据"/>
      <w:r>
        <w:rPr>
          <w:rFonts w:ascii="Times New Roman" w:hAnsi="Times New Roman" w:eastAsia="方正仿宋_GBK"/>
          <w:b/>
          <w:sz w:val="26"/>
        </w:rPr>
        <w:t xml:space="preserve">4.4.1 储能规格与采购价格依据</w:t>
      </w:r>
      <w:bookmarkEnd w:id="156"/>
    </w:p>
    <w:p>
      <w:pPr>
        <w:pStyle w:val="FirstParagraph"/>
        <w:widowControl/>
        <w:spacing w:line="348" w:lineRule="exact"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kWh柜规格。苏州采购公告的储能柜子项最高限价为27.20万元，作为单柜价格参考[89]。模型投资采用浏阳用户侧储能项目的成套中标价210.46万元，保证交付规模为1 MW/2.15 MWh，折合10柜[86]。</w:t>
      </w:r>
    </w:p>
    <w:p>
      <w:pPr>
        <w:pStyle w:val="2"/>
        <w:widowControl/>
        <w:spacing w:line="348" w:lineRule="exact"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280" w:lineRule="exact" w:before="120" w:after="80"/>
        <w:ind w:firstLine="0"/>
        <w:jc w:val="center"/>
      </w:pPr>
      <w:r>
        <w:rPr>
          <w:rFonts w:ascii="Times New Roman" w:hAnsi="Times New Roman" w:eastAsia="宋体"/>
          <w:b w:val="0"/>
          <w:sz w:val="21"/>
        </w:rPr>
        <w:t xml:space="preserve">表4-4 储能采购价格依据[89][86]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案例</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公告规模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保证规模</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价格/万元</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苏州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同公告</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储能项目中标总价</w:t>
            </w:r>
          </w:p>
        </w:tc>
      </w:tr>
    </w:tbl>
    <w:p>
      <w:pPr>
        <w:pStyle w:val="5"/>
        <w:keepNext/>
        <w:numPr>
          <w:numId w:val="0"/>
        </w:numPr>
        <w:spacing w:line="390" w:lineRule="exact" w:before="160" w:after="120"/>
        <w:ind w:firstLine="0"/>
      </w:pPr>
      <w:bookmarkStart w:id="157" w:name="成套柜单位价格"/>
      <w:r>
        <w:rPr>
          <w:rFonts w:ascii="Times New Roman" w:hAnsi="Times New Roman" w:eastAsia="方正仿宋_GBK"/>
          <w:b/>
          <w:sz w:val="26"/>
        </w:rPr>
        <w:t xml:space="preserve">4.4.2 成套柜单位价格</w:t>
      </w:r>
      <w:bookmarkEnd w:id="157"/>
    </w:p>
    <w:p>
      <w:pPr>
        <w:pStyle w:val="FirstParagraph"/>
        <w:widowControl/>
        <w:spacing w:line="348" w:lineRule="exact"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（4-5）</w:t>
            </w:r>
          </w:p>
        </w:tc>
      </w:tr>
    </w:tbl>
    <w:p>
      <w:pPr>
        <w:pStyle w:val="FirstParagraph"/>
        <w:widowControl/>
        <w:spacing w:line="348" w:lineRule="atLeast" w:before="0" w:after="0"/>
        <w:ind w:left="0" w:right="0" w:firstLine="0" w:firstLineChars="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90" w:lineRule="exact" w:before="160" w:after="120"/>
        <w:ind w:firstLine="0"/>
      </w:pPr>
      <w:bookmarkStart w:id="158" w:name="储能有效支撑功率与持续时间"/>
      <w:r>
        <w:rPr>
          <w:rFonts w:ascii="Times New Roman" w:hAnsi="Times New Roman" w:eastAsia="方正仿宋_GBK"/>
          <w:b/>
          <w:sz w:val="26"/>
        </w:rPr>
        <w:t xml:space="preserve">4.4.3 储能有效支撑功率与持续时间</w:t>
      </w:r>
      <w:bookmarkEnd w:id="158"/>
    </w:p>
    <w:p>
      <w:pPr>
        <w:pStyle w:val="FirstParagraph"/>
        <w:widowControl/>
        <w:spacing w:line="348" w:lineRule="exact" w:before="0" w:after="0"/>
        <w:ind w:firstLine="480"/>
        <w:jc w:val="both"/>
      </w:pPr>
      <w:r>
        <w:rPr>
          <w:rFonts w:ascii="Times New Roman" w:hAnsi="Times New Roman" w:eastAsia="方正仿宋_GBK"/>
          <w:b w:val="0"/>
          <w:sz w:val="24"/>
        </w:rPr>
        <w:t xml:space="preserve">储能有效功率取额定功率与可用电量折算功率的较小值。设</w:t>
      </w:r>
      <m:oMath>
        <m:r>
          <m:t>n</m:t>
        </m:r>
      </m:oMath>
      <w:r>
        <w:rPr>
          <w:rFonts w:ascii="Times New Roman" w:hAnsi="Times New Roman" w:eastAsia="方正仿宋_GBK"/>
          <w:b w:val="0"/>
          <w:sz w:val="24"/>
        </w:rPr>
        <w:t xml:space="preserve">为储能柜数，</w:t>
      </w:r>
      <m:oMath>
        <m:r>
          <m:t>H</m:t>
        </m:r>
      </m:oMath>
      <w:r>
        <w:rPr>
          <w:rFonts w:ascii="Times New Roman" w:hAnsi="Times New Roman" w:eastAsia="方正仿宋_GBK"/>
          <w:b w:val="0"/>
          <w:sz w:val="24"/>
        </w:rPr>
        <w:t xml:space="preserve">为支撑持续时间，可用电量系数取0.76，则有：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r>
                  <m:t>B</m:t>
                </m:r>
                <m:r>
                  <m:t>(</m:t>
                </m:r>
                <m:r>
                  <m:t>n</m:t>
                </m:r>
                <m:r>
                  <m:t>,</m:t>
                </m:r>
                <m:r>
                  <m:t>H</m:t>
                </m:r>
                <m:r>
                  <m:t>)</m:t>
                </m:r>
                <m:r>
                  <m:t>=</m:t>
                </m:r>
                <m:r>
                  <m:rPr>
                    <m:nor/>
                    <m:sty m:val="p"/>
                  </m:rPr>
                  <m:t>min</m:t>
                </m:r>
                <m:d>
                  <m:dPr>
                    <m:begChr m:val="{"/>
                    <m:endChr m:val="}"/>
                    <m:grow/>
                  </m:dPr>
                  <m:e>
                    <m:r>
                      <m:t>0.10</m:t>
                    </m:r>
                    <m:r>
                      <m:t>n</m:t>
                    </m:r>
                    <m:r>
                      <m:t>,</m:t>
                    </m:r>
                    <m:f>
                      <m:fPr>
                        <m:type m:val="bar"/>
                      </m:fPr>
                      <m:num>
                        <m:r>
                          <m:t>0.215</m:t>
                        </m:r>
                        <m:r>
                          <m:t>×</m:t>
                        </m:r>
                        <m:r>
                          <m:t>0.76</m:t>
                        </m:r>
                        <m:r>
                          <m:t>n</m:t>
                        </m:r>
                      </m:num>
                      <m:den>
                        <m:r>
                          <m:t>H</m:t>
                        </m:r>
                      </m:den>
                    </m:f>
                  </m:e>
                </m:d>
                <m:r>
                  <m:t>,</m:t>
                </m:r>
                <m:r>
                  <m:t>  </m:t>
                </m:r>
                <m:r>
                  <m:t>H</m:t>
                </m:r>
                <m:r>
                  <m:t>&gt;</m:t>
                </m:r>
                <m:r>
                  <m:t>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B</m:t>
        </m:r>
        <m:r>
          <m:t>(</m:t>
        </m:r>
        <m:r>
          <m:t>n</m:t>
        </m:r>
        <m:r>
          <m:t>,</m:t>
        </m:r>
        <m:r>
          <m:t>H</m:t>
        </m:r>
        <m:r>
          <m:t>)</m:t>
        </m:r>
      </m:oMath>
      <w:r>
        <w:rPr>
          <w:rFonts w:ascii="Times New Roman" w:hAnsi="Times New Roman" w:eastAsia="方正仿宋_GBK"/>
          <w:b w:val="0"/>
          <w:sz w:val="24"/>
        </w:rPr>
        <w:t xml:space="preserve">单位为MW，单柜额定能量为0.215 MWh，额定功率为0.10 MW，</w:t>
      </w:r>
      <m:oMath>
        <m:r>
          <m:t>H</m:t>
        </m:r>
      </m:oMath>
      <w:r>
        <w:rPr>
          <w:rFonts w:ascii="Times New Roman" w:hAnsi="Times New Roman" w:eastAsia="方正仿宋_GBK"/>
          <w:b w:val="0"/>
          <w:sz w:val="24"/>
        </w:rPr>
        <w:t xml:space="preserve">单位为h。10柜在4 h条件下有效功率为0.4085 MW，单位有效功率投资约515.19万元/MW。正向支撑和反向吸收分别使用相应持续时间。</w:t>
      </w:r>
    </w:p>
    <w:p>
      <w:pPr>
        <w:pStyle w:val="2"/>
        <w:keepNext/>
        <w:spacing w:line="280" w:lineRule="exact" w:before="120" w:after="80"/>
        <w:ind w:firstLine="0"/>
        <w:jc w:val="center"/>
      </w:pPr>
      <w:r>
        <w:rPr>
          <w:rFonts w:ascii="Times New Roman" w:hAnsi="Times New Roman" w:eastAsia="宋体"/>
          <w:b w:val="0"/>
          <w:sz w:val="21"/>
        </w:rPr>
        <w:t xml:space="preserve">表4-5 持续时间与储能有效功率</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储能支撑持续时间/h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10柜额定能量/MWh</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可用电量系数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储能有效支撑功率/MW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单位有效功率投资/万元·MW⁻¹</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257.60</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515.19</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772.79</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1030.39</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storage_effective_cost.png" id="0" name="Picture"/>
                    <pic:cNvPicPr>
                      <a:picLocks noChangeArrowheads="1" noChangeAspect="1"/>
                    </pic:cNvPicPr>
                  </pic:nvPicPr>
                  <pic:blipFill>
                    <a:blip r:embed="rId159"/>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图4-1 储能单位有效支撑功率投资与持续时间</w:t>
      </w:r>
    </w:p>
    <w:p>
      <w:pPr>
        <w:pStyle w:val="5"/>
        <w:keepNext/>
        <w:numPr>
          <w:numId w:val="0"/>
        </w:numPr>
        <w:spacing w:line="390" w:lineRule="exact" w:before="160" w:after="120"/>
        <w:ind w:firstLine="0"/>
      </w:pPr>
      <w:bookmarkStart w:id="160" w:name="可用能力与工程适用性"/>
      <w:r>
        <w:rPr>
          <w:rFonts w:ascii="Times New Roman" w:hAnsi="Times New Roman" w:eastAsia="方正仿宋_GBK"/>
          <w:b/>
          <w:sz w:val="26"/>
        </w:rPr>
        <w:t xml:space="preserve">4.4.4 可用能力与工程适用性</w:t>
      </w:r>
      <w:bookmarkEnd w:id="160"/>
    </w:p>
    <w:p>
      <w:pPr>
        <w:pStyle w:val="FirstParagraph"/>
        <w:widowControl/>
        <w:spacing w:line="348" w:lineRule="exact" w:before="0" w:after="0"/>
        <w:ind w:firstLine="480"/>
        <w:jc w:val="both"/>
      </w:pPr>
      <w:r>
        <w:rPr>
          <w:rFonts w:ascii="Times New Roman" w:hAnsi="Times New Roman" w:eastAsia="方正仿宋_GBK"/>
          <w:b w:val="0"/>
          <w:sz w:val="24"/>
        </w:rPr>
        <w:t xml:space="preserve">可用电量系数用于静态比选。正向支撑需要可放电电量，反向吸收需要可充电空间。模型适用范围见第3.4.5节；工程应用需结合保证可用电量、充放电效率、充电条件及恢复时间核定支撑能力。</w:t>
      </w:r>
    </w:p>
    <w:p>
      <w:pPr>
        <w:pStyle w:val="4"/>
        <w:keepNext/>
        <w:numPr>
          <w:numId w:val="0"/>
        </w:numPr>
        <w:spacing w:line="480" w:lineRule="exact" w:before="160" w:after="120"/>
        <w:ind w:firstLine="0"/>
      </w:pPr>
      <w:bookmarkStart w:id="1460" w:name="h460"/>
      <w:bookmarkStart w:id="161" w:name="经济参数与敏感性分析"/>
      <w:r>
        <w:rPr>
          <w:rFonts w:ascii="Times New Roman" w:hAnsi="Times New Roman" w:eastAsia="方正仿宋_GBK"/>
          <w:b/>
          <w:sz w:val="32"/>
        </w:rPr>
        <w:t xml:space="preserve">4.5 经济参数与敏感性分析</w:t>
      </w:r>
      <w:bookmarkEnd w:id="161"/>
      <w:bookmarkEnd w:id="1460"/>
    </w:p>
    <w:p>
      <w:pPr>
        <w:pStyle w:val="5"/>
        <w:keepNext/>
        <w:numPr>
          <w:numId w:val="0"/>
        </w:numPr>
        <w:spacing w:line="390" w:lineRule="exact" w:before="160" w:after="120"/>
        <w:ind w:firstLine="0"/>
      </w:pPr>
      <w:bookmarkStart w:id="162" w:name="线路成本系数的独立变化"/>
      <w:r>
        <w:rPr>
          <w:rFonts w:ascii="Times New Roman" w:hAnsi="Times New Roman" w:eastAsia="方正仿宋_GBK"/>
          <w:b/>
          <w:sz w:val="26"/>
        </w:rPr>
        <w:t xml:space="preserve">4.5.1 线路成本系数的独立变化</w:t>
      </w:r>
      <w:bookmarkEnd w:id="162"/>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推广矩阵以线路成本系数表示联络建设费用。基准长度3 km、固定接入费6万元和单边能力保持不变，仅改变单位长度费用。该设置使价格变化与新增转供能力变化可以分别分析。线路成本系数的主网格取1.00、1.65、4.25、6.85、7.50，首尾区间不以这些有限节点封闭。</w:t>
      </w:r>
    </w:p>
    <w:p>
      <w:pPr>
        <w:pStyle w:val="5"/>
        <w:keepNext/>
        <w:numPr>
          <w:numId w:val="0"/>
        </w:numPr>
        <w:spacing w:line="390" w:lineRule="exact" w:before="160" w:after="120"/>
        <w:ind w:firstLine="0"/>
      </w:pPr>
      <w:bookmarkStart w:id="163" w:name="储能价格与持续时间分别设置"/>
      <w:r>
        <w:rPr>
          <w:rFonts w:ascii="Times New Roman" w:hAnsi="Times New Roman" w:eastAsia="方正仿宋_GBK"/>
          <w:b/>
          <w:sz w:val="26"/>
        </w:rPr>
        <w:t xml:space="preserve">4.5.2 储能价格与持续时间分别设置</w:t>
      </w:r>
      <w:bookmarkEnd w:id="16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储能支撑持续时间保留在主矩阵，以4 h为共同基准，比较2 h和6 h。储能价格采用相对单柜参考投资的倍数，另取0.50、0.75、1.00、1.25作专项分析。比较价格倍数时，固定功率、能量规格及持续时间，价格倍数作用于新增采购费用和由其计算的固定运维费用。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I</m:t>
                    </m:r>
                  </m:e>
                  <m:sub>
                    <m:r>
                      <m:t>B</m:t>
                    </m:r>
                  </m:sub>
                </m:sSub>
                <m:r>
                  <m:t>=</m:t>
                </m:r>
                <m:sSub>
                  <m:e>
                    <m:r>
                      <m:t>m</m:t>
                    </m:r>
                  </m:e>
                  <m:sub>
                    <m:r>
                      <m:t>B</m:t>
                    </m:r>
                  </m:sub>
                </m:sSub>
                <m:sSub>
                  <m:e>
                    <m:r>
                      <m:t>c</m:t>
                    </m:r>
                  </m:e>
                  <m:sub>
                    <m:r>
                      <m:t>B</m:t>
                    </m:r>
                  </m:sub>
                </m:sSub>
                <m:r>
                  <m:t>Δ</m:t>
                </m:r>
                <m:r>
                  <m:t>n</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m</m:t>
            </m:r>
          </m:e>
          <m:sub>
            <m:r>
              <m:t>B</m:t>
            </m:r>
          </m:sub>
        </m:sSub>
      </m:oMath>
      <w:r>
        <w:rPr>
          <w:rFonts w:ascii="Times New Roman" w:hAnsi="Times New Roman" w:eastAsia="方正仿宋_GBK"/>
          <w:b w:val="0"/>
          <w:sz w:val="24"/>
        </w:rPr>
        <w:t xml:space="preserve">为储能价格倍数，</w:t>
      </w:r>
      <m:oMath>
        <m:sSub>
          <m:e>
            <m:r>
              <m:t>c</m:t>
            </m:r>
          </m:e>
          <m:sub>
            <m:r>
              <m:t>B</m:t>
            </m:r>
          </m:sub>
        </m:sSub>
      </m:oMath>
      <w:r>
        <w:rPr>
          <w:rFonts w:ascii="Times New Roman" w:hAnsi="Times New Roman" w:eastAsia="方正仿宋_GBK"/>
          <w:b w:val="0"/>
          <w:sz w:val="24"/>
        </w:rPr>
        <w:t xml:space="preserve">为单柜参考投资，</w:t>
      </w:r>
      <m:oMath>
        <m:r>
          <m:t>Δ</m:t>
        </m:r>
        <m:r>
          <m:t>n</m:t>
        </m:r>
      </m:oMath>
      <w:r>
        <w:rPr>
          <w:rFonts w:ascii="Times New Roman" w:hAnsi="Times New Roman" w:eastAsia="方正仿宋_GBK"/>
          <w:b w:val="0"/>
          <w:sz w:val="24"/>
        </w:rPr>
        <w:t xml:space="preserve">为新增柜数。持续时间改变有效支撑功率，价格倍数改变相同设备的费用，两者在交互分析中再联合比较。</w:t>
      </w:r>
    </w:p>
    <w:p>
      <w:pPr>
        <w:pStyle w:val="5"/>
        <w:keepNext/>
        <w:numPr>
          <w:numId w:val="0"/>
        </w:numPr>
        <w:spacing w:line="390" w:lineRule="exact" w:before="160" w:after="120"/>
        <w:ind w:firstLine="0"/>
      </w:pPr>
      <w:bookmarkStart w:id="164" w:name="主变价格与费用评价参数"/>
      <w:r>
        <w:rPr>
          <w:rFonts w:ascii="Times New Roman" w:hAnsi="Times New Roman" w:eastAsia="方正仿宋_GBK"/>
          <w:b/>
          <w:sz w:val="26"/>
        </w:rPr>
        <w:t xml:space="preserve">4.5.3 主变价格与费用评价参数</w:t>
      </w:r>
      <w:bookmarkEnd w:id="164"/>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主变更换系数和第三台50 MVA扩建费用共同采用0.75、1.00、1.25倍作对照。折现率、固定运维率和设备寿命分别按基准的0.80、1.00、1.20倍变化，其他参数固定。寿命变化只有在评价期内触发更新或改变其他已计费用时才影响结果。</w:t>
      </w:r>
    </w:p>
    <w:p>
      <w:pPr>
        <w:pStyle w:val="5"/>
        <w:keepNext/>
        <w:numPr>
          <w:numId w:val="0"/>
        </w:numPr>
        <w:spacing w:line="390" w:lineRule="exact" w:before="160" w:after="120"/>
        <w:ind w:firstLine="0"/>
      </w:pPr>
      <w:bookmarkStart w:id="165" w:name="经济比较与技术条件"/>
      <w:r>
        <w:rPr>
          <w:rFonts w:ascii="Times New Roman" w:hAnsi="Times New Roman" w:eastAsia="方正仿宋_GBK"/>
          <w:b/>
          <w:sz w:val="26"/>
        </w:rPr>
        <w:t xml:space="preserve">4.5.4 经济比较与技术条件</w:t>
      </w:r>
      <w:bookmarkEnd w:id="165"/>
    </w:p>
    <w:p>
      <w:pPr>
        <w:pStyle w:val="FirstParagraph"/>
        <w:widowControl/>
        <w:spacing w:line="348" w:lineRule="exact" w:before="0" w:after="0"/>
        <w:ind w:firstLine="480"/>
        <w:jc w:val="both"/>
      </w:pPr>
      <w:r>
        <w:rPr>
          <w:rFonts w:ascii="Times New Roman" w:hAnsi="Times New Roman" w:eastAsia="方正仿宋_GBK"/>
          <w:b w:val="0"/>
          <w:sz w:val="24"/>
        </w:rPr>
        <w:t xml:space="preserve">价格参数不改变主变允许规格、扩建位置及网络可行性。负荷分散系数、馈线热限、线路长度、功率因数和可用电量系数分别作辅助分析。其中线路长度直接改变项目费用，热限改变接收余量，两项不同时变化。结果分别报告容载比、费用及措施规模。</w:t>
      </w:r>
    </w:p>
    <w:p>
      <w:pPr>
        <w:pStyle w:val="2"/>
        <w:widowControl/>
        <w:spacing w:line="348" w:lineRule="exact" w:before="0" w:after="0"/>
        <w:ind w:firstLine="480"/>
        <w:jc w:val="both"/>
      </w:pPr>
      <w:r>
        <w:rPr>
          <w:rFonts w:ascii="Times New Roman" w:hAnsi="Times New Roman" w:eastAsia="方正仿宋_GBK"/>
          <w:b w:val="0"/>
          <w:sz w:val="24"/>
        </w:rPr>
        <w:t xml:space="preserve">单位功率投资可作为工程费用的辅助比较，但不同措施的功率分母需要分别说明。主变投资对应新购整台容量，经功率因数折算后仍受N-1剩余容量约束；联络投资对应具体区段可转负荷，还受接收站余量限制；储能投资对应给定持续时间内的有效功率。三项费用相近时，其实际可替代的能力未必相同，最终经济性应由完整方案判断[30][28][10]。</w:t>
      </w:r>
    </w:p>
    <w:p>
      <w:pPr>
        <w:pStyle w:val="2"/>
        <w:widowControl/>
        <w:spacing w:line="348" w:lineRule="exact" w:before="0" w:after="0"/>
        <w:ind w:firstLine="480"/>
        <w:jc w:val="both"/>
      </w:pPr>
      <w:r>
        <w:rPr>
          <w:rFonts w:ascii="Times New Roman" w:hAnsi="Times New Roman" w:eastAsia="方正仿宋_GBK"/>
          <w:b w:val="0"/>
          <w:sz w:val="24"/>
        </w:rPr>
        <w:t xml:space="preserve">例如同一条3 km联络，系数1.65对应124.80万元，系数6.85对应499.20万元，两者所设可转负荷同为7.49 MW。新增联络的作用取决于邻站可用容量和可切换负荷；既有联络按原有能力使用，新增工程按相应造价计费。</w:t>
      </w:r>
    </w:p>
    <w:p>
      <w:pPr>
        <w:pStyle w:val="2"/>
        <w:widowControl/>
        <w:spacing w:line="348" w:lineRule="exact" w:before="0" w:after="0"/>
        <w:ind w:firstLine="480"/>
        <w:jc w:val="both"/>
      </w:pPr>
      <w:r>
        <w:rPr>
          <w:rFonts w:ascii="Times New Roman" w:hAnsi="Times New Roman" w:eastAsia="方正仿宋_GBK"/>
          <w:b w:val="0"/>
          <w:sz w:val="24"/>
        </w:rPr>
        <w:t xml:space="preserve">储能价格分析固定100 kW/215 kWh规格及可用电量系数。10柜设备在4 h下的有效支撑功率为0.4085 MW，价格降低改变相同能力所需支出，持续时间延长则改变同一组设备能够提供的能力。分别设置价格倍数与持续时间后，可以识别费用变化是由采购价格、设备规模还是两者共同引起。</w:t>
      </w:r>
    </w:p>
    <w:p>
      <w:pPr>
        <w:pStyle w:val="4"/>
        <w:keepNext/>
        <w:numPr>
          <w:numId w:val="0"/>
        </w:numPr>
        <w:spacing w:line="480" w:lineRule="exact" w:before="160" w:after="120"/>
        <w:ind w:firstLine="0"/>
      </w:pPr>
      <w:bookmarkStart w:id="1473" w:name="h473"/>
      <w:bookmarkStart w:id="166" w:name="现金流现值计算"/>
      <w:r>
        <w:rPr>
          <w:rFonts w:ascii="Times New Roman" w:hAnsi="Times New Roman" w:eastAsia="方正仿宋_GBK"/>
          <w:b/>
          <w:sz w:val="32"/>
        </w:rPr>
        <w:t xml:space="preserve">4.6 现金流现值计算</w:t>
      </w:r>
      <w:bookmarkEnd w:id="166"/>
      <w:bookmarkEnd w:id="1473"/>
    </w:p>
    <w:p>
      <w:pPr>
        <w:pStyle w:val="5"/>
        <w:keepNext/>
        <w:numPr>
          <w:numId w:val="0"/>
        </w:numPr>
        <w:spacing w:line="390" w:lineRule="exact" w:before="160" w:after="120"/>
        <w:ind w:firstLine="0"/>
      </w:pPr>
      <w:bookmarkStart w:id="167" w:name="单项工程现值因子"/>
      <w:r>
        <w:rPr>
          <w:rFonts w:ascii="Times New Roman" w:hAnsi="Times New Roman" w:eastAsia="方正仿宋_GBK"/>
          <w:b/>
          <w:sz w:val="26"/>
        </w:rPr>
        <w:t xml:space="preserve">4.6.1 单项工程现值因子</w:t>
      </w:r>
      <w:bookmarkEnd w:id="167"/>
    </w:p>
    <w:p>
      <w:pPr>
        <w:pStyle w:val="FirstParagraph"/>
        <w:widowControl/>
        <w:spacing w:line="348" w:lineRule="exact"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=6%。单项工程现值由投运投资、评价期内更新和投运次年起固定运维构成[10][11][12]。</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e>
                  </m:mr>
                  <m:mr>
                    <m:e/>
                    <m:e>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48" w:lineRule="exact"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严格小于2041时。固定运维一直计至2041年。</w:t>
      </w:r>
    </w:p>
    <w:p>
      <w:pPr>
        <w:pStyle w:val="2"/>
        <w:widowControl/>
        <w:spacing w:line="348" w:lineRule="exact"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。主变按40年和系数0.042、线路按40年和系数0.022、储能按25年和系数0.030计算。2022—2025年投运的三类设备均未在2041年评价截止前达到设定寿命，因此本评价期内的更新支出为零。</w:t>
      </w:r>
    </w:p>
    <w:p>
      <w:pPr>
        <w:pStyle w:val="2"/>
        <w:keepNext/>
        <w:spacing w:line="280" w:lineRule="exact" w:before="120" w:after="80"/>
        <w:ind w:firstLine="0"/>
        <w:jc w:val="center"/>
      </w:pPr>
      <w:r>
        <w:rPr>
          <w:rFonts w:ascii="Times New Roman" w:hAnsi="Times New Roman" w:eastAsia="宋体"/>
          <w:b w:val="0"/>
          <w:sz w:val="21"/>
        </w:rPr>
        <w:t xml:space="preserve">表4-6 单位初始投资的2021年末现值因子（式4-8）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投运年</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线路现金流现值因子</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储能现金流现值因子</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w:t>
            </w:r>
          </w:p>
        </w:tc>
      </w:tr>
      <w:tr>
        <w:trPr>
          <w:cantSplit/>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1.13</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w:t>
            </w:r>
          </w:p>
        </w:tc>
      </w:tr>
    </w:tbl>
    <w:p>
      <w:pPr>
        <w:pStyle w:val="5"/>
        <w:keepNext/>
        <w:numPr>
          <w:numId w:val="0"/>
        </w:numPr>
        <w:spacing w:line="390" w:lineRule="exact" w:before="160" w:after="120"/>
        <w:ind w:firstLine="0"/>
      </w:pPr>
      <w:bookmarkStart w:id="168" w:name="年度投运对现值的影响"/>
      <w:r>
        <w:rPr>
          <w:rFonts w:ascii="Times New Roman" w:hAnsi="Times New Roman" w:eastAsia="方正仿宋_GBK"/>
          <w:b/>
          <w:sz w:val="26"/>
        </w:rPr>
        <w:t xml:space="preserve">4.6.2 年度投运对现值的影响</w:t>
      </w:r>
      <w:bookmarkEnd w:id="168"/>
    </w:p>
    <w:p>
      <w:pPr>
        <w:pStyle w:val="FirstParagraph"/>
        <w:widowControl/>
        <w:spacing w:line="348" w:lineRule="exact"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48" w:lineRule="exact" w:before="0" w:after="0"/>
        <w:ind w:firstLine="480"/>
        <w:jc w:val="both"/>
      </w:pPr>
      <w:r>
        <w:rPr>
          <w:rFonts w:ascii="Times New Roman" w:hAnsi="Times New Roman" w:eastAsia="方正仿宋_GBK"/>
          <w:b w:val="0"/>
          <w:sz w:val="24"/>
        </w:rPr>
        <w:t xml:space="preserve">储能投资按各投运批次的新增柜数计算。主变安装位置在不同年份先后升档，每一次更换分别计当年新购整台容量；采购批次合计用于费用，容量净增用于设备状态及容载比。</w:t>
      </w:r>
    </w:p>
    <w:p>
      <w:pPr>
        <w:pStyle w:val="5"/>
        <w:keepNext/>
        <w:numPr>
          <w:numId w:val="0"/>
        </w:numPr>
        <w:spacing w:line="390" w:lineRule="exact" w:before="160" w:after="120"/>
        <w:ind w:firstLine="0"/>
      </w:pPr>
      <w:bookmarkStart w:id="169" w:name="费用构成与结果复算"/>
      <w:r>
        <w:rPr>
          <w:rFonts w:ascii="Times New Roman" w:hAnsi="Times New Roman" w:eastAsia="方正仿宋_GBK"/>
          <w:b/>
          <w:sz w:val="26"/>
        </w:rPr>
        <w:t xml:space="preserve">4.6.3 费用构成与结果复算</w:t>
      </w:r>
      <w:bookmarkEnd w:id="169"/>
    </w:p>
    <w:p>
      <w:pPr>
        <w:pStyle w:val="FirstParagraph"/>
        <w:widowControl/>
        <w:spacing w:line="348" w:lineRule="exact" w:before="0" w:after="0"/>
        <w:ind w:firstLine="480"/>
        <w:jc w:val="both"/>
      </w:pPr>
      <w:r>
        <w:rPr>
          <w:rFonts w:ascii="Times New Roman" w:hAnsi="Times New Roman" w:eastAsia="方正仿宋_GBK"/>
          <w:b w:val="0"/>
          <w:sz w:val="24"/>
        </w:rPr>
        <w:t xml:space="preserve">全方案现值为全部建设改造项目现值之和。主变、储能和线路分别汇总后相加，应等于求解目标在所选布局中的实际费用。费用表分别列出初始建设投资和评价期费用现值。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（4-9）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为建设改造项目</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分别为主变、储能和线路投运项目集合。年度采购量、柜数与新线条数来自方案状态变化，费用复算按工程类型和投运年建立现金流。费用以万元计量。</w:t>
      </w:r>
    </w:p>
    <w:p>
      <w:pPr>
        <w:pStyle w:val="5"/>
        <w:keepNext/>
        <w:numPr>
          <w:numId w:val="0"/>
        </w:numPr>
        <w:spacing w:line="390" w:lineRule="exact" w:before="160" w:after="120"/>
        <w:ind w:firstLine="0"/>
      </w:pPr>
      <w:bookmarkStart w:id="170" w:name="评价期边界与费用解释"/>
      <w:r>
        <w:rPr>
          <w:rFonts w:ascii="Times New Roman" w:hAnsi="Times New Roman" w:eastAsia="方正仿宋_GBK"/>
          <w:b/>
          <w:sz w:val="26"/>
        </w:rPr>
        <w:t xml:space="preserve">4.6.4 评价期边界与费用解释</w:t>
      </w:r>
      <w:bookmarkEnd w:id="170"/>
    </w:p>
    <w:p>
      <w:pPr>
        <w:pStyle w:val="FirstParagraph"/>
        <w:widowControl/>
        <w:spacing w:line="348" w:lineRule="exact" w:before="0" w:after="0"/>
        <w:ind w:firstLine="480"/>
        <w:jc w:val="both"/>
      </w:pPr>
      <w:r>
        <w:rPr>
          <w:rFonts w:ascii="Times New Roman" w:hAnsi="Times New Roman" w:eastAsia="方正仿宋_GBK"/>
          <w:b w:val="0"/>
          <w:sz w:val="24"/>
        </w:rPr>
        <w:t xml:space="preserve">折现率6%，主变和线路寿命40年、储能寿命25年及相应固定运维率按本章所列依据使用。更新采用与首次购置相同实价，价格情景对首次购置和更新使用相同倍数。本报告参照全寿命周期费用方法，按2021年末至2041年的共同评价期计算新增措施支出，评价期短于三类设备的完整寿命。现值结果反映这一共同期间的建设和固定运维费用。</w:t>
      </w:r>
    </w:p>
    <w:p>
      <w:pPr>
        <w:pStyle w:val="2"/>
        <w:widowControl/>
        <w:spacing w:line="348" w:lineRule="exact" w:before="0" w:after="0"/>
        <w:ind w:firstLine="480"/>
        <w:jc w:val="both"/>
      </w:pPr>
      <w:r>
        <w:rPr>
          <w:rFonts w:ascii="Times New Roman" w:hAnsi="Times New Roman" w:eastAsia="方正仿宋_GBK"/>
          <w:b w:val="0"/>
          <w:sz w:val="24"/>
        </w:rPr>
        <w:t xml:space="preserve">现有现金流尚未纳入期末残值、被替换存量设备运维费用的变化、储能充电购电及损耗，也未采用收益抵扣。不同寿命和替换时点可能使这些科目对方案费用产生不同影响。工程经济评价应在资料齐备后统一补充这些现金流，并检查方案排序；本报告费用降幅仅适用于当前列明的支出范围。</w:t>
      </w:r>
    </w:p>
    <w:p>
      <w:pPr>
        <w:pStyle w:val="5"/>
        <w:keepNext/>
        <w:numPr>
          <w:numId w:val="0"/>
        </w:numPr>
        <w:spacing w:line="390" w:lineRule="exact" w:before="160" w:after="120"/>
        <w:ind w:firstLine="0"/>
      </w:pPr>
      <w:bookmarkStart w:id="171" w:name="主变更换与扩建的投资差异"/>
      <w:r>
        <w:rPr>
          <w:rFonts w:ascii="Times New Roman" w:hAnsi="Times New Roman" w:eastAsia="方正仿宋_GBK"/>
          <w:b/>
          <w:sz w:val="26"/>
        </w:rPr>
        <w:t xml:space="preserve">4.6.5 主变更换与扩建的投资差异</w:t>
      </w:r>
      <w:bookmarkEnd w:id="171"/>
    </w:p>
    <w:p>
      <w:pPr>
        <w:pStyle w:val="FirstParagraph"/>
        <w:widowControl/>
        <w:spacing w:line="348" w:lineRule="exact" w:before="0" w:after="0"/>
        <w:ind w:firstLine="480"/>
        <w:jc w:val="both"/>
      </w:pPr>
      <w:r>
        <w:rPr>
          <w:rFonts w:ascii="Times New Roman" w:hAnsi="Times New Roman" w:eastAsia="方正仿宋_GBK"/>
          <w:b w:val="0"/>
          <w:sz w:val="24"/>
        </w:rPr>
        <w:t xml:space="preserve">主变更换与扩建均能增加变电容量，但工程内容和新增供电能力不同。更换工程需要购置整台新主变，同时拆除被替换设备；扩建工程增加主变台数，并建设相应间隔、出线及配套设施。因此，同为50 MVA新购容量，净增容量和N-1后剩余容量可能不同，工程经济比较应联系建设方式。</w:t>
      </w:r>
    </w:p>
    <w:p>
      <w:pPr>
        <w:pStyle w:val="2"/>
        <w:widowControl/>
        <w:spacing w:line="348" w:lineRule="exact" w:before="0" w:after="0"/>
        <w:ind w:firstLine="480"/>
        <w:jc w:val="both"/>
      </w:pPr>
      <w:r>
        <w:rPr>
          <w:rFonts w:ascii="Times New Roman" w:hAnsi="Times New Roman" w:eastAsia="方正仿宋_GBK"/>
          <w:b w:val="0"/>
          <w:sz w:val="24"/>
        </w:rPr>
        <w:t xml:space="preserve">王庄工程将20 MVA主变更换为50 MVA，净增30 MVA。若按新购容量折算，静态投资1151万元对应23.02万元/MVA；若按净增容量折算，则为38.37万元/MVA。两个系数分别回答购置一单位新设备容量需多少投资，以及增加一单位在役容量需多少投资，使用时应明确分母。报告的购置费用按新购容量计取，容量变化按净增容量统计。</w:t>
      </w:r>
    </w:p>
    <w:p>
      <w:pPr>
        <w:pStyle w:val="2"/>
        <w:widowControl/>
        <w:spacing w:line="348" w:lineRule="exact" w:before="0" w:after="0"/>
        <w:ind w:firstLine="480"/>
        <w:jc w:val="both"/>
      </w:pPr>
      <w:r>
        <w:rPr>
          <w:rFonts w:ascii="Times New Roman" w:hAnsi="Times New Roman" w:eastAsia="方正仿宋_GBK"/>
          <w:b w:val="0"/>
          <w:sz w:val="24"/>
        </w:rPr>
        <w:t xml:space="preserve">鲁庙工程由两台31.50 MVA更换为两台50 MVA，新购100 MVA、拆除原设备63 MVA、净增37 MVA，静态投资1335万元。按新购容量折算为13.35万元/MVA，按净增容量折算为36.08万元/MVA。两个更换工程按新购容量形成的系数差异较大，与工程配套内容及建设规模有关；按净增容量比较时，差距有所收窄。采用加权系数可以使不同规模案例共同参与参考投资估算。</w:t>
      </w:r>
    </w:p>
    <w:p>
      <w:pPr>
        <w:pStyle w:val="2"/>
        <w:widowControl/>
        <w:spacing w:line="348" w:lineRule="exact" w:before="0" w:after="0"/>
        <w:ind w:firstLine="480"/>
        <w:jc w:val="both"/>
      </w:pPr>
      <w:r>
        <w:rPr>
          <w:rFonts w:ascii="Times New Roman" w:hAnsi="Times New Roman" w:eastAsia="方正仿宋_GBK"/>
          <w:b w:val="0"/>
          <w:sz w:val="24"/>
        </w:rPr>
        <w:t xml:space="preserve">邢楼和墩集扩建工程均增加一台50 MVA主变及12回10 kV出线，平均静态投资1223万元，对应24.46万元/MVA[85]。扩建项目价格包含增加台数及相应配套工程，其供电作用需要结合原有主变台数分析。对两台主变站，扩建可能同时改善正常容量和N-1剩余容量；在设备位置具备条件时，这种措施有可能减少储能用于供电缺口的规模。</w:t>
      </w:r>
    </w:p>
    <w:p>
      <w:pPr>
        <w:pStyle w:val="2"/>
        <w:widowControl/>
        <w:spacing w:line="348" w:lineRule="exact" w:before="0" w:after="0"/>
        <w:ind w:firstLine="480"/>
        <w:jc w:val="both"/>
      </w:pPr>
      <w:r>
        <w:rPr>
          <w:rFonts w:ascii="Times New Roman" w:hAnsi="Times New Roman" w:eastAsia="方正仿宋_GBK"/>
          <w:b w:val="0"/>
          <w:sz w:val="24"/>
        </w:rPr>
        <w:t xml:space="preserve">主变更换与扩建的经济性取决于满足供电需求的完整措施组合。若更换后仍受N-1容量约束，方案可能继续需要较多储能；若扩建能够同时消除正常和停运后的缺口，即使项目投资较高，整体费用仍可能较低。第五章采用完整站级约束和综合费用比较，将这些技术差异反映到建设选择中。</w:t>
      </w:r>
    </w:p>
    <w:p>
      <w:pPr>
        <w:pStyle w:val="5"/>
        <w:keepNext/>
        <w:numPr>
          <w:numId w:val="0"/>
        </w:numPr>
        <w:spacing w:line="390" w:lineRule="exact" w:before="160" w:after="120"/>
        <w:ind w:firstLine="0"/>
      </w:pPr>
      <w:bookmarkStart w:id="172" w:name="联络与储能的费用响应"/>
      <w:r>
        <w:rPr>
          <w:rFonts w:ascii="Times New Roman" w:hAnsi="Times New Roman" w:eastAsia="方正仿宋_GBK"/>
          <w:b/>
          <w:sz w:val="26"/>
        </w:rPr>
        <w:t xml:space="preserve">4.6.6 联络与储能的费用响应</w:t>
      </w:r>
      <w:bookmarkEnd w:id="172"/>
    </w:p>
    <w:p>
      <w:pPr>
        <w:pStyle w:val="FirstParagraph"/>
        <w:widowControl/>
        <w:spacing w:line="348" w:lineRule="exact" w:before="0" w:after="0"/>
        <w:ind w:firstLine="480"/>
        <w:jc w:val="both"/>
      </w:pPr>
      <w:r>
        <w:rPr>
          <w:rFonts w:ascii="Times New Roman" w:hAnsi="Times New Roman" w:eastAsia="方正仿宋_GBK"/>
          <w:b w:val="0"/>
          <w:sz w:val="24"/>
        </w:rPr>
        <w:t xml:space="preserve">线路成本系数改变单位长度造价，固定接入费保持6万元。新增联络能够发挥作用，还需送端可转负荷、共享馈线余量及邻站容量满足要求。价格变化可能只改变既定项目的费用，也可能触发主变、储能与联络之间的配置调整；第五章按固定其他输入的配对结果分别判断。</w:t>
      </w:r>
    </w:p>
    <w:p>
      <w:pPr>
        <w:pStyle w:val="2"/>
        <w:widowControl/>
        <w:spacing w:line="348" w:lineRule="exact" w:before="0" w:after="0"/>
        <w:ind w:firstLine="480"/>
        <w:jc w:val="both"/>
      </w:pPr>
      <w:r>
        <w:rPr>
          <w:rFonts w:ascii="Times New Roman" w:hAnsi="Times New Roman" w:eastAsia="方正仿宋_GBK"/>
          <w:b w:val="0"/>
          <w:sz w:val="24"/>
        </w:rPr>
        <w:t xml:space="preserve">储能费用由新增柜数及单柜价格确定，有效支撑功率由额定功率、可用电量及持续时间共同确定。4 h条件下，10柜有效功率为0.4085 MW；2 h、6 h分别为0.8170 MW、约0.2723 MW。改变持续时间后，应重新求解措施组合；改变价格时则保持持续时间及设备规格，单独检验经济响应。</w:t>
      </w:r>
    </w:p>
    <w:p>
      <w:pPr>
        <w:pStyle w:val="2"/>
        <w:widowControl/>
        <w:spacing w:line="348" w:lineRule="exact" w:before="0" w:after="0"/>
        <w:ind w:firstLine="480"/>
        <w:jc w:val="both"/>
      </w:pPr>
      <w:r>
        <w:rPr>
          <w:rFonts w:ascii="Times New Roman" w:hAnsi="Times New Roman" w:eastAsia="方正仿宋_GBK"/>
          <w:b w:val="0"/>
          <w:sz w:val="24"/>
        </w:rPr>
        <w:t xml:space="preserve">逐年比较按当年新购主变、储能柜数和新增联络项目计费，后续在役状态用于容量与供电安全校核。两地区方案费用差来自完整措施组合及投运时点。共同评价期截止于2041年，未触发设备更新的条件下，寿命参数变化可能不改变当前现金流。</w:t>
      </w:r>
    </w:p>
    <w:p>
      <w:pPr>
        <w:pStyle w:val="3"/>
        <w:keepNext/>
        <w:pageBreakBefore/>
        <w:numPr>
          <w:numId w:val="0"/>
        </w:numPr>
        <w:spacing w:line="540" w:lineRule="exact" w:before="0" w:after="120"/>
        <w:ind w:firstLine="0"/>
      </w:pPr>
      <w:bookmarkStart w:id="1499" w:name="h499"/>
      <w:bookmarkStart w:id="173"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73"/>
      <w:bookmarkEnd w:id="1499"/>
    </w:p>
    <w:p>
      <w:pPr>
        <w:pStyle w:val="FirstParagraph"/>
        <w:widowControl/>
        <w:spacing w:line="348" w:lineRule="exact" w:before="0" w:after="0"/>
        <w:ind w:firstLine="480"/>
        <w:jc w:val="both"/>
      </w:pPr>
      <w:r>
        <w:rPr>
          <w:rFonts w:ascii="Times New Roman" w:hAnsi="Times New Roman" w:eastAsia="方正仿宋_GBK"/>
          <w:b w:val="0"/>
          <w:sz w:val="24"/>
        </w:rPr>
        <w:t xml:space="preserve">第三章给出邳州、市区的源荷与设备条件，第四章将主变、储能和联络建设折算为共同评价期费用。本章将两者结合，在相同供电任务下比较刚性、弹性方案，分析主变容量增加与储能、联络需求减少之间的经济替代关系。地区案例说明具体建设路径，五站模板进一步分析参数变化下的容载比取值。</w:t>
      </w:r>
    </w:p>
    <w:p>
      <w:pPr>
        <w:pStyle w:val="4"/>
        <w:keepNext/>
        <w:numPr>
          <w:numId w:val="0"/>
        </w:numPr>
        <w:spacing w:line="480" w:lineRule="exact" w:before="160" w:after="120"/>
        <w:ind w:firstLine="0"/>
      </w:pPr>
      <w:bookmarkStart w:id="1501" w:name="h501"/>
      <w:bookmarkStart w:id="174" w:name="寻优问题与共同起点"/>
      <w:r>
        <w:rPr>
          <w:rFonts w:ascii="Times New Roman" w:hAnsi="Times New Roman" w:eastAsia="方正仿宋_GBK"/>
          <w:b/>
          <w:sz w:val="32"/>
        </w:rPr>
        <w:t xml:space="preserve">5.1 寻优问题与共同起点</w:t>
      </w:r>
      <w:bookmarkEnd w:id="174"/>
      <w:bookmarkEnd w:id="1501"/>
    </w:p>
    <w:p>
      <w:pPr>
        <w:pStyle w:val="5"/>
        <w:keepNext/>
        <w:numPr>
          <w:numId w:val="0"/>
        </w:numPr>
        <w:spacing w:line="390" w:lineRule="exact" w:before="160" w:after="120"/>
        <w:ind w:firstLine="0"/>
      </w:pPr>
      <w:bookmarkStart w:id="175" w:name="年度负荷与共同仿真起点"/>
      <w:r>
        <w:rPr>
          <w:rFonts w:ascii="Times New Roman" w:hAnsi="Times New Roman" w:eastAsia="方正仿宋_GBK"/>
          <w:b/>
          <w:sz w:val="26"/>
        </w:rPr>
        <w:t xml:space="preserve">5.1.1 年度负荷与共同仿真起点</w:t>
      </w:r>
      <w:bookmarkEnd w:id="175"/>
    </w:p>
    <w:p>
      <w:pPr>
        <w:pStyle w:val="FirstParagraph"/>
        <w:widowControl/>
        <w:spacing w:line="348" w:lineRule="exact" w:before="0" w:after="0"/>
        <w:ind w:firstLine="480"/>
        <w:jc w:val="both"/>
      </w:pPr>
      <w:r>
        <w:rPr>
          <w:rFonts w:ascii="Times New Roman" w:hAnsi="Times New Roman" w:eastAsia="方正仿宋_GBK"/>
          <w:b w:val="0"/>
          <w:sz w:val="24"/>
        </w:rPr>
        <w:t xml:space="preserve">两类方案保留相同的初始设备组合。市区初始主变总容量为2900.00 MVA，邳州为1463.50 MVA；基期负荷取2021年实际统计值，两地区基期容载比按两位小数均为2.00。该设置用于方案比较，实际在役容量仍采用第三章年度统计。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P</m:t>
                    </m:r>
                  </m:e>
                  <m:sub>
                    <m:r>
                      <m:t>c</m:t>
                    </m:r>
                    <m:r>
                      <m:t>,</m:t>
                    </m:r>
                    <m:r>
                      <m:t>y</m:t>
                    </m:r>
                  </m:sub>
                </m:sSub>
                <m:r>
                  <m:t>=</m:t>
                </m:r>
                <m:sSubSup>
                  <m:e>
                    <m:r>
                      <m:t>P</m:t>
                    </m:r>
                  </m:e>
                  <m:sub>
                    <m:r>
                      <m:t>c</m:t>
                    </m:r>
                    <m:r>
                      <m:t>,</m:t>
                    </m:r>
                    <m:r>
                      <m:t>y</m:t>
                    </m:r>
                  </m:sub>
                  <m:sup>
                    <m:r>
                      <m:rPr>
                        <m:sty m:val="p"/>
                      </m:rPr>
                      <m:t>s</m:t>
                    </m:r>
                    <m:r>
                      <m:rPr>
                        <m:sty m:val="p"/>
                      </m:rPr>
                      <m:t>t</m:t>
                    </m:r>
                    <m:r>
                      <m:rPr>
                        <m:sty m:val="p"/>
                      </m:rPr>
                      <m:t>a</m:t>
                    </m:r>
                    <m:r>
                      <m:rPr>
                        <m:sty m:val="p"/>
                      </m:rPr>
                      <m:t>t</m:t>
                    </m:r>
                  </m:sup>
                </m:sSubSup>
                <m:r>
                  <m:t>,</m:t>
                </m:r>
                <m:r>
                  <m:t> </m:t>
                </m:r>
                <m:r>
                  <m:t>y</m:t>
                </m:r>
                <m:r>
                  <m:t>=</m:t>
                </m:r>
                <m:r>
                  <m:t>2021</m:t>
                </m:r>
                <m:r>
                  <m:t>,</m:t>
                </m:r>
                <m:r>
                  <m:t>…</m:t>
                </m:r>
                <m:r>
                  <m:t>,</m:t>
                </m:r>
                <m:r>
                  <m:t>2025</m:t>
                </m:r>
                <m:r>
                  <m:t>,</m:t>
                </m:r>
                <m:r>
                  <m:t>  </m:t>
                </m:r>
                <m:sSub>
                  <m:e>
                    <m:r>
                      <m:t>R</m:t>
                    </m:r>
                  </m:e>
                  <m:sub>
                    <m:r>
                      <m:t>c</m:t>
                    </m:r>
                    <m:r>
                      <m:t>,</m:t>
                    </m:r>
                    <m:r>
                      <m:t>0</m:t>
                    </m:r>
                  </m:sub>
                </m:sSub>
                <m:r>
                  <m:t>=</m:t>
                </m:r>
                <m:f>
                  <m:fPr>
                    <m:type m:val="bar"/>
                  </m:fPr>
                  <m:num>
                    <m:sSub>
                      <m:e>
                        <m:r>
                          <m:t>S</m:t>
                        </m:r>
                      </m:e>
                      <m:sub>
                        <m:r>
                          <m:t>c</m:t>
                        </m:r>
                        <m:r>
                          <m:t>,</m:t>
                        </m:r>
                        <m:r>
                          <m:t>0</m:t>
                        </m:r>
                      </m:sub>
                    </m:sSub>
                  </m:num>
                  <m:den>
                    <m:sSub>
                      <m:e>
                        <m:r>
                          <m:t>P</m:t>
                        </m:r>
                      </m:e>
                      <m:sub>
                        <m:r>
                          <m:t>c</m:t>
                        </m:r>
                        <m:r>
                          <m:t>,</m:t>
                        </m:r>
                        <m:r>
                          <m:t>2021</m:t>
                        </m:r>
                      </m:sub>
                    </m:sSub>
                  </m:den>
                </m:f>
                <m:r>
                  <m:t>≈</m:t>
                </m:r>
                <m:r>
                  <m:t>2.00</m:t>
                </m:r>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S</m:t>
            </m:r>
          </m:e>
          <m:sub>
            <m:r>
              <m:t>c</m:t>
            </m:r>
            <m:r>
              <m:t>,</m:t>
            </m:r>
            <m:r>
              <m:t>0</m:t>
            </m:r>
          </m:sub>
        </m:sSub>
      </m:oMath>
      <w:r>
        <w:rPr>
          <w:rFonts w:ascii="Times New Roman" w:hAnsi="Times New Roman" w:eastAsia="方正仿宋_GBK"/>
          <w:b w:val="0"/>
          <w:sz w:val="24"/>
        </w:rPr>
        <w:t xml:space="preserve">为地区</w:t>
      </w:r>
      <m:oMath>
        <m:r>
          <m:t>c</m:t>
        </m:r>
      </m:oMath>
      <w:r>
        <w:rPr>
          <w:rFonts w:ascii="Times New Roman" w:hAnsi="Times New Roman" w:eastAsia="方正仿宋_GBK"/>
          <w:b w:val="0"/>
          <w:sz w:val="24"/>
        </w:rPr>
        <w:t xml:space="preserve">的初始仿真主变总容量，单位MVA；</w:t>
      </w:r>
      <m:oMath>
        <m:sSub>
          <m:e>
            <m:r>
              <m:t>R</m:t>
            </m:r>
          </m:e>
          <m:sub>
            <m:r>
              <m:t>c</m:t>
            </m:r>
            <m:r>
              <m:t>,</m:t>
            </m:r>
            <m:r>
              <m:t>0</m:t>
            </m:r>
          </m:sub>
        </m:sSub>
      </m:oMath>
      <w:r>
        <w:rPr>
          <w:rFonts w:ascii="Times New Roman" w:hAnsi="Times New Roman" w:eastAsia="方正仿宋_GBK"/>
          <w:b w:val="0"/>
          <w:sz w:val="24"/>
        </w:rPr>
        <w:t xml:space="preserve">为基期容载比，</w:t>
      </w:r>
      <m:oMath>
        <m:sSubSup>
          <m:e>
            <m:r>
              <m:t>P</m:t>
            </m:r>
          </m:e>
          <m:sub>
            <m:r>
              <m:t>c</m:t>
            </m:r>
            <m:r>
              <m:t>,</m:t>
            </m:r>
            <m:r>
              <m:t>y</m:t>
            </m:r>
          </m:sub>
          <m:sup>
            <m:r>
              <m:rPr>
                <m:sty m:val="p"/>
              </m:rPr>
              <m:t>s</m:t>
            </m:r>
            <m:r>
              <m:rPr>
                <m:sty m:val="p"/>
              </m:rPr>
              <m:t>t</m:t>
            </m:r>
            <m:r>
              <m:rPr>
                <m:sty m:val="p"/>
              </m:rPr>
              <m:t>a</m:t>
            </m:r>
            <m:r>
              <m:rPr>
                <m:sty m:val="p"/>
              </m:rPr>
              <m:t>t</m:t>
            </m:r>
          </m:sup>
        </m:sSubSup>
      </m:oMath>
      <w:r>
        <w:rPr>
          <w:rFonts w:ascii="Times New Roman" w:hAnsi="Times New Roman" w:eastAsia="方正仿宋_GBK"/>
          <w:b w:val="0"/>
          <w:sz w:val="24"/>
        </w:rPr>
        <w:t xml:space="preserve">为同地区第</w:t>
      </w:r>
      <m:oMath>
        <m:r>
          <m:t>y</m:t>
        </m:r>
      </m:oMath>
      <w:r>
        <w:rPr>
          <w:rFonts w:ascii="Times New Roman" w:hAnsi="Times New Roman" w:eastAsia="方正仿宋_GBK"/>
          <w:b w:val="0"/>
          <w:sz w:val="24"/>
        </w:rPr>
        <w:t xml:space="preserve">年的原表网供最大负荷估计值，单位MW。已有年度负荷直接进入模型，保留2023年邳州及2022、2024年市区的负荷回落。标准复合增长率用于增长水平描述和通用情景设置。</w:t>
      </w:r>
    </w:p>
    <w:p>
      <w:pPr>
        <w:pStyle w:val="2"/>
        <w:keepNext/>
        <w:spacing w:line="280" w:lineRule="exact" w:before="120" w:after="80"/>
        <w:ind w:firstLine="0"/>
        <w:jc w:val="center"/>
      </w:pPr>
      <w:r>
        <w:rPr>
          <w:rFonts w:ascii="Times New Roman" w:hAnsi="Times New Roman" w:eastAsia="宋体"/>
          <w:b w:val="0"/>
          <w:sz w:val="21"/>
        </w:rPr>
        <w:t xml:space="preserve">表5-1 实际统计与仿真起点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实际主变容量/MVA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实际年网供最大负荷/MW</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仿真容量/MVA</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1463.50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2900.00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按方案投运</w:t>
            </w:r>
          </w:p>
        </w:tc>
      </w:tr>
    </w:tbl>
    <w:p>
      <w:pPr>
        <w:pStyle w:val="2"/>
        <w:widowControl/>
        <w:spacing w:line="348" w:lineRule="exact" w:before="0" w:after="0"/>
        <w:ind w:firstLine="480"/>
        <w:jc w:val="both"/>
      </w:pPr>
      <w:r>
        <w:rPr>
          <w:rFonts w:ascii="Times New Roman" w:hAnsi="Times New Roman" w:eastAsia="方正仿宋_GBK"/>
          <w:b w:val="0"/>
          <w:sz w:val="24"/>
        </w:rPr>
        <w:t xml:space="preserve">各站静态功率按已归档的区域正向峰值和最低净负荷工况分配，再按年度网供峰值标定。反向工况沿用同一源荷结构，属于按年度规模标定的研究情景。</w:t>
      </w:r>
    </w:p>
    <w:p>
      <w:pPr>
        <w:pStyle w:val="5"/>
        <w:keepNext/>
        <w:numPr>
          <w:numId w:val="0"/>
        </w:numPr>
        <w:spacing w:line="390" w:lineRule="exact" w:before="160" w:after="120"/>
        <w:ind w:firstLine="0"/>
      </w:pPr>
      <w:bookmarkStart w:id="176" w:name="刚性与弹性方案"/>
      <w:r>
        <w:rPr>
          <w:rFonts w:ascii="Times New Roman" w:hAnsi="Times New Roman" w:eastAsia="方正仿宋_GBK"/>
          <w:b/>
          <w:sz w:val="26"/>
        </w:rPr>
        <w:t xml:space="preserve">5.1.2 刚性与弹性方案</w:t>
      </w:r>
      <w:bookmarkEnd w:id="176"/>
    </w:p>
    <w:p>
      <w:pPr>
        <w:pStyle w:val="FirstParagraph"/>
        <w:widowControl/>
        <w:spacing w:line="348" w:lineRule="exact" w:before="0" w:after="0"/>
        <w:ind w:firstLine="480"/>
        <w:jc w:val="both"/>
      </w:pPr>
      <w:r>
        <w:rPr>
          <w:rFonts w:ascii="Times New Roman" w:hAnsi="Times New Roman" w:eastAsia="方正仿宋_GBK"/>
          <w:b w:val="0"/>
          <w:sz w:val="24"/>
        </w:rPr>
        <w:t xml:space="preserve">主变总容量随建设投运保持非减。刚性方案新增扩容受当年负荷两倍的容量限制；若负荷回落使既有容量被动超过该值，该年维持既有容量。弹性方案在突破2.00的研究条件下，按费用最小选择设备组合，其上界由站点允许规格及扩建位置确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sSub>
                        <m:e>
                          <m:r>
                            <m:t>S</m:t>
                          </m:r>
                        </m:e>
                        <m:sub>
                          <m:r>
                            <m:t>c</m:t>
                          </m:r>
                          <m:r>
                            <m:t>,</m:t>
                          </m:r>
                          <m:r>
                            <m:t>s</m:t>
                          </m:r>
                          <m:r>
                            <m:t>,</m:t>
                          </m:r>
                          <m:r>
                            <m:t>y</m:t>
                          </m:r>
                        </m:sub>
                      </m:sSub>
                      <m:r>
                        <m:t>/</m:t>
                      </m:r>
                      <m:sSub>
                        <m:e>
                          <m:r>
                            <m:t>P</m:t>
                          </m:r>
                        </m:e>
                        <m:sub>
                          <m:r>
                            <m:t>c</m:t>
                          </m:r>
                          <m:r>
                            <m:t>,</m:t>
                          </m:r>
                          <m:r>
                            <m:t>y</m:t>
                          </m:r>
                        </m:sub>
                      </m:sSub>
                      <m:r>
                        <m:t>,</m:t>
                      </m:r>
                    </m:e>
                  </m:mr>
                  <m:mr>
                    <m:e>
                      <m:sSub>
                        <m:e>
                          <m:r>
                            <m:t>S</m:t>
                          </m:r>
                        </m:e>
                        <m:sub>
                          <m:r>
                            <m:t>c</m:t>
                          </m:r>
                          <m:r>
                            <m:t>,</m:t>
                          </m:r>
                          <m:r>
                            <m:rPr>
                              <m:sty m:val="p"/>
                            </m:rPr>
                            <m:t>r</m:t>
                          </m:r>
                          <m:r>
                            <m:rPr>
                              <m:sty m:val="p"/>
                            </m:rPr>
                            <m:t>i</m:t>
                          </m:r>
                          <m:r>
                            <m:rPr>
                              <m:sty m:val="p"/>
                            </m:rPr>
                            <m:t>g</m:t>
                          </m:r>
                          <m:r>
                            <m:rPr>
                              <m:sty m:val="p"/>
                            </m:rPr>
                            <m:t>i</m:t>
                          </m:r>
                          <m:r>
                            <m:rPr>
                              <m:sty m:val="p"/>
                            </m:rPr>
                            <m:t>d</m:t>
                          </m:r>
                          <m:r>
                            <m:t>,</m:t>
                          </m:r>
                          <m:r>
                            <m:t>y</m:t>
                          </m:r>
                          <m:r>
                            <m:t>−</m:t>
                          </m:r>
                          <m:r>
                            <m:t>1</m:t>
                          </m:r>
                        </m:sub>
                      </m:sSub>
                    </m:e>
                    <m:e>
                      <m:r>
                        <m:t>≤</m:t>
                      </m:r>
                      <m:sSub>
                        <m:e>
                          <m:r>
                            <m:t>S</m:t>
                          </m:r>
                        </m:e>
                        <m:sub>
                          <m:r>
                            <m:t>c</m:t>
                          </m:r>
                          <m:r>
                            <m:t>,</m:t>
                          </m:r>
                          <m:r>
                            <m:rPr>
                              <m:sty m:val="p"/>
                            </m:rPr>
                            <m:t>r</m:t>
                          </m:r>
                          <m:r>
                            <m:rPr>
                              <m:sty m:val="p"/>
                            </m:rPr>
                            <m:t>i</m:t>
                          </m:r>
                          <m:r>
                            <m:rPr>
                              <m:sty m:val="p"/>
                            </m:rPr>
                            <m:t>g</m:t>
                          </m:r>
                          <m:r>
                            <m:rPr>
                              <m:sty m:val="p"/>
                            </m:rPr>
                            <m:t>i</m:t>
                          </m:r>
                          <m:r>
                            <m:rPr>
                              <m:sty m:val="p"/>
                            </m:rPr>
                            <m:t>d</m:t>
                          </m:r>
                          <m:r>
                            <m:t>,</m:t>
                          </m:r>
                          <m:r>
                            <m:t>y</m:t>
                          </m:r>
                        </m:sub>
                      </m:sSub>
                      <m:r>
                        <m:t>≤</m:t>
                      </m:r>
                      <m:r>
                        <m:rPr>
                          <m:nor/>
                          <m:sty m:val="p"/>
                        </m:rPr>
                        <m:t>max</m:t>
                      </m:r>
                      <m:r>
                        <m:t>{</m:t>
                      </m:r>
                      <m:sSub>
                        <m:e>
                          <m:r>
                            <m:t>S</m:t>
                          </m:r>
                        </m:e>
                        <m:sub>
                          <m:r>
                            <m:t>c</m:t>
                          </m:r>
                          <m:r>
                            <m:t>,</m:t>
                          </m:r>
                          <m:r>
                            <m:rPr>
                              <m:sty m:val="p"/>
                            </m:rPr>
                            <m:t>r</m:t>
                          </m:r>
                          <m:r>
                            <m:rPr>
                              <m:sty m:val="p"/>
                            </m:rPr>
                            <m:t>i</m:t>
                          </m:r>
                          <m:r>
                            <m:rPr>
                              <m:sty m:val="p"/>
                            </m:rPr>
                            <m:t>g</m:t>
                          </m:r>
                          <m:r>
                            <m:rPr>
                              <m:sty m:val="p"/>
                            </m:rPr>
                            <m:t>i</m:t>
                          </m:r>
                          <m:r>
                            <m:rPr>
                              <m:sty m:val="p"/>
                            </m:rPr>
                            <m:t>d</m:t>
                          </m:r>
                          <m:r>
                            <m:t>,</m:t>
                          </m:r>
                          <m:r>
                            <m:t>y</m:t>
                          </m:r>
                          <m:r>
                            <m:t>−</m:t>
                          </m:r>
                          <m:r>
                            <m:t>1</m:t>
                          </m:r>
                        </m:sub>
                      </m:sSub>
                      <m:r>
                        <m:t>,</m:t>
                      </m:r>
                      <m:r>
                        <m:t>2</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r>
                        <m:rPr>
                          <m:nor/>
                          <m:sty m:val="p"/>
                        </m:rPr>
                        <m:t>max</m:t>
                      </m:r>
                      <m:r>
                        <m:t>{</m:t>
                      </m:r>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r>
                            <m:t>−</m:t>
                          </m:r>
                          <m:r>
                            <m:t>1</m:t>
                          </m:r>
                        </m:sub>
                      </m:sSub>
                      <m:r>
                        <m:t>,</m:t>
                      </m:r>
                      <m:r>
                        <m:t>2.001</m:t>
                      </m:r>
                      <m:sSub>
                        <m:e>
                          <m:r>
                            <m:t>P</m:t>
                          </m:r>
                        </m:e>
                        <m:sub>
                          <m:r>
                            <m:t>c</m:t>
                          </m:r>
                          <m:r>
                            <m:t>,</m:t>
                          </m:r>
                          <m:r>
                            <m:t>y</m:t>
                          </m:r>
                        </m:sub>
                      </m:sSub>
                      <m:r>
                        <m:t>}</m:t>
                      </m:r>
                      <m:r>
                        <m:t>,</m:t>
                      </m:r>
                    </m:e>
                  </m:mr>
                  <m:mr>
                    <m:e>
                      <m:sSub>
                        <m:e>
                          <m:r>
                            <m:t>S</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e>
                    <m:e>
                      <m:r>
                        <m:t>≤</m:t>
                      </m:r>
                      <m:nary>
                        <m:naryPr>
                          <m:chr m:val="∑"/>
                          <m:limLoc m:val="undOvr"/>
                          <m:subHide m:val="0"/>
                          <m:supHide m:val="1"/>
                        </m:naryPr>
                        <m:sub>
                          <m:r>
                            <m:t>i</m:t>
                          </m:r>
                        </m:sub>
                        <m:sup>
                          <m:r>
                            <m:t>​</m:t>
                          </m:r>
                        </m:sup>
                        <m:e>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（5-2）</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s</m:t>
        </m:r>
      </m:oMath>
      <w:r>
        <w:rPr>
          <w:rFonts w:ascii="Times New Roman" w:hAnsi="Times New Roman" w:eastAsia="方正仿宋_GBK"/>
          <w:b w:val="0"/>
          <w:sz w:val="24"/>
        </w:rPr>
        <w:t xml:space="preserve">表示刚性或弹性方案，</w:t>
      </w:r>
      <m:oMath>
        <m:sSub>
          <m:e>
            <m:r>
              <m:t>S</m:t>
            </m:r>
          </m:e>
          <m:sub>
            <m:r>
              <m:t>c</m:t>
            </m:r>
            <m:r>
              <m:t>,</m:t>
            </m:r>
            <m:r>
              <m:t>s</m:t>
            </m:r>
            <m:r>
              <m:t>,</m:t>
            </m:r>
            <m:r>
              <m:t>y</m:t>
            </m:r>
          </m:sub>
        </m:sSub>
      </m:oMath>
      <w:r>
        <w:rPr>
          <w:rFonts w:ascii="Times New Roman" w:hAnsi="Times New Roman" w:eastAsia="方正仿宋_GBK"/>
          <w:b w:val="0"/>
          <w:sz w:val="24"/>
        </w:rPr>
        <w:t xml:space="preserve">为方案主变总容量；</w:t>
      </w:r>
      <m:oMath>
        <m:sSubSup>
          <m:e>
            <m:r>
              <m:t>S</m:t>
            </m:r>
          </m:e>
          <m:sub>
            <m:r>
              <m:t>i</m:t>
            </m:r>
            <m:r>
              <m:t>,</m:t>
            </m:r>
            <m:r>
              <m:rPr>
                <m:sty m:val="p"/>
              </m:rPr>
              <m:t>c</m:t>
            </m:r>
            <m:r>
              <m:rPr>
                <m:sty m:val="p"/>
              </m:rPr>
              <m:t>a</m:t>
            </m:r>
            <m:r>
              <m:rPr>
                <m:sty m:val="p"/>
              </m:rPr>
              <m:t>n</m:t>
            </m:r>
            <m:r>
              <m:rPr>
                <m:sty m:val="p"/>
              </m:rPr>
              <m:t>d</m:t>
            </m:r>
            <m:r>
              <m:rPr>
                <m:sty m:val="p"/>
              </m:rPr>
              <m:t>i</m:t>
            </m:r>
            <m:r>
              <m:rPr>
                <m:sty m:val="p"/>
              </m:rPr>
              <m:t>d</m:t>
            </m:r>
            <m:r>
              <m:rPr>
                <m:sty m:val="p"/>
              </m:rPr>
              <m:t>a</m:t>
            </m:r>
            <m:r>
              <m:rPr>
                <m:sty m:val="p"/>
              </m:rPr>
              <m:t>t</m:t>
            </m:r>
            <m:r>
              <m:rPr>
                <m:sty m:val="p"/>
              </m:rPr>
              <m:t>e</m:t>
            </m:r>
          </m:sub>
          <m:sup>
            <m:r>
              <m:rPr>
                <m:nor/>
                <m:sty m:val="p"/>
              </m:rPr>
              <m:t>max</m:t>
            </m:r>
          </m:sup>
        </m:sSubSup>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在候选设备及场地条件下允许的最大容量。2.001用于表达本次弹性比选突破2.00的条件。容载比由主变总容量和同年网供峰值计算。</w:t>
      </w:r>
    </w:p>
    <w:p>
      <w:pPr>
        <w:pStyle w:val="2"/>
        <w:widowControl/>
        <w:spacing w:line="348" w:lineRule="exact" w:before="0" w:after="0"/>
        <w:ind w:firstLine="480"/>
        <w:jc w:val="both"/>
      </w:pPr>
      <w:r>
        <w:rPr>
          <w:rFonts w:ascii="Times New Roman" w:hAnsi="Times New Roman" w:eastAsia="方正仿宋_GBK"/>
          <w:b w:val="0"/>
          <w:sz w:val="24"/>
        </w:rPr>
        <w:t xml:space="preserve">在明确两类方案的容量约束后，进一步分析光伏增长可能带来的反向容量需求。以下用屋顶资源和政策发展目标构造源荷情景；相应可选主变容量仍由站址、设备候选及网络条件确定。</w:t>
      </w:r>
    </w:p>
    <w:p>
      <w:pPr>
        <w:pStyle w:val="2"/>
        <w:widowControl/>
        <w:spacing w:line="348" w:lineRule="exact" w:before="0" w:after="0"/>
        <w:ind w:firstLine="480"/>
        <w:jc w:val="both"/>
      </w:pPr>
      <w:r>
        <w:rPr>
          <w:rFonts w:ascii="Times New Roman" w:hAnsi="Times New Roman" w:eastAsia="方正仿宋_GBK"/>
          <w:b w:val="0"/>
          <w:sz w:val="24"/>
        </w:rPr>
        <w:t xml:space="preserve">根据项目收集的社区、村级建筑屋顶调查资料，邳州498个社区或村的屋顶面积合计8939.19万m²；市区鼓楼、云龙、泉山三区256个社区或村合计4082.36万m²。统计按建筑用途和屋面材质汇总。屋顶资料采用行政区范围，用于地区资源规模估算；110 kV容量分析采用第三章的供电范围。</w:t>
      </w:r>
    </w:p>
    <w:p>
      <w:pPr>
        <w:pStyle w:val="2"/>
        <w:widowControl/>
        <w:spacing w:line="348" w:lineRule="exact" w:before="0" w:after="0"/>
        <w:ind w:firstLine="480"/>
        <w:jc w:val="both"/>
      </w:pPr>
      <w:r>
        <w:rPr>
          <w:rFonts w:ascii="Times New Roman" w:hAnsi="Times New Roman" w:eastAsia="方正仿宋_GBK"/>
          <w:b w:val="0"/>
          <w:sz w:val="24"/>
        </w:rPr>
        <w:t xml:space="preserve">屋顶光伏装机容量按</w:t>
      </w:r>
      <m:oMath>
        <m:sSub>
          <m:e>
            <m:r>
              <m:t>P</m:t>
            </m:r>
          </m:e>
          <m:sub>
            <m:r>
              <m:rPr>
                <m:sty m:val="p"/>
              </m:rPr>
              <m:t>r</m:t>
            </m:r>
            <m:r>
              <m:rPr>
                <m:sty m:val="p"/>
              </m:rPr>
              <m:t>o</m:t>
            </m:r>
            <m:r>
              <m:rPr>
                <m:sty m:val="p"/>
              </m:rPr>
              <m:t>o</m:t>
            </m:r>
            <m:r>
              <m:rPr>
                <m:sty m:val="p"/>
              </m:rPr>
              <m:t>f</m:t>
            </m:r>
          </m:sub>
        </m:sSub>
        <m:r>
          <m:t>=</m:t>
        </m:r>
        <m:r>
          <m:t>A</m:t>
        </m:r>
        <m:r>
          <m:t>f</m:t>
        </m:r>
        <m:r>
          <m:t>d</m:t>
        </m:r>
        <m:r>
          <m:t>/</m:t>
        </m:r>
        <m:r>
          <m:t>1000</m:t>
        </m:r>
      </m:oMath>
      <w:r>
        <w:rPr>
          <w:rFonts w:ascii="Times New Roman" w:hAnsi="Times New Roman" w:eastAsia="方正仿宋_GBK"/>
          <w:b w:val="0"/>
          <w:sz w:val="24"/>
        </w:rPr>
        <w:t xml:space="preserve">估算。其中，</w:t>
      </w:r>
      <m:oMath>
        <m:r>
          <m:t>A</m:t>
        </m:r>
      </m:oMath>
      <w:r>
        <w:rPr>
          <w:rFonts w:ascii="Times New Roman" w:hAnsi="Times New Roman" w:eastAsia="方正仿宋_GBK"/>
          <w:b w:val="0"/>
          <w:sz w:val="24"/>
        </w:rPr>
        <w:t xml:space="preserve">为调查屋顶面积，单位m²；</w:t>
      </w:r>
      <m:oMath>
        <m:r>
          <m:t>f</m:t>
        </m:r>
      </m:oMath>
      <w:r>
        <w:rPr>
          <w:rFonts w:ascii="Times New Roman" w:hAnsi="Times New Roman" w:eastAsia="方正仿宋_GBK"/>
          <w:b w:val="0"/>
          <w:sz w:val="24"/>
        </w:rPr>
        <w:t xml:space="preserve">为屋顶可利用比例；</w:t>
      </w:r>
      <m:oMath>
        <m:r>
          <m:t>d</m:t>
        </m:r>
      </m:oMath>
      <w:r>
        <w:rPr>
          <w:rFonts w:ascii="Times New Roman" w:hAnsi="Times New Roman" w:eastAsia="方正仿宋_GBK"/>
          <w:b w:val="0"/>
          <w:sz w:val="24"/>
        </w:rPr>
        <w:t xml:space="preserve">为单位可用面积装机密度，单位kWp/m²；</w:t>
      </w:r>
      <m:oMath>
        <m:sSub>
          <m:e>
            <m:r>
              <m:t>P</m:t>
            </m:r>
          </m:e>
          <m:sub>
            <m:r>
              <m:rPr>
                <m:sty m:val="p"/>
              </m:rPr>
              <m:t>r</m:t>
            </m:r>
            <m:r>
              <m:rPr>
                <m:sty m:val="p"/>
              </m:rPr>
              <m:t>o</m:t>
            </m:r>
            <m:r>
              <m:rPr>
                <m:sty m:val="p"/>
              </m:rPr>
              <m:t>o</m:t>
            </m:r>
            <m:r>
              <m:rPr>
                <m:sty m:val="p"/>
              </m:rPr>
              <m:t>f</m:t>
            </m:r>
          </m:sub>
        </m:sSub>
      </m:oMath>
      <w:r>
        <w:rPr>
          <w:rFonts w:ascii="Times New Roman" w:hAnsi="Times New Roman" w:eastAsia="方正仿宋_GBK"/>
          <w:b w:val="0"/>
          <w:sz w:val="24"/>
        </w:rPr>
        <w:t xml:space="preserve">为估算装机容量，单位MWp。江苏省2009年光伏发电推进意见采用20%的屋顶可利用比例估算全省资源规模[90]，本研究以此为历史参照，并列出40%、60%两种开发程度下的估算值。徐州地铁分布式光伏项目公开资料列出可用建筑面积94900 m²、规划装机9.49 MWp，据此取装机密度0.10 kWp/m²[91]。</w:t>
      </w:r>
    </w:p>
    <w:p>
      <w:pPr>
        <w:pStyle w:val="2"/>
        <w:keepNext/>
        <w:spacing w:line="280" w:lineRule="exact" w:before="120" w:after="80"/>
        <w:ind w:firstLine="0"/>
        <w:jc w:val="center"/>
      </w:pPr>
      <w:r>
        <w:rPr>
          <w:rFonts w:ascii="Times New Roman" w:hAnsi="Times New Roman" w:eastAsia="宋体"/>
          <w:b w:val="0"/>
          <w:sz w:val="21"/>
        </w:rPr>
        <w:t xml:space="preserve">表5-2 不同屋顶可利用比例下的光伏装机容量估算</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行政范围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屋顶面积/万m²</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可利用比例20%/MWp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可利用比例40%/MWp</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可利用比例60%/MWp</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8939.19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1787.84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3575.67</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5363.51</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市区鼓楼、云龙、泉山三区</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4082.36</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816.47</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1632.94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2449.42</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上述容量为所调查屋顶在不同可利用比例下的总装机规模，包含已开发资源。实际新增规模结合建筑结构、遮挡、消防条件及已建光伏占用面积核定；表中MWp为组件侧峰值容量。</w:t>
      </w:r>
    </w:p>
    <w:p>
      <w:pPr>
        <w:pStyle w:val="2"/>
        <w:widowControl/>
        <w:spacing w:line="348" w:lineRule="exact" w:before="0" w:after="0"/>
        <w:ind w:firstLine="480"/>
        <w:jc w:val="both"/>
      </w:pPr>
      <w:r>
        <w:rPr>
          <w:rFonts w:ascii="Times New Roman" w:hAnsi="Times New Roman" w:eastAsia="方正仿宋_GBK"/>
          <w:b w:val="0"/>
          <w:sz w:val="24"/>
        </w:rPr>
        <w:t xml:space="preserve">《江苏省分布式光伏发展实施方案（2026—2030年）》提出，2030年全省分布式光伏累计装机较2025年翻一番，达到1.20亿千瓦[92]。以装机翻倍作为地区发展情景，邳州和市区装机规模分别约为3119.28 MW和982.36 MW。邳州屋顶可利用比例20%～40%的估算规模为1787.84～3575.67 MWp，市区三区相应为816.47～1632.94 MWp，说明两地区具有开展光伏持续增长情景分析的资源基础。屋顶资源与并网装机分别按各自统计范围使用，接网规模还需落实到供电区域。</w:t>
      </w:r>
    </w:p>
    <w:p>
      <w:pPr>
        <w:pStyle w:val="2"/>
        <w:widowControl/>
        <w:spacing w:line="348" w:lineRule="exact" w:before="0" w:after="0"/>
        <w:ind w:firstLine="480"/>
        <w:jc w:val="both"/>
      </w:pPr>
      <w:r>
        <w:rPr>
          <w:rFonts w:ascii="Times New Roman" w:hAnsi="Times New Roman" w:eastAsia="方正仿宋_GBK"/>
          <w:b w:val="0"/>
          <w:sz w:val="24"/>
        </w:rPr>
        <w:t xml:space="preserve">沿用第三章装机容量换算及用户最大负荷估计，源荷比按规划装机容量与用户最大负荷之比计算。在装机翻倍、用户最大负荷维持基准水平的情景下，邳州源荷比由1.63提高至约3.26，市区由0.32提高至约0.64，可作为本次发展情景的源荷比上端参考。用户最大负荷增长后，相应源荷比下降。邳州需要重点分析光伏集中出力期间的反向容量需求，市区则仍以正向负荷与主变N-1供电能力为主要校核内容。</w:t>
      </w:r>
    </w:p>
    <w:p>
      <w:pPr>
        <w:pStyle w:val="2"/>
        <w:widowControl/>
        <w:spacing w:line="348" w:lineRule="exact" w:before="0" w:after="0"/>
        <w:ind w:firstLine="480"/>
        <w:jc w:val="both"/>
      </w:pPr>
      <w:r>
        <w:rPr>
          <w:rFonts w:ascii="Times New Roman" w:hAnsi="Times New Roman" w:eastAsia="方正仿宋_GBK"/>
          <w:b w:val="0"/>
          <w:sz w:val="24"/>
        </w:rPr>
        <w:t xml:space="preserve">源荷比与容载比的关系通过净负荷体现：源荷比表征分布式电源装机与用户最大负荷的规模关系；容载比的分母为年网供最大负荷，主变容量还需同时满足日间反向输送和晚间供电需求。2025年邳州、市区现状容载比分别为2.24、2.42，而源荷比分别为1.63、0.32，地区数据反映出两项指标还受负荷时段和设备结构共同影响。相关概率规划研究也将负荷类型、电源可信度及运行条件纳入变电容量分析[93]。</w:t>
      </w:r>
    </w:p>
    <w:p>
      <w:pPr>
        <w:pStyle w:val="2"/>
        <w:widowControl/>
        <w:spacing w:line="348" w:lineRule="exact" w:before="0" w:after="0"/>
        <w:ind w:firstLine="480"/>
        <w:jc w:val="both"/>
      </w:pPr>
      <w:r>
        <w:rPr>
          <w:rFonts w:ascii="Times New Roman" w:hAnsi="Times New Roman" w:eastAsia="方正仿宋_GBK"/>
          <w:b w:val="0"/>
          <w:sz w:val="24"/>
        </w:rPr>
        <w:t xml:space="preserve">屋顶资源和政策发展情景用于判断光伏规模进一步增长的研究需求。同样的装机规模，在用户负荷、光伏空间分布、联络条件及储能持续时间不同的情况下，对正反向容量的要求也不同。容量比选的最大可选值由实际设备候选与站址条件确定。</w:t>
      </w:r>
    </w:p>
    <w:p>
      <w:pPr>
        <w:pStyle w:val="5"/>
        <w:keepNext/>
        <w:numPr>
          <w:numId w:val="0"/>
        </w:numPr>
        <w:spacing w:line="390" w:lineRule="exact" w:before="160" w:after="120"/>
        <w:ind w:firstLine="0"/>
      </w:pPr>
      <w:bookmarkStart w:id="177" w:name="指标参数的选取依据"/>
      <w:r>
        <w:rPr>
          <w:rFonts w:ascii="Times New Roman" w:hAnsi="Times New Roman" w:eastAsia="方正仿宋_GBK"/>
          <w:b/>
          <w:sz w:val="26"/>
        </w:rPr>
        <w:t xml:space="preserve">5.1.3 指标参数的选取依据</w:t>
      </w:r>
      <w:bookmarkEnd w:id="177"/>
    </w:p>
    <w:p>
      <w:pPr>
        <w:pStyle w:val="FirstParagraph"/>
        <w:widowControl/>
        <w:spacing w:line="348" w:lineRule="exact" w:before="0" w:after="0"/>
        <w:ind w:firstLine="480"/>
        <w:jc w:val="both"/>
      </w:pPr>
      <w:r>
        <w:rPr>
          <w:rFonts w:ascii="Times New Roman" w:hAnsi="Times New Roman" w:eastAsia="方正仿宋_GBK"/>
          <w:b w:val="0"/>
          <w:sz w:val="24"/>
        </w:rPr>
        <w:t xml:space="preserve">主变候选区分现有设备与新购设备。在役20、40 MVA等设备可继续保留；新购序列采用31.50、50.00、63.00、80.00 MVA，并受原设备容量、预留位置及允许扩建条件限制。增加第三台主变仅在具有预留条件的站点设置，当前候选容量为50.00 MVA。80.00 MVA方案仍需在工程阶段核实配套间隔、短路电流及站址条件。</w:t>
      </w:r>
    </w:p>
    <w:p>
      <w:pPr>
        <w:pStyle w:val="2"/>
        <w:widowControl/>
        <w:spacing w:line="348" w:lineRule="exact" w:before="0" w:after="0"/>
        <w:ind w:firstLine="480"/>
        <w:jc w:val="both"/>
      </w:pPr>
      <w:r>
        <w:rPr>
          <w:rFonts w:ascii="Times New Roman" w:hAnsi="Times New Roman" w:eastAsia="方正仿宋_GBK"/>
          <w:b w:val="0"/>
          <w:sz w:val="24"/>
        </w:rPr>
        <w:t xml:space="preserve">储能采用100 kW/215 kWh成套柜，可用电量系数为0.76。地区案例正向支撑统一取4 h，反向持续时间沿用各站原静态参数；2 h和6 h用于分析持续时间变化。采用相同储能规格和工程价格，比较容量约束变化后是否仍需配置储能。</w:t>
      </w:r>
    </w:p>
    <w:p>
      <w:pPr>
        <w:pStyle w:val="2"/>
        <w:keepNext/>
        <w:spacing w:line="280" w:lineRule="exact" w:before="120" w:after="80"/>
        <w:ind w:firstLine="0"/>
        <w:jc w:val="center"/>
      </w:pPr>
      <w:r>
        <w:rPr>
          <w:rFonts w:ascii="Times New Roman" w:hAnsi="Times New Roman" w:eastAsia="宋体"/>
          <w:b w:val="0"/>
          <w:sz w:val="21"/>
        </w:rPr>
        <w:t xml:space="preserve">表5-3 两地区共同计算条件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性质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年度负荷</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2022—2025年逐年实际统计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原始收资</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功率因数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0.95</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共同对照条件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反向储能支撑持续时间</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按各站反向容量校核要求设置</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静态支撑参数</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 kW/215 kWh</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采购资料</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可用电量系数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0.76</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研究取值</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新增主变规格</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31.50、50、63、80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第三台主变</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有预留条件时50 MVA</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按站限制</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联络项目费用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邳州124.80、市区499.20万元/条</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保持原案例费用</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供电安全</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正常及最大单台主变N-1</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分故障工况校核</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采用《配电网规划设计技术导则》中分布式电源装机与用户最大负荷的比值定义，用于联系装机规模和典型出力下的反向净负荷[7]。分布式电源电量渗透率仍用于地区背景分析，但在采用统一利用小时和年负荷率的模板中，与分布式电源装机渗透率存在确定换算关系，不再增加重复维度。</w:t>
      </w:r>
    </w:p>
    <w:p>
      <w:pPr>
        <w:pStyle w:val="2"/>
        <w:widowControl/>
        <w:spacing w:line="348" w:lineRule="exact" w:before="0" w:after="0"/>
        <w:ind w:firstLine="480"/>
        <w:jc w:val="both"/>
      </w:pPr>
      <w:r>
        <w:rPr>
          <w:rFonts w:ascii="Times New Roman" w:hAnsi="Times New Roman" w:eastAsia="方正仿宋_GBK"/>
          <w:b w:val="0"/>
          <w:sz w:val="24"/>
        </w:rPr>
        <w:t xml:space="preserve">年最大净负荷平均增长率采用起止负荷之比开根计算，增长分界取DL/T 5729—2023表6.3.4[5]。地区案例保留已知年度负荷，通用模板按增长率计算目标年规模。增长率同时作用于容量需求和容载比分母，后续分析同时报告主变容量及其比值。</w:t>
      </w:r>
    </w:p>
    <w:p>
      <w:pPr>
        <w:pStyle w:val="2"/>
        <w:widowControl/>
        <w:spacing w:line="348" w:lineRule="exact" w:before="0" w:after="0"/>
        <w:ind w:firstLine="480"/>
        <w:jc w:val="both"/>
      </w:pPr>
      <w:r>
        <w:rPr>
          <w:rFonts w:ascii="Times New Roman" w:hAnsi="Times New Roman" w:eastAsia="方正仿宋_GBK"/>
          <w:b w:val="0"/>
          <w:sz w:val="24"/>
        </w:rPr>
        <w:t xml:space="preserve">线路成本系数反映单位长度综合造价相对参考基价的比例，初始转供率反映基期网络能够转移的负荷比例。二者分别进入工程费用和网络能力约束[8][76]。储能支撑持续时间决定额定能量可折算的有效功率，储能价格再单独改变采购费用；这种区分与储能功率、能量联合配置方法相衔接[30][28][10]。</w:t>
      </w:r>
    </w:p>
    <w:p>
      <w:pPr>
        <w:pStyle w:val="4"/>
        <w:keepNext/>
        <w:numPr>
          <w:numId w:val="0"/>
        </w:numPr>
        <w:spacing w:line="480" w:lineRule="exact" w:before="160" w:after="120"/>
        <w:ind w:firstLine="0"/>
      </w:pPr>
      <w:bookmarkStart w:id="1526" w:name="h526"/>
      <w:bookmarkStart w:id="178" w:name="三类措施的选取与寻优方法"/>
      <w:r>
        <w:rPr>
          <w:rFonts w:ascii="Times New Roman" w:hAnsi="Times New Roman" w:eastAsia="方正仿宋_GBK"/>
          <w:b/>
          <w:sz w:val="32"/>
        </w:rPr>
        <w:t xml:space="preserve">5.2 三类措施的选取与寻优方法</w:t>
      </w:r>
      <w:bookmarkEnd w:id="178"/>
      <w:bookmarkEnd w:id="1526"/>
    </w:p>
    <w:p>
      <w:pPr>
        <w:pStyle w:val="5"/>
        <w:keepNext/>
        <w:numPr>
          <w:numId w:val="0"/>
        </w:numPr>
        <w:spacing w:line="390" w:lineRule="exact" w:before="160" w:after="120"/>
        <w:ind w:firstLine="0"/>
      </w:pPr>
      <w:bookmarkStart w:id="179" w:name="主变增容及扩建方案"/>
      <w:r>
        <w:rPr>
          <w:rFonts w:ascii="Times New Roman" w:hAnsi="Times New Roman" w:eastAsia="方正仿宋_GBK"/>
          <w:b/>
          <w:sz w:val="26"/>
        </w:rPr>
        <w:t xml:space="preserve">5.2.1 主变增容及扩建方案</w:t>
      </w:r>
      <w:bookmarkEnd w:id="179"/>
    </w:p>
    <w:p>
      <w:pPr>
        <w:pStyle w:val="FirstParagraph"/>
        <w:widowControl/>
        <w:spacing w:line="348" w:lineRule="exact" w:before="0" w:after="0"/>
        <w:ind w:firstLine="480"/>
        <w:jc w:val="both"/>
      </w:pPr>
      <w:r>
        <w:rPr>
          <w:rFonts w:ascii="Times New Roman" w:hAnsi="Times New Roman" w:eastAsia="方正仿宋_GBK"/>
          <w:b w:val="0"/>
          <w:sz w:val="24"/>
        </w:rPr>
        <w:t xml:space="preserve">每个主变安装位置从允许规格中选择一项，在后续年份维持或升档。更换主变按新购整台容量计费，新增容量用于更新在役容量，两者分别统计。储能柜数为整数，后续在役数量不得低于前一年。新增联络投运后持续可用，既有联络建设费用不重复计取。</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S</m:t>
                          </m:r>
                        </m:e>
                        <m:sub>
                          <m:r>
                            <m:t>i</m:t>
                          </m:r>
                          <m:r>
                            <m:t>,</m:t>
                          </m:r>
                          <m:r>
                            <m:t>y</m:t>
                          </m:r>
                        </m:sub>
                      </m:sSub>
                    </m:e>
                    <m:e>
                      <m:r>
                        <m:t>=</m:t>
                      </m:r>
                      <m:nary>
                        <m:naryPr>
                          <m:chr m:val="∑"/>
                          <m:limLoc m:val="undOvr"/>
                          <m:subHide m:val="0"/>
                          <m:supHide m:val="1"/>
                        </m:naryPr>
                        <m:sub>
                          <m:r>
                            <m:t>j</m:t>
                          </m:r>
                          <m:r>
                            <m:t>,</m:t>
                          </m:r>
                          <m:r>
                            <m:t>r</m:t>
                          </m:r>
                        </m:sub>
                        <m:sup>
                          <m:r>
                            <m:t>​</m:t>
                          </m:r>
                        </m:sup>
                        <m:e>
                          <m:r>
                            <m:t>r</m:t>
                          </m:r>
                        </m:e>
                      </m:nary>
                      <m:sSub>
                        <m:e>
                          <m:r>
                            <m:t>x</m:t>
                          </m:r>
                        </m:e>
                        <m:sub>
                          <m:r>
                            <m:t>i</m:t>
                          </m:r>
                          <m:r>
                            <m:t>,</m:t>
                          </m:r>
                          <m:r>
                            <m:t>j</m:t>
                          </m:r>
                          <m:r>
                            <m:t>,</m:t>
                          </m:r>
                          <m:r>
                            <m:t>r</m:t>
                          </m:r>
                          <m:r>
                            <m:t>,</m:t>
                          </m:r>
                          <m:r>
                            <m:t>y</m:t>
                          </m:r>
                        </m:sub>
                      </m:sSub>
                      <m:r>
                        <m:t>+</m:t>
                      </m:r>
                      <m:r>
                        <m:t>50</m:t>
                      </m:r>
                      <m:sSub>
                        <m:e>
                          <m:r>
                            <m:t>z</m:t>
                          </m:r>
                        </m:e>
                        <m:sub>
                          <m:r>
                            <m:t>i</m:t>
                          </m:r>
                          <m:r>
                            <m:t>,</m:t>
                          </m:r>
                          <m:r>
                            <m:t>y</m:t>
                          </m:r>
                        </m:sub>
                      </m:sSub>
                      <m:r>
                        <m:t>,</m:t>
                      </m:r>
                    </m:e>
                  </m:mr>
                  <m:mr>
                    <m:e>
                      <m:nary>
                        <m:naryPr>
                          <m:chr m:val="∑"/>
                          <m:limLoc m:val="undOvr"/>
                          <m:subHide m:val="0"/>
                          <m:supHide m:val="1"/>
                        </m:naryPr>
                        <m:sub>
                          <m:r>
                            <m:t>r</m:t>
                          </m:r>
                        </m:sub>
                        <m:sup>
                          <m:r>
                            <m:t>​</m:t>
                          </m:r>
                        </m:sup>
                        <m:e>
                          <m:sSub>
                            <m:e>
                              <m:r>
                                <m:t>x</m:t>
                              </m:r>
                            </m:e>
                            <m:sub>
                              <m:r>
                                <m:t>i</m:t>
                              </m:r>
                              <m:r>
                                <m:t>,</m:t>
                              </m:r>
                              <m:r>
                                <m:t>j</m:t>
                              </m:r>
                              <m:r>
                                <m:t>,</m:t>
                              </m:r>
                              <m:r>
                                <m:t>r</m:t>
                              </m:r>
                              <m:r>
                                <m:t>,</m:t>
                              </m:r>
                              <m:r>
                                <m:t>y</m:t>
                              </m:r>
                            </m:sub>
                          </m:sSub>
                        </m:e>
                      </m:nary>
                    </m:e>
                    <m:e>
                      <m:r>
                        <m:t>=</m:t>
                      </m:r>
                      <m:r>
                        <m:t>1</m:t>
                      </m:r>
                      <m:r>
                        <m:t>,</m:t>
                      </m:r>
                    </m:e>
                  </m:mr>
                  <m:mr>
                    <m:e>
                      <m:sSub>
                        <m:e>
                          <m:r>
                            <m:t>n</m:t>
                          </m:r>
                        </m:e>
                        <m:sub>
                          <m:r>
                            <m:t>i</m:t>
                          </m:r>
                          <m:r>
                            <m:t>,</m:t>
                          </m:r>
                          <m:r>
                            <m:t>y</m:t>
                          </m:r>
                        </m:sub>
                      </m:sSub>
                    </m:e>
                    <m:e>
                      <m:r>
                        <m:t>≥</m:t>
                      </m:r>
                      <m:sSub>
                        <m:e>
                          <m:r>
                            <m:t>n</m:t>
                          </m:r>
                        </m:e>
                        <m:sub>
                          <m:r>
                            <m:t>i</m:t>
                          </m:r>
                          <m:r>
                            <m:t>,</m:t>
                          </m:r>
                          <m:r>
                            <m:t>y</m:t>
                          </m:r>
                          <m:r>
                            <m:t>−</m:t>
                          </m:r>
                          <m:r>
                            <m:t>1</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（5-3）</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x</m:t>
            </m:r>
          </m:e>
          <m:sub>
            <m:r>
              <m:t>i</m:t>
            </m:r>
            <m:r>
              <m:t>,</m:t>
            </m:r>
            <m:r>
              <m:t>j</m:t>
            </m:r>
            <m:r>
              <m:t>,</m:t>
            </m:r>
            <m:r>
              <m:t>r</m:t>
            </m:r>
            <m:r>
              <m:t>,</m:t>
            </m:r>
            <m:r>
              <m:t>y</m:t>
            </m:r>
          </m:sub>
        </m:sSub>
      </m:oMath>
      <w:r>
        <w:rPr>
          <w:rFonts w:ascii="Times New Roman" w:hAnsi="Times New Roman" w:eastAsia="方正仿宋_GBK"/>
          <w:b w:val="0"/>
          <w:sz w:val="24"/>
        </w:rPr>
        <w:t xml:space="preserve">表示站点</w:t>
      </w:r>
      <m:oMath>
        <m:r>
          <m:t>i</m:t>
        </m:r>
      </m:oMath>
      <w:r>
        <w:rPr>
          <w:rFonts w:ascii="Times New Roman" w:hAnsi="Times New Roman" w:eastAsia="方正仿宋_GBK"/>
          <w:b w:val="0"/>
          <w:sz w:val="24"/>
        </w:rPr>
        <w:t xml:space="preserve">第</w:t>
      </w:r>
      <m:oMath>
        <m:r>
          <m:t>j</m:t>
        </m:r>
      </m:oMath>
      <w:r>
        <w:rPr>
          <w:rFonts w:ascii="Times New Roman" w:hAnsi="Times New Roman" w:eastAsia="方正仿宋_GBK"/>
          <w:b w:val="0"/>
          <w:sz w:val="24"/>
        </w:rPr>
        <w:t xml:space="preserve">个原主变位置在第</w:t>
      </w:r>
      <m:oMath>
        <m:r>
          <m:t>y</m:t>
        </m:r>
      </m:oMath>
      <w:r>
        <w:rPr>
          <w:rFonts w:ascii="Times New Roman" w:hAnsi="Times New Roman" w:eastAsia="方正仿宋_GBK"/>
          <w:b w:val="0"/>
          <w:sz w:val="24"/>
        </w:rPr>
        <w:t xml:space="preserve">年是否采用容量</w:t>
      </w:r>
      <m:oMath>
        <m:r>
          <m:t>r</m:t>
        </m:r>
      </m:oMath>
      <w:r>
        <w:rPr>
          <w:rFonts w:ascii="Times New Roman" w:hAnsi="Times New Roman" w:eastAsia="方正仿宋_GBK"/>
          <w:b w:val="0"/>
          <w:sz w:val="24"/>
        </w:rPr>
        <w:t xml:space="preserve">，</w:t>
      </w:r>
      <m:oMath>
        <m:sSub>
          <m:e>
            <m:r>
              <m:t>z</m:t>
            </m:r>
          </m:e>
          <m:sub>
            <m:r>
              <m:t>i</m:t>
            </m:r>
            <m:r>
              <m:t>,</m:t>
            </m:r>
            <m:r>
              <m:t>y</m:t>
            </m:r>
          </m:sub>
        </m:sSub>
      </m:oMath>
      <w:r>
        <w:rPr>
          <w:rFonts w:ascii="Times New Roman" w:hAnsi="Times New Roman" w:eastAsia="方正仿宋_GBK"/>
          <w:b w:val="0"/>
          <w:sz w:val="24"/>
        </w:rPr>
        <w:t xml:space="preserve">表示第三台50 MVA主变是否在役，</w:t>
      </w:r>
      <m:oMath>
        <m:sSub>
          <m:e>
            <m:r>
              <m:t>n</m:t>
            </m:r>
          </m:e>
          <m:sub>
            <m:r>
              <m:t>i</m:t>
            </m:r>
            <m:r>
              <m:t>,</m:t>
            </m:r>
            <m:r>
              <m:t>y</m:t>
            </m:r>
          </m:sub>
        </m:sSub>
      </m:oMath>
      <w:r>
        <w:rPr>
          <w:rFonts w:ascii="Times New Roman" w:hAnsi="Times New Roman" w:eastAsia="方正仿宋_GBK"/>
          <w:b w:val="0"/>
          <w:sz w:val="24"/>
        </w:rPr>
        <w:t xml:space="preserve">为在役储能柜数。没有扩建条件的站点不设置相应候选。</w:t>
      </w:r>
    </w:p>
    <w:p>
      <w:pPr>
        <w:pStyle w:val="2"/>
        <w:widowControl/>
        <w:spacing w:line="348" w:lineRule="exact" w:before="0" w:after="0"/>
        <w:ind w:firstLine="480"/>
        <w:jc w:val="both"/>
      </w:pPr>
      <w:r>
        <w:rPr>
          <w:rFonts w:ascii="Times New Roman" w:hAnsi="Times New Roman" w:eastAsia="方正仿宋_GBK"/>
          <w:b w:val="0"/>
          <w:sz w:val="24"/>
        </w:rPr>
        <w:t xml:space="preserve">主变更换的净增容量与新购容量分别统计。将20 MVA主变更换为50 MVA，净增30 MVA，但费用按整台50 MVA及配套工程计算；第三台主变扩建增加50 MVA，并可能提高最大单台主变N-1后的剩余容量。经济比选同时考虑设备结构对供电安全的影响与相应工程费用[85]。</w:t>
      </w:r>
    </w:p>
    <w:p>
      <w:pPr>
        <w:pStyle w:val="5"/>
        <w:keepNext/>
        <w:numPr>
          <w:numId w:val="0"/>
        </w:numPr>
        <w:spacing w:line="390" w:lineRule="exact" w:before="160" w:after="120"/>
        <w:ind w:firstLine="0"/>
      </w:pPr>
      <w:bookmarkStart w:id="180" w:name="利用既有10-kv联络能力"/>
      <w:r>
        <w:rPr>
          <w:rFonts w:ascii="Times New Roman" w:hAnsi="Times New Roman" w:eastAsia="方正仿宋_GBK"/>
          <w:b/>
          <w:sz w:val="26"/>
        </w:rPr>
        <w:t xml:space="preserve">5.2.2 利用既有10 kV联络能力</w:t>
      </w:r>
      <w:bookmarkEnd w:id="180"/>
    </w:p>
    <w:p>
      <w:pPr>
        <w:pStyle w:val="FirstParagraph"/>
        <w:widowControl/>
        <w:spacing w:line="348" w:lineRule="exact" w:before="0" w:after="0"/>
        <w:ind w:firstLine="480"/>
        <w:jc w:val="both"/>
      </w:pPr>
      <w:r>
        <w:rPr>
          <w:rFonts w:ascii="Times New Roman" w:hAnsi="Times New Roman" w:eastAsia="方正仿宋_GBK"/>
          <w:b w:val="0"/>
          <w:sz w:val="24"/>
        </w:rPr>
        <w:t xml:space="preserve">初始转供率用于概括基期可转负荷条件。邳州局部六馈线资料可用于说明比例的计算过程：以最大电流估计本地负荷，以允许电流与已用电流之差估计接收余量，再考虑联络路径及共享馈线预算。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（5-4）</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48" w:lineRule="exact" w:before="0" w:after="0"/>
        <w:ind w:firstLine="480"/>
        <w:jc w:val="both"/>
      </w:pPr>
      <w:r>
        <w:rPr>
          <w:rFonts w:ascii="Times New Roman" w:hAnsi="Times New Roman" w:eastAsia="方正仿宋_GBK"/>
          <w:b w:val="0"/>
          <w:sz w:val="24"/>
        </w:rPr>
        <w:t xml:space="preserve">对同一馈线接入的多条联络，其转出和接收任务共用同一负荷及热限预算。局部筛查的最大可转负荷为9.98 MW，样本负荷合计35.29 MW，比例约28%。地区案例按具体已知联络与候选区段建模。</w:t>
      </w:r>
    </w:p>
    <w:p>
      <w:pPr>
        <w:pStyle w:val="2"/>
        <w:widowControl/>
        <w:spacing w:line="348" w:lineRule="exact" w:before="0" w:after="0"/>
        <w:ind w:firstLine="480"/>
        <w:jc w:val="both"/>
      </w:pPr>
      <w:r>
        <w:rPr>
          <w:rFonts w:ascii="Times New Roman" w:hAnsi="Times New Roman" w:eastAsia="方正仿宋_GBK"/>
          <w:b w:val="0"/>
          <w:sz w:val="24"/>
        </w:rPr>
        <w:t xml:space="preserve">市区按A类较少、B类较多的研究背景，参数研究采用B类区间中值40%，并比较30%～50%。导则对A+、A类及B、C类的转供比例建议分别为50%～70%和30%～50%[5]。在分区负荷及存量网络核实前，40%仅作为研究参考；地区案例中缺少已核实存量边的部分仍按新增付费候选处理。</w:t>
      </w:r>
    </w:p>
    <w:p>
      <w:pPr>
        <w:pStyle w:val="5"/>
        <w:keepNext/>
        <w:numPr>
          <w:numId w:val="0"/>
        </w:numPr>
        <w:spacing w:line="390" w:lineRule="exact" w:before="160" w:after="120"/>
        <w:ind w:firstLine="0"/>
      </w:pPr>
      <w:bookmarkStart w:id="181" w:name="新建10-kv联络提升转供能力"/>
      <w:r>
        <w:rPr>
          <w:rFonts w:ascii="Times New Roman" w:hAnsi="Times New Roman" w:eastAsia="方正仿宋_GBK"/>
          <w:b/>
          <w:sz w:val="26"/>
        </w:rPr>
        <w:t xml:space="preserve">5.2.3 新建10 kV联络提升转供能力</w:t>
      </w:r>
      <w:bookmarkEnd w:id="181"/>
    </w:p>
    <w:p>
      <w:pPr>
        <w:pStyle w:val="FirstParagraph"/>
        <w:widowControl/>
        <w:spacing w:line="348" w:lineRule="exact" w:before="0" w:after="0"/>
        <w:ind w:firstLine="480"/>
        <w:jc w:val="both"/>
      </w:pPr>
      <w:r>
        <w:rPr>
          <w:rFonts w:ascii="Times New Roman" w:hAnsi="Times New Roman" w:eastAsia="方正仿宋_GBK"/>
          <w:b w:val="0"/>
          <w:sz w:val="24"/>
        </w:rPr>
        <w:t xml:space="preserve">转供通过具体馈线和站间候选边实现。每条边记录送受端、有效容量、是否既有及新增间隔需求，投运后参与转供。共用馈线的联络项目共同占用该馈线的可转负荷与接收余量，接收负荷还应通过邻站主变容量校核。</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Sup>
                        <m:e>
                          <m:r>
                            <m:t>q</m:t>
                          </m:r>
                        </m:e>
                        <m:sub>
                          <m:r>
                            <m:t>e</m:t>
                          </m:r>
                          <m:r>
                            <m:t>,</m:t>
                          </m:r>
                          <m:r>
                            <m:t>ω</m:t>
                          </m:r>
                        </m:sub>
                        <m:sup>
                          <m:r>
                            <m:t>a</m:t>
                          </m:r>
                          <m:r>
                            <m:t>→</m:t>
                          </m:r>
                          <m:r>
                            <m:t>b</m:t>
                          </m:r>
                        </m:sup>
                      </m:sSubSup>
                      <m:r>
                        <m:t>+</m:t>
                      </m:r>
                      <m:sSubSup>
                        <m:e>
                          <m:r>
                            <m:t>q</m:t>
                          </m:r>
                        </m:e>
                        <m:sub>
                          <m:r>
                            <m:t>e</m:t>
                          </m:r>
                          <m:r>
                            <m:t>,</m:t>
                          </m:r>
                          <m:r>
                            <m:t>ω</m:t>
                          </m:r>
                        </m:sub>
                        <m:sup>
                          <m:r>
                            <m:t>b</m:t>
                          </m:r>
                          <m:r>
                            <m:t>→</m:t>
                          </m:r>
                          <m:r>
                            <m:t>a</m:t>
                          </m:r>
                        </m:sup>
                      </m:sSubSup>
                    </m:e>
                    <m:e>
                      <m:r>
                        <m:t>≤</m:t>
                      </m:r>
                      <m:sSub>
                        <m:e>
                          <m:r>
                            <m:t>F</m:t>
                          </m:r>
                        </m:e>
                        <m:sub>
                          <m:r>
                            <m:t>e</m:t>
                          </m:r>
                        </m:sub>
                      </m:sSub>
                      <m:sSub>
                        <m:e>
                          <m:r>
                            <m:t>x</m:t>
                          </m:r>
                        </m:e>
                        <m:sub>
                          <m:r>
                            <m:t>e</m:t>
                          </m:r>
                          <m:r>
                            <m:t>,</m:t>
                          </m:r>
                          <m:r>
                            <m:t>y</m:t>
                          </m:r>
                        </m:sub>
                      </m:sSub>
                      <m:r>
                        <m:t>,</m:t>
                      </m:r>
                    </m:e>
                  </m:mr>
                  <m:mr>
                    <m:e>
                      <m:nary>
                        <m:naryPr>
                          <m:chr m:val="∑"/>
                          <m:limLoc m:val="undOvr"/>
                          <m:subHide m:val="0"/>
                          <m:supHide m:val="1"/>
                        </m:naryPr>
                        <m:sub>
                          <m:r>
                            <m:t>e</m:t>
                          </m:r>
                          <m:r>
                            <m:t>∈</m:t>
                          </m:r>
                          <m:sSubSup>
                            <m:e>
                              <m:r>
                                <m:rPr>
                                  <m:sty m:val="p"/>
                                  <m:scr m:val="script"/>
                                </m:rPr>
                                <m:t>E</m:t>
                              </m:r>
                            </m:e>
                            <m:sub>
                              <m:r>
                                <m:t>f</m:t>
                              </m:r>
                            </m:sub>
                            <m:sup>
                              <m:r>
                                <m:rPr>
                                  <m:sty m:val="p"/>
                                </m:rPr>
                                <m:t>o</m:t>
                              </m:r>
                              <m:r>
                                <m:rPr>
                                  <m:sty m:val="p"/>
                                </m:rPr>
                                <m:t>u</m:t>
                              </m:r>
                              <m:r>
                                <m:rPr>
                                  <m:sty m:val="p"/>
                                </m:rPr>
                                <m:t>t</m:t>
                              </m:r>
                            </m:sup>
                          </m:sSubSup>
                        </m:sub>
                        <m:sup>
                          <m:r>
                            <m:t>​</m:t>
                          </m:r>
                        </m:sup>
                        <m:e>
                          <m:sSub>
                            <m:e>
                              <m:r>
                                <m:t>q</m:t>
                              </m:r>
                            </m:e>
                            <m:sub>
                              <m:r>
                                <m:t>e</m:t>
                              </m:r>
                              <m:r>
                                <m:t>,</m:t>
                              </m:r>
                              <m:r>
                                <m:t>ω</m:t>
                              </m:r>
                            </m:sub>
                          </m:sSub>
                        </m:e>
                      </m:nary>
                    </m:e>
                    <m:e>
                      <m:r>
                        <m:t>≤</m:t>
                      </m:r>
                      <m:sSubSup>
                        <m:e>
                          <m:r>
                            <m:t>P</m:t>
                          </m:r>
                        </m:e>
                        <m:sub>
                          <m:r>
                            <m:t>f</m:t>
                          </m:r>
                          <m:r>
                            <m:t>,</m:t>
                          </m:r>
                          <m:r>
                            <m:t>ω</m:t>
                          </m:r>
                        </m:sub>
                        <m:sup>
                          <m:r>
                            <m:rPr>
                              <m:sty m:val="p"/>
                            </m:rPr>
                            <m:t>o</m:t>
                          </m:r>
                          <m:r>
                            <m:rPr>
                              <m:sty m:val="p"/>
                            </m:rPr>
                            <m:t>w</m:t>
                          </m:r>
                          <m:r>
                            <m:rPr>
                              <m:sty m:val="p"/>
                            </m:rPr>
                            <m:t>n</m:t>
                          </m:r>
                        </m:sup>
                      </m:sSubSup>
                      <m:r>
                        <m:t>,</m:t>
                      </m:r>
                    </m:e>
                  </m:mr>
                  <m:mr>
                    <m:e>
                      <m:nary>
                        <m:naryPr>
                          <m:chr m:val="∑"/>
                          <m:limLoc m:val="undOvr"/>
                          <m:subHide m:val="0"/>
                          <m:supHide m:val="1"/>
                        </m:naryPr>
                        <m:sub>
                          <m:r>
                            <m:t>e</m:t>
                          </m:r>
                          <m:r>
                            <m:t>∈</m:t>
                          </m:r>
                          <m:sSubSup>
                            <m:e>
                              <m:r>
                                <m:rPr>
                                  <m:sty m:val="p"/>
                                  <m:scr m:val="script"/>
                                </m:rPr>
                                <m:t>E</m:t>
                              </m:r>
                            </m:e>
                            <m:sub>
                              <m:r>
                                <m:t>f</m:t>
                              </m:r>
                            </m:sub>
                            <m:sup>
                              <m:r>
                                <m:rPr>
                                  <m:sty m:val="p"/>
                                </m:rPr>
                                <m:t>i</m:t>
                              </m:r>
                              <m:r>
                                <m:rPr>
                                  <m:sty m:val="p"/>
                                </m:rPr>
                                <m:t>n</m:t>
                              </m:r>
                            </m:sup>
                          </m:sSubSup>
                        </m:sub>
                        <m:sup>
                          <m:r>
                            <m:t>​</m:t>
                          </m:r>
                        </m:sup>
                        <m:e>
                          <m:sSub>
                            <m:e>
                              <m:r>
                                <m:t>q</m:t>
                              </m:r>
                            </m:e>
                            <m:sub>
                              <m:r>
                                <m:t>e</m:t>
                              </m:r>
                              <m:r>
                                <m:t>,</m:t>
                              </m:r>
                              <m:r>
                                <m:t>ω</m:t>
                              </m:r>
                            </m:sub>
                          </m:sSub>
                        </m:e>
                      </m:nary>
                    </m:e>
                    <m:e>
                      <m:r>
                        <m:t>≤</m:t>
                      </m:r>
                      <m:sSub>
                        <m:e>
                          <m:r>
                            <m:t>F</m:t>
                          </m:r>
                        </m:e>
                        <m:sub>
                          <m:r>
                            <m:t>f</m:t>
                          </m:r>
                        </m:sub>
                      </m:sSub>
                      <m:r>
                        <m:t>−</m:t>
                      </m:r>
                      <m:sSubSup>
                        <m:e>
                          <m:r>
                            <m:t>P</m:t>
                          </m:r>
                        </m:e>
                        <m:sub>
                          <m:r>
                            <m:t>f</m:t>
                          </m:r>
                          <m:r>
                            <m:t>,</m:t>
                          </m:r>
                          <m:r>
                            <m:t>y</m:t>
                          </m:r>
                        </m:sub>
                        <m:sup>
                          <m:r>
                            <m:rPr>
                              <m:sty m:val="p"/>
                            </m:rPr>
                            <m:t>r</m:t>
                          </m:r>
                          <m:r>
                            <m:rPr>
                              <m:sty m:val="p"/>
                            </m:rPr>
                            <m:t>e</m:t>
                          </m:r>
                          <m:r>
                            <m:rPr>
                              <m:sty m:val="p"/>
                            </m:rPr>
                            <m:t>f</m:t>
                          </m:r>
                        </m:sup>
                      </m:sSubSup>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（5-5）</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q</m:t>
            </m:r>
          </m:e>
          <m:sub>
            <m:r>
              <m:t>e</m:t>
            </m:r>
            <m:r>
              <m:t>,</m:t>
            </m:r>
            <m:r>
              <m:t>ω</m:t>
            </m:r>
          </m:sub>
        </m:sSub>
      </m:oMath>
      <w:r>
        <w:rPr>
          <w:rFonts w:ascii="Times New Roman" w:hAnsi="Times New Roman" w:eastAsia="方正仿宋_GBK"/>
          <w:b w:val="0"/>
          <w:sz w:val="24"/>
        </w:rPr>
        <w:t xml:space="preserve">为工况</w:t>
      </w:r>
      <m:oMath>
        <m:r>
          <m:t>ω</m:t>
        </m:r>
      </m:oMath>
      <w:r>
        <w:rPr>
          <w:rFonts w:ascii="Times New Roman" w:hAnsi="Times New Roman" w:eastAsia="方正仿宋_GBK"/>
          <w:b w:val="0"/>
          <w:sz w:val="24"/>
        </w:rPr>
        <w:t xml:space="preserve">下线路</w:t>
      </w:r>
      <m:oMath>
        <m:r>
          <m:t>e</m:t>
        </m:r>
      </m:oMath>
      <w:r>
        <w:rPr>
          <w:rFonts w:ascii="Times New Roman" w:hAnsi="Times New Roman" w:eastAsia="方正仿宋_GBK"/>
          <w:b w:val="0"/>
          <w:sz w:val="24"/>
        </w:rPr>
        <w:t xml:space="preserve">的转供功率，</w:t>
      </w:r>
      <m:oMath>
        <m:sSub>
          <m:e>
            <m:r>
              <m:t>F</m:t>
            </m:r>
          </m:e>
          <m:sub>
            <m:r>
              <m:t>e</m:t>
            </m:r>
          </m:sub>
        </m:sSub>
      </m:oMath>
      <w:r>
        <w:rPr>
          <w:rFonts w:ascii="Times New Roman" w:hAnsi="Times New Roman" w:eastAsia="方正仿宋_GBK"/>
          <w:b w:val="0"/>
          <w:sz w:val="24"/>
        </w:rPr>
        <w:t xml:space="preserve">为线路有效容量，</w:t>
      </w:r>
      <m:oMath>
        <m:sSub>
          <m:e>
            <m:r>
              <m:t>x</m:t>
            </m:r>
          </m:e>
          <m:sub>
            <m:r>
              <m:t>e</m:t>
            </m:r>
            <m:r>
              <m:t>,</m:t>
            </m:r>
            <m:r>
              <m:t>y</m:t>
            </m:r>
          </m:sub>
        </m:sSub>
      </m:oMath>
      <w:r>
        <w:rPr>
          <w:rFonts w:ascii="Times New Roman" w:hAnsi="Times New Roman" w:eastAsia="方正仿宋_GBK"/>
          <w:b w:val="0"/>
          <w:sz w:val="24"/>
        </w:rPr>
        <w:t xml:space="preserve">为投运状态，既有边取1。</w:t>
      </w:r>
      <m:oMath>
        <m:sSubSup>
          <m:e>
            <m:r>
              <m:t>P</m:t>
            </m:r>
          </m:e>
          <m:sub>
            <m:r>
              <m:t>f</m:t>
            </m:r>
            <m:r>
              <m:t>,</m:t>
            </m:r>
            <m:r>
              <m:t>ω</m:t>
            </m:r>
          </m:sub>
          <m:sup>
            <m:r>
              <m:rPr>
                <m:sty m:val="p"/>
              </m:rPr>
              <m:t>o</m:t>
            </m:r>
            <m:r>
              <m:rPr>
                <m:sty m:val="p"/>
              </m:rPr>
              <m:t>w</m:t>
            </m:r>
            <m:r>
              <m:rPr>
                <m:sty m:val="p"/>
              </m:rPr>
              <m:t>n</m:t>
            </m:r>
          </m:sup>
        </m:sSubSup>
      </m:oMath>
      <w:r>
        <w:rPr>
          <w:rFonts w:ascii="Times New Roman" w:hAnsi="Times New Roman" w:eastAsia="方正仿宋_GBK"/>
          <w:b w:val="0"/>
          <w:sz w:val="24"/>
        </w:rPr>
        <w:t xml:space="preserve">为馈线</w:t>
      </w:r>
      <m:oMath>
        <m:r>
          <m:t>f</m:t>
        </m:r>
      </m:oMath>
      <w:r>
        <w:rPr>
          <w:rFonts w:ascii="Times New Roman" w:hAnsi="Times New Roman" w:eastAsia="方正仿宋_GBK"/>
          <w:b w:val="0"/>
          <w:sz w:val="24"/>
        </w:rPr>
        <w:t xml:space="preserve">自身可转负荷，</w:t>
      </w:r>
      <m:oMath>
        <m:sSub>
          <m:e>
            <m:r>
              <m:t>F</m:t>
            </m:r>
          </m:e>
          <m:sub>
            <m:r>
              <m:t>f</m:t>
            </m:r>
          </m:sub>
        </m:sSub>
      </m:oMath>
      <w:r>
        <w:rPr>
          <w:rFonts w:ascii="Times New Roman" w:hAnsi="Times New Roman" w:eastAsia="方正仿宋_GBK"/>
          <w:b w:val="0"/>
          <w:sz w:val="24"/>
        </w:rPr>
        <w:t xml:space="preserve">为热限，</w:t>
      </w:r>
      <m:oMath>
        <m:sSubSup>
          <m:e>
            <m:r>
              <m:t>P</m:t>
            </m:r>
          </m:e>
          <m:sub>
            <m:r>
              <m:t>f</m:t>
            </m:r>
            <m:r>
              <m:t>,</m:t>
            </m:r>
            <m:r>
              <m:t>y</m:t>
            </m:r>
          </m:sub>
          <m:sup>
            <m:r>
              <m:rPr>
                <m:sty m:val="p"/>
              </m:rPr>
              <m:t>r</m:t>
            </m:r>
            <m:r>
              <m:rPr>
                <m:sty m:val="p"/>
              </m:rPr>
              <m:t>e</m:t>
            </m:r>
            <m:r>
              <m:rPr>
                <m:sty m:val="p"/>
              </m:rPr>
              <m:t>f</m:t>
            </m:r>
          </m:sup>
        </m:sSubSup>
      </m:oMath>
      <w:r>
        <w:rPr>
          <w:rFonts w:ascii="Times New Roman" w:hAnsi="Times New Roman" w:eastAsia="方正仿宋_GBK"/>
          <w:b w:val="0"/>
          <w:sz w:val="24"/>
        </w:rPr>
        <w:t xml:space="preserve">为接收余量计算采用的馈线负荷。各量单位均为MW，负的接收余量按0处理。送端可转负荷限于该馈线原有负荷块。</w:t>
      </w:r>
    </w:p>
    <w:p>
      <w:pPr>
        <w:pStyle w:val="2"/>
        <w:widowControl/>
        <w:spacing w:line="348" w:lineRule="exact" w:before="0" w:after="0"/>
        <w:ind w:firstLine="480"/>
        <w:jc w:val="both"/>
      </w:pPr>
      <w:r>
        <w:rPr>
          <w:rFonts w:ascii="Times New Roman" w:hAnsi="Times New Roman" w:eastAsia="方正仿宋_GBK"/>
          <w:b w:val="0"/>
          <w:sz w:val="24"/>
        </w:rPr>
        <w:t xml:space="preserve">邳州保留已知存量联络及原付费候选。市区按共同上级电源及间隔资料筛选候选，馈线分配和热限含研究假设。市区没有已核实存量边的部分按新增建设计费，其费用应结合后续存量网络核查解释。</w:t>
      </w:r>
    </w:p>
    <w:p>
      <w:pPr>
        <w:pStyle w:val="2"/>
        <w:widowControl/>
        <w:spacing w:line="348" w:lineRule="exact" w:before="0" w:after="0"/>
        <w:ind w:firstLine="480"/>
        <w:jc w:val="both"/>
      </w:pPr>
      <w:r>
        <w:rPr>
          <w:rFonts w:ascii="Times New Roman" w:hAnsi="Times New Roman" w:eastAsia="方正仿宋_GBK"/>
          <w:b w:val="0"/>
          <w:sz w:val="24"/>
        </w:rPr>
        <w:t xml:space="preserve">新增联络由具体端点、可切换负荷和接收余量共同限定。每条已建设线路的工程投资计取一次，同一项目在多个正常或故障工况中可以重复使用，但各工况分别校核功率。线路投运后持续在役，线路热限保持不变。</w:t>
      </w:r>
    </w:p>
    <w:p>
      <w:pPr>
        <w:pStyle w:val="5"/>
        <w:keepNext/>
        <w:numPr>
          <w:numId w:val="0"/>
        </w:numPr>
        <w:spacing w:line="390" w:lineRule="exact" w:before="160" w:after="120"/>
        <w:ind w:firstLine="0"/>
      </w:pPr>
      <w:bookmarkStart w:id="182" w:name="负荷转接与容量衔接"/>
      <w:r>
        <w:rPr>
          <w:rFonts w:ascii="Times New Roman" w:hAnsi="Times New Roman" w:eastAsia="方正仿宋_GBK"/>
          <w:b/>
          <w:sz w:val="26"/>
        </w:rPr>
        <w:t xml:space="preserve">5.2.4 负荷转接与容量衔接</w:t>
      </w:r>
      <w:bookmarkEnd w:id="182"/>
    </w:p>
    <w:p>
      <w:pPr>
        <w:pStyle w:val="FirstParagraph"/>
        <w:widowControl/>
        <w:spacing w:line="348" w:lineRule="exact" w:before="0" w:after="0"/>
        <w:ind w:firstLine="480"/>
        <w:jc w:val="both"/>
      </w:pPr>
      <w:r>
        <w:rPr>
          <w:rFonts w:ascii="Times New Roman" w:hAnsi="Times New Roman" w:eastAsia="方正仿宋_GBK"/>
          <w:b w:val="0"/>
          <w:sz w:val="24"/>
        </w:rPr>
        <w:t xml:space="preserve">站间转接改变供电归属，区域内部转出与承接总量相等。对每个静态工况，转接后的站级净负荷按下式计算。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P</m:t>
                      </m:r>
                      <m:sSub>
                        <m:e>
                          <m:r>
                            <m:t>′</m:t>
                          </m:r>
                        </m:e>
                        <m:sub>
                          <m:r>
                            <m:t>i</m:t>
                          </m:r>
                          <m:r>
                            <m:t>,</m:t>
                          </m:r>
                          <m:r>
                            <m:t>ω</m:t>
                          </m:r>
                        </m:sub>
                      </m:sSub>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r>
                        <m:t>,</m:t>
                      </m:r>
                    </m:e>
                  </m:mr>
                  <m:mr>
                    <m:e>
                      <m:nary>
                        <m:naryPr>
                          <m:chr m:val="∑"/>
                          <m:limLoc m:val="undOvr"/>
                          <m:subHide m:val="0"/>
                          <m:supHide m:val="1"/>
                        </m:naryPr>
                        <m:sub>
                          <m:r>
                            <m:t>i</m:t>
                          </m:r>
                        </m:sub>
                        <m:sup>
                          <m:r>
                            <m:t>​</m:t>
                          </m:r>
                        </m:sup>
                        <m:e>
                          <m:sSubSup>
                            <m:e>
                              <m:r>
                                <m:t>Q</m:t>
                              </m:r>
                            </m:e>
                            <m:sub>
                              <m:r>
                                <m:t>i</m:t>
                              </m:r>
                              <m:r>
                                <m:t>,</m:t>
                              </m:r>
                              <m:r>
                                <m:t>ω</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ω</m:t>
                              </m:r>
                            </m:sub>
                            <m:sup>
                              <m:r>
                                <m:rPr>
                                  <m:sty m:val="p"/>
                                </m:rPr>
                                <m:t>i</m:t>
                              </m:r>
                              <m:r>
                                <m:rPr>
                                  <m:sty m:val="p"/>
                                </m:rPr>
                                <m:t>n</m:t>
                              </m:r>
                            </m:sup>
                          </m:sSubSup>
                        </m:e>
                      </m:nary>
                      <m:r>
                        <m:t>,</m:t>
                      </m:r>
                    </m:e>
                  </m:mr>
                  <m:mr>
                    <m:e>
                      <m:nary>
                        <m:naryPr>
                          <m:chr m:val="∑"/>
                          <m:limLoc m:val="undOvr"/>
                          <m:subHide m:val="0"/>
                          <m:supHide m:val="1"/>
                        </m:naryPr>
                        <m:sub>
                          <m:r>
                            <m:t>i</m:t>
                          </m:r>
                        </m:sub>
                        <m:sup>
                          <m:r>
                            <m:t>​</m:t>
                          </m:r>
                        </m:sup>
                        <m:e>
                          <m:r>
                            <m:t>P</m:t>
                          </m:r>
                        </m:e>
                      </m:nary>
                      <m:sSub>
                        <m:e>
                          <m:r>
                            <m:t>′</m:t>
                          </m:r>
                        </m:e>
                        <m:sub>
                          <m:r>
                            <m:t>i</m:t>
                          </m:r>
                          <m:r>
                            <m:t>,</m:t>
                          </m:r>
                          <m:r>
                            <m:t>ω</m:t>
                          </m:r>
                        </m:sub>
                      </m:sSub>
                    </m:e>
                    <m:e>
                      <m:r>
                        <m:t>=</m:t>
                      </m:r>
                      <m:nary>
                        <m:naryPr>
                          <m:chr m:val="∑"/>
                          <m:limLoc m:val="undOvr"/>
                          <m:subHide m:val="0"/>
                          <m:supHide m:val="1"/>
                        </m:naryPr>
                        <m:sub>
                          <m:r>
                            <m:t>i</m:t>
                          </m:r>
                        </m:sub>
                        <m:sup>
                          <m:r>
                            <m:t>​</m:t>
                          </m:r>
                        </m:sup>
                        <m:e>
                          <m:sSub>
                            <m:e>
                              <m:r>
                                <m:t>P</m:t>
                              </m:r>
                            </m:e>
                            <m:sub>
                              <m:r>
                                <m:t>i</m:t>
                              </m:r>
                              <m:r>
                                <m:t>,</m:t>
                              </m:r>
                              <m:r>
                                <m:t>ω</m:t>
                              </m:r>
                            </m:sub>
                          </m:sSub>
                        </m:e>
                      </m:nary>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（5-6）</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和</w:t>
      </w:r>
      <m:oMath>
        <m:r>
          <m:t>P</m:t>
        </m:r>
        <m:sSub>
          <m:e>
            <m:r>
              <m:t>′</m:t>
            </m:r>
          </m:e>
          <m:sub>
            <m:r>
              <m:t>i</m:t>
            </m:r>
            <m:r>
              <m:t>,</m:t>
            </m:r>
            <m:r>
              <m:t>ω</m:t>
            </m:r>
          </m:sub>
        </m:sSub>
      </m:oMath>
      <w:r>
        <w:rPr>
          <w:rFonts w:ascii="Times New Roman" w:hAnsi="Times New Roman" w:eastAsia="方正仿宋_GBK"/>
          <w:b w:val="0"/>
          <w:sz w:val="24"/>
        </w:rPr>
        <w:t xml:space="preserve">为站点</w:t>
      </w:r>
      <m:oMath>
        <m:r>
          <m:t>i</m:t>
        </m:r>
      </m:oMath>
      <w:r>
        <w:rPr>
          <w:rFonts w:ascii="Times New Roman" w:hAnsi="Times New Roman" w:eastAsia="方正仿宋_GBK"/>
          <w:b w:val="0"/>
          <w:sz w:val="24"/>
        </w:rPr>
        <w:t xml:space="preserve">在工况</w:t>
      </w:r>
      <m:oMath>
        <m:r>
          <m:t>ω</m:t>
        </m:r>
      </m:oMath>
      <w:r>
        <w:rPr>
          <w:rFonts w:ascii="Times New Roman" w:hAnsi="Times New Roman" w:eastAsia="方正仿宋_GBK"/>
          <w:b w:val="0"/>
          <w:sz w:val="24"/>
        </w:rPr>
        <w:t xml:space="preserve">下转接前后的净负荷，</w:t>
      </w:r>
      <m:oMath>
        <m:sSubSup>
          <m:e>
            <m:r>
              <m:t>Q</m:t>
            </m:r>
          </m:e>
          <m:sub>
            <m:r>
              <m:t>i</m:t>
            </m:r>
            <m:r>
              <m:t>,</m:t>
            </m:r>
            <m:r>
              <m:t>ω</m:t>
            </m:r>
          </m:sub>
          <m:sup>
            <m:r>
              <m:rPr>
                <m:sty m:val="p"/>
              </m:rPr>
              <m:t>o</m:t>
            </m:r>
            <m:r>
              <m:rPr>
                <m:sty m:val="p"/>
              </m:rPr>
              <m:t>u</m:t>
            </m:r>
            <m:r>
              <m:rPr>
                <m:sty m:val="p"/>
              </m:rPr>
              <m:t>t</m:t>
            </m:r>
          </m:sup>
        </m:sSubSup>
      </m:oMath>
      <w:r>
        <w:rPr>
          <w:rFonts w:ascii="Times New Roman" w:hAnsi="Times New Roman" w:eastAsia="方正仿宋_GBK"/>
          <w:b w:val="0"/>
          <w:sz w:val="24"/>
        </w:rPr>
        <w:t xml:space="preserve">和</w:t>
      </w:r>
      <m:oMath>
        <m:sSubSup>
          <m:e>
            <m:r>
              <m:t>Q</m:t>
            </m:r>
          </m:e>
          <m:sub>
            <m:r>
              <m:t>i</m:t>
            </m:r>
            <m:r>
              <m:t>,</m:t>
            </m:r>
            <m:r>
              <m:t>ω</m:t>
            </m:r>
          </m:sub>
          <m:sup>
            <m:r>
              <m:rPr>
                <m:sty m:val="p"/>
              </m:rPr>
              <m:t>i</m:t>
            </m:r>
            <m:r>
              <m:rPr>
                <m:sty m:val="p"/>
              </m:rPr>
              <m:t>n</m:t>
            </m:r>
          </m:sup>
        </m:sSubSup>
      </m:oMath>
      <w:r>
        <w:rPr>
          <w:rFonts w:ascii="Times New Roman" w:hAnsi="Times New Roman" w:eastAsia="方正仿宋_GBK"/>
          <w:b w:val="0"/>
          <w:sz w:val="24"/>
        </w:rPr>
        <w:t xml:space="preserve">为转出及承接负荷，单位均为MW。正向为受电，负向为反送；电源仍归属原站，转出用电负荷可能加重本地反向功率。每个工况使用自身源荷分布，分别校核两方向容量。</w:t>
      </w:r>
    </w:p>
    <w:p>
      <w:pPr>
        <w:pStyle w:val="2"/>
        <w:widowControl/>
        <w:spacing w:line="348" w:lineRule="exact" w:before="0" w:after="0"/>
        <w:ind w:firstLine="480"/>
        <w:jc w:val="both"/>
      </w:pPr>
      <w:r>
        <w:rPr>
          <w:rFonts w:ascii="Times New Roman" w:hAnsi="Times New Roman" w:eastAsia="方正仿宋_GBK"/>
          <w:b w:val="0"/>
          <w:sz w:val="24"/>
        </w:rPr>
        <w:t xml:space="preserve">以同一工况下两站为例，原净负荷分别为80 MW和40 MW，第一站向第二站转接25 MW后，净负荷变为55 MW和65 MW，合计仍为120 MW。这一转接还必须经过已投运线路，并同时满足源端可转负荷、受端馈线余量和两站主变容量要求。</w:t>
      </w:r>
    </w:p>
    <w:p>
      <w:pPr>
        <w:pStyle w:val="5"/>
        <w:keepNext/>
        <w:numPr>
          <w:numId w:val="0"/>
        </w:numPr>
        <w:spacing w:line="390" w:lineRule="exact" w:before="160" w:after="120"/>
        <w:ind w:firstLine="0"/>
      </w:pPr>
      <w:bookmarkStart w:id="183" w:name="储能有效支撑功率"/>
      <w:r>
        <w:rPr>
          <w:rFonts w:ascii="Times New Roman" w:hAnsi="Times New Roman" w:eastAsia="方正仿宋_GBK"/>
          <w:b/>
          <w:sz w:val="26"/>
        </w:rPr>
        <w:t xml:space="preserve">5.2.5 储能有效支撑功率</w:t>
      </w:r>
      <w:bookmarkEnd w:id="183"/>
    </w:p>
    <w:p>
      <w:pPr>
        <w:pStyle w:val="FirstParagraph"/>
        <w:widowControl/>
        <w:spacing w:line="348" w:lineRule="exact" w:before="0" w:after="0"/>
        <w:ind w:firstLine="480"/>
        <w:jc w:val="both"/>
      </w:pPr>
      <w:r>
        <w:rPr>
          <w:rFonts w:ascii="Times New Roman" w:hAnsi="Times New Roman" w:eastAsia="方正仿宋_GBK"/>
          <w:b w:val="0"/>
          <w:sz w:val="24"/>
        </w:rPr>
        <w:t xml:space="preserve">储能支撑同时受额定功率和可用电量限制，正反方向分别采用对应持续时间。</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Sup>
                  <m:e>
                    <m:r>
                      <m:t>B</m:t>
                    </m:r>
                  </m:e>
                  <m:sub>
                    <m:r>
                      <m:t>i</m:t>
                    </m:r>
                  </m:sub>
                  <m:sup>
                    <m:r>
                      <m:t>±</m:t>
                    </m:r>
                  </m:sup>
                </m:sSubSup>
                <m:r>
                  <m:t>=</m:t>
                </m:r>
                <m:r>
                  <m:rPr>
                    <m:nor/>
                    <m:sty m:val="p"/>
                  </m:rPr>
                  <m:t>min</m:t>
                </m:r>
                <m:d>
                  <m:dPr>
                    <m:begChr m:val="{"/>
                    <m:endChr m:val="}"/>
                    <m:grow/>
                  </m:dPr>
                  <m:e>
                    <m:r>
                      <m:t>0.10</m:t>
                    </m:r>
                    <m:sSub>
                      <m:e>
                        <m:r>
                          <m:t>n</m:t>
                        </m:r>
                      </m:e>
                      <m:sub>
                        <m:r>
                          <m:t>i</m:t>
                        </m:r>
                      </m:sub>
                    </m:sSub>
                    <m:r>
                      <m:t>,</m:t>
                    </m:r>
                    <m:f>
                      <m:fPr>
                        <m:type m:val="bar"/>
                      </m:fPr>
                      <m:num>
                        <m:r>
                          <m:t>0.215</m:t>
                        </m:r>
                        <m:r>
                          <m:t>×</m:t>
                        </m:r>
                        <m:r>
                          <m:t>0.76</m:t>
                        </m:r>
                        <m:sSub>
                          <m:e>
                            <m:r>
                              <m:t>n</m:t>
                            </m:r>
                          </m:e>
                          <m:sub>
                            <m:r>
                              <m:t>i</m:t>
                            </m:r>
                          </m:sub>
                        </m:sSub>
                      </m:num>
                      <m:den>
                        <m:sSubSup>
                          <m:e>
                            <m:r>
                              <m:t>H</m:t>
                            </m:r>
                          </m:e>
                          <m:sub>
                            <m:r>
                              <m:t>i</m:t>
                            </m:r>
                          </m:sub>
                          <m:sup>
                            <m:r>
                              <m:t>±</m:t>
                            </m:r>
                          </m:sup>
                        </m:sSubSup>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（5-7）</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Sup>
          <m:e>
            <m:r>
              <m:t>H</m:t>
            </m:r>
          </m:e>
          <m:sub>
            <m:r>
              <m:t>i</m:t>
            </m:r>
          </m:sub>
          <m:sup>
            <m:r>
              <m:t>±</m:t>
            </m:r>
          </m:sup>
        </m:sSubSup>
      </m:oMath>
      <w:r>
        <w:rPr>
          <w:rFonts w:ascii="Times New Roman" w:hAnsi="Times New Roman" w:eastAsia="方正仿宋_GBK"/>
          <w:b w:val="0"/>
          <w:sz w:val="24"/>
        </w:rPr>
        <w:t xml:space="preserve">为正向支撑或反向吸收持续时间，单位h；</w:t>
      </w:r>
      <m:oMath>
        <m:sSubSup>
          <m:e>
            <m:r>
              <m:t>B</m:t>
            </m:r>
          </m:e>
          <m:sub>
            <m:r>
              <m:t>i</m:t>
            </m:r>
          </m:sub>
          <m:sup>
            <m:r>
              <m:t>±</m:t>
            </m:r>
          </m:sup>
        </m:sSubSup>
      </m:oMath>
      <w:r>
        <w:rPr>
          <w:rFonts w:ascii="Times New Roman" w:hAnsi="Times New Roman" w:eastAsia="方正仿宋_GBK"/>
          <w:b w:val="0"/>
          <w:sz w:val="24"/>
        </w:rPr>
        <w:t xml:space="preserve">为相应有效功率，单位MW。4 h条件下每柜可提供0.04085 MW的静态支撑。工程应用条件见第4.4.4节。</w:t>
      </w:r>
    </w:p>
    <w:p>
      <w:pPr>
        <w:pStyle w:val="4"/>
        <w:keepNext/>
        <w:numPr>
          <w:numId w:val="0"/>
        </w:numPr>
        <w:spacing w:line="480" w:lineRule="exact" w:before="160" w:after="120"/>
        <w:ind w:firstLine="0"/>
      </w:pPr>
      <w:bookmarkStart w:id="1548" w:name="h548"/>
      <w:bookmarkStart w:id="184" w:name="约束条件与求解流程"/>
      <w:r>
        <w:rPr>
          <w:rFonts w:ascii="Times New Roman" w:hAnsi="Times New Roman" w:eastAsia="方正仿宋_GBK"/>
          <w:b/>
          <w:sz w:val="32"/>
        </w:rPr>
        <w:t xml:space="preserve">5.3 约束条件与求解流程</w:t>
      </w:r>
      <w:bookmarkEnd w:id="184"/>
      <w:bookmarkEnd w:id="1548"/>
    </w:p>
    <w:p>
      <w:pPr>
        <w:pStyle w:val="5"/>
        <w:keepNext/>
        <w:numPr>
          <w:numId w:val="0"/>
        </w:numPr>
        <w:spacing w:line="390" w:lineRule="exact" w:before="160" w:after="120"/>
        <w:ind w:firstLine="0"/>
      </w:pPr>
      <w:bookmarkStart w:id="185" w:name="正常运行与主变n-1"/>
      <w:r>
        <w:rPr>
          <w:rFonts w:ascii="Times New Roman" w:hAnsi="Times New Roman" w:eastAsia="方正仿宋_GBK"/>
          <w:b/>
          <w:sz w:val="26"/>
        </w:rPr>
        <w:t xml:space="preserve">5.3.1 正常运行与主变N-1</w:t>
      </w:r>
      <w:bookmarkEnd w:id="185"/>
    </w:p>
    <w:p>
      <w:pPr>
        <w:pStyle w:val="FirstParagraph"/>
        <w:widowControl/>
        <w:spacing w:line="348" w:lineRule="exact" w:before="0" w:after="0"/>
        <w:ind w:firstLine="480"/>
        <w:jc w:val="both"/>
      </w:pPr>
      <w:r>
        <w:rPr>
          <w:rFonts w:ascii="Times New Roman" w:hAnsi="Times New Roman" w:eastAsia="方正仿宋_GBK"/>
          <w:b w:val="0"/>
          <w:sz w:val="24"/>
        </w:rPr>
        <w:t xml:space="preserve">每个静态工况分别校核正常运行及各站主变N-1。故障站按剩余主变容量计算，健康邻站保留全部主变，允许通过已投运线路重新安排负荷。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e>
                    <m:e>
                      <m:r>
                        <m:t>≤</m:t>
                      </m:r>
                      <m:sSub>
                        <m:e>
                          <m:r>
                            <m:t>P</m:t>
                          </m:r>
                        </m:e>
                        <m:sub>
                          <m:r>
                            <m:t>i</m:t>
                          </m:r>
                          <m:r>
                            <m:t>,</m:t>
                          </m:r>
                          <m:r>
                            <m:t>ω</m:t>
                          </m:r>
                        </m:sub>
                      </m:sSub>
                      <m:r>
                        <m:t>−</m:t>
                      </m:r>
                      <m:sSubSup>
                        <m:e>
                          <m:r>
                            <m:t>q</m:t>
                          </m:r>
                        </m:e>
                        <m:sub>
                          <m:r>
                            <m:t>i</m:t>
                          </m:r>
                          <m:r>
                            <m:t>,</m:t>
                          </m:r>
                          <m:r>
                            <m:t>ω</m:t>
                          </m:r>
                        </m:sub>
                        <m:sup>
                          <m:r>
                            <m:rPr>
                              <m:sty m:val="p"/>
                            </m:rPr>
                            <m:t>o</m:t>
                          </m:r>
                          <m:r>
                            <m:rPr>
                              <m:sty m:val="p"/>
                            </m:rPr>
                            <m:t>u</m:t>
                          </m:r>
                          <m:r>
                            <m:rPr>
                              <m:sty m:val="p"/>
                            </m:rPr>
                            <m:t>t</m:t>
                          </m:r>
                        </m:sup>
                      </m:sSubSup>
                      <m:r>
                        <m:t>+</m:t>
                      </m:r>
                      <m:sSubSup>
                        <m:e>
                          <m:r>
                            <m:t>q</m:t>
                          </m:r>
                        </m:e>
                        <m:sub>
                          <m:r>
                            <m:t>i</m:t>
                          </m:r>
                          <m:r>
                            <m:t>,</m:t>
                          </m:r>
                          <m:r>
                            <m:t>ω</m:t>
                          </m:r>
                        </m:sub>
                        <m:sup>
                          <m:r>
                            <m:rPr>
                              <m:sty m:val="p"/>
                            </m:rPr>
                            <m:t>i</m:t>
                          </m:r>
                          <m:r>
                            <m:rPr>
                              <m:sty m:val="p"/>
                            </m:rPr>
                            <m:t>n</m:t>
                          </m:r>
                        </m:sup>
                      </m:sSubSup>
                    </m:e>
                  </m:mr>
                  <m:mr>
                    <m:e/>
                    <m:e>
                      <m:r>
                        <m:t>≤</m:t>
                      </m:r>
                      <m:r>
                        <m:rPr>
                          <m:nor/>
                          <m:sty m:val="p"/>
                        </m:rPr>
                        <m:t>cos</m:t>
                      </m:r>
                      <m:r>
                        <m:t>φ</m:t>
                      </m:r>
                      <m:r>
                        <m:t> </m:t>
                      </m:r>
                      <m:sSubSup>
                        <m:e>
                          <m:r>
                            <m:t>S</m:t>
                          </m:r>
                        </m:e>
                        <m:sub>
                          <m:r>
                            <m:t>i</m:t>
                          </m:r>
                          <m:r>
                            <m:t>,</m:t>
                          </m:r>
                          <m:r>
                            <m:t>ω</m:t>
                          </m:r>
                        </m:sub>
                        <m:sup>
                          <m:r>
                            <m:rPr>
                              <m:sty m:val="p"/>
                            </m:rPr>
                            <m:t>a</m:t>
                          </m:r>
                          <m:r>
                            <m:rPr>
                              <m:sty m:val="p"/>
                            </m:rPr>
                            <m:t>v</m:t>
                          </m:r>
                        </m:sup>
                      </m:sSubSup>
                      <m:r>
                        <m:t>+</m:t>
                      </m:r>
                      <m:sSubSup>
                        <m:e>
                          <m:r>
                            <m:t>B</m:t>
                          </m:r>
                        </m:e>
                        <m:sub>
                          <m:r>
                            <m:t>i</m:t>
                          </m:r>
                        </m:sub>
                        <m:sup>
                          <m:r>
                            <m:t>+</m:t>
                          </m:r>
                        </m:sup>
                      </m:sSubSup>
                      <m:r>
                        <m:t>,</m:t>
                      </m:r>
                    </m:e>
                  </m:mr>
                  <m:mr>
                    <m:e>
                      <m:sSubSup>
                        <m:e>
                          <m:r>
                            <m:t>S</m:t>
                          </m:r>
                        </m:e>
                        <m:sub>
                          <m:r>
                            <m:t>i</m:t>
                          </m:r>
                          <m:r>
                            <m:t>,</m:t>
                          </m:r>
                          <m:r>
                            <m:t>ω</m:t>
                          </m:r>
                        </m:sub>
                        <m:sup>
                          <m:r>
                            <m:rPr>
                              <m:sty m:val="p"/>
                            </m:rPr>
                            <m:t>a</m:t>
                          </m:r>
                          <m:r>
                            <m:rPr>
                              <m:sty m:val="p"/>
                            </m:rPr>
                            <m:t>v</m:t>
                          </m:r>
                        </m:sup>
                      </m:sSubSup>
                    </m:e>
                    <m:e>
                      <m:r>
                        <m:t>=</m:t>
                      </m:r>
                      <m:sSub>
                        <m:e>
                          <m:r>
                            <m:t>S</m:t>
                          </m:r>
                        </m:e>
                        <m:sub>
                          <m:r>
                            <m:t>i</m:t>
                          </m:r>
                        </m:sub>
                      </m:sSub>
                      <m:r>
                        <m:t>−</m:t>
                      </m:r>
                      <m:sSub>
                        <m:e>
                          <m:r>
                            <m:rPr>
                              <m:sty m:val="b"/>
                            </m:rPr>
                            <m:t>1</m:t>
                          </m:r>
                        </m:e>
                        <m:sub>
                          <m:r>
                            <m:t>i</m:t>
                          </m:r>
                          <m:r>
                            <m:rPr>
                              <m:nor/>
                              <m:sty m:val="p"/>
                            </m:rPr>
                            <m:t>为故障站</m:t>
                          </m:r>
                        </m:sub>
                      </m:sSub>
                      <m:limLow>
                        <m:e>
                          <m:r>
                            <m:rPr>
                              <m:nor/>
                              <m:sty m:val="p"/>
                            </m:rPr>
                            <m:t>max</m:t>
                          </m:r>
                        </m:e>
                        <m:lim>
                          <m:r>
                            <m:t>j</m:t>
                          </m:r>
                        </m:lim>
                      </m:limLow>
                      <m:sSub>
                        <m:e>
                          <m:r>
                            <m:t>S</m:t>
                          </m:r>
                        </m:e>
                        <m:sub>
                          <m:r>
                            <m:t>i</m:t>
                          </m:r>
                          <m:r>
                            <m:t>,</m:t>
                          </m:r>
                          <m:r>
                            <m:t>j</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（5-8）</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P</m:t>
            </m:r>
          </m:e>
          <m:sub>
            <m:r>
              <m:t>i</m:t>
            </m:r>
            <m:r>
              <m:t>,</m:t>
            </m:r>
            <m:r>
              <m:t>ω</m:t>
            </m:r>
          </m:sub>
        </m:sSub>
      </m:oMath>
      <w:r>
        <w:rPr>
          <w:rFonts w:ascii="Times New Roman" w:hAnsi="Times New Roman" w:eastAsia="方正仿宋_GBK"/>
          <w:b w:val="0"/>
          <w:sz w:val="24"/>
        </w:rPr>
        <w:t xml:space="preserve">为带符号的站级净负荷，受入为正、反送为负；</w:t>
      </w:r>
      <m:oMath>
        <m:sSubSup>
          <m:e>
            <m:r>
              <m:t>S</m:t>
            </m:r>
          </m:e>
          <m:sub>
            <m:r>
              <m:t>i</m:t>
            </m:r>
            <m:r>
              <m:t>,</m:t>
            </m:r>
            <m:r>
              <m:t>ω</m:t>
            </m:r>
          </m:sub>
          <m:sup>
            <m:r>
              <m:rPr>
                <m:sty m:val="p"/>
              </m:rPr>
              <m:t>a</m:t>
            </m:r>
            <m:r>
              <m:rPr>
                <m:sty m:val="p"/>
              </m:rPr>
              <m:t>v</m:t>
            </m:r>
          </m:sup>
        </m:sSubSup>
      </m:oMath>
      <w:r>
        <w:rPr>
          <w:rFonts w:ascii="Times New Roman" w:hAnsi="Times New Roman" w:eastAsia="方正仿宋_GBK"/>
          <w:b w:val="0"/>
          <w:sz w:val="24"/>
        </w:rPr>
        <w:t xml:space="preserve">为工况下可用主变容量。正常及N-1场景共用同一建设方案，分别校核馈线和接收站能力。区县内部转出、转入功率合计相等，区域网供峰值的统计定义保持不变。</w:t>
      </w:r>
    </w:p>
    <w:p>
      <w:pPr>
        <w:pStyle w:val="5"/>
        <w:keepNext/>
        <w:numPr>
          <w:numId w:val="0"/>
        </w:numPr>
        <w:spacing w:line="390" w:lineRule="exact" w:before="160" w:after="120"/>
        <w:ind w:firstLine="0"/>
      </w:pPr>
      <w:bookmarkStart w:id="186" w:name="评价期费用目标"/>
      <w:r>
        <w:rPr>
          <w:rFonts w:ascii="Times New Roman" w:hAnsi="Times New Roman" w:eastAsia="方正仿宋_GBK"/>
          <w:b/>
          <w:sz w:val="26"/>
        </w:rPr>
        <w:t xml:space="preserve">5.3.2 评价期费用目标</w:t>
      </w:r>
      <w:bookmarkEnd w:id="186"/>
    </w:p>
    <w:p>
      <w:pPr>
        <w:pStyle w:val="FirstParagraph"/>
        <w:widowControl/>
        <w:spacing w:line="348" w:lineRule="exact" w:before="0" w:after="0"/>
        <w:ind w:firstLine="480"/>
        <w:jc w:val="both"/>
      </w:pPr>
      <w:r>
        <w:rPr>
          <w:rFonts w:ascii="Times New Roman" w:hAnsi="Times New Roman" w:eastAsia="方正仿宋_GBK"/>
          <w:b w:val="0"/>
          <w:sz w:val="24"/>
        </w:rPr>
        <w:t xml:space="preserve">目标为共同评价期内新增措施费用现值最小。工程投运当年计建设投资，次年起计固定运维，评价期内达到设定寿命的设备按统一规则更新。价格、寿命、维护费率和折现率采用第四章参数。</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r>
                        <m:rPr>
                          <m:nor/>
                          <m:sty m:val="p"/>
                        </m:rPr>
                        <m:t>min</m:t>
                      </m:r>
                      <m:sSub>
                        <m:e>
                          <m:r>
                            <m:t>C</m:t>
                          </m:r>
                        </m:e>
                        <m:sub>
                          <m:r>
                            <m:rPr>
                              <m:sty m:val="p"/>
                            </m:rPr>
                            <m:t>p</m:t>
                          </m:r>
                          <m:r>
                            <m:rPr>
                              <m:sty m:val="p"/>
                            </m:rPr>
                            <m:t>l</m:t>
                          </m:r>
                          <m:r>
                            <m:rPr>
                              <m:sty m:val="p"/>
                            </m:rPr>
                            <m:t>a</m:t>
                          </m:r>
                          <m:r>
                            <m:rPr>
                              <m:sty m:val="p"/>
                            </m:rPr>
                            <m:t>n</m:t>
                          </m:r>
                        </m:sub>
                      </m:sSub>
                      <m:r>
                        <m:t>=</m:t>
                      </m:r>
                      <m:nary>
                        <m:naryPr>
                          <m:chr m:val="∑"/>
                          <m:limLoc m:val="undOvr"/>
                          <m:subHide m:val="0"/>
                          <m:supHide m:val="1"/>
                        </m:naryPr>
                        <m:sub>
                          <m:r>
                            <m:t>y</m:t>
                          </m:r>
                        </m:sub>
                        <m:sup>
                          <m:r>
                            <m:t>​</m:t>
                          </m:r>
                        </m:sup>
                        <m:e>
                          <m:r>
                            <m:t>[</m:t>
                          </m:r>
                        </m:e>
                      </m:nary>
                    </m:e>
                    <m:e>
                      <m:sSub>
                        <m:e>
                          <m:r>
                            <m:t>I</m:t>
                          </m:r>
                        </m:e>
                        <m:sub>
                          <m:r>
                            <m:t>T</m:t>
                          </m:r>
                          <m:r>
                            <m:t>,</m:t>
                          </m:r>
                          <m:r>
                            <m:t>y</m:t>
                          </m:r>
                        </m:sub>
                      </m:sSub>
                      <m:sSub>
                        <m:e>
                          <m:r>
                            <m:t>A</m:t>
                          </m:r>
                        </m:e>
                        <m:sub>
                          <m:r>
                            <m:t>T</m:t>
                          </m:r>
                        </m:sub>
                      </m:sSub>
                      <m:r>
                        <m:t>(</m:t>
                      </m:r>
                      <m:r>
                        <m:t>y</m:t>
                      </m:r>
                      <m:r>
                        <m:t>)</m:t>
                      </m:r>
                      <m:r>
                        <m:t>+</m:t>
                      </m:r>
                      <m:sSub>
                        <m:e>
                          <m:r>
                            <m:t>I</m:t>
                          </m:r>
                        </m:e>
                        <m:sub>
                          <m:r>
                            <m:t>B</m:t>
                          </m:r>
                          <m:r>
                            <m:t>,</m:t>
                          </m:r>
                          <m:r>
                            <m:t>y</m:t>
                          </m:r>
                        </m:sub>
                      </m:sSub>
                      <m:sSub>
                        <m:e>
                          <m:r>
                            <m:t>A</m:t>
                          </m:r>
                        </m:e>
                        <m:sub>
                          <m:r>
                            <m:t>B</m:t>
                          </m:r>
                        </m:sub>
                      </m:sSub>
                      <m:r>
                        <m:t>(</m:t>
                      </m:r>
                      <m:r>
                        <m:t>y</m:t>
                      </m:r>
                      <m:r>
                        <m:t>)</m:t>
                      </m:r>
                    </m:e>
                  </m:mr>
                  <m:mr>
                    <m:e/>
                    <m:e>
                      <m:r>
                        <m:t>+</m:t>
                      </m:r>
                      <m:sSub>
                        <m:e>
                          <m:r>
                            <m:t>I</m:t>
                          </m:r>
                        </m:e>
                        <m:sub>
                          <m:r>
                            <m:t>L</m:t>
                          </m:r>
                          <m:r>
                            <m:t>,</m:t>
                          </m:r>
                          <m:r>
                            <m:t>y</m:t>
                          </m:r>
                        </m:sub>
                      </m:sSub>
                      <m:sSub>
                        <m:e>
                          <m:r>
                            <m:t>A</m:t>
                          </m:r>
                        </m:e>
                        <m:sub>
                          <m:r>
                            <m:t>L</m:t>
                          </m:r>
                        </m:sub>
                      </m:sSub>
                      <m:r>
                        <m:t>(</m:t>
                      </m:r>
                      <m:r>
                        <m:t>y</m:t>
                      </m:r>
                      <m:r>
                        <m:t>)</m:t>
                      </m:r>
                      <m:r>
                        <m:t>]</m:t>
                      </m:r>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（5-9）</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I</m:t>
            </m:r>
          </m:e>
          <m:sub>
            <m:r>
              <m:t>T</m:t>
            </m:r>
            <m:r>
              <m:t>,</m:t>
            </m:r>
            <m:r>
              <m:t>y</m:t>
            </m:r>
          </m:sub>
        </m:sSub>
      </m:oMath>
      <w:r>
        <w:rPr>
          <w:rFonts w:ascii="Times New Roman" w:hAnsi="Times New Roman" w:eastAsia="方正仿宋_GBK"/>
          <w:b w:val="0"/>
          <w:sz w:val="24"/>
        </w:rPr>
        <w:t xml:space="preserve">、</w:t>
      </w:r>
      <m:oMath>
        <m:sSub>
          <m:e>
            <m:r>
              <m:t>I</m:t>
            </m:r>
          </m:e>
          <m:sub>
            <m:r>
              <m:t>B</m:t>
            </m:r>
            <m:r>
              <m:t>,</m:t>
            </m:r>
            <m:r>
              <m:t>y</m:t>
            </m:r>
          </m:sub>
        </m:sSub>
      </m:oMath>
      <w:r>
        <w:rPr>
          <w:rFonts w:ascii="Times New Roman" w:hAnsi="Times New Roman" w:eastAsia="方正仿宋_GBK"/>
          <w:b w:val="0"/>
          <w:sz w:val="24"/>
        </w:rPr>
        <w:t xml:space="preserve">、</w:t>
      </w:r>
      <m:oMath>
        <m:sSub>
          <m:e>
            <m:r>
              <m:t>I</m:t>
            </m:r>
          </m:e>
          <m:sub>
            <m:r>
              <m:t>L</m:t>
            </m:r>
            <m:r>
              <m:t>,</m:t>
            </m:r>
            <m:r>
              <m:t>y</m:t>
            </m:r>
          </m:sub>
        </m:sSub>
      </m:oMath>
      <w:r>
        <w:rPr>
          <w:rFonts w:ascii="Times New Roman" w:hAnsi="Times New Roman" w:eastAsia="方正仿宋_GBK"/>
          <w:b w:val="0"/>
          <w:sz w:val="24"/>
        </w:rPr>
        <w:t xml:space="preserve">分别为当年新增主变、储能及联络建设投资，</w:t>
      </w:r>
      <m:oMath>
        <m:sSub>
          <m:e>
            <m:r>
              <m:t>A</m:t>
            </m:r>
          </m:e>
          <m:sub>
            <m:r>
              <m:t>T</m:t>
            </m:r>
          </m:sub>
        </m:sSub>
      </m:oMath>
      <w:r>
        <w:rPr>
          <w:rFonts w:ascii="Times New Roman" w:hAnsi="Times New Roman" w:eastAsia="方正仿宋_GBK"/>
          <w:b w:val="0"/>
          <w:sz w:val="24"/>
        </w:rPr>
        <w:t xml:space="preserve">、</w:t>
      </w:r>
      <m:oMath>
        <m:sSub>
          <m:e>
            <m:r>
              <m:t>A</m:t>
            </m:r>
          </m:e>
          <m:sub>
            <m:r>
              <m:t>B</m:t>
            </m:r>
          </m:sub>
        </m:sSub>
      </m:oMath>
      <w:r>
        <w:rPr>
          <w:rFonts w:ascii="Times New Roman" w:hAnsi="Times New Roman" w:eastAsia="方正仿宋_GBK"/>
          <w:b w:val="0"/>
          <w:sz w:val="24"/>
        </w:rPr>
        <w:t xml:space="preserve">、</w:t>
      </w:r>
      <m:oMath>
        <m:sSub>
          <m:e>
            <m:r>
              <m:t>A</m:t>
            </m:r>
          </m:e>
          <m:sub>
            <m:r>
              <m:t>L</m:t>
            </m:r>
          </m:sub>
        </m:sSub>
      </m:oMath>
      <w:r>
        <w:rPr>
          <w:rFonts w:ascii="Times New Roman" w:hAnsi="Times New Roman" w:eastAsia="方正仿宋_GBK"/>
          <w:b w:val="0"/>
          <w:sz w:val="24"/>
        </w:rPr>
        <w:t xml:space="preserve">为相应费用现值因子。供电裕度作为技术约束。相同费用附近可能存在多种可行设备组合。</w:t>
      </w:r>
    </w:p>
    <w:p>
      <w:pPr>
        <w:pStyle w:val="5"/>
        <w:keepNext/>
        <w:numPr>
          <w:numId w:val="0"/>
        </w:numPr>
        <w:spacing w:line="390" w:lineRule="exact" w:before="160" w:after="120"/>
        <w:ind w:firstLine="0"/>
      </w:pPr>
      <w:bookmarkStart w:id="187" w:name="三类措施的约束寻优流程"/>
      <w:r>
        <w:rPr>
          <w:rFonts w:ascii="Times New Roman" w:hAnsi="Times New Roman" w:eastAsia="方正仿宋_GBK"/>
          <w:b/>
          <w:sz w:val="26"/>
        </w:rPr>
        <w:t xml:space="preserve">5.3.3 三类措施的约束寻优流程</w:t>
      </w:r>
      <w:bookmarkEnd w:id="187"/>
    </w:p>
    <w:p>
      <w:pPr>
        <w:pStyle w:val="FirstParagraph"/>
        <w:widowControl/>
        <w:spacing w:line="348" w:lineRule="exact" w:before="0" w:after="0"/>
        <w:ind w:firstLine="480"/>
        <w:jc w:val="both"/>
      </w:pPr>
      <w:r>
        <w:rPr>
          <w:rFonts w:ascii="Times New Roman" w:hAnsi="Times New Roman" w:eastAsia="方正仿宋_GBK"/>
          <w:b w:val="0"/>
          <w:sz w:val="24"/>
        </w:rPr>
        <w:t xml:space="preserve">计算结果按设备状态、容量非减、功率平衡、馈线共享余量、接收站容量及费用分项逐项复核，并以独立网络算法检查各静态工况的可行性。</w:t>
      </w:r>
    </w:p>
    <w:p>
      <w:pPr>
        <w:pStyle w:val="2"/>
        <w:widowControl/>
        <w:spacing w:line="348" w:lineRule="exact" w:before="0" w:after="0"/>
        <w:ind w:firstLine="480"/>
        <w:jc w:val="both"/>
      </w:pPr>
      <w:r>
        <w:rPr>
          <w:rFonts w:ascii="Times New Roman" w:hAnsi="Times New Roman" w:eastAsia="方正仿宋_GBK"/>
          <w:b w:val="0"/>
          <w:sz w:val="24"/>
        </w:rPr>
        <w:t xml:space="preserve">正文比较通过设备与网络约束校核的可行方案，费用对应所列建设配置。求解精度及经济比较核验记录见配套资料。</w:t>
      </w:r>
    </w:p>
    <w:p>
      <w:pPr>
        <w:pStyle w:val="2"/>
        <w:widowControl/>
        <w:spacing w:line="348" w:lineRule="exact" w:before="0" w:after="0"/>
        <w:ind w:firstLine="480"/>
        <w:jc w:val="both"/>
      </w:pPr>
      <w:r>
        <w:rPr>
          <w:rFonts w:ascii="Times New Roman" w:hAnsi="Times New Roman" w:eastAsia="方正仿宋_GBK"/>
          <w:b w:val="0"/>
          <w:sz w:val="24"/>
        </w:rPr>
        <w:t xml:space="preserve">逐年寻优先载入共同初始设备和实际年度负荷，再建立允许的主变规格、扩建位置、储能柜数与联络投运状态。正常和各站最大单台主变N-1分别使用同一套建设状态，运行转接变量随工况变化。投运设备在后续年份持续在役。</w:t>
      </w:r>
    </w:p>
    <w:p>
      <w:pPr>
        <w:pStyle w:val="2"/>
        <w:widowControl/>
        <w:spacing w:line="348" w:lineRule="exact" w:before="0" w:after="0"/>
        <w:ind w:firstLine="480"/>
        <w:jc w:val="both"/>
      </w:pPr>
      <w:r>
        <w:rPr>
          <w:rFonts w:ascii="Times New Roman" w:hAnsi="Times New Roman" w:eastAsia="方正仿宋_GBK"/>
          <w:b w:val="0"/>
          <w:sz w:val="24"/>
        </w:rPr>
        <w:t xml:space="preserve">设备选择和投运状态采用整数变量，转供功率采用连续变量。费用最小是唯一经济目标；容量储备通过规划约束体现。取得候选后，将年度容量、采购容量、储能和线路工程分别汇总，再按第四章现金流复算费用，检查所列工程与经济结论是否对应。</w:t>
      </w:r>
    </w:p>
    <w:p>
      <w:pPr>
        <w:pStyle w:val="4"/>
        <w:keepNext/>
        <w:numPr>
          <w:numId w:val="0"/>
        </w:numPr>
        <w:spacing w:line="480" w:lineRule="exact" w:before="160" w:after="120"/>
        <w:ind w:firstLine="0"/>
      </w:pPr>
      <w:bookmarkStart w:id="1560" w:name="h560"/>
      <w:bookmarkStart w:id="188" w:name="寻优结果"/>
      <w:r>
        <w:rPr>
          <w:rFonts w:ascii="Times New Roman" w:hAnsi="Times New Roman" w:eastAsia="方正仿宋_GBK"/>
          <w:b/>
          <w:sz w:val="32"/>
        </w:rPr>
        <w:t xml:space="preserve">5.4 寻优结果</w:t>
      </w:r>
      <w:bookmarkEnd w:id="188"/>
      <w:bookmarkEnd w:id="1560"/>
    </w:p>
    <w:p>
      <w:pPr>
        <w:pStyle w:val="5"/>
        <w:keepNext/>
        <w:numPr>
          <w:numId w:val="0"/>
        </w:numPr>
        <w:spacing w:line="390" w:lineRule="exact" w:before="160" w:after="120"/>
        <w:ind w:firstLine="0"/>
      </w:pPr>
      <w:bookmarkStart w:id="189" w:name="邳州逐年方案"/>
      <w:r>
        <w:rPr>
          <w:rFonts w:ascii="Times New Roman" w:hAnsi="Times New Roman" w:eastAsia="方正仿宋_GBK"/>
          <w:b/>
          <w:sz w:val="26"/>
        </w:rPr>
        <w:t xml:space="preserve">5.4.1 邳州逐年方案</w:t>
      </w:r>
      <w:bookmarkEnd w:id="189"/>
    </w:p>
    <w:p>
      <w:pPr>
        <w:pStyle w:val="FirstParagraph"/>
        <w:widowControl/>
        <w:spacing w:line="348" w:lineRule="exact" w:before="0" w:after="0"/>
        <w:ind w:firstLine="480"/>
        <w:jc w:val="both"/>
      </w:pPr>
      <w:r>
        <w:rPr>
          <w:rFonts w:ascii="Times New Roman" w:hAnsi="Times New Roman" w:eastAsia="方正仿宋_GBK"/>
          <w:b w:val="0"/>
          <w:sz w:val="24"/>
        </w:rPr>
        <w:t xml:space="preserve">邳州弹性方案2025年主变总容量为1955.50 MVA，容载比为2.04，累计建设联络30条，储能额定功率为0.00 MW。刚性方案同期容载比为1.86。逐年变化同时受实际负荷起伏与离散设备投运影响。</w:t>
      </w:r>
    </w:p>
    <w:p>
      <w:pPr>
        <w:pStyle w:val="2"/>
        <w:keepNext/>
        <w:spacing w:line="280" w:lineRule="exact" w:before="120" w:after="80"/>
        <w:ind w:firstLine="0"/>
        <w:jc w:val="center"/>
      </w:pPr>
      <w:r>
        <w:rPr>
          <w:rFonts w:ascii="Times New Roman" w:hAnsi="Times New Roman" w:eastAsia="宋体"/>
          <w:b w:val="0"/>
          <w:sz w:val="21"/>
        </w:rPr>
        <w:t xml:space="preserve">表5-4 邳州逐年容量及措施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825.00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761.23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862.66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956.45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2.04</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r>
    </w:tbl>
    <w:p>
      <w:pPr>
        <w:pStyle w:val="2"/>
        <w:keepNext/>
        <w:spacing w:line="280" w:lineRule="exact" w:before="120" w:after="80"/>
        <w:ind w:firstLine="0"/>
        <w:jc w:val="center"/>
      </w:pPr>
      <w:r>
        <w:rPr>
          <w:rFonts w:ascii="Times New Roman" w:hAnsi="Times New Roman" w:eastAsia="宋体"/>
          <w:b w:val="0"/>
          <w:sz w:val="21"/>
        </w:rPr>
        <w:t xml:space="preserve">表5-5 邳州逐年新增工程与费用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459.50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22822.84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3847.56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469.00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23805.05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257.87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1903.06</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的年度表同时列出在役容量与当年新增工程。净增容量说明容量储备增加多少，新购容量说明更换和扩建所需采购多少设备。负荷回落年份即使不新增主变，容载比也可能升高；后续负荷恢复时，前期投运设备继续满足相应需求。</w:t>
      </w:r>
    </w:p>
    <w:p>
      <w:pPr>
        <w:pStyle w:val="5"/>
        <w:keepNext/>
        <w:numPr>
          <w:numId w:val="0"/>
        </w:numPr>
        <w:spacing w:line="390" w:lineRule="exact" w:before="160" w:after="120"/>
        <w:ind w:firstLine="0"/>
      </w:pPr>
      <w:bookmarkStart w:id="190" w:name="市区逐年方案"/>
      <w:r>
        <w:rPr>
          <w:rFonts w:ascii="Times New Roman" w:hAnsi="Times New Roman" w:eastAsia="方正仿宋_GBK"/>
          <w:b/>
          <w:sz w:val="26"/>
        </w:rPr>
        <w:t xml:space="preserve">5.4.2 市区逐年方案</w:t>
      </w:r>
      <w:bookmarkEnd w:id="190"/>
    </w:p>
    <w:p>
      <w:pPr>
        <w:pStyle w:val="FirstParagraph"/>
        <w:widowControl/>
        <w:spacing w:line="348" w:lineRule="exact" w:before="0" w:after="0"/>
        <w:ind w:firstLine="480"/>
        <w:jc w:val="both"/>
      </w:pPr>
      <w:r>
        <w:rPr>
          <w:rFonts w:ascii="Times New Roman" w:hAnsi="Times New Roman" w:eastAsia="方正仿宋_GBK"/>
          <w:b w:val="0"/>
          <w:sz w:val="24"/>
        </w:rPr>
        <w:t xml:space="preserve">市区弹性方案2025年主变总容量为3324.00 MVA，容载比为2.17，累计建设联络64条，储能额定功率为0.50 MW。刚性方案同期容载比为1.92。逐年变化同时受实际负荷起伏与离散设备投运影响。2022年、2024年刚性容载比超过2.00，均属于负荷回落时既有容量形成的被动超限；当年未据此新增主变容量。</w:t>
      </w:r>
    </w:p>
    <w:p>
      <w:pPr>
        <w:pStyle w:val="2"/>
        <w:keepNext/>
        <w:spacing w:line="280" w:lineRule="exact" w:before="120" w:after="80"/>
        <w:ind w:firstLine="0"/>
        <w:jc w:val="center"/>
      </w:pPr>
      <w:r>
        <w:rPr>
          <w:rFonts w:ascii="Times New Roman" w:hAnsi="Times New Roman" w:eastAsia="宋体"/>
          <w:b w:val="0"/>
          <w:sz w:val="21"/>
        </w:rPr>
        <w:t xml:space="preserve">表5-6 市区逐年容量及措施</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年网供最大负荷/MW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累计新线/条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1432.37</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1449.40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1528.82</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75840"/>
            <wp:effectExtent b="0" l="0" r="0" t="0"/>
            <wp:docPr descr="" title="" id="1" name="Picture"/>
            <a:graphic>
              <a:graphicData uri="http://schemas.openxmlformats.org/drawingml/2006/picture">
                <pic:pic>
                  <pic:nvPicPr>
                    <pic:cNvPr descr="研究报告/02图表/当前版/annual_clr.png" id="0" name="Picture"/>
                    <pic:cNvPicPr>
                      <a:picLocks noChangeArrowheads="1" noChangeAspect="1"/>
                    </pic:cNvPicPr>
                  </pic:nvPicPr>
                  <pic:blipFill>
                    <a:blip r:embed="rId191"/>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图5-1 邳州和市区逐年容载比</w:t>
      </w:r>
    </w:p>
    <w:p>
      <w:pPr>
        <w:pStyle w:val="2"/>
        <w:keepNext/>
        <w:spacing w:line="280" w:lineRule="exact" w:before="120" w:after="80"/>
        <w:ind w:firstLine="0"/>
        <w:jc w:val="center"/>
      </w:pPr>
      <w:r>
        <w:rPr>
          <w:rFonts w:ascii="Times New Roman" w:hAnsi="Times New Roman" w:eastAsia="宋体"/>
          <w:b w:val="0"/>
          <w:sz w:val="21"/>
        </w:rPr>
        <w:t xml:space="preserve">表5-7 市区逐年新增工程与费用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主变净增容量/MVA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主变新购容量/MVA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扩建主变/台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当年措施现值/万元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76936.96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8813.51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424.00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52170.71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6175.38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市区实际年度负荷在2022年、2024年回落。刚性方案的被动超限由保留既有设备形成。年度建设表同时列出实际负荷、在役容量和当年新增规模，用于解释容载比变化。</w:t>
      </w:r>
    </w:p>
    <w:p>
      <w:pPr>
        <w:pStyle w:val="5"/>
        <w:keepNext/>
        <w:numPr>
          <w:numId w:val="0"/>
        </w:numPr>
        <w:spacing w:line="390" w:lineRule="exact" w:before="160" w:after="120"/>
        <w:ind w:firstLine="0"/>
      </w:pPr>
      <w:bookmarkStart w:id="192" w:name="建设规模与费用比较"/>
      <w:r>
        <w:rPr>
          <w:rFonts w:ascii="Times New Roman" w:hAnsi="Times New Roman" w:eastAsia="方正仿宋_GBK"/>
          <w:b/>
          <w:sz w:val="26"/>
        </w:rPr>
        <w:t xml:space="preserve">5.4.3 建设规模与费用比较</w:t>
      </w:r>
      <w:bookmarkEnd w:id="192"/>
    </w:p>
    <w:p>
      <w:pPr>
        <w:pStyle w:val="FirstParagraph"/>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两地区刚性方案评价期费用现值合计120219.30万元，弹性方案为84449.61万元，减少35769.70万元，降幅约30%。</w:t>
      </w:r>
    </w:p>
    <w:p>
      <w:pPr>
        <w:pStyle w:val="2"/>
        <w:keepNext/>
        <w:spacing w:line="280" w:lineRule="exact" w:before="120" w:after="80"/>
        <w:ind w:firstLine="0"/>
        <w:jc w:val="center"/>
      </w:pPr>
      <w:r>
        <w:rPr>
          <w:rFonts w:ascii="Times New Roman" w:hAnsi="Times New Roman" w:eastAsia="宋体"/>
          <w:b w:val="0"/>
          <w:sz w:val="21"/>
        </w:rPr>
        <w:t xml:space="preserve">表5-8 两地区方案费用比较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keepNext/>
        <w:spacing w:line="280" w:lineRule="exact" w:before="120" w:after="80"/>
        <w:ind w:firstLine="0"/>
        <w:jc w:val="center"/>
      </w:pPr>
      <w:r>
        <w:rPr>
          <w:rFonts w:ascii="Times New Roman" w:hAnsi="Times New Roman" w:eastAsia="宋体"/>
          <w:b w:val="0"/>
          <w:sz w:val="21"/>
        </w:rPr>
        <w:t xml:space="preserve">表5-9 目标年措施规模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在役主变/MVA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累计新购主变/MVA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储能能量/MWh</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70.73</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1955.50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918.00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2937.00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138</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3324.00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823.00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1.07</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64</w:t>
            </w:r>
          </w:p>
        </w:tc>
      </w:tr>
    </w:tbl>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560320"/>
            <wp:effectExtent b="0" l="0" r="0" t="0"/>
            <wp:docPr descr="" title="" id="1" name="Picture"/>
            <a:graphic>
              <a:graphicData uri="http://schemas.openxmlformats.org/drawingml/2006/picture">
                <pic:pic>
                  <pic:nvPicPr>
                    <pic:cNvPr descr="研究报告/02图表/当前版/lifecycle_components.png" id="0" name="Picture"/>
                    <pic:cNvPicPr>
                      <a:picLocks noChangeArrowheads="1" noChangeAspect="1"/>
                    </pic:cNvPicPr>
                  </pic:nvPicPr>
                  <pic:blipFill>
                    <a:blip r:embed="rId193"/>
                    <a:stretch>
                      <a:fillRect/>
                    </a:stretch>
                  </pic:blipFill>
                  <pic:spPr bwMode="auto">
                    <a:xfrm>
                      <a:off x="0" y="0"/>
                      <a:ext cx="5120640" cy="256032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图5-2 各方案新增措施评价期费用现值</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275840"/>
            <wp:effectExtent b="0" l="0" r="0" t="0"/>
            <wp:docPr descr="" title="" id="1" name="Picture"/>
            <a:graphic>
              <a:graphicData uri="http://schemas.openxmlformats.org/drawingml/2006/picture">
                <pic:pic>
                  <pic:nvPicPr>
                    <pic:cNvPr descr="研究报告/02图表/当前版/measure_comparison.png" id="0" name="Picture"/>
                    <pic:cNvPicPr>
                      <a:picLocks noChangeArrowheads="1" noChangeAspect="1"/>
                    </pic:cNvPicPr>
                  </pic:nvPicPr>
                  <pic:blipFill>
                    <a:blip r:embed="rId194"/>
                    <a:stretch>
                      <a:fillRect/>
                    </a:stretch>
                  </pic:blipFill>
                  <pic:spPr bwMode="auto">
                    <a:xfrm>
                      <a:off x="0" y="0"/>
                      <a:ext cx="5120640" cy="227584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图5-3 主变新购容量与储能额定能量</w:t>
      </w:r>
    </w:p>
    <w:p>
      <w:pPr>
        <w:pStyle w:val="2"/>
        <w:widowControl/>
        <w:spacing w:line="348" w:lineRule="exact" w:before="0" w:after="0"/>
        <w:ind w:firstLine="480"/>
        <w:jc w:val="both"/>
      </w:pPr>
      <w:r>
        <w:rPr>
          <w:rFonts w:ascii="Times New Roman" w:hAnsi="Times New Roman" w:eastAsia="方正仿宋_GBK"/>
          <w:b w:val="0"/>
          <w:sz w:val="24"/>
        </w:rPr>
        <w:t xml:space="preserve">方案费用限于所设仿真起点、静态工况和工程价格。市区存量网络缺少已核实边的部分采用新增付费候选，其建设费用随存量网络核定结果更新。地区间容载比关系可能随年度负荷和设备投运改变，应结合各站配置解释。</w:t>
      </w:r>
    </w:p>
    <w:p>
      <w:pPr>
        <w:pStyle w:val="2"/>
        <w:keepNext/>
        <w:spacing w:line="280" w:lineRule="exact" w:before="120" w:after="80"/>
        <w:ind w:firstLine="0"/>
        <w:jc w:val="center"/>
      </w:pPr>
      <w:r>
        <w:rPr>
          <w:rFonts w:ascii="Times New Roman" w:hAnsi="Times New Roman" w:eastAsia="宋体"/>
          <w:b w:val="0"/>
          <w:sz w:val="21"/>
        </w:rPr>
        <w:t xml:space="preserve">表5-10 主变、储能及联络费用现值</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联络/万元</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17674.27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8161.84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8632.72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34468.84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21903.74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4199.78</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26103.52</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3862.44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1272.02</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80616.00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85750.47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21083.57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124.07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37138.45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58346.09</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邳州弹性方案的主变费用现值为21903.74万元，储能为0.00万元，联络为4199.78万元；对应刚性方案分别为17674.27、8161.84、8632.72万元。三项费用共同决定方案排序。</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市区弹性方案的主变费用现值为21083.57万元，储能为124.07万元，联络为37138.45万元；对应刚性方案分别为3862.44、1272.02、80616.00万元。三项费用共同决定方案排序。</w:t>
      </w:r>
    </w:p>
    <w:p>
      <w:pPr>
        <w:pStyle w:val="2"/>
        <w:widowControl/>
        <w:spacing w:line="348" w:lineRule="exact"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（5-10）</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为相邻两年公用主变总容量，单位MVA；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2"/>
        <w:keepNext/>
        <w:spacing w:line="280" w:lineRule="exact" w:before="120" w:after="80"/>
        <w:ind w:firstLine="0"/>
        <w:jc w:val="center"/>
      </w:pPr>
      <w:r>
        <w:rPr>
          <w:rFonts w:ascii="Times New Roman" w:hAnsi="Times New Roman" w:eastAsia="宋体"/>
          <w:b w:val="0"/>
          <w:sz w:val="21"/>
        </w:rPr>
        <w:t xml:space="preserve">表5-11 规划容载比年度变化分解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容量变化贡献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负荷变化贡献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容载比净变化</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0.06</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-0.19</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-0.20</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-0.11</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-0.17</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-0.12</w:t>
            </w:r>
          </w:p>
        </w:tc>
      </w:tr>
    </w:tbl>
    <w:p>
      <w:pPr>
        <w:pStyle w:val="5"/>
        <w:keepNext/>
        <w:numPr>
          <w:numId w:val="0"/>
        </w:numPr>
        <w:spacing w:line="390" w:lineRule="exact" w:before="160" w:after="120"/>
        <w:ind w:firstLine="0"/>
      </w:pPr>
      <w:bookmarkStart w:id="195" w:name="邳州逐站规划方案"/>
      <w:r>
        <w:rPr>
          <w:rFonts w:ascii="Times New Roman" w:hAnsi="Times New Roman" w:eastAsia="方正仿宋_GBK"/>
          <w:b/>
          <w:sz w:val="26"/>
        </w:rPr>
        <w:t xml:space="preserve">5.4.4 邳州逐站规划方案</w:t>
      </w:r>
      <w:bookmarkEnd w:id="195"/>
    </w:p>
    <w:p>
      <w:pPr>
        <w:pStyle w:val="FirstParagraph"/>
        <w:widowControl/>
        <w:spacing w:line="348" w:lineRule="exact" w:before="0" w:after="0"/>
        <w:ind w:firstLine="480"/>
        <w:jc w:val="both"/>
      </w:pPr>
      <w:r>
        <w:rPr>
          <w:rFonts w:ascii="Times New Roman" w:hAnsi="Times New Roman" w:eastAsia="方正仿宋_GBK"/>
          <w:b w:val="0"/>
          <w:sz w:val="24"/>
        </w:rPr>
        <w:t xml:space="preserve">逐站分析采用区域正向峰值和最低净负荷两个同步工况，所列功率与转接量分别对应这两个同步时刻。主变N-1按本站最大单台容量扣除，健康邻站保留正常可用容量，转供使用已投运线路。</w:t>
      </w:r>
    </w:p>
    <w:p>
      <w:pPr>
        <w:pStyle w:val="2"/>
        <w:widowControl/>
        <w:spacing w:line="348" w:lineRule="exact" w:before="0" w:after="0"/>
        <w:ind w:firstLine="480"/>
        <w:jc w:val="both"/>
      </w:pPr>
      <w:r>
        <w:rPr>
          <w:rFonts w:ascii="Times New Roman" w:hAnsi="Times New Roman" w:eastAsia="方正仿宋_GBK"/>
          <w:b w:val="0"/>
          <w:sz w:val="24"/>
        </w:rPr>
        <w:t xml:space="preserve">邳州20座站分别列示两类方案的四年设备状态及区域正向峰值正常转接，随后说明目标年两工况和本站主变N-1校核。表中储能均为在役额定功率，支撑能力另按4 h及可用电量折算。</w:t>
      </w:r>
    </w:p>
    <w:p>
      <w:pPr>
        <w:pStyle w:val="7"/>
        <w:keepNext/>
        <w:numPr>
          <w:numId w:val="0"/>
        </w:numPr>
        <w:spacing w:line="360" w:lineRule="exact" w:before="160" w:after="120"/>
        <w:ind w:firstLine="0"/>
      </w:pPr>
      <w:bookmarkStart w:id="196" w:name="千伏八义集变规划分析"/>
      <w:r>
        <w:rPr>
          <w:rFonts w:ascii="Times New Roman" w:hAnsi="Times New Roman" w:eastAsia="方正仿宋_GBK"/>
          <w:b/>
          <w:sz w:val="24"/>
        </w:rPr>
        <w:t xml:space="preserve">110千伏八义集变规划分析</w:t>
      </w:r>
      <w:bookmarkEnd w:id="19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MVA。2025年区域正向峰值工况下，本站转接前净负荷为30.29 MW；区域最低净负荷工况下为-6.39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MVA、储能额定功率0.80 MW；弹性方案分别为81.50 MVA和0.00 MW。两类方案本站主变总容量相同，储能配置差异需结合主变组合和邻站转接安排分析。弹性方案2022—2025年主变总容量依次为81.50、81.50、81.50、81.50 MVA。目标年站级负载率为39%。</w:t>
      </w:r>
    </w:p>
    <w:p>
      <w:pPr>
        <w:pStyle w:val="2"/>
        <w:keepNext/>
        <w:spacing w:line="280" w:lineRule="exact" w:before="120" w:after="80"/>
        <w:ind w:firstLine="0"/>
        <w:jc w:val="center"/>
      </w:pPr>
      <w:r>
        <w:rPr>
          <w:rFonts w:ascii="Times New Roman" w:hAnsi="Times New Roman" w:eastAsia="宋体"/>
          <w:b w:val="0"/>
          <w:sz w:val="21"/>
        </w:rPr>
        <w:t xml:space="preserve">表5-12 110千伏八义集变年度配置与正向峰值正常转接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30.29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MW，转接后净负荷为30.29 MW；区域最低净负荷工况下，转接后净负荷为-6.39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MVA。重新安排转供后，两工况本站净负荷分别为29.16 MW和-6.39 MW；两方向容量约束的最小余量为0.76 MW，正向储能有效支撑功率为0.00 MW。</w:t>
      </w:r>
    </w:p>
    <w:p>
      <w:pPr>
        <w:pStyle w:val="7"/>
        <w:keepNext/>
        <w:numPr>
          <w:numId w:val="0"/>
        </w:numPr>
        <w:spacing w:line="360" w:lineRule="exact" w:before="160" w:after="120"/>
        <w:ind w:firstLine="0"/>
      </w:pPr>
      <w:bookmarkStart w:id="197" w:name="大宋变规划分析"/>
      <w:r>
        <w:rPr>
          <w:rFonts w:ascii="Times New Roman" w:hAnsi="Times New Roman" w:eastAsia="方正仿宋_GBK"/>
          <w:b/>
          <w:sz w:val="24"/>
        </w:rPr>
        <w:t xml:space="preserve">大宋变规划分析</w:t>
      </w:r>
      <w:bookmarkEnd w:id="19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MVA。2025年区域正向峰值工况下，本站转接前净负荷为69.44 MW；区域最低净负荷工况下为-31.77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MW。弹性方案2022—2025年主变总容量依次为126.00、126.00、126.00、126.00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表5-13 大宋变年度配置与正向峰值正常转接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55.27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66.94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MW、承接4.78 MW，转接后净负荷为74.22 MW；区域最低净负荷工况下，转接后净负荷为-31.77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MVA。重新安排转供后，两工况本站净负荷分别为59.85 MW和-31.77 MW；两方向容量约束的最小余量为0.00 MW，正向储能有效支撑功率为0.00 MW。</w:t>
      </w:r>
    </w:p>
    <w:p>
      <w:pPr>
        <w:pStyle w:val="7"/>
        <w:keepNext/>
        <w:numPr>
          <w:numId w:val="0"/>
        </w:numPr>
        <w:spacing w:line="360" w:lineRule="exact" w:before="160" w:after="120"/>
        <w:ind w:firstLine="0"/>
      </w:pPr>
      <w:bookmarkStart w:id="198" w:name="戴圩变规划分析"/>
      <w:r>
        <w:rPr>
          <w:rFonts w:ascii="Times New Roman" w:hAnsi="Times New Roman" w:eastAsia="方正仿宋_GBK"/>
          <w:b/>
          <w:sz w:val="24"/>
        </w:rPr>
        <w:t xml:space="preserve">戴圩变规划分析</w:t>
      </w:r>
      <w:bookmarkEnd w:id="19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MVA。2025年区域正向峰值工况下，本站转接前净负荷为27.34 MW；区域最低净负荷工况下为-24.10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MVA、储能额定功率0.20 MW；弹性方案分别为81.50 MVA和0.00 MW。弹性方案本站增加11.50 MVA容量，为本地需求及站间支援提供条件。弹性方案2022—2025年主变总容量依次为81.50、81.50、81.50、81.50 MVA。目标年站级负载率为35%。</w:t>
      </w:r>
    </w:p>
    <w:p>
      <w:pPr>
        <w:pStyle w:val="2"/>
        <w:keepNext/>
        <w:spacing w:line="280" w:lineRule="exact" w:before="120" w:after="80"/>
        <w:ind w:firstLine="0"/>
        <w:jc w:val="center"/>
      </w:pPr>
      <w:r>
        <w:rPr>
          <w:rFonts w:ascii="Times New Roman" w:hAnsi="Times New Roman" w:eastAsia="宋体"/>
          <w:b w:val="0"/>
          <w:sz w:val="21"/>
        </w:rPr>
        <w:t xml:space="preserve">表5-14 戴圩变年度配置与正向峰值正常转接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27.34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MW，转接后净负荷为27.34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MVA。重新安排转供后，两工况本站净负荷分别为27.34 MW和-24.10 MW；两方向容量约束的最小余量为2.59 MW，正向储能有效支撑功率为0.00 MW。</w:t>
      </w:r>
    </w:p>
    <w:p>
      <w:pPr>
        <w:pStyle w:val="7"/>
        <w:keepNext/>
        <w:numPr>
          <w:numId w:val="0"/>
        </w:numPr>
        <w:spacing w:line="360" w:lineRule="exact" w:before="160" w:after="120"/>
        <w:ind w:firstLine="0"/>
      </w:pPr>
      <w:bookmarkStart w:id="199" w:name="戴庄变规划分析"/>
      <w:r>
        <w:rPr>
          <w:rFonts w:ascii="Times New Roman" w:hAnsi="Times New Roman" w:eastAsia="方正仿宋_GBK"/>
          <w:b/>
          <w:sz w:val="24"/>
        </w:rPr>
        <w:t xml:space="preserve">戴庄变规划分析</w:t>
      </w:r>
      <w:bookmarkEnd w:id="19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MVA。2025年区域正向峰值工况下，本站转接前净负荷为30.59 MW；区域最低净负荷工况下为-46.10 MW，受入为正、反送为负。2022年更换既有主变，新购100.00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MVA、储能额定功率16.20 MW；弹性方案分别为100.00 MVA和0.00 MW。弹性方案本站增加37.00 MVA容量，为本地需求及站间支援提供条件。弹性方案2022—2025年主变总容量依次为100.00、100.00、100.00、100.00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表5-15 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MW；区域最低净负荷工况下，转接后净负荷为-46.10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MVA。重新安排转供后，两工况本站净负荷分别为30.59 MW和-46.10 MW；两方向容量约束的最小余量为1.40 MW，正向储能有效支撑功率为0.00 MW。</w:t>
      </w:r>
    </w:p>
    <w:p>
      <w:pPr>
        <w:pStyle w:val="7"/>
        <w:keepNext/>
        <w:numPr>
          <w:numId w:val="0"/>
        </w:numPr>
        <w:spacing w:line="360" w:lineRule="exact" w:before="160" w:after="120"/>
        <w:ind w:firstLine="0"/>
      </w:pPr>
      <w:bookmarkStart w:id="200" w:name="杜村变规划分析"/>
      <w:r>
        <w:rPr>
          <w:rFonts w:ascii="Times New Roman" w:hAnsi="Times New Roman" w:eastAsia="方正仿宋_GBK"/>
          <w:b/>
          <w:sz w:val="24"/>
        </w:rPr>
        <w:t xml:space="preserve">杜村变规划分析</w:t>
      </w:r>
      <w:bookmarkEnd w:id="20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MVA。2025年区域正向峰值工况下，本站转接前净负荷为83.65 MW；区域最低净负荷工况下为1.66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表5-16 杜村变年度配置与正向峰值正常转接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75.45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109.92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MW、承接26.27 MW，转接后净负荷为109.92 MW；区域最低净负荷工况下，转接后净负荷为1.66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MVA。重新安排转供后，两工况本站净负荷分别为63.77 MW和1.66 MW；两方向容量约束的最小余量为12.23 MW，正向储能有效支撑功率为0.00 MW。</w:t>
      </w:r>
    </w:p>
    <w:p>
      <w:pPr>
        <w:pStyle w:val="7"/>
        <w:keepNext/>
        <w:numPr>
          <w:numId w:val="0"/>
        </w:numPr>
        <w:spacing w:line="360" w:lineRule="exact" w:before="160" w:after="120"/>
        <w:ind w:firstLine="0"/>
      </w:pPr>
      <w:bookmarkStart w:id="201" w:name="墩集变规划分析"/>
      <w:r>
        <w:rPr>
          <w:rFonts w:ascii="Times New Roman" w:hAnsi="Times New Roman" w:eastAsia="方正仿宋_GBK"/>
          <w:b/>
          <w:sz w:val="24"/>
        </w:rPr>
        <w:t xml:space="preserve">墩集变规划分析</w:t>
      </w:r>
      <w:bookmarkEnd w:id="20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MVA。2025年区域正向峰值工况下，本站转接前净负荷为55.05 MW；区域最低净负荷工况下为-35.45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MVA、储能额定功率0.00 MW；弹性方案分别为100.00 MVA和0.00 MW。弹性方案2022—2025年主变总容量依次为100.00、100.00、100.00、100.00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表5-17 墩集变年度配置与正向峰值正常转接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49.65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MW、承接1.61 MW，转接后净负荷为56.66 MW；区域最低净负荷工况下，转接后净负荷为-35.45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MW和-35.45 MW；两方向容量约束的最小余量为0.00 MW，正向储能有效支撑功率为0.00 MW。</w:t>
      </w:r>
    </w:p>
    <w:p>
      <w:pPr>
        <w:pStyle w:val="7"/>
        <w:keepNext/>
        <w:numPr>
          <w:numId w:val="0"/>
        </w:numPr>
        <w:spacing w:line="360" w:lineRule="exact" w:before="160" w:after="120"/>
        <w:ind w:firstLine="0"/>
      </w:pPr>
      <w:bookmarkStart w:id="202" w:name="二庙变规划分析"/>
      <w:r>
        <w:rPr>
          <w:rFonts w:ascii="Times New Roman" w:hAnsi="Times New Roman" w:eastAsia="方正仿宋_GBK"/>
          <w:b/>
          <w:sz w:val="24"/>
        </w:rPr>
        <w:t xml:space="preserve">二庙变规划分析</w:t>
      </w:r>
      <w:bookmarkEnd w:id="20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MVA。2025年区域正向峰值工况下，本站转接前净负荷为89.75 MW；区域最低净负荷工况下为31.86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目标年刚性方案主变容量为111.50 MVA、储能额定功率0.00 MW；弹性方案分别为160.00 MVA和0.00 MW。弹性方案本站增加48.50 MVA容量，为本地需求及站间支援提供条件。弹性方案2022—2025年主变总容量依次为160.00、160.00、160.00、160.00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表5-18 二庙变年度配置与正向峰值正常转接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73.31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80.95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14.78</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104.53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MW、承接14.78 MW，转接后净负荷为104.53 MW；区域最低净负荷工况下，转接后净负荷为31.86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MW和31.86 MW；两方向容量约束的最小余量为0.00 MW，正向储能有效支撑功率为0.00 MW。</w:t>
      </w:r>
    </w:p>
    <w:p>
      <w:pPr>
        <w:pStyle w:val="7"/>
        <w:keepNext/>
        <w:numPr>
          <w:numId w:val="0"/>
        </w:numPr>
        <w:spacing w:line="360" w:lineRule="exact" w:before="160" w:after="120"/>
        <w:ind w:firstLine="0"/>
      </w:pPr>
      <w:bookmarkStart w:id="203" w:name="坊上变规划分析"/>
      <w:r>
        <w:rPr>
          <w:rFonts w:ascii="Times New Roman" w:hAnsi="Times New Roman" w:eastAsia="方正仿宋_GBK"/>
          <w:b/>
          <w:sz w:val="24"/>
        </w:rPr>
        <w:t xml:space="preserve">坊上变规划分析</w:t>
      </w:r>
      <w:bookmarkEnd w:id="20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MVA。2025年区域正向峰值工况下，本站转接前净负荷为37.87 MW；区域最低净负荷工况下为-29.68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MW。弹性方案2022—2025年主变总容量依次为71.50、71.50、71.50、71.50 MVA。目标年站级负载率为56%。</w:t>
      </w:r>
    </w:p>
    <w:p>
      <w:pPr>
        <w:pStyle w:val="2"/>
        <w:keepNext/>
        <w:spacing w:line="280" w:lineRule="exact" w:before="120" w:after="80"/>
        <w:ind w:firstLine="0"/>
        <w:jc w:val="center"/>
      </w:pPr>
      <w:r>
        <w:rPr>
          <w:rFonts w:ascii="Times New Roman" w:hAnsi="Times New Roman" w:eastAsia="宋体"/>
          <w:b w:val="0"/>
          <w:sz w:val="21"/>
        </w:rPr>
        <w:t xml:space="preserve">表5-19 坊上变年度配置与正向峰值正常转接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MW，转接后净负荷为37.87 MW；区域最低净负荷工况下，转接后净负荷为-29.68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MW和-29.68 MW；两方向容量约束的最小余量为0.00 MW，正向储能有效支撑功率为0.00 MW。</w:t>
      </w:r>
    </w:p>
    <w:p>
      <w:pPr>
        <w:pStyle w:val="7"/>
        <w:keepNext/>
        <w:numPr>
          <w:numId w:val="0"/>
        </w:numPr>
        <w:spacing w:line="360" w:lineRule="exact" w:before="160" w:after="120"/>
        <w:ind w:firstLine="0"/>
      </w:pPr>
      <w:bookmarkStart w:id="204" w:name="富山变规划分析"/>
      <w:r>
        <w:rPr>
          <w:rFonts w:ascii="Times New Roman" w:hAnsi="Times New Roman" w:eastAsia="方正仿宋_GBK"/>
          <w:b/>
          <w:sz w:val="24"/>
        </w:rPr>
        <w:t xml:space="preserve">富山变规划分析</w:t>
      </w:r>
      <w:bookmarkEnd w:id="20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MVA。2025年区域正向峰值工况下，本站转接前净负荷为26.59 MW；区域最低净负荷工况下为-19.32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MVA、储能额定功率0.60 MW；弹性方案分别为81.50 MVA和0.00 MW。弹性方案本站增加11.50 MVA容量，为本地需求及站间支援提供条件。弹性方案2022—2025年主变总容量依次为70.00、70.00、70.00、81.50 MVA。目标年站级负载率为34%。</w:t>
      </w:r>
    </w:p>
    <w:p>
      <w:pPr>
        <w:pStyle w:val="2"/>
        <w:keepNext/>
        <w:spacing w:line="280" w:lineRule="exact" w:before="120" w:after="80"/>
        <w:ind w:firstLine="0"/>
        <w:jc w:val="center"/>
      </w:pPr>
      <w:r>
        <w:rPr>
          <w:rFonts w:ascii="Times New Roman" w:hAnsi="Times New Roman" w:eastAsia="宋体"/>
          <w:b w:val="0"/>
          <w:sz w:val="21"/>
        </w:rPr>
        <w:t xml:space="preserve">表5-20 富山变年度配置与正向峰值正常转接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37.63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MW、承接11.04 MW，转接后净负荷为37.63 MW；区域最低净负荷工况下，转接后净负荷为-19.32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MVA。重新安排转供后，两工况本站净负荷分别为26.59 MW和-19.32 MW；两方向容量约束的最小余量为3.33 MW，正向储能有效支撑功率为0.00 MW。</w:t>
      </w:r>
    </w:p>
    <w:p>
      <w:pPr>
        <w:pStyle w:val="7"/>
        <w:keepNext/>
        <w:numPr>
          <w:numId w:val="0"/>
        </w:numPr>
        <w:spacing w:line="360" w:lineRule="exact" w:before="160" w:after="120"/>
        <w:ind w:firstLine="0"/>
      </w:pPr>
      <w:bookmarkStart w:id="205" w:name="河湾变规划分析"/>
      <w:r>
        <w:rPr>
          <w:rFonts w:ascii="Times New Roman" w:hAnsi="Times New Roman" w:eastAsia="方正仿宋_GBK"/>
          <w:b/>
          <w:sz w:val="24"/>
        </w:rPr>
        <w:t xml:space="preserve">河湾变规划分析</w:t>
      </w:r>
      <w:bookmarkEnd w:id="20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该站基期主变组合为20+80 MVA。2025年区域正向峰值工况下，本站转接前净负荷为71.29 MW；区域最低净负荷工况下为-3.50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MW；弹性方案分别为100.00 MVA和0.00 MW。弹性方案本站容量比刚性方案少60.00 MVA。弹性方案2022—2025年主变总容量依次为100.00、100.00、100.00、100.00 MVA。目标年站级负载率为75%。</w:t>
      </w:r>
    </w:p>
    <w:p>
      <w:pPr>
        <w:pStyle w:val="2"/>
        <w:keepNext/>
        <w:spacing w:line="280" w:lineRule="exact" w:before="120" w:after="80"/>
        <w:ind w:firstLine="0"/>
        <w:jc w:val="center"/>
      </w:pPr>
      <w:r>
        <w:rPr>
          <w:rFonts w:ascii="Times New Roman" w:hAnsi="Times New Roman" w:eastAsia="宋体"/>
          <w:b w:val="0"/>
          <w:sz w:val="21"/>
        </w:rPr>
        <w:t xml:space="preserve">表5-21 河湾变年度配置与正向峰值正常转接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29.42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目标年正常方式下，区域正向峰值工况转出41.87 MW、承接0.00 MW，转接后净负荷为29.42 MW；区域最低净负荷工况下，转接后净负荷为-3.50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MW和-3.50 MW；两方向容量约束的最小余量为0.00 MW，正向储能有效支撑功率为0.00 MW。</w:t>
      </w:r>
    </w:p>
    <w:p>
      <w:pPr>
        <w:pStyle w:val="7"/>
        <w:keepNext/>
        <w:numPr>
          <w:numId w:val="0"/>
        </w:numPr>
        <w:spacing w:line="360" w:lineRule="exact" w:before="160" w:after="120"/>
        <w:ind w:firstLine="0"/>
      </w:pPr>
      <w:bookmarkStart w:id="206" w:name="邳城变规划分析"/>
      <w:r>
        <w:rPr>
          <w:rFonts w:ascii="Times New Roman" w:hAnsi="Times New Roman" w:eastAsia="方正仿宋_GBK"/>
          <w:b/>
          <w:sz w:val="24"/>
        </w:rPr>
        <w:t xml:space="preserve">邳城变规划分析</w:t>
      </w:r>
      <w:bookmarkEnd w:id="20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MVA。2025年区域正向峰值工况下，本站转接前净负荷为22.90 MW；区域最低净负荷工况下为-28.74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目标年刚性方案主变容量为81.50 MVA、储能额定功率0.00 MW；弹性方案分别为81.50 MVA和0.00 MW。弹性方案2022—2025年主变总容量依次为81.50、81.50、81.50、81.50 MVA。目标年站级负载率为37%。</w:t>
      </w:r>
    </w:p>
    <w:p>
      <w:pPr>
        <w:pStyle w:val="2"/>
        <w:keepNext/>
        <w:spacing w:line="280" w:lineRule="exact" w:before="120" w:after="80"/>
        <w:ind w:firstLine="0"/>
        <w:jc w:val="center"/>
      </w:pPr>
      <w:r>
        <w:rPr>
          <w:rFonts w:ascii="Times New Roman" w:hAnsi="Times New Roman" w:eastAsia="宋体"/>
          <w:b w:val="0"/>
          <w:sz w:val="21"/>
        </w:rPr>
        <w:t xml:space="preserve">表5-22 邳城变年度配置与正向峰值正常转接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18.23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22.90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MW，转接后净负荷为22.90 MW；区域最低净负荷工况下，转接后净负荷为-28.74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MVA。重新安排转供后，两工况本站净负荷分别为22.90 MW和-28.74 MW；两方向容量约束的最小余量为1.18 MW，正向储能有效支撑功率为0.00 MW。</w:t>
      </w:r>
    </w:p>
    <w:p>
      <w:pPr>
        <w:pStyle w:val="7"/>
        <w:keepNext/>
        <w:numPr>
          <w:numId w:val="0"/>
        </w:numPr>
        <w:spacing w:line="360" w:lineRule="exact" w:before="160" w:after="120"/>
        <w:ind w:firstLine="0"/>
      </w:pPr>
      <w:bookmarkStart w:id="207" w:name="邳州变规划分析"/>
      <w:r>
        <w:rPr>
          <w:rFonts w:ascii="Times New Roman" w:hAnsi="Times New Roman" w:eastAsia="方正仿宋_GBK"/>
          <w:b/>
          <w:sz w:val="24"/>
        </w:rPr>
        <w:t xml:space="preserve">邳州变规划分析</w:t>
      </w:r>
      <w:bookmarkEnd w:id="20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该站基期主变组合为31.5+80 MVA。2025年区域正向峰值工况下，本站转接前净负荷为67.97 MW；区域最低净负荷工况下为11.99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MW；弹性方案分别为143.00 MVA和0.00 MW。弹性方案本站增加13.00 MVA容量，为本地需求及站间支援提供条件。弹性方案2022—2025年主变总容量依次为143.00、143.00、143.00、143.00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表5-23 邳州变年度配置与正向峰值正常转接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54.10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MW、承接13.40 MW，转接后净负荷为81.37 MW；区域最低净负荷工况下，转接后净负荷为11.99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MVA。重新安排转供后，两工况本站净负荷分别为59.09 MW和11.99 MW；两方向容量约束的最小余量为0.76 MW，正向储能有效支撑功率为0.00 MW。</w:t>
      </w:r>
    </w:p>
    <w:p>
      <w:pPr>
        <w:pStyle w:val="7"/>
        <w:keepNext/>
        <w:numPr>
          <w:numId w:val="0"/>
        </w:numPr>
        <w:spacing w:line="360" w:lineRule="exact" w:before="160" w:after="120"/>
        <w:ind w:firstLine="0"/>
      </w:pPr>
      <w:bookmarkStart w:id="208" w:name="宿羊山变规划分析"/>
      <w:r>
        <w:rPr>
          <w:rFonts w:ascii="Times New Roman" w:hAnsi="Times New Roman" w:eastAsia="方正仿宋_GBK"/>
          <w:b/>
          <w:sz w:val="24"/>
        </w:rPr>
        <w:t xml:space="preserve">宿羊山变规划分析</w:t>
      </w:r>
      <w:bookmarkEnd w:id="20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MVA。2025年区域正向峰值工况下，本站转接前净负荷为61.43 MW；区域最低净负荷工况下为-22.13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目标年刚性方案主变容量为71.50 MVA、储能额定功率0.00 MW；弹性方案分别为71.50 MVA和0.00 MW。弹性方案2022—2025年主变总容量依次为71.50、71.50、71.50、71.50 MVA。目标年站级负载率为90%。</w:t>
      </w:r>
    </w:p>
    <w:p>
      <w:pPr>
        <w:pStyle w:val="2"/>
        <w:keepNext/>
        <w:spacing w:line="280" w:lineRule="exact" w:before="120" w:after="80"/>
        <w:ind w:firstLine="0"/>
        <w:jc w:val="center"/>
      </w:pPr>
      <w:r>
        <w:rPr>
          <w:rFonts w:ascii="Times New Roman" w:hAnsi="Times New Roman" w:eastAsia="宋体"/>
          <w:b w:val="0"/>
          <w:sz w:val="21"/>
        </w:rPr>
        <w:t xml:space="preserve">表5-24 宿羊山变年度配置与正向峰值正常转接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40.17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15.82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45.61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目标年正常方式下，区域正向峰值工况转出15.82 MW、承接0.00 MW，转接后净负荷为45.61 MW；区域最低净负荷工况下，转接后净负荷为-22.13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MVA。重新安排转供后，两工况本站净负荷分别为29.93 MW和-22.13 MW；两方向容量约束的最小余量为0.00 MW，正向储能有效支撑功率为0.00 MW。</w:t>
      </w:r>
    </w:p>
    <w:p>
      <w:pPr>
        <w:pStyle w:val="7"/>
        <w:keepNext/>
        <w:numPr>
          <w:numId w:val="0"/>
        </w:numPr>
        <w:spacing w:line="360" w:lineRule="exact" w:before="160" w:after="120"/>
        <w:ind w:firstLine="0"/>
      </w:pPr>
      <w:bookmarkStart w:id="209" w:name="千伏铁富变规划分析"/>
      <w:r>
        <w:rPr>
          <w:rFonts w:ascii="Times New Roman" w:hAnsi="Times New Roman" w:eastAsia="方正仿宋_GBK"/>
          <w:b/>
          <w:sz w:val="24"/>
        </w:rPr>
        <w:t xml:space="preserve">110千伏铁富变规划分析</w:t>
      </w:r>
      <w:bookmarkEnd w:id="20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该站基期主变组合为31.5+40 MVA。2025年区域正向峰值工况下，本站转接前净负荷为82.17 MW；区域最低净负荷工况下为-52.21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MW。弹性方案2022—2025年主变总容量依次为160.00、160.00、160.00、160.00 MVA。目标年站级负载率为54%。</w:t>
      </w:r>
    </w:p>
    <w:p>
      <w:pPr>
        <w:pStyle w:val="2"/>
        <w:keepNext/>
        <w:spacing w:line="280" w:lineRule="exact" w:before="120" w:after="80"/>
        <w:ind w:firstLine="0"/>
        <w:jc w:val="center"/>
      </w:pPr>
      <w:r>
        <w:rPr>
          <w:rFonts w:ascii="Times New Roman" w:hAnsi="Times New Roman" w:eastAsia="宋体"/>
          <w:b w:val="0"/>
          <w:sz w:val="21"/>
        </w:rPr>
        <w:t xml:space="preserve">表5-25 110千伏铁富变年度配置与正向峰值正常转接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82.17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MW，转接后净负荷为82.17 MW；区域最低净负荷工况下，转接后净负荷为-52.21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MVA。重新安排转供后，两工况本站净负荷分别为76.00 MW和-52.21 MW；两方向容量约束的最小余量为0.00 MW，正向储能有效支撑功率为0.00 MW。</w:t>
      </w:r>
    </w:p>
    <w:p>
      <w:pPr>
        <w:pStyle w:val="7"/>
        <w:keepNext/>
        <w:numPr>
          <w:numId w:val="0"/>
        </w:numPr>
        <w:spacing w:line="360" w:lineRule="exact" w:before="160" w:after="120"/>
        <w:ind w:firstLine="0"/>
      </w:pPr>
      <w:bookmarkStart w:id="210" w:name="土山变规划分析"/>
      <w:r>
        <w:rPr>
          <w:rFonts w:ascii="Times New Roman" w:hAnsi="Times New Roman" w:eastAsia="方正仿宋_GBK"/>
          <w:b/>
          <w:sz w:val="24"/>
        </w:rPr>
        <w:t xml:space="preserve">土山变规划分析</w:t>
      </w:r>
      <w:bookmarkEnd w:id="21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MVA。2025年区域正向峰值工况下，本站转接前净负荷为39.87 MW；区域最低净负荷工况下为-36.41 MW，受入为正、反送为负。2022年更换既有主变，新购50.00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MVA、储能额定功率1.90 MW；弹性方案分别为100.00 MVA和0.00 MW。两类方案本站主变总容量相同，储能配置差异需结合主变组合和邻站转接安排分析。弹性方案2022—2025年主变总容量依次为100.00、100.00、100.00、100.00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表5-26 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35.96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MW，转接后净负荷为39.87 MW；区域最低净负荷工况下，转接后净负荷为-36.41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MVA。重新安排转供后，两工况本站净负荷分别为39.87 MW和-36.41 MW；两方向容量约束的最小余量为7.63 MW，正向储能有效支撑功率为0.00 MW。</w:t>
      </w:r>
    </w:p>
    <w:p>
      <w:pPr>
        <w:pStyle w:val="7"/>
        <w:keepNext/>
        <w:numPr>
          <w:numId w:val="0"/>
        </w:numPr>
        <w:spacing w:line="360" w:lineRule="exact" w:before="160" w:after="120"/>
        <w:ind w:firstLine="0"/>
      </w:pPr>
      <w:bookmarkStart w:id="211" w:name="汶河变规划分析"/>
      <w:r>
        <w:rPr>
          <w:rFonts w:ascii="Times New Roman" w:hAnsi="Times New Roman" w:eastAsia="方正仿宋_GBK"/>
          <w:b/>
          <w:sz w:val="24"/>
        </w:rPr>
        <w:t xml:space="preserve">汶河变规划分析</w:t>
      </w:r>
      <w:bookmarkEnd w:id="21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该站基期主变组合为20+31.5 MVA。2025年区域正向峰值工况下，本站转接前净负荷为22.81 MW；区域最低净负荷工况下为-27.24 MW，受入为正、反送为负。2022年更换既有主变，新购31.50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MW。弹性方案2022—2025年主变总容量依次为63.00、63.00、63.00、63.00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表5-27 汶河变年度配置与正向峰值正常转接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22.81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MW，转接后净负荷为22.81 MW；区域最低净负荷工况下，转接后净负荷为-27.24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MVA。重新安排转供后，两工况本站净负荷分别为22.81 MW和-27.24 MW；两方向容量约束的最小余量为2.69 MW，正向储能有效支撑功率为0.00 MW。</w:t>
      </w:r>
    </w:p>
    <w:p>
      <w:pPr>
        <w:pStyle w:val="7"/>
        <w:keepNext/>
        <w:numPr>
          <w:numId w:val="0"/>
        </w:numPr>
        <w:spacing w:line="360" w:lineRule="exact" w:before="160" w:after="120"/>
        <w:ind w:firstLine="0"/>
      </w:pPr>
      <w:bookmarkStart w:id="212" w:name="吴闸变规划分析"/>
      <w:r>
        <w:rPr>
          <w:rFonts w:ascii="Times New Roman" w:hAnsi="Times New Roman" w:eastAsia="方正仿宋_GBK"/>
          <w:b/>
          <w:sz w:val="24"/>
        </w:rPr>
        <w:t xml:space="preserve">吴闸变规划分析</w:t>
      </w:r>
      <w:bookmarkEnd w:id="21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MVA。2025年区域正向峰值工况下，本站转接前净负荷为48.18 MW；区域最低净负荷工况下为2.19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MVA、储能额定功率0.00 MW；弹性方案分别为70.00 MVA和0.00 MW。弹性方案2022—2025年主变总容量依次为70.00、70.00、70.00、70.00 MVA。目标年站级负载率为72%。</w:t>
      </w:r>
    </w:p>
    <w:p>
      <w:pPr>
        <w:pStyle w:val="2"/>
        <w:keepNext/>
        <w:spacing w:line="280" w:lineRule="exact" w:before="120" w:after="80"/>
        <w:ind w:firstLine="0"/>
        <w:jc w:val="center"/>
      </w:pPr>
      <w:r>
        <w:rPr>
          <w:rFonts w:ascii="Times New Roman" w:hAnsi="Times New Roman" w:eastAsia="宋体"/>
          <w:b w:val="0"/>
          <w:sz w:val="21"/>
        </w:rPr>
        <w:t xml:space="preserve">表5-28 吴闸变年度配置与正向峰值正常转接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26.57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目标年正常方式下，区域正向峰值工况转出21.61 MW、承接0.00 MW，转接后净负荷为26.57 MW；区域最低净负荷工况下，转接后净负荷为2.19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本站主变N-1工况下，剩余主变容量为20.00 MVA。重新安排转供后，两工况本站净负荷分别为19.00 MW和2.19 MW；两方向容量约束的最小余量为0.00 MW，正向储能有效支撑功率为0.00 MW。</w:t>
      </w:r>
    </w:p>
    <w:p>
      <w:pPr>
        <w:pStyle w:val="7"/>
        <w:keepNext/>
        <w:numPr>
          <w:numId w:val="0"/>
        </w:numPr>
        <w:spacing w:line="360" w:lineRule="exact" w:before="160" w:after="120"/>
        <w:ind w:firstLine="0"/>
      </w:pPr>
      <w:bookmarkStart w:id="213" w:name="邢楼变规划分析"/>
      <w:r>
        <w:rPr>
          <w:rFonts w:ascii="Times New Roman" w:hAnsi="Times New Roman" w:eastAsia="方正仿宋_GBK"/>
          <w:b/>
          <w:sz w:val="24"/>
        </w:rPr>
        <w:t xml:space="preserve">邢楼变规划分析</w:t>
      </w:r>
      <w:bookmarkEnd w:id="21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MVA。2025年区域正向峰值工况下，本站转接前净负荷为15.68 MW；区域最低净负荷工况下为-29.65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目标年刚性方案主变容量为63.00 MVA、储能额定功率0.00 MW；弹性方案分别为63.00 MVA和0.00 MW。弹性方案2022—2025年主变总容量依次为63.00、63.00、63.00、63.00 MVA。目标年站级负载率为50%。</w:t>
      </w:r>
    </w:p>
    <w:p>
      <w:pPr>
        <w:pStyle w:val="2"/>
        <w:keepNext/>
        <w:spacing w:line="280" w:lineRule="exact" w:before="120" w:after="80"/>
        <w:ind w:firstLine="0"/>
        <w:jc w:val="center"/>
      </w:pPr>
      <w:r>
        <w:rPr>
          <w:rFonts w:ascii="Times New Roman" w:hAnsi="Times New Roman" w:eastAsia="宋体"/>
          <w:b w:val="0"/>
          <w:sz w:val="21"/>
        </w:rPr>
        <w:t xml:space="preserve">表5-29 邢楼变年度配置与正向峰值正常转接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15.68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MW，转接后净负荷为15.68 MW；区域最低净负荷工况下，转接后净负荷为-29.65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MVA。重新安排转供后，两工况本站净负荷分别为15.68 MW和-29.65 MW；两方向容量约束的最小余量为0.28 MW，正向储能有效支撑功率为0.00 MW。</w:t>
      </w:r>
    </w:p>
    <w:p>
      <w:pPr>
        <w:pStyle w:val="7"/>
        <w:keepNext/>
        <w:numPr>
          <w:numId w:val="0"/>
        </w:numPr>
        <w:spacing w:line="360" w:lineRule="exact" w:before="160" w:after="120"/>
        <w:ind w:firstLine="0"/>
      </w:pPr>
      <w:bookmarkStart w:id="214" w:name="兴塘变规划分析"/>
      <w:r>
        <w:rPr>
          <w:rFonts w:ascii="Times New Roman" w:hAnsi="Times New Roman" w:eastAsia="方正仿宋_GBK"/>
          <w:b/>
          <w:sz w:val="24"/>
        </w:rPr>
        <w:t xml:space="preserve">兴塘变规划分析</w:t>
      </w:r>
      <w:bookmarkEnd w:id="21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该站基期主变组合为20+20 MVA。2025年区域正向峰值工况下，本站转接前净负荷为39.15 MW；区域最低净负荷工况下为-30.66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目标年刚性方案主变容量为40.00 MVA、储能额定功率11.70 MW；弹性方案分别为90.00 MVA和0.00 MW。弹性方案本站增加50.00 MVA容量，为本地需求及站间支援提供条件。弹性方案2022—2025年主变总容量依次为90.00、90.00、90.00、90.00 MVA。目标年站级负载率为46%。</w:t>
      </w:r>
    </w:p>
    <w:p>
      <w:pPr>
        <w:pStyle w:val="2"/>
        <w:keepNext/>
        <w:spacing w:line="280" w:lineRule="exact" w:before="120" w:after="80"/>
        <w:ind w:firstLine="0"/>
        <w:jc w:val="center"/>
      </w:pPr>
      <w:r>
        <w:rPr>
          <w:rFonts w:ascii="Times New Roman" w:hAnsi="Times New Roman" w:eastAsia="宋体"/>
          <w:b w:val="0"/>
          <w:sz w:val="21"/>
        </w:rPr>
        <w:t xml:space="preserve">表5-30 兴塘变年度配置与正向峰值正常转接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31.65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35.31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39.15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MW，转接后净负荷为39.15 MW；区域最低净负荷工况下，转接后净负荷为-30.66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MW和-30.66 MW；两方向容量约束的最小余量为0.00 MW，正向储能有效支撑功率为0.00 MW。</w:t>
      </w:r>
    </w:p>
    <w:p>
      <w:pPr>
        <w:pStyle w:val="7"/>
        <w:keepNext/>
        <w:numPr>
          <w:numId w:val="0"/>
        </w:numPr>
        <w:spacing w:line="360" w:lineRule="exact" w:before="160" w:after="120"/>
        <w:ind w:firstLine="0"/>
      </w:pPr>
      <w:bookmarkStart w:id="215" w:name="议堂变规划分析"/>
      <w:r>
        <w:rPr>
          <w:rFonts w:ascii="Times New Roman" w:hAnsi="Times New Roman" w:eastAsia="方正仿宋_GBK"/>
          <w:b/>
          <w:sz w:val="24"/>
        </w:rPr>
        <w:t xml:space="preserve">议堂变规划分析</w:t>
      </w:r>
      <w:bookmarkEnd w:id="21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该站基期主变组合为20+50 MVA。2025年区域正向峰值工况下，本站转接前净负荷为34.43 MW；区域最低净负荷工况下为-21.58 MW，受入为正、反送为负。2025年更换既有主变，新购31.50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目标年刚性方案主变容量为70.00 MVA、储能额定功率1.50 MW；弹性方案分别为81.50 MVA和0.00 MW。弹性方案本站增加11.50 MVA容量，为本地需求及站间支援提供条件。弹性方案2022—2025年主变总容量依次为70.00、70.00、70.00、81.50 MVA。目标年站级负载率为44%。</w:t>
      </w:r>
    </w:p>
    <w:p>
      <w:pPr>
        <w:pStyle w:val="2"/>
        <w:keepNext/>
        <w:spacing w:line="280" w:lineRule="exact" w:before="120" w:after="80"/>
        <w:ind w:firstLine="0"/>
        <w:jc w:val="center"/>
      </w:pPr>
      <w:r>
        <w:rPr>
          <w:rFonts w:ascii="Times New Roman" w:hAnsi="Times New Roman" w:eastAsia="宋体"/>
          <w:b w:val="0"/>
          <w:sz w:val="21"/>
        </w:rPr>
        <w:t xml:space="preserve">表5-31 议堂变年度配置与正向峰值正常转接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41.92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31.5+50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MW、承接7.42 MW，转接后净负荷为41.85 MW；区域最低净负荷工况下，转接后净负荷为-21.58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本站主变N-1工况下，剩余主变容量为31.50 MVA。重新安排转供后，两工况本站净负荷分别为19.48 MW和-21.58 MW；两方向容量约束的最小余量为8.35 MW，正向储能有效支撑功率为0.00 MW。</w:t>
      </w:r>
    </w:p>
    <w:p>
      <w:pPr>
        <w:pStyle w:val="5"/>
        <w:keepNext/>
        <w:numPr>
          <w:numId w:val="0"/>
        </w:numPr>
        <w:spacing w:line="390" w:lineRule="exact" w:before="160" w:after="120"/>
        <w:ind w:firstLine="0"/>
      </w:pPr>
      <w:bookmarkStart w:id="216" w:name="市区逐站规划方案"/>
      <w:r>
        <w:rPr>
          <w:rFonts w:ascii="Times New Roman" w:hAnsi="Times New Roman" w:eastAsia="方正仿宋_GBK"/>
          <w:b/>
          <w:sz w:val="26"/>
        </w:rPr>
        <w:t xml:space="preserve">5.4.5 市区逐站规划方案</w:t>
      </w:r>
      <w:bookmarkEnd w:id="216"/>
    </w:p>
    <w:p>
      <w:pPr>
        <w:pStyle w:val="FirstParagraph"/>
        <w:widowControl/>
        <w:spacing w:line="348" w:lineRule="exact" w:before="0" w:after="0"/>
        <w:ind w:firstLine="480"/>
        <w:jc w:val="both"/>
      </w:pPr>
      <w:r>
        <w:rPr>
          <w:rFonts w:ascii="Times New Roman" w:hAnsi="Times New Roman" w:eastAsia="方正仿宋_GBK"/>
          <w:b w:val="0"/>
          <w:sz w:val="24"/>
        </w:rPr>
        <w:t xml:space="preserve">市区26座具备设备对应资料的变电站分别列示逐年配置、正常转接及主变N-1校核结果。各站分析结合本地需求与邻站支援任务，说明设备组合和建设时点的差异。</w:t>
      </w:r>
    </w:p>
    <w:p>
      <w:pPr>
        <w:pStyle w:val="7"/>
        <w:keepNext/>
        <w:numPr>
          <w:numId w:val="0"/>
        </w:numPr>
        <w:spacing w:line="360" w:lineRule="exact" w:before="160" w:after="120"/>
        <w:ind w:firstLine="0"/>
      </w:pPr>
      <w:bookmarkStart w:id="217" w:name="大黄山变规划分析"/>
      <w:r>
        <w:rPr>
          <w:rFonts w:ascii="Times New Roman" w:hAnsi="Times New Roman" w:eastAsia="方正仿宋_GBK"/>
          <w:b/>
          <w:sz w:val="24"/>
        </w:rPr>
        <w:t xml:space="preserve">大黄山变规划分析</w:t>
      </w:r>
      <w:bookmarkEnd w:id="21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MVA。2025年区域正向峰值工况下，本站转接前净负荷为30.59 MW；区域最低净负荷工况下为-32.17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MW；弹性方案分别为103.00 MVA和0.00 MW。弹性方案2022—2025年主变总容量依次为103.00、103.00、103.00、103.00 MVA。目标年站级负载率为33%。</w:t>
      </w:r>
    </w:p>
    <w:p>
      <w:pPr>
        <w:pStyle w:val="2"/>
        <w:keepNext/>
        <w:spacing w:line="280" w:lineRule="exact" w:before="120" w:after="80"/>
        <w:ind w:firstLine="0"/>
        <w:jc w:val="center"/>
      </w:pPr>
      <w:r>
        <w:rPr>
          <w:rFonts w:ascii="Times New Roman" w:hAnsi="Times New Roman" w:eastAsia="宋体"/>
          <w:b w:val="0"/>
          <w:sz w:val="21"/>
        </w:rPr>
        <w:t xml:space="preserve">表5-32 大黄山变年度配置与正向峰值正常转接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38.33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30.59</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MW，转接后净负荷为30.59 MW；区域最低净负荷工况下，转接后净负荷为-32.17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MVA。重新安排转供后，两工况本站净负荷分别为30.59 MW和-32.17 MW；两方向容量约束的最小余量为5.83 MW，正向储能有效支撑功率为0.00 MW。</w:t>
      </w:r>
    </w:p>
    <w:p>
      <w:pPr>
        <w:pStyle w:val="7"/>
        <w:keepNext/>
        <w:numPr>
          <w:numId w:val="0"/>
        </w:numPr>
        <w:spacing w:line="360" w:lineRule="exact" w:before="160" w:after="120"/>
        <w:ind w:firstLine="0"/>
      </w:pPr>
      <w:bookmarkStart w:id="218" w:name="大庙变规划分析"/>
      <w:r>
        <w:rPr>
          <w:rFonts w:ascii="Times New Roman" w:hAnsi="Times New Roman" w:eastAsia="方正仿宋_GBK"/>
          <w:b/>
          <w:sz w:val="24"/>
        </w:rPr>
        <w:t xml:space="preserve">大庙变规划分析</w:t>
      </w:r>
      <w:bookmarkEnd w:id="21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MVA。2025年区域正向峰值工况下，本站转接前净负荷为69.73 MW；区域最低净负荷工况下为1.68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MW；弹性方案分别为140.00 MVA和0.00 MW。弹性方案本站增加50.00 MVA容量，为本地需求及站间支援提供条件。弹性方案2022—2025年主变总容量依次为140.00、140.00、140.00、140.00 MVA。目标年站级负载率为52%。</w:t>
      </w:r>
    </w:p>
    <w:p>
      <w:pPr>
        <w:pStyle w:val="2"/>
        <w:keepNext/>
        <w:spacing w:line="280" w:lineRule="exact" w:before="120" w:after="80"/>
        <w:ind w:firstLine="0"/>
        <w:jc w:val="center"/>
      </w:pPr>
      <w:r>
        <w:rPr>
          <w:rFonts w:ascii="Times New Roman" w:hAnsi="Times New Roman" w:eastAsia="宋体"/>
          <w:b w:val="0"/>
          <w:sz w:val="21"/>
        </w:rPr>
        <w:t xml:space="preserve">表5-33 大庙变年度配置与正向峰值正常转接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66.11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69.73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MW，转接后净负荷为69.73 MW；区域最低净负荷工况下，转接后净负荷为1.68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MVA。重新安排转供后，两工况本站净负荷分别为69.73 MW和1.68 MW；两方向容量约束的最小余量为15.77 MW，正向储能有效支撑功率为0.00 MW。</w:t>
      </w:r>
    </w:p>
    <w:p>
      <w:pPr>
        <w:pStyle w:val="7"/>
        <w:keepNext/>
        <w:numPr>
          <w:numId w:val="0"/>
        </w:numPr>
        <w:spacing w:line="360" w:lineRule="exact" w:before="160" w:after="120"/>
        <w:ind w:firstLine="0"/>
      </w:pPr>
      <w:bookmarkStart w:id="219" w:name="堤北变规划分析"/>
      <w:r>
        <w:rPr>
          <w:rFonts w:ascii="Times New Roman" w:hAnsi="Times New Roman" w:eastAsia="方正仿宋_GBK"/>
          <w:b/>
          <w:sz w:val="24"/>
        </w:rPr>
        <w:t xml:space="preserve">堤北变规划分析</w:t>
      </w:r>
      <w:bookmarkEnd w:id="21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MVA。2025年区域正向峰值工况下，本站转接前净负荷为100.47 MW；区域最低净负荷工况下为32.89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MW。弹性方案2022—2025年主变总容量依次为126.00、126.00、126.00、126.00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表5-34 堤北变年度配置与正向峰值正常转接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86.66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71.41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80.38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75.55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86.62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目标年正常方式下，区域正向峰值工况转出13.86 MW、承接0.00 MW，转接后净负荷为86.62 MW；区域最低净负荷工况下，转接后净负荷为32.89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MVA。重新安排转供后，两工况本站净负荷分别为58.90 MW和32.89 MW；两方向容量约束的最小余量为0.95 MW，正向储能有效支撑功率为0.00 MW。</w:t>
      </w:r>
    </w:p>
    <w:p>
      <w:pPr>
        <w:pStyle w:val="7"/>
        <w:keepNext/>
        <w:numPr>
          <w:numId w:val="0"/>
        </w:numPr>
        <w:spacing w:line="360" w:lineRule="exact" w:before="160" w:after="120"/>
        <w:ind w:firstLine="0"/>
      </w:pPr>
      <w:bookmarkStart w:id="220" w:name="翟山变规划分析"/>
      <w:r>
        <w:rPr>
          <w:rFonts w:ascii="Times New Roman" w:hAnsi="Times New Roman" w:eastAsia="方正仿宋_GBK"/>
          <w:b/>
          <w:sz w:val="24"/>
        </w:rPr>
        <w:t xml:space="preserve">翟山变规划分析</w:t>
      </w:r>
      <w:bookmarkEnd w:id="22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该站基期主变组合为40+80 MVA。2025年区域正向峰值工况下，本站转接前净负荷为87.01 MW；区域最低净负荷工况下为26.76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目标年刚性方案主变容量为120.00 MVA、储能额定功率0.00 MW；弹性方案分别为160.00 MVA和0.00 MW。弹性方案本站增加40.00 MVA容量，为本地需求及站间支援提供条件。弹性方案2022—2025年主变总容量依次为160.00、160.00、160.00、160.00 MVA。目标年站级负载率为57%。</w:t>
      </w:r>
    </w:p>
    <w:p>
      <w:pPr>
        <w:pStyle w:val="2"/>
        <w:keepNext/>
        <w:spacing w:line="280" w:lineRule="exact" w:before="120" w:after="80"/>
        <w:ind w:firstLine="0"/>
        <w:jc w:val="center"/>
      </w:pPr>
      <w:r>
        <w:rPr>
          <w:rFonts w:ascii="Times New Roman" w:hAnsi="Times New Roman" w:eastAsia="宋体"/>
          <w:b w:val="0"/>
          <w:sz w:val="21"/>
        </w:rPr>
        <w:t xml:space="preserve">表5-35 翟山变年度配置与正向峰值正常转接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81.52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87.77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82.49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87.01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MW，转接后净负荷为87.01 MW；区域最低净负荷工况下，转接后净负荷为26.76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MVA。重新安排转供后，两工况本站净负荷分别为72.98 MW和26.76 MW；两方向容量约束的最小余量为3.02 MW，正向储能有效支撑功率为0.00 MW。</w:t>
      </w:r>
    </w:p>
    <w:p>
      <w:pPr>
        <w:pStyle w:val="7"/>
        <w:keepNext/>
        <w:numPr>
          <w:numId w:val="0"/>
        </w:numPr>
        <w:spacing w:line="360" w:lineRule="exact" w:before="160" w:after="120"/>
        <w:ind w:firstLine="0"/>
      </w:pPr>
      <w:bookmarkStart w:id="221" w:name="古彭变规划分析"/>
      <w:r>
        <w:rPr>
          <w:rFonts w:ascii="Times New Roman" w:hAnsi="Times New Roman" w:eastAsia="方正仿宋_GBK"/>
          <w:b/>
          <w:sz w:val="24"/>
        </w:rPr>
        <w:t xml:space="preserve">古彭变规划分析</w:t>
      </w:r>
      <w:bookmarkEnd w:id="22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MVA。2025年区域正向峰值工况下，本站转接前净负荷为60.03 MW；区域最低净负荷工况下为24.10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MW。弹性方案2022—2025年主变总容量依次为130.00、130.00、130.00、130.00 MVA。目标年站级负载率为49%。</w:t>
      </w:r>
    </w:p>
    <w:p>
      <w:pPr>
        <w:pStyle w:val="2"/>
        <w:keepNext/>
        <w:spacing w:line="280" w:lineRule="exact" w:before="120" w:after="80"/>
        <w:ind w:firstLine="0"/>
        <w:jc w:val="center"/>
      </w:pPr>
      <w:r>
        <w:rPr>
          <w:rFonts w:ascii="Times New Roman" w:hAnsi="Times New Roman" w:eastAsia="宋体"/>
          <w:b w:val="0"/>
          <w:sz w:val="21"/>
        </w:rPr>
        <w:t xml:space="preserve">表5-36 古彭变年度配置与正向峰值正常转接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66.54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10.15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MW，转接后净负荷为60.03 MW；区域最低净负荷工况下，转接后净负荷为24.10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MVA。重新安排转供后，两工况本站净负荷分别为45.90 MW和24.10 MW；两方向容量约束的最小余量为1.60 MW，正向储能有效支撑功率为0.00 MW。</w:t>
      </w:r>
    </w:p>
    <w:p>
      <w:pPr>
        <w:pStyle w:val="7"/>
        <w:keepNext/>
        <w:numPr>
          <w:numId w:val="0"/>
        </w:numPr>
        <w:spacing w:line="360" w:lineRule="exact" w:before="160" w:after="120"/>
        <w:ind w:firstLine="0"/>
      </w:pPr>
      <w:bookmarkStart w:id="222" w:name="花园变规划分析"/>
      <w:r>
        <w:rPr>
          <w:rFonts w:ascii="Times New Roman" w:hAnsi="Times New Roman" w:eastAsia="方正仿宋_GBK"/>
          <w:b/>
          <w:sz w:val="24"/>
        </w:rPr>
        <w:t xml:space="preserve">花园变规划分析</w:t>
      </w:r>
      <w:bookmarkEnd w:id="22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MVA。2025年区域正向峰值工况下，本站转接前净负荷为49.60 MW；区域最低净负荷工况下为19.62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MVA。目标年站级负载率为65%。</w:t>
      </w:r>
    </w:p>
    <w:p>
      <w:pPr>
        <w:pStyle w:val="2"/>
        <w:keepNext/>
        <w:spacing w:line="280" w:lineRule="exact" w:before="120" w:after="80"/>
        <w:ind w:firstLine="0"/>
        <w:jc w:val="center"/>
      </w:pPr>
      <w:r>
        <w:rPr>
          <w:rFonts w:ascii="Times New Roman" w:hAnsi="Times New Roman" w:eastAsia="宋体"/>
          <w:b w:val="0"/>
          <w:sz w:val="21"/>
        </w:rPr>
        <w:t xml:space="preserve">表5-37 花园变年度配置与正向峰值正常转接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54.22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57.19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56.21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60.16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49.60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MW，转接后净负荷为49.60 MW；区域最低净负荷工况下，转接后净负荷为19.62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MVA。重新安排转供后，两工况本站净负荷分别为36.66 MW和19.62 MW；两方向容量约束的最小余量为1.34 MW，正向储能有效支撑功率为0.00 MW。</w:t>
      </w:r>
    </w:p>
    <w:p>
      <w:pPr>
        <w:pStyle w:val="7"/>
        <w:keepNext/>
        <w:numPr>
          <w:numId w:val="0"/>
        </w:numPr>
        <w:spacing w:line="360" w:lineRule="exact" w:before="160" w:after="120"/>
        <w:ind w:firstLine="0"/>
      </w:pPr>
      <w:bookmarkStart w:id="223" w:name="惠民变规划分析"/>
      <w:r>
        <w:rPr>
          <w:rFonts w:ascii="Times New Roman" w:hAnsi="Times New Roman" w:eastAsia="方正仿宋_GBK"/>
          <w:b/>
          <w:sz w:val="24"/>
        </w:rPr>
        <w:t xml:space="preserve">惠民变规划分析</w:t>
      </w:r>
      <w:bookmarkEnd w:id="22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MVA。2025年区域正向峰值工况下，本站转接前净负荷为74.38 MW；区域最低净负荷工况下为24.04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目标年刚性方案主变容量为113.00 MVA、储能额定功率1.80 MW；弹性方案分别为153.00 MVA和0.00 MW。弹性方案本站增加40.00 MVA容量，为本地需求及站间支援提供条件。弹性方案2022—2025年主变总容量依次为153.00、153.00、153.00、153.00 MVA。目标年站级负载率为51%。</w:t>
      </w:r>
    </w:p>
    <w:p>
      <w:pPr>
        <w:pStyle w:val="2"/>
        <w:keepNext/>
        <w:spacing w:line="280" w:lineRule="exact" w:before="120" w:after="80"/>
        <w:ind w:firstLine="0"/>
        <w:jc w:val="center"/>
      </w:pPr>
      <w:r>
        <w:rPr>
          <w:rFonts w:ascii="Times New Roman" w:hAnsi="Times New Roman" w:eastAsia="宋体"/>
          <w:b w:val="0"/>
          <w:sz w:val="21"/>
        </w:rPr>
        <w:t xml:space="preserve">表5-38 惠民变年度配置与正向峰值正常转接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70.51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40+63+50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74.38</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MW，转接后净负荷为74.38 MW；区域最低净负荷工况下，转接后净负荷为24.04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MVA。重新安排转供后，两工况本站净负荷分别为74.38 MW和24.04 MW；两方向容量约束的最小余量为11.12 MW，正向储能有效支撑功率为0.00 MW。</w:t>
      </w:r>
    </w:p>
    <w:p>
      <w:pPr>
        <w:pStyle w:val="7"/>
        <w:keepNext/>
        <w:numPr>
          <w:numId w:val="0"/>
        </w:numPr>
        <w:spacing w:line="360" w:lineRule="exact" w:before="160" w:after="120"/>
        <w:ind w:firstLine="0"/>
      </w:pPr>
      <w:bookmarkStart w:id="224" w:name="夹河变规划分析"/>
      <w:r>
        <w:rPr>
          <w:rFonts w:ascii="Times New Roman" w:hAnsi="Times New Roman" w:eastAsia="方正仿宋_GBK"/>
          <w:b/>
          <w:sz w:val="24"/>
        </w:rPr>
        <w:t xml:space="preserve">夹河变规划分析</w:t>
      </w:r>
      <w:bookmarkEnd w:id="22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MVA。2025年区域正向峰值工况下，本站转接前净负荷为46.06 MW；区域最低净负荷工况下为-6.81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MVA。目标年站级负载率为61%。</w:t>
      </w:r>
    </w:p>
    <w:p>
      <w:pPr>
        <w:pStyle w:val="2"/>
        <w:keepNext/>
        <w:spacing w:line="280" w:lineRule="exact" w:before="120" w:after="80"/>
        <w:ind w:firstLine="0"/>
        <w:jc w:val="center"/>
      </w:pPr>
      <w:r>
        <w:rPr>
          <w:rFonts w:ascii="Times New Roman" w:hAnsi="Times New Roman" w:eastAsia="宋体"/>
          <w:b w:val="0"/>
          <w:sz w:val="21"/>
        </w:rPr>
        <w:t xml:space="preserve">表5-39 夹河变年度配置与正向峰值正常转接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46.47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43.67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46.06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MW，转接后净负荷为46.06 MW；区域最低净负荷工况下，转接后净负荷为-6.81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MVA。重新安排转供后，两工况本站净负荷分别为35.43 MW和-6.81 MW；两方向容量约束的最小余量为2.57 MW，正向储能有效支撑功率为0.00 MW。</w:t>
      </w:r>
    </w:p>
    <w:p>
      <w:pPr>
        <w:pStyle w:val="7"/>
        <w:keepNext/>
        <w:numPr>
          <w:numId w:val="0"/>
        </w:numPr>
        <w:spacing w:line="360" w:lineRule="exact" w:before="160" w:after="120"/>
        <w:ind w:firstLine="0"/>
      </w:pPr>
      <w:bookmarkStart w:id="225" w:name="开元变规划分析"/>
      <w:r>
        <w:rPr>
          <w:rFonts w:ascii="Times New Roman" w:hAnsi="Times New Roman" w:eastAsia="方正仿宋_GBK"/>
          <w:b/>
          <w:sz w:val="24"/>
        </w:rPr>
        <w:t xml:space="preserve">开元变规划分析</w:t>
      </w:r>
      <w:bookmarkEnd w:id="22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该站基期主变组合为40+63 MVA。2025年区域正向峰值工况下，本站转接前净负荷为56.24 MW；区域最低净负荷工况下为13.51 MW，受入为正、反送为负。2022年更换既有主变，新购63.00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目标年刚性方案主变容量为103.00 MVA、储能额定功率0.00 MW；弹性方案分别为126.00 MVA和0.00 MW。弹性方案本站增加23.00 MVA容量，为本地需求及站间支援提供条件。弹性方案2022—2025年主变总容量依次为126.00、126.00、126.00、126.00 MVA。目标年站级负载率为47%。</w:t>
      </w:r>
    </w:p>
    <w:p>
      <w:pPr>
        <w:pStyle w:val="2"/>
        <w:keepNext/>
        <w:spacing w:line="280" w:lineRule="exact" w:before="120" w:after="80"/>
        <w:ind w:firstLine="0"/>
        <w:jc w:val="center"/>
      </w:pPr>
      <w:r>
        <w:rPr>
          <w:rFonts w:ascii="Times New Roman" w:hAnsi="Times New Roman" w:eastAsia="宋体"/>
          <w:b w:val="0"/>
          <w:sz w:val="21"/>
        </w:rPr>
        <w:t xml:space="preserve">表5-40 开元变年度配置与正向峰值正常转接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56.24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MW，转接后净负荷为56.24 MW；区域最低净负荷工况下，转接后净负荷为13.51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MVA。重新安排转供后，两工况本站净负荷分别为48.21 MW和13.51 MW；两方向容量约束的最小余量为11.64 MW，正向储能有效支撑功率为0.00 MW。</w:t>
      </w:r>
    </w:p>
    <w:p>
      <w:pPr>
        <w:pStyle w:val="7"/>
        <w:keepNext/>
        <w:numPr>
          <w:numId w:val="0"/>
        </w:numPr>
        <w:spacing w:line="360" w:lineRule="exact" w:before="160" w:after="120"/>
        <w:ind w:firstLine="0"/>
      </w:pPr>
      <w:bookmarkStart w:id="226" w:name="奎山变规划分析"/>
      <w:r>
        <w:rPr>
          <w:rFonts w:ascii="Times New Roman" w:hAnsi="Times New Roman" w:eastAsia="方正仿宋_GBK"/>
          <w:b/>
          <w:sz w:val="24"/>
        </w:rPr>
        <w:t xml:space="preserve">奎山变规划分析</w:t>
      </w:r>
      <w:bookmarkEnd w:id="22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MVA。2025年区域正向峰值工况下，本站转接前净负荷为71.44 MW；区域最低净负荷工况下为22.48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MW；弹性方案分别为130.00 MVA和0.00 MW。弹性方案2022—2025年主变总容量依次为130.00、130.00、130.00、130.00 MVA。目标年站级负载率为58%。</w:t>
      </w:r>
    </w:p>
    <w:p>
      <w:pPr>
        <w:pStyle w:val="2"/>
        <w:keepNext/>
        <w:spacing w:line="280" w:lineRule="exact" w:before="120" w:after="80"/>
        <w:ind w:firstLine="0"/>
        <w:jc w:val="center"/>
      </w:pPr>
      <w:r>
        <w:rPr>
          <w:rFonts w:ascii="Times New Roman" w:hAnsi="Times New Roman" w:eastAsia="宋体"/>
          <w:b w:val="0"/>
          <w:sz w:val="21"/>
        </w:rPr>
        <w:t xml:space="preserve">表5-41 奎山变年度配置与正向峰值正常转接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11.83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14.27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69.07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72.06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67.73</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71.44</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MW，转接后净负荷为71.44 MW；区域最低净负荷工况下，转接后净负荷为22.48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本站主变N-1工况下，剩余主变容量为50.00 MVA。重新安排转供后，两工况本站净负荷分别为47.50 MW和22.48 MW；两方向容量约束的最小余量为0.00 MW，正向储能有效支撑功率为0.00 MW。</w:t>
      </w:r>
    </w:p>
    <w:p>
      <w:pPr>
        <w:pStyle w:val="7"/>
        <w:keepNext/>
        <w:numPr>
          <w:numId w:val="0"/>
        </w:numPr>
        <w:spacing w:line="360" w:lineRule="exact" w:before="160" w:after="120"/>
        <w:ind w:firstLine="0"/>
      </w:pPr>
      <w:bookmarkStart w:id="227" w:name="刘湾变规划分析"/>
      <w:r>
        <w:rPr>
          <w:rFonts w:ascii="Times New Roman" w:hAnsi="Times New Roman" w:eastAsia="方正仿宋_GBK"/>
          <w:b/>
          <w:sz w:val="24"/>
        </w:rPr>
        <w:t xml:space="preserve">刘湾变规划分析</w:t>
      </w:r>
      <w:bookmarkEnd w:id="22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MVA。2025年区域正向峰值工况下，本站转接前净负荷为60.43 MW；区域最低净负荷工况下为2.04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MW。弹性方案2022—2025年主变总容量依次为90.00、90.00、90.00、90.00 MVA。目标年站级负载率为71%。</w:t>
      </w:r>
    </w:p>
    <w:p>
      <w:pPr>
        <w:pStyle w:val="2"/>
        <w:keepNext/>
        <w:spacing w:line="280" w:lineRule="exact" w:before="120" w:after="80"/>
        <w:ind w:firstLine="0"/>
        <w:jc w:val="center"/>
      </w:pPr>
      <w:r>
        <w:rPr>
          <w:rFonts w:ascii="Times New Roman" w:hAnsi="Times New Roman" w:eastAsia="宋体"/>
          <w:b w:val="0"/>
          <w:sz w:val="21"/>
        </w:rPr>
        <w:t xml:space="preserve">表5-42 刘湾变年度配置与正向峰值正常转接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9.17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48.13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67.95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60.11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目标年正常方式下，区域正向峰值工况转出7.25 MW、承接6.93 MW，转接后净负荷为60.11 MW；区域最低净负荷工况下，转接后净负荷为2.04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MVA。重新安排转供后，两工况本站净负荷分别为36.26 MW和2.04 MW；两方向容量约束的最小余量为1.74 MW，正向储能有效支撑功率为0.00 MW。</w:t>
      </w:r>
    </w:p>
    <w:p>
      <w:pPr>
        <w:pStyle w:val="7"/>
        <w:keepNext/>
        <w:numPr>
          <w:numId w:val="0"/>
        </w:numPr>
        <w:spacing w:line="360" w:lineRule="exact" w:before="160" w:after="120"/>
        <w:ind w:firstLine="0"/>
      </w:pPr>
      <w:bookmarkStart w:id="228" w:name="龙湖变规划分析"/>
      <w:r>
        <w:rPr>
          <w:rFonts w:ascii="Times New Roman" w:hAnsi="Times New Roman" w:eastAsia="方正仿宋_GBK"/>
          <w:b/>
          <w:sz w:val="24"/>
        </w:rPr>
        <w:t xml:space="preserve">龙湖变规划分析</w:t>
      </w:r>
      <w:bookmarkEnd w:id="22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MVA。2025年区域正向峰值工况下，本站转接前净负荷为28.53 MW；区域最低净负荷工况下为9.38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表5-43 龙湖变年度配置与正向峰值正常转接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31.39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MW，转接后净负荷为28.53 MW；区域最低净负荷工况下，转接后净负荷为9.38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MVA。重新安排转供后，两工况本站净负荷分别为28.53 MW和9.38 MW；两方向容量约束的最小余量为9.47 MW，正向储能有效支撑功率为0.00 MW。</w:t>
      </w:r>
    </w:p>
    <w:p>
      <w:pPr>
        <w:pStyle w:val="7"/>
        <w:keepNext/>
        <w:numPr>
          <w:numId w:val="0"/>
        </w:numPr>
        <w:spacing w:line="360" w:lineRule="exact" w:before="160" w:after="120"/>
        <w:ind w:firstLine="0"/>
      </w:pPr>
      <w:bookmarkStart w:id="229" w:name="千伏庞庄变规划分析"/>
      <w:r>
        <w:rPr>
          <w:rFonts w:ascii="Times New Roman" w:hAnsi="Times New Roman" w:eastAsia="方正仿宋_GBK"/>
          <w:b/>
          <w:sz w:val="24"/>
        </w:rPr>
        <w:t xml:space="preserve">110千伏庞庄变规划分析</w:t>
      </w:r>
      <w:bookmarkEnd w:id="22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MVA。2025年区域正向峰值工况下，本站转接前净负荷为9.50 MW；区域最低净负荷工况下为-6.87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MVA。目标年站级负载率为13%。</w:t>
      </w:r>
    </w:p>
    <w:p>
      <w:pPr>
        <w:pStyle w:val="2"/>
        <w:keepNext/>
        <w:spacing w:line="280" w:lineRule="exact" w:before="120" w:after="80"/>
        <w:ind w:firstLine="0"/>
        <w:jc w:val="center"/>
      </w:pPr>
      <w:r>
        <w:rPr>
          <w:rFonts w:ascii="Times New Roman" w:hAnsi="Times New Roman" w:eastAsia="宋体"/>
          <w:b w:val="0"/>
          <w:sz w:val="21"/>
        </w:rPr>
        <w:t xml:space="preserve">表5-44 110千伏庞庄变年度配置与正向峰值正常转接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13.53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9.50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MW，转接后净负荷为9.50 MW；区域最低净负荷工况下，转接后净负荷为-6.87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MVA。重新安排转供后，两工况本站净负荷分别为9.50 MW和-6.87 MW；两方向容量约束的最小余量为28.50 MW，正向储能有效支撑功率为0.00 MW。</w:t>
      </w:r>
    </w:p>
    <w:p>
      <w:pPr>
        <w:pStyle w:val="7"/>
        <w:keepNext/>
        <w:numPr>
          <w:numId w:val="0"/>
        </w:numPr>
        <w:spacing w:line="360" w:lineRule="exact" w:before="160" w:after="120"/>
        <w:ind w:firstLine="0"/>
      </w:pPr>
      <w:bookmarkStart w:id="230" w:name="彭场变规划分析"/>
      <w:r>
        <w:rPr>
          <w:rFonts w:ascii="Times New Roman" w:hAnsi="Times New Roman" w:eastAsia="方正仿宋_GBK"/>
          <w:b/>
          <w:sz w:val="24"/>
        </w:rPr>
        <w:t xml:space="preserve">彭场变规划分析</w:t>
      </w:r>
      <w:bookmarkEnd w:id="23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MVA。2025年区域正向峰值工况下，本站转接前净负荷为55.66 MW；区域最低净负荷工况下为7.76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目标年刚性方案主变容量为100.00 MVA、储能额定功率0.40 MW；弹性方案分别为140.00 MVA和0.00 MW。弹性方案本站增加40.00 MVA容量，为本地需求及站间支援提供条件。弹性方案2022—2025年主变总容量依次为140.00、140.00、140.00、140.00 MVA。目标年站级负载率为42%。</w:t>
      </w:r>
    </w:p>
    <w:p>
      <w:pPr>
        <w:pStyle w:val="2"/>
        <w:keepNext/>
        <w:spacing w:line="280" w:lineRule="exact" w:before="120" w:after="80"/>
        <w:ind w:firstLine="0"/>
        <w:jc w:val="center"/>
      </w:pPr>
      <w:r>
        <w:rPr>
          <w:rFonts w:ascii="Times New Roman" w:hAnsi="Times New Roman" w:eastAsia="宋体"/>
          <w:b w:val="0"/>
          <w:sz w:val="21"/>
        </w:rPr>
        <w:t xml:space="preserve">表5-45 彭场变年度配置与正向峰值正常转接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7.74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59.88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62.56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56.15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52.77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55.66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MW，转接后净负荷为55.66 MW；区域最低净负荷工况下，转接后净负荷为7.76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本站主变N-1工况下，剩余主变容量为90.00 MVA。重新安排转供后，两工况本站净负荷分别为55.66 MW和7.76 MW；两方向容量约束的最小余量为29.84 MW，正向储能有效支撑功率为0.00 MW。</w:t>
      </w:r>
    </w:p>
    <w:p>
      <w:pPr>
        <w:pStyle w:val="7"/>
        <w:keepNext/>
        <w:numPr>
          <w:numId w:val="0"/>
        </w:numPr>
        <w:spacing w:line="360" w:lineRule="exact" w:before="160" w:after="120"/>
        <w:ind w:firstLine="0"/>
      </w:pPr>
      <w:bookmarkStart w:id="231" w:name="庆云桥变规划分析"/>
      <w:r>
        <w:rPr>
          <w:rFonts w:ascii="Times New Roman" w:hAnsi="Times New Roman" w:eastAsia="方正仿宋_GBK"/>
          <w:b/>
          <w:sz w:val="24"/>
        </w:rPr>
        <w:t xml:space="preserve">庆云桥变规划分析</w:t>
      </w:r>
      <w:bookmarkEnd w:id="23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MVA。2025年区域正向峰值工况下，本站转接前净负荷为58.45 MW；区域最低净负荷工况下为17.85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MVA。目标年站级负载率为77%。</w:t>
      </w:r>
    </w:p>
    <w:p>
      <w:pPr>
        <w:pStyle w:val="2"/>
        <w:keepNext/>
        <w:spacing w:line="280" w:lineRule="exact" w:before="120" w:after="80"/>
        <w:ind w:firstLine="0"/>
        <w:jc w:val="center"/>
      </w:pPr>
      <w:r>
        <w:rPr>
          <w:rFonts w:ascii="Times New Roman" w:hAnsi="Times New Roman" w:eastAsia="宋体"/>
          <w:b w:val="0"/>
          <w:sz w:val="21"/>
        </w:rPr>
        <w:t xml:space="preserve">表5-46 庆云桥变年度配置与正向峰值正常转接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16.21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61.25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47.85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62.72</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目标年正常方式下，区域正向峰值工况转出2.66 MW、承接6.93 MW，转接后净负荷为62.72 MW；区域最低净负荷工况下，转接后净负荷为17.85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MVA。重新安排转供后，两工况本站净负荷分别为37.19 MW和17.85 MW；两方向容量约束的最小余量为0.81 MW，正向储能有效支撑功率为0.00 MW。</w:t>
      </w:r>
    </w:p>
    <w:p>
      <w:pPr>
        <w:pStyle w:val="7"/>
        <w:keepNext/>
        <w:numPr>
          <w:numId w:val="0"/>
        </w:numPr>
        <w:spacing w:line="360" w:lineRule="exact" w:before="160" w:after="120"/>
        <w:ind w:firstLine="0"/>
      </w:pPr>
      <w:bookmarkStart w:id="232" w:name="山南变规划分析"/>
      <w:r>
        <w:rPr>
          <w:rFonts w:ascii="Times New Roman" w:hAnsi="Times New Roman" w:eastAsia="方正仿宋_GBK"/>
          <w:b/>
          <w:sz w:val="24"/>
        </w:rPr>
        <w:t xml:space="preserve">山南变规划分析</w:t>
      </w:r>
      <w:bookmarkEnd w:id="23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MVA。2025年区域正向峰值工况下，本站转接前净负荷为5.80 MW；区域最低净负荷工况下为0.64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MVA。目标年站级负载率为8%。</w:t>
      </w:r>
    </w:p>
    <w:p>
      <w:pPr>
        <w:pStyle w:val="2"/>
        <w:keepNext/>
        <w:spacing w:line="280" w:lineRule="exact" w:before="120" w:after="80"/>
        <w:ind w:firstLine="0"/>
        <w:jc w:val="center"/>
      </w:pPr>
      <w:r>
        <w:rPr>
          <w:rFonts w:ascii="Times New Roman" w:hAnsi="Times New Roman" w:eastAsia="宋体"/>
          <w:b w:val="0"/>
          <w:sz w:val="21"/>
        </w:rPr>
        <w:t xml:space="preserve">表5-47 山南变年度配置与正向峰值正常转接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5.85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5.80</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MW，转接后净负荷为5.80 MW；区域最低净负荷工况下，转接后净负荷为0.64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MVA。重新安排转供后，两工况本站净负荷分别为5.80 MW和0.64 MW；两方向容量约束的最小余量为32.20 MW，正向储能有效支撑功率为0.00 MW。</w:t>
      </w:r>
    </w:p>
    <w:p>
      <w:pPr>
        <w:pStyle w:val="7"/>
        <w:keepNext/>
        <w:numPr>
          <w:numId w:val="0"/>
        </w:numPr>
        <w:spacing w:line="360" w:lineRule="exact" w:before="160" w:after="120"/>
        <w:ind w:firstLine="0"/>
      </w:pPr>
      <w:bookmarkStart w:id="233" w:name="升辉变规划分析"/>
      <w:r>
        <w:rPr>
          <w:rFonts w:ascii="Times New Roman" w:hAnsi="Times New Roman" w:eastAsia="方正仿宋_GBK"/>
          <w:b/>
          <w:sz w:val="24"/>
        </w:rPr>
        <w:t xml:space="preserve">升辉变规划分析</w:t>
      </w:r>
      <w:bookmarkEnd w:id="233"/>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该站基期主变组合为80+80 MVA。2025年区域正向峰值工况下，本站转接前净负荷为28.55 MW；区域最低净负荷工况下为11.59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MVA、储能额定功率0.00 MW；弹性方案分别为160.00 MVA和0.00 MW。弹性方案2022—2025年主变总容量依次为160.00、160.00、160.00、160.00 MVA。目标年站级负载率为19%。</w:t>
      </w:r>
    </w:p>
    <w:p>
      <w:pPr>
        <w:pStyle w:val="2"/>
        <w:keepNext/>
        <w:spacing w:line="280" w:lineRule="exact" w:before="120" w:after="80"/>
        <w:ind w:firstLine="0"/>
        <w:jc w:val="center"/>
      </w:pPr>
      <w:r>
        <w:rPr>
          <w:rFonts w:ascii="Times New Roman" w:hAnsi="Times New Roman" w:eastAsia="宋体"/>
          <w:b w:val="0"/>
          <w:sz w:val="21"/>
        </w:rPr>
        <w:t xml:space="preserve">表5-48 升辉变年度配置与正向峰值正常转接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35.73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26.75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27.07</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MW，转接后净负荷为28.55 MW；区域最低净负荷工况下，转接后净负荷为11.59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MVA。重新安排转供后，两工况本站净负荷分别为28.55 MW和11.59 MW；两方向容量约束的最小余量为47.45 MW，正向储能有效支撑功率为0.00 MW。</w:t>
      </w:r>
    </w:p>
    <w:p>
      <w:pPr>
        <w:pStyle w:val="7"/>
        <w:keepNext/>
        <w:numPr>
          <w:numId w:val="0"/>
        </w:numPr>
        <w:spacing w:line="360" w:lineRule="exact" w:before="160" w:after="120"/>
        <w:ind w:firstLine="0"/>
      </w:pPr>
      <w:bookmarkStart w:id="234" w:name="石桥变规划分析"/>
      <w:r>
        <w:rPr>
          <w:rFonts w:ascii="Times New Roman" w:hAnsi="Times New Roman" w:eastAsia="方正仿宋_GBK"/>
          <w:b/>
          <w:sz w:val="24"/>
        </w:rPr>
        <w:t xml:space="preserve">石桥变规划分析</w:t>
      </w:r>
      <w:bookmarkEnd w:id="234"/>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该站基期主变组合为63+80 MVA。2025年区域正向峰值工况下，本站转接前净负荷为103.71 MW；区域最低净负荷工况下为2.91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目标年刚性方案主变容量为160.00 MVA、储能额定功率0.80 MW；弹性方案分别为160.00 MVA和0.00 MW。两类方案本站主变总容量相同，储能配置差异需结合主变组合和邻站转接安排分析。弹性方案2022—2025年主变总容量依次为160.00、160.00、160.00、160.00 MVA。目标年站级负载率为68%。</w:t>
      </w:r>
    </w:p>
    <w:p>
      <w:pPr>
        <w:pStyle w:val="2"/>
        <w:keepNext/>
        <w:spacing w:line="280" w:lineRule="exact" w:before="120" w:after="80"/>
        <w:ind w:firstLine="0"/>
        <w:jc w:val="center"/>
      </w:pPr>
      <w:r>
        <w:rPr>
          <w:rFonts w:ascii="Times New Roman" w:hAnsi="Times New Roman" w:eastAsia="宋体"/>
          <w:b w:val="0"/>
          <w:sz w:val="21"/>
        </w:rPr>
        <w:t xml:space="preserve">表5-49 石桥变年度配置与正向峰值正常转接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143.00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79.71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105.20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27.16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97.17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104.62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98.32</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116.87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MW、承接13.15 MW，转接后净负荷为116.87 MW；区域最低净负荷工况下，转接后净负荷为2.91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MVA。重新安排转供后，两工况本站净负荷分别为74.08 MW和2.91 MW；两方向容量约束的最小余量为1.92 MW，正向储能有效支撑功率为0.00 MW。</w:t>
      </w:r>
    </w:p>
    <w:p>
      <w:pPr>
        <w:pStyle w:val="7"/>
        <w:keepNext/>
        <w:numPr>
          <w:numId w:val="0"/>
        </w:numPr>
        <w:spacing w:line="360" w:lineRule="exact" w:before="160" w:after="120"/>
        <w:ind w:firstLine="0"/>
      </w:pPr>
      <w:bookmarkStart w:id="235" w:name="拾屯变规划分析"/>
      <w:r>
        <w:rPr>
          <w:rFonts w:ascii="Times New Roman" w:hAnsi="Times New Roman" w:eastAsia="方正仿宋_GBK"/>
          <w:b/>
          <w:sz w:val="24"/>
        </w:rPr>
        <w:t xml:space="preserve">拾屯变规划分析</w:t>
      </w:r>
      <w:bookmarkEnd w:id="235"/>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MVA。2025年区域正向峰值工况下，本站转接前净负荷为72.26 MW；区域最低净负荷工况下为4.74 MW，受入为正、反送为负。2022年扩建一台50 MVA主变。</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MW；弹性方案分别为130.00 MVA和0.00 MW。弹性方案本站增加50.00 MVA容量，为本地需求及站间支援提供条件。弹性方案2022—2025年主变总容量依次为130.00、130.00、130.00、130.00 MVA。目标年站级负载率为59%。</w:t>
      </w:r>
    </w:p>
    <w:p>
      <w:pPr>
        <w:pStyle w:val="2"/>
        <w:keepNext/>
        <w:spacing w:line="280" w:lineRule="exact" w:before="120" w:after="80"/>
        <w:ind w:firstLine="0"/>
        <w:jc w:val="center"/>
      </w:pPr>
      <w:r>
        <w:rPr>
          <w:rFonts w:ascii="Times New Roman" w:hAnsi="Times New Roman" w:eastAsia="宋体"/>
          <w:b w:val="0"/>
          <w:sz w:val="21"/>
        </w:rPr>
        <w:t xml:space="preserve">表5-50 拾屯变年度配置与正向峰值正常转接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20.64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61.48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67.70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72.26</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MW，转接后净负荷为72.26 MW；区域最低净负荷工况下，转接后净负荷为4.74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MVA。重新安排转供后，两工况本站净负荷分别为68.13 MW和4.74 MW；两方向容量约束的最小余量为7.87 MW，正向储能有效支撑功率为0.00 MW。</w:t>
      </w:r>
    </w:p>
    <w:p>
      <w:pPr>
        <w:pStyle w:val="7"/>
        <w:keepNext/>
        <w:numPr>
          <w:numId w:val="0"/>
        </w:numPr>
        <w:spacing w:line="360" w:lineRule="exact" w:before="160" w:after="120"/>
        <w:ind w:firstLine="0"/>
      </w:pPr>
      <w:bookmarkStart w:id="236" w:name="统一变规划分析"/>
      <w:r>
        <w:rPr>
          <w:rFonts w:ascii="Times New Roman" w:hAnsi="Times New Roman" w:eastAsia="方正仿宋_GBK"/>
          <w:b/>
          <w:sz w:val="24"/>
        </w:rPr>
        <w:t xml:space="preserve">统一变规划分析</w:t>
      </w:r>
      <w:bookmarkEnd w:id="236"/>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MVA。2025年区域正向峰值工况下，本站转接前净负荷为91.55 MW；区域最低净负荷工况下为14.84 MW，受入为正、反送为负。2022年更换既有主变，新购160.00 MVA；2023年新增储能0.50 MW/1.07 MWh。</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MW；弹性方案分别为160.00 MVA和0.50 MW。弹性方案本站增加80.00 MVA容量，为本地需求及站间支援提供条件。弹性方案2022—2025年主变总容量依次为160.00、160.00、160.00、160.00 MVA。目标年站级负载率为60%。</w:t>
      </w:r>
    </w:p>
    <w:p>
      <w:pPr>
        <w:pStyle w:val="2"/>
        <w:keepNext/>
        <w:spacing w:line="280" w:lineRule="exact" w:before="120" w:after="80"/>
        <w:ind w:firstLine="0"/>
        <w:jc w:val="center"/>
      </w:pPr>
      <w:r>
        <w:rPr>
          <w:rFonts w:ascii="Times New Roman" w:hAnsi="Times New Roman" w:eastAsia="宋体"/>
          <w:b w:val="0"/>
          <w:sz w:val="21"/>
        </w:rPr>
        <w:t xml:space="preserve">表5-51 统一变年度配置与正向峰值正常转接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43.87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45.57</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68.45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83.63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92.36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86.80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91.55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MW，转接后净负荷为91.55 MW；区域最低净负荷工况下，转接后净负荷为14.84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MVA。重新安排转供后，两工况本站净负荷分别为75.53 MW和14.84 MW；两方向容量约束的最小余量为0.67 MW，正向储能有效支撑功率为0.20 MW。</w:t>
      </w:r>
    </w:p>
    <w:p>
      <w:pPr>
        <w:pStyle w:val="7"/>
        <w:keepNext/>
        <w:numPr>
          <w:numId w:val="0"/>
        </w:numPr>
        <w:spacing w:line="360" w:lineRule="exact" w:before="160" w:after="120"/>
        <w:ind w:firstLine="0"/>
      </w:pPr>
      <w:bookmarkStart w:id="237" w:name="吴庄变规划分析"/>
      <w:r>
        <w:rPr>
          <w:rFonts w:ascii="Times New Roman" w:hAnsi="Times New Roman" w:eastAsia="方正仿宋_GBK"/>
          <w:b/>
          <w:sz w:val="24"/>
        </w:rPr>
        <w:t xml:space="preserve">吴庄变规划分析</w:t>
      </w:r>
      <w:bookmarkEnd w:id="237"/>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该站基期主变组合为50+80 MVA。2025年区域正向峰值工况下，本站转接前净负荷为96.47 MW；区域最低净负荷工况下为31.10 MW，受入为正、反送为负。2022年更换既有主变，新购80.00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目标年刚性方案主变容量为130.00 MVA、储能额定功率0.00 MW；弹性方案分别为160.00 MVA和0.00 MW。弹性方案本站增加30.00 MVA容量，为本地需求及站间支援提供条件。弹性方案2022—2025年主变总容量依次为160.00、160.00、160.00、160.00 MVA。目标年站级负载率为63%。</w:t>
      </w:r>
    </w:p>
    <w:p>
      <w:pPr>
        <w:pStyle w:val="2"/>
        <w:keepNext/>
        <w:spacing w:line="280" w:lineRule="exact" w:before="120" w:after="80"/>
        <w:ind w:firstLine="0"/>
        <w:jc w:val="center"/>
      </w:pPr>
      <w:r>
        <w:rPr>
          <w:rFonts w:ascii="Times New Roman" w:hAnsi="Times New Roman" w:eastAsia="宋体"/>
          <w:b w:val="0"/>
          <w:sz w:val="21"/>
        </w:rPr>
        <w:t xml:space="preserve">表5-52 吴庄变年度配置与正向峰值正常转接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80.29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22.87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68.60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17.84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97.43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90.39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98.48</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103.87</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MW、承接7.40 MW，转接后净负荷为103.87 MW；区域最低净负荷工况下，转接后净负荷为31.10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MVA。重新安排转供后，两工况本站净负荷分别为74.77 MW和31.10 MW；两方向容量约束的最小余量为1.23 MW，正向储能有效支撑功率为0.00 MW。</w:t>
      </w:r>
    </w:p>
    <w:p>
      <w:pPr>
        <w:pStyle w:val="7"/>
        <w:keepNext/>
        <w:numPr>
          <w:numId w:val="0"/>
        </w:numPr>
        <w:spacing w:line="360" w:lineRule="exact" w:before="160" w:after="120"/>
        <w:ind w:firstLine="0"/>
      </w:pPr>
      <w:bookmarkStart w:id="238" w:name="西郊变规划分析"/>
      <w:r>
        <w:rPr>
          <w:rFonts w:ascii="Times New Roman" w:hAnsi="Times New Roman" w:eastAsia="方正仿宋_GBK"/>
          <w:b/>
          <w:sz w:val="24"/>
        </w:rPr>
        <w:t xml:space="preserve">西郊变规划分析</w:t>
      </w:r>
      <w:bookmarkEnd w:id="238"/>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MVA。2025年区域正向峰值工况下，本站转接前净负荷为128.27 MW；区域最低净负荷工况下为32.04 MW，受入为正、反送为负。2022年更换既有主变，新购160.00 MVA。</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MW；弹性方案分别为160.00 MVA和0.00 MW。弹性方案本站增加34.00 MVA容量，为本地需求及站间支援提供条件。弹性方案2022—2025年主变总容量依次为160.00、160.00、160.00、160.00 MVA。目标年站级负载率为84%。</w:t>
      </w:r>
    </w:p>
    <w:p>
      <w:pPr>
        <w:pStyle w:val="2"/>
        <w:keepNext/>
        <w:spacing w:line="280" w:lineRule="exact" w:before="120" w:after="80"/>
        <w:ind w:firstLine="0"/>
        <w:jc w:val="center"/>
      </w:pPr>
      <w:r>
        <w:rPr>
          <w:rFonts w:ascii="Times New Roman" w:hAnsi="Times New Roman" w:eastAsia="宋体"/>
          <w:b w:val="0"/>
          <w:sz w:val="21"/>
        </w:rPr>
        <w:t xml:space="preserve">表5-53 西郊变年度配置与正向峰值正常转接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34.67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39.81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37.42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84.19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78.93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120.18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2.49</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132.26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7.56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122.15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123.53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目标年正常方式下，区域正向峰值工况转出7.40 MW、承接2.66 MW，转接后净负荷为123.53 MW；区域最低净负荷工况下，转接后净负荷为32.04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本站主变N-1工况下，剩余主变容量为80.00 MVA。重新安排转供后，两工况本站净负荷分别为74.00 MW和32.04 MW；两方向容量约束的最小余量为2.00 MW，正向储能有效支撑功率为0.00 MW。</w:t>
      </w:r>
    </w:p>
    <w:p>
      <w:pPr>
        <w:pStyle w:val="7"/>
        <w:keepNext/>
        <w:numPr>
          <w:numId w:val="0"/>
        </w:numPr>
        <w:spacing w:line="360" w:lineRule="exact" w:before="160" w:after="120"/>
        <w:ind w:firstLine="0"/>
      </w:pPr>
      <w:bookmarkStart w:id="239" w:name="祥和变规划分析"/>
      <w:r>
        <w:rPr>
          <w:rFonts w:ascii="Times New Roman" w:hAnsi="Times New Roman" w:eastAsia="方正仿宋_GBK"/>
          <w:b/>
          <w:sz w:val="24"/>
        </w:rPr>
        <w:t xml:space="preserve">祥和变规划分析</w:t>
      </w:r>
      <w:bookmarkEnd w:id="239"/>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该站基期主变组合为40+50 MVA。2025年区域正向峰值工况下，本站转接前净负荷为19.35 MW；区域最低净负荷工况下为5.17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目标年刚性方案主变容量为90.00 MVA、储能额定功率0.00 MW；弹性方案分别为90.00 MVA和0.00 MW。弹性方案2022—2025年主变总容量依次为90.00、90.00、90.00、90.00 MVA。目标年站级负载率为23%。</w:t>
      </w:r>
    </w:p>
    <w:p>
      <w:pPr>
        <w:pStyle w:val="2"/>
        <w:keepNext/>
        <w:spacing w:line="280" w:lineRule="exact" w:before="120" w:after="80"/>
        <w:ind w:firstLine="0"/>
        <w:jc w:val="center"/>
      </w:pPr>
      <w:r>
        <w:rPr>
          <w:rFonts w:ascii="Times New Roman" w:hAnsi="Times New Roman" w:eastAsia="宋体"/>
          <w:b w:val="0"/>
          <w:sz w:val="21"/>
        </w:rPr>
        <w:t xml:space="preserve">表5-54 祥和变年度配置与正向峰值正常转接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20.44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24.49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23.02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24.28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18.12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18.34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19.35</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MW，转接后净负荷为19.35 MW；区域最低净负荷工况下，转接后净负荷为5.17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MVA。重新安排转供后，两工况本站净负荷分别为19.35 MW和5.17 MW；两方向容量约束的最小余量为18.65 MW，正向储能有效支撑功率为0.00 MW。</w:t>
      </w:r>
    </w:p>
    <w:p>
      <w:pPr>
        <w:pStyle w:val="7"/>
        <w:keepNext/>
        <w:numPr>
          <w:numId w:val="0"/>
        </w:numPr>
        <w:spacing w:line="360" w:lineRule="exact" w:before="160" w:after="120"/>
        <w:ind w:firstLine="0"/>
      </w:pPr>
      <w:bookmarkStart w:id="240" w:name="响山变规划分析"/>
      <w:r>
        <w:rPr>
          <w:rFonts w:ascii="Times New Roman" w:hAnsi="Times New Roman" w:eastAsia="方正仿宋_GBK"/>
          <w:b/>
          <w:sz w:val="24"/>
        </w:rPr>
        <w:t xml:space="preserve">响山变规划分析</w:t>
      </w:r>
      <w:bookmarkEnd w:id="240"/>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MVA。2025年区域正向峰值工况下，本站转接前净负荷为53.11 MW；区域最低净负荷工况下为11.38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MVA、储能额定功率1.80 MW；弹性方案分别为80.00 MVA和0.00 MW。两类方案本站主变总容量相同，储能配置差异需结合主变组合和邻站转接安排分析。弹性方案2022—2025年主变总容量依次为80.00、80.00、80.00、80.00 MVA。目标年站级负载率为70%。</w:t>
      </w:r>
    </w:p>
    <w:p>
      <w:pPr>
        <w:pStyle w:val="2"/>
        <w:keepNext/>
        <w:spacing w:line="280" w:lineRule="exact" w:before="120" w:after="80"/>
        <w:ind w:firstLine="0"/>
        <w:jc w:val="center"/>
      </w:pPr>
      <w:r>
        <w:rPr>
          <w:rFonts w:ascii="Times New Roman" w:hAnsi="Times New Roman" w:eastAsia="宋体"/>
          <w:b w:val="0"/>
          <w:sz w:val="21"/>
        </w:rPr>
        <w:t xml:space="preserve">表5-55 响山变年度配置与正向峰值正常转接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63.54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9.88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62.99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49.76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53.58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50.35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5.90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47.21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目标年正常方式下，区域正向峰值工况转出5.90 MW、承接0.00 MW，转接后净负荷为47.21 MW；区域最低净负荷工况下，转接后净负荷为11.38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MVA。重新安排转供后，两工况本站净负荷分别为38.00 MW和11.38 MW；两方向容量约束的最小余量为0.00 MW，正向储能有效支撑功率为0.00 MW。</w:t>
      </w:r>
    </w:p>
    <w:p>
      <w:pPr>
        <w:pStyle w:val="7"/>
        <w:keepNext/>
        <w:numPr>
          <w:numId w:val="0"/>
        </w:numPr>
        <w:spacing w:line="360" w:lineRule="exact" w:before="160" w:after="120"/>
        <w:ind w:firstLine="0"/>
      </w:pPr>
      <w:bookmarkStart w:id="241" w:name="玉潭变规划分析"/>
      <w:r>
        <w:rPr>
          <w:rFonts w:ascii="Times New Roman" w:hAnsi="Times New Roman" w:eastAsia="方正仿宋_GBK"/>
          <w:b/>
          <w:sz w:val="24"/>
        </w:rPr>
        <w:t xml:space="preserve">玉潭变规划分析</w:t>
      </w:r>
      <w:bookmarkEnd w:id="241"/>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该站基期主变组合为63+63 MVA。2025年区域正向峰值工况下，本站转接前净负荷为45.03 MW；区域最低净负荷工况下为9.12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目标年刚性方案主变容量为126.00 MVA、储能额定功率0.00 MW；弹性方案分别为126.00 MVA和0.00 MW。弹性方案2022—2025年主变总容量依次为126.00、126.00、126.00、126.00 MVA。目标年站级负载率为38%。</w:t>
      </w:r>
    </w:p>
    <w:p>
      <w:pPr>
        <w:pStyle w:val="2"/>
        <w:keepNext/>
        <w:spacing w:line="280" w:lineRule="exact" w:before="120" w:after="80"/>
        <w:ind w:firstLine="0"/>
        <w:jc w:val="center"/>
      </w:pPr>
      <w:r>
        <w:rPr>
          <w:rFonts w:ascii="Times New Roman" w:hAnsi="Times New Roman" w:eastAsia="宋体"/>
          <w:b w:val="0"/>
          <w:sz w:val="21"/>
        </w:rPr>
        <w:t xml:space="preserve">表5-56 玉潭变年度配置与正向峰值正常转接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50.40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4.68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47.36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49.96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42.19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45.42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42.69</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63+63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45.03</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MW，转接后净负荷为45.03 MW；区域最低净负荷工况下，转接后净负荷为9.12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本站主变N-1工况下，剩余主变容量为63.00 MVA。重新安排转供后，两工况本站净负荷分别为45.03 MW和9.12 MW；两方向容量约束的最小余量为14.82 MW，正向储能有效支撑功率为0.00 MW。</w:t>
      </w:r>
    </w:p>
    <w:p>
      <w:pPr>
        <w:pStyle w:val="7"/>
        <w:keepNext/>
        <w:numPr>
          <w:numId w:val="0"/>
        </w:numPr>
        <w:spacing w:line="360" w:lineRule="exact" w:before="160" w:after="120"/>
        <w:ind w:firstLine="0"/>
      </w:pPr>
      <w:bookmarkStart w:id="242" w:name="茱萸变规划分析"/>
      <w:r>
        <w:rPr>
          <w:rFonts w:ascii="Times New Roman" w:hAnsi="Times New Roman" w:eastAsia="方正仿宋_GBK"/>
          <w:b/>
          <w:sz w:val="24"/>
        </w:rPr>
        <w:t xml:space="preserve">茱萸变规划分析</w:t>
      </w:r>
      <w:bookmarkEnd w:id="242"/>
    </w:p>
    <w:p>
      <w:pPr>
        <w:pStyle w:val="FirstParagraph"/>
        <w:widowControl/>
        <w:spacing w:line="348" w:lineRule="exact" w:before="0" w:after="0"/>
        <w:ind w:firstLine="480"/>
        <w:jc w:val="both"/>
      </w:pPr>
      <w:r>
        <w:rPr>
          <w:rFonts w:ascii="Times New Roman" w:hAnsi="Times New Roman" w:eastAsia="方正仿宋_GBK"/>
          <w:b w:val="0"/>
          <w:sz w:val="24"/>
        </w:rPr>
        <w:t xml:space="preserve">该站基期主变组合为40+40 MVA。2025年区域正向峰值工况下，本站转接前净负荷为11.51 MW；区域最低净负荷工况下为-4.81 MW，受入为正、反送为负。弹性方案保留原有主变组合，四年内未新增储能。</w:t>
      </w:r>
    </w:p>
    <w:p>
      <w:pPr>
        <w:pStyle w:val="2"/>
        <w:widowControl/>
        <w:spacing w:line="348" w:lineRule="exact" w:before="0" w:after="0"/>
        <w:ind w:firstLine="480"/>
        <w:jc w:val="both"/>
      </w:pPr>
      <w:r>
        <w:rPr>
          <w:rFonts w:ascii="Times New Roman" w:hAnsi="Times New Roman" w:eastAsia="方正仿宋_GBK"/>
          <w:b w:val="0"/>
          <w:sz w:val="24"/>
        </w:rPr>
        <w:t xml:space="preserve">目标年刚性方案主变容量为80.00 MVA、储能额定功率0.00 MW；弹性方案分别为80.00 MVA和0.00 MW。弹性方案2022—2025年主变总容量依次为80.00、80.00、80.00、80.00 MVA。目标年站级负载率为15%。</w:t>
      </w:r>
    </w:p>
    <w:p>
      <w:pPr>
        <w:pStyle w:val="2"/>
        <w:keepNext/>
        <w:spacing w:line="280" w:lineRule="exact" w:before="120" w:after="80"/>
        <w:ind w:firstLine="0"/>
        <w:jc w:val="center"/>
      </w:pPr>
      <w:r>
        <w:rPr>
          <w:rFonts w:ascii="Times New Roman" w:hAnsi="Times New Roman" w:eastAsia="宋体"/>
          <w:b w:val="0"/>
          <w:sz w:val="21"/>
        </w:rPr>
        <w:t xml:space="preserve">表5-57 茱萸变年度配置与正向峰值正常转接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主变组合/MVA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转接后净负荷/MW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10.91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40+40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11.51</w:t>
            </w:r>
          </w:p>
        </w:tc>
      </w:tr>
    </w:tbl>
    <w:p>
      <w:pPr>
        <w:pStyle w:val="2"/>
        <w:widowControl/>
        <w:spacing w:line="348" w:lineRule="exact" w:before="0" w:after="0"/>
        <w:ind w:firstLine="480"/>
        <w:jc w:val="both"/>
      </w:pPr>
      <w:r>
        <w:rPr>
          <w:rFonts w:ascii="Times New Roman" w:hAnsi="Times New Roman" w:eastAsia="方正仿宋_GBK"/>
          <w:b w:val="0"/>
          <w:sz w:val="24"/>
        </w:rPr>
        <w:t xml:space="preserve">目标年正常方式下，区域正向峰值工况转出0.00 MW、承接0.00 MW，转接后净负荷为11.51 MW；区域最低净负荷工况下，转接后净负荷为-4.81 MW。</w:t>
      </w:r>
    </w:p>
    <w:p>
      <w:pPr>
        <w:pStyle w:val="2"/>
        <w:widowControl/>
        <w:spacing w:line="348" w:lineRule="exact" w:before="0" w:after="0"/>
        <w:ind w:firstLine="480"/>
        <w:jc w:val="both"/>
      </w:pPr>
      <w:r>
        <w:rPr>
          <w:rFonts w:ascii="Times New Roman" w:hAnsi="Times New Roman" w:eastAsia="方正仿宋_GBK"/>
          <w:b w:val="0"/>
          <w:sz w:val="24"/>
        </w:rPr>
        <w:t xml:space="preserve">本站主变N-1工况下，剩余主变容量为40.00 MVA。重新安排转供后，两工况本站净负荷分别为11.51 MW和-4.81 MW；两方向容量约束的最小余量为26.49 MW，正向储能有效支撑功率为0.00 MW。</w:t>
      </w:r>
    </w:p>
    <w:p>
      <w:pPr>
        <w:pStyle w:val="5"/>
        <w:keepNext/>
        <w:numPr>
          <w:numId w:val="0"/>
        </w:numPr>
        <w:spacing w:line="390" w:lineRule="exact" w:before="160" w:after="120"/>
        <w:ind w:firstLine="0"/>
      </w:pPr>
      <w:bookmarkStart w:id="243" w:name="目标年设备配置的站间差异"/>
      <w:r>
        <w:rPr>
          <w:rFonts w:ascii="Times New Roman" w:hAnsi="Times New Roman" w:eastAsia="方正仿宋_GBK"/>
          <w:b/>
          <w:sz w:val="26"/>
        </w:rPr>
        <w:t xml:space="preserve">5.4.6 目标年设备配置的站间差异</w:t>
      </w:r>
      <w:bookmarkEnd w:id="243"/>
    </w:p>
    <w:p>
      <w:pPr>
        <w:pStyle w:val="FirstParagraph"/>
        <w:widowControl/>
        <w:spacing w:line="348" w:lineRule="exact" w:before="0" w:after="0"/>
        <w:ind w:firstLine="480"/>
        <w:jc w:val="both"/>
      </w:pPr>
      <w:r>
        <w:rPr>
          <w:rFonts w:ascii="Times New Roman" w:hAnsi="Times New Roman" w:eastAsia="方正仿宋_GBK"/>
          <w:b w:val="0"/>
          <w:sz w:val="24"/>
        </w:rPr>
        <w:t xml:space="preserve">区域总容量可以由更换较大主变、增加主变台数或两者结合形成。总容量相近的站，在最大单台主变N-1后的剩余容量也可能不同，因此需要同时列示设备组合与配储地点。</w:t>
      </w:r>
    </w:p>
    <w:p>
      <w:pPr>
        <w:pStyle w:val="2"/>
        <w:keepNext/>
        <w:spacing w:line="280" w:lineRule="exact" w:before="120" w:after="80"/>
        <w:ind w:firstLine="0"/>
        <w:jc w:val="center"/>
      </w:pPr>
      <w:r>
        <w:rPr>
          <w:rFonts w:ascii="Times New Roman" w:hAnsi="Times New Roman" w:eastAsia="宋体"/>
          <w:b w:val="0"/>
          <w:sz w:val="21"/>
        </w:rPr>
        <w:t xml:space="preserve">表5-58 站级展示范围内目标年主变台数与配储站数</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两台主变站数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三台主变站占比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配储站数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32.90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邳州</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刚性</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4.80</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市区</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0.50</w:t>
            </w:r>
          </w:p>
        </w:tc>
      </w:tr>
    </w:tbl>
    <w:p>
      <w:pPr>
        <w:pStyle w:val="2"/>
        <w:widowControl/>
        <w:spacing w:line="348" w:lineRule="exact" w:before="0" w:after="0"/>
        <w:ind w:firstLine="480"/>
        <w:jc w:val="both"/>
      </w:pPr>
      <w:r>
        <w:rPr>
          <w:rFonts w:ascii="Times New Roman" w:hAnsi="Times New Roman" w:eastAsia="方正仿宋_GBK"/>
          <w:b w:val="0"/>
          <w:sz w:val="24"/>
        </w:rPr>
        <w:t xml:space="preserve">邳州刚性方案的站级展示范围内，共20座站，其中0座配置三台主变、20座配置两台主变；配储站7座，储能额定功率合计32.90 MW。</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邳州弹性方案的站级展示范围内，共20座站，其中2座配置三台主变、18座配置两台主变；配储站0座，储能额定功率合计0.00 MW。</w:t>
      </w:r>
    </w:p>
    <w:p>
      <w:pPr>
        <w:pStyle w:val="2"/>
        <w:widowControl/>
        <w:spacing w:line="348" w:lineRule="exact" w:before="0" w:after="0"/>
        <w:ind w:firstLine="480"/>
        <w:jc w:val="both"/>
      </w:pPr>
      <w:r>
        <w:rPr>
          <w:rFonts w:ascii="Times New Roman" w:hAnsi="Times New Roman" w:eastAsia="方正仿宋_GBK"/>
          <w:b w:val="0"/>
          <w:sz w:val="24"/>
        </w:rPr>
        <w:t xml:space="preserve">市区刚性方案的站级展示范围内，共26座站，其中0座配置三台主变、26座配置两台主变；配储站4座，储能额定功率合计4.80 MW。</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市区弹性方案的站级展示范围内，共26座站，其中4座配置三台主变、22座配置两台主变；配储站1座，储能额定功率合计0.50 MW。</w:t>
      </w:r>
    </w:p>
    <w:p>
      <w:pPr>
        <w:pStyle w:val="2"/>
        <w:widowControl/>
        <w:spacing w:line="348" w:lineRule="exact" w:before="0" w:after="0"/>
        <w:ind w:firstLine="480"/>
        <w:jc w:val="both"/>
      </w:pPr>
      <w:r>
        <w:rPr>
          <w:rFonts w:ascii="Times New Roman" w:hAnsi="Times New Roman" w:eastAsia="方正仿宋_GBK"/>
          <w:b w:val="0"/>
          <w:sz w:val="24"/>
        </w:rPr>
        <w:t xml:space="preserve">这些设备结果为区域推荐区间提供了具体工程含义：同一容载比可以由不同站内设备结构构成，区间选择需要与主变台数、规格及站间任务相对应。先比较各站需求，再归纳区域指标，能够解释新增容量用于哪些站点，以及费用变化来自哪些建设措施。</w:t>
      </w:r>
    </w:p>
    <w:p>
      <w:pPr>
        <w:pStyle w:val="2"/>
        <w:widowControl/>
        <w:spacing w:line="348" w:lineRule="exact" w:before="0" w:after="0"/>
        <w:ind w:firstLine="480"/>
        <w:jc w:val="both"/>
      </w:pPr>
      <w:r>
        <w:rPr>
          <w:rFonts w:ascii="Times New Roman" w:hAnsi="Times New Roman" w:eastAsia="方正仿宋_GBK"/>
          <w:b w:val="0"/>
          <w:sz w:val="24"/>
        </w:rPr>
        <w:t xml:space="preserve">主变台数增加可以改变最大单台容量占本站总容量的比例，但是否扩建还取决于预留位置、邻站支援及工程费用。部分站保留两台主变，通过具体线路利用邻站余量；部分站更换主变或增加第三台，承担本地和邻站任务。逐站结果中的不同建设方式共同形成地区容载比。</w:t>
      </w:r>
    </w:p>
    <w:p>
      <w:pPr>
        <w:pStyle w:val="4"/>
        <w:keepNext/>
        <w:numPr>
          <w:numId w:val="0"/>
        </w:numPr>
        <w:spacing w:line="480" w:lineRule="exact" w:before="160" w:after="120"/>
        <w:ind w:firstLine="0"/>
      </w:pPr>
      <w:bookmarkStart w:id="1878" w:name="h878"/>
      <w:bookmarkStart w:id="244" w:name="措施作用与工程衔接"/>
      <w:r>
        <w:rPr>
          <w:rFonts w:ascii="Times New Roman" w:hAnsi="Times New Roman" w:eastAsia="方正仿宋_GBK"/>
          <w:b/>
          <w:sz w:val="32"/>
        </w:rPr>
        <w:t xml:space="preserve">5.5 措施作用与工程衔接</w:t>
      </w:r>
      <w:bookmarkEnd w:id="244"/>
      <w:bookmarkEnd w:id="1878"/>
    </w:p>
    <w:p>
      <w:pPr>
        <w:pStyle w:val="5"/>
        <w:keepNext/>
        <w:numPr>
          <w:numId w:val="0"/>
        </w:numPr>
        <w:spacing w:line="390" w:lineRule="exact" w:before="160" w:after="120"/>
        <w:ind w:firstLine="0"/>
      </w:pPr>
      <w:bookmarkStart w:id="245" w:name="逐年负荷转接与站间任务"/>
      <w:r>
        <w:rPr>
          <w:rFonts w:ascii="Times New Roman" w:hAnsi="Times New Roman" w:eastAsia="方正仿宋_GBK"/>
          <w:b/>
          <w:sz w:val="26"/>
        </w:rPr>
        <w:t xml:space="preserve">5.5.1 逐年负荷转接与站间任务</w:t>
      </w:r>
      <w:bookmarkEnd w:id="245"/>
    </w:p>
    <w:p>
      <w:pPr>
        <w:pStyle w:val="FirstParagraph"/>
        <w:widowControl/>
        <w:spacing w:line="348" w:lineRule="exact" w:before="0" w:after="0"/>
        <w:ind w:firstLine="480"/>
        <w:jc w:val="both"/>
      </w:pPr>
      <w:r>
        <w:rPr>
          <w:rFonts w:ascii="Times New Roman" w:hAnsi="Times New Roman" w:eastAsia="方正仿宋_GBK"/>
          <w:b w:val="0"/>
          <w:sz w:val="24"/>
        </w:rPr>
        <w:t xml:space="preserve">联络建设数量、线路允许转供能力和实际转接功率是不同量。新增线路按建设数量计投资，可转能力受线路及两端设备限制，实际转接功率则按具体运行工况确定。下面分别列示区域正向峰值与最低净负荷两种正常工况。</w:t>
      </w:r>
    </w:p>
    <w:p>
      <w:pPr>
        <w:pStyle w:val="2"/>
        <w:keepNext/>
        <w:spacing w:line="280" w:lineRule="exact" w:before="120" w:after="80"/>
        <w:ind w:firstLine="0"/>
        <w:jc w:val="center"/>
      </w:pPr>
      <w:r>
        <w:rPr>
          <w:rFonts w:ascii="Times New Roman" w:hAnsi="Times New Roman" w:eastAsia="宋体"/>
          <w:b w:val="0"/>
          <w:sz w:val="21"/>
        </w:rPr>
        <w:t xml:space="preserve">表5-59 邳州正常方式下的分工况转接任务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14.81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6.73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8.13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7.03</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49.58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18.63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19.48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10.92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79.30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26.27</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邳州弹性方案在区域正向峰值、正常运行条件下，2022年转接合计0.00 MW，2025年为79.30 MW；目标年承担转出和承接任务的站数分别为3座、7座，单站最大转出、承接量分别为41.87 MW、26.27 MW。转接量同时受年度负荷和设备投运影响。目标年正常转接中，经既有边和新增边的功率分别为0.00 MW、79.30 MW；N-1条件另按故障站逐一安排。</w:t>
      </w:r>
    </w:p>
    <w:p>
      <w:pPr>
        <w:pStyle w:val="2"/>
        <w:keepNext/>
        <w:spacing w:line="280" w:lineRule="exact" w:before="120" w:after="80"/>
        <w:ind w:firstLine="0"/>
        <w:jc w:val="center"/>
      </w:pPr>
      <w:r>
        <w:rPr>
          <w:rFonts w:ascii="Times New Roman" w:hAnsi="Times New Roman" w:eastAsia="宋体"/>
          <w:b w:val="0"/>
          <w:sz w:val="21"/>
        </w:rPr>
        <w:t xml:space="preserve">表5-60 市区正常方式下的分工况转接任务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31"/>
        <w:gridCol w:w="831"/>
        <w:gridCol w:w="831"/>
        <w:gridCol w:w="831"/>
        <w:gridCol w:w="831"/>
        <w:gridCol w:w="831"/>
        <w:gridCol w:w="831"/>
        <w:gridCol w:w="831"/>
        <w:gridCol w:w="831"/>
        <w:gridCol w:w="831"/>
      </w:tblGrid>
      <w:tr>
        <w:trPr>
          <w:cantSplit/>
          <w:tblHeader/>
        </w:trPr>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方案</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工况</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转出站数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承接站数</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转接合计/MW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既有边/MW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新增边/MW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单站最大转出/MW</w:t>
            </w:r>
          </w:p>
        </w:tc>
        <w:tc>
          <w:tcPr>
            <w:tcW w:type="dxa" w:w="83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单站最大承接/MW</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124.65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36.46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19.34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162.41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43.87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20.82</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162.64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41.23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23.26</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185.90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49.33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17.84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刚性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24.87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22.72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9.74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28.82</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13.98</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34.28</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19.71</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13.14</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2024</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区域正向峰值</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37.07</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13.86</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13.15</w:t>
            </w:r>
          </w:p>
        </w:tc>
      </w:tr>
      <w:tr>
        <w:trPr>
          <w:cantSplit/>
        </w:trPr>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弹性</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2025</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区域最低净负荷</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83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r>
    </w:tbl>
    <w:p>
      <w:pPr>
        <w:pStyle w:val="2"/>
        <w:widowControl/>
        <w:spacing w:line="348" w:lineRule="exact" w:before="0" w:after="0"/>
        <w:ind w:firstLine="480"/>
        <w:jc w:val="both"/>
      </w:pPr>
      <w:r>
        <w:rPr>
          <w:rFonts w:ascii="Times New Roman" w:hAnsi="Times New Roman" w:eastAsia="方正仿宋_GBK"/>
          <w:b w:val="0"/>
          <w:sz w:val="24"/>
        </w:rPr>
        <w:t xml:space="preserve">注：两工况分别统计转接量。</w:t>
      </w:r>
    </w:p>
    <w:p>
      <w:pPr>
        <w:pStyle w:val="2"/>
        <w:widowControl/>
        <w:spacing w:line="348" w:lineRule="exact" w:before="0" w:after="0"/>
        <w:ind w:firstLine="480"/>
        <w:jc w:val="both"/>
      </w:pPr>
      <w:r>
        <w:rPr>
          <w:rFonts w:ascii="Times New Roman" w:hAnsi="Times New Roman" w:eastAsia="方正仿宋_GBK"/>
          <w:b w:val="0"/>
          <w:sz w:val="24"/>
        </w:rPr>
        <w:t xml:space="preserve">市区弹性方案在区域正向峰值、正常运行条件下，2022年转接合计24.87 MW，2025年为37.07 MW；目标年承担转出和承接任务的站数分别为5座、5座，单站最大转出、承接量分别为13.86 MW、13.15 MW。转接量同时受年度负荷和设备投运影响。目标年正常转接中，经既有边和新增边的功率分别为0.00 MW、37.07 MW；N-1条件另按故障站逐一安排。</w:t>
      </w:r>
    </w:p>
    <w:p>
      <w:pPr>
        <w:pStyle w:val="2"/>
        <w:widowControl/>
        <w:spacing w:line="348" w:lineRule="exact" w:before="0" w:after="0"/>
        <w:ind w:firstLine="480"/>
        <w:jc w:val="both"/>
      </w:pPr>
      <w:r>
        <w:rPr>
          <w:rFonts w:ascii="Times New Roman" w:hAnsi="Times New Roman" w:eastAsia="方正仿宋_GBK"/>
          <w:b w:val="0"/>
          <w:sz w:val="24"/>
        </w:rPr>
        <w:t xml:space="preserve">每年转出站和承接站数量反映负荷分配范围，单站最大转出、承接量反映局部任务规模。新增主变投运后，某站既可能减少自身转出，也可能增加对邻站的承接。站点角色可以随工况和年份变化，正常运行中的承接站在自身N-1时仍可能需要其他站支援。</w:t>
      </w:r>
    </w:p>
    <w:p>
      <w:pPr>
        <w:pStyle w:val="2"/>
        <w:widowControl/>
        <w:spacing w:line="348" w:lineRule="exact" w:before="0" w:after="0"/>
        <w:ind w:firstLine="480"/>
        <w:jc w:val="both"/>
      </w:pPr>
      <w:r>
        <w:rPr>
          <w:rFonts w:ascii="Times New Roman" w:hAnsi="Times New Roman" w:eastAsia="方正仿宋_GBK"/>
          <w:b w:val="0"/>
          <w:sz w:val="24"/>
        </w:rPr>
        <w:t xml:space="preserve">同一设备布局可对应多种可行负荷分配，表中转接量展示所列方案的网络利用情况。后续工程安排应结合开关位置、实际负荷块和操作条件确定具体转供方式。</w:t>
      </w:r>
    </w:p>
    <w:p>
      <w:pPr>
        <w:pStyle w:val="5"/>
        <w:keepNext/>
        <w:numPr>
          <w:numId w:val="0"/>
        </w:numPr>
        <w:spacing w:line="390" w:lineRule="exact" w:before="160" w:after="120"/>
        <w:ind w:firstLine="0"/>
      </w:pPr>
      <w:bookmarkStart w:id="246" w:name="主变储能与联络的共同作用"/>
      <w:r>
        <w:rPr>
          <w:rFonts w:ascii="Times New Roman" w:hAnsi="Times New Roman" w:eastAsia="方正仿宋_GBK"/>
          <w:b/>
          <w:sz w:val="26"/>
        </w:rPr>
        <w:t xml:space="preserve">5.5.2 主变、储能与联络的共同作用</w:t>
      </w:r>
      <w:bookmarkEnd w:id="246"/>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地及承接侧容量，联络建设使不同站的余量能够用于支援，储能补充给定持续时间内的功率缺口。联络需要具备两端条件才能发挥作用：送端负荷可以切换，受端馈线和主变能够接收，中间通道能够承担相应功率。</w:t>
      </w:r>
    </w:p>
    <w:p>
      <w:pPr>
        <w:pStyle w:val="2"/>
        <w:widowControl/>
        <w:spacing w:line="348" w:lineRule="exact" w:before="0" w:after="0"/>
        <w:ind w:firstLine="480"/>
        <w:jc w:val="both"/>
      </w:pPr>
      <w:r>
        <w:rPr>
          <w:rFonts w:ascii="Times New Roman" w:hAnsi="Times New Roman" w:eastAsia="方正仿宋_GBK"/>
          <w:b w:val="0"/>
          <w:sz w:val="24"/>
        </w:rPr>
        <w:t xml:space="preserve">正常供电与N-1条件的转接任务分别校核。正常方式下未充分使用的线路，可能承担故障时的必要支援；正常负载率较低的主变，也可能用于承接邻站故障负荷。设备经济性应按共同约束下的整体方案判断。</w:t>
      </w:r>
    </w:p>
    <w:p>
      <w:pPr>
        <w:pStyle w:val="5"/>
        <w:keepNext/>
        <w:numPr>
          <w:numId w:val="0"/>
        </w:numPr>
        <w:spacing w:line="390" w:lineRule="exact" w:before="160" w:after="120"/>
        <w:ind w:firstLine="0"/>
      </w:pPr>
      <w:bookmarkStart w:id="247" w:name="储能支撑持续时间与地区方案"/>
      <w:r>
        <w:rPr>
          <w:rFonts w:ascii="Times New Roman" w:hAnsi="Times New Roman" w:eastAsia="方正仿宋_GBK"/>
          <w:b/>
          <w:sz w:val="26"/>
        </w:rPr>
        <w:t xml:space="preserve">5.5.3 储能支撑持续时间与地区方案</w:t>
      </w:r>
      <w:bookmarkEnd w:id="247"/>
    </w:p>
    <w:p>
      <w:pPr>
        <w:pStyle w:val="FirstParagraph"/>
        <w:widowControl/>
        <w:spacing w:line="348" w:lineRule="exact" w:before="0" w:after="0"/>
        <w:ind w:firstLine="480"/>
        <w:jc w:val="both"/>
      </w:pPr>
      <w:r>
        <w:rPr>
          <w:rFonts w:ascii="Times New Roman" w:hAnsi="Times New Roman" w:eastAsia="方正仿宋_GBK"/>
          <w:b w:val="0"/>
          <w:sz w:val="24"/>
        </w:rPr>
        <w:t xml:space="preserve">两地区规划方案采用4 h正向储能支撑持续时间，储能有效功率按额定功率及可用电量共同限制。邳州弹性方案未配置储能，其给定设备组合的可行性不直接受储能持续时间影响；市区弹性方案配置0.50 MW/1.075 MWh储能，4 h条件下对应正向有效支撑功率0.20425 MW。所需有效功率与铭牌功率分别统计。</w:t>
      </w:r>
    </w:p>
    <w:p>
      <w:pPr>
        <w:pStyle w:val="2"/>
        <w:widowControl/>
        <w:spacing w:line="348" w:lineRule="exact" w:before="0" w:after="0"/>
        <w:ind w:firstLine="480"/>
        <w:jc w:val="both"/>
      </w:pPr>
      <w:r>
        <w:rPr>
          <w:rFonts w:ascii="Times New Roman" w:hAnsi="Times New Roman" w:eastAsia="方正仿宋_GBK"/>
          <w:b w:val="0"/>
          <w:sz w:val="24"/>
        </w:rPr>
        <w:t xml:space="preserve">两地区2、4、6 h独立扰动结果见第3.5节。持续时间延长是否引起主变或联络方案调整，取决于本地缺口、邻站余量以及储能与其他措施的费用关系。区域95%峰值持续时间用于描述运行特征，正向与反向储能支撑条件分别核定。</w:t>
      </w:r>
    </w:p>
    <w:p>
      <w:pPr>
        <w:pStyle w:val="5"/>
        <w:keepNext/>
        <w:numPr>
          <w:numId w:val="0"/>
        </w:numPr>
        <w:spacing w:line="390" w:lineRule="exact" w:before="160" w:after="120"/>
        <w:ind w:firstLine="0"/>
      </w:pPr>
      <w:bookmarkStart w:id="248" w:name="刚性条件下无储能方案的可行性"/>
      <w:r>
        <w:rPr>
          <w:rFonts w:ascii="Times New Roman" w:hAnsi="Times New Roman" w:eastAsia="方正仿宋_GBK"/>
          <w:b/>
          <w:sz w:val="26"/>
        </w:rPr>
        <w:t xml:space="preserve">5.5.4 刚性条件下无储能方案的可行性</w:t>
      </w:r>
      <w:bookmarkEnd w:id="248"/>
    </w:p>
    <w:p>
      <w:pPr>
        <w:pStyle w:val="FirstParagraph"/>
        <w:widowControl/>
        <w:spacing w:line="348" w:lineRule="exact" w:before="0" w:after="0"/>
        <w:ind w:firstLine="480"/>
        <w:jc w:val="both"/>
      </w:pPr>
      <w:r>
        <w:rPr>
          <w:rFonts w:ascii="Times New Roman" w:hAnsi="Times New Roman" w:eastAsia="方正仿宋_GBK"/>
          <w:b w:val="0"/>
          <w:sz w:val="24"/>
        </w:rPr>
        <w:t xml:space="preserve">无储能对照保留主变扩容与10 kV联络建设，并比较固定初始主变、固定刚性含储能候选主变布局等边界。两地区完整四年刚性无储能模型均未取得可行方案，已有独立必要容量下界用于解释限制来源。储能变量固定为零后，2/4/6 h的折算系数不影响这一无储能边界。</w:t>
      </w:r>
    </w:p>
    <w:p>
      <w:pPr>
        <w:pStyle w:val="2"/>
        <w:keepNext/>
        <w:spacing w:line="280" w:lineRule="exact" w:before="120" w:after="80"/>
        <w:ind w:firstLine="0"/>
        <w:jc w:val="center"/>
      </w:pPr>
      <w:r>
        <w:rPr>
          <w:rFonts w:ascii="Times New Roman" w:hAnsi="Times New Roman" w:eastAsia="宋体"/>
          <w:b w:val="0"/>
          <w:sz w:val="21"/>
        </w:rPr>
        <w:t xml:space="preserve">表5-61 无储能容量必要条件</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地区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年份</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刚性宽松容量上界/MVA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无储能必要容量下界/MVA</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超出上界/MVA</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市区</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2927.00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27.00</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1730.00</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79.99</w:t>
            </w:r>
          </w:p>
        </w:tc>
      </w:tr>
    </w:tbl>
    <w:p>
      <w:pPr>
        <w:pStyle w:val="2"/>
        <w:widowControl/>
        <w:spacing w:line="348" w:lineRule="exact" w:before="0" w:after="0"/>
        <w:ind w:firstLine="480"/>
        <w:jc w:val="both"/>
      </w:pPr>
      <w:r>
        <w:rPr>
          <w:rFonts w:ascii="Times New Roman" w:hAnsi="Times New Roman" w:eastAsia="方正仿宋_GBK"/>
          <w:b w:val="0"/>
          <w:sz w:val="24"/>
        </w:rPr>
        <w:t xml:space="preserve">上述下界在全部候选可用、放松接收站容量和部分实施限制的条件下计算，属于偏宽松的必要条件。必要容量仍超过刚性允许范围，说明当前候选集合内单靠联络无法弥补相关缺口。弹性方案通过允许的主变增容和付费联络满足同一静态约束。</w:t>
      </w:r>
    </w:p>
    <w:p>
      <w:pPr>
        <w:pStyle w:val="4"/>
        <w:keepNext/>
        <w:numPr>
          <w:numId w:val="0"/>
        </w:numPr>
        <w:spacing w:line="480" w:lineRule="exact" w:before="160" w:after="120"/>
        <w:ind w:firstLine="0"/>
      </w:pPr>
      <w:bookmarkStart w:id="1899" w:name="h899"/>
      <w:bookmarkStart w:id="249" w:name="参数拓展与通用推荐矩阵"/>
      <w:r>
        <w:rPr>
          <w:rFonts w:ascii="Times New Roman" w:hAnsi="Times New Roman" w:eastAsia="方正仿宋_GBK"/>
          <w:b/>
          <w:sz w:val="32"/>
        </w:rPr>
        <w:t xml:space="preserve">5.6 参数拓展与通用推荐矩阵</w:t>
      </w:r>
      <w:bookmarkEnd w:id="249"/>
      <w:bookmarkEnd w:id="1899"/>
    </w:p>
    <w:p>
      <w:pPr>
        <w:pStyle w:val="5"/>
        <w:keepNext/>
        <w:numPr>
          <w:numId w:val="0"/>
        </w:numPr>
        <w:spacing w:line="390" w:lineRule="exact" w:before="160" w:after="120"/>
        <w:ind w:firstLine="0"/>
      </w:pPr>
      <w:bookmarkStart w:id="250" w:name="核心参数及区间设置"/>
      <w:r>
        <w:rPr>
          <w:rFonts w:ascii="Times New Roman" w:hAnsi="Times New Roman" w:eastAsia="方正仿宋_GBK"/>
          <w:b/>
          <w:sz w:val="26"/>
        </w:rPr>
        <w:t xml:space="preserve">5.6.1 核心参数及区间设置</w:t>
      </w:r>
      <w:bookmarkEnd w:id="250"/>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和负荷分散系数六项参数。储能价格单独分析。供电区域类别用于核对规划技术要求，线路造价差异由线路成本系数表示；具体设备及网络条件按片区资料确定。</w:t>
      </w:r>
    </w:p>
    <w:p>
      <w:pPr>
        <w:pStyle w:val="2"/>
        <w:keepNext/>
        <w:spacing w:line="280" w:lineRule="exact" w:before="120" w:after="80"/>
        <w:ind w:firstLine="0"/>
        <w:jc w:val="center"/>
      </w:pPr>
      <w:r>
        <w:rPr>
          <w:rFonts w:ascii="Times New Roman" w:hAnsi="Times New Roman" w:eastAsia="宋体"/>
          <w:b w:val="0"/>
          <w:sz w:val="21"/>
        </w:rPr>
        <w:t xml:space="preserve">表5-62 推广矩阵参数区间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区间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取值依据</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≤1.00；(1.00, 2.00]；&gt;2.00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 4%]；(4%, 7%]；&gt;7%</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DL/T 5729—2023表6.3.4</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≤1.65；(1.65, 6.85]；&gt;6.85</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≤30%；(30%, 50%]；&gt;50%</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 h；(2 h, 4 h]；&gt;4 h</w:t>
            </w:r>
          </w:p>
        </w:tc>
        <w:tc>
          <w:tcPr>
            <w:tcW w:type="dxa" w:w="325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r>
        <w:trPr>
          <w:cantSplit/>
        </w:trPr>
        <w:tc>
          <w:tcPr>
            <w:tcW w:type="dxa" w:w="1793"/>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≤1.10；&gt;1.10</w:t>
            </w:r>
          </w:p>
        </w:tc>
        <w:tc>
          <w:tcPr>
            <w:tcW w:type="dxa" w:w="325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研究设置；参照首尾开口分档形式</w:t>
            </w:r>
          </w:p>
        </w:tc>
      </w:tr>
    </w:tbl>
    <w:p>
      <w:pPr>
        <w:pStyle w:val="2"/>
        <w:widowControl/>
        <w:spacing w:line="348" w:lineRule="exact" w:before="0" w:after="0"/>
        <w:ind w:firstLine="480"/>
        <w:jc w:val="both"/>
      </w:pPr>
      <w:r>
        <w:rPr>
          <w:rFonts w:ascii="Times New Roman" w:hAnsi="Times New Roman" w:eastAsia="方正仿宋_GBK"/>
          <w:b w:val="0"/>
          <w:sz w:val="24"/>
        </w:rPr>
        <w:t xml:space="preserve">注：负荷分散系数按定义不小于1；分布式电源装机渗透率和线路成本系数非负；初始转供率在0～100%内；储能支撑持续时间为正。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增长率分档直接采用DL/T 5729—2023表6.3.4，其他参数采用同样的首尾开口形式，分界值为本研究设置。参数分类不以有限采样点的最小、最大值截断；负增长属于首档，超过10%的增长率仍属于末档。参数固有定义仍有效，如转供比例不超过100%、持续时间为正。</w:t>
      </w:r>
    </w:p>
    <w:p>
      <w:pPr>
        <w:pStyle w:val="2"/>
        <w:widowControl/>
        <w:spacing w:line="348" w:lineRule="exact" w:before="0" w:after="0"/>
        <w:ind w:firstLine="480"/>
        <w:jc w:val="both"/>
      </w:pPr>
      <w:r>
        <w:rPr>
          <w:rFonts w:ascii="Times New Roman" w:hAnsi="Times New Roman" w:eastAsia="方正仿宋_GBK"/>
          <w:b w:val="0"/>
          <w:sz w:val="24"/>
        </w:rPr>
        <w:t xml:space="preserve">各参数组合先按共同约束和费用目标确定可行方案，再将同一分类单元内这些方案的容载比最小值与最大值归纳为推荐区间。</w:t>
      </w:r>
    </w:p>
    <w:p>
      <w:pPr>
        <w:pStyle w:val="5"/>
        <w:keepNext/>
        <w:numPr>
          <w:numId w:val="0"/>
        </w:numPr>
        <w:spacing w:line="390" w:lineRule="exact" w:before="160" w:after="120"/>
        <w:ind w:firstLine="0"/>
      </w:pPr>
      <w:bookmarkStart w:id="251" w:name="五站模板及源荷构造"/>
      <w:r>
        <w:rPr>
          <w:rFonts w:ascii="Times New Roman" w:hAnsi="Times New Roman" w:eastAsia="方正仿宋_GBK"/>
          <w:b/>
          <w:sz w:val="26"/>
        </w:rPr>
        <w:t xml:space="preserve">5.6.2 五站模板及源荷构造</w:t>
      </w:r>
      <w:bookmarkEnd w:id="251"/>
    </w:p>
    <w:p>
      <w:pPr>
        <w:pStyle w:val="FirstParagraph"/>
        <w:widowControl/>
        <w:spacing w:line="348" w:lineRule="exact" w:before="0" w:after="0"/>
        <w:ind w:firstLine="480"/>
        <w:jc w:val="both"/>
      </w:pPr>
      <w:r>
        <w:rPr>
          <w:rFonts w:ascii="Times New Roman" w:hAnsi="Times New Roman" w:eastAsia="方正仿宋_GBK"/>
          <w:b w:val="0"/>
          <w:sz w:val="24"/>
        </w:rPr>
        <w:t xml:space="preserve">模板含5座站，每站初始两台50 MVA主变，区域基期网供峰值250 MW。正常晚峰假设光伏不出力，用户最大负荷与正向网供峰值相等；日间负荷取峰值的30%，光伏出力系数取0.75，装机按独立空间权重分配。</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keepNext/>
              <w:spacing w:before="0" w:after="0"/>
              <w:ind w:firstLine="0" w:firstLineChars="0" w:left="0" w:right="0"/>
            </w:pPr>
          </w:p>
        </w:tc>
        <w:tc>
          <w:tcPr>
            <w:tcW w:type="dxa" w:w="6838"/>
            <w:vAlign w:val="center"/>
            <w:tcMar>
              <w:left w:w="0" w:type="dxa"/>
              <w:right w:w="0" w:type="dxa"/>
            </w:tcMar>
          </w:tcPr>
          <w:p>
            <w:pPr>
              <w:pStyle w:val="2"/>
              <w:keepNext/>
              <w:spacing w:line="276" w:lineRule="auto" w:before="100" w:after="100"/>
              <w:ind w:firstLine="0" w:firstLineChars="0" w:left="0" w:right="0"/>
              <w:jc w:val="center"/>
            </w:pPr>
            <m:oMathPara>
              <m:oMathParaPr>
                <m:jc m:val="center"/>
              </m:oMathParaPr>
              <m:oMath>
                <m:m>
                  <m:mPr>
                    <m:baseJc m:val="center"/>
                    <m:plcHide m:val="1"/>
                    <m:mcs>
                      <m:mc>
                        <m:mcPr>
                          <m:mcJc m:val="right"/>
                          <m:count m:val="1"/>
                        </m:mcPr>
                      </m:mc>
                      <m:mc>
                        <m:mcPr>
                          <m:mcJc m:val="left"/>
                          <m:count m:val="1"/>
                        </m:mcPr>
                      </m:mc>
                    </m:mcs>
                  </m:mPr>
                  <m:mr>
                    <m:e>
                      <m:sSub>
                        <m:e>
                          <m:r>
                            <m:t>P</m:t>
                          </m:r>
                        </m:e>
                        <m:sub>
                          <m:r>
                            <m:t>y</m:t>
                          </m:r>
                        </m:sub>
                      </m:sSub>
                    </m:e>
                    <m:e>
                      <m:r>
                        <m:t>=</m:t>
                      </m:r>
                      <m:r>
                        <m:t>250</m:t>
                      </m:r>
                      <m:r>
                        <m:t>(</m:t>
                      </m:r>
                      <m:r>
                        <m:t>1</m:t>
                      </m:r>
                      <m:r>
                        <m:t>+</m:t>
                      </m:r>
                      <m:r>
                        <m:t>g</m:t>
                      </m:r>
                      <m:sSup>
                        <m:e>
                          <m:r>
                            <m:t>)</m:t>
                          </m:r>
                        </m:e>
                        <m:sup>
                          <m:r>
                            <m:t>4</m:t>
                          </m:r>
                        </m:sup>
                      </m:sSup>
                      <m:r>
                        <m:t>,</m:t>
                      </m:r>
                    </m:e>
                  </m:mr>
                  <m:mr>
                    <m:e>
                      <m:sSub>
                        <m:e>
                          <m:r>
                            <m:t>P</m:t>
                          </m:r>
                        </m:e>
                        <m:sub>
                          <m:r>
                            <m:t>i</m:t>
                          </m:r>
                          <m:r>
                            <m:t>,</m:t>
                          </m:r>
                          <m:r>
                            <m:rPr>
                              <m:sty m:val="p"/>
                            </m:rPr>
                            <m:t>e</m:t>
                          </m:r>
                          <m:r>
                            <m:rPr>
                              <m:sty m:val="p"/>
                            </m:rPr>
                            <m:t>v</m:t>
                          </m:r>
                          <m:r>
                            <m:rPr>
                              <m:sty m:val="p"/>
                            </m:rPr>
                            <m:t>e</m:t>
                          </m:r>
                          <m:r>
                            <m:rPr>
                              <m:sty m:val="p"/>
                            </m:rPr>
                            <m:t>n</m:t>
                          </m:r>
                          <m:r>
                            <m:rPr>
                              <m:sty m:val="p"/>
                            </m:rPr>
                            <m:t>i</m:t>
                          </m:r>
                          <m:r>
                            <m:rPr>
                              <m:sty m:val="p"/>
                            </m:rPr>
                            <m:t>n</m:t>
                          </m:r>
                          <m:r>
                            <m:rPr>
                              <m:sty m:val="p"/>
                            </m:rPr>
                            <m:t>g</m:t>
                          </m:r>
                        </m:sub>
                      </m:sSub>
                    </m:e>
                    <m:e>
                      <m:r>
                        <m:t>=</m:t>
                      </m:r>
                      <m:sSubSup>
                        <m:e>
                          <m:r>
                            <m:t>w</m:t>
                          </m:r>
                        </m:e>
                        <m:sub>
                          <m:r>
                            <m:t>i</m:t>
                          </m:r>
                        </m:sub>
                        <m:sup>
                          <m:r>
                            <m:t>L</m:t>
                          </m:r>
                        </m:sup>
                      </m:sSubSup>
                      <m:sSub>
                        <m:e>
                          <m:r>
                            <m:t>P</m:t>
                          </m:r>
                        </m:e>
                        <m:sub>
                          <m:r>
                            <m:t>y</m:t>
                          </m:r>
                        </m:sub>
                      </m:sSub>
                      <m:r>
                        <m:t>,</m:t>
                      </m:r>
                    </m:e>
                  </m:mr>
                  <m:mr>
                    <m:e>
                      <m:sSub>
                        <m:e>
                          <m:r>
                            <m:t>P</m:t>
                          </m:r>
                        </m:e>
                        <m:sub>
                          <m:r>
                            <m:t>i</m:t>
                          </m:r>
                          <m:r>
                            <m:t>,</m:t>
                          </m:r>
                          <m:r>
                            <m:rPr>
                              <m:sty m:val="p"/>
                            </m:rPr>
                            <m:t>d</m:t>
                          </m:r>
                          <m:r>
                            <m:rPr>
                              <m:sty m:val="p"/>
                            </m:rPr>
                            <m:t>a</m:t>
                          </m:r>
                          <m:r>
                            <m:rPr>
                              <m:sty m:val="p"/>
                            </m:rPr>
                            <m:t>y</m:t>
                          </m:r>
                        </m:sub>
                      </m:sSub>
                    </m:e>
                    <m:e>
                      <m:r>
                        <m:t>=</m:t>
                      </m:r>
                      <m:r>
                        <m:t>0.30</m:t>
                      </m:r>
                      <m:sSubSup>
                        <m:e>
                          <m:r>
                            <m:t>w</m:t>
                          </m:r>
                        </m:e>
                        <m:sub>
                          <m:r>
                            <m:t>i</m:t>
                          </m:r>
                        </m:sub>
                        <m:sup>
                          <m:r>
                            <m:t>L</m:t>
                          </m:r>
                        </m:sup>
                      </m:sSubSup>
                      <m:sSub>
                        <m:e>
                          <m:r>
                            <m:t>P</m:t>
                          </m:r>
                        </m:e>
                        <m:sub>
                          <m:r>
                            <m:t>y</m:t>
                          </m:r>
                        </m:sub>
                      </m:sSub>
                      <m:r>
                        <m:t>−</m:t>
                      </m:r>
                      <m:r>
                        <m:t>0.75</m:t>
                      </m:r>
                      <m:r>
                        <m:t>η</m:t>
                      </m:r>
                      <m:sSubSup>
                        <m:e>
                          <m:r>
                            <m:t>w</m:t>
                          </m:r>
                        </m:e>
                        <m:sub>
                          <m:r>
                            <m:t>i</m:t>
                          </m:r>
                        </m:sub>
                        <m:sup>
                          <m:r>
                            <m:t>G</m:t>
                          </m:r>
                        </m:sup>
                      </m:sSubSup>
                      <m:sSub>
                        <m:e>
                          <m:r>
                            <m:t>P</m:t>
                          </m:r>
                        </m:e>
                        <m:sub>
                          <m:r>
                            <m:t>y</m:t>
                          </m:r>
                        </m:sub>
                      </m:sSub>
                      <m:r>
                        <m:t>.</m:t>
                      </m:r>
                    </m:e>
                  </m:mr>
                </m:m>
              </m:oMath>
            </m:oMathPara>
          </w:p>
        </w:tc>
        <w:tc>
          <w:tcPr>
            <w:tcW w:type="dxa" w:w="737"/>
            <w:vAlign w:val="center"/>
            <w:tcMar>
              <w:left w:w="0" w:type="dxa"/>
              <w:right w:w="0" w:type="dxa"/>
            </w:tcMar>
          </w:tcPr>
          <w:p>
            <w:pPr>
              <w:keepNext/>
              <w:spacing w:before="0" w:after="0"/>
              <w:ind w:firstLine="0" w:firstLineChars="0" w:left="0" w:right="0"/>
              <w:jc w:val="right"/>
            </w:pPr>
            <w:r>
              <w:rPr>
                <w:rFonts w:ascii="Times New Roman" w:hAnsi="Times New Roman" w:eastAsia="方正仿宋_GBK"/>
                <w:b w:val="0"/>
                <w:sz w:val="18"/>
              </w:rPr>
              <w:t>（5-11）</w:t>
            </w:r>
          </w:p>
        </w:tc>
      </w:tr>
    </w:tbl>
    <w:p>
      <w:pPr>
        <w:pStyle w:val="FirstParagraph"/>
        <w:widowControl/>
        <w:spacing w:line="348" w:lineRule="exact" w:before="0" w:after="0"/>
        <w:ind w:left="0" w:right="0" w:firstLine="0" w:firstLineChars="0"/>
        <w:jc w:val="both"/>
      </w:pPr>
      <w:r>
        <w:rPr>
          <w:rFonts w:ascii="Times New Roman" w:hAnsi="Times New Roman" w:eastAsia="方正仿宋_GBK"/>
          <w:b w:val="0"/>
          <w:sz w:val="24"/>
        </w:rPr>
        <w:t xml:space="preserve">式中，</w:t>
      </w:r>
      <m:oMath>
        <m:r>
          <m:t>η</m:t>
        </m:r>
      </m:oMath>
      <w:r>
        <w:rPr>
          <w:rFonts w:ascii="Times New Roman" w:hAnsi="Times New Roman" w:eastAsia="方正仿宋_GBK"/>
          <w:b w:val="0"/>
          <w:sz w:val="24"/>
        </w:rPr>
        <w:t xml:space="preserve">为分布式电源装机渗透率，</w:t>
      </w:r>
      <m:oMath>
        <m:sSubSup>
          <m:e>
            <m:r>
              <m:t>w</m:t>
            </m:r>
          </m:e>
          <m:sub>
            <m:r>
              <m:t>i</m:t>
            </m:r>
          </m:sub>
          <m:sup>
            <m:r>
              <m:t>L</m:t>
            </m:r>
          </m:sup>
        </m:sSubSup>
      </m:oMath>
      <w:r>
        <w:rPr>
          <w:rFonts w:ascii="Times New Roman" w:hAnsi="Times New Roman" w:eastAsia="方正仿宋_GBK"/>
          <w:b w:val="0"/>
          <w:sz w:val="24"/>
        </w:rPr>
        <w:t xml:space="preserve">和</w:t>
      </w:r>
      <m:oMath>
        <m:sSubSup>
          <m:e>
            <m:r>
              <m:t>w</m:t>
            </m:r>
          </m:e>
          <m:sub>
            <m:r>
              <m:t>i</m:t>
            </m:r>
          </m:sub>
          <m:sup>
            <m:r>
              <m:t>G</m:t>
            </m:r>
          </m:sup>
        </m:sSubSup>
      </m:oMath>
      <w:r>
        <w:rPr>
          <w:rFonts w:ascii="Times New Roman" w:hAnsi="Times New Roman" w:eastAsia="方正仿宋_GBK"/>
          <w:b w:val="0"/>
          <w:sz w:val="24"/>
        </w:rPr>
        <w:t xml:space="preserve">分别为负荷及光伏分配权重，两组权重各自合计为1。负荷分散系数取1.00、1.10、1.15，单参数详细切片采用1.10作为基准，各站非同时峰值通过额外静态场景表达，场景内区域负荷合计仍为</w:t>
      </w:r>
      <m:oMath>
        <m:sSub>
          <m:e>
            <m:r>
              <m:t>P</m:t>
            </m:r>
          </m:e>
          <m:sub>
            <m:r>
              <m:t>y</m:t>
            </m:r>
          </m:sub>
        </m:sSub>
      </m:oMath>
      <w:r>
        <w:rPr>
          <w:rFonts w:ascii="Times New Roman" w:hAnsi="Times New Roman" w:eastAsia="方正仿宋_GBK"/>
          <w:b w:val="0"/>
          <w:sz w:val="24"/>
        </w:rPr>
        <w:t xml:space="preserve">。</w:t>
      </w:r>
    </w:p>
    <w:p>
      <w:pPr>
        <w:pStyle w:val="2"/>
        <w:widowControl/>
        <w:spacing w:line="348" w:lineRule="exact" w:before="0" w:after="0"/>
        <w:ind w:firstLine="480"/>
        <w:jc w:val="both"/>
      </w:pPr>
      <w:r>
        <w:rPr>
          <w:rFonts w:ascii="Times New Roman" w:hAnsi="Times New Roman" w:eastAsia="方正仿宋_GBK"/>
          <w:b w:val="0"/>
          <w:sz w:val="24"/>
        </w:rPr>
        <w:t xml:space="preserve">既有联络以相邻站网络表示，新增候选按具体馈线端点配置。初始转供预算按基期MW固定，线路热限保持不变。初始转供率是网络设置参数，实际转供量由馈线、邻站容量和运行工况共同确定。另以增加邻接关系的模板检查结构影响。</w:t>
      </w:r>
    </w:p>
    <w:p>
      <w:pPr>
        <w:pStyle w:val="2"/>
        <w:keepNext/>
        <w:spacing w:line="280" w:lineRule="exact" w:before="120" w:after="80"/>
        <w:ind w:firstLine="0"/>
        <w:jc w:val="center"/>
      </w:pPr>
      <w:r>
        <w:rPr>
          <w:rFonts w:ascii="Times New Roman" w:hAnsi="Times New Roman" w:eastAsia="宋体"/>
          <w:b w:val="0"/>
          <w:sz w:val="21"/>
        </w:rPr>
        <w:t xml:space="preserve">表5-63 五站模板与有限采样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4156"/>
        <w:gridCol w:w="4156"/>
      </w:tblGrid>
      <w:tr>
        <w:trPr>
          <w:cantSplit/>
          <w:tblHeader/>
        </w:trPr>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项目</w:t>
            </w:r>
          </w:p>
        </w:tc>
        <w:tc>
          <w:tcPr>
            <w:tcW w:type="dxa" w:w="4156"/>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设置</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初始设备</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5站，每站2×50 MVA；允许第三台50 MVA</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基期网供峰值</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目标时点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基期后第4年</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0.10、0.15、0.20、0.25、0.30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光伏权重</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0.08、0.14、0.18、0.25、0.35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日间负荷系数/光伏出力系数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0.30/0.75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1.00、1.10、1.15</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分布式电源装机渗透率节点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0、0.50、1.00、1.50、2.00、2.50、3.00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年最大净负荷平均增长率计算节点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0～10%；含导则分界及区间内节点</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线路成本系数节点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1.00、1.65、4.25、6.85、7.50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初始转供率节点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30%、40%、50%、60%、70%</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储能支撑持续时间节点</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2、4、6 h</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线路长度/新增单边能力</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 km/7.49 MW</w:t>
            </w:r>
          </w:p>
        </w:tc>
      </w:tr>
      <w:tr>
        <w:trPr>
          <w:cantSplit/>
        </w:trPr>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候选结构</w:t>
            </w:r>
          </w:p>
        </w:tc>
        <w:tc>
          <w:tcPr>
            <w:tcW w:type="dxa" w:w="4156"/>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相邻站联络为基准，增加邻接关系作对照</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线路成本按</w:t>
      </w:r>
      <m:oMath>
        <m:sSub>
          <m:e>
            <m:r>
              <m:t>I</m:t>
            </m:r>
          </m:e>
          <m:sub>
            <m:r>
              <m:t>L</m:t>
            </m:r>
          </m:sub>
        </m:sSub>
        <m:r>
          <m:t>=</m:t>
        </m:r>
        <m:r>
          <m:t>24</m:t>
        </m:r>
        <m:r>
          <m:t>L</m:t>
        </m:r>
        <m:sSub>
          <m:e>
            <m:r>
              <m:t>k</m:t>
            </m:r>
          </m:e>
          <m:sub>
            <m:r>
              <m:t>L</m:t>
            </m:r>
          </m:sub>
        </m:sSub>
        <m:r>
          <m:t>+</m:t>
        </m:r>
        <m:r>
          <m:t>6</m:t>
        </m:r>
      </m:oMath>
      <w:r>
        <w:rPr>
          <w:rFonts w:ascii="Times New Roman" w:hAnsi="Times New Roman" w:eastAsia="方正仿宋_GBK"/>
          <w:b w:val="0"/>
          <w:sz w:val="24"/>
        </w:rPr>
        <w:t xml:space="preserve">计算，单位万元。</w:t>
      </w:r>
      <m:oMath>
        <m:r>
          <m:t>L</m:t>
        </m:r>
      </m:oMath>
      <w:r>
        <w:rPr>
          <w:rFonts w:ascii="Times New Roman" w:hAnsi="Times New Roman" w:eastAsia="方正仿宋_GBK"/>
          <w:b w:val="0"/>
          <w:sz w:val="24"/>
        </w:rPr>
        <w:t xml:space="preserve">为线路长度，基准为3 km；</w:t>
      </w:r>
      <m:oMath>
        <m:sSub>
          <m:e>
            <m:r>
              <m:t>k</m:t>
            </m:r>
          </m:e>
          <m:sub>
            <m:r>
              <m:t>L</m:t>
            </m:r>
          </m:sub>
        </m:sSub>
      </m:oMath>
      <w:r>
        <w:rPr>
          <w:rFonts w:ascii="Times New Roman" w:hAnsi="Times New Roman" w:eastAsia="方正仿宋_GBK"/>
          <w:b w:val="0"/>
          <w:sz w:val="24"/>
        </w:rPr>
        <w:t xml:space="preserve">为相对架空基价的单位长度造价系数。固定接入费用6万元独立计取。系数1.65、6.85分别对应所用参考基价下10%、90%的电缆长度构成，作为线路成本系数的取值依据。</w:t>
      </w:r>
    </w:p>
    <w:p>
      <w:pPr>
        <w:pStyle w:val="5"/>
        <w:keepNext/>
        <w:numPr>
          <w:numId w:val="0"/>
        </w:numPr>
        <w:spacing w:line="390" w:lineRule="exact" w:before="160" w:after="120"/>
        <w:ind w:firstLine="0"/>
      </w:pPr>
      <w:bookmarkStart w:id="252" w:name="推荐矩阵及查表方法"/>
      <w:r>
        <w:rPr>
          <w:rFonts w:ascii="Times New Roman" w:hAnsi="Times New Roman" w:eastAsia="方正仿宋_GBK"/>
          <w:b/>
          <w:sz w:val="26"/>
        </w:rPr>
        <w:t xml:space="preserve">5.6.3 推荐矩阵及查表方法</w:t>
      </w:r>
      <w:bookmarkEnd w:id="252"/>
    </w:p>
    <w:p>
      <w:pPr>
        <w:pStyle w:val="FirstParagraph"/>
        <w:widowControl/>
        <w:spacing w:line="348" w:lineRule="exact" w:before="0" w:after="0"/>
        <w:ind w:firstLine="480"/>
        <w:jc w:val="both"/>
      </w:pPr>
      <w:r>
        <w:rPr>
          <w:rFonts w:ascii="Times New Roman" w:hAnsi="Times New Roman" w:eastAsia="方正仿宋_GBK"/>
          <w:b w:val="0"/>
          <w:sz w:val="24"/>
        </w:rPr>
        <w:t xml:space="preserve">推广计算覆盖12600组参数组合，按负荷分散系数分为两组，共形成648个参数区间单元。负荷分散系数不大于1.10组包括1.00、1.10两个计算节点，大于1.10组采用1.15节点；储能支撑持续时间采用2、4、6 h节点。全部结果通过设备及网络约束核验。容载比计算值总体为2.01～3.28，区间形式覆盖参数定义域，数值结论限于已计算节点及所设模板。</w:t>
      </w:r>
    </w:p>
    <w:p>
      <w:pPr>
        <w:pStyle w:val="2"/>
        <w:keepNext/>
        <w:spacing w:line="280" w:lineRule="exact" w:before="120" w:after="80"/>
        <w:ind w:firstLine="0"/>
        <w:jc w:val="center"/>
      </w:pPr>
      <w:r>
        <w:rPr>
          <w:rFonts w:ascii="Times New Roman" w:hAnsi="Times New Roman" w:eastAsia="宋体"/>
          <w:b w:val="0"/>
          <w:sz w:val="21"/>
        </w:rPr>
        <w:t xml:space="preserve">表5-64 负荷分散系数≤1.10、分布式电源装机渗透率≤1.00、储能支撑持续时间≤2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表5-65 负荷分散系数≤1.10、分布式电源装机渗透率(1.00,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表5-66 负荷分散系数≤1.10、分布式电源装机渗透率&gt;2.00、储能支撑持续时间≤2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表5-67 负荷分散系数≤1.10、分布式电源装机渗透率≤1.00、储能支撑持续时间(2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2.09～2.22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表5-68 负荷分散系数≤1.10、分布式电源装机渗透率(1.00,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表5-69 负荷分散系数≤1.10、分布式电源装机渗透率&gt;2.00、储能支撑持续时间(2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表5-70 负荷分散系数≤1.10、分布式电源装机渗透率≤1.00、储能支撑持续时间&gt;4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2.02～2.08</w:t>
            </w:r>
          </w:p>
        </w:tc>
      </w:tr>
    </w:tbl>
    <w:p>
      <w:pPr>
        <w:pStyle w:val="2"/>
        <w:keepNext/>
        <w:spacing w:line="280" w:lineRule="exact" w:before="120" w:after="80"/>
        <w:ind w:firstLine="0"/>
        <w:jc w:val="center"/>
      </w:pPr>
      <w:r>
        <w:rPr>
          <w:rFonts w:ascii="Times New Roman" w:hAnsi="Times New Roman" w:eastAsia="宋体"/>
          <w:b w:val="0"/>
          <w:sz w:val="21"/>
        </w:rPr>
        <w:t xml:space="preserve">表5-71 负荷分散系数≤1.10、分布式电源装机渗透率(1.00,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2.07～2.32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表5-72 负荷分散系数≤1.10、分布式电源装机渗透率&gt;2.00、储能支撑持续时间&gt;4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表5-73 负荷分散系数&gt;1.10、分布式电源装机渗透率≤1.00、储能支撑持续时间≤2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表5-74 负荷分散系数&gt;1.10、分布式电源装机渗透率(1.00, 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2.20～2.63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2.18～2.32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2.03～2.25</w:t>
            </w:r>
          </w:p>
        </w:tc>
      </w:tr>
    </w:tbl>
    <w:p>
      <w:pPr>
        <w:pStyle w:val="2"/>
        <w:keepNext/>
        <w:spacing w:line="280" w:lineRule="exact" w:before="120" w:after="80"/>
        <w:ind w:firstLine="0"/>
        <w:jc w:val="center"/>
      </w:pPr>
      <w:r>
        <w:rPr>
          <w:rFonts w:ascii="Times New Roman" w:hAnsi="Times New Roman" w:eastAsia="宋体"/>
          <w:b w:val="0"/>
          <w:sz w:val="21"/>
        </w:rPr>
        <w:t xml:space="preserve">表5-75 负荷分散系数&gt;1.10、分布式电源装机渗透率&gt;2.00、储能支撑持续时间≤2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2.24～2.59</w:t>
            </w:r>
          </w:p>
        </w:tc>
      </w:tr>
    </w:tbl>
    <w:p>
      <w:pPr>
        <w:pStyle w:val="2"/>
        <w:keepNext/>
        <w:spacing w:line="280" w:lineRule="exact" w:before="120" w:after="80"/>
        <w:ind w:firstLine="0"/>
        <w:jc w:val="center"/>
      </w:pPr>
      <w:r>
        <w:rPr>
          <w:rFonts w:ascii="Times New Roman" w:hAnsi="Times New Roman" w:eastAsia="宋体"/>
          <w:b w:val="0"/>
          <w:sz w:val="21"/>
        </w:rPr>
        <w:t xml:space="preserve">表5-76 负荷分散系数&gt;1.10、分布式电源装机渗透率≤1.00、储能支撑持续时间(2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2.13～2.23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2.03～2.09</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2.05～2.09</w:t>
            </w:r>
          </w:p>
        </w:tc>
      </w:tr>
    </w:tbl>
    <w:p>
      <w:pPr>
        <w:pStyle w:val="2"/>
        <w:keepNext/>
        <w:spacing w:line="280" w:lineRule="exact" w:before="120" w:after="80"/>
        <w:ind w:firstLine="0"/>
        <w:jc w:val="center"/>
      </w:pPr>
      <w:r>
        <w:rPr>
          <w:rFonts w:ascii="Times New Roman" w:hAnsi="Times New Roman" w:eastAsia="宋体"/>
          <w:b w:val="0"/>
          <w:sz w:val="21"/>
        </w:rPr>
        <w:t xml:space="preserve">表5-77 负荷分散系数&gt;1.10、分布式电源装机渗透率(1.00, 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2.13～2.53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表5-78 负荷分散系数&gt;1.10、分布式电源装机渗透率&gt;2.00、储能支撑持续时间(2 h, 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keepNext/>
        <w:spacing w:line="280" w:lineRule="exact" w:before="120" w:after="80"/>
        <w:ind w:firstLine="0"/>
        <w:jc w:val="center"/>
      </w:pPr>
      <w:r>
        <w:rPr>
          <w:rFonts w:ascii="Times New Roman" w:hAnsi="Times New Roman" w:eastAsia="宋体"/>
          <w:b w:val="0"/>
          <w:sz w:val="21"/>
        </w:rPr>
        <w:t xml:space="preserve">表5-79 负荷分散系数&gt;1.10、分布式电源装机渗透率≤1.00、储能支撑持续时间&gt;4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2.20～2.22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2.03～2.21</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2.31～2.35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2.02～2.10</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2.03～2.08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2.03～2.15</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2.14～2.24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2.05～2.15</w:t>
            </w:r>
          </w:p>
        </w:tc>
      </w:tr>
    </w:tbl>
    <w:p>
      <w:pPr>
        <w:pStyle w:val="2"/>
        <w:keepNext/>
        <w:spacing w:line="280" w:lineRule="exact" w:before="120" w:after="80"/>
        <w:ind w:firstLine="0"/>
        <w:jc w:val="center"/>
      </w:pPr>
      <w:r>
        <w:rPr>
          <w:rFonts w:ascii="Times New Roman" w:hAnsi="Times New Roman" w:eastAsia="宋体"/>
          <w:b w:val="0"/>
          <w:sz w:val="21"/>
        </w:rPr>
        <w:t xml:space="preserve">表5-80 负荷分散系数&gt;1.10、分布式电源装机渗透率(1.00, 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2.21～2.84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2.22～2.53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2.05～2.53</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2.06～2.46</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2.14～2.32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2.03～2.32</w:t>
            </w:r>
          </w:p>
        </w:tc>
      </w:tr>
    </w:tbl>
    <w:p>
      <w:pPr>
        <w:pStyle w:val="2"/>
        <w:keepNext/>
        <w:spacing w:line="280" w:lineRule="exact" w:before="120" w:after="80"/>
        <w:ind w:firstLine="0"/>
        <w:jc w:val="center"/>
      </w:pPr>
      <w:r>
        <w:rPr>
          <w:rFonts w:ascii="Times New Roman" w:hAnsi="Times New Roman" w:eastAsia="宋体"/>
          <w:b w:val="0"/>
          <w:sz w:val="21"/>
        </w:rPr>
        <w:t xml:space="preserve">表5-81 负荷分散系数&gt;1.10、分布式电源装机渗透率&gt;2.00、储能支撑持续时间&gt;4 h的容载比计算范围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2078"/>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容载比计算范围</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2.90～3.28</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 4%]</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2.80～2.92</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 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(1.65, 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 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r>
        <w:trPr>
          <w:cantSplit/>
        </w:trPr>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&gt;7%</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&gt;6.85</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&gt;50%</w:t>
            </w:r>
          </w:p>
        </w:tc>
        <w:tc>
          <w:tcPr>
            <w:tcW w:type="dxa" w:w="2078"/>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2.31～2.74</w:t>
            </w:r>
          </w:p>
        </w:tc>
      </w:tr>
    </w:tbl>
    <w:p>
      <w:pPr>
        <w:pStyle w:val="2"/>
        <w:widowControl/>
        <w:spacing w:line="348" w:lineRule="exact" w:before="0" w:after="0"/>
        <w:ind w:firstLine="480"/>
        <w:jc w:val="both"/>
      </w:pPr>
      <w:r>
        <w:rPr>
          <w:rFonts w:ascii="Times New Roman" w:hAnsi="Times New Roman" w:eastAsia="方正仿宋_GBK"/>
          <w:b w:val="0"/>
          <w:sz w:val="24"/>
        </w:rPr>
        <w:t xml:space="preserve">查表先按负荷分散系数确定分组，再确定其余五项输入所在区间，再核对该单元的已计算参数和模板条件。表中范围用于给定条件下的初步方案比选，最终容量须按实际主变规格、站间网络和储能条件重新落实。首尾档的新增计算点仍归原区间；超出已验证条件时补充计算，不改变区间端点。</w:t>
      </w:r>
    </w:p>
    <w:p>
      <w:pPr>
        <w:pStyle w:val="2"/>
        <w:keepNext/>
        <w:spacing w:line="240" w:lineRule="auto" w:before="120" w:after="0"/>
        <w:ind w:firstLine="0" w:firstLineChars="0" w:hanging="0" w:hangingChars="0" w:left="0" w:right="0" w:start="0" w:end="0" w:leftChars="0" w:rightChars="0" w:startChars="0" w:endChars="0"/>
        <w:jc w:val="center"/>
      </w:pPr>
      <w:r>
        <w:drawing>
          <wp:inline>
            <wp:extent cx="5120640" cy="2880360"/>
            <wp:effectExtent b="0" l="0" r="0" t="0"/>
            <wp:docPr descr="" title="" id="1" name="Picture"/>
            <a:graphic>
              <a:graphicData uri="http://schemas.openxmlformats.org/drawingml/2006/picture">
                <pic:pic>
                  <pic:nvPicPr>
                    <pic:cNvPr descr="研究报告/02图表/当前版/planning_tier_heatmap.png" id="0" name="Picture"/>
                    <pic:cNvPicPr>
                      <a:picLocks noChangeArrowheads="1" noChangeAspect="1"/>
                    </pic:cNvPicPr>
                  </pic:nvPicPr>
                  <pic:blipFill>
                    <a:blip r:embed="rId253"/>
                    <a:stretch>
                      <a:fillRect/>
                    </a:stretch>
                  </pic:blipFill>
                  <pic:spPr bwMode="auto">
                    <a:xfrm>
                      <a:off x="0" y="0"/>
                      <a:ext cx="5120640" cy="2880360"/>
                    </a:xfrm>
                    <a:prstGeom prst="rect">
                      <a:avLst/>
                    </a:prstGeom>
                    <a:noFill/>
                    <a:ln w="9525">
                      <a:noFill/>
                      <a:headEnd/>
                      <a:tailEnd/>
                    </a:ln>
                  </pic:spPr>
                </pic:pic>
              </a:graphicData>
            </a:graphic>
          </wp:inline>
        </w:drawing>
      </w:r>
    </w:p>
    <w:p>
      <w:pPr>
        <w:pStyle w:val="2"/>
        <w:spacing w:line="280" w:lineRule="exact" w:before="60" w:after="120"/>
        <w:ind w:firstLine="0" w:firstLineChars="0" w:hanging="0" w:hangingChars="0" w:left="0" w:right="0" w:start="0" w:end="0" w:leftChars="0" w:rightChars="0" w:startChars="0" w:endChars="0"/>
        <w:jc w:val="center"/>
      </w:pPr>
      <w:r>
        <w:rPr>
          <w:rFonts w:ascii="Times New Roman" w:hAnsi="Times New Roman" w:eastAsia="宋体"/>
          <w:b w:val="0"/>
          <w:sz w:val="21"/>
        </w:rPr>
        <w:t xml:space="preserve">图5-4 分布式电源装机渗透率与年最大净负荷平均增长率变化下的容载比（负荷分散系数1.10）</w:t>
      </w:r>
    </w:p>
    <w:p>
      <w:pPr>
        <w:pStyle w:val="2"/>
        <w:widowControl/>
        <w:spacing w:line="348" w:lineRule="exact" w:before="0" w:after="0"/>
        <w:ind w:firstLine="480"/>
        <w:jc w:val="both"/>
      </w:pPr>
      <w:r>
        <w:rPr>
          <w:rFonts w:ascii="Times New Roman" w:hAnsi="Times New Roman" w:eastAsia="方正仿宋_GBK"/>
          <w:b w:val="0"/>
          <w:sz w:val="24"/>
        </w:rPr>
        <w:t xml:space="preserve">图示固定线路成本系数4.25、初始转供率40%、储能支撑持续时间4 h和负荷分散系数1.10。颜色表示相应计算节点的容载比，完整分类结果以上述六参数矩阵为准。</w:t>
      </w:r>
    </w:p>
    <w:p>
      <w:pPr>
        <w:pStyle w:val="5"/>
        <w:keepNext/>
        <w:numPr>
          <w:numId w:val="0"/>
        </w:numPr>
        <w:spacing w:line="390" w:lineRule="exact" w:before="160" w:after="120"/>
        <w:ind w:firstLine="0"/>
      </w:pPr>
      <w:bookmarkStart w:id="254" w:name="主参数的受控变化"/>
      <w:r>
        <w:rPr>
          <w:rFonts w:ascii="Times New Roman" w:hAnsi="Times New Roman" w:eastAsia="方正仿宋_GBK"/>
          <w:b/>
          <w:sz w:val="26"/>
        </w:rPr>
        <w:t xml:space="preserve">5.6.4 主参数的受控变化</w:t>
      </w:r>
      <w:bookmarkEnd w:id="254"/>
    </w:p>
    <w:p>
      <w:pPr>
        <w:pStyle w:val="FirstParagraph"/>
        <w:keepNext/>
        <w:spacing w:line="280" w:lineRule="exact" w:before="120" w:after="80"/>
        <w:ind w:firstLine="0"/>
        <w:jc w:val="center"/>
      </w:pPr>
      <w:r>
        <w:rPr>
          <w:rFonts w:ascii="Times New Roman" w:hAnsi="Times New Roman" w:eastAsia="宋体"/>
          <w:b w:val="0"/>
          <w:sz w:val="21"/>
        </w:rPr>
        <w:t xml:space="preserve">表5-82 推广参数与容载比、评价期费用现值的相关性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容载比Spearman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费用Pearson</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费用Spearman</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0.28</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0.46</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0.02</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-0.06</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-0.08</w:t>
            </w:r>
          </w:p>
        </w:tc>
      </w:tr>
      <w:tr>
        <w:trPr>
          <w:cantSplit/>
        </w:trPr>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0.19</w:t>
            </w:r>
          </w:p>
        </w:tc>
        <w:tc>
          <w:tcPr>
            <w:tcW w:type="dxa" w:w="1662"/>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0.07</w:t>
            </w:r>
          </w:p>
        </w:tc>
      </w:tr>
      <w:tr>
        <w:trPr>
          <w:cantSplit/>
        </w:trPr>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0.04</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0.09</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0.01</w:t>
            </w:r>
          </w:p>
        </w:tc>
        <w:tc>
          <w:tcPr>
            <w:tcW w:type="dxa" w:w="1662"/>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0.05</w:t>
            </w:r>
          </w:p>
        </w:tc>
      </w:tr>
    </w:tbl>
    <w:p>
      <w:pPr>
        <w:pStyle w:val="2"/>
        <w:widowControl/>
        <w:spacing w:line="348" w:lineRule="exact" w:before="0" w:after="0"/>
        <w:ind w:firstLine="480"/>
        <w:jc w:val="both"/>
      </w:pPr>
      <w:r>
        <w:rPr>
          <w:rFonts w:ascii="Times New Roman" w:hAnsi="Times New Roman" w:eastAsia="方正仿宋_GBK"/>
          <w:b w:val="0"/>
          <w:sz w:val="24"/>
        </w:rPr>
        <w:t xml:space="preserve">推广计算中，Pearson相关系数描述参数与结果的线性共同变化，Spearman秩相关系数描述排序关系[94][95]。六项输入采用独立全因子组合。参数与容载比的总体相关受取值范围及其他参数组合影响，因此同时进行固定其他输入的配对比较。</w:t>
      </w:r>
    </w:p>
    <w:p>
      <w:pPr>
        <w:pStyle w:val="2"/>
        <w:keepNext/>
        <w:spacing w:line="280" w:lineRule="exact" w:before="120" w:after="80"/>
        <w:ind w:firstLine="0"/>
        <w:jc w:val="center"/>
      </w:pPr>
      <w:r>
        <w:rPr>
          <w:rFonts w:ascii="Times New Roman" w:hAnsi="Times New Roman" w:eastAsia="宋体"/>
          <w:b w:val="0"/>
          <w:sz w:val="21"/>
        </w:rPr>
        <w:t xml:space="preserve">表5-83 核心参数最低与最高计算节点的配对变化</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参数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配对数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平均容载比差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最大绝对差</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容载比变化占比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平均费用差/万元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分布式电源装机渗透率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70331.67</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年最大净负荷平均增长率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0.83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26395.44</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线路成本系数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99.69</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初始转供率</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2520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0.31</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-893.18</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储能支撑持续时间</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13945.02</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负荷分散系数</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4200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0.30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587.64</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提高后，日间反向功率需求增加；年最大净负荷平均增长率同时改变容量需求和容载比分母。负荷分散系数在区域同时最大负荷不变的条件下改变各站独立峰值，从而影响局部主变N-1及站间支援要求。线路成本系数、初始转供率和储能支撑持续时间分别作用于工程费用、存量转供预算和储能有效支撑功率，需结合设备组合解释响应。</w:t>
      </w:r>
    </w:p>
    <w:p>
      <w:pPr>
        <w:pStyle w:val="2"/>
        <w:widowControl/>
        <w:spacing w:line="348" w:lineRule="exact" w:before="0" w:after="0"/>
        <w:ind w:firstLine="480"/>
        <w:jc w:val="both"/>
      </w:pPr>
      <w:r>
        <w:rPr>
          <w:rFonts w:ascii="Times New Roman" w:hAnsi="Times New Roman" w:eastAsia="方正仿宋_GBK"/>
          <w:b w:val="0"/>
          <w:sz w:val="24"/>
        </w:rPr>
        <w:t xml:space="preserve">比较按固定其余输入后的参数配对进行。平均变化反映总体方向，最大变化和发生变化的配对比例用于识别离散设备切换。增长率同时改变目标年容量需求及容载比分母，需结合主变容量分析其响应。费用接近而设备组合不唯一时，小幅容载比变化仅作为候选配置差异分析。</w:t>
      </w:r>
    </w:p>
    <w:p>
      <w:pPr>
        <w:pStyle w:val="2"/>
        <w:widowControl/>
        <w:spacing w:line="348" w:lineRule="exact" w:before="0" w:after="0"/>
        <w:ind w:firstLine="480"/>
        <w:jc w:val="both"/>
      </w:pPr>
      <w:r>
        <w:rPr>
          <w:rFonts w:ascii="Times New Roman" w:hAnsi="Times New Roman" w:eastAsia="方正仿宋_GBK"/>
          <w:b w:val="0"/>
          <w:sz w:val="24"/>
        </w:rPr>
        <w:t xml:space="preserve">负荷分散系数用于反映各站独立峰值与区域同时峰值的差异。以下固定年最大净负荷平均增长率4%、线路成本系数4.25、初始转供率40%和储能支撑持续时间4 h，分别考察负荷分散系数1.00、1.10、1.15。各站非同时峰值通过额外工况计入，区域同时最大负荷保持一致。</w:t>
      </w:r>
    </w:p>
    <w:p>
      <w:pPr>
        <w:pStyle w:val="2"/>
        <w:keepNext/>
        <w:spacing w:line="280" w:lineRule="exact" w:before="120" w:after="80"/>
        <w:ind w:firstLine="0"/>
        <w:jc w:val="center"/>
      </w:pPr>
      <w:r>
        <w:rPr>
          <w:rFonts w:ascii="Times New Roman" w:hAnsi="Times New Roman" w:eastAsia="宋体"/>
          <w:b w:val="0"/>
          <w:sz w:val="21"/>
        </w:rPr>
        <w:t xml:space="preserve">表5-84 不同负荷分散系数下的设备组合</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分布式电源装机渗透率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负荷分散系数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新增联络项目数</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3363.97</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103.10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33901.05</w:t>
            </w:r>
          </w:p>
        </w:tc>
      </w:tr>
    </w:tbl>
    <w:p>
      <w:pPr>
        <w:pStyle w:val="2"/>
        <w:widowControl/>
        <w:spacing w:line="348" w:lineRule="exact" w:before="0" w:after="0"/>
        <w:ind w:firstLine="480"/>
        <w:jc w:val="both"/>
      </w:pPr>
      <w:r>
        <w:rPr>
          <w:rFonts w:ascii="Times New Roman" w:hAnsi="Times New Roman" w:eastAsia="方正仿宋_GBK"/>
          <w:b w:val="0"/>
          <w:sz w:val="24"/>
        </w:rPr>
        <w:t xml:space="preserve">分布式电源装机渗透率为0.50时，三种负荷分散系数下的公用主变总容量均为600.00 MVA、容载比均为2.05，新增联络项目数分别为0、1、2。负荷分散系数在这些节点主要影响联络建设。分布式电源装机渗透率为2.50时，三组均采用820.00 MVA主变容量及103.10 MW储能额定功率，反向容量要求在这些节点中起主要作用，负荷分散系数变化未触发设备切换。</w:t>
      </w:r>
    </w:p>
    <w:p>
      <w:pPr>
        <w:pStyle w:val="2"/>
        <w:widowControl/>
        <w:spacing w:line="348" w:lineRule="exact" w:before="0" w:after="0"/>
        <w:ind w:firstLine="480"/>
        <w:jc w:val="both"/>
      </w:pPr>
      <w:r>
        <w:rPr>
          <w:rFonts w:ascii="Times New Roman" w:hAnsi="Times New Roman" w:eastAsia="方正仿宋_GBK"/>
          <w:b w:val="0"/>
          <w:sz w:val="24"/>
        </w:rPr>
        <w:t xml:space="preserve">以下在分布式电源装机渗透率0.50下分别比较线路成本系数和初始转供率。除变化参数外，增长率取4%、储能支撑持续时间取4 h；线路成本变化时初始转供率为40%，转供率变化时线路成本系数为4.25。</w:t>
      </w:r>
    </w:p>
    <w:p>
      <w:pPr>
        <w:pStyle w:val="2"/>
        <w:keepNext/>
        <w:spacing w:line="280" w:lineRule="exact" w:before="120" w:after="80"/>
        <w:ind w:firstLine="0"/>
        <w:jc w:val="center"/>
      </w:pPr>
      <w:r>
        <w:rPr>
          <w:rFonts w:ascii="Times New Roman" w:hAnsi="Times New Roman" w:eastAsia="宋体"/>
          <w:b w:val="0"/>
          <w:sz w:val="21"/>
        </w:rPr>
        <w:t xml:space="preserve">表5-85 线路成本系数变化（分布式电源装机渗透率0.50）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线路成本系数</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2835.33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2880.64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4.25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6.85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3243.14</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7.50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3288.45</w:t>
            </w:r>
          </w:p>
        </w:tc>
      </w:tr>
    </w:tbl>
    <w:p>
      <w:pPr>
        <w:pStyle w:val="2"/>
        <w:widowControl/>
        <w:spacing w:line="348" w:lineRule="exact" w:before="0" w:after="0"/>
        <w:ind w:firstLine="480"/>
        <w:jc w:val="both"/>
      </w:pPr>
      <w:r>
        <w:rPr>
          <w:rFonts w:ascii="Times New Roman" w:hAnsi="Times New Roman" w:eastAsia="方正仿宋_GBK"/>
          <w:b w:val="0"/>
          <w:sz w:val="24"/>
        </w:rPr>
        <w:t xml:space="preserve">线路成本系数从1.00提高至7.50，方案始终采用600.00 MVA主变和1条新增联络，未配置储能。费用增加453.12万元，来自同一联络项目的造价上涨；在这组条件下，改用其他措施尚不具备费用优势。</w:t>
      </w:r>
    </w:p>
    <w:p>
      <w:pPr>
        <w:pStyle w:val="2"/>
        <w:widowControl/>
        <w:spacing w:line="348" w:lineRule="exact" w:before="0" w:after="0"/>
        <w:ind w:firstLine="480"/>
        <w:jc w:val="both"/>
      </w:pPr>
      <w:r>
        <w:rPr>
          <w:rFonts w:ascii="Times New Roman" w:hAnsi="Times New Roman" w:eastAsia="方正仿宋_GBK"/>
          <w:b w:val="0"/>
          <w:sz w:val="24"/>
        </w:rPr>
        <w:t xml:space="preserve">主网格的端点配对还包含设备替换情形，其发生比例与容量变化见核心参数配对表。</w:t>
      </w:r>
    </w:p>
    <w:p>
      <w:pPr>
        <w:pStyle w:val="2"/>
        <w:keepNext/>
        <w:spacing w:line="280" w:lineRule="exact" w:before="120" w:after="80"/>
        <w:ind w:firstLine="0"/>
        <w:jc w:val="center"/>
      </w:pPr>
      <w:r>
        <w:rPr>
          <w:rFonts w:ascii="Times New Roman" w:hAnsi="Times New Roman" w:eastAsia="宋体"/>
          <w:b w:val="0"/>
          <w:sz w:val="21"/>
        </w:rPr>
        <w:t xml:space="preserve">表5-86 初始转供率变化（分布式电源装机渗透率0.50）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初始转供率由30%提高至40%时，既有网络支援增强，主变容量从650.00 MVA降至600.00 MVA，并新增1条联络。提高至60%后，既有联络已能满足转接需求，新增联络取消，费用降至2759.81万元。主变容量与线路建设分别在不同取值处发生调整。</w:t>
      </w:r>
    </w:p>
    <w:p>
      <w:pPr>
        <w:pStyle w:val="2"/>
        <w:widowControl/>
        <w:spacing w:line="348" w:lineRule="exact" w:before="0" w:after="0"/>
        <w:ind w:firstLine="480"/>
        <w:jc w:val="both"/>
      </w:pPr>
      <w:r>
        <w:rPr>
          <w:rFonts w:ascii="Times New Roman" w:hAnsi="Times New Roman" w:eastAsia="方正仿宋_GBK"/>
          <w:b w:val="0"/>
          <w:sz w:val="24"/>
        </w:rPr>
        <w:t xml:space="preserve">既有转供能力可替代部分新增容量或联络工程，替代程度取决于邻站余量、馈线共享条件和网络结构。</w:t>
      </w:r>
    </w:p>
    <w:p>
      <w:pPr>
        <w:pStyle w:val="5"/>
        <w:keepNext/>
        <w:numPr>
          <w:numId w:val="0"/>
        </w:numPr>
        <w:spacing w:line="390" w:lineRule="exact" w:before="160" w:after="120"/>
        <w:ind w:firstLine="0"/>
      </w:pPr>
      <w:bookmarkStart w:id="255" w:name="分布式电源装机规模与双向容量需求"/>
      <w:r>
        <w:rPr>
          <w:rFonts w:ascii="Times New Roman" w:hAnsi="Times New Roman" w:eastAsia="方正仿宋_GBK"/>
          <w:b/>
          <w:sz w:val="26"/>
        </w:rPr>
        <w:t xml:space="preserve">5.6.5 分布式电源装机规模与双向容量需求</w:t>
      </w:r>
      <w:bookmarkEnd w:id="255"/>
    </w:p>
    <w:p>
      <w:pPr>
        <w:pStyle w:val="FirstParagraph"/>
        <w:widowControl/>
        <w:spacing w:line="348" w:lineRule="exact" w:before="0" w:after="0"/>
        <w:ind w:firstLine="480"/>
        <w:jc w:val="both"/>
      </w:pPr>
      <w:r>
        <w:rPr>
          <w:rFonts w:ascii="Times New Roman" w:hAnsi="Times New Roman" w:eastAsia="方正仿宋_GBK"/>
          <w:b w:val="0"/>
          <w:sz w:val="24"/>
        </w:rPr>
        <w:t xml:space="preserve">分别观察初始转供率30%和70%的条件。其余参数固定为增长率4%、线路成本系数4.25、储能支撑持续时间4 h，负荷分散系数为1.10。</w:t>
      </w:r>
    </w:p>
    <w:p>
      <w:pPr>
        <w:pStyle w:val="7"/>
        <w:keepNext/>
        <w:numPr>
          <w:numId w:val="0"/>
        </w:numPr>
        <w:spacing w:line="360" w:lineRule="exact" w:before="160" w:after="120"/>
        <w:ind w:firstLine="0"/>
      </w:pPr>
      <w:bookmarkStart w:id="256" w:name="初始转供率30"/>
      <w:r>
        <w:rPr>
          <w:rFonts w:ascii="Times New Roman" w:hAnsi="Times New Roman" w:eastAsia="方正仿宋_GBK"/>
          <w:b/>
          <w:sz w:val="24"/>
        </w:rPr>
        <w:t xml:space="preserve">初始转供率30%</w:t>
      </w:r>
      <w:bookmarkEnd w:id="256"/>
    </w:p>
    <w:p>
      <w:pPr>
        <w:pStyle w:val="FirstParagraph"/>
        <w:keepNext/>
        <w:spacing w:line="280" w:lineRule="exact" w:before="120" w:after="80"/>
        <w:ind w:firstLine="0"/>
        <w:jc w:val="center"/>
      </w:pPr>
      <w:r>
        <w:rPr>
          <w:rFonts w:ascii="Times New Roman" w:hAnsi="Times New Roman" w:eastAsia="宋体"/>
          <w:b w:val="0"/>
          <w:sz w:val="21"/>
        </w:rPr>
        <w:t xml:space="preserve">表5-87 分布式电源装机渗透率变化（初始转供率30%）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装机渗透率不超过1.50的计算点采用650.00 MVA主变，未配置储能。提高至2.00后，日间反向输送需求推动主变和储能同时增加；达到3.00时，主变容量为846.00 MVA，储能额定功率为243.80 MW，费用升至66823.01万元。</w:t>
      </w:r>
    </w:p>
    <w:p>
      <w:pPr>
        <w:pStyle w:val="7"/>
        <w:keepNext/>
        <w:numPr>
          <w:numId w:val="0"/>
        </w:numPr>
        <w:spacing w:line="360" w:lineRule="exact" w:before="160" w:after="120"/>
        <w:ind w:firstLine="0"/>
      </w:pPr>
      <w:bookmarkStart w:id="257" w:name="初始转供率70"/>
      <w:r>
        <w:rPr>
          <w:rFonts w:ascii="Times New Roman" w:hAnsi="Times New Roman" w:eastAsia="方正仿宋_GBK"/>
          <w:b/>
          <w:sz w:val="24"/>
        </w:rPr>
        <w:t xml:space="preserve">初始转供率70%</w:t>
      </w:r>
      <w:bookmarkEnd w:id="257"/>
    </w:p>
    <w:p>
      <w:pPr>
        <w:pStyle w:val="FirstParagraph"/>
        <w:keepNext/>
        <w:spacing w:line="280" w:lineRule="exact" w:before="120" w:after="80"/>
        <w:ind w:firstLine="0"/>
        <w:jc w:val="center"/>
      </w:pPr>
      <w:r>
        <w:rPr>
          <w:rFonts w:ascii="Times New Roman" w:hAnsi="Times New Roman" w:eastAsia="宋体"/>
          <w:b w:val="0"/>
          <w:sz w:val="21"/>
        </w:rPr>
        <w:t xml:space="preserve">表5-88 分布式电源装机渗透率变化（初始转供率70%）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装机渗透率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2759.81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710.00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23.86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9543.03</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2.89</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243.80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524.17</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66823.01</w:t>
            </w:r>
          </w:p>
        </w:tc>
      </w:tr>
    </w:tbl>
    <w:p>
      <w:pPr>
        <w:pStyle w:val="2"/>
        <w:widowControl/>
        <w:spacing w:line="348" w:lineRule="exact" w:before="0" w:after="0"/>
        <w:ind w:firstLine="480"/>
        <w:jc w:val="both"/>
      </w:pPr>
      <w:r>
        <w:rPr>
          <w:rFonts w:ascii="Times New Roman" w:hAnsi="Times New Roman" w:eastAsia="方正仿宋_GBK"/>
          <w:b w:val="0"/>
          <w:sz w:val="24"/>
        </w:rPr>
        <w:t xml:space="preserve">较强的既有转供能力使装机渗透率不超过1.50时的主变容量降至600.00 MVA。装机渗透率达到2.00及以上后，两组转供条件对应的配置相同，反向容量需求成为这些计算点的主要约束。</w:t>
      </w:r>
    </w:p>
    <w:p>
      <w:pPr>
        <w:pStyle w:val="2"/>
        <w:widowControl/>
        <w:spacing w:line="348" w:lineRule="exact" w:before="0" w:after="0"/>
        <w:ind w:firstLine="480"/>
        <w:jc w:val="both"/>
      </w:pPr>
      <w:r>
        <w:rPr>
          <w:rFonts w:ascii="Times New Roman" w:hAnsi="Times New Roman" w:eastAsia="方正仿宋_GBK"/>
          <w:b w:val="0"/>
          <w:sz w:val="24"/>
        </w:rPr>
        <w:t xml:space="preserve">装机规模增加时，日间光伏出力可能超过本地用电需求，主变和储能需要吸收或输送相应反向功率。站间转接只调整用电负荷归属，电源保留在原站，因此正向供电所需的负荷转出与日间反向容量不一定具有相同改善方向。模型分别校核正向与反向容量。</w:t>
      </w:r>
    </w:p>
    <w:p>
      <w:pPr>
        <w:pStyle w:val="2"/>
        <w:widowControl/>
        <w:spacing w:line="348" w:lineRule="exact" w:before="0" w:after="0"/>
        <w:ind w:firstLine="480"/>
        <w:jc w:val="both"/>
      </w:pPr>
      <w:r>
        <w:rPr>
          <w:rFonts w:ascii="Times New Roman" w:hAnsi="Times New Roman" w:eastAsia="方正仿宋_GBK"/>
          <w:b w:val="0"/>
          <w:sz w:val="24"/>
        </w:rPr>
        <w:t xml:space="preserve">两组转供条件下的逐点结果同时列出主变、储能和线路规模。主变候选受设备规格及扩建位置限制，当容量接近候选上限时，继续增加装机规模可能更多体现为储能需求和费用增加。更高装机规模下的配置需按相应源荷与设备条件补充计算。</w:t>
      </w:r>
    </w:p>
    <w:p>
      <w:pPr>
        <w:pStyle w:val="5"/>
        <w:keepNext/>
        <w:numPr>
          <w:numId w:val="0"/>
        </w:numPr>
        <w:spacing w:line="390" w:lineRule="exact" w:before="160" w:after="120"/>
        <w:ind w:firstLine="0"/>
      </w:pPr>
      <w:bookmarkStart w:id="258" w:name="负荷增长与主变建设时序"/>
      <w:r>
        <w:rPr>
          <w:rFonts w:ascii="Times New Roman" w:hAnsi="Times New Roman" w:eastAsia="方正仿宋_GBK"/>
          <w:b/>
          <w:sz w:val="26"/>
        </w:rPr>
        <w:t xml:space="preserve">5.6.6 负荷增长与主变建设时序</w:t>
      </w:r>
      <w:bookmarkEnd w:id="258"/>
    </w:p>
    <w:p>
      <w:pPr>
        <w:pStyle w:val="FirstParagraph"/>
        <w:widowControl/>
        <w:spacing w:line="348" w:lineRule="exact" w:before="0" w:after="0"/>
        <w:ind w:firstLine="480"/>
        <w:jc w:val="both"/>
      </w:pPr>
      <w:r>
        <w:rPr>
          <w:rFonts w:ascii="Times New Roman" w:hAnsi="Times New Roman" w:eastAsia="方正仿宋_GBK"/>
          <w:b w:val="0"/>
          <w:sz w:val="24"/>
        </w:rPr>
        <w:t xml:space="preserve">增长率按导则区间取代表节点，保留2%、4%、7%分界，并列示区间内及末档计算点。以下在分布式电源装机渗透率0.50、2.50下分别改变增长率，线路成本系数4.25、初始转供率40%、支撑持续时间4 h保持不变。</w:t>
      </w:r>
    </w:p>
    <w:p>
      <w:pPr>
        <w:pStyle w:val="7"/>
        <w:keepNext/>
        <w:numPr>
          <w:numId w:val="0"/>
        </w:numPr>
        <w:spacing w:line="360" w:lineRule="exact" w:before="160" w:after="120"/>
        <w:ind w:firstLine="0"/>
      </w:pPr>
      <w:bookmarkStart w:id="259" w:name="分布式电源装机渗透率0.50"/>
      <w:r>
        <w:rPr>
          <w:rFonts w:ascii="Times New Roman" w:hAnsi="Times New Roman" w:eastAsia="方正仿宋_GBK"/>
          <w:b/>
          <w:sz w:val="24"/>
        </w:rPr>
        <w:t xml:space="preserve">分布式电源装机渗透率0.50</w:t>
      </w:r>
      <w:bookmarkEnd w:id="259"/>
    </w:p>
    <w:p>
      <w:pPr>
        <w:pStyle w:val="FirstParagraph"/>
        <w:keepNext/>
        <w:spacing w:line="280" w:lineRule="exact" w:before="120" w:after="80"/>
        <w:ind w:firstLine="0"/>
        <w:jc w:val="center"/>
      </w:pPr>
      <w:r>
        <w:rPr>
          <w:rFonts w:ascii="Times New Roman" w:hAnsi="Times New Roman" w:eastAsia="宋体"/>
          <w:b w:val="0"/>
          <w:sz w:val="21"/>
        </w:rPr>
        <w:t xml:space="preserve">表5-89 负荷增长率变化（分布式电源装机渗透率0.50）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1379.91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0.30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1747.16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4441.80</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7875.78</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8511.56</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2.15</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10867.72</w:t>
            </w:r>
          </w:p>
        </w:tc>
      </w:tr>
    </w:tbl>
    <w:p>
      <w:pPr>
        <w:pStyle w:val="2"/>
        <w:widowControl/>
        <w:spacing w:line="348" w:lineRule="exact" w:before="0" w:after="0"/>
        <w:ind w:firstLine="480"/>
        <w:jc w:val="both"/>
      </w:pPr>
      <w:r>
        <w:rPr>
          <w:rFonts w:ascii="Times New Roman" w:hAnsi="Times New Roman" w:eastAsia="方正仿宋_GBK"/>
          <w:b w:val="0"/>
          <w:sz w:val="24"/>
        </w:rPr>
        <w:t xml:space="preserve">增长率提高后，主变容量随目标年负荷分档增加。0%与10%两个节点的容量分别为550.00 MVA、786.00 MVA，而容载比分别为2.20、2.15；负荷与容量不同步增长，使中间节点的容载比呈阶梯式波动。</w:t>
      </w:r>
    </w:p>
    <w:p>
      <w:pPr>
        <w:pStyle w:val="7"/>
        <w:keepNext/>
        <w:numPr>
          <w:numId w:val="0"/>
        </w:numPr>
        <w:spacing w:line="360" w:lineRule="exact" w:before="160" w:after="120"/>
        <w:ind w:firstLine="0"/>
      </w:pPr>
      <w:bookmarkStart w:id="260" w:name="分布式电源装机渗透率2.50"/>
      <w:r>
        <w:rPr>
          <w:rFonts w:ascii="Times New Roman" w:hAnsi="Times New Roman" w:eastAsia="方正仿宋_GBK"/>
          <w:b/>
          <w:sz w:val="24"/>
        </w:rPr>
        <w:t xml:space="preserve">分布式电源装机渗透率2.50</w:t>
      </w:r>
      <w:bookmarkEnd w:id="260"/>
    </w:p>
    <w:p>
      <w:pPr>
        <w:pStyle w:val="FirstParagraph"/>
        <w:keepNext/>
        <w:spacing w:line="280" w:lineRule="exact" w:before="120" w:after="80"/>
        <w:ind w:firstLine="0"/>
        <w:jc w:val="center"/>
      </w:pPr>
      <w:r>
        <w:rPr>
          <w:rFonts w:ascii="Times New Roman" w:hAnsi="Times New Roman" w:eastAsia="宋体"/>
          <w:b w:val="0"/>
          <w:sz w:val="21"/>
        </w:rPr>
        <w:t xml:space="preserve">表5-90 负荷增长率变化（分布式电源装机渗透率2.50）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年最大净负荷平均增长率</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113.52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19981.89</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270.61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786.00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156.52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26682.86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281.38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87.80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188.77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30577.26</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309.71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127.00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273.05</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39093.11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327.70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2.50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165.60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356.04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47478.61</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340.12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2.41</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194.80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418.82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53822.05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366.03</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846.00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2.31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255.60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549.54</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69386.45</w:t>
            </w:r>
          </w:p>
        </w:tc>
      </w:tr>
    </w:tbl>
    <w:p>
      <w:pPr>
        <w:pStyle w:val="2"/>
        <w:widowControl/>
        <w:spacing w:line="348" w:lineRule="exact" w:before="0" w:after="0"/>
        <w:ind w:firstLine="480"/>
        <w:jc w:val="both"/>
      </w:pPr>
      <w:r>
        <w:rPr>
          <w:rFonts w:ascii="Times New Roman" w:hAnsi="Times New Roman" w:eastAsia="方正仿宋_GBK"/>
          <w:b w:val="0"/>
          <w:sz w:val="24"/>
        </w:rPr>
        <w:t xml:space="preserve">较高装机渗透率下，增长率提高同时放大正向与反向容量需求。主变容量由760.00 MVA增至846.00 MVA，储能额定功率由52.80 MW增至255.60 MW；费用随两类设备规模增加，容载比则因目标年负荷增长更快而降至2.31。</w:t>
      </w:r>
    </w:p>
    <w:p>
      <w:pPr>
        <w:pStyle w:val="2"/>
        <w:widowControl/>
        <w:spacing w:line="348" w:lineRule="exact" w:before="0" w:after="0"/>
        <w:ind w:firstLine="480"/>
        <w:jc w:val="both"/>
      </w:pPr>
      <w:r>
        <w:rPr>
          <w:rFonts w:ascii="Times New Roman" w:hAnsi="Times New Roman" w:eastAsia="方正仿宋_GBK"/>
          <w:b w:val="0"/>
          <w:sz w:val="24"/>
        </w:rPr>
        <w:t xml:space="preserve">容载比同时取决于分子容量和分母负荷。增长率提高后，目标年负荷增加，主变容量按离散规格投运，其增幅未必与负荷一致。比较应同时读取目标年MW、主变MVA和相应建设措施。</w:t>
      </w:r>
    </w:p>
    <w:p>
      <w:pPr>
        <w:pStyle w:val="2"/>
        <w:widowControl/>
        <w:spacing w:line="348" w:lineRule="exact" w:before="0" w:after="0"/>
        <w:ind w:firstLine="480"/>
        <w:jc w:val="both"/>
      </w:pPr>
      <w:r>
        <w:rPr>
          <w:rFonts w:ascii="Times New Roman" w:hAnsi="Times New Roman" w:eastAsia="方正仿宋_GBK"/>
          <w:b w:val="0"/>
          <w:sz w:val="24"/>
        </w:rPr>
        <w:t xml:space="preserve">案例采用逐年建设安排，推广采用目标年配置，两者从不同角度反映负荷变化影响。前者判断何时建设，后者比较给定目标时点的容量规模。实际规划将推荐区间落实到项目时，还需结合近期已投产主变和中间年份供电需求。</w:t>
      </w:r>
    </w:p>
    <w:p>
      <w:pPr>
        <w:pStyle w:val="5"/>
        <w:keepNext/>
        <w:numPr>
          <w:numId w:val="0"/>
        </w:numPr>
        <w:spacing w:line="390" w:lineRule="exact" w:before="160" w:after="120"/>
        <w:ind w:firstLine="0"/>
      </w:pPr>
      <w:bookmarkStart w:id="261" w:name="储能支撑持续时间与配置变化"/>
      <w:r>
        <w:rPr>
          <w:rFonts w:ascii="Times New Roman" w:hAnsi="Times New Roman" w:eastAsia="方正仿宋_GBK"/>
          <w:b/>
          <w:sz w:val="26"/>
        </w:rPr>
        <w:t xml:space="preserve">5.6.7 储能支撑持续时间与配置变化</w:t>
      </w:r>
      <w:bookmarkEnd w:id="261"/>
    </w:p>
    <w:p>
      <w:pPr>
        <w:pStyle w:val="FirstParagraph"/>
        <w:widowControl/>
        <w:spacing w:line="348" w:lineRule="exact" w:before="0" w:after="0"/>
        <w:ind w:firstLine="480"/>
        <w:jc w:val="both"/>
      </w:pPr>
      <w:r>
        <w:rPr>
          <w:rFonts w:ascii="Times New Roman" w:hAnsi="Times New Roman" w:eastAsia="方正仿宋_GBK"/>
          <w:b w:val="0"/>
          <w:sz w:val="24"/>
        </w:rPr>
        <w:t xml:space="preserve">储能同时受到额定功率和可用电量限制。单柜可用电量为0.215×0.76 MWh，在4 h支撑要求下折算0.04085 MW。持续时间延长改变的是设备有效功率；若本地功率缺口保持不变，所需柜数及费用可能增加，也可能促使方案改用主变增容或联络支援。</w:t>
      </w:r>
    </w:p>
    <w:p>
      <w:pPr>
        <w:pStyle w:val="2"/>
        <w:widowControl/>
        <w:spacing w:line="348" w:lineRule="exact" w:before="0" w:after="0"/>
        <w:ind w:firstLine="480"/>
        <w:jc w:val="both"/>
      </w:pPr>
      <w:r>
        <w:rPr>
          <w:rFonts w:ascii="Times New Roman" w:hAnsi="Times New Roman" w:eastAsia="方正仿宋_GBK"/>
          <w:b w:val="0"/>
          <w:sz w:val="24"/>
        </w:rPr>
        <w:t xml:space="preserve">以下固定增长率4%、线路成本系数4.25和初始转供率40%，在分布式电源装机渗透率2.50下比较2、4、6 h。持续时间为规划支撑条件，与运行曲线提取的95%近峰事件时长分别使用。</w:t>
      </w:r>
    </w:p>
    <w:p>
      <w:pPr>
        <w:pStyle w:val="2"/>
        <w:keepNext/>
        <w:spacing w:line="280" w:lineRule="exact" w:before="120" w:after="80"/>
        <w:ind w:firstLine="0"/>
        <w:jc w:val="center"/>
      </w:pPr>
      <w:r>
        <w:rPr>
          <w:rFonts w:ascii="Times New Roman" w:hAnsi="Times New Roman" w:eastAsia="宋体"/>
          <w:b w:val="0"/>
          <w:sz w:val="21"/>
        </w:rPr>
        <w:t xml:space="preserve">表5-91 储能支撑持续时间变化（分布式电源装机渗透率2.50）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039"/>
        <w:gridCol w:w="1039"/>
        <w:gridCol w:w="1039"/>
        <w:gridCol w:w="1039"/>
        <w:gridCol w:w="1039"/>
        <w:gridCol w:w="1039"/>
        <w:gridCol w:w="1039"/>
        <w:gridCol w:w="1039"/>
      </w:tblGrid>
      <w:tr>
        <w:trPr>
          <w:cantSplit/>
          <w:tblHeader/>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支撑持续时间/h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103.10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221.66</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r>
      <w:tr>
        <w:trPr>
          <w:cantSplit/>
        </w:trPr>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154.70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332.61</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039"/>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45110.68</w:t>
            </w:r>
          </w:p>
        </w:tc>
      </w:tr>
    </w:tbl>
    <w:p>
      <w:pPr>
        <w:pStyle w:val="2"/>
        <w:widowControl/>
        <w:spacing w:line="348" w:lineRule="exact" w:before="0" w:after="0"/>
        <w:ind w:firstLine="480"/>
        <w:jc w:val="both"/>
      </w:pPr>
      <w:r>
        <w:rPr>
          <w:rFonts w:ascii="Times New Roman" w:hAnsi="Times New Roman" w:eastAsia="方正仿宋_GBK"/>
          <w:b w:val="0"/>
          <w:sz w:val="24"/>
        </w:rPr>
        <w:t xml:space="preserve">支撑持续时间从2 h延长至6 h，主变容量保持820.00 MVA，储能额定功率从51.60 MW增至154.70 MW，额定能量相应增加。费用由22713.14万元增至45110.68万元，增加主要来自满足持续支撑要求所需的储能规模。</w:t>
      </w:r>
    </w:p>
    <w:p>
      <w:pPr>
        <w:pStyle w:val="2"/>
        <w:widowControl/>
        <w:spacing w:line="348" w:lineRule="exact" w:before="0" w:after="0"/>
        <w:ind w:firstLine="480"/>
        <w:jc w:val="both"/>
      </w:pPr>
      <w:r>
        <w:rPr>
          <w:rFonts w:ascii="Times New Roman" w:hAnsi="Times New Roman" w:eastAsia="方正仿宋_GBK"/>
          <w:b w:val="0"/>
          <w:sz w:val="24"/>
        </w:rPr>
        <w:t xml:space="preserve">主网格的其他参数组合还出现主变配置切换，发生比例与容量变化见核心参数配对表。</w:t>
      </w:r>
    </w:p>
    <w:p>
      <w:pPr>
        <w:pStyle w:val="5"/>
        <w:keepNext/>
        <w:numPr>
          <w:numId w:val="0"/>
        </w:numPr>
        <w:spacing w:line="390" w:lineRule="exact" w:before="160" w:after="120"/>
        <w:ind w:firstLine="0"/>
      </w:pPr>
      <w:bookmarkStart w:id="262" w:name="储能价格的专项比较"/>
      <w:r>
        <w:rPr>
          <w:rFonts w:ascii="Times New Roman" w:hAnsi="Times New Roman" w:eastAsia="方正仿宋_GBK"/>
          <w:b/>
          <w:sz w:val="26"/>
        </w:rPr>
        <w:t xml:space="preserve">5.6.8 储能价格的专项比较</w:t>
      </w:r>
      <w:bookmarkEnd w:id="262"/>
    </w:p>
    <w:p>
      <w:pPr>
        <w:pStyle w:val="FirstParagraph"/>
        <w:widowControl/>
        <w:spacing w:line="348" w:lineRule="exact" w:before="0" w:after="0"/>
        <w:ind w:firstLine="480"/>
        <w:jc w:val="both"/>
      </w:pPr>
      <w:r>
        <w:rPr>
          <w:rFonts w:ascii="Times New Roman" w:hAnsi="Times New Roman" w:eastAsia="方正仿宋_GBK"/>
          <w:b w:val="0"/>
          <w:sz w:val="24"/>
        </w:rPr>
        <w:t xml:space="preserve">储能价格在给定储能支撑持续时间下独立变化。以下取分布式电源装机渗透率2.50，比较2、4、6 h支撑要求下的配置与费用变化，设备功率、能量与可用电量系数保持一致。其余参数为增长率4%、线路成本系数4.25和初始转供率40%。</w:t>
      </w:r>
    </w:p>
    <w:p>
      <w:pPr>
        <w:pStyle w:val="7"/>
        <w:keepNext/>
        <w:numPr>
          <w:numId w:val="0"/>
        </w:numPr>
        <w:spacing w:line="360" w:lineRule="exact" w:before="160" w:after="120"/>
        <w:ind w:firstLine="0"/>
      </w:pPr>
      <w:bookmarkStart w:id="263" w:name="h支撑条件下的设备替换"/>
      <w:r>
        <w:rPr>
          <w:rFonts w:ascii="Times New Roman" w:hAnsi="Times New Roman" w:eastAsia="方正仿宋_GBK"/>
          <w:b/>
          <w:sz w:val="24"/>
        </w:rPr>
        <w:t xml:space="preserve">2 h支撑条件下的设备替换</w:t>
      </w:r>
      <w:bookmarkEnd w:id="263"/>
    </w:p>
    <w:p>
      <w:pPr>
        <w:pStyle w:val="FirstParagraph"/>
        <w:keepNext/>
        <w:spacing w:line="280" w:lineRule="exact" w:before="120" w:after="80"/>
        <w:ind w:firstLine="0"/>
        <w:jc w:val="center"/>
      </w:pPr>
      <w:r>
        <w:rPr>
          <w:rFonts w:ascii="Times New Roman" w:hAnsi="Times New Roman" w:eastAsia="宋体"/>
          <w:b w:val="0"/>
          <w:sz w:val="21"/>
        </w:rPr>
        <w:t xml:space="preserve">表5-92 储能价格变化（分布式电源装机渗透率2.50、持续时间2 h）</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储能额定能量/MWh</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76.30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164.04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16799.31</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19910.73</w:t>
            </w:r>
          </w:p>
        </w:tc>
      </w:tr>
      <w:tr>
        <w:trPr>
          <w:cantSplit/>
        </w:trPr>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22713.14</w:t>
            </w:r>
          </w:p>
        </w:tc>
      </w:tr>
      <w:tr>
        <w:trPr>
          <w:cantSplit/>
        </w:trPr>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820.00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2.80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51.60</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110.94</w:t>
            </w:r>
          </w:p>
        </w:tc>
        <w:tc>
          <w:tcPr>
            <w:tcW w:type="dxa" w:w="1385"/>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25515.55</w:t>
            </w:r>
          </w:p>
        </w:tc>
      </w:tr>
    </w:tbl>
    <w:p>
      <w:pPr>
        <w:pStyle w:val="2"/>
        <w:widowControl/>
        <w:spacing w:line="348" w:lineRule="exact" w:before="0" w:after="0"/>
        <w:ind w:firstLine="480"/>
        <w:jc w:val="both"/>
      </w:pPr>
      <w:r>
        <w:rPr>
          <w:rFonts w:ascii="Times New Roman" w:hAnsi="Times New Roman" w:eastAsia="方正仿宋_GBK"/>
          <w:b w:val="0"/>
          <w:sz w:val="24"/>
        </w:rPr>
        <w:t xml:space="preserve">价格为参考值的0.50倍时，方案采用760.00 MVA主变和76.30 MW储能。价格提高至0.75倍后，主变增至820.00 MVA，储能减少24.70 MW，容载比相应提高至2.80。此后价格继续上涨至1.25倍，设备组合保持不变，费用随储能单价增加。</w:t>
      </w:r>
    </w:p>
    <w:p>
      <w:pPr>
        <w:pStyle w:val="7"/>
        <w:keepNext/>
        <w:numPr>
          <w:numId w:val="0"/>
        </w:numPr>
        <w:spacing w:line="360" w:lineRule="exact" w:before="160" w:after="120"/>
        <w:ind w:firstLine="0"/>
      </w:pPr>
      <w:bookmarkStart w:id="264" w:name="h支撑条件下的费用变化"/>
      <w:r>
        <w:rPr>
          <w:rFonts w:ascii="Times New Roman" w:hAnsi="Times New Roman" w:eastAsia="方正仿宋_GBK"/>
          <w:b/>
          <w:sz w:val="24"/>
        </w:rPr>
        <w:t xml:space="preserve">4、6 h支撑条件下的费用变化</w:t>
      </w:r>
      <w:bookmarkEnd w:id="264"/>
    </w:p>
    <w:p>
      <w:pPr>
        <w:pStyle w:val="FirstParagraph"/>
        <w:widowControl/>
        <w:spacing w:line="348" w:lineRule="exact" w:before="0" w:after="0"/>
        <w:ind w:firstLine="480"/>
        <w:jc w:val="both"/>
      </w:pPr>
      <w:r>
        <w:rPr>
          <w:rFonts w:ascii="Times New Roman" w:hAnsi="Times New Roman" w:eastAsia="方正仿宋_GBK"/>
          <w:b w:val="0"/>
          <w:sz w:val="24"/>
        </w:rPr>
        <w:t xml:space="preserve">两种支撑条件下的主变容量均为820.00 MVA，容载比均为2.80；储能额定功率分别为103.10 MW、154.70 MW。价格变化未引起设备替换，较长支撑时间需要更多储能，其费用对单价更敏感。</w:t>
      </w:r>
    </w:p>
    <w:p>
      <w:pPr>
        <w:pStyle w:val="2"/>
        <w:keepNext/>
        <w:spacing w:line="280" w:lineRule="exact" w:before="120" w:after="80"/>
        <w:ind w:firstLine="0"/>
        <w:jc w:val="center"/>
      </w:pPr>
      <w:r>
        <w:rPr>
          <w:rFonts w:ascii="Times New Roman" w:hAnsi="Times New Roman" w:eastAsia="宋体"/>
          <w:b w:val="0"/>
          <w:sz w:val="21"/>
        </w:rPr>
        <w:t xml:space="preserve">表5-93 储能价格对4、6 h方案费用的影响</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储能价格倍数</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4 h费用现值/万元</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6 h费用现值/万元</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0.50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22702.28</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28307.09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0.75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28301.66</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36708.89</w:t>
            </w:r>
          </w:p>
        </w:tc>
      </w:tr>
      <w:tr>
        <w:trPr>
          <w:cantSplit/>
        </w:trPr>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1.00</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33901.05</w:t>
            </w:r>
          </w:p>
        </w:tc>
        <w:tc>
          <w:tcPr>
            <w:tcW w:type="dxa" w:w="2771"/>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45110.68</w:t>
            </w:r>
          </w:p>
        </w:tc>
      </w:tr>
      <w:tr>
        <w:trPr>
          <w:cantSplit/>
        </w:trPr>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1.25</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39500.43</w:t>
            </w:r>
          </w:p>
        </w:tc>
        <w:tc>
          <w:tcPr>
            <w:tcW w:type="dxa" w:w="2771"/>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53512.48</w:t>
            </w:r>
          </w:p>
        </w:tc>
      </w:tr>
    </w:tbl>
    <w:p>
      <w:pPr>
        <w:pStyle w:val="4"/>
        <w:keepNext/>
        <w:numPr>
          <w:numId w:val="0"/>
        </w:numPr>
        <w:spacing w:line="480" w:lineRule="exact" w:before="160" w:after="120"/>
        <w:ind w:firstLine="0"/>
      </w:pPr>
      <w:bookmarkStart w:id="1986" w:name="h986"/>
      <w:bookmarkStart w:id="265" w:name="规划建议"/>
      <w:r>
        <w:rPr>
          <w:rFonts w:ascii="Times New Roman" w:hAnsi="Times New Roman" w:eastAsia="方正仿宋_GBK"/>
          <w:b/>
          <w:sz w:val="32"/>
        </w:rPr>
        <w:t xml:space="preserve">5.7 规划建议</w:t>
      </w:r>
      <w:bookmarkEnd w:id="265"/>
      <w:bookmarkEnd w:id="1986"/>
    </w:p>
    <w:p>
      <w:pPr>
        <w:pStyle w:val="5"/>
        <w:keepNext/>
        <w:numPr>
          <w:numId w:val="0"/>
        </w:numPr>
        <w:spacing w:line="390" w:lineRule="exact" w:before="160" w:after="120"/>
        <w:ind w:firstLine="0"/>
      </w:pPr>
      <w:bookmarkStart w:id="266" w:name="按源荷条件和网络能力选取容量"/>
      <w:r>
        <w:rPr>
          <w:rFonts w:ascii="Times New Roman" w:hAnsi="Times New Roman" w:eastAsia="方正仿宋_GBK"/>
          <w:b/>
          <w:sz w:val="26"/>
        </w:rPr>
        <w:t xml:space="preserve">5.7.1 按源荷条件和网络能力选取容量</w:t>
      </w:r>
      <w:bookmarkEnd w:id="266"/>
    </w:p>
    <w:p>
      <w:pPr>
        <w:pStyle w:val="FirstParagraph"/>
        <w:widowControl/>
        <w:spacing w:line="348" w:lineRule="exact" w:before="0" w:after="0"/>
        <w:ind w:firstLine="480"/>
        <w:jc w:val="both"/>
      </w:pPr>
      <w:r>
        <w:rPr>
          <w:rFonts w:ascii="Times New Roman" w:hAnsi="Times New Roman" w:eastAsia="方正仿宋_GBK"/>
          <w:b w:val="0"/>
          <w:sz w:val="24"/>
        </w:rPr>
        <w:t xml:space="preserve">邳州应同时校核晚间正向供电与日间反向输送，市区重点核实局部负荷、存量10 kV联络和邻站承接能力。市区A/B分区资料不足时，可采用40%作为B类主导的研究参考，比较30%—50%的网络条件。待取得分区负荷和存量网络后，再按一致的负荷基数核定区域参数。</w:t>
      </w:r>
    </w:p>
    <w:p>
      <w:pPr>
        <w:pStyle w:val="5"/>
        <w:keepNext/>
        <w:numPr>
          <w:numId w:val="0"/>
        </w:numPr>
        <w:spacing w:line="390" w:lineRule="exact" w:before="160" w:after="120"/>
        <w:ind w:firstLine="0"/>
      </w:pPr>
      <w:bookmarkStart w:id="267" w:name="统筹主变储能及联络建设"/>
      <w:r>
        <w:rPr>
          <w:rFonts w:ascii="Times New Roman" w:hAnsi="Times New Roman" w:eastAsia="方正仿宋_GBK"/>
          <w:b/>
          <w:sz w:val="26"/>
        </w:rPr>
        <w:t xml:space="preserve">5.7.2 统筹主变、储能及联络建设</w:t>
      </w:r>
      <w:bookmarkEnd w:id="267"/>
    </w:p>
    <w:p>
      <w:pPr>
        <w:pStyle w:val="FirstParagraph"/>
        <w:widowControl/>
        <w:spacing w:line="348" w:lineRule="exact" w:before="0" w:after="0"/>
        <w:ind w:firstLine="480"/>
        <w:jc w:val="both"/>
      </w:pPr>
      <w:r>
        <w:rPr>
          <w:rFonts w:ascii="Times New Roman" w:hAnsi="Times New Roman" w:eastAsia="方正仿宋_GBK"/>
          <w:b w:val="0"/>
          <w:sz w:val="24"/>
        </w:rPr>
        <w:t xml:space="preserve">主变增容增加本站承载能力，联络建设利用邻站可用容量，储能在规定持续时间内补充功率缺口。三类措施的选择应同时考虑源端可转负荷、接收余量、N-1条件、建设位置和费用。既有联络能够满足需求时，先核实其可用能力；需要新增线路时，按明确的建设项目计费。储能规模由功率和可用电量共同决定。</w:t>
      </w:r>
    </w:p>
    <w:p>
      <w:pPr>
        <w:pStyle w:val="5"/>
        <w:keepNext/>
        <w:numPr>
          <w:numId w:val="0"/>
        </w:numPr>
        <w:spacing w:line="390" w:lineRule="exact" w:before="160" w:after="120"/>
        <w:ind w:firstLine="0"/>
      </w:pPr>
      <w:bookmarkStart w:id="268" w:name="保留参数区间滚动更新计算依据"/>
      <w:r>
        <w:rPr>
          <w:rFonts w:ascii="Times New Roman" w:hAnsi="Times New Roman" w:eastAsia="方正仿宋_GBK"/>
          <w:b/>
          <w:sz w:val="26"/>
        </w:rPr>
        <w:t xml:space="preserve">5.7.3 保留参数区间，滚动更新计算依据</w:t>
      </w:r>
      <w:bookmarkEnd w:id="268"/>
    </w:p>
    <w:p>
      <w:pPr>
        <w:pStyle w:val="FirstParagraph"/>
        <w:widowControl/>
        <w:spacing w:line="348" w:lineRule="exact" w:before="0" w:after="0"/>
        <w:ind w:firstLine="480"/>
        <w:jc w:val="both"/>
      </w:pPr>
      <w:r>
        <w:rPr>
          <w:rFonts w:ascii="Times New Roman" w:hAnsi="Times New Roman" w:eastAsia="方正仿宋_GBK"/>
          <w:b w:val="0"/>
          <w:sz w:val="24"/>
        </w:rPr>
        <w:t xml:space="preserve">参数查表沿用首尾开口区间，年度新增数据用于更新各区间内的计算结果和适用条件。线路造价、储能采购价、可用间隔或候选网络改变后，重新比较费用和配置，保持容载比、设备方案及工程投入之间的一致关系。</w:t>
      </w:r>
    </w:p>
    <w:p>
      <w:pPr>
        <w:pStyle w:val="5"/>
        <w:keepNext/>
        <w:numPr>
          <w:numId w:val="0"/>
        </w:numPr>
        <w:spacing w:line="390" w:lineRule="exact" w:before="160" w:after="120"/>
        <w:ind w:firstLine="0"/>
      </w:pPr>
      <w:bookmarkStart w:id="269" w:name="相同源荷条件下的推荐区间选择"/>
      <w:r>
        <w:rPr>
          <w:rFonts w:ascii="Times New Roman" w:hAnsi="Times New Roman" w:eastAsia="方正仿宋_GBK"/>
          <w:b/>
          <w:sz w:val="26"/>
        </w:rPr>
        <w:t xml:space="preserve">5.7.4 相同源荷条件下的推荐区间选择</w:t>
      </w:r>
      <w:bookmarkEnd w:id="269"/>
    </w:p>
    <w:p>
      <w:pPr>
        <w:pStyle w:val="FirstParagraph"/>
        <w:widowControl/>
        <w:spacing w:line="348" w:lineRule="exact" w:before="0" w:after="0"/>
        <w:ind w:firstLine="480"/>
        <w:jc w:val="both"/>
      </w:pPr>
      <w:r>
        <w:rPr>
          <w:rFonts w:ascii="Times New Roman" w:hAnsi="Times New Roman" w:eastAsia="方正仿宋_GBK"/>
          <w:b w:val="0"/>
          <w:sz w:val="24"/>
        </w:rPr>
        <w:t xml:space="preserve">以分布式电源装机渗透率1.50、增长率4%、线路成本系数4.25和持续时间4 h为例，比较不同初始转供率。增长率4%归入大于2%且不大于4%的档，持续时间4 h归入大于2 h且不大于4 h的档，均按左开右闭原则确定。</w:t>
      </w:r>
    </w:p>
    <w:p>
      <w:pPr>
        <w:pStyle w:val="2"/>
        <w:keepNext/>
        <w:spacing w:line="280" w:lineRule="exact" w:before="120" w:after="80"/>
        <w:ind w:firstLine="0"/>
        <w:jc w:val="center"/>
      </w:pPr>
      <w:r>
        <w:rPr>
          <w:rFonts w:ascii="Times New Roman" w:hAnsi="Times New Roman" w:eastAsia="宋体"/>
          <w:b w:val="0"/>
          <w:sz w:val="21"/>
        </w:rPr>
        <w:t xml:space="preserve">表5-94 相同源荷和成本条件下不同初始转供率的配置</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初始转供率</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峰值/MW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公用主变总容量/MVA</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容载比</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储能额定功率/MW</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新增联络/条</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sz w:val="18"/>
              </w:rPr>
              <w:t>评价期费用现值/万元</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650.00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2.22</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4139.72</w:t>
            </w:r>
          </w:p>
        </w:tc>
      </w:tr>
      <w:tr>
        <w:trPr>
          <w:cantSplit/>
        </w:trPr>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40%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1</w:t>
            </w:r>
          </w:p>
        </w:tc>
        <w:tc>
          <w:tcPr>
            <w:tcW w:type="dxa" w:w="1187"/>
            <w:vAlign w:val="center"/>
            <w:tcMar>
              <w:left w:w="70" w:type="dxa"/>
              <w:right w:w="70" w:type="dxa"/>
            </w:tcMar>
          </w:tcPr>
          <w:p>
            <w:pPr>
              <w:keepNext/>
              <w:spacing w:line="260" w:lineRule="exact" w:before="20" w:after="20"/>
              <w:ind w:firstLine="0" w:firstLineChars="0" w:left="0" w:right="0"/>
              <w:jc w:val="center"/>
            </w:pPr>
            <w:r>
              <w:rPr>
                <w:rFonts w:ascii="Times New Roman" w:hAnsi="Times New Roman" w:eastAsia="宋体"/>
                <w:b w:val="0"/>
                <w:sz w:val="18"/>
              </w:rPr>
              <w:t>3061.89</w:t>
            </w:r>
          </w:p>
        </w:tc>
      </w:tr>
      <w:tr>
        <w:trPr>
          <w:cantSplit/>
        </w:trPr>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70%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292.46</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600.00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2.05</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0</w:t>
            </w:r>
          </w:p>
        </w:tc>
        <w:tc>
          <w:tcPr>
            <w:tcW w:type="dxa" w:w="1187"/>
            <w:vAlign w:val="center"/>
            <w:tcMar>
              <w:left w:w="70" w:type="dxa"/>
              <w:right w:w="70" w:type="dxa"/>
            </w:tcMar>
          </w:tcPr>
          <w:p>
            <w:pPr>
              <w:keepNext w:val="0"/>
              <w:spacing w:line="260" w:lineRule="exact" w:before="20" w:after="20"/>
              <w:ind w:firstLine="0" w:firstLineChars="0" w:left="0" w:right="0"/>
              <w:jc w:val="center"/>
            </w:pPr>
            <w:r>
              <w:rPr>
                <w:rFonts w:ascii="Times New Roman" w:hAnsi="Times New Roman" w:eastAsia="宋体"/>
                <w:b w:val="0"/>
                <w:sz w:val="18"/>
              </w:rPr>
              <w:t>2759.81</w:t>
            </w:r>
          </w:p>
        </w:tc>
      </w:tr>
    </w:tbl>
    <w:p>
      <w:pPr>
        <w:pStyle w:val="2"/>
        <w:widowControl/>
        <w:spacing w:line="348" w:lineRule="exact" w:before="0" w:after="0"/>
        <w:ind w:firstLine="480"/>
        <w:jc w:val="both"/>
      </w:pPr>
      <w:r>
        <w:rPr>
          <w:rFonts w:ascii="Times New Roman" w:hAnsi="Times New Roman" w:eastAsia="方正仿宋_GBK"/>
          <w:b w:val="0"/>
          <w:sz w:val="24"/>
        </w:rPr>
        <w:t xml:space="preserve">注：分布式电源装机渗透率1.50，增长率4%，线路成本系数4.25，持续时间4 h。</w:t>
      </w:r>
    </w:p>
    <w:p>
      <w:pPr>
        <w:pStyle w:val="2"/>
        <w:widowControl/>
        <w:spacing w:line="348" w:lineRule="exact" w:before="0" w:after="0"/>
        <w:ind w:firstLine="480"/>
        <w:jc w:val="both"/>
      </w:pPr>
      <w:r>
        <w:rPr>
          <w:rFonts w:ascii="Times New Roman" w:hAnsi="Times New Roman" w:eastAsia="方正仿宋_GBK"/>
          <w:b w:val="0"/>
          <w:sz w:val="24"/>
        </w:rPr>
        <w:t xml:space="preserve">查表使用输入区间，工程落实使用具体参数及设备组合。相同源荷和价格下的初始转供率变化，表示网络条件改变，需有对应存量路径和馈线能力支撑。若实际初始设备、负荷空间分布或扩建位置与模板不同，应重新计算设备配置。</w:t>
      </w:r>
    </w:p>
    <w:p>
      <w:pPr>
        <w:pStyle w:val="2"/>
        <w:widowControl/>
        <w:spacing w:line="348" w:lineRule="exact" w:before="0" w:after="0"/>
        <w:ind w:firstLine="480"/>
        <w:jc w:val="both"/>
      </w:pPr>
      <w:r>
        <w:rPr>
          <w:rFonts w:ascii="Times New Roman" w:hAnsi="Times New Roman" w:eastAsia="方正仿宋_GBK"/>
          <w:b w:val="0"/>
          <w:sz w:val="24"/>
        </w:rPr>
        <w:t xml:space="preserve">推荐区间与地区年网供最大负荷结合，可得到区域主变容量的初步范围。例如年网供最大负荷1000.00 MW时，容载比每变化0.10，对应公用主变总容量变化100.00 MVA。这一数量关系说明，小幅比值差异在较大区域内也会对应明确的设备规模。容量分配仍应按各站正反向负荷和主变N-1条件安排。</w:t>
      </w:r>
    </w:p>
    <w:p>
      <w:pPr>
        <w:pStyle w:val="2"/>
        <w:widowControl/>
        <w:spacing w:line="348" w:lineRule="exact" w:before="0" w:after="0"/>
        <w:ind w:firstLine="480"/>
        <w:jc w:val="both"/>
      </w:pPr>
      <w:r>
        <w:rPr>
          <w:rFonts w:ascii="Times New Roman" w:hAnsi="Times New Roman" w:eastAsia="方正仿宋_GBK"/>
          <w:b w:val="0"/>
          <w:sz w:val="24"/>
        </w:rPr>
        <w:t xml:space="preserve">相同区间内可以有多组设备组合。对具备扩建位置且停运后剩余容量不足的站，增加主变台数可能较有利；对已有较大主变但峰值缺口较短的站，储能可能补充局部需求；对邻站余量较大且联络条件较好的站，负荷转接能够减少本站新增容量。区域推荐值应与逐站措施一并形成，便于解释容量储备的来源和投资用途。</w:t>
      </w:r>
    </w:p>
    <w:p>
      <w:pPr>
        <w:pStyle w:val="5"/>
        <w:keepNext/>
        <w:numPr>
          <w:numId w:val="0"/>
        </w:numPr>
        <w:spacing w:line="390" w:lineRule="exact" w:before="160" w:after="120"/>
        <w:ind w:firstLine="0"/>
      </w:pPr>
      <w:bookmarkStart w:id="270" w:name="邳州与市区建设措施的综合比较"/>
      <w:r>
        <w:rPr>
          <w:rFonts w:ascii="Times New Roman" w:hAnsi="Times New Roman" w:eastAsia="方正仿宋_GBK"/>
          <w:b/>
          <w:sz w:val="26"/>
        </w:rPr>
        <w:t xml:space="preserve">5.7.5 邳州与市区建设措施的综合比较</w:t>
      </w:r>
      <w:bookmarkEnd w:id="270"/>
    </w:p>
    <w:p>
      <w:pPr>
        <w:pStyle w:val="FirstParagraph"/>
        <w:widowControl/>
        <w:spacing w:line="348" w:lineRule="exact" w:before="0" w:after="0"/>
        <w:ind w:firstLine="480"/>
        <w:jc w:val="both"/>
      </w:pPr>
      <w:r>
        <w:rPr>
          <w:rFonts w:ascii="Times New Roman" w:hAnsi="Times New Roman" w:eastAsia="方正仿宋_GBK"/>
          <w:b w:val="0"/>
          <w:sz w:val="24"/>
        </w:rPr>
        <w:t xml:space="preserve">两地区的弹性方案均增加了区域主变容量，逐站采用不同的建设方式。部分站更换既有主变，部分站扩建第三台，部分站保持原有设备并利用邻站支援。地区比值反映总容量与负荷的关系，逐站年度表反映设备和转供任务，两者共同说明新增容量的具体用途。</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邳州弹性方案目标年主变容量1955.50 MVA、容载比2.04，未配置储能，累计新增联络30条。市区为3324.00 MVA、容载比2.17，储能0.50 MW/1.075 MWh，累计新增联络64条。不同地区的容量和费用关系由实际年度负荷、仿真设备及候选网络共同形成。</w:t>
      </w:r>
    </w:p>
    <w:p>
      <w:pPr>
        <w:pStyle w:val="2"/>
        <w:widowControl/>
        <w:spacing w:line="348" w:lineRule="exact" w:before="0" w:after="0"/>
        <w:ind w:firstLine="480"/>
        <w:jc w:val="both"/>
      </w:pPr>
      <w:r>
        <w:rPr>
          <w:rFonts w:ascii="Times New Roman" w:hAnsi="Times New Roman" w:eastAsia="方正仿宋_GBK"/>
          <w:b w:val="0"/>
          <w:sz w:val="24"/>
        </w:rPr>
        <w:t xml:space="preserve">两地区刚性方案评价期费用现值合计120219.30万元，弹性方案为84449.61万元，减少约30%。后续若完善市区存量网络或调整工程价格，应同时更新技术约束和费用，重新核对具体建设组合。</w:t>
      </w:r>
    </w:p>
    <w:p>
      <w:pPr>
        <w:pStyle w:val="2"/>
        <w:widowControl/>
        <w:spacing w:line="348" w:lineRule="exact" w:before="0" w:after="0"/>
        <w:ind w:firstLine="480"/>
        <w:jc w:val="both"/>
      </w:pPr>
      <w:r>
        <w:rPr>
          <w:rFonts w:ascii="Times New Roman" w:hAnsi="Times New Roman" w:eastAsia="方正仿宋_GBK"/>
          <w:b w:val="0"/>
          <w:sz w:val="24"/>
        </w:rPr>
        <w:t xml:space="preserve">年度建设需先满足当年需求，再利用后续在役容量。实际负荷回落可以增加同一容量下的比值，负荷恢复可以消耗已有储备；整台主变的离散投运又使容量按项目变化。推荐区间提供前期比选范围，逐站工程和建设时点用于落实</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的规划方案。</w:t>
      </w:r>
    </w:p>
    <w:p>
      <w:pPr>
        <w:pStyle w:val="3"/>
        <w:keepNext/>
        <w:pageBreakBefore/>
        <w:numPr>
          <w:numId w:val="0"/>
        </w:numPr>
        <w:spacing w:line="540" w:lineRule="exact" w:before="0" w:after="120"/>
        <w:ind w:firstLine="0"/>
      </w:pPr>
      <w:bookmarkStart w:id="2005" w:name="h1005"/>
      <w:bookmarkStart w:id="271" w:name="第六章-结论与建议"/>
      <w:r>
        <w:rPr>
          <w:rFonts w:ascii="Times New Roman" w:hAnsi="Times New Roman" w:eastAsia="方正仿宋_GBK"/>
          <w:b/>
          <w:sz w:val="36"/>
        </w:rPr>
        <w:t xml:space="preserve">第六章 结论与建议</w:t>
      </w:r>
      <w:bookmarkEnd w:id="271"/>
      <w:bookmarkEnd w:id="2005"/>
    </w:p>
    <w:p>
      <w:pPr>
        <w:pStyle w:val="FirstParagraph"/>
        <w:widowControl/>
        <w:spacing w:line="348" w:lineRule="exact" w:before="0" w:after="0"/>
        <w:ind w:firstLine="480"/>
        <w:jc w:val="both"/>
      </w:pPr>
      <w:r>
        <w:rPr>
          <w:rFonts w:ascii="Times New Roman" w:hAnsi="Times New Roman" w:eastAsia="方正仿宋_GBK"/>
          <w:b w:val="0"/>
          <w:sz w:val="24"/>
        </w:rPr>
        <w:t xml:space="preserve">本项目围绕分布式新能源接入后区域容载比与站级双向容量需求的协调问题，以邳州和市区为案例，比较相同供电约束下的主变、储能和10 kV联络组合。地区计算用于判断放宽容量约束后措施及费用如何变化，五站参数推广用于归纳这些结果的适用条件，形成分片区的容载比推荐范围。</w:t>
      </w:r>
    </w:p>
    <w:p>
      <w:pPr>
        <w:pStyle w:val="4"/>
        <w:keepNext/>
        <w:numPr>
          <w:numId w:val="0"/>
        </w:numPr>
        <w:spacing w:line="480" w:lineRule="exact" w:before="160" w:after="120"/>
        <w:ind w:firstLine="0"/>
      </w:pPr>
      <w:bookmarkStart w:id="2007" w:name="h1007"/>
      <w:bookmarkStart w:id="272" w:name="主要研究结论"/>
      <w:r>
        <w:rPr>
          <w:rFonts w:ascii="Times New Roman" w:hAnsi="Times New Roman" w:eastAsia="方正仿宋_GBK"/>
          <w:b/>
          <w:sz w:val="32"/>
        </w:rPr>
        <w:t xml:space="preserve">6.1 主要研究结论</w:t>
      </w:r>
      <w:bookmarkEnd w:id="272"/>
      <w:bookmarkEnd w:id="2007"/>
    </w:p>
    <w:p>
      <w:pPr>
        <w:pStyle w:val="5"/>
        <w:keepNext/>
        <w:numPr>
          <w:numId w:val="0"/>
        </w:numPr>
        <w:spacing w:line="390" w:lineRule="exact" w:before="160" w:after="120"/>
        <w:ind w:firstLine="0"/>
      </w:pPr>
      <w:bookmarkStart w:id="273" w:name="容载比与局部容量压力应结合分析"/>
      <w:r>
        <w:rPr>
          <w:rFonts w:ascii="Times New Roman" w:hAnsi="Times New Roman" w:eastAsia="方正仿宋_GBK"/>
          <w:b/>
          <w:sz w:val="26"/>
        </w:rPr>
        <w:t xml:space="preserve">6.1.1 容载比与局部容量压力应结合分析</w:t>
      </w:r>
      <w:bookmarkEnd w:id="273"/>
    </w:p>
    <w:p>
      <w:pPr>
        <w:pStyle w:val="FirstParagraph"/>
        <w:widowControl/>
        <w:spacing w:line="348" w:lineRule="exact" w:before="0" w:after="0"/>
        <w:ind w:firstLine="480"/>
        <w:jc w:val="both"/>
      </w:pPr>
      <w:r>
        <w:rPr>
          <w:rFonts w:ascii="Times New Roman" w:hAnsi="Times New Roman" w:eastAsia="方正仿宋_GBK"/>
          <w:b w:val="0"/>
          <w:sz w:val="24"/>
        </w:rPr>
        <w:t xml:space="preserve">2025年邳州和市区实际容载比分别为2.24、2.42，分布式电源装机渗透率估计值分别为1.63、0.32，分布式电源电量渗透率约为40%、9%。区域容量储备与局部高负载可以同时存在，容量规划需要结合站级负载率、主变台数、反向功率和站间联络判断设备需求。</w:t>
      </w:r>
    </w:p>
    <w:p>
      <w:pPr>
        <w:pStyle w:val="2"/>
        <w:widowControl/>
        <w:spacing w:line="348" w:lineRule="exact" w:before="0" w:after="0"/>
        <w:ind w:firstLine="480"/>
        <w:jc w:val="both"/>
      </w:pPr>
      <w:r>
        <w:rPr>
          <w:rFonts w:ascii="Times New Roman" w:hAnsi="Times New Roman" w:eastAsia="方正仿宋_GBK"/>
          <w:b w:val="0"/>
          <w:sz w:val="24"/>
        </w:rPr>
        <w:t xml:space="preserve">2021—2025年年最大净负荷平均增长率按复合开根方式计算，邳州为7%、市区为1%。地区案例采用实际年度负荷，保留负荷回落及其引起的容载比变化。</w:t>
      </w:r>
    </w:p>
    <w:p>
      <w:pPr>
        <w:pStyle w:val="2"/>
        <w:widowControl/>
        <w:spacing w:line="348" w:lineRule="exact"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主变N-1后的供电条件。区域容载比反映总体容量储备，逐站正反向净负荷反映局部设备需求，二者共同构成容量规划的分析基础。</w:t>
      </w:r>
    </w:p>
    <w:p>
      <w:pPr>
        <w:pStyle w:val="5"/>
        <w:keepNext/>
        <w:numPr>
          <w:numId w:val="0"/>
        </w:numPr>
        <w:spacing w:line="390" w:lineRule="exact" w:before="160" w:after="120"/>
        <w:ind w:firstLine="0"/>
      </w:pPr>
      <w:bookmarkStart w:id="274" w:name="弹性容量配置降低了所设条件下的方案费用"/>
      <w:r>
        <w:rPr>
          <w:rFonts w:ascii="Times New Roman" w:hAnsi="Times New Roman" w:eastAsia="方正仿宋_GBK"/>
          <w:b/>
          <w:sz w:val="26"/>
        </w:rPr>
        <w:t xml:space="preserve">6.1.2 弹性容量配置降低了所设条件下的方案费用</w:t>
      </w:r>
      <w:bookmarkEnd w:id="274"/>
    </w:p>
    <w:p>
      <w:pPr>
        <w:pStyle w:val="FirstParagraph"/>
        <w:widowControl/>
        <w:spacing w:line="348" w:lineRule="exact" w:before="0" w:after="0"/>
        <w:ind w:firstLine="480"/>
        <w:jc w:val="both"/>
      </w:pPr>
      <w:r>
        <w:rPr>
          <w:rFonts w:ascii="Times New Roman" w:hAnsi="Times New Roman" w:eastAsia="方正仿宋_GBK"/>
          <w:b w:val="0"/>
          <w:sz w:val="24"/>
        </w:rPr>
        <w:t xml:space="preserve">在相同初始设备、年度负荷、候选网络和4 h正向储能支撑条件下，邳州弹性方案2025年主变容量为1955.50 MVA、容载比2.04；市区为3324.00 MVA、2.17。两地区刚性可行方案费用合计120219.30万元，弹性合计84449.61万元，当前候选费用减少30%。</w:t>
      </w:r>
    </w:p>
    <w:p>
      <w:pPr>
        <w:pStyle w:val="2"/>
        <w:widowControl/>
        <w:spacing w:line="348" w:lineRule="exact" w:before="0" w:after="0"/>
        <w:ind w:firstLine="480"/>
        <w:jc w:val="both"/>
      </w:pPr>
      <w:r>
        <w:rPr>
          <w:rFonts w:ascii="Times New Roman" w:hAnsi="Times New Roman" w:eastAsia="方正仿宋_GBK"/>
          <w:b w:val="0"/>
          <w:sz w:val="24"/>
        </w:rPr>
        <w:t xml:space="preserve">邳州弹性方案未配置储能，市区配置0.50 MW/1.075 MWh。刚性方案中，两地区目标年储能额定功率分别为32.90 MW、4.80 MW。本次弹性方案的储能和联络费用节省超过主变费用增加，形成总费用下降；储能的替代程度取决于局部网络、设备候选和持续时间。当前刚性无储能四年模型不可行，2022年必要容量下界已超过刚性允许范围；该结论限于本研究候选集合。</w:t>
      </w:r>
    </w:p>
    <w:p>
      <w:pPr>
        <w:pStyle w:val="5"/>
        <w:keepNext/>
        <w:numPr>
          <w:numId w:val="0"/>
        </w:numPr>
        <w:spacing w:line="390" w:lineRule="exact" w:before="160" w:after="120"/>
        <w:ind w:firstLine="0"/>
      </w:pPr>
      <w:bookmarkStart w:id="275"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75"/>
    </w:p>
    <w:p>
      <w:pPr>
        <w:pStyle w:val="FirstParagraph"/>
        <w:widowControl/>
        <w:spacing w:line="348" w:lineRule="exact"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48" w:lineRule="exact" w:before="0" w:after="0"/>
        <w:ind w:firstLine="480"/>
        <w:jc w:val="both"/>
      </w:pPr>
      <w:r>
        <w:rPr>
          <w:rFonts w:ascii="Times New Roman" w:hAnsi="Times New Roman" w:eastAsia="方正仿宋_GBK"/>
          <w:b w:val="0"/>
          <w:sz w:val="24"/>
        </w:rPr>
        <w:t xml:space="preserve">当前模型将转接功率绑定具体馈线和站间候选，既有边不重复计建设费用，新增边按投运年计费。共用馈线的联络共用可转负荷和接收余量，邻站主变同时通过容量校核。</w:t>
      </w:r>
    </w:p>
    <w:p>
      <w:pPr>
        <w:pStyle w:val="5"/>
        <w:keepNext/>
        <w:numPr>
          <w:numId w:val="0"/>
        </w:numPr>
        <w:spacing w:line="390" w:lineRule="exact" w:before="160" w:after="120"/>
        <w:ind w:firstLine="0"/>
      </w:pPr>
      <w:bookmarkStart w:id="276" w:name="六参数矩阵给出有条件的容载比范围"/>
      <w:r>
        <w:rPr>
          <w:rFonts w:ascii="Times New Roman" w:hAnsi="Times New Roman" w:eastAsia="方正仿宋_GBK"/>
          <w:b/>
          <w:sz w:val="26"/>
        </w:rPr>
        <w:t xml:space="preserve">6.1.4 六参数矩阵给出有条件的容载比范围</w:t>
      </w:r>
      <w:bookmarkEnd w:id="276"/>
    </w:p>
    <w:p>
      <w:pPr>
        <w:pStyle w:val="FirstParagraph"/>
        <w:widowControl/>
        <w:spacing w:line="348" w:lineRule="exact" w:before="0" w:after="0"/>
        <w:ind w:firstLine="480"/>
        <w:jc w:val="both"/>
      </w:pPr>
      <w:r>
        <w:rPr>
          <w:rFonts w:ascii="Times New Roman" w:hAnsi="Times New Roman" w:eastAsia="方正仿宋_GBK"/>
          <w:b w:val="0"/>
          <w:sz w:val="24"/>
        </w:rPr>
        <w:t xml:space="preserve">推广矩阵采用分布式电源装机渗透率、年最大净负荷平均增长率、线路成本系数、初始转供率、储能支撑持续时间及负荷分散系数，储能价格另作专项分析。12600组推广计算形成648个参数区间单元，容载比计算值总体为2.01～3.28。各地区按对应源荷和网络条件选用相应单元的推荐区间。</w:t>
      </w:r>
    </w:p>
    <w:p>
      <w:pPr>
        <w:pStyle w:val="2"/>
        <w:widowControl/>
        <w:spacing w:line="348" w:lineRule="exact" w:before="0" w:after="0"/>
        <w:ind w:firstLine="480"/>
        <w:jc w:val="both"/>
      </w:pPr>
      <w:r>
        <w:rPr>
          <w:rFonts w:ascii="Times New Roman" w:hAnsi="Times New Roman" w:eastAsia="方正仿宋_GBK"/>
          <w:b w:val="0"/>
          <w:sz w:val="24"/>
        </w:rPr>
        <w:t xml:space="preserve">输入参数采用首尾开口区间，增长分界与DL/T 5729—2023表6.3.4一致；其他分界为研究设置。容载比输出取已验证样本的有限范围。分布式电源装机渗透率与容载比在主网格中的Pearson系数为0.81，年最大净负荷平均增长率为-0.30；线路成本系数的总体相关较弱，但局部配对仍出现配置切换。相关分析结合受控配对和交互差分解释参数作用。</w:t>
      </w:r>
    </w:p>
    <w:p>
      <w:pPr>
        <w:pStyle w:val="4"/>
        <w:keepNext/>
        <w:numPr>
          <w:numId w:val="0"/>
        </w:numPr>
        <w:spacing w:line="480" w:lineRule="exact" w:before="160" w:after="120"/>
        <w:ind w:firstLine="0"/>
      </w:pPr>
      <w:bookmarkStart w:id="2021" w:name="h1021"/>
      <w:bookmarkStart w:id="277" w:name="规划应用建议"/>
      <w:r>
        <w:rPr>
          <w:rFonts w:ascii="Times New Roman" w:hAnsi="Times New Roman" w:eastAsia="方正仿宋_GBK"/>
          <w:b/>
          <w:sz w:val="32"/>
        </w:rPr>
        <w:t xml:space="preserve">6.2 规划应用建议</w:t>
      </w:r>
      <w:bookmarkEnd w:id="277"/>
      <w:bookmarkEnd w:id="2021"/>
    </w:p>
    <w:p>
      <w:pPr>
        <w:pStyle w:val="5"/>
        <w:keepNext/>
        <w:numPr>
          <w:numId w:val="0"/>
        </w:numPr>
        <w:spacing w:line="390" w:lineRule="exact" w:before="160" w:after="120"/>
        <w:ind w:firstLine="0"/>
      </w:pPr>
      <w:bookmarkStart w:id="278" w:name="按输入区间查表再落实设备方案"/>
      <w:r>
        <w:rPr>
          <w:rFonts w:ascii="Times New Roman" w:hAnsi="Times New Roman" w:eastAsia="方正仿宋_GBK"/>
          <w:b/>
          <w:sz w:val="26"/>
        </w:rPr>
        <w:t xml:space="preserve">6.2.1 按输入区间查表，再落实设备方案</w:t>
      </w:r>
      <w:bookmarkEnd w:id="278"/>
    </w:p>
    <w:p>
      <w:pPr>
        <w:pStyle w:val="FirstParagraph"/>
        <w:widowControl/>
        <w:spacing w:line="348" w:lineRule="exact" w:before="0" w:after="0"/>
        <w:ind w:firstLine="480"/>
        <w:jc w:val="both"/>
      </w:pPr>
      <w:r>
        <w:rPr>
          <w:rFonts w:ascii="Times New Roman" w:hAnsi="Times New Roman" w:eastAsia="方正仿宋_GBK"/>
          <w:b w:val="0"/>
          <w:sz w:val="24"/>
        </w:rPr>
        <w:t xml:space="preserve">先按同一统计范围计算源荷指标和复合增长率，以完整精度判断参数区间；再核对初始主变、负荷分散系数、联络路径及可扩建位置。查表范围用于初步比选，最终容载比应由可实施的设备组合与同年网供峰值计算。最大容量由设备和站址条件确定。</w:t>
      </w:r>
    </w:p>
    <w:p>
      <w:pPr>
        <w:pStyle w:val="2"/>
        <w:widowControl/>
        <w:spacing w:line="348" w:lineRule="exact" w:before="0" w:after="0"/>
        <w:ind w:firstLine="480"/>
        <w:jc w:val="both"/>
      </w:pPr>
      <w:r>
        <w:rPr>
          <w:rFonts w:ascii="Times New Roman" w:hAnsi="Times New Roman" w:eastAsia="方正仿宋_GBK"/>
          <w:b w:val="0"/>
          <w:sz w:val="24"/>
        </w:rPr>
        <w:t xml:space="preserve">确定推荐区间后，以片区实际在役设备为起点，将主变规格、扩建条件、储能和联络工程纳入比选。先满足逐站正常运行及供电安全要求，再比较评价期费用，形成对应容量规模、投运时点和负荷转接安排。刚性基准用于评价弹性方案的费用变化，最终推荐值由具体设备配置形成。</w:t>
      </w:r>
    </w:p>
    <w:p>
      <w:pPr>
        <w:pStyle w:val="5"/>
        <w:keepNext/>
        <w:numPr>
          <w:numId w:val="0"/>
        </w:numPr>
        <w:spacing w:line="390" w:lineRule="exact" w:before="160" w:after="120"/>
        <w:ind w:firstLine="0"/>
      </w:pPr>
      <w:bookmarkStart w:id="279" w:name="核实分区转供能力与储能支撑条件"/>
      <w:r>
        <w:rPr>
          <w:rFonts w:ascii="Times New Roman" w:hAnsi="Times New Roman" w:eastAsia="方正仿宋_GBK"/>
          <w:b/>
          <w:sz w:val="26"/>
        </w:rPr>
        <w:t xml:space="preserve">6.2.2 核实分区转供能力与储能支撑条件</w:t>
      </w:r>
      <w:bookmarkEnd w:id="279"/>
    </w:p>
    <w:p>
      <w:pPr>
        <w:pStyle w:val="FirstParagraph"/>
        <w:widowControl/>
        <w:spacing w:line="348" w:lineRule="exact" w:before="0" w:after="0"/>
        <w:ind w:firstLine="480"/>
        <w:jc w:val="both"/>
      </w:pPr>
      <w:r>
        <w:rPr>
          <w:rFonts w:ascii="Times New Roman" w:hAnsi="Times New Roman" w:eastAsia="方正仿宋_GBK"/>
          <w:b w:val="0"/>
          <w:sz w:val="24"/>
        </w:rPr>
        <w:t xml:space="preserve">市区按A类较少、B类较多的研究背景，以40%作为B类区间中值参考，比较30%～50%；待分区负荷及存量网络资料齐备后，核定实际转供率。现有联络须对应具体路径，新增联络按建设项目计费，并共同校核馈线接收余量和邻站主变能力。</w:t>
      </w:r>
    </w:p>
    <w:p>
      <w:pPr>
        <w:pStyle w:val="2"/>
        <w:widowControl/>
        <w:spacing w:line="348" w:lineRule="exact" w:before="0" w:after="0"/>
        <w:ind w:firstLine="480"/>
        <w:jc w:val="both"/>
      </w:pPr>
      <w:r>
        <w:rPr>
          <w:rFonts w:ascii="Times New Roman" w:hAnsi="Times New Roman" w:eastAsia="方正仿宋_GBK"/>
          <w:b w:val="0"/>
          <w:sz w:val="24"/>
        </w:rPr>
        <w:t xml:space="preserve">储能4 h用于本次统一比较，工程应用结合地区网供峰值曲线、容量缺口持续时间及故障恢复条件确定实际需求。可用电量与充电空间均需校核。</w:t>
      </w:r>
    </w:p>
    <w:p>
      <w:pPr>
        <w:pStyle w:val="2"/>
        <w:widowControl/>
        <w:spacing w:line="348" w:lineRule="exact"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5"/>
        <w:keepNext/>
        <w:numPr>
          <w:numId w:val="0"/>
        </w:numPr>
        <w:spacing w:line="390" w:lineRule="exact" w:before="160" w:after="120"/>
        <w:ind w:firstLine="0"/>
      </w:pPr>
      <w:bookmarkStart w:id="280" w:name="随数据和工程条件更新结果"/>
      <w:r>
        <w:rPr>
          <w:rFonts w:ascii="Times New Roman" w:hAnsi="Times New Roman" w:eastAsia="方正仿宋_GBK"/>
          <w:b/>
          <w:sz w:val="26"/>
        </w:rPr>
        <w:t xml:space="preserve">6.2.3 随数据和工程条件更新结果</w:t>
      </w:r>
      <w:bookmarkEnd w:id="280"/>
    </w:p>
    <w:p>
      <w:pPr>
        <w:pStyle w:val="FirstParagraph"/>
        <w:widowControl/>
        <w:spacing w:line="348" w:lineRule="exact" w:before="0" w:after="0"/>
        <w:ind w:firstLine="480"/>
        <w:jc w:val="both"/>
      </w:pPr>
      <w:r>
        <w:rPr>
          <w:rFonts w:ascii="Times New Roman" w:hAnsi="Times New Roman" w:eastAsia="方正仿宋_GBK"/>
          <w:b w:val="0"/>
          <w:sz w:val="24"/>
        </w:rPr>
        <w:t xml:space="preserve">保留输入参数的区间形式，新增年度资料用于更新区间内的计算节点和设备配置。线路造价、储能价格、负荷分布或可用间隔改变后，按统一费用范围重新比较，同步更新设备方案与推荐区间。</w:t>
      </w:r>
    </w:p>
    <w:p>
      <w:pPr>
        <w:pStyle w:val="2"/>
        <w:widowControl/>
        <w:spacing w:line="348" w:lineRule="exact"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48" w:lineRule="exact"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pPr>
        <w:pStyle w:val="4"/>
        <w:keepNext/>
        <w:numPr>
          <w:numId w:val="0"/>
        </w:numPr>
        <w:spacing w:line="480" w:lineRule="exact" w:before="160" w:after="120"/>
        <w:ind w:firstLine="0"/>
      </w:pPr>
      <w:bookmarkStart w:id="2033" w:name="h1033"/>
      <w:bookmarkStart w:id="281" w:name="后续研究方向"/>
      <w:r>
        <w:rPr>
          <w:rFonts w:ascii="Times New Roman" w:hAnsi="Times New Roman" w:eastAsia="方正仿宋_GBK"/>
          <w:b/>
          <w:sz w:val="32"/>
        </w:rPr>
        <w:t xml:space="preserve">6.3 后续研究方向</w:t>
      </w:r>
      <w:bookmarkEnd w:id="281"/>
      <w:bookmarkEnd w:id="2033"/>
    </w:p>
    <w:p>
      <w:pPr>
        <w:pStyle w:val="FirstParagraph"/>
        <w:widowControl/>
        <w:spacing w:line="348" w:lineRule="exact" w:before="0" w:after="0"/>
        <w:ind w:firstLine="480"/>
        <w:jc w:val="both"/>
      </w:pPr>
      <w:r>
        <w:rPr>
          <w:rFonts w:ascii="Times New Roman" w:hAnsi="Times New Roman" w:eastAsia="方正仿宋_GBK"/>
          <w:b w:val="0"/>
          <w:sz w:val="24"/>
        </w:rPr>
        <w:t xml:space="preserve">当前地区案例采用两类静态工况，未开展逐时荷电状态、电压或保护仿真；市区部分网络能力及设备条件采用研究假设。费用包括共同评价期内的建设、固定运维及规定更新，尚未纳入期末残值、储能充电和损耗等科目。研究结果用于当前假定下的技术经济比选，具体建设需以核定网络和工程资料进一步校核。</w:t>
      </w:r>
    </w:p>
    <w:p>
      <w:pPr>
        <w:pStyle w:val="5"/>
        <w:keepNext/>
        <w:numPr>
          <w:numId w:val="0"/>
        </w:numPr>
        <w:spacing w:line="390" w:lineRule="exact" w:before="160" w:after="120"/>
        <w:ind w:firstLine="0"/>
      </w:pPr>
      <w:bookmarkStart w:id="282" w:name="深化储能运行与实际网络校核"/>
      <w:r>
        <w:rPr>
          <w:rFonts w:ascii="Times New Roman" w:hAnsi="Times New Roman" w:eastAsia="方正仿宋_GBK"/>
          <w:b/>
          <w:sz w:val="26"/>
        </w:rPr>
        <w:t xml:space="preserve">6.3.1 深化储能运行与实际网络校核</w:t>
      </w:r>
      <w:bookmarkEnd w:id="282"/>
    </w:p>
    <w:p>
      <w:pPr>
        <w:pStyle w:val="FirstParagraph"/>
        <w:widowControl/>
        <w:spacing w:line="348" w:lineRule="exact"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按主变N-1期间的实际功率缺口积分确定能量需求，并分别核定正向放电和反向充电所需的荷电状态。结合保证可用能量、充放电效率及故障恢复时间，检查连续多日支撑条件。核实候选联络的实际馈线、开关位置和可切换区段，补充已建存量网络资料，继续分析线路允许容量、电压及保护配合。</w:t>
      </w:r>
    </w:p>
    <w:p>
      <w:pPr>
        <w:pStyle w:val="5"/>
        <w:keepNext/>
        <w:numPr>
          <w:numId w:val="0"/>
        </w:numPr>
        <w:spacing w:line="390" w:lineRule="exact" w:before="160" w:after="120"/>
        <w:ind w:firstLine="0"/>
      </w:pPr>
      <w:bookmarkStart w:id="283" w:name="拓展片区结构和经济参数"/>
      <w:r>
        <w:rPr>
          <w:rFonts w:ascii="Times New Roman" w:hAnsi="Times New Roman" w:eastAsia="方正仿宋_GBK"/>
          <w:b/>
          <w:sz w:val="26"/>
        </w:rPr>
        <w:t xml:space="preserve">6.3.2 拓展片区结构和经济参数</w:t>
      </w:r>
      <w:bookmarkEnd w:id="283"/>
    </w:p>
    <w:p>
      <w:pPr>
        <w:pStyle w:val="FirstParagraph"/>
        <w:widowControl/>
        <w:spacing w:line="348" w:lineRule="exact"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线路与储能价格变化时的配置切换条件。在本研究既定规划条件下，结合新增片区资料核对容量储备、地区差异及费用变化，细化推荐区间的适用范围。结合工程概算、期末资产价值和运行费用完善现金流，细化推荐区间及建设时序。</w:t>
      </w:r>
    </w:p>
    <w:p>
      <w:pPr>
        <w:pStyle w:val="3"/>
        <w:keepNext/>
        <w:pageBreakBefore/>
        <w:numPr>
          <w:numId w:val="0"/>
        </w:numPr>
        <w:spacing w:line="540" w:lineRule="exact" w:before="0" w:after="120"/>
        <w:ind w:firstLine="0"/>
      </w:pPr>
      <w:bookmarkStart w:id="2039" w:name="h1039"/>
      <w:bookmarkStart w:id="284" w:name="参考文献"/>
      <w:r>
        <w:rPr>
          <w:rFonts w:ascii="Times New Roman" w:hAnsi="Times New Roman" w:eastAsia="方正仿宋_GBK"/>
          <w:b/>
          <w:sz w:val="36"/>
        </w:rPr>
        <w:t xml:space="preserve">参考文献</w:t>
      </w:r>
      <w:bookmarkEnd w:id="284"/>
      <w:bookmarkEnd w:id="2039"/>
    </w:p>
    <w:p>
      <w:pPr>
        <w:pStyle w:val="FirstParagraph"/>
        <w:widowControl/>
        <w:spacing w:line="320" w:lineRule="exact"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320" w:lineRule="exact"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320" w:lineRule="exact"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320" w:lineRule="exact"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320" w:lineRule="exact"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320" w:lineRule="exact"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320" w:lineRule="exact" w:before="0" w:after="80"/>
        <w:ind w:firstLine="0"/>
        <w:jc w:val="left"/>
      </w:pPr>
      <w:r>
        <w:rPr>
          <w:rFonts w:ascii="Times New Roman" w:hAnsi="Times New Roman" w:eastAsia="方正仿宋_GBK"/>
          <w:b w:val="0"/>
          <w:sz w:val="21"/>
        </w:rPr>
        <w:t xml:space="preserve">[7] 配电网规划设计技术导则（修订稿，2025年4月）[R]. 2025.</w:t>
      </w:r>
    </w:p>
    <w:p>
      <w:pPr>
        <w:pStyle w:val="2"/>
        <w:widowControl/>
        <w:spacing w:line="320" w:lineRule="exact"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320" w:lineRule="exact" w:before="0" w:after="80"/>
        <w:ind w:firstLine="0"/>
        <w:jc w:val="left"/>
      </w:pPr>
      <w:r>
        <w:rPr>
          <w:rFonts w:ascii="Times New Roman" w:hAnsi="Times New Roman" w:eastAsia="方正仿宋_GBK"/>
          <w:b w:val="0"/>
          <w:sz w:val="21"/>
        </w:rPr>
        <w:t xml:space="preserve">[9] DL/T 2041—2025 分布式电源接入电力系统承载力评估导则[S]. 2025.</w:t>
      </w:r>
    </w:p>
    <w:p>
      <w:pPr>
        <w:pStyle w:val="2"/>
        <w:widowControl/>
        <w:spacing w:line="320" w:lineRule="exact"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320" w:lineRule="exact" w:before="0" w:after="80"/>
        <w:ind w:firstLine="0"/>
        <w:jc w:val="left"/>
      </w:pPr>
      <w:r>
        <w:rPr>
          <w:rFonts w:ascii="Times New Roman" w:hAnsi="Times New Roman" w:eastAsia="方正仿宋_GBK"/>
          <w:b w:val="0"/>
          <w:sz w:val="21"/>
        </w:rPr>
        <w:t xml:space="preserve">[11] ZENG W, FAN J, ZHANG W, et al. Whole life cycle cost analysis of transmission lines using the economic life interval method[J]. Energies, 2023, 16(23): 7804.</w:t>
      </w:r>
    </w:p>
    <w:p>
      <w:pPr>
        <w:pStyle w:val="2"/>
        <w:widowControl/>
        <w:spacing w:line="320" w:lineRule="exact" w:before="0" w:after="80"/>
        <w:ind w:firstLine="0"/>
        <w:jc w:val="left"/>
      </w:pPr>
      <w:r>
        <w:rPr>
          <w:rFonts w:ascii="Times New Roman" w:hAnsi="Times New Roman" w:eastAsia="方正仿宋_GBK"/>
          <w:b w:val="0"/>
          <w:sz w:val="21"/>
        </w:rPr>
        <w:t xml:space="preserve">[12] ZHU Z, LU S, GAO B, et al. Life cycle cost analysis of three types of power lines in 10 kV distribution network[J]. Inventions, 2016, 1(4): 20.</w:t>
      </w:r>
    </w:p>
    <w:p>
      <w:pPr>
        <w:pStyle w:val="2"/>
        <w:widowControl/>
        <w:spacing w:line="320" w:lineRule="exact" w:before="0" w:after="80"/>
        <w:ind w:firstLine="0"/>
        <w:jc w:val="left"/>
      </w:pPr>
      <w:r>
        <w:rPr>
          <w:rFonts w:ascii="Times New Roman" w:hAnsi="Times New Roman" w:eastAsia="方正仿宋_GBK"/>
          <w:b w:val="0"/>
          <w:sz w:val="21"/>
        </w:rPr>
        <w:t xml:space="preserve">[13] SAATY T L. The analytic hierarchy process[M]. New York: McGraw-Hill, 1980.</w:t>
      </w:r>
    </w:p>
    <w:p>
      <w:pPr>
        <w:pStyle w:val="2"/>
        <w:widowControl/>
        <w:spacing w:line="320" w:lineRule="exact" w:before="0" w:after="80"/>
        <w:ind w:firstLine="0"/>
        <w:jc w:val="left"/>
      </w:pPr>
      <w:r>
        <w:rPr>
          <w:rFonts w:ascii="Times New Roman" w:hAnsi="Times New Roman" w:eastAsia="方正仿宋_GBK"/>
          <w:b w:val="0"/>
          <w:sz w:val="21"/>
        </w:rPr>
        <w:t xml:space="preserve">[14] WU Q, PENG C. Comprehensive benefit evaluation of the power distribution network planning project based on improved IAHP and multi-level extension assessment method[J]. Sustainability, 2016, 8(8): 796.</w:t>
      </w:r>
    </w:p>
    <w:p>
      <w:pPr>
        <w:pStyle w:val="2"/>
        <w:widowControl/>
        <w:spacing w:line="320" w:lineRule="exact" w:before="0" w:after="80"/>
        <w:ind w:firstLine="0"/>
        <w:jc w:val="left"/>
      </w:pPr>
      <w:r>
        <w:rPr>
          <w:rFonts w:ascii="Times New Roman" w:hAnsi="Times New Roman" w:eastAsia="方正仿宋_GBK"/>
          <w:b w:val="0"/>
          <w:sz w:val="21"/>
        </w:rPr>
        <w:t xml:space="preserve">[15] 罗宁, 贺墨琳, 高华, 等. 基于改进的AHP-CRITIC组合赋权与可拓评估模型的配电网综合评价方法[J]. 电力系统保护与控制, 2021, 49(16): 86-96.</w:t>
      </w:r>
    </w:p>
    <w:p>
      <w:pPr>
        <w:pStyle w:val="2"/>
        <w:widowControl/>
        <w:spacing w:line="320" w:lineRule="exact" w:before="0" w:after="80"/>
        <w:ind w:firstLine="0"/>
        <w:jc w:val="left"/>
      </w:pPr>
      <w:r>
        <w:rPr>
          <w:rFonts w:ascii="Times New Roman" w:hAnsi="Times New Roman" w:eastAsia="方正仿宋_GBK"/>
          <w:b w:val="0"/>
          <w:sz w:val="21"/>
        </w:rPr>
        <w:t xml:space="preserve">[16] 程智余, 朱晓虎, 李建青. 基于改进ELECTRE法的电网规划投资多准则融合决策方法[J]. 中国电力, 2022, 55(11): 59-65.</w:t>
      </w:r>
    </w:p>
    <w:p>
      <w:pPr>
        <w:pStyle w:val="2"/>
        <w:widowControl/>
        <w:spacing w:line="320" w:lineRule="exact" w:before="0" w:after="80"/>
        <w:ind w:firstLine="0"/>
        <w:jc w:val="left"/>
      </w:pPr>
      <w:r>
        <w:rPr>
          <w:rFonts w:ascii="Times New Roman" w:hAnsi="Times New Roman" w:eastAsia="方正仿宋_GBK"/>
          <w:b w:val="0"/>
          <w:sz w:val="21"/>
        </w:rPr>
        <w:t xml:space="preserve">[17] GB/T 45418—2025 配电网通用技术导则[S]. 2025.</w:t>
      </w:r>
    </w:p>
    <w:p>
      <w:pPr>
        <w:pStyle w:val="2"/>
        <w:widowControl/>
        <w:spacing w:line="320" w:lineRule="exact" w:before="0" w:after="80"/>
        <w:ind w:firstLine="0"/>
        <w:jc w:val="left"/>
      </w:pPr>
      <w:r>
        <w:rPr>
          <w:rFonts w:ascii="Times New Roman" w:hAnsi="Times New Roman" w:eastAsia="方正仿宋_GBK"/>
          <w:b w:val="0"/>
          <w:sz w:val="21"/>
        </w:rPr>
        <w:t xml:space="preserve">[18] LIN T, WU G, LAI S, et al. Calculation of distribution network PV hosting capacity considering source–load uncertainty and active management[J]. Electronics, 2024, 13(20): 4048.</w:t>
      </w:r>
    </w:p>
    <w:p>
      <w:pPr>
        <w:pStyle w:val="2"/>
        <w:widowControl/>
        <w:spacing w:line="320" w:lineRule="exact" w:before="0" w:after="80"/>
        <w:ind w:firstLine="0"/>
        <w:jc w:val="left"/>
      </w:pPr>
      <w:r>
        <w:rPr>
          <w:rFonts w:ascii="Times New Roman" w:hAnsi="Times New Roman" w:eastAsia="方正仿宋_GBK"/>
          <w:b w:val="0"/>
          <w:sz w:val="21"/>
        </w:rPr>
        <w:t xml:space="preserve">[19] CHEN C, PENG W, XIE C, et al. Photovoltaic hosting capacity assessment of distribution networks considering source–load uncertainty[J]. Energies, 2025, 18(8): 2134.</w:t>
      </w:r>
    </w:p>
    <w:p>
      <w:pPr>
        <w:pStyle w:val="2"/>
        <w:widowControl/>
        <w:spacing w:line="320" w:lineRule="exact" w:before="0" w:after="80"/>
        <w:ind w:firstLine="0"/>
        <w:jc w:val="left"/>
      </w:pPr>
      <w:r>
        <w:rPr>
          <w:rFonts w:ascii="Times New Roman" w:hAnsi="Times New Roman" w:eastAsia="方正仿宋_GBK"/>
          <w:b w:val="0"/>
          <w:sz w:val="21"/>
        </w:rPr>
        <w:t xml:space="preserve">[20] LIU H, HE J, DENG L, et al. Assessment of distribution network hosting capacity incorporating multiple uncertainty factors[J]. Electronics, 2025, 14(22): 4495.</w:t>
      </w:r>
    </w:p>
    <w:p>
      <w:pPr>
        <w:pStyle w:val="2"/>
        <w:widowControl/>
        <w:spacing w:line="320" w:lineRule="exact" w:before="0" w:after="80"/>
        <w:ind w:firstLine="0"/>
        <w:jc w:val="left"/>
      </w:pPr>
      <w:r>
        <w:rPr>
          <w:rFonts w:ascii="Times New Roman" w:hAnsi="Times New Roman" w:eastAsia="方正仿宋_GBK"/>
          <w:b w:val="0"/>
          <w:sz w:val="21"/>
        </w:rPr>
        <w:t xml:space="preserve">[21] SHU J, ZHAO C, CHU B, et al. A closed-loop framework for PV dynamic hosting capacity: integrating physics-informed forecasting and stability constraints[J]. Frontiers in Energy Research, 2026. DOI: 10.3389/fenrg.2026.1823435.</w:t>
      </w:r>
    </w:p>
    <w:p>
      <w:pPr>
        <w:pStyle w:val="2"/>
        <w:widowControl/>
        <w:spacing w:line="320" w:lineRule="exact" w:before="0" w:after="80"/>
        <w:ind w:firstLine="0"/>
        <w:jc w:val="left"/>
      </w:pPr>
      <w:r>
        <w:rPr>
          <w:rFonts w:ascii="Times New Roman" w:hAnsi="Times New Roman" w:eastAsia="方正仿宋_GBK"/>
          <w:b w:val="0"/>
          <w:sz w:val="21"/>
        </w:rPr>
        <w:t xml:space="preserve">[22] HAIDER R, FERRO G, ROBBA M, et al. Flattening the duck curve: a case for distributed decision making[C]//2022 IEEE Power &amp; Energy Society General Meeting. 2022. DOI: 10.1109/PESGM48719.2022.9917019.</w:t>
      </w:r>
    </w:p>
    <w:p>
      <w:pPr>
        <w:pStyle w:val="2"/>
        <w:widowControl/>
        <w:spacing w:line="320" w:lineRule="exact" w:before="0" w:after="80"/>
        <w:ind w:firstLine="0"/>
        <w:jc w:val="left"/>
      </w:pPr>
      <w:r>
        <w:rPr>
          <w:rFonts w:ascii="Times New Roman" w:hAnsi="Times New Roman" w:eastAsia="方正仿宋_GBK"/>
          <w:b w:val="0"/>
          <w:sz w:val="21"/>
        </w:rPr>
        <w:t xml:space="preserve">[23] XIE Y, LI Q, YANG L, et al. The phenomenon and suppression strategy of overvoltage caused by PV power reverse flow[J]. Frontiers in Energy Research, 2024, 12: 1495742.</w:t>
      </w:r>
    </w:p>
    <w:p>
      <w:pPr>
        <w:pStyle w:val="2"/>
        <w:widowControl/>
        <w:spacing w:line="320" w:lineRule="exact" w:before="0" w:after="80"/>
        <w:ind w:firstLine="0"/>
        <w:jc w:val="left"/>
      </w:pPr>
      <w:r>
        <w:rPr>
          <w:rFonts w:ascii="Times New Roman" w:hAnsi="Times New Roman" w:eastAsia="方正仿宋_GBK"/>
          <w:b w:val="0"/>
          <w:sz w:val="21"/>
        </w:rPr>
        <w:t xml:space="preserve">[24] GHORBANSARVI A, HAMILTON D, ALMASSALKHI M R, et al. Transformer temperature management and voltage control in electric distribution systems with high solar PV penetration[EB/OL]. arXiv: 2410.09011, 2024.</w:t>
      </w:r>
    </w:p>
    <w:p>
      <w:pPr>
        <w:pStyle w:val="2"/>
        <w:widowControl/>
        <w:spacing w:line="320" w:lineRule="exact" w:before="0" w:after="80"/>
        <w:ind w:firstLine="0"/>
        <w:jc w:val="left"/>
      </w:pPr>
      <w:r>
        <w:rPr>
          <w:rFonts w:ascii="Times New Roman" w:hAnsi="Times New Roman" w:eastAsia="方正仿宋_GBK"/>
          <w:b w:val="0"/>
          <w:sz w:val="21"/>
        </w:rPr>
        <w:t xml:space="preserve">[25] GAO X, ZHANG J, SUN H, et al. A review of voltage control studies on low voltage distribution networks containing high penetration distributed photovoltaics[J]. Energies, 2024, 17(13): 3058.</w:t>
      </w:r>
    </w:p>
    <w:p>
      <w:pPr>
        <w:pStyle w:val="2"/>
        <w:widowControl/>
        <w:spacing w:line="320" w:lineRule="exact" w:before="0" w:after="80"/>
        <w:ind w:firstLine="0"/>
        <w:jc w:val="left"/>
      </w:pPr>
      <w:r>
        <w:rPr>
          <w:rFonts w:ascii="Times New Roman" w:hAnsi="Times New Roman" w:eastAsia="方正仿宋_GBK"/>
          <w:b w:val="0"/>
          <w:sz w:val="21"/>
        </w:rPr>
        <w:t xml:space="preserve">[26] NAIR V J, VAHID-GHAVIDEL M, ANNASWAMY A M. Dynamic resource coordination can increase grid hosting capacity to support more renewables, storage, and electrified load growth[EB/OL]. arXiv:2604.02170, 2026.</w:t>
      </w:r>
    </w:p>
    <w:p>
      <w:pPr>
        <w:pStyle w:val="2"/>
        <w:widowControl/>
        <w:spacing w:line="320" w:lineRule="exact" w:before="0" w:after="80"/>
        <w:ind w:firstLine="0"/>
        <w:jc w:val="left"/>
      </w:pPr>
      <w:r>
        <w:rPr>
          <w:rFonts w:ascii="Times New Roman" w:hAnsi="Times New Roman" w:eastAsia="方正仿宋_GBK"/>
          <w:b w:val="0"/>
          <w:sz w:val="21"/>
        </w:rPr>
        <w:t xml:space="preserve">[27] WANG R, JI H, LI P, et al. Multi-resource dynamic coordinated planning of flexible distribution network[J]. Nature Communications, 2024, 15: 4576.</w:t>
      </w:r>
    </w:p>
    <w:p>
      <w:pPr>
        <w:pStyle w:val="2"/>
        <w:widowControl/>
        <w:spacing w:line="320" w:lineRule="exact" w:before="0" w:after="80"/>
        <w:ind w:firstLine="0"/>
        <w:jc w:val="left"/>
      </w:pPr>
      <w:r>
        <w:rPr>
          <w:rFonts w:ascii="Times New Roman" w:hAnsi="Times New Roman" w:eastAsia="方正仿宋_GBK"/>
          <w:b w:val="0"/>
          <w:sz w:val="21"/>
        </w:rPr>
        <w:t xml:space="preserve">[28] MARTÍNEZ M, MATEO C, GÓMEZ T, et al. Distributed battery energy storage systems for deferring distribution network reinforcements under sustained load growth scenarios[J]. Journal of Energy Storage, 2024, 100: 113404.</w:t>
      </w:r>
    </w:p>
    <w:p>
      <w:pPr>
        <w:pStyle w:val="2"/>
        <w:widowControl/>
        <w:spacing w:line="320" w:lineRule="exact" w:before="0" w:after="80"/>
        <w:ind w:firstLine="0"/>
        <w:jc w:val="left"/>
      </w:pPr>
      <w:r>
        <w:rPr>
          <w:rFonts w:ascii="Times New Roman" w:hAnsi="Times New Roman" w:eastAsia="方正仿宋_GBK"/>
          <w:b w:val="0"/>
          <w:sz w:val="21"/>
        </w:rPr>
        <w:t xml:space="preserve">[29] HOLWEGER J, BALLIF C, WYRSCH N. Distributed flexibility as a cost-effective alternative to grid reinforcement[EB/OL]. arXiv:2109.07305, 2021.</w:t>
      </w:r>
    </w:p>
    <w:p>
      <w:pPr>
        <w:pStyle w:val="2"/>
        <w:widowControl/>
        <w:spacing w:line="320" w:lineRule="exact" w:before="0" w:after="80"/>
        <w:ind w:firstLine="0"/>
        <w:jc w:val="left"/>
      </w:pPr>
      <w:r>
        <w:rPr>
          <w:rFonts w:ascii="Times New Roman" w:hAnsi="Times New Roman" w:eastAsia="方正仿宋_GBK"/>
          <w:b w:val="0"/>
          <w:sz w:val="21"/>
        </w:rPr>
        <w:t xml:space="preserve">[30] MATTHISS B, MOMENIFARAHANI A, BINDER J. Storage placement and sizing in a distribution grid with high PV-generation[EB/OL]. arXiv: 2001.05814, 2020.</w:t>
      </w:r>
    </w:p>
    <w:p>
      <w:pPr>
        <w:pStyle w:val="2"/>
        <w:widowControl/>
        <w:spacing w:line="320" w:lineRule="exact" w:before="0" w:after="80"/>
        <w:ind w:firstLine="0"/>
        <w:jc w:val="left"/>
      </w:pPr>
      <w:r>
        <w:rPr>
          <w:rFonts w:ascii="Times New Roman" w:hAnsi="Times New Roman" w:eastAsia="方正仿宋_GBK"/>
          <w:b w:val="0"/>
          <w:sz w:val="21"/>
        </w:rPr>
        <w:t xml:space="preserve">[31] WU Y, CHEN Y, LI Z, et al. Robust co-planning of distributed photovoltaics and energy storage for enhancing the hosting capacity of active distribution networks[J]. Renewable Energy, 2025, 253: 123645.</w:t>
      </w:r>
    </w:p>
    <w:p>
      <w:pPr>
        <w:pStyle w:val="2"/>
        <w:widowControl/>
        <w:spacing w:line="320" w:lineRule="exact" w:before="0" w:after="80"/>
        <w:ind w:firstLine="0"/>
        <w:jc w:val="left"/>
      </w:pPr>
      <w:r>
        <w:rPr>
          <w:rFonts w:ascii="Times New Roman" w:hAnsi="Times New Roman" w:eastAsia="方正仿宋_GBK"/>
          <w:b w:val="0"/>
          <w:sz w:val="21"/>
        </w:rPr>
        <w:t xml:space="preserve">[32] ZHANG Q, WANG Z, MA S, et al. Stochastic pre-event preparation for enhancing resilience of distribution systems with high DER penetration[EB/OL]. (2020)[2026-10-02]. https://arxiv.org/abs/2012.13043.</w:t>
      </w:r>
    </w:p>
    <w:p>
      <w:pPr>
        <w:pStyle w:val="2"/>
        <w:widowControl/>
        <w:spacing w:line="320" w:lineRule="exact" w:before="0" w:after="80"/>
        <w:ind w:firstLine="0"/>
        <w:jc w:val="left"/>
      </w:pPr>
      <w:r>
        <w:rPr>
          <w:rFonts w:ascii="Times New Roman" w:hAnsi="Times New Roman" w:eastAsia="方正仿宋_GBK"/>
          <w:b w:val="0"/>
          <w:sz w:val="21"/>
        </w:rPr>
        <w:t xml:space="preserve">[33] HUANG J, SUN Z, XIE H, et al. Optimal substation capacity planning method in high-density load areas considering renewable energy[J]. Energy Reports, 2023, 9: 1520-1530.</w:t>
      </w:r>
    </w:p>
    <w:p>
      <w:pPr>
        <w:pStyle w:val="2"/>
        <w:widowControl/>
        <w:spacing w:line="320" w:lineRule="exact" w:before="0" w:after="80"/>
        <w:ind w:firstLine="0"/>
        <w:jc w:val="left"/>
      </w:pPr>
      <w:r>
        <w:rPr>
          <w:rFonts w:ascii="Times New Roman" w:hAnsi="Times New Roman" w:eastAsia="方正仿宋_GBK"/>
          <w:b w:val="0"/>
          <w:sz w:val="21"/>
        </w:rPr>
        <w:t xml:space="preserve">[34] XU D, FU Q, YE L, et al. The optimal sizing of substation capacity in a distribution network, considering a dynamic time-of-use pricing mechanism[J]. Sensors, 2022, 22(19): 7173.</w:t>
      </w:r>
    </w:p>
    <w:p>
      <w:pPr>
        <w:pStyle w:val="2"/>
        <w:widowControl/>
        <w:spacing w:line="320" w:lineRule="exact" w:before="0" w:after="80"/>
        <w:ind w:firstLine="0"/>
        <w:jc w:val="left"/>
      </w:pPr>
      <w:r>
        <w:rPr>
          <w:rFonts w:ascii="Times New Roman" w:hAnsi="Times New Roman" w:eastAsia="方正仿宋_GBK"/>
          <w:b w:val="0"/>
          <w:sz w:val="21"/>
        </w:rPr>
        <w:t xml:space="preserve">[35] NESPOLI L, MEDICI V. Global forecasting models for residential load flexibility and grid optimization[J]. Frontiers in Energy Research, 2025, 13: 1547617.</w:t>
      </w:r>
    </w:p>
    <w:p>
      <w:pPr>
        <w:pStyle w:val="2"/>
        <w:widowControl/>
        <w:spacing w:line="320" w:lineRule="exact" w:before="0" w:after="80"/>
        <w:ind w:firstLine="0"/>
        <w:jc w:val="left"/>
      </w:pPr>
      <w:r>
        <w:rPr>
          <w:rFonts w:ascii="Times New Roman" w:hAnsi="Times New Roman" w:eastAsia="方正仿宋_GBK"/>
          <w:b w:val="0"/>
          <w:sz w:val="21"/>
        </w:rPr>
        <w:t xml:space="preserve">[36] ZHU J, LIU Z, DAI F, et al. Coordinated planning of unbalanced flexible interconnected distribution networks based on distributed optimization[J]. Energies, 2026, 19(7): 1769.</w:t>
      </w:r>
    </w:p>
    <w:p>
      <w:pPr>
        <w:pStyle w:val="2"/>
        <w:widowControl/>
        <w:spacing w:line="320" w:lineRule="exact" w:before="0" w:after="80"/>
        <w:ind w:firstLine="0"/>
        <w:jc w:val="left"/>
      </w:pPr>
      <w:r>
        <w:rPr>
          <w:rFonts w:ascii="Times New Roman" w:hAnsi="Times New Roman" w:eastAsia="方正仿宋_GBK"/>
          <w:b w:val="0"/>
          <w:sz w:val="21"/>
        </w:rPr>
        <w:t xml:space="preserve">[37] LUO W, ZHANG C, HAN X, et al. Joint planning method for soft open points and energy storage in hybrid distribution networks based on improved DC power flow[J]. Processes, 2026, 14(6): 1013.</w:t>
      </w:r>
    </w:p>
    <w:p>
      <w:pPr>
        <w:pStyle w:val="2"/>
        <w:widowControl/>
        <w:spacing w:line="320" w:lineRule="exact" w:before="0" w:after="80"/>
        <w:ind w:firstLine="0"/>
        <w:jc w:val="left"/>
      </w:pPr>
      <w:r>
        <w:rPr>
          <w:rFonts w:ascii="Times New Roman" w:hAnsi="Times New Roman" w:eastAsia="方正仿宋_GBK"/>
          <w:b w:val="0"/>
          <w:sz w:val="21"/>
        </w:rPr>
        <w:t xml:space="preserve">[38] WANG J, CHANG C, LE J, et al. Sustainable distribution network planning for enhancing PV accommodation: a source–network–storage coordinated stochastic approach[J]. Sustainability, 2025, 17(12): 5324.</w:t>
      </w:r>
    </w:p>
    <w:p>
      <w:pPr>
        <w:pStyle w:val="2"/>
        <w:widowControl/>
        <w:spacing w:line="320" w:lineRule="exact" w:before="0" w:after="80"/>
        <w:ind w:firstLine="0"/>
        <w:jc w:val="left"/>
      </w:pPr>
      <w:r>
        <w:rPr>
          <w:rFonts w:ascii="Times New Roman" w:hAnsi="Times New Roman" w:eastAsia="方正仿宋_GBK"/>
          <w:b w:val="0"/>
          <w:sz w:val="21"/>
        </w:rPr>
        <w:t xml:space="preserve">[39] SHI Y, YAO Y, LI Y, et al. Research on source–grid–load–storage coordinated optimization and evolutionarily stable strategies for high renewable energy[J]. Energies, 2026, 19(2): 415.</w:t>
      </w:r>
    </w:p>
    <w:p>
      <w:pPr>
        <w:pStyle w:val="2"/>
        <w:widowControl/>
        <w:spacing w:line="320" w:lineRule="exact" w:before="0" w:after="80"/>
        <w:ind w:firstLine="0"/>
        <w:jc w:val="left"/>
      </w:pPr>
      <w:r>
        <w:rPr>
          <w:rFonts w:ascii="Times New Roman" w:hAnsi="Times New Roman" w:eastAsia="方正仿宋_GBK"/>
          <w:b w:val="0"/>
          <w:sz w:val="21"/>
        </w:rPr>
        <w:t xml:space="preserve">[40] WANG Y, YAN C, WANG Z, et al. Adaptability evaluation of power grid planning scheme for novel power system considering multiple decision psychology[J]. Energies, 2024, 17(15): 3672.</w:t>
      </w:r>
    </w:p>
    <w:p>
      <w:pPr>
        <w:pStyle w:val="2"/>
        <w:widowControl/>
        <w:spacing w:line="320" w:lineRule="exact" w:before="0" w:after="80"/>
        <w:ind w:firstLine="0"/>
        <w:jc w:val="left"/>
      </w:pPr>
      <w:r>
        <w:rPr>
          <w:rFonts w:ascii="Times New Roman" w:hAnsi="Times New Roman" w:eastAsia="方正仿宋_GBK"/>
          <w:b w:val="0"/>
          <w:sz w:val="21"/>
        </w:rPr>
        <w:t xml:space="preserve">[41] YE L, LI J, YANG S, et al. An improved TOPSIS method using Fermatean fuzzy sets for techno-economic evaluation of multi-type power sources[J]. Electronics, 2025, 14(23): 4770.</w:t>
      </w:r>
    </w:p>
    <w:p>
      <w:pPr>
        <w:pStyle w:val="2"/>
        <w:widowControl/>
        <w:spacing w:line="320" w:lineRule="exact" w:before="0" w:after="80"/>
        <w:ind w:firstLine="0"/>
        <w:jc w:val="left"/>
      </w:pPr>
      <w:r>
        <w:rPr>
          <w:rFonts w:ascii="Times New Roman" w:hAnsi="Times New Roman" w:eastAsia="方正仿宋_GBK"/>
          <w:b w:val="0"/>
          <w:sz w:val="21"/>
        </w:rPr>
        <w:t xml:space="preserve">[42]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320" w:lineRule="exact" w:before="0" w:after="80"/>
        <w:ind w:firstLine="0"/>
        <w:jc w:val="left"/>
      </w:pPr>
      <w:r>
        <w:rPr>
          <w:rFonts w:ascii="Times New Roman" w:hAnsi="Times New Roman" w:eastAsia="方正仿宋_GBK"/>
          <w:b w:val="0"/>
          <w:sz w:val="21"/>
        </w:rPr>
        <w:t xml:space="preserve">[43] 陈浩, 张焰, 俞国勤, 等. 多电压等级配电网最优容载比的计算方法[J]. 电气应用, 2011, 30(1): 25-29.</w:t>
      </w:r>
    </w:p>
    <w:p>
      <w:pPr>
        <w:pStyle w:val="2"/>
        <w:widowControl/>
        <w:spacing w:line="320" w:lineRule="exact" w:before="0" w:after="80"/>
        <w:ind w:firstLine="0"/>
        <w:jc w:val="left"/>
      </w:pPr>
      <w:r>
        <w:rPr>
          <w:rFonts w:ascii="Times New Roman" w:hAnsi="Times New Roman" w:eastAsia="方正仿宋_GBK"/>
          <w:b w:val="0"/>
          <w:sz w:val="21"/>
        </w:rPr>
        <w:t xml:space="preserve">[44] 王凯亮, 何卓怡, 叶健鹏, 等. 多电压等级电网协同规划的容载比优化配置方法[J]. 南方电网技术, 2025, 19(7): 131-139.</w:t>
      </w:r>
    </w:p>
    <w:p>
      <w:pPr>
        <w:pStyle w:val="2"/>
        <w:widowControl/>
        <w:spacing w:line="320" w:lineRule="exact" w:before="0" w:after="80"/>
        <w:ind w:firstLine="0"/>
        <w:jc w:val="left"/>
      </w:pPr>
      <w:r>
        <w:rPr>
          <w:rFonts w:ascii="Times New Roman" w:hAnsi="Times New Roman" w:eastAsia="方正仿宋_GBK"/>
          <w:b w:val="0"/>
          <w:sz w:val="21"/>
        </w:rPr>
        <w:t xml:space="preserve">[45] 刘文霞, 刘其达, 邓诗语, 等. 基于容载比色带的区域配电网充裕性分析[J]. 华北电力大学学报(自然科学版), 2022, 49(2): 1-12, 22.</w:t>
      </w:r>
    </w:p>
    <w:p>
      <w:pPr>
        <w:pStyle w:val="2"/>
        <w:widowControl/>
        <w:spacing w:line="320" w:lineRule="exact" w:before="0" w:after="80"/>
        <w:ind w:firstLine="0"/>
        <w:jc w:val="left"/>
      </w:pPr>
      <w:r>
        <w:rPr>
          <w:rFonts w:ascii="Times New Roman" w:hAnsi="Times New Roman" w:eastAsia="方正仿宋_GBK"/>
          <w:b w:val="0"/>
          <w:sz w:val="21"/>
        </w:rPr>
        <w:t xml:space="preserve">[46] 刘炜彬, 梁咏秋, 李锡刚, 等. 面向精细化规划的容载比参数优化方法研究[J]. 电气工程学报, 2025, 20(1): 208-216.</w:t>
      </w:r>
    </w:p>
    <w:p>
      <w:pPr>
        <w:pStyle w:val="2"/>
        <w:widowControl/>
        <w:spacing w:line="320" w:lineRule="exact" w:before="0" w:after="80"/>
        <w:ind w:firstLine="0"/>
        <w:jc w:val="left"/>
      </w:pPr>
      <w:r>
        <w:rPr>
          <w:rFonts w:ascii="Times New Roman" w:hAnsi="Times New Roman" w:eastAsia="方正仿宋_GBK"/>
          <w:b w:val="0"/>
          <w:sz w:val="21"/>
        </w:rPr>
        <w:t xml:space="preserve">[47] 张锐, 刘恒超, 张国驹, 等. 基于改进供电能力指标的低压台区柔性互联装置规划[J]. 电力建设, 2025, 46(8): 1-11.</w:t>
      </w:r>
    </w:p>
    <w:p>
      <w:pPr>
        <w:pStyle w:val="2"/>
        <w:widowControl/>
        <w:spacing w:line="320" w:lineRule="exact" w:before="0" w:after="80"/>
        <w:ind w:firstLine="0"/>
        <w:jc w:val="left"/>
      </w:pPr>
      <w:r>
        <w:rPr>
          <w:rFonts w:ascii="Times New Roman" w:hAnsi="Times New Roman" w:eastAsia="方正仿宋_GBK"/>
          <w:b w:val="0"/>
          <w:sz w:val="21"/>
        </w:rPr>
        <w:t xml:space="preserve">[48] 马雨欣, 林凌雪. 面向配电网精准规划的最大供电能力评估方法[J]. 现代电力, 2025, 42(6): 1120-1130.</w:t>
      </w:r>
    </w:p>
    <w:p>
      <w:pPr>
        <w:pStyle w:val="2"/>
        <w:widowControl/>
        <w:spacing w:line="320" w:lineRule="exact" w:before="0" w:after="80"/>
        <w:ind w:firstLine="0"/>
        <w:jc w:val="left"/>
      </w:pPr>
      <w:r>
        <w:rPr>
          <w:rFonts w:ascii="Times New Roman" w:hAnsi="Times New Roman" w:eastAsia="方正仿宋_GBK"/>
          <w:b w:val="0"/>
          <w:sz w:val="21"/>
        </w:rPr>
        <w:t xml:space="preserve">[49] 王守相, 尹孜阳, 赵倩宇. 考虑多供电层级耦合的中低压配电网分布式光伏承载力一体化精细评估方法[J]. 电工技术学报, 2025, 40(6): 1930-1944.</w:t>
      </w:r>
    </w:p>
    <w:p>
      <w:pPr>
        <w:pStyle w:val="2"/>
        <w:widowControl/>
        <w:spacing w:line="320" w:lineRule="exact" w:before="0" w:after="80"/>
        <w:ind w:firstLine="0"/>
        <w:jc w:val="left"/>
      </w:pPr>
      <w:r>
        <w:rPr>
          <w:rFonts w:ascii="Times New Roman" w:hAnsi="Times New Roman" w:eastAsia="方正仿宋_GBK"/>
          <w:b w:val="0"/>
          <w:sz w:val="21"/>
        </w:rPr>
        <w:t xml:space="preserve">[50] 王方敏, 顼佳宇, 苏宁, 等. 新型电力系统风险抑制下分布式光伏承载力概率评估方法[J]. 中国电力, 2025, 58(6): 33-44.</w:t>
      </w:r>
    </w:p>
    <w:p>
      <w:pPr>
        <w:pStyle w:val="2"/>
        <w:widowControl/>
        <w:spacing w:line="320" w:lineRule="exact" w:before="0" w:after="80"/>
        <w:ind w:firstLine="0"/>
        <w:jc w:val="left"/>
      </w:pPr>
      <w:r>
        <w:rPr>
          <w:rFonts w:ascii="Times New Roman" w:hAnsi="Times New Roman" w:eastAsia="方正仿宋_GBK"/>
          <w:b w:val="0"/>
          <w:sz w:val="21"/>
        </w:rPr>
        <w:t xml:space="preserve">[51] 徐非非, 冯华, 覃洪培, 等. 计及不确定性的配电网分布式光伏承载能力区间分析方法[J]. 浙江电力, 2023, 42(11): 86-95.</w:t>
      </w:r>
    </w:p>
    <w:p>
      <w:pPr>
        <w:pStyle w:val="2"/>
        <w:widowControl/>
        <w:spacing w:line="320" w:lineRule="exact" w:before="0" w:after="80"/>
        <w:ind w:firstLine="0"/>
        <w:jc w:val="left"/>
      </w:pPr>
      <w:r>
        <w:rPr>
          <w:rFonts w:ascii="Times New Roman" w:hAnsi="Times New Roman" w:eastAsia="方正仿宋_GBK"/>
          <w:b w:val="0"/>
          <w:sz w:val="21"/>
        </w:rPr>
        <w:t xml:space="preserve">[52] 张伟, 孔巧玉, 滕婕, 等. 面向柔性互联配电网的分布式光伏消纳能力区间评估方法[J/OL]. 现代电力, 2026-03-02. DOI: 10.19725/j.cnki.1007-2322.2024.0254.</w:t>
      </w:r>
    </w:p>
    <w:p>
      <w:pPr>
        <w:pStyle w:val="2"/>
        <w:widowControl/>
        <w:spacing w:line="320" w:lineRule="exact" w:before="0" w:after="80"/>
        <w:ind w:firstLine="0"/>
        <w:jc w:val="left"/>
      </w:pPr>
      <w:r>
        <w:rPr>
          <w:rFonts w:ascii="Times New Roman" w:hAnsi="Times New Roman" w:eastAsia="方正仿宋_GBK"/>
          <w:b w:val="0"/>
          <w:sz w:val="21"/>
        </w:rPr>
        <w:t xml:space="preserve">[53] 宋钰, 郭玥, 王旭阳, 等. 分布式光伏接入配电网安全经济承载力评估[J]. 浙江电力, 2025, 44(11): 93-102.</w:t>
      </w:r>
    </w:p>
    <w:p>
      <w:pPr>
        <w:pStyle w:val="2"/>
        <w:widowControl/>
        <w:spacing w:line="320" w:lineRule="exact" w:before="0" w:after="80"/>
        <w:ind w:firstLine="0"/>
        <w:jc w:val="left"/>
      </w:pPr>
      <w:r>
        <w:rPr>
          <w:rFonts w:ascii="Times New Roman" w:hAnsi="Times New Roman" w:eastAsia="方正仿宋_GBK"/>
          <w:b w:val="0"/>
          <w:sz w:val="21"/>
        </w:rPr>
        <w:t xml:space="preserve">[54] 李敬如, 白宇, 王旭阳, 等. 考虑主配协同的分布式光伏接入电网安全经济承载力计算方法[J]. 电力建设, 2025, 46(10): 113-121.</w:t>
      </w:r>
    </w:p>
    <w:p>
      <w:pPr>
        <w:pStyle w:val="2"/>
        <w:widowControl/>
        <w:spacing w:line="320" w:lineRule="exact" w:before="0" w:after="80"/>
        <w:ind w:firstLine="0"/>
        <w:jc w:val="left"/>
      </w:pPr>
      <w:r>
        <w:rPr>
          <w:rFonts w:ascii="Times New Roman" w:hAnsi="Times New Roman" w:eastAsia="方正仿宋_GBK"/>
          <w:b w:val="0"/>
          <w:sz w:val="21"/>
        </w:rPr>
        <w:t xml:space="preserve">[55] 龚锐, 李华强, 许立雄. 面向配电网综合承载力提升的储能优化配置方法[J]. 电网技术, 2025, 49(9): 3860-3869.</w:t>
      </w:r>
    </w:p>
    <w:p>
      <w:pPr>
        <w:pStyle w:val="2"/>
        <w:widowControl/>
        <w:spacing w:line="320" w:lineRule="exact" w:before="0" w:after="80"/>
        <w:ind w:firstLine="0"/>
        <w:jc w:val="left"/>
      </w:pPr>
      <w:r>
        <w:rPr>
          <w:rFonts w:ascii="Times New Roman" w:hAnsi="Times New Roman" w:eastAsia="方正仿宋_GBK"/>
          <w:b w:val="0"/>
          <w:sz w:val="21"/>
        </w:rPr>
        <w:t xml:space="preserve">[56] 曹炜, 董浩洋, 李芸, 等. 分布式光伏高比例接入的国外经验及实践启示[J]. 电气传动, 2022, 52(4): 3-11.</w:t>
      </w:r>
    </w:p>
    <w:p>
      <w:pPr>
        <w:pStyle w:val="2"/>
        <w:widowControl/>
        <w:spacing w:line="320" w:lineRule="exact" w:before="0" w:after="80"/>
        <w:ind w:firstLine="0"/>
        <w:jc w:val="left"/>
      </w:pPr>
      <w:r>
        <w:rPr>
          <w:rFonts w:ascii="Times New Roman" w:hAnsi="Times New Roman" w:eastAsia="方正仿宋_GBK"/>
          <w:b w:val="0"/>
          <w:sz w:val="21"/>
        </w:rPr>
        <w:t xml:space="preserve">[57] 龚玺, 徐金阁, 路玮. 江苏电网电力负荷变化特征研究[J]. 电气工程, 2023, 11(3): 137-143.</w:t>
      </w:r>
    </w:p>
    <w:p>
      <w:pPr>
        <w:pStyle w:val="2"/>
        <w:widowControl/>
        <w:spacing w:line="320" w:lineRule="exact" w:before="0" w:after="80"/>
        <w:ind w:firstLine="0"/>
        <w:jc w:val="left"/>
      </w:pPr>
      <w:r>
        <w:rPr>
          <w:rFonts w:ascii="Times New Roman" w:hAnsi="Times New Roman" w:eastAsia="方正仿宋_GBK"/>
          <w:b w:val="0"/>
          <w:sz w:val="21"/>
        </w:rPr>
        <w:t xml:space="preserve">[58] 梁志峰, 康重庆, 隋凌峰, 等. 含高比例分布式光伏的主配网运行风险评估与防控策略研究[J]. 清华大学学报(自然科学版), 2024, 64(11): 1964-1978.</w:t>
      </w:r>
    </w:p>
    <w:p>
      <w:pPr>
        <w:pStyle w:val="2"/>
        <w:widowControl/>
        <w:spacing w:line="320" w:lineRule="exact" w:before="0" w:after="80"/>
        <w:ind w:firstLine="0"/>
        <w:jc w:val="left"/>
      </w:pPr>
      <w:r>
        <w:rPr>
          <w:rFonts w:ascii="Times New Roman" w:hAnsi="Times New Roman" w:eastAsia="方正仿宋_GBK"/>
          <w:b w:val="0"/>
          <w:sz w:val="21"/>
        </w:rPr>
        <w:t xml:space="preserve">[59] 吕达夫. 考虑源荷不确定性的分布式光伏承载能力评估[J]. 上海电力大学学报, 2024, 40(6): 579-586.</w:t>
      </w:r>
    </w:p>
    <w:p>
      <w:pPr>
        <w:pStyle w:val="2"/>
        <w:widowControl/>
        <w:spacing w:line="320" w:lineRule="exact" w:before="0" w:after="80"/>
        <w:ind w:firstLine="0"/>
        <w:jc w:val="left"/>
      </w:pPr>
      <w:r>
        <w:rPr>
          <w:rFonts w:ascii="Times New Roman" w:hAnsi="Times New Roman" w:eastAsia="方正仿宋_GBK"/>
          <w:b w:val="0"/>
          <w:sz w:val="21"/>
        </w:rPr>
        <w:t xml:space="preserve">[60] 刘克权, 汤文, 陈钊, 等. 新能源高占比下主配协同调度的挑战与提升策略[J]. 智能电网, 2026, 16(1): 7-15.</w:t>
      </w:r>
    </w:p>
    <w:p>
      <w:pPr>
        <w:pStyle w:val="2"/>
        <w:widowControl/>
        <w:spacing w:line="320" w:lineRule="exact" w:before="0" w:after="80"/>
        <w:ind w:firstLine="0"/>
        <w:jc w:val="left"/>
      </w:pPr>
      <w:r>
        <w:rPr>
          <w:rFonts w:ascii="Times New Roman" w:hAnsi="Times New Roman" w:eastAsia="方正仿宋_GBK"/>
          <w:b w:val="0"/>
          <w:sz w:val="21"/>
        </w:rPr>
        <w:t xml:space="preserve">[61] 栗峰, 等. 新型电力系统下分布式光伏规模化并网运行关键技术探讨[J]. 电网技术, 2024, 48(1): 184-196.</w:t>
      </w:r>
    </w:p>
    <w:p>
      <w:pPr>
        <w:pStyle w:val="2"/>
        <w:widowControl/>
        <w:spacing w:line="320" w:lineRule="exact" w:before="0" w:after="80"/>
        <w:ind w:firstLine="0"/>
        <w:jc w:val="left"/>
      </w:pPr>
      <w:r>
        <w:rPr>
          <w:rFonts w:ascii="Times New Roman" w:hAnsi="Times New Roman" w:eastAsia="方正仿宋_GBK"/>
          <w:b w:val="0"/>
          <w:sz w:val="21"/>
        </w:rPr>
        <w:t xml:space="preserve">[62] 刘洪波, 刘珅诚, 盖雪扬, 等. 高比例新能源接入的主动配电网规划综述[J]. 发电技术, 2024, 45(1): 151-161.</w:t>
      </w:r>
    </w:p>
    <w:p>
      <w:pPr>
        <w:pStyle w:val="2"/>
        <w:widowControl/>
        <w:spacing w:line="320" w:lineRule="exact" w:before="0" w:after="80"/>
        <w:ind w:firstLine="0"/>
        <w:jc w:val="left"/>
      </w:pPr>
      <w:r>
        <w:rPr>
          <w:rFonts w:ascii="Times New Roman" w:hAnsi="Times New Roman" w:eastAsia="方正仿宋_GBK"/>
          <w:b w:val="0"/>
          <w:sz w:val="21"/>
        </w:rPr>
        <w:t xml:space="preserve">[63] 黄海泉, 等. 新型配电网分布式储能系统方案及配置研究综述[J]. 南方能源建设, 2024, 11(4): 42-53.</w:t>
      </w:r>
    </w:p>
    <w:p>
      <w:pPr>
        <w:pStyle w:val="2"/>
        <w:widowControl/>
        <w:spacing w:line="320" w:lineRule="exact" w:before="0" w:after="80"/>
        <w:ind w:firstLine="0"/>
        <w:jc w:val="left"/>
      </w:pPr>
      <w:r>
        <w:rPr>
          <w:rFonts w:ascii="Times New Roman" w:hAnsi="Times New Roman" w:eastAsia="方正仿宋_GBK"/>
          <w:b w:val="0"/>
          <w:sz w:val="21"/>
        </w:rPr>
        <w:t xml:space="preserve">[64] 贺春光, 王林峰, 曹媛, 等. 考虑综合收益的多电压等级配电网柔性互联装置协同规划方法[J]. 中国电力, 2025, 58(1): 78-84.</w:t>
      </w:r>
    </w:p>
    <w:p>
      <w:pPr>
        <w:pStyle w:val="2"/>
        <w:widowControl/>
        <w:spacing w:line="320" w:lineRule="exact" w:before="0" w:after="80"/>
        <w:ind w:firstLine="0"/>
        <w:jc w:val="left"/>
      </w:pPr>
      <w:r>
        <w:rPr>
          <w:rFonts w:ascii="Times New Roman" w:hAnsi="Times New Roman" w:eastAsia="方正仿宋_GBK"/>
          <w:b w:val="0"/>
          <w:sz w:val="21"/>
        </w:rPr>
        <w:t xml:space="preserve">[65] 徐峰亮, 王克谦, 等. 计及运行灵活性的中压配电系统源-网-储协同扩展规划[J]. 中国电力, 2024, 57(7): 98-108.</w:t>
      </w:r>
    </w:p>
    <w:p>
      <w:pPr>
        <w:pStyle w:val="2"/>
        <w:widowControl/>
        <w:spacing w:line="320" w:lineRule="exact" w:before="0" w:after="80"/>
        <w:ind w:firstLine="0"/>
        <w:jc w:val="left"/>
      </w:pPr>
      <w:r>
        <w:rPr>
          <w:rFonts w:ascii="Times New Roman" w:hAnsi="Times New Roman" w:eastAsia="方正仿宋_GBK"/>
          <w:b w:val="0"/>
          <w:sz w:val="21"/>
        </w:rPr>
        <w:t xml:space="preserve">[66] 乐健, 王靖, 廖小兵, 等. 基于随机场景的配电网源网储协同规划方法[J]. 电力系统保护与控制, 2025, 53(4): 132-147.</w:t>
      </w:r>
    </w:p>
    <w:p>
      <w:pPr>
        <w:pStyle w:val="2"/>
        <w:widowControl/>
        <w:spacing w:line="320" w:lineRule="exact" w:before="0" w:after="80"/>
        <w:ind w:firstLine="0"/>
        <w:jc w:val="left"/>
      </w:pPr>
      <w:r>
        <w:rPr>
          <w:rFonts w:ascii="Times New Roman" w:hAnsi="Times New Roman" w:eastAsia="方正仿宋_GBK"/>
          <w:b w:val="0"/>
          <w:sz w:val="21"/>
        </w:rPr>
        <w:t xml:space="preserve">[67] 张全, 代贤忠, 韩新阳, 等. 基于全生命周期投入产出效益的电网规划精准投资方法[J]. 中国电力, 2018, 51(10): 171-177.</w:t>
      </w:r>
    </w:p>
    <w:p>
      <w:pPr>
        <w:pStyle w:val="2"/>
        <w:widowControl/>
        <w:spacing w:line="320" w:lineRule="exact" w:before="0" w:after="80"/>
        <w:ind w:firstLine="0"/>
        <w:jc w:val="left"/>
      </w:pPr>
      <w:r>
        <w:rPr>
          <w:rFonts w:ascii="Times New Roman" w:hAnsi="Times New Roman" w:eastAsia="方正仿宋_GBK"/>
          <w:b w:val="0"/>
          <w:sz w:val="21"/>
        </w:rPr>
        <w:t xml:space="preserve">[68] 何凯, 王剑晓, 王佳伟, 等. 基于全成本电价的电网规划方案评估与优选[J]. 中国电力, 2020, 53(3): 66-75.</w:t>
      </w:r>
    </w:p>
    <w:p>
      <w:pPr>
        <w:pStyle w:val="2"/>
        <w:widowControl/>
        <w:spacing w:line="320" w:lineRule="exact" w:before="0" w:after="80"/>
        <w:ind w:firstLine="0"/>
        <w:jc w:val="left"/>
      </w:pPr>
      <w:r>
        <w:rPr>
          <w:rFonts w:ascii="Times New Roman" w:hAnsi="Times New Roman" w:eastAsia="方正仿宋_GBK"/>
          <w:b w:val="0"/>
          <w:sz w:val="21"/>
        </w:rPr>
        <w:t xml:space="preserve">[69] 武小琳, 栾凌, 潘连武, 等. 基于LM-CNN的输变电工程造价自动计算模型[J]. 中国电力, 2023, 56(2): 157-163.</w:t>
      </w:r>
    </w:p>
    <w:p>
      <w:pPr>
        <w:pStyle w:val="2"/>
        <w:widowControl/>
        <w:spacing w:line="320" w:lineRule="exact" w:before="0" w:after="80"/>
        <w:ind w:firstLine="0"/>
        <w:jc w:val="left"/>
      </w:pPr>
      <w:r>
        <w:rPr>
          <w:rFonts w:ascii="Times New Roman" w:hAnsi="Times New Roman" w:eastAsia="方正仿宋_GBK"/>
          <w:b w:val="0"/>
          <w:sz w:val="21"/>
        </w:rPr>
        <w:t xml:space="preserve">[70] 黄碧斌, 李琼慧, 高菲. 计及电网改造的高渗透率分布式光伏优化规划[J]. 电力建设, 2015, 36(10): 82-87.</w:t>
      </w:r>
    </w:p>
    <w:p>
      <w:pPr>
        <w:pStyle w:val="2"/>
        <w:widowControl/>
        <w:spacing w:line="320" w:lineRule="exact" w:before="0" w:after="80"/>
        <w:ind w:firstLine="0"/>
        <w:jc w:val="left"/>
      </w:pPr>
      <w:r>
        <w:rPr>
          <w:rFonts w:ascii="Times New Roman" w:hAnsi="Times New Roman" w:eastAsia="方正仿宋_GBK"/>
          <w:b w:val="0"/>
          <w:sz w:val="21"/>
        </w:rPr>
        <w:t xml:space="preserve">[71] 汪志才, 蔡晔, 谭玉东, 等. 考虑功能差异的输变电项目效益评价及投资优化方法[J]. 中国电力, 2019, 52(11): 175-184.</w:t>
      </w:r>
    </w:p>
    <w:p>
      <w:pPr>
        <w:pStyle w:val="2"/>
        <w:widowControl/>
        <w:spacing w:line="320" w:lineRule="exact" w:before="0" w:after="80"/>
        <w:ind w:firstLine="0"/>
        <w:jc w:val="left"/>
      </w:pPr>
      <w:r>
        <w:rPr>
          <w:rFonts w:ascii="Times New Roman" w:hAnsi="Times New Roman" w:eastAsia="方正仿宋_GBK"/>
          <w:b w:val="0"/>
          <w:sz w:val="21"/>
        </w:rPr>
        <w:t xml:space="preserve">[72] 严小玉. 考虑光伏电源接入影响的兴国县配电网规划[D]. 南昌: 南昌大学, 2016.</w:t>
      </w:r>
    </w:p>
    <w:p>
      <w:pPr>
        <w:pStyle w:val="2"/>
        <w:widowControl/>
        <w:spacing w:line="320" w:lineRule="exact" w:before="0" w:after="80"/>
        <w:ind w:firstLine="0"/>
        <w:jc w:val="left"/>
      </w:pPr>
      <w:r>
        <w:rPr>
          <w:rFonts w:ascii="Times New Roman" w:hAnsi="Times New Roman" w:eastAsia="方正仿宋_GBK"/>
          <w:b w:val="0"/>
          <w:sz w:val="21"/>
        </w:rPr>
        <w:t xml:space="preserve">[73]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 DOI: 10.12677/jee.2022.103016.</w:t>
      </w:r>
    </w:p>
    <w:p>
      <w:pPr>
        <w:pStyle w:val="2"/>
        <w:widowControl/>
        <w:spacing w:line="320" w:lineRule="exact" w:before="0" w:after="80"/>
        <w:ind w:firstLine="0"/>
        <w:jc w:val="left"/>
      </w:pPr>
      <w:r>
        <w:rPr>
          <w:rFonts w:ascii="Times New Roman" w:hAnsi="Times New Roman" w:eastAsia="方正仿宋_GBK"/>
          <w:b w:val="0"/>
          <w:sz w:val="21"/>
        </w:rPr>
        <w:t xml:space="preserve">[74] 陈璨, 白明辉, 张婉明, 等. 分布式光伏边界渗透率快速定位及消纳方案择优[J]. 中国电力, 2022, 55(8): 40-50.</w:t>
      </w:r>
    </w:p>
    <w:p>
      <w:pPr>
        <w:pStyle w:val="2"/>
        <w:widowControl/>
        <w:spacing w:line="320" w:lineRule="exact" w:before="0" w:after="80"/>
        <w:ind w:firstLine="0"/>
        <w:jc w:val="left"/>
      </w:pPr>
      <w:r>
        <w:rPr>
          <w:rFonts w:ascii="Times New Roman" w:hAnsi="Times New Roman" w:eastAsia="方正仿宋_GBK"/>
          <w:b w:val="0"/>
          <w:sz w:val="21"/>
        </w:rPr>
        <w:t xml:space="preserve">[75] 孙东磊, 孙毅, 刘蕊, 等. 计及多层级配电网的分布式新能源最大消纳空间分解测算[J]. 中国电力, 2024, 57(8): 108-116.</w:t>
      </w:r>
    </w:p>
    <w:p>
      <w:pPr>
        <w:pStyle w:val="2"/>
        <w:widowControl/>
        <w:spacing w:line="320" w:lineRule="exact" w:before="0" w:after="80"/>
        <w:ind w:firstLine="0"/>
        <w:jc w:val="left"/>
      </w:pPr>
      <w:r>
        <w:rPr>
          <w:rFonts w:ascii="Times New Roman" w:hAnsi="Times New Roman" w:eastAsia="方正仿宋_GBK"/>
          <w:b w:val="0"/>
          <w:sz w:val="21"/>
        </w:rPr>
        <w:t xml:space="preserve">[76] 金勇, 刘俊勇, 张曦, 等. 基于功能单元的高压配电网负荷转供分层优化模型[J]. 工程科学与技术, 2017, 49(3): 179-190.</w:t>
      </w:r>
    </w:p>
    <w:p>
      <w:pPr>
        <w:pStyle w:val="2"/>
        <w:widowControl/>
        <w:spacing w:line="320" w:lineRule="exact" w:before="0" w:after="80"/>
        <w:ind w:firstLine="0"/>
        <w:jc w:val="left"/>
      </w:pPr>
      <w:r>
        <w:rPr>
          <w:rFonts w:ascii="Times New Roman" w:hAnsi="Times New Roman" w:eastAsia="方正仿宋_GBK"/>
          <w:b w:val="0"/>
          <w:sz w:val="21"/>
        </w:rPr>
        <w:t xml:space="preserve">[77] ZHAO F, XUE L, ZHU J, et al. A novel investment strategy for renewable-dominated power distribution networks[J]. Frontiers in Energy Research, 2023, 10: 968944.</w:t>
      </w:r>
    </w:p>
    <w:p>
      <w:pPr>
        <w:pStyle w:val="2"/>
        <w:widowControl/>
        <w:spacing w:line="320" w:lineRule="exact" w:before="0" w:after="80"/>
        <w:ind w:firstLine="0"/>
        <w:jc w:val="left"/>
      </w:pPr>
      <w:r>
        <w:rPr>
          <w:rFonts w:ascii="Times New Roman" w:hAnsi="Times New Roman" w:eastAsia="方正仿宋_GBK"/>
          <w:b w:val="0"/>
          <w:sz w:val="21"/>
        </w:rPr>
        <w:t xml:space="preserve">[78] 娄奇鹤, 李彦斌, 赵宇尘, 等. 适应极端事件的配电网弹性规划和投资策略研究综述[J]. 电力建设, 2024, 45(5): 37-47.</w:t>
      </w:r>
    </w:p>
    <w:p>
      <w:pPr>
        <w:pStyle w:val="2"/>
        <w:widowControl/>
        <w:spacing w:line="320" w:lineRule="exact"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320" w:lineRule="exact"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320" w:lineRule="exact"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320" w:lineRule="exact"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320" w:lineRule="exact"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320" w:lineRule="exact" w:before="0" w:after="80"/>
        <w:ind w:firstLine="0"/>
        <w:jc w:val="left"/>
      </w:pPr>
      <w:r>
        <w:rPr>
          <w:rFonts w:ascii="Times New Roman" w:hAnsi="Times New Roman" w:eastAsia="方正仿宋_GBK"/>
          <w:b w:val="0"/>
          <w:sz w:val="21"/>
        </w:rPr>
        <w:t xml:space="preserve">[85] 国网江苏省电力有限公司徐州供电分公司. 徐州110 kV输变电建设改造工程建设规模及投资估算资料[Z]. 项目工程资料, 年份未注明.</w:t>
      </w:r>
    </w:p>
    <w:p>
      <w:pPr>
        <w:pStyle w:val="2"/>
        <w:widowControl/>
        <w:spacing w:line="320" w:lineRule="exact" w:before="0" w:after="80"/>
        <w:ind w:firstLine="0"/>
        <w:jc w:val="left"/>
      </w:pPr>
      <w:r>
        <w:rPr>
          <w:rFonts w:ascii="Times New Roman" w:hAnsi="Times New Roman" w:eastAsia="方正仿宋_GBK"/>
          <w:b w:val="0"/>
          <w:sz w:val="21"/>
        </w:rPr>
        <w:t xml:space="preserve">[86] 浏阳经济技术开发区管理委员会. 浏阳经开区南园污水处理厂1MW/2.2MWh用户侧储能项目中标结果公告[EB/OL]. (2024-08-15)[2026-10-02].</w:t>
      </w:r>
    </w:p>
    <w:p>
      <w:pPr>
        <w:pStyle w:val="2"/>
        <w:widowControl/>
        <w:spacing w:line="320" w:lineRule="exact" w:before="0" w:after="80"/>
        <w:ind w:firstLine="0"/>
        <w:jc w:val="left"/>
      </w:pPr>
      <w:r>
        <w:rPr>
          <w:rFonts w:ascii="Times New Roman" w:hAnsi="Times New Roman" w:eastAsia="方正仿宋_GBK"/>
          <w:b w:val="0"/>
          <w:sz w:val="21"/>
        </w:rPr>
        <w:t xml:space="preserve">[87] 华容县人民政府. 华容县配电网规划报告[EB/OL]. 2020. 表7-1. https://www.huarong.gov.cn/33157/64140/64170/content_1874487.html.</w:t>
      </w:r>
    </w:p>
    <w:p>
      <w:pPr>
        <w:pStyle w:val="2"/>
        <w:widowControl/>
        <w:spacing w:line="320" w:lineRule="exact" w:before="0" w:after="80"/>
        <w:ind w:firstLine="0"/>
        <w:jc w:val="left"/>
      </w:pPr>
      <w:r>
        <w:rPr>
          <w:rFonts w:ascii="Times New Roman" w:hAnsi="Times New Roman" w:eastAsia="方正仿宋_GBK"/>
          <w:b w:val="0"/>
          <w:sz w:val="21"/>
        </w:rPr>
        <w:t xml:space="preserve">[88] 徐州10 kV线路迁改项目招标公告[EB/OL]. 2025. https://ggzy.zwb.xz.gov.cn/jyxx/003009/003009001/20250903/8c7d2dd2-dcab-4abf-827f-d0f5774799d3.html.</w:t>
      </w:r>
    </w:p>
    <w:p>
      <w:pPr>
        <w:pStyle w:val="2"/>
        <w:widowControl/>
        <w:spacing w:line="320" w:lineRule="exact" w:before="0" w:after="80"/>
        <w:ind w:firstLine="0"/>
        <w:jc w:val="left"/>
      </w:pPr>
      <w:r>
        <w:rPr>
          <w:rFonts w:ascii="Times New Roman" w:hAnsi="Times New Roman" w:eastAsia="方正仿宋_GBK"/>
          <w:b w:val="0"/>
          <w:sz w:val="21"/>
        </w:rPr>
        <w:t xml:space="preserve">[89] 苏州禾瑞新能源发展有限公司. 苏州欣科导轨（二期）399.555KW屋顶分布式光伏及储能电站项目招标公告[EB/OL]. (2025-03-25)[2026-10-02]. 苏州市公共资源交易平台.</w:t>
      </w:r>
    </w:p>
    <w:p>
      <w:pPr>
        <w:pStyle w:val="2"/>
        <w:widowControl/>
        <w:spacing w:line="320" w:lineRule="exact" w:before="0" w:after="80"/>
        <w:ind w:firstLine="0"/>
        <w:jc w:val="left"/>
      </w:pPr>
      <w:r>
        <w:rPr>
          <w:rFonts w:ascii="Times New Roman" w:hAnsi="Times New Roman" w:eastAsia="方正仿宋_GBK"/>
          <w:b w:val="0"/>
          <w:sz w:val="21"/>
        </w:rPr>
        <w:t xml:space="preserve">[90] 江苏省人民政府办公厅. 关于转发省发展改革委江苏省光伏发电推进意见的通知：苏政办发〔2009〕85号[EB/OL]. (2009-06-19)[2026-10-06]. https://www.jiangsu.gov.cn/art/2009/9/15/art_46882_2681290.html.</w:t>
      </w:r>
    </w:p>
    <w:p>
      <w:pPr>
        <w:pStyle w:val="2"/>
        <w:widowControl/>
        <w:spacing w:line="320" w:lineRule="exact" w:before="0" w:after="80"/>
        <w:ind w:firstLine="0"/>
        <w:jc w:val="left"/>
      </w:pPr>
      <w:r>
        <w:rPr>
          <w:rFonts w:ascii="Times New Roman" w:hAnsi="Times New Roman" w:eastAsia="方正仿宋_GBK"/>
          <w:b w:val="0"/>
          <w:sz w:val="21"/>
        </w:rPr>
        <w:t xml:space="preserve">[91] 徐州地铁集团有限公司. 徐州地铁分布式光伏发电首期项目可研及设计全过程服务项目招标公告：0675-220JOC010007[EB/OL]. (2022-02-17)[2026-10-06]. https://ggzy.zwb.xz.gov.cn/jyxx/003009/003009001/20220217/f98ec421-7088-4256-b7c3-4f242176f576.html.</w:t>
      </w:r>
    </w:p>
    <w:p>
      <w:pPr>
        <w:pStyle w:val="2"/>
        <w:widowControl/>
        <w:spacing w:line="320" w:lineRule="exact" w:before="0" w:after="80"/>
        <w:ind w:firstLine="0"/>
        <w:jc w:val="left"/>
      </w:pPr>
      <w:r>
        <w:rPr>
          <w:rFonts w:ascii="Times New Roman" w:hAnsi="Times New Roman" w:eastAsia="方正仿宋_GBK"/>
          <w:b w:val="0"/>
          <w:sz w:val="21"/>
        </w:rPr>
        <w:t xml:space="preserve">[92] 江苏省发展和改革委员会. 关于印发《江苏省分布式光伏发展实施方案（2026—2030年）》的通知：苏发改能源发〔2026〕695号[EB/OL]. (2026-07-21)[2026-10-06]. https://fzggw.jiangsu.gov.cn/art/2026/7/29/art_84097_11809969.html.</w:t>
      </w:r>
    </w:p>
    <w:p>
      <w:pPr>
        <w:pStyle w:val="2"/>
        <w:widowControl/>
        <w:spacing w:line="320" w:lineRule="exact" w:before="0" w:after="80"/>
        <w:ind w:firstLine="0"/>
        <w:jc w:val="left"/>
      </w:pPr>
      <w:r>
        <w:rPr>
          <w:rFonts w:ascii="Times New Roman" w:hAnsi="Times New Roman" w:eastAsia="方正仿宋_GBK"/>
          <w:b w:val="0"/>
          <w:sz w:val="21"/>
        </w:rPr>
        <w:t xml:space="preserve">[93] 李阳彤, 王主丁, 陈琳, 等. 基于变电站容量概率规划的分布式电源可信度和有源配电网容载比计算分析[J]. 电网技术, 2026, 50(2): 619-628. DOI: 10.13335/j.1000-3673.pst.2024.1440.</w:t>
      </w:r>
    </w:p>
    <w:p>
      <w:pPr>
        <w:pStyle w:val="2"/>
        <w:widowControl/>
        <w:spacing w:line="320" w:lineRule="exact" w:before="0" w:after="80"/>
        <w:ind w:firstLine="0"/>
        <w:jc w:val="left"/>
      </w:pPr>
      <w:r>
        <w:rPr>
          <w:rFonts w:ascii="Times New Roman" w:hAnsi="Times New Roman" w:eastAsia="方正仿宋_GBK"/>
          <w:b w:val="0"/>
          <w:sz w:val="21"/>
        </w:rPr>
        <w:t xml:space="preserve">[94] National Institute of Standards and Technology. Dataplot Reference Manual: Correlation[EB/OL]. (1997-03-18)[2026-10-07]. https://www.itl.nist.gov/div898/software/dataplot/refman2/ch2/correlat.pdf.</w:t>
      </w:r>
    </w:p>
    <w:p>
      <w:pPr>
        <w:pStyle w:val="2"/>
        <w:widowControl/>
        <w:spacing w:line="320" w:lineRule="exact" w:before="0" w:after="80"/>
        <w:ind w:firstLine="0"/>
        <w:jc w:val="left"/>
      </w:pPr>
      <w:r>
        <w:rPr>
          <w:rFonts w:ascii="Times New Roman" w:hAnsi="Times New Roman" w:eastAsia="方正仿宋_GBK"/>
          <w:b w:val="0"/>
          <w:sz w:val="21"/>
        </w:rPr>
        <w:t xml:space="preserve">[95] National Institute of Standards and Technology. Dataplot: Rank Correlation Independence Test[EB/OL]. [2026-10-07]. https://www.itl.nist.gov/div898/software/dataplot/refman1/auxillar/rankcorr.htm.</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Cambria Math"/>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pacing w:line="348" w:lineRule="exact" w:before="0" w:after="0"/>
      <w:ind w:firstLineChars="200" w:firstLine="480"/>
      <w:jc w:val="both"/>
      <w:snapToGrid w:val="0"/>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snapToGrid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snapToGrid w:val="0"/>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snapToGrid w:val="0"/>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snapToGrid w:val="0"/>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snapToGrid w:val="0"/>
    </w:pPr>
    <w:rPr>
      <w:b/>
      <w:bCs/>
      <w:szCs w:val="28"/>
    </w:rPr>
  </w:style>
  <w:style w:type="paragraph" w:styleId="9">
    <w:name w:val="heading 6"/>
    <w:basedOn w:val="1"/>
    <w:next w:val="1"/>
    <w:link w:val="41"/>
    <w:semiHidden/>
    <w:unhideWhenUsed/>
    <w:qFormat/>
    <w:uiPriority w:val="9"/>
    <w:pPr>
      <w:keepNext/>
      <w:keepLines/>
      <w:adjustRightInd/>
      <w:spacing w:before="240" w:after="64" w:line="319" w:lineRule="auto"/>
      <w:outlineLvl w:val="5"/>
      <w:snapToGrid w:val="0"/>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snapToGrid w:val="0"/>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snapToGrid w:val="0"/>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snapToGrid w:val="0"/>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48" w:lineRule="exact" w:before="0"/>
      <w:ind w:firstLine="480"/>
      <w:snapToGrid w:val="0"/>
    </w:pPr>
    <w:rPr>
      <w:rFonts w:ascii="Times New Roman" w:hAnsi="Times New Roman" w:eastAsia="方正仿宋_GBK"/>
      <w:b w:val="0"/>
      <w:sz w:val="24"/>
    </w:rPr>
  </w:style>
  <w:style w:type="paragraph" w:customStyle="1" w:styleId="6">
    <w:name w:val="正文 缩进"/>
    <w:basedOn w:val="1"/>
    <w:qFormat/>
    <w:uiPriority w:val="99"/>
    <w:pPr>
      <w:snapToGrid w:val="0"/>
    </w:pPr>
  </w:style>
  <w:style w:type="paragraph" w:styleId="13">
    <w:name w:val="caption"/>
    <w:next w:val="1"/>
    <w:semiHidden/>
    <w:unhideWhenUsed/>
    <w:qFormat/>
    <w:uiPriority w:val="35"/>
    <w:pPr>
      <w:jc w:val="center"/>
      <w:snapToGrid w:val="0"/>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val="0"/>
    </w:pPr>
    <w:rPr>
      <w:rFonts w:ascii="宋体" w:eastAsia="宋体" w:hAnsiTheme="minorHAnsi"/>
      <w:sz w:val="18"/>
      <w:szCs w:val="18"/>
    </w:rPr>
  </w:style>
  <w:style w:type="paragraph" w:styleId="15">
    <w:name w:val="annotation text"/>
    <w:basedOn w:val="1"/>
    <w:link w:val="113"/>
    <w:semiHidden/>
    <w:unhideWhenUsed/>
    <w:uiPriority w:val="99"/>
    <w:pPr>
      <w:jc w:val="left"/>
      <w:snapToGrid w:val="0"/>
    </w:pPr>
  </w:style>
  <w:style w:type="paragraph" w:styleId="16">
    <w:name w:val="toc 3"/>
    <w:basedOn w:val="1"/>
    <w:next w:val="1"/>
    <w:autoRedefine/>
    <w:semiHidden/>
    <w:unhideWhenUsed/>
    <w:qFormat/>
    <w:uiPriority w:val="39"/>
    <w:pPr>
      <w:ind w:left="840" w:leftChars="400"/>
      <w:snapToGrid w:val="0"/>
    </w:pPr>
  </w:style>
  <w:style w:type="paragraph" w:styleId="17">
    <w:name w:val="Date"/>
    <w:basedOn w:val="1"/>
    <w:next w:val="1"/>
    <w:link w:val="48"/>
    <w:semiHidden/>
    <w:unhideWhenUsed/>
    <w:qFormat/>
    <w:uiPriority w:val="99"/>
    <w:pPr>
      <w:ind w:left="100" w:leftChars="2500"/>
      <w:snapToGrid w:val="0"/>
    </w:pPr>
  </w:style>
  <w:style w:type="paragraph" w:styleId="18">
    <w:name w:val="Balloon Text"/>
    <w:basedOn w:val="1"/>
    <w:link w:val="50"/>
    <w:semiHidden/>
    <w:unhideWhenUsed/>
    <w:qFormat/>
    <w:uiPriority w:val="99"/>
    <w:pPr>
      <w:snapToGrid w:val="0"/>
    </w:pPr>
    <w:rPr>
      <w:sz w:val="18"/>
      <w:szCs w:val="18"/>
    </w:rPr>
  </w:style>
  <w:style w:type="paragraph" w:styleId="19">
    <w:name w:val="footer"/>
    <w:basedOn w:val="1"/>
    <w:link w:val="47"/>
    <w:unhideWhenUsed/>
    <w:qFormat/>
    <w:uiPriority w:val="99"/>
    <w:pPr>
      <w:tabs>
        <w:tab w:val="center" w:pos="4153"/>
        <w:tab w:val="right" w:pos="8306"/>
      </w:tabs>
      <w:spacing w:line="240" w:lineRule="atLeast"/>
      <w:jc w:val="left"/>
      <w:snapToGrid w:val="0"/>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snapToGrid w:val="0"/>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snapToGrid w:val="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snapToGrid w:val="0"/>
    </w:pPr>
  </w:style>
  <w:style w:type="paragraph" w:styleId="23">
    <w:name w:val="Normal (Web)"/>
    <w:basedOn w:val="1"/>
    <w:semiHidden/>
    <w:unhideWhenUsed/>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styleId="24">
    <w:name w:val="annotation subject"/>
    <w:basedOn w:val="15"/>
    <w:next w:val="15"/>
    <w:link w:val="114"/>
    <w:semiHidden/>
    <w:unhideWhenUsed/>
    <w:uiPriority w:val="99"/>
    <w:pPr>
      <w:snapToGrid w:val="0"/>
    </w:pPr>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snapToGrid w:val="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snapToGrid w:val="0"/>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snapToGrid w:val="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snapToGrid w:val="0"/>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snapToGrid w:val="0"/>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ind w:firstLine="420"/>
      <w:snapToGrid w:val="0"/>
    </w:pPr>
    <w:rPr>
      <w:rFonts w:ascii="Calibri" w:hAnsi="Calibri" w:eastAsia="宋体" w:cs="Times New Roman"/>
      <w:sz w:val="21"/>
      <w:szCs w:val="24"/>
    </w:rPr>
  </w:style>
  <w:style w:type="paragraph" w:customStyle="1" w:styleId="58">
    <w:name w:val="正文段落"/>
    <w:basedOn w:val="1"/>
    <w:qFormat/>
    <w:uiPriority w:val="99"/>
    <w:pPr>
      <w:adjustRightInd/>
      <w:snapToGrid w:val="0"/>
    </w:pPr>
    <w:rPr>
      <w:rFonts w:cs="Times New Roman"/>
      <w:szCs w:val="20"/>
    </w:rPr>
  </w:style>
  <w:style w:type="paragraph" w:customStyle="1" w:styleId="59">
    <w:name w:val="普通(网站)1"/>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60">
    <w:name w:val="p0"/>
    <w:basedOn w:val="1"/>
    <w:qFormat/>
    <w:uiPriority w:val="99"/>
    <w:pPr>
      <w:widowControl/>
      <w:adjustRightInd/>
      <w:snapToGrid w:val="0"/>
    </w:pPr>
    <w:rPr>
      <w:rFonts w:eastAsia="宋体" w:cs="Times New Roman"/>
      <w:kern w:val="0"/>
      <w:sz w:val="21"/>
      <w:szCs w:val="20"/>
    </w:rPr>
  </w:style>
  <w:style w:type="paragraph" w:customStyle="1" w:styleId="61">
    <w:name w:val="xl102"/>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2">
    <w:name w:val="xl103"/>
    <w:basedOn w:val="1"/>
    <w:qFormat/>
    <w:uiPriority w:val="99"/>
    <w:pPr>
      <w:widowControl/>
      <w:adjustRightInd/>
      <w:spacing w:before="100" w:beforeAutospacing="1" w:after="100" w:afterAutospacing="1"/>
      <w:jc w:val="center"/>
      <w:snapToGrid w:val="0"/>
    </w:pPr>
    <w:rPr>
      <w:rFonts w:ascii="黑体" w:hAnsi="黑体" w:eastAsia="黑体" w:cs="宋体"/>
      <w:color w:val="000000"/>
      <w:kern w:val="0"/>
      <w:szCs w:val="24"/>
    </w:rPr>
  </w:style>
  <w:style w:type="paragraph" w:customStyle="1" w:styleId="63">
    <w:name w:val="xl104"/>
    <w:basedOn w:val="1"/>
    <w:qFormat/>
    <w:uiPriority w:val="99"/>
    <w:pPr>
      <w:widowControl/>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pacing w:before="100" w:beforeAutospacing="1" w:after="100" w:afterAutospacing="1"/>
      <w:jc w:val="center"/>
      <w:snapToGrid w:val="0"/>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center"/>
      <w:snapToGrid w:val="0"/>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pacing w:before="100" w:beforeAutospacing="1" w:after="100" w:afterAutospacing="1"/>
      <w:jc w:val="left"/>
      <w:snapToGrid w:val="0"/>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left"/>
      <w:snapToGrid w:val="0"/>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pacing w:before="100" w:beforeAutospacing="1" w:after="100" w:afterAutospacing="1"/>
      <w:jc w:val="center"/>
      <w:snapToGrid w:val="0"/>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pacing w:before="100" w:beforeAutospacing="1" w:after="100" w:afterAutospacing="1"/>
      <w:jc w:val="center"/>
      <w:snapToGrid w:val="0"/>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kern w:val="0"/>
      <w:szCs w:val="24"/>
    </w:rPr>
  </w:style>
  <w:style w:type="paragraph" w:customStyle="1" w:styleId="94">
    <w:name w:val="xl72"/>
    <w:basedOn w:val="1"/>
    <w:qFormat/>
    <w:uiPriority w:val="99"/>
    <w:pPr>
      <w:widowControl/>
      <w:adjustRightInd/>
      <w:spacing w:before="100" w:beforeAutospacing="1" w:after="100" w:afterAutospacing="1"/>
      <w:jc w:val="left"/>
      <w:snapToGrid w:val="0"/>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pacing w:before="100" w:beforeAutospacing="1" w:after="100" w:afterAutospacing="1"/>
      <w:jc w:val="left"/>
      <w:snapToGrid w:val="0"/>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pacing w:before="100" w:beforeAutospacing="1" w:after="100" w:afterAutospacing="1"/>
      <w:jc w:val="center"/>
      <w:snapToGrid w:val="0"/>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snapToGrid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ind w:firstLine="420"/>
      <w:snapToGrid w:val="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FirstParagraph">
    <w:name w:val="First Paragraph"/>
    <w:basedOn w:val="1"/>
    <w:pPr>
      <w:spacing w:line="348" w:lineRule="exact" w:before="0" w:after="0"/>
      <w:ind w:firstLine="480"/>
      <w:snapToGrid w:val="0"/>
    </w:pPr>
    <w:rPr>
      <w:rFonts w:ascii="Times New Roman" w:hAnsi="Times New Roman" w:eastAsia="方正仿宋_GBK"/>
      <w:b w:val="0"/>
      <w:sz w:val="24"/>
    </w:rPr>
  </w:style>
  <w:style w:type="paragraph" w:customStyle="1" w:styleId="Compact">
    <w:name w:val="Compact"/>
    <w:basedOn w:val="1"/>
    <w:pPr>
      <w:spacing w:line="348" w:lineRule="exact" w:before="0" w:after="0"/>
      <w:ind w:firstLine="480"/>
      <w:snapToGrid w:val="0"/>
    </w:pPr>
    <w:rPr>
      <w:rFonts w:ascii="Times New Roman" w:hAnsi="Times New Roman" w:eastAsia="方正仿宋_GBK"/>
      <w:b w:val="0"/>
      <w:sz w:val="24"/>
    </w:rPr>
  </w:style>
  <w:style w:type="paragraph" w:customStyle="1" w:styleId="SourceCode">
    <w:name w:val="Source Code"/>
    <w:basedOn w:val="Normal"/>
    <w:link w:val="VerbatimChar"/>
    <w:pPr>
      <w:wordWrap w:val="off"/>
      <w:snapToGrid w:val="0"/>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91" Type="http://schemas.openxmlformats.org/officeDocument/2006/relationships/image" Target="media/rId191.png"/><Relationship Id="rId98" Type="http://schemas.openxmlformats.org/officeDocument/2006/relationships/image" Target="media/rId98.png"/><Relationship Id="rId111" Type="http://schemas.openxmlformats.org/officeDocument/2006/relationships/image" Target="media/rId111.png"/><Relationship Id="rId123" Type="http://schemas.openxmlformats.org/officeDocument/2006/relationships/image" Target="media/rId123.png"/><Relationship Id="rId132" Type="http://schemas.openxmlformats.org/officeDocument/2006/relationships/image" Target="media/rId132.png"/><Relationship Id="rId114" Type="http://schemas.openxmlformats.org/officeDocument/2006/relationships/image" Target="media/rId114.png"/><Relationship Id="rId193" Type="http://schemas.openxmlformats.org/officeDocument/2006/relationships/image" Target="media/rId193.png"/><Relationship Id="rId109" Type="http://schemas.openxmlformats.org/officeDocument/2006/relationships/image" Target="media/rId109.png"/><Relationship Id="rId194" Type="http://schemas.openxmlformats.org/officeDocument/2006/relationships/image" Target="media/rId194.png"/><Relationship Id="rId130" Type="http://schemas.openxmlformats.org/officeDocument/2006/relationships/image" Target="media/rId130.png"/><Relationship Id="rId113" Type="http://schemas.openxmlformats.org/officeDocument/2006/relationships/image" Target="media/rId113.png"/><Relationship Id="rId253" Type="http://schemas.openxmlformats.org/officeDocument/2006/relationships/image" Target="media/rId253.png"/><Relationship Id="rId103" Type="http://schemas.openxmlformats.org/officeDocument/2006/relationships/image" Target="media/rId103.png"/><Relationship Id="rId159" Type="http://schemas.openxmlformats.org/officeDocument/2006/relationships/image" Target="media/rId159.png"/><Relationship Id="rId42" Type="http://schemas.openxmlformats.org/officeDocument/2006/relationships/image" Target="media/rId4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139</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2026-10-11T06:44:16Z</dcterms:created>
  <dcterms:modified xsi:type="dcterms:W3CDTF">2026-10-11T06:44:16Z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