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pPr>
      <w:bookmarkStart w:id="0" w:name="_Toc26065"/>
      <w:bookmarkStart w:id="1" w:name="OLE_LINK1"/>
      <w:r>
        <w:rPr>
          <w:rFonts w:hint="eastAsia" w:ascii="方正小标宋_GBK" w:hAnsi="宋体" w:eastAsia="方正小标宋_GBK" w:cs="Times New Roman"/>
          <w:sz w:val="44"/>
          <w:szCs w:val="44"/>
          <w:highlight w:val="none"/>
          <w14:ligatures w14:val="standardContextual"/>
        </w:rPr>
        <w:t>绿电进园区需求分析与服务策略</w:t>
      </w:r>
      <w:bookmarkEnd w:id="0"/>
    </w:p>
    <w:p>
      <w:pPr>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pPr>
      <w:r>
        <w:rPr>
          <w:rFonts w:hint="eastAsia" w:ascii="方正楷体_GBK" w:hAnsi="方正楷体_GBK" w:eastAsia="方正楷体_GBK" w:cs="方正楷体_GBK"/>
          <w:b/>
          <w:bCs/>
          <w:sz w:val="32"/>
          <w:szCs w:val="32"/>
          <w:highlight w:val="none"/>
          <w:lang w:val="en-US" w:eastAsia="zh-CN"/>
          <w14:ligatures w14:val="none"/>
        </w:rPr>
        <w:t>（供稿单位：常州公司、经研院）</w:t>
      </w:r>
    </w:p>
    <w:p>
      <w:pPr>
        <w:pStyle w:val="2"/>
        <w:rPr>
          <w:rFonts w:hint="eastAsia"/>
          <w:highlight w:val="none"/>
        </w:rPr>
      </w:pPr>
    </w:p>
    <w:bookmarkEnd w:id="1"/>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bookmarkStart w:id="2" w:name="_Hlk201777470"/>
      <w:bookmarkStart w:id="3" w:name="OLE_LINK3"/>
      <w:r>
        <w:rPr>
          <w:rFonts w:hint="eastAsia" w:ascii="方正仿宋_GBK" w:hAnsi="方正仿宋_GBK" w:eastAsia="方正仿宋_GBK" w:cs="Times New Roman"/>
          <w:sz w:val="32"/>
          <w:szCs w:val="32"/>
          <w:highlight w:val="none"/>
          <w14:ligatures w14:val="standardContextual"/>
        </w:rPr>
        <w:t>在“双碳”目标与全球能源转型的背景下，江苏省积极推进绿电“三进”工程，着力提升绿电交易和消纳水平。常州作为全国重要的新能源产业基地，动力电池、光伏等产业集群规模庞大，</w:t>
      </w:r>
      <w:r>
        <w:rPr>
          <w:rFonts w:hint="eastAsia" w:ascii="方正仿宋_GBK" w:hAnsi="方正仿宋_GBK" w:eastAsia="方正仿宋_GBK" w:cs="Times New Roman"/>
          <w:sz w:val="32"/>
          <w:szCs w:val="32"/>
          <w:highlight w:val="none"/>
          <w:lang w:val="en-US" w:eastAsia="zh-CN"/>
          <w14:ligatures w14:val="standardContextual"/>
        </w:rPr>
        <w:t>受现有电网结构与绿电项目衔接不足、成本疏导机制不健全、绿电溯源体系不完善</w:t>
      </w:r>
      <w:r>
        <w:rPr>
          <w:rFonts w:hint="eastAsia" w:ascii="方正仿宋_GBK" w:hAnsi="方正仿宋_GBK" w:eastAsia="方正仿宋_GBK" w:cs="Times New Roman"/>
          <w:sz w:val="32"/>
          <w:szCs w:val="32"/>
          <w:highlight w:val="none"/>
          <w14:ligatures w14:val="standardContextual"/>
        </w:rPr>
        <w:t>等因素制约，</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lang w:val="en-US" w:eastAsia="zh-CN"/>
          <w14:ligatures w14:val="standardContextual"/>
        </w:rPr>
        <w:t>绿电进园区”项目难以高效推进，</w:t>
      </w:r>
      <w:r>
        <w:rPr>
          <w:rFonts w:hint="eastAsia" w:ascii="方正仿宋_GBK" w:hAnsi="方正仿宋_GBK" w:eastAsia="方正仿宋_GBK" w:cs="Times New Roman"/>
          <w:sz w:val="32"/>
          <w:szCs w:val="32"/>
          <w:highlight w:val="none"/>
          <w14:ligatures w14:val="standardContextual"/>
        </w:rPr>
        <w:t>产业绿色转型面临挑战</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lang w:val="en-US" w:eastAsia="zh-CN"/>
          <w14:ligatures w14:val="standardContextual"/>
        </w:rPr>
        <w:t>亟需开展绿电供应与消纳机制多层次、系统性的规划和研究，</w:t>
      </w:r>
      <w:r>
        <w:rPr>
          <w:rFonts w:hint="eastAsia" w:ascii="方正仿宋_GBK" w:hAnsi="方正仿宋_GBK" w:eastAsia="方正仿宋_GBK" w:cs="Times New Roman"/>
          <w:sz w:val="32"/>
          <w:szCs w:val="32"/>
          <w:highlight w:val="none"/>
          <w14:ligatures w14:val="standardContextual"/>
        </w:rPr>
        <w:t>助力常州新能源产业应对国际竞争，实现低碳高质量发展。</w:t>
      </w:r>
    </w:p>
    <w:p>
      <w:pPr>
        <w:adjustRightInd w:val="0"/>
        <w:snapToGrid w:val="0"/>
        <w:spacing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pPr>
      <w:bookmarkStart w:id="4" w:name="OLE_LINK16"/>
      <w:r>
        <w:rPr>
          <w:rFonts w:hint="eastAsia" w:ascii="方正黑体_GBK" w:hAnsi="方正黑体_GBK" w:eastAsia="方正黑体_GBK" w:cs="方正黑体_GBK"/>
          <w:b/>
          <w:bCs/>
          <w:sz w:val="36"/>
          <w:szCs w:val="36"/>
          <w:highlight w:val="none"/>
          <w14:ligatures w14:val="standardContextual"/>
        </w:rPr>
        <w:t>一、现状形势分析</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bookmarkStart w:id="5" w:name="OLE_LINK2"/>
      <w:r>
        <w:rPr>
          <w:rFonts w:hint="eastAsia" w:ascii="方正楷体_GBK" w:hAnsi="方正楷体_GBK" w:eastAsia="方正楷体_GBK" w:cs="方正楷体_GBK"/>
          <w:b/>
          <w:bCs/>
          <w:sz w:val="32"/>
          <w:szCs w:val="32"/>
          <w:highlight w:val="none"/>
        </w:rPr>
        <w:t>（一）常州推进绿电进园区核心优势</w:t>
      </w:r>
    </w:p>
    <w:p>
      <w:pPr>
        <w:adjustRightInd w:val="0"/>
        <w:snapToGrid w:val="0"/>
        <w:spacing w:line="560" w:lineRule="exact"/>
        <w:ind w:firstLine="640" w:firstLineChars="200"/>
        <w:rPr>
          <w:rFonts w:hint="eastAsia" w:ascii="方正仿宋_GBK" w:hAnsi="方正仿宋_GBK" w:eastAsia="方正仿宋_GBK"/>
          <w:sz w:val="32"/>
          <w:szCs w:val="32"/>
          <w:highlight w:val="none"/>
        </w:rPr>
      </w:pPr>
      <w:r>
        <w:rPr>
          <w:rFonts w:hint="eastAsia" w:ascii="方正仿宋_GBK" w:hAnsi="方正仿宋_GBK" w:eastAsia="方正仿宋_GBK"/>
          <w:sz w:val="32"/>
          <w:szCs w:val="32"/>
          <w:highlight w:val="none"/>
        </w:rPr>
        <w:t>江苏省积极响应国家战略部署，大力推进绿电“三进”工程实施，明确到2027年，绿电就近接入园区的电网输配消纳能力新增约1000万千瓦。</w:t>
      </w:r>
    </w:p>
    <w:p>
      <w:pPr>
        <w:adjustRightInd w:val="0"/>
        <w:snapToGrid w:val="0"/>
        <w:spacing w:line="560" w:lineRule="exact"/>
        <w:ind w:firstLine="640" w:firstLineChars="200"/>
        <w:outlineLvl w:val="9"/>
        <w:rPr>
          <w:rFonts w:hint="eastAsia" w:ascii="方正楷体_GBK" w:hAnsi="方正楷体_GBK" w:eastAsia="方正楷体_GBK" w:cs="方正楷体_GBK"/>
          <w:b/>
          <w:bCs/>
          <w:sz w:val="32"/>
          <w:szCs w:val="32"/>
          <w:highlight w:val="none"/>
          <w:lang w:val="en-US" w:eastAsia="zh-CN"/>
        </w:rPr>
      </w:pPr>
      <w:r>
        <w:rPr>
          <w:rFonts w:hint="eastAsia" w:ascii="方正仿宋_GBK" w:hAnsi="方正仿宋_GBK" w:eastAsia="方正仿宋_GBK"/>
          <w:sz w:val="32"/>
          <w:szCs w:val="32"/>
          <w:highlight w:val="none"/>
        </w:rPr>
        <w:t>作为长三角重要制造业基地，常州外向型经济突出，新能源汽车、动力电池等产业集群对绿电需求迫切，需通过绿电进园区提升绿色竞争力，应对国际贸易绿色壁垒，</w:t>
      </w:r>
      <w:r>
        <w:rPr>
          <w:rFonts w:hint="eastAsia" w:ascii="方正仿宋_GBK" w:hAnsi="方正仿宋_GBK" w:eastAsia="方正仿宋_GBK"/>
          <w:sz w:val="32"/>
          <w:szCs w:val="32"/>
          <w:highlight w:val="none"/>
          <w:lang w:val="en-US" w:eastAsia="zh-CN"/>
        </w:rPr>
        <w:t>常州在推进绿电“三进”工程、精准匹配重点产业绿电需求的实践过程中，</w:t>
      </w:r>
      <w:r>
        <w:rPr>
          <w:rFonts w:hint="eastAsia" w:ascii="方正楷体_GBK" w:hAnsi="方正楷体_GBK" w:eastAsia="方正楷体_GBK" w:cs="方正楷体_GBK"/>
          <w:b/>
          <w:bCs/>
          <w:sz w:val="32"/>
          <w:szCs w:val="32"/>
          <w:highlight w:val="none"/>
          <w:lang w:val="en-US" w:eastAsia="zh-CN"/>
        </w:rPr>
        <w:t>核心优势集中体现为三方面：</w:t>
      </w:r>
    </w:p>
    <w:p>
      <w:pPr>
        <w:adjustRightInd w:val="0"/>
        <w:snapToGrid w:val="0"/>
        <w:spacing w:line="560" w:lineRule="exact"/>
        <w:ind w:firstLine="643" w:firstLineChars="200"/>
        <w:outlineLvl w:val="9"/>
        <w:rPr>
          <w:rFonts w:hint="default" w:ascii="方正仿宋_GBK" w:hAnsi="方正仿宋_GBK" w:eastAsia="方正仿宋_GBK"/>
          <w:sz w:val="32"/>
          <w:szCs w:val="32"/>
          <w:highlight w:val="none"/>
          <w:lang w:val="en-US" w:eastAsia="zh-CN"/>
        </w:rPr>
      </w:pPr>
      <w:r>
        <w:rPr>
          <w:rFonts w:hint="eastAsia" w:ascii="方正楷体_GBK" w:hAnsi="方正楷体_GBK" w:eastAsia="方正楷体_GBK" w:cs="方正楷体_GBK"/>
          <w:b/>
          <w:bCs/>
          <w:sz w:val="32"/>
          <w:szCs w:val="32"/>
          <w:highlight w:val="none"/>
          <w:lang w:val="en-US" w:eastAsia="zh-CN"/>
        </w:rPr>
        <w:t>一是政策机制先行。</w:t>
      </w:r>
      <w:r>
        <w:rPr>
          <w:rFonts w:hint="eastAsia" w:ascii="方正仿宋_GBK" w:hAnsi="方正仿宋_GBK" w:eastAsia="方正仿宋_GBK"/>
          <w:sz w:val="32"/>
          <w:szCs w:val="32"/>
          <w:highlight w:val="none"/>
        </w:rPr>
        <w:t>作为国家第二批碳达峰试点城市，常州率先探索绿电应用新模式</w:t>
      </w:r>
      <w:r>
        <w:rPr>
          <w:rFonts w:hint="eastAsia" w:ascii="方正仿宋_GBK" w:hAnsi="方正仿宋_GBK" w:eastAsia="方正仿宋_GBK"/>
          <w:sz w:val="32"/>
          <w:szCs w:val="32"/>
          <w:highlight w:val="none"/>
          <w:lang w:eastAsia="zh-CN"/>
        </w:rPr>
        <w:t>，</w:t>
      </w:r>
      <w:r>
        <w:rPr>
          <w:rFonts w:hint="eastAsia" w:ascii="方正仿宋_GBK" w:hAnsi="方正仿宋_GBK" w:eastAsia="方正仿宋_GBK"/>
          <w:sz w:val="32"/>
          <w:szCs w:val="32"/>
          <w:highlight w:val="none"/>
        </w:rPr>
        <w:t>印发《常州市近零碳园区和近零碳工厂建设推进三年行动方案（2024—2026）》《常州市促进绿色电力消费实施细则（试行）》等文件，鼓励绿电园区、绿电工厂试点建设，支持企业获取可再生能源绿色电力证书、参与碳排放权交易，建立</w:t>
      </w:r>
      <w:r>
        <w:rPr>
          <w:rFonts w:hint="eastAsia" w:ascii="方正仿宋_GBK" w:hAnsi="方正仿宋_GBK" w:eastAsia="方正仿宋_GBK"/>
          <w:sz w:val="32"/>
          <w:szCs w:val="32"/>
          <w:highlight w:val="none"/>
          <w:lang w:val="en-US" w:eastAsia="zh-CN"/>
        </w:rPr>
        <w:t>了</w:t>
      </w:r>
      <w:r>
        <w:rPr>
          <w:rFonts w:hint="eastAsia" w:ascii="方正仿宋_GBK" w:hAnsi="方正仿宋_GBK" w:eastAsia="方正仿宋_GBK"/>
          <w:sz w:val="32"/>
          <w:szCs w:val="32"/>
          <w:highlight w:val="none"/>
        </w:rPr>
        <w:t>补助至运行奖励的全周期激励机制。对近零碳试点单位给予最高100万元建设支持，运行阶段按绿电交易环境价值费用50%给予奖励（单个企业年最高10万元），同步配套简化审批、绿色信贷贴息等保障措施。</w:t>
      </w:r>
      <w:r>
        <w:rPr>
          <w:rFonts w:hint="eastAsia" w:ascii="方正楷体_GBK" w:hAnsi="方正楷体_GBK" w:eastAsia="方正楷体_GBK" w:cs="方正楷体_GBK"/>
          <w:b/>
          <w:bCs/>
          <w:sz w:val="32"/>
          <w:szCs w:val="32"/>
          <w:highlight w:val="none"/>
          <w:lang w:val="en-US" w:eastAsia="zh-CN"/>
        </w:rPr>
        <w:t>二是产业基础雄厚。</w:t>
      </w:r>
      <w:r>
        <w:rPr>
          <w:rFonts w:hint="eastAsia" w:ascii="方正仿宋_GBK" w:hAnsi="方正仿宋_GBK" w:eastAsia="方正仿宋_GBK"/>
          <w:sz w:val="32"/>
          <w:szCs w:val="32"/>
          <w:highlight w:val="none"/>
          <w:lang w:val="en-US" w:eastAsia="zh-CN"/>
        </w:rPr>
        <w:t>2024年新能源产业规模突破8500亿元，形成从光伏组件制造、储能技术应用到新能源汽车及动力电池终端的完整产业链，产业集聚效应拓展绿电消纳空间。常州动力电池产销量占全国20%，全球每10辆新能源汽车中1辆搭载“常州造”电池，时代新能源、中创新航、蜂巢能源等企业均为欧洲动力电池市场主要供应商。欧盟碳边境调节机制（CBAM）以及新电池法实施，倒逼企业降碳，催生爆发式绿电需求。</w:t>
      </w:r>
      <w:r>
        <w:rPr>
          <w:rFonts w:hint="eastAsia" w:ascii="方正楷体_GBK" w:hAnsi="方正楷体_GBK" w:eastAsia="方正楷体_GBK" w:cs="方正楷体_GBK"/>
          <w:b/>
          <w:bCs/>
          <w:sz w:val="32"/>
          <w:szCs w:val="32"/>
          <w:highlight w:val="none"/>
          <w:lang w:val="en-US" w:eastAsia="zh-CN"/>
        </w:rPr>
        <w:t>三是服务体系完善，</w:t>
      </w:r>
      <w:r>
        <w:rPr>
          <w:rFonts w:hint="eastAsia" w:ascii="方正仿宋_GBK" w:hAnsi="方正仿宋_GBK" w:eastAsia="方正仿宋_GBK"/>
          <w:sz w:val="32"/>
          <w:szCs w:val="32"/>
          <w:highlight w:val="none"/>
          <w:lang w:val="en-US" w:eastAsia="zh-CN"/>
        </w:rPr>
        <w:t>常州公司在全省率先实现绿电绿证服务站（点）市县全覆盖，推出“6+X”专项服务，衔接绿色用电与绿电、绿证交易，引导重点区域、重点企业提升绿电消费比重。2025年以来，常州公司联合市发改委优化绿电直连供电技术规范及交易条件，完成江苏时代“绿电直连”项目接入系统方案编制与可行性研究，同步开展试点园区绿电接网消纳规划研究，依托公共电网构建园区高比例绿电供应体系，打造清洁低碳、安全充裕、经济高效、供需协同、灵活智能的绿电园区“常州经验”。</w:t>
      </w:r>
    </w:p>
    <w:bookmarkEnd w:id="5"/>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lang w:val="en-US" w:eastAsia="zh-CN"/>
        </w:rPr>
      </w:pPr>
      <w:bookmarkStart w:id="6" w:name="_Hlk205216437"/>
      <w:r>
        <w:rPr>
          <w:rFonts w:hint="eastAsia" w:ascii="方正楷体_GBK" w:hAnsi="方正楷体_GBK" w:eastAsia="方正楷体_GBK" w:cs="方正楷体_GBK"/>
          <w:b/>
          <w:bCs/>
          <w:sz w:val="32"/>
          <w:szCs w:val="32"/>
          <w:highlight w:val="none"/>
        </w:rPr>
        <w:t>（二）常州绿电进园区落地实践</w:t>
      </w:r>
      <w:r>
        <w:rPr>
          <w:rFonts w:hint="eastAsia" w:ascii="方正楷体_GBK" w:hAnsi="方正楷体_GBK" w:eastAsia="方正楷体_GBK" w:cs="方正楷体_GBK"/>
          <w:b/>
          <w:bCs/>
          <w:sz w:val="32"/>
          <w:szCs w:val="32"/>
          <w:highlight w:val="none"/>
          <w:lang w:val="en-US" w:eastAsia="zh-CN"/>
        </w:rPr>
        <w:t>探索</w:t>
      </w:r>
    </w:p>
    <w:p>
      <w:pPr>
        <w:adjustRightInd w:val="0"/>
        <w:snapToGrid w:val="0"/>
        <w:spacing w:line="560" w:lineRule="exact"/>
        <w:ind w:firstLine="640" w:firstLineChars="200"/>
        <w:rPr>
          <w:rFonts w:hint="eastAsia" w:ascii="方正仿宋_GBK" w:hAnsi="方正仿宋_GBK" w:eastAsia="方正仿宋_GBK"/>
          <w:sz w:val="32"/>
          <w:szCs w:val="32"/>
          <w:highlight w:val="none"/>
          <w:lang w:val="en-US" w:eastAsia="zh-CN"/>
        </w:rPr>
      </w:pPr>
      <w:bookmarkStart w:id="7" w:name="OLE_LINK8"/>
      <w:r>
        <w:rPr>
          <w:rFonts w:hint="eastAsia" w:ascii="方正仿宋_GBK" w:hAnsi="方正仿宋_GBK" w:eastAsia="方正仿宋_GBK"/>
          <w:sz w:val="32"/>
          <w:szCs w:val="32"/>
          <w:highlight w:val="none"/>
          <w:lang w:val="en-US" w:eastAsia="zh-CN"/>
        </w:rPr>
        <w:t>江苏省绿电“三进”工程明确</w:t>
      </w:r>
      <w:r>
        <w:rPr>
          <w:rFonts w:hint="eastAsia" w:ascii="方正楷体_GBK" w:hAnsi="方正楷体_GBK" w:eastAsia="方正楷体_GBK" w:cs="方正楷体_GBK"/>
          <w:b/>
          <w:bCs/>
          <w:sz w:val="32"/>
          <w:szCs w:val="32"/>
          <w:highlight w:val="none"/>
          <w:lang w:val="en-US" w:eastAsia="zh-CN"/>
        </w:rPr>
        <w:t>“率先沿海布局、加快苏南应用、逐步全省推广”</w:t>
      </w:r>
      <w:r>
        <w:rPr>
          <w:rFonts w:hint="eastAsia" w:ascii="方正仿宋_GBK" w:hAnsi="方正仿宋_GBK" w:eastAsia="方正仿宋_GBK"/>
          <w:sz w:val="32"/>
          <w:szCs w:val="32"/>
          <w:highlight w:val="none"/>
          <w:lang w:val="en-US" w:eastAsia="zh-CN"/>
        </w:rPr>
        <w:t>三步走战略，其中</w:t>
      </w:r>
      <w:r>
        <w:rPr>
          <w:rFonts w:hint="eastAsia" w:ascii="方正仿宋_GBK" w:hAnsi="方正仿宋_GBK" w:eastAsia="方正仿宋_GBK" w:cstheme="minorBidi"/>
          <w:b w:val="0"/>
          <w:bCs w:val="0"/>
          <w:sz w:val="32"/>
          <w:szCs w:val="32"/>
          <w:highlight w:val="none"/>
          <w:lang w:val="en-US" w:eastAsia="zh-CN"/>
        </w:rPr>
        <w:t>“加快苏南应用”</w:t>
      </w:r>
      <w:r>
        <w:rPr>
          <w:rFonts w:hint="eastAsia" w:ascii="方正仿宋_GBK" w:hAnsi="方正仿宋_GBK" w:eastAsia="方正仿宋_GBK"/>
          <w:sz w:val="32"/>
          <w:szCs w:val="32"/>
          <w:highlight w:val="none"/>
          <w:lang w:val="en-US" w:eastAsia="zh-CN"/>
        </w:rPr>
        <w:t>要求</w:t>
      </w:r>
      <w:r>
        <w:rPr>
          <w:rFonts w:hint="eastAsia" w:ascii="方正楷体_GBK" w:hAnsi="方正楷体_GBK" w:eastAsia="方正楷体_GBK" w:cs="方正楷体_GBK"/>
          <w:b/>
          <w:bCs/>
          <w:sz w:val="32"/>
          <w:szCs w:val="32"/>
          <w:highlight w:val="none"/>
          <w:lang w:val="en-US" w:eastAsia="zh-CN"/>
        </w:rPr>
        <w:t>苏南各设区市推荐1个外向型特征明显、具备绿电高效利用条件的试点园区，</w:t>
      </w:r>
      <w:r>
        <w:rPr>
          <w:rFonts w:hint="eastAsia" w:ascii="方正仿宋_GBK" w:hAnsi="方正仿宋_GBK" w:eastAsia="方正仿宋_GBK"/>
          <w:sz w:val="32"/>
          <w:szCs w:val="32"/>
          <w:highlight w:val="none"/>
          <w:lang w:val="en-US" w:eastAsia="zh-CN"/>
        </w:rPr>
        <w:t>开展新型电力系统发展方案研究。</w:t>
      </w:r>
    </w:p>
    <w:p>
      <w:pPr>
        <w:adjustRightInd w:val="0"/>
        <w:snapToGrid w:val="0"/>
        <w:spacing w:line="560" w:lineRule="exact"/>
        <w:ind w:firstLine="640" w:firstLineChars="200"/>
        <w:rPr>
          <w:rFonts w:hint="eastAsia" w:ascii="方正仿宋_GBK" w:hAnsi="方正仿宋_GBK" w:eastAsia="方正仿宋_GBK"/>
          <w:sz w:val="32"/>
          <w:szCs w:val="32"/>
          <w:highlight w:val="none"/>
          <w:lang w:val="en-US" w:eastAsia="zh-CN"/>
        </w:rPr>
      </w:pPr>
      <w:r>
        <w:rPr>
          <w:rFonts w:hint="eastAsia" w:ascii="方正仿宋_GBK" w:hAnsi="方正仿宋_GBK" w:eastAsia="方正仿宋_GBK"/>
          <w:sz w:val="32"/>
          <w:szCs w:val="32"/>
          <w:highlight w:val="none"/>
          <w:lang w:val="en-US" w:eastAsia="zh-CN"/>
        </w:rPr>
        <w:t>常州选定武进高新区先行试点，开展“绿电进园区”接网工程规划研究，该园区优势显著：</w:t>
      </w:r>
      <w:r>
        <w:rPr>
          <w:rFonts w:hint="eastAsia" w:ascii="方正楷体_GBK" w:hAnsi="方正楷体_GBK" w:eastAsia="方正楷体_GBK" w:cs="方正楷体_GBK"/>
          <w:b/>
          <w:bCs/>
          <w:sz w:val="32"/>
          <w:szCs w:val="32"/>
          <w:highlight w:val="none"/>
          <w:lang w:val="en-US" w:eastAsia="zh-CN"/>
        </w:rPr>
        <w:t>一是产业基础坚实稳固。</w:t>
      </w:r>
      <w:r>
        <w:rPr>
          <w:rFonts w:hint="eastAsia" w:ascii="方正仿宋_GBK" w:hAnsi="方正仿宋_GBK" w:eastAsia="方正仿宋_GBK"/>
          <w:sz w:val="32"/>
          <w:szCs w:val="32"/>
          <w:highlight w:val="none"/>
          <w:lang w:val="en-US" w:eastAsia="zh-CN"/>
        </w:rPr>
        <w:t>园区汇聚新能源产业链上下游企业，含数百家外向型企业及理想汽车常州智能智造基地等十余家重点企业。常州公司联合武进高新区政府，对园区年用电量超50万千瓦时的58家典型企业开展绿电需求调研，结果显示：有绿电需求的企业共18家，总绿电需求负荷约88.95兆瓦，总需求量约1.87亿千瓦时。</w:t>
      </w:r>
      <w:r>
        <w:rPr>
          <w:rFonts w:hint="eastAsia" w:ascii="方正楷体_GBK" w:hAnsi="方正楷体_GBK" w:eastAsia="方正楷体_GBK" w:cs="方正楷体_GBK"/>
          <w:b/>
          <w:bCs/>
          <w:sz w:val="32"/>
          <w:szCs w:val="32"/>
          <w:highlight w:val="none"/>
          <w:lang w:val="en-US" w:eastAsia="zh-CN"/>
        </w:rPr>
        <w:t>二是周边新能源资源丰富。</w:t>
      </w:r>
      <w:r>
        <w:rPr>
          <w:rFonts w:hint="eastAsia" w:ascii="方正仿宋_GBK" w:hAnsi="方正仿宋_GBK" w:eastAsia="方正仿宋_GBK"/>
          <w:sz w:val="32"/>
          <w:szCs w:val="32"/>
          <w:highlight w:val="none"/>
          <w:lang w:val="en-US" w:eastAsia="zh-CN"/>
        </w:rPr>
        <w:t>园区及周边现有新能源电源总装机324.89兆瓦，包括风电30兆瓦、集中式光伏70兆瓦、全额上网分布式光伏43.49兆瓦、自发自用分布式光伏171.4兆瓦及储能10兆瓦。</w:t>
      </w:r>
      <w:r>
        <w:rPr>
          <w:rFonts w:hint="eastAsia" w:ascii="方正楷体_GBK" w:hAnsi="方正楷体_GBK" w:eastAsia="方正楷体_GBK" w:cs="方正楷体_GBK"/>
          <w:b/>
          <w:bCs/>
          <w:sz w:val="32"/>
          <w:szCs w:val="32"/>
          <w:highlight w:val="none"/>
          <w:lang w:val="en-US" w:eastAsia="zh-CN"/>
        </w:rPr>
        <w:t>三是电网资源有足够余量。</w:t>
      </w:r>
      <w:r>
        <w:rPr>
          <w:rFonts w:hint="eastAsia" w:ascii="方正仿宋_GBK" w:hAnsi="方正仿宋_GBK" w:eastAsia="方正仿宋_GBK"/>
          <w:sz w:val="32"/>
          <w:szCs w:val="32"/>
          <w:highlight w:val="none"/>
          <w:lang w:val="en-US" w:eastAsia="zh-CN"/>
        </w:rPr>
        <w:t>园区及周边布局11座公用变电站，其中500千伏1座、220千伏3座、110千伏6座、35千伏1座），总变电容量4946.5兆伏安，110千伏及以下主变容量686.5兆伏安。在网架结构方面，220千伏间隔剩余8个、110千伏间隔剩余7个、35千伏出线间隔剩余8个，可满足绿电接入需求。</w:t>
      </w:r>
    </w:p>
    <w:bookmarkEnd w:id="4"/>
    <w:bookmarkEnd w:id="6"/>
    <w:bookmarkEnd w:id="7"/>
    <w:p>
      <w:pPr>
        <w:adjustRightInd w:val="0"/>
        <w:snapToGrid w:val="0"/>
        <w:spacing w:line="560" w:lineRule="exact"/>
        <w:ind w:firstLine="643" w:firstLineChars="200"/>
        <w:outlineLvl w:val="1"/>
        <w:rPr>
          <w:rFonts w:hint="default" w:ascii="方正楷体_GBK" w:hAnsi="方正楷体_GBK" w:eastAsia="方正楷体_GBK" w:cs="方正楷体_GBK"/>
          <w:b/>
          <w:bCs/>
          <w:sz w:val="32"/>
          <w:szCs w:val="32"/>
          <w:highlight w:val="none"/>
          <w:lang w:val="en-US" w:eastAsia="zh-CN"/>
        </w:rPr>
      </w:pPr>
      <w:r>
        <w:rPr>
          <w:rFonts w:hint="eastAsia" w:ascii="方正楷体_GBK" w:hAnsi="方正楷体_GBK" w:eastAsia="方正楷体_GBK" w:cs="方正楷体_GBK"/>
          <w:b/>
          <w:bCs/>
          <w:sz w:val="32"/>
          <w:szCs w:val="32"/>
          <w:highlight w:val="none"/>
        </w:rPr>
        <w:t>（</w:t>
      </w:r>
      <w:r>
        <w:rPr>
          <w:rFonts w:hint="eastAsia" w:ascii="方正楷体_GBK" w:hAnsi="方正楷体_GBK" w:eastAsia="方正楷体_GBK" w:cs="方正楷体_GBK"/>
          <w:b/>
          <w:bCs/>
          <w:sz w:val="32"/>
          <w:szCs w:val="32"/>
          <w:highlight w:val="none"/>
          <w:lang w:val="en-US" w:eastAsia="zh-CN"/>
        </w:rPr>
        <w:t>三</w:t>
      </w:r>
      <w:r>
        <w:rPr>
          <w:rFonts w:hint="eastAsia" w:ascii="方正楷体_GBK" w:hAnsi="方正楷体_GBK" w:eastAsia="方正楷体_GBK" w:cs="方正楷体_GBK"/>
          <w:b/>
          <w:bCs/>
          <w:sz w:val="32"/>
          <w:szCs w:val="32"/>
          <w:highlight w:val="none"/>
        </w:rPr>
        <w:t>）</w:t>
      </w:r>
      <w:r>
        <w:rPr>
          <w:rFonts w:hint="eastAsia" w:ascii="方正楷体_GBK" w:hAnsi="方正楷体_GBK" w:eastAsia="方正楷体_GBK" w:cs="方正楷体_GBK"/>
          <w:b/>
          <w:bCs/>
          <w:sz w:val="32"/>
          <w:szCs w:val="32"/>
          <w:highlight w:val="none"/>
          <w:lang w:val="en-US" w:eastAsia="zh-CN"/>
        </w:rPr>
        <w:t>常州武高新园区企业</w:t>
      </w:r>
      <w:r>
        <w:rPr>
          <w:rFonts w:hint="eastAsia" w:ascii="方正楷体_GBK" w:hAnsi="方正楷体_GBK" w:eastAsia="方正楷体_GBK" w:cs="方正楷体_GBK"/>
          <w:b/>
          <w:bCs/>
          <w:sz w:val="32"/>
          <w:szCs w:val="32"/>
          <w:highlight w:val="none"/>
          <w:lang w:eastAsia="zh-CN"/>
        </w:rPr>
        <w:t>“</w:t>
      </w:r>
      <w:r>
        <w:rPr>
          <w:rFonts w:hint="eastAsia" w:ascii="方正楷体_GBK" w:hAnsi="方正楷体_GBK" w:eastAsia="方正楷体_GBK" w:cs="方正楷体_GBK"/>
          <w:b/>
          <w:bCs/>
          <w:sz w:val="32"/>
          <w:szCs w:val="32"/>
          <w:highlight w:val="none"/>
          <w:lang w:val="en-US" w:eastAsia="zh-CN"/>
        </w:rPr>
        <w:t>绿电直连”和“绿电接网”实施路径对比</w:t>
      </w:r>
    </w:p>
    <w:p>
      <w:pPr>
        <w:adjustRightInd w:val="0"/>
        <w:snapToGrid w:val="0"/>
        <w:spacing w:line="560" w:lineRule="exact"/>
        <w:ind w:firstLine="640" w:firstLineChars="200"/>
        <w:outlineLvl w:val="9"/>
        <w:rPr>
          <w:rFonts w:hint="eastAsia" w:ascii="方正仿宋_GBK" w:hAnsi="方正仿宋_GBK" w:eastAsia="方正仿宋_GBK" w:cstheme="minorBidi"/>
          <w:b w:val="0"/>
          <w:bCs w:val="0"/>
          <w:sz w:val="32"/>
          <w:szCs w:val="32"/>
          <w:highlight w:val="none"/>
          <w:lang w:val="en-US" w:eastAsia="zh-CN"/>
        </w:rPr>
      </w:pPr>
      <w:r>
        <w:rPr>
          <w:rFonts w:hint="eastAsia" w:ascii="方正仿宋_GBK" w:hAnsi="方正仿宋_GBK" w:eastAsia="方正仿宋_GBK"/>
          <w:sz w:val="32"/>
          <w:szCs w:val="32"/>
          <w:highlight w:val="none"/>
          <w:lang w:val="en-US" w:eastAsia="zh-CN"/>
        </w:rPr>
        <w:t>常州企业绿电需求聚焦两大场景：一是生产降碳以满足绿色供应链标准；二是应对欧盟碳关税以完成产品碳足迹认证。绿电“三进”工程催生“绿电接网”模式，与“直连”模式形成互补。</w:t>
      </w:r>
      <w:r>
        <w:rPr>
          <w:rFonts w:hint="eastAsia" w:ascii="方正仿宋_GBK" w:hAnsi="方正仿宋_GBK" w:eastAsia="方正仿宋_GBK" w:cstheme="minorBidi"/>
          <w:b w:val="0"/>
          <w:bCs w:val="0"/>
          <w:sz w:val="32"/>
          <w:szCs w:val="32"/>
          <w:highlight w:val="none"/>
          <w:lang w:val="en-US" w:eastAsia="zh-CN"/>
        </w:rPr>
        <w:t>为精准匹配不同企业的绿电获取需求，以下从</w:t>
      </w:r>
      <w:r>
        <w:rPr>
          <w:rFonts w:hint="eastAsia" w:ascii="方正楷体_GBK" w:hAnsi="方正楷体_GBK" w:eastAsia="方正楷体_GBK" w:cs="方正楷体_GBK"/>
          <w:b/>
          <w:bCs/>
          <w:sz w:val="32"/>
          <w:szCs w:val="32"/>
          <w:highlight w:val="none"/>
          <w:lang w:val="en-US" w:eastAsia="zh-CN"/>
        </w:rPr>
        <w:t>实施路径、技术经济性及适用场景</w:t>
      </w:r>
      <w:r>
        <w:rPr>
          <w:rFonts w:hint="eastAsia" w:ascii="方正仿宋_GBK" w:hAnsi="方正仿宋_GBK" w:eastAsia="方正仿宋_GBK" w:cstheme="minorBidi"/>
          <w:b w:val="0"/>
          <w:bCs w:val="0"/>
          <w:sz w:val="32"/>
          <w:szCs w:val="32"/>
          <w:highlight w:val="none"/>
          <w:lang w:val="en-US" w:eastAsia="zh-CN"/>
        </w:rPr>
        <w:t>三个维度，对两种模式展开对比分析。</w:t>
      </w:r>
    </w:p>
    <w:p>
      <w:pPr>
        <w:adjustRightInd w:val="0"/>
        <w:snapToGrid w:val="0"/>
        <w:spacing w:line="560" w:lineRule="exact"/>
        <w:ind w:firstLine="643" w:firstLineChars="200"/>
        <w:outlineLvl w:val="1"/>
        <w:rPr>
          <w:rFonts w:hint="eastAsia" w:ascii="方正仿宋_GBK" w:hAnsi="方正仿宋_GBK" w:eastAsia="方正仿宋_GBK"/>
          <w:sz w:val="32"/>
          <w:szCs w:val="32"/>
          <w:highlight w:val="none"/>
          <w:lang w:val="en-US" w:eastAsia="zh-CN"/>
        </w:rPr>
      </w:pPr>
      <w:r>
        <w:rPr>
          <w:rFonts w:hint="eastAsia" w:ascii="方正楷体_GBK" w:hAnsi="方正楷体_GBK" w:eastAsia="方正楷体_GBK" w:cs="方正楷体_GBK"/>
          <w:b/>
          <w:bCs/>
          <w:sz w:val="32"/>
          <w:szCs w:val="32"/>
          <w:highlight w:val="none"/>
          <w:lang w:val="en-US" w:eastAsia="zh-CN"/>
        </w:rPr>
        <w:t>在实施路径方面，“绿电直连”</w:t>
      </w:r>
      <w:r>
        <w:rPr>
          <w:rFonts w:hint="eastAsia" w:ascii="方正仿宋_GBK" w:hAnsi="方正仿宋_GBK" w:eastAsia="方正仿宋_GBK" w:cstheme="minorBidi"/>
          <w:b w:val="0"/>
          <w:bCs w:val="0"/>
          <w:sz w:val="32"/>
          <w:szCs w:val="32"/>
          <w:highlight w:val="none"/>
          <w:lang w:val="en-US" w:eastAsia="zh-CN"/>
        </w:rPr>
        <w:t>通过建设专线实现新能源电源与企业电力直供，形成物理定向供应关系，构建“电源—企业”点对点传输闭环，保障绿电溯源确定性与供应稳定性。</w:t>
      </w:r>
      <w:r>
        <w:rPr>
          <w:rFonts w:hint="eastAsia" w:ascii="方正楷体_GBK" w:hAnsi="方正楷体_GBK" w:eastAsia="方正楷体_GBK" w:cs="方正楷体_GBK"/>
          <w:b/>
          <w:bCs/>
          <w:sz w:val="32"/>
          <w:szCs w:val="32"/>
          <w:highlight w:val="none"/>
          <w:lang w:val="en-US" w:eastAsia="zh-CN"/>
        </w:rPr>
        <w:t>“绿电接网”</w:t>
      </w:r>
      <w:r>
        <w:rPr>
          <w:rFonts w:hint="eastAsia" w:ascii="方正仿宋_GBK" w:hAnsi="方正仿宋_GBK" w:eastAsia="方正仿宋_GBK" w:cstheme="minorBidi"/>
          <w:b w:val="0"/>
          <w:bCs w:val="0"/>
          <w:sz w:val="32"/>
          <w:szCs w:val="32"/>
          <w:highlight w:val="none"/>
          <w:lang w:val="en-US" w:eastAsia="zh-CN"/>
        </w:rPr>
        <w:t>依托现有电网与微电网，通过市场化机制及数字化管控平台，实现园区多用户共享集中式绿电资源，借助园区级交易平台与智能调度系统，为中小企业提供便捷绿电消费通道。</w:t>
      </w:r>
    </w:p>
    <w:p>
      <w:pPr>
        <w:adjustRightInd w:val="0"/>
        <w:snapToGrid w:val="0"/>
        <w:spacing w:line="560" w:lineRule="exact"/>
        <w:ind w:firstLine="643" w:firstLineChars="200"/>
        <w:outlineLvl w:val="1"/>
        <w:rPr>
          <w:rFonts w:hint="eastAsia" w:ascii="方正仿宋_GBK" w:hAnsi="方正仿宋_GBK" w:eastAsia="方正仿宋_GBK"/>
          <w:sz w:val="32"/>
          <w:szCs w:val="32"/>
          <w:highlight w:val="none"/>
          <w:lang w:val="en-US" w:eastAsia="zh-CN"/>
        </w:rPr>
      </w:pPr>
      <w:r>
        <w:rPr>
          <w:rFonts w:hint="eastAsia" w:ascii="方正楷体_GBK" w:hAnsi="方正楷体_GBK" w:eastAsia="方正楷体_GBK" w:cs="方正楷体_GBK"/>
          <w:b/>
          <w:bCs/>
          <w:sz w:val="32"/>
          <w:szCs w:val="32"/>
          <w:highlight w:val="none"/>
          <w:lang w:val="en-US" w:eastAsia="zh-CN"/>
        </w:rPr>
        <w:t>在技术经济性方面，““绿电直连”</w:t>
      </w:r>
      <w:r>
        <w:rPr>
          <w:rFonts w:hint="eastAsia" w:ascii="方正仿宋_GBK" w:hAnsi="方正仿宋_GBK" w:eastAsia="方正仿宋_GBK" w:cstheme="minorBidi"/>
          <w:b w:val="0"/>
          <w:bCs w:val="0"/>
          <w:sz w:val="32"/>
          <w:szCs w:val="32"/>
          <w:highlight w:val="none"/>
          <w:lang w:val="en-US" w:eastAsia="zh-CN"/>
        </w:rPr>
        <w:t>省去电网中间环节，企业可通过长期购电合同锁定低价，度电成本低，但需建设专用线路，初始投资高，</w:t>
      </w:r>
      <w:r>
        <w:rPr>
          <w:rFonts w:hint="eastAsia" w:ascii="方正仿宋_GBK" w:hAnsi="方正仿宋_GBK" w:eastAsia="方正仿宋_GBK"/>
          <w:sz w:val="32"/>
          <w:szCs w:val="32"/>
          <w:highlight w:val="none"/>
          <w:lang w:val="en-US" w:eastAsia="zh-CN"/>
        </w:rPr>
        <w:t>还需按照有关规定缴纳输配电费、系统运行费用、政策性交叉补贴等额外费用。</w:t>
      </w:r>
      <w:r>
        <w:rPr>
          <w:rFonts w:hint="eastAsia" w:ascii="方正楷体_GBK" w:hAnsi="方正楷体_GBK" w:eastAsia="方正楷体_GBK" w:cs="方正楷体_GBK"/>
          <w:b/>
          <w:bCs/>
          <w:sz w:val="32"/>
          <w:szCs w:val="32"/>
          <w:highlight w:val="none"/>
          <w:lang w:val="en-US" w:eastAsia="zh-CN"/>
        </w:rPr>
        <w:t>“绿电接网”</w:t>
      </w:r>
      <w:r>
        <w:rPr>
          <w:rFonts w:hint="eastAsia" w:ascii="方正仿宋_GBK" w:hAnsi="方正仿宋_GBK" w:eastAsia="方正仿宋_GBK"/>
          <w:sz w:val="32"/>
          <w:szCs w:val="32"/>
          <w:highlight w:val="none"/>
          <w:lang w:val="en-US" w:eastAsia="zh-CN"/>
        </w:rPr>
        <w:t>则充分利用现有电网基础设施，避免了专用线路建设，仅需对站内现有网架结构进行改造调整，成本较低，且通过规模采购降低了绿电价格。</w:t>
      </w:r>
      <w:r>
        <w:rPr>
          <w:rFonts w:hint="eastAsia" w:ascii="方正仿宋_GBK" w:hAnsi="方正仿宋_GBK" w:eastAsia="方正仿宋_GBK"/>
          <w:sz w:val="32"/>
          <w:szCs w:val="32"/>
          <w:highlight w:val="none"/>
        </w:rPr>
        <w:t>但</w:t>
      </w:r>
      <w:r>
        <w:rPr>
          <w:rFonts w:hint="eastAsia" w:ascii="方正仿宋_GBK" w:hAnsi="方正仿宋_GBK" w:eastAsia="方正仿宋_GBK"/>
          <w:sz w:val="32"/>
          <w:szCs w:val="32"/>
          <w:highlight w:val="none"/>
          <w:lang w:val="en-US" w:eastAsia="zh-CN"/>
        </w:rPr>
        <w:t>该模式</w:t>
      </w:r>
      <w:r>
        <w:rPr>
          <w:rFonts w:hint="eastAsia" w:ascii="方正仿宋_GBK" w:hAnsi="方正仿宋_GBK" w:eastAsia="方正仿宋_GBK"/>
          <w:sz w:val="32"/>
          <w:szCs w:val="32"/>
          <w:highlight w:val="none"/>
        </w:rPr>
        <w:t>需建立复杂的潮流计算、物理溯源及协同管理系统，依赖区块链技术保障绿电属性，产生运营与技术成本。</w:t>
      </w:r>
    </w:p>
    <w:p>
      <w:pPr>
        <w:adjustRightInd w:val="0"/>
        <w:snapToGrid w:val="0"/>
        <w:spacing w:line="560" w:lineRule="exact"/>
        <w:ind w:firstLine="643" w:firstLineChars="200"/>
        <w:outlineLvl w:val="1"/>
        <w:rPr>
          <w:rFonts w:hint="eastAsia" w:ascii="方正仿宋_GBK" w:hAnsi="方正仿宋_GBK" w:eastAsia="方正仿宋_GBK"/>
          <w:sz w:val="32"/>
          <w:szCs w:val="32"/>
          <w:highlight w:val="none"/>
          <w:lang w:val="en-US" w:eastAsia="zh-CN"/>
        </w:rPr>
      </w:pPr>
      <w:r>
        <w:rPr>
          <w:rFonts w:hint="eastAsia" w:ascii="方正楷体_GBK" w:hAnsi="方正楷体_GBK" w:eastAsia="方正楷体_GBK" w:cs="方正楷体_GBK"/>
          <w:b/>
          <w:bCs/>
          <w:sz w:val="32"/>
          <w:szCs w:val="32"/>
          <w:highlight w:val="none"/>
          <w:lang w:val="en-US" w:eastAsia="zh-CN"/>
        </w:rPr>
        <w:t>在适用场景上，“绿电直连”</w:t>
      </w:r>
      <w:r>
        <w:rPr>
          <w:rFonts w:hint="eastAsia" w:ascii="方正仿宋_GBK" w:hAnsi="方正仿宋_GBK" w:eastAsia="方正仿宋_GBK"/>
          <w:sz w:val="32"/>
          <w:szCs w:val="32"/>
          <w:highlight w:val="none"/>
          <w:lang w:val="en-US" w:eastAsia="zh-CN"/>
        </w:rPr>
        <w:t>适合用电需求稳定的大中型企业，特别是时代新能源为代表的对绿电溯源有严格要求、面临国际碳壁垒的出口导向型企业。此类企业通常具备足够的用电规模来承担专用线路建设与运行维护成本。</w:t>
      </w:r>
      <w:r>
        <w:rPr>
          <w:rFonts w:hint="eastAsia" w:ascii="方正楷体_GBK" w:hAnsi="方正楷体_GBK" w:eastAsia="方正楷体_GBK" w:cs="方正楷体_GBK"/>
          <w:b/>
          <w:bCs/>
          <w:sz w:val="32"/>
          <w:szCs w:val="32"/>
          <w:highlight w:val="none"/>
          <w:lang w:val="en-US" w:eastAsia="zh-CN"/>
        </w:rPr>
        <w:t>“绿电接网”</w:t>
      </w:r>
      <w:r>
        <w:rPr>
          <w:rFonts w:hint="eastAsia" w:ascii="方正仿宋_GBK" w:hAnsi="方正仿宋_GBK" w:eastAsia="方正仿宋_GBK"/>
          <w:sz w:val="32"/>
          <w:szCs w:val="32"/>
          <w:highlight w:val="none"/>
          <w:lang w:val="en-US" w:eastAsia="zh-CN"/>
        </w:rPr>
        <w:t>则面向中小企业集群，通过规模化采购与分配机制，降低单个企业的绿电获取门槛。该模式能够有效解决武高新园区有绿电需求的企业分散化、小规模绿电需求难以满足的问题，符合园区产业结构和能源转型的实际需求。</w:t>
      </w:r>
    </w:p>
    <w:p>
      <w:pPr>
        <w:adjustRightInd w:val="0"/>
        <w:snapToGrid w:val="0"/>
        <w:spacing w:line="560" w:lineRule="exact"/>
        <w:ind w:firstLine="640" w:firstLineChars="200"/>
        <w:outlineLvl w:val="1"/>
        <w:rPr>
          <w:rFonts w:hint="default" w:ascii="方正仿宋_GBK" w:hAnsi="方正仿宋_GBK" w:eastAsia="方正仿宋_GBK"/>
          <w:sz w:val="32"/>
          <w:szCs w:val="32"/>
          <w:highlight w:val="none"/>
          <w:lang w:val="en-US" w:eastAsia="zh-CN"/>
        </w:rPr>
      </w:pPr>
      <w:r>
        <w:rPr>
          <w:rFonts w:hint="default" w:ascii="方正仿宋_GBK" w:hAnsi="方正仿宋_GBK" w:eastAsia="方正仿宋_GBK"/>
          <w:sz w:val="32"/>
          <w:szCs w:val="32"/>
          <w:highlight w:val="none"/>
          <w:lang w:val="en-US" w:eastAsia="zh-CN"/>
        </w:rPr>
        <w:t>综合来看，园区18家有绿电需求的企业中，</w:t>
      </w:r>
      <w:r>
        <w:rPr>
          <w:rFonts w:hint="eastAsia" w:ascii="方正仿宋_GBK" w:hAnsi="方正仿宋_GBK" w:eastAsia="方正仿宋_GBK"/>
          <w:sz w:val="32"/>
          <w:szCs w:val="32"/>
          <w:highlight w:val="none"/>
          <w:lang w:val="en-US" w:eastAsia="zh-CN"/>
        </w:rPr>
        <w:t>除理想汽车之外，</w:t>
      </w:r>
      <w:r>
        <w:rPr>
          <w:rFonts w:hint="default" w:ascii="方正仿宋_GBK" w:hAnsi="方正仿宋_GBK" w:eastAsia="方正仿宋_GBK"/>
          <w:sz w:val="32"/>
          <w:szCs w:val="32"/>
          <w:highlight w:val="none"/>
          <w:lang w:val="en-US" w:eastAsia="zh-CN"/>
        </w:rPr>
        <w:t>分散度</w:t>
      </w:r>
      <w:r>
        <w:rPr>
          <w:rFonts w:hint="eastAsia" w:ascii="方正仿宋_GBK" w:hAnsi="方正仿宋_GBK" w:eastAsia="方正仿宋_GBK"/>
          <w:sz w:val="32"/>
          <w:szCs w:val="32"/>
          <w:highlight w:val="none"/>
          <w:lang w:val="en-US" w:eastAsia="zh-CN"/>
        </w:rPr>
        <w:t>较高</w:t>
      </w:r>
      <w:r>
        <w:rPr>
          <w:rFonts w:hint="default" w:ascii="方正仿宋_GBK" w:hAnsi="方正仿宋_GBK" w:eastAsia="方正仿宋_GBK"/>
          <w:sz w:val="32"/>
          <w:szCs w:val="32"/>
          <w:highlight w:val="none"/>
          <w:lang w:val="en-US" w:eastAsia="zh-CN"/>
        </w:rPr>
        <w:t>、单独承担直连项目建设成本</w:t>
      </w:r>
      <w:r>
        <w:rPr>
          <w:rFonts w:hint="eastAsia" w:ascii="方正仿宋_GBK" w:hAnsi="方正仿宋_GBK" w:eastAsia="方正仿宋_GBK"/>
          <w:sz w:val="32"/>
          <w:szCs w:val="32"/>
          <w:highlight w:val="none"/>
          <w:lang w:val="en-US" w:eastAsia="zh-CN"/>
        </w:rPr>
        <w:t>的</w:t>
      </w:r>
      <w:r>
        <w:rPr>
          <w:rFonts w:hint="default" w:ascii="方正仿宋_GBK" w:hAnsi="方正仿宋_GBK" w:eastAsia="方正仿宋_GBK"/>
          <w:sz w:val="32"/>
          <w:szCs w:val="32"/>
          <w:highlight w:val="none"/>
          <w:lang w:val="en-US" w:eastAsia="zh-CN"/>
        </w:rPr>
        <w:t>能力不足</w:t>
      </w:r>
      <w:r>
        <w:rPr>
          <w:rFonts w:hint="eastAsia" w:ascii="方正仿宋_GBK" w:hAnsi="方正仿宋_GBK" w:eastAsia="方正仿宋_GBK"/>
          <w:sz w:val="32"/>
          <w:szCs w:val="32"/>
          <w:highlight w:val="none"/>
          <w:lang w:val="en-US" w:eastAsia="zh-CN"/>
        </w:rPr>
        <w:t>。</w:t>
      </w:r>
      <w:r>
        <w:rPr>
          <w:rFonts w:hint="default" w:ascii="方正仿宋_GBK" w:hAnsi="方正仿宋_GBK" w:eastAsia="方正仿宋_GBK"/>
          <w:sz w:val="32"/>
          <w:szCs w:val="32"/>
          <w:highlight w:val="none"/>
          <w:lang w:val="en-US" w:eastAsia="zh-CN"/>
        </w:rPr>
        <w:t>依托园区现有电网基础设施降低改造成本，通过区域聚合实现分散需求的规模化消纳，借助数字化管控技术保障绿电属性真实性，解决</w:t>
      </w:r>
      <w:r>
        <w:rPr>
          <w:rFonts w:hint="eastAsia" w:ascii="方正仿宋_GBK" w:hAnsi="方正仿宋_GBK" w:eastAsia="方正仿宋_GBK"/>
          <w:sz w:val="32"/>
          <w:szCs w:val="32"/>
          <w:highlight w:val="none"/>
          <w:lang w:val="en-US" w:eastAsia="zh-CN"/>
        </w:rPr>
        <w:t>了园区当前绿电供需矛盾</w:t>
      </w:r>
      <w:r>
        <w:rPr>
          <w:rFonts w:hint="default" w:ascii="方正仿宋_GBK" w:hAnsi="方正仿宋_GBK" w:eastAsia="方正仿宋_GBK"/>
          <w:sz w:val="32"/>
          <w:szCs w:val="32"/>
          <w:highlight w:val="none"/>
          <w:lang w:val="en-US" w:eastAsia="zh-CN"/>
        </w:rPr>
        <w:t>的核心痛点</w:t>
      </w:r>
      <w:r>
        <w:rPr>
          <w:rFonts w:hint="eastAsia" w:ascii="方正仿宋_GBK" w:hAnsi="方正仿宋_GBK" w:eastAsia="方正仿宋_GBK"/>
          <w:sz w:val="32"/>
          <w:szCs w:val="32"/>
          <w:highlight w:val="none"/>
          <w:lang w:val="en-US" w:eastAsia="zh-CN"/>
        </w:rPr>
        <w:t>。</w:t>
      </w:r>
    </w:p>
    <w:p>
      <w:pPr>
        <w:adjustRightInd w:val="0"/>
        <w:snapToGrid w:val="0"/>
        <w:spacing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pPr>
      <w:r>
        <w:rPr>
          <w:rFonts w:hint="eastAsia" w:ascii="方正黑体_GBK" w:hAnsi="方正黑体_GBK" w:eastAsia="方正黑体_GBK" w:cs="方正黑体_GBK"/>
          <w:b/>
          <w:bCs/>
          <w:sz w:val="36"/>
          <w:szCs w:val="36"/>
          <w:highlight w:val="none"/>
          <w14:ligatures w14:val="standardContextual"/>
        </w:rPr>
        <w:t>二、关键瓶颈与挑战</w:t>
      </w:r>
    </w:p>
    <w:p>
      <w:pPr>
        <w:adjustRightInd w:val="0"/>
        <w:snapToGrid w:val="0"/>
        <w:spacing w:line="560" w:lineRule="exact"/>
        <w:ind w:firstLine="643" w:firstLineChars="200"/>
        <w:outlineLvl w:val="9"/>
        <w:rPr>
          <w:rFonts w:hint="default" w:ascii="方正楷体_GBK" w:hAnsi="方正楷体_GBK" w:eastAsia="方正楷体_GBK" w:cs="方正楷体_GBK"/>
          <w:b/>
          <w:bCs/>
          <w:sz w:val="32"/>
          <w:szCs w:val="32"/>
          <w:highlight w:val="none"/>
          <w:lang w:val="en-US" w:eastAsia="zh-CN"/>
          <w14:ligatures w14:val="standardContextual"/>
        </w:rPr>
      </w:pPr>
      <w:bookmarkStart w:id="8" w:name="OLE_LINK11"/>
      <w:bookmarkStart w:id="9" w:name="OLE_LINK7"/>
      <w:r>
        <w:rPr>
          <w:rFonts w:hint="eastAsia" w:ascii="方正楷体_GBK" w:hAnsi="方正楷体_GBK" w:eastAsia="方正楷体_GBK" w:cs="方正楷体_GBK"/>
          <w:b/>
          <w:bCs/>
          <w:sz w:val="32"/>
          <w:szCs w:val="32"/>
          <w:highlight w:val="none"/>
          <w14:ligatures w14:val="standardContextual"/>
        </w:rPr>
        <w:t>（一）园区绿电接入与电网</w:t>
      </w:r>
      <w:r>
        <w:rPr>
          <w:rFonts w:hint="default" w:ascii="方正楷体_GBK" w:hAnsi="方正楷体_GBK" w:eastAsia="方正楷体_GBK" w:cs="方正楷体_GBK"/>
          <w:b/>
          <w:bCs/>
          <w:sz w:val="32"/>
          <w:szCs w:val="32"/>
          <w:highlight w:val="none"/>
          <w:lang w:val="en-US"/>
          <w14:ligatures w14:val="standardContextual"/>
        </w:rPr>
        <w:t>规划建设缺少有效衔接</w:t>
      </w:r>
    </w:p>
    <w:p>
      <w:pPr>
        <w:adjustRightInd w:val="0"/>
        <w:snapToGrid w:val="0"/>
        <w:spacing w:line="560" w:lineRule="exact"/>
        <w:ind w:firstLine="643" w:firstLineChars="200"/>
        <w:outlineLvl w:val="9"/>
        <w:rPr>
          <w:rFonts w:hint="default" w:ascii="方正仿宋_GBK" w:hAnsi="方正仿宋_GBK" w:eastAsia="方正仿宋_GBK" w:cs="Times New Roman"/>
          <w:sz w:val="32"/>
          <w:szCs w:val="32"/>
          <w:highlight w:val="none"/>
          <w:lang w:val="en-US" w:eastAsia="zh-CN"/>
          <w14:ligatures w14:val="standardContextual"/>
        </w:rPr>
      </w:pPr>
      <w:r>
        <w:rPr>
          <w:rFonts w:hint="eastAsia" w:ascii="方正楷体_GBK" w:hAnsi="方正楷体_GBK" w:eastAsia="方正楷体_GBK" w:cs="方正楷体_GBK"/>
          <w:b/>
          <w:bCs/>
          <w:sz w:val="32"/>
          <w:szCs w:val="32"/>
          <w:highlight w:val="none"/>
          <w:lang w:val="en-US" w:eastAsia="zh-CN"/>
          <w14:ligatures w14:val="standardContextual"/>
        </w:rPr>
        <w:t>一方面，</w:t>
      </w:r>
      <w:r>
        <w:rPr>
          <w:rFonts w:hint="eastAsia" w:ascii="方正仿宋_GBK" w:hAnsi="方正仿宋_GBK" w:eastAsia="方正仿宋_GBK" w:cs="Times New Roman"/>
          <w:sz w:val="32"/>
          <w:szCs w:val="32"/>
          <w:highlight w:val="none"/>
          <w:lang w:val="en-US" w:eastAsia="zh-CN"/>
          <w14:ligatures w14:val="standardContextual"/>
        </w:rPr>
        <w:t>园区内现有35-500千伏变电站设计初期的核心目标是适配工业生产、居民生活等稳定负荷的供电需求，未充分预判绿电接入技术特性以及严格的绿电物理溯源要求，未预留绿电专用的并网接口、容量储备，导致现有电网结构与大规模绿电接入需求存在适配缺口。</w:t>
      </w:r>
      <w:r>
        <w:rPr>
          <w:rFonts w:hint="eastAsia" w:ascii="方正楷体_GBK" w:hAnsi="方正楷体_GBK" w:eastAsia="方正楷体_GBK" w:cs="方正楷体_GBK"/>
          <w:b/>
          <w:bCs/>
          <w:sz w:val="32"/>
          <w:szCs w:val="32"/>
          <w:highlight w:val="none"/>
          <w:lang w:val="en-US" w:eastAsia="zh-CN"/>
          <w14:ligatures w14:val="standardContextual"/>
        </w:rPr>
        <w:t>另一方面，</w:t>
      </w:r>
      <w:r>
        <w:rPr>
          <w:rFonts w:hint="eastAsia" w:ascii="方正仿宋_GBK" w:hAnsi="方正仿宋_GBK" w:eastAsia="方正仿宋_GBK" w:cs="Times New Roman"/>
          <w:sz w:val="32"/>
          <w:szCs w:val="32"/>
          <w:highlight w:val="none"/>
          <w:lang w:val="en-US" w:eastAsia="zh-CN"/>
          <w14:ligatures w14:val="standardContextual"/>
        </w:rPr>
        <w:t>早期的绿电项目规划多聚焦能源生产端，在项目立项阶段未与电网当前结构、可改造能力开展同步论证，导致部分绿电项目建成后，因电网改造未到位而无法真正实现“用上绿电”。因此，为适应集中式风光等绿电资源大规模接入，</w:t>
      </w:r>
      <w:r>
        <w:rPr>
          <w:rFonts w:hint="eastAsia" w:ascii="方正仿宋_GBK" w:hAnsi="方正仿宋_GBK" w:eastAsia="方正仿宋_GBK" w:cs="Times New Roman"/>
          <w:sz w:val="32"/>
          <w:szCs w:val="32"/>
          <w:highlight w:val="none"/>
          <w14:ligatures w14:val="standardContextual"/>
        </w:rPr>
        <w:t>需</w:t>
      </w:r>
      <w:r>
        <w:rPr>
          <w:rFonts w:hint="eastAsia" w:ascii="方正仿宋_GBK" w:hAnsi="方正仿宋_GBK" w:eastAsia="方正仿宋_GBK" w:cs="Times New Roman"/>
          <w:sz w:val="32"/>
          <w:szCs w:val="32"/>
          <w:highlight w:val="none"/>
          <w:lang w:val="en-US" w:eastAsia="zh-CN"/>
          <w14:ligatures w14:val="standardContextual"/>
        </w:rPr>
        <w:t>对园区电网结构进行系统性</w:t>
      </w:r>
      <w:r>
        <w:rPr>
          <w:rFonts w:hint="eastAsia" w:ascii="方正仿宋_GBK" w:hAnsi="方正仿宋_GBK" w:eastAsia="方正仿宋_GBK" w:cs="Times New Roman"/>
          <w:sz w:val="32"/>
          <w:szCs w:val="32"/>
          <w:highlight w:val="none"/>
          <w14:ligatures w14:val="standardContextual"/>
        </w:rPr>
        <w:t>改造</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14:ligatures w14:val="standardContextual"/>
        </w:rPr>
        <w:t>如专线汇流、母线优化，涉及现有线路切改与间隔调配</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lang w:val="en-US" w:eastAsia="zh-CN"/>
          <w14:ligatures w14:val="standardContextual"/>
        </w:rPr>
        <w:t>造成一定程度上的电网重复建设和资源浪费。</w:t>
      </w:r>
    </w:p>
    <w:p>
      <w:pPr>
        <w:adjustRightInd w:val="0"/>
        <w:snapToGrid w:val="0"/>
        <w:spacing w:line="560" w:lineRule="exact"/>
        <w:ind w:firstLine="619" w:firstLineChars="200"/>
        <w:outlineLvl w:val="9"/>
        <w:rPr>
          <w:rFonts w:hint="default" w:ascii="方正楷体_GBK" w:hAnsi="方正楷体_GBK" w:eastAsia="方正楷体_GBK" w:cs="方正楷体_GBK"/>
          <w:b/>
          <w:bCs/>
          <w:spacing w:val="-6"/>
          <w:sz w:val="32"/>
          <w:szCs w:val="32"/>
          <w:highlight w:val="none"/>
          <w:lang w:val="en-US" w:eastAsia="zh-CN"/>
          <w14:ligatures w14:val="standardContextual"/>
        </w:rPr>
      </w:pPr>
      <w:r>
        <w:rPr>
          <w:rFonts w:hint="eastAsia" w:ascii="方正楷体_GBK" w:hAnsi="方正楷体_GBK" w:eastAsia="方正楷体_GBK" w:cs="方正楷体_GBK"/>
          <w:b/>
          <w:bCs/>
          <w:spacing w:val="-6"/>
          <w:sz w:val="32"/>
          <w:szCs w:val="32"/>
          <w:highlight w:val="none"/>
          <w14:ligatures w14:val="standardContextual"/>
        </w:rPr>
        <w:t>（二）</w:t>
      </w:r>
      <w:r>
        <w:rPr>
          <w:rFonts w:hint="eastAsia" w:ascii="方正楷体_GBK" w:hAnsi="方正楷体_GBK" w:eastAsia="方正楷体_GBK" w:cs="方正楷体_GBK"/>
          <w:b/>
          <w:bCs/>
          <w:spacing w:val="-6"/>
          <w:sz w:val="32"/>
          <w:szCs w:val="32"/>
          <w:highlight w:val="none"/>
          <w:lang w:val="en-US" w:eastAsia="zh-CN"/>
          <w14:ligatures w14:val="standardContextual"/>
        </w:rPr>
        <w:t>因绿电接入涉及的电网改造费用承担主体尚不明确</w:t>
      </w:r>
    </w:p>
    <w:p>
      <w:pPr>
        <w:adjustRightInd w:val="0"/>
        <w:snapToGrid w:val="0"/>
        <w:spacing w:line="560" w:lineRule="exact"/>
        <w:ind w:firstLine="640" w:firstLineChars="200"/>
        <w:outlineLvl w:val="9"/>
        <w:rPr>
          <w:rFonts w:hint="default" w:ascii="方正仿宋_GBK" w:hAnsi="方正仿宋_GBK" w:eastAsia="方正仿宋_GBK" w:cs="Times New Roman"/>
          <w:sz w:val="32"/>
          <w:szCs w:val="32"/>
          <w:highlight w:val="none"/>
          <w:lang w:val="en-US" w:eastAsia="zh-CN"/>
          <w14:ligatures w14:val="standardContextual"/>
        </w:rPr>
      </w:pPr>
      <w:r>
        <w:rPr>
          <w:rFonts w:hint="eastAsia" w:ascii="方正仿宋_GBK" w:hAnsi="方正仿宋_GBK" w:eastAsia="方正仿宋_GBK" w:cs="Times New Roman"/>
          <w:b w:val="0"/>
          <w:bCs w:val="0"/>
          <w:sz w:val="32"/>
          <w:szCs w:val="32"/>
          <w:highlight w:val="none"/>
          <w:lang w:val="en-US" w:eastAsia="zh-CN"/>
          <w14:ligatures w14:val="standardContextual"/>
        </w:rPr>
        <w:t>根据现有政策，对于已投运的电源和用户，</w:t>
      </w:r>
      <w:r>
        <w:rPr>
          <w:rFonts w:hint="eastAsia" w:ascii="方正楷体_GBK" w:hAnsi="方正楷体_GBK" w:eastAsia="方正楷体_GBK" w:cs="方正楷体_GBK"/>
          <w:b/>
          <w:bCs/>
          <w:sz w:val="32"/>
          <w:szCs w:val="32"/>
          <w:highlight w:val="none"/>
          <w:lang w:val="en-US" w:eastAsia="zh-CN"/>
          <w14:ligatures w14:val="standardContextual"/>
        </w:rPr>
        <w:t>因接入绿电而需进行的电网适应性改造所产生的费用，暂未明确承担主体和分摊机制，</w:t>
      </w:r>
      <w:r>
        <w:rPr>
          <w:rFonts w:hint="eastAsia" w:ascii="方正仿宋_GBK" w:hAnsi="方正仿宋_GBK" w:eastAsia="方正仿宋_GBK" w:cs="Times New Roman"/>
          <w:b w:val="0"/>
          <w:bCs w:val="0"/>
          <w:sz w:val="32"/>
          <w:szCs w:val="32"/>
          <w:highlight w:val="none"/>
          <w:lang w:val="en-US" w:eastAsia="zh-CN"/>
          <w14:ligatures w14:val="standardContextual"/>
        </w:rPr>
        <w:t>也未纳入政府专项补贴支持范畴，这一现状在一定程度上可能增加需求企业的用能成本。</w:t>
      </w:r>
      <w:r>
        <w:rPr>
          <w:rFonts w:hint="eastAsia" w:ascii="方正仿宋_GBK" w:hAnsi="方正仿宋_GBK" w:eastAsia="方正仿宋_GBK" w:cs="Times New Roman"/>
          <w:sz w:val="32"/>
          <w:szCs w:val="32"/>
          <w:highlight w:val="none"/>
          <w:lang w:val="en-US" w:eastAsia="zh-CN"/>
          <w14:ligatures w14:val="standardContextual"/>
        </w:rPr>
        <w:t>以武高新园区为例，若某中小企业按1兆瓦绿电需求申请接入，为满足物理溯源要求，开展线路改造、间隔调整等工作所产生的基础费用达数百万元。同时，电网改造过程中涉及专线停役施工，影响企业正常生产经营活动，申请临时接电服务还会带来额外支出，形成多重成本压力。园区18家有绿电需求的企业除理想汽车等少数企业之外，报送的绿电需求占总用电量的比例较低，通过绿电接入创造的利润空间有限，在缺少政策支持和专项补贴的情况下，独立承担改造成本的意愿不强，对绿电接网多呈观望、犹豫态度。</w:t>
      </w:r>
    </w:p>
    <w:p>
      <w:pPr>
        <w:adjustRightInd w:val="0"/>
        <w:snapToGrid w:val="0"/>
        <w:spacing w:line="560" w:lineRule="exact"/>
        <w:ind w:firstLine="643" w:firstLineChars="200"/>
        <w:outlineLvl w:val="9"/>
        <w:rPr>
          <w:rFonts w:hint="eastAsia" w:ascii="方正楷体_GBK" w:hAnsi="方正楷体_GBK" w:eastAsia="方正楷体_GBK" w:cs="方正楷体_GBK"/>
          <w:b/>
          <w:bCs/>
          <w:sz w:val="32"/>
          <w:szCs w:val="32"/>
          <w:highlight w:val="none"/>
          <w14:ligatures w14:val="standardContextual"/>
        </w:rPr>
      </w:pPr>
      <w:r>
        <w:rPr>
          <w:rFonts w:hint="eastAsia" w:ascii="方正楷体_GBK" w:hAnsi="方正楷体_GBK" w:eastAsia="方正楷体_GBK" w:cs="方正楷体_GBK"/>
          <w:b/>
          <w:bCs/>
          <w:sz w:val="32"/>
          <w:szCs w:val="32"/>
          <w:highlight w:val="none"/>
          <w14:ligatures w14:val="standardContextual"/>
        </w:rPr>
        <w:t>（</w:t>
      </w:r>
      <w:r>
        <w:rPr>
          <w:rFonts w:hint="eastAsia" w:ascii="方正楷体_GBK" w:hAnsi="方正楷体_GBK" w:eastAsia="方正楷体_GBK" w:cs="方正楷体_GBK"/>
          <w:b/>
          <w:bCs/>
          <w:sz w:val="32"/>
          <w:szCs w:val="32"/>
          <w:highlight w:val="none"/>
          <w:lang w:val="en-US" w:eastAsia="zh-CN"/>
          <w14:ligatures w14:val="standardContextual"/>
        </w:rPr>
        <w:t>三</w:t>
      </w:r>
      <w:r>
        <w:rPr>
          <w:rFonts w:hint="eastAsia" w:ascii="方正楷体_GBK" w:hAnsi="方正楷体_GBK" w:eastAsia="方正楷体_GBK" w:cs="方正楷体_GBK"/>
          <w:b/>
          <w:bCs/>
          <w:sz w:val="32"/>
          <w:szCs w:val="32"/>
          <w:highlight w:val="none"/>
          <w14:ligatures w14:val="standardContextual"/>
        </w:rPr>
        <w:t>）绿电溯源技术整合与碳足迹认证体系待完善</w:t>
      </w:r>
    </w:p>
    <w:p>
      <w:pPr>
        <w:adjustRightInd w:val="0"/>
        <w:snapToGrid w:val="0"/>
        <w:spacing w:line="560" w:lineRule="exact"/>
        <w:ind w:firstLine="640" w:firstLineChars="200"/>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highlight w:val="none"/>
          <w:lang w:val="en-US" w:eastAsia="zh-CN"/>
          <w14:ligatures w14:val="standardContextual"/>
        </w:rPr>
        <w:t>在</w:t>
      </w:r>
      <w:r>
        <w:rPr>
          <w:rFonts w:hint="eastAsia" w:ascii="方正仿宋_GBK" w:hAnsi="方正仿宋_GBK" w:eastAsia="方正仿宋_GBK" w:cs="Times New Roman"/>
          <w:sz w:val="32"/>
          <w:szCs w:val="32"/>
          <w:highlight w:val="none"/>
          <w14:ligatures w14:val="standardContextual"/>
        </w:rPr>
        <w:t>绿电</w:t>
      </w:r>
      <w:r>
        <w:rPr>
          <w:rFonts w:hint="eastAsia" w:ascii="方正仿宋_GBK" w:hAnsi="方正仿宋_GBK" w:eastAsia="方正仿宋_GBK" w:cs="Times New Roman"/>
          <w:sz w:val="32"/>
          <w:szCs w:val="32"/>
          <w:highlight w:val="none"/>
          <w:lang w:val="en-US" w:eastAsia="zh-CN"/>
          <w14:ligatures w14:val="standardContextual"/>
        </w:rPr>
        <w:t>接网模式下，</w:t>
      </w:r>
      <w:r>
        <w:rPr>
          <w:rFonts w:hint="eastAsia" w:ascii="方正仿宋_GBK" w:hAnsi="方正仿宋_GBK" w:eastAsia="方正仿宋_GBK" w:cs="Times New Roman"/>
          <w:sz w:val="32"/>
          <w:szCs w:val="32"/>
          <w:highlight w:val="none"/>
          <w14:ligatures w14:val="standardContextual"/>
        </w:rPr>
        <w:t>溯源技术整合不足</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lang w:val="en-US" w:eastAsia="zh-CN"/>
          <w14:ligatures w14:val="standardContextual"/>
        </w:rPr>
        <w:t>碳足迹认证体系不完善，国际</w:t>
      </w:r>
      <w:r>
        <w:rPr>
          <w:rFonts w:hint="eastAsia" w:ascii="方正仿宋_GBK" w:hAnsi="方正仿宋_GBK" w:eastAsia="方正仿宋_GBK" w:cs="Times New Roman"/>
          <w:sz w:val="32"/>
          <w:szCs w:val="32"/>
          <w:highlight w:val="none"/>
          <w14:ligatures w14:val="standardContextual"/>
        </w:rPr>
        <w:t>认证</w:t>
      </w:r>
      <w:r>
        <w:rPr>
          <w:rFonts w:hint="eastAsia" w:ascii="方正仿宋_GBK" w:hAnsi="方正仿宋_GBK" w:eastAsia="方正仿宋_GBK" w:cs="Times New Roman"/>
          <w:sz w:val="32"/>
          <w:szCs w:val="32"/>
          <w:highlight w:val="none"/>
          <w:lang w:val="en-US" w:eastAsia="zh-CN"/>
          <w14:ligatures w14:val="standardContextual"/>
        </w:rPr>
        <w:t>也缺乏相关标准</w:t>
      </w:r>
      <w:r>
        <w:rPr>
          <w:rFonts w:hint="eastAsia" w:ascii="方正仿宋_GBK" w:hAnsi="方正仿宋_GBK" w:eastAsia="方正仿宋_GBK" w:cs="Times New Roman"/>
          <w:sz w:val="32"/>
          <w:szCs w:val="32"/>
          <w:highlight w:val="none"/>
          <w14:ligatures w14:val="standardContextual"/>
        </w:rPr>
        <w:t>，</w:t>
      </w:r>
      <w:r>
        <w:rPr>
          <w:rFonts w:hint="eastAsia" w:ascii="方正仿宋_GBK" w:hAnsi="方正仿宋_GBK" w:eastAsia="方正仿宋_GBK" w:cs="Times New Roman"/>
          <w:sz w:val="32"/>
          <w:szCs w:val="32"/>
          <w:highlight w:val="none"/>
          <w:lang w:val="en-US" w:eastAsia="zh-CN"/>
          <w14:ligatures w14:val="standardContextual"/>
        </w:rPr>
        <w:t>难以满足园区</w:t>
      </w:r>
      <w:r>
        <w:rPr>
          <w:rFonts w:hint="eastAsia" w:ascii="方正仿宋_GBK" w:hAnsi="方正仿宋_GBK" w:eastAsia="方正仿宋_GBK" w:cs="Times New Roman"/>
          <w:sz w:val="32"/>
          <w:szCs w:val="32"/>
          <w:highlight w:val="none"/>
          <w14:ligatures w14:val="standardContextual"/>
        </w:rPr>
        <w:t>企业“降碳合规、应对绿色壁垒”的核心诉求</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14:ligatures w14:val="standardContextual"/>
        </w:rPr>
        <w:t>主要存在三方面核心问题：</w:t>
      </w:r>
      <w:r>
        <w:rPr>
          <w:rFonts w:hint="eastAsia" w:ascii="方正楷体_GBK" w:hAnsi="方正楷体_GBK" w:eastAsia="方正楷体_GBK" w:cs="方正楷体_GBK"/>
          <w:b/>
          <w:bCs/>
          <w:sz w:val="32"/>
          <w:szCs w:val="32"/>
          <w:highlight w:val="none"/>
          <w14:ligatures w14:val="standardContextual"/>
        </w:rPr>
        <w:t>一是欧盟绿电溯源标准较为严苛，</w:t>
      </w:r>
      <w:r>
        <w:rPr>
          <w:rFonts w:hint="eastAsia" w:ascii="方正楷体_GBK" w:hAnsi="方正楷体_GBK" w:eastAsia="方正楷体_GBK" w:cs="方正楷体_GBK"/>
          <w:b/>
          <w:bCs/>
          <w:sz w:val="32"/>
          <w:szCs w:val="32"/>
          <w:highlight w:val="none"/>
          <w:lang w:val="en-US" w:eastAsia="zh-CN"/>
          <w14:ligatures w14:val="standardContextual"/>
        </w:rPr>
        <w:t>非“直连”项目难获认可</w:t>
      </w:r>
      <w:r>
        <w:rPr>
          <w:rFonts w:hint="eastAsia" w:ascii="方正楷体_GBK" w:hAnsi="方正楷体_GBK" w:eastAsia="方正楷体_GBK" w:cs="方正楷体_GBK"/>
          <w:b/>
          <w:bCs/>
          <w:sz w:val="32"/>
          <w:szCs w:val="32"/>
          <w:highlight w:val="none"/>
          <w14:ligatures w14:val="standardContextual"/>
        </w:rPr>
        <w:t>。</w:t>
      </w:r>
      <w:r>
        <w:rPr>
          <w:rFonts w:hint="eastAsia" w:ascii="方正仿宋_GBK" w:hAnsi="方正仿宋_GBK" w:eastAsia="方正仿宋_GBK" w:cs="Times New Roman"/>
          <w:sz w:val="32"/>
          <w:szCs w:val="32"/>
          <w:highlight w:val="none"/>
          <w14:ligatures w14:val="standardContextual"/>
        </w:rPr>
        <w:t>江苏虽已构建“逻辑+物理全链条绿电溯源方案”，但</w:t>
      </w:r>
      <w:r>
        <w:rPr>
          <w:rFonts w:hint="eastAsia" w:ascii="方正仿宋_GBK" w:hAnsi="方正仿宋_GBK" w:eastAsia="方正仿宋_GBK" w:cs="Times New Roman"/>
          <w:sz w:val="32"/>
          <w:szCs w:val="32"/>
          <w:highlight w:val="none"/>
          <w:lang w:val="en-US" w:eastAsia="zh-CN"/>
          <w14:ligatures w14:val="standardContextual"/>
        </w:rPr>
        <w:t>欧盟“新电池法”仅认可绿电直连，且有着严苛的认定标准</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14:ligatures w14:val="standardContextual"/>
        </w:rPr>
        <w:t>对武高新园区内为欧洲供应电池、汽车零部件的企业而言，意味着</w:t>
      </w:r>
      <w:r>
        <w:rPr>
          <w:rFonts w:hint="eastAsia" w:ascii="方正仿宋_GBK" w:hAnsi="方正仿宋_GBK" w:eastAsia="方正仿宋_GBK" w:cs="Times New Roman"/>
          <w:sz w:val="32"/>
          <w:szCs w:val="32"/>
          <w:highlight w:val="none"/>
          <w:lang w:val="en-US" w:eastAsia="zh-CN"/>
          <w14:ligatures w14:val="standardContextual"/>
        </w:rPr>
        <w:t>即使通过“绿电接网”模式用上</w:t>
      </w:r>
      <w:r>
        <w:rPr>
          <w:rFonts w:hint="eastAsia" w:ascii="方正仿宋_GBK" w:hAnsi="方正仿宋_GBK" w:eastAsia="方正仿宋_GBK" w:cs="Times New Roman"/>
          <w:sz w:val="32"/>
          <w:szCs w:val="32"/>
          <w:highlight w:val="none"/>
          <w14:ligatures w14:val="standardContextual"/>
        </w:rPr>
        <w:t>绿电</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lang w:val="en-US" w:eastAsia="zh-CN"/>
          <w14:ligatures w14:val="standardContextual"/>
        </w:rPr>
        <w:t>也</w:t>
      </w:r>
      <w:r>
        <w:rPr>
          <w:rFonts w:hint="eastAsia" w:ascii="方正仿宋_GBK" w:hAnsi="方正仿宋_GBK" w:eastAsia="方正仿宋_GBK" w:cs="Times New Roman"/>
          <w:sz w:val="32"/>
          <w:szCs w:val="32"/>
          <w:highlight w:val="none"/>
          <w14:ligatures w14:val="standardContextual"/>
        </w:rPr>
        <w:t>可能</w:t>
      </w:r>
      <w:r>
        <w:rPr>
          <w:rFonts w:hint="eastAsia" w:ascii="方正仿宋_GBK" w:hAnsi="方正仿宋_GBK" w:eastAsia="方正仿宋_GBK" w:cs="Times New Roman"/>
          <w:sz w:val="32"/>
          <w:szCs w:val="32"/>
          <w:highlight w:val="none"/>
          <w:lang w:val="en-US" w:eastAsia="zh-CN"/>
          <w14:ligatures w14:val="standardContextual"/>
        </w:rPr>
        <w:t>难获</w:t>
      </w:r>
      <w:r>
        <w:rPr>
          <w:rFonts w:hint="eastAsia" w:ascii="方正仿宋_GBK" w:hAnsi="方正仿宋_GBK" w:eastAsia="方正仿宋_GBK" w:cs="Times New Roman"/>
          <w:sz w:val="32"/>
          <w:szCs w:val="32"/>
          <w:highlight w:val="none"/>
          <w14:ligatures w14:val="standardContextual"/>
        </w:rPr>
        <w:t>国际市场认</w:t>
      </w:r>
      <w:r>
        <w:rPr>
          <w:rFonts w:hint="eastAsia" w:ascii="方正仿宋_GBK" w:hAnsi="方正仿宋_GBK" w:eastAsia="方正仿宋_GBK" w:cs="Times New Roman"/>
          <w:sz w:val="32"/>
          <w:szCs w:val="32"/>
          <w:highlight w:val="none"/>
          <w:lang w:val="en-US" w:eastAsia="zh-CN"/>
          <w14:ligatures w14:val="standardContextual"/>
        </w:rPr>
        <w:t>同</w:t>
      </w:r>
      <w:r>
        <w:rPr>
          <w:rFonts w:hint="eastAsia" w:ascii="方正仿宋_GBK" w:hAnsi="方正仿宋_GBK" w:eastAsia="方正仿宋_GBK" w:cs="Times New Roman"/>
          <w:sz w:val="32"/>
          <w:szCs w:val="32"/>
          <w:highlight w:val="none"/>
          <w14:ligatures w14:val="standardContextual"/>
        </w:rPr>
        <w:t>，无法有效规避</w:t>
      </w:r>
      <w:r>
        <w:rPr>
          <w:rFonts w:hint="eastAsia" w:ascii="方正仿宋_GBK" w:hAnsi="方正仿宋_GBK" w:eastAsia="方正仿宋_GBK" w:cs="Times New Roman"/>
          <w:sz w:val="32"/>
          <w:szCs w:val="32"/>
          <w:highlight w:val="none"/>
          <w:lang w:val="en-US" w:eastAsia="zh-CN"/>
          <w14:ligatures w14:val="standardContextual"/>
        </w:rPr>
        <w:t>“新电池法”带来</w:t>
      </w:r>
      <w:r>
        <w:rPr>
          <w:rFonts w:hint="eastAsia" w:ascii="方正仿宋_GBK" w:hAnsi="方正仿宋_GBK" w:eastAsia="方正仿宋_GBK" w:cs="Times New Roman"/>
          <w:sz w:val="32"/>
          <w:szCs w:val="32"/>
          <w:highlight w:val="none"/>
          <w14:ligatures w14:val="standardContextual"/>
        </w:rPr>
        <w:t>的成本压力</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楷体_GBK" w:hAnsi="方正楷体_GBK" w:eastAsia="方正楷体_GBK" w:cs="方正楷体_GBK"/>
          <w:b/>
          <w:bCs/>
          <w:sz w:val="32"/>
          <w:szCs w:val="32"/>
          <w:highlight w:val="none"/>
          <w14:ligatures w14:val="standardContextual"/>
        </w:rPr>
        <w:t>二是不同电压等级用户绿电计量精度存在差异，数据基础支撑薄弱。</w:t>
      </w:r>
      <w:r>
        <w:rPr>
          <w:rFonts w:hint="eastAsia" w:ascii="方正仿宋_GBK" w:hAnsi="方正仿宋_GBK" w:eastAsia="方正仿宋_GBK" w:cs="Times New Roman"/>
          <w:sz w:val="32"/>
          <w:szCs w:val="32"/>
          <w:highlight w:val="none"/>
          <w14:ligatures w14:val="standardContextual"/>
        </w:rPr>
        <w:t>针对10~220千伏不同电压等级的园区用户，现有绿电计量设备与核算方法的精度不一致，导致绿电消费数据的准确性、统一性不足，数据偏差可能直接影响</w:t>
      </w:r>
      <w:r>
        <w:rPr>
          <w:rFonts w:hint="eastAsia" w:ascii="方正仿宋_GBK" w:hAnsi="方正仿宋_GBK" w:eastAsia="方正仿宋_GBK" w:cs="Times New Roman"/>
          <w:sz w:val="32"/>
          <w:szCs w:val="32"/>
          <w:highlight w:val="none"/>
          <w:lang w:val="en-US" w:eastAsia="zh-CN"/>
          <w14:ligatures w14:val="standardContextual"/>
        </w:rPr>
        <w:t>绿电溯源和</w:t>
      </w:r>
      <w:r>
        <w:rPr>
          <w:rFonts w:hint="eastAsia" w:ascii="方正仿宋_GBK" w:hAnsi="方正仿宋_GBK" w:eastAsia="方正仿宋_GBK" w:cs="Times New Roman"/>
          <w:sz w:val="32"/>
          <w:szCs w:val="32"/>
          <w:highlight w:val="none"/>
          <w14:ligatures w14:val="standardContextual"/>
        </w:rPr>
        <w:t>认证结果</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楷体_GBK" w:hAnsi="方正楷体_GBK" w:eastAsia="方正楷体_GBK" w:cs="方正楷体_GBK"/>
          <w:b/>
          <w:bCs/>
          <w:sz w:val="32"/>
          <w:szCs w:val="32"/>
          <w:highlight w:val="none"/>
          <w14:ligatures w14:val="standardContextual"/>
        </w:rPr>
        <w:t>三是园区级碳足迹核算面临数据库与算法双重制约。</w:t>
      </w:r>
      <w:r>
        <w:rPr>
          <w:rFonts w:hint="eastAsia" w:ascii="方正仿宋_GBK" w:hAnsi="方正仿宋_GBK" w:eastAsia="方正仿宋_GBK" w:cs="Times New Roman"/>
          <w:sz w:val="32"/>
          <w:szCs w:val="32"/>
          <w:highlight w:val="none"/>
          <w14:ligatures w14:val="standardContextual"/>
        </w:rPr>
        <w:t>园区碳足迹核算依赖“动态电碳因子与企业生产排程的实时匹配”，但当前相关算法尚未成熟，企业无法根据风光发电高峰时段灵活调整生产计划以降低碳成本，难以将绿电的“降碳价值”转化为实际经营效益。</w:t>
      </w:r>
    </w:p>
    <w:bookmarkEnd w:id="8"/>
    <w:bookmarkEnd w:id="9"/>
    <w:p>
      <w:pPr>
        <w:adjustRightInd w:val="0"/>
        <w:snapToGrid w:val="0"/>
        <w:spacing w:line="560" w:lineRule="exact"/>
        <w:ind w:firstLine="723" w:firstLineChars="200"/>
        <w:outlineLvl w:val="9"/>
        <w:rPr>
          <w:rFonts w:hint="default" w:ascii="方正黑体_GBK" w:hAnsi="方正黑体_GBK" w:eastAsia="方正黑体_GBK" w:cs="方正黑体_GBK"/>
          <w:b/>
          <w:bCs/>
          <w:sz w:val="36"/>
          <w:szCs w:val="36"/>
          <w:highlight w:val="none"/>
          <w:lang w:val="en-US" w:eastAsia="zh-CN"/>
          <w14:ligatures w14:val="standardContextual"/>
        </w:rPr>
      </w:pPr>
      <w:r>
        <w:rPr>
          <w:rFonts w:hint="eastAsia" w:ascii="方正黑体_GBK" w:hAnsi="方正黑体_GBK" w:eastAsia="方正黑体_GBK" w:cs="方正黑体_GBK"/>
          <w:b/>
          <w:bCs/>
          <w:sz w:val="36"/>
          <w:szCs w:val="36"/>
          <w:highlight w:val="none"/>
          <w14:ligatures w14:val="standardContextual"/>
        </w:rPr>
        <w:t>三、</w:t>
      </w:r>
      <w:r>
        <w:rPr>
          <w:rFonts w:hint="eastAsia" w:ascii="方正黑体_GBK" w:hAnsi="方正黑体_GBK" w:eastAsia="方正黑体_GBK" w:cs="方正黑体_GBK"/>
          <w:b/>
          <w:bCs/>
          <w:sz w:val="36"/>
          <w:szCs w:val="36"/>
          <w:highlight w:val="none"/>
          <w:lang w:val="en-US" w:eastAsia="zh-CN"/>
          <w14:ligatures w14:val="standardContextual"/>
        </w:rPr>
        <w:t>武高新园区</w:t>
      </w:r>
      <w:r>
        <w:rPr>
          <w:rFonts w:hint="eastAsia" w:ascii="方正黑体_GBK" w:hAnsi="方正黑体_GBK" w:eastAsia="方正黑体_GBK" w:cs="方正黑体_GBK"/>
          <w:b/>
          <w:bCs/>
          <w:sz w:val="36"/>
          <w:szCs w:val="36"/>
          <w:highlight w:val="none"/>
          <w14:ligatures w14:val="standardContextual"/>
        </w:rPr>
        <w:t>绿电</w:t>
      </w:r>
      <w:r>
        <w:rPr>
          <w:rFonts w:hint="eastAsia" w:ascii="方正黑体_GBK" w:hAnsi="方正黑体_GBK" w:eastAsia="方正黑体_GBK" w:cs="方正黑体_GBK"/>
          <w:b/>
          <w:bCs/>
          <w:sz w:val="36"/>
          <w:szCs w:val="36"/>
          <w:highlight w:val="none"/>
          <w:lang w:val="en-US" w:eastAsia="zh-CN"/>
          <w14:ligatures w14:val="standardContextual"/>
        </w:rPr>
        <w:t>接入典型方案设计</w:t>
      </w:r>
    </w:p>
    <w:p>
      <w:pPr>
        <w:adjustRightInd w:val="0"/>
        <w:snapToGrid w:val="0"/>
        <w:spacing w:line="560" w:lineRule="exact"/>
        <w:ind w:firstLine="640" w:firstLineChars="200"/>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highlight w:val="none"/>
          <w14:ligatures w14:val="standardContextual"/>
        </w:rPr>
        <w:t>常州武进高新区</w:t>
      </w:r>
      <w:r>
        <w:rPr>
          <w:rFonts w:hint="eastAsia" w:ascii="方正仿宋_GBK" w:hAnsi="方正仿宋_GBK" w:eastAsia="方正仿宋_GBK" w:cs="Times New Roman"/>
          <w:sz w:val="32"/>
          <w:szCs w:val="32"/>
          <w:highlight w:val="none"/>
          <w:lang w:val="en-US" w:eastAsia="zh-CN"/>
          <w14:ligatures w14:val="standardContextual"/>
        </w:rPr>
        <w:t>既为具备该特征的</w:t>
      </w:r>
      <w:r>
        <w:rPr>
          <w:rFonts w:hint="eastAsia" w:ascii="方正仿宋_GBK" w:hAnsi="方正仿宋_GBK" w:eastAsia="方正仿宋_GBK" w:cs="Times New Roman"/>
          <w:sz w:val="32"/>
          <w:szCs w:val="32"/>
          <w:highlight w:val="none"/>
          <w14:ligatures w14:val="standardContextual"/>
        </w:rPr>
        <w:t>苏南典型</w:t>
      </w:r>
      <w:r>
        <w:rPr>
          <w:rFonts w:hint="eastAsia" w:ascii="方正仿宋_GBK" w:hAnsi="方正仿宋_GBK" w:eastAsia="方正仿宋_GBK" w:cs="Times New Roman"/>
          <w:sz w:val="32"/>
          <w:szCs w:val="32"/>
          <w:highlight w:val="none"/>
          <w:lang w:val="en-US" w:eastAsia="zh-CN"/>
          <w14:ligatures w14:val="standardContextual"/>
        </w:rPr>
        <w:t>工业</w:t>
      </w:r>
      <w:r>
        <w:rPr>
          <w:rFonts w:hint="eastAsia" w:ascii="方正仿宋_GBK" w:hAnsi="方正仿宋_GBK" w:eastAsia="方正仿宋_GBK" w:cs="Times New Roman"/>
          <w:sz w:val="32"/>
          <w:szCs w:val="32"/>
          <w:highlight w:val="none"/>
          <w14:ligatures w14:val="standardContextual"/>
        </w:rPr>
        <w:t>园区，绿电用户覆盖10~110千伏全电压等级，全天用电负荷均匀且位置分散，负荷线路多为“常规+绿电混接”模式，绿电消费数据难以精准区分，无法满足欧盟碳足迹认证要求。</w:t>
      </w:r>
    </w:p>
    <w:p>
      <w:pPr>
        <w:adjustRightInd w:val="0"/>
        <w:snapToGrid w:val="0"/>
        <w:spacing w:line="560" w:lineRule="exact"/>
        <w:ind w:firstLine="643" w:firstLineChars="200"/>
        <w:outlineLvl w:val="9"/>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bCs/>
          <w:sz w:val="32"/>
          <w:szCs w:val="32"/>
          <w:highlight w:val="none"/>
          <w:lang w:val="en-US" w:eastAsia="zh-CN"/>
          <w14:ligatures w14:val="standardContextual"/>
        </w:rPr>
        <w:t>对于分散的中压绿电用户。</w:t>
      </w:r>
      <w:r>
        <w:rPr>
          <w:rFonts w:hint="eastAsia" w:ascii="方正仿宋_GBK" w:hAnsi="方正仿宋_GBK" w:eastAsia="方正仿宋_GBK" w:cs="Times New Roman"/>
          <w:sz w:val="32"/>
          <w:szCs w:val="32"/>
          <w:highlight w:val="none"/>
          <w14:ligatures w14:val="standardContextual"/>
        </w:rPr>
        <w:t>依托园区现有全额上网绿电资源（分布式光伏、储能），规划新建4座中压专用开关站（1座20千伏+3座10千伏），将原本“混接”在常规线路中的中压绿电用户负荷单独切改至新建开关站，再由开关站定向分配整合后的绿电资源</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lang w:val="en-US" w:eastAsia="zh-CN"/>
          <w14:ligatures w14:val="standardContextual"/>
        </w:rPr>
        <w:t>可</w:t>
      </w:r>
      <w:r>
        <w:rPr>
          <w:rFonts w:hint="eastAsia" w:ascii="方正仿宋_GBK" w:hAnsi="方正仿宋_GBK" w:eastAsia="方正仿宋_GBK" w:cs="Times New Roman"/>
          <w:sz w:val="32"/>
          <w:szCs w:val="32"/>
          <w:highlight w:val="none"/>
          <w14:ligatures w14:val="standardContextual"/>
        </w:rPr>
        <w:t>避免绿电与常规电的线路混流，确保每个中压用户的绿电消费数据独立计量、全程可溯。4座中压开关站总投资3520万元，覆盖7家中压绿电用户，实现绿电从“资源端-分配端-用户端”的全程可追溯，同时通过备用电源设计保障用户用电稳定性。</w:t>
      </w:r>
    </w:p>
    <w:p>
      <w:pPr>
        <w:adjustRightInd w:val="0"/>
        <w:snapToGrid w:val="0"/>
        <w:spacing w:line="560" w:lineRule="exact"/>
        <w:ind w:firstLine="643" w:firstLineChars="200"/>
        <w:outlineLvl w:val="9"/>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bCs/>
          <w:sz w:val="32"/>
          <w:szCs w:val="32"/>
          <w:highlight w:val="none"/>
          <w:lang w:val="en-US" w:eastAsia="zh-CN"/>
          <w14:ligatures w14:val="standardContextual"/>
        </w:rPr>
        <w:t>对于高压绿电用户近期规划。绿电资源引入：</w:t>
      </w:r>
      <w:r>
        <w:rPr>
          <w:rFonts w:hint="eastAsia" w:ascii="方正仿宋_GBK" w:hAnsi="方正仿宋_GBK" w:eastAsia="方正仿宋_GBK" w:cs="Times New Roman"/>
          <w:sz w:val="32"/>
          <w:szCs w:val="32"/>
          <w:highlight w:val="none"/>
          <w:lang w:val="en-US" w:eastAsia="zh-CN"/>
          <w14:ligatures w14:val="standardContextual"/>
        </w:rPr>
        <w:t>将国信前黄100兆瓦光伏通过专用线路接入220千伏西太湖变I段母线，同时规划将国信前黄408兆瓦光伏、国信光伏二期150兆瓦光伏通过1回220千伏线路（新建16.03公里）接入西太湖变220千伏侧母线，作为绿电储备资源。</w:t>
      </w:r>
      <w:r>
        <w:rPr>
          <w:rFonts w:hint="eastAsia" w:ascii="方正楷体_GBK" w:hAnsi="方正楷体_GBK" w:eastAsia="方正楷体_GBK" w:cs="方正楷体_GBK"/>
          <w:b/>
          <w:bCs/>
          <w:sz w:val="32"/>
          <w:szCs w:val="32"/>
          <w:highlight w:val="none"/>
          <w:lang w:val="en-US" w:eastAsia="zh-CN"/>
          <w14:ligatures w14:val="standardContextual"/>
        </w:rPr>
        <w:t>专用母线设计：</w:t>
      </w:r>
      <w:r>
        <w:rPr>
          <w:rFonts w:hint="eastAsia" w:ascii="方正仿宋_GBK" w:hAnsi="方正仿宋_GBK" w:eastAsia="方正仿宋_GBK" w:cs="Times New Roman"/>
          <w:sz w:val="32"/>
          <w:szCs w:val="32"/>
          <w:highlight w:val="none"/>
          <w14:ligatures w14:val="standardContextual"/>
        </w:rPr>
        <w:t>明确西太湖变I段母线为“绿电专用母线”，不与其他常规母线混接，新出1回110千伏线路（新建9.04公里）定向供应常州承建半导体</w:t>
      </w:r>
      <w:r>
        <w:rPr>
          <w:rFonts w:hint="eastAsia" w:ascii="方正仿宋_GBK" w:hAnsi="方正仿宋_GBK" w:eastAsia="方正仿宋_GBK" w:cs="Times New Roman"/>
          <w:sz w:val="32"/>
          <w:szCs w:val="32"/>
          <w:highlight w:val="none"/>
          <w:lang w:val="en-US" w:eastAsia="zh-CN"/>
          <w14:ligatures w14:val="standardContextual"/>
        </w:rPr>
        <w:t>有限公司</w:t>
      </w:r>
      <w:r>
        <w:rPr>
          <w:rFonts w:hint="eastAsia" w:ascii="方正仿宋_GBK" w:hAnsi="方正仿宋_GBK" w:eastAsia="方正仿宋_GBK" w:cs="Times New Roman"/>
          <w:sz w:val="32"/>
          <w:szCs w:val="32"/>
          <w:highlight w:val="none"/>
          <w14:ligatures w14:val="standardContextual"/>
        </w:rPr>
        <w:t>，同时覆盖理想汽车、江苏恒立精密、常州武进中瑞电子等4家110千伏用户。</w:t>
      </w:r>
      <w:r>
        <w:rPr>
          <w:rFonts w:hint="eastAsia" w:ascii="方正楷体_GBK" w:hAnsi="方正楷体_GBK" w:eastAsia="方正楷体_GBK" w:cs="方正楷体_GBK"/>
          <w:b/>
          <w:bCs/>
          <w:sz w:val="32"/>
          <w:szCs w:val="32"/>
          <w:highlight w:val="none"/>
          <w:lang w:val="en-US" w:eastAsia="zh-CN"/>
          <w14:ligatures w14:val="standardContextual"/>
        </w:rPr>
        <w:t>投资与效益：</w:t>
      </w:r>
      <w:r>
        <w:rPr>
          <w:rFonts w:hint="eastAsia" w:ascii="方正仿宋_GBK" w:hAnsi="方正仿宋_GBK" w:eastAsia="方正仿宋_GBK" w:cs="Times New Roman"/>
          <w:sz w:val="32"/>
          <w:szCs w:val="32"/>
          <w:highlight w:val="none"/>
          <w14:ligatures w14:val="standardContextual"/>
        </w:rPr>
        <w:t>项目总投资13070万元，投运后西太湖变I段母线年消费电量17236.02万千瓦时，可溯源绿电8596.56万千瓦时，物理可溯源绿电占比49.88%；其中理想汽车绿电占比最高（57.93%），满足高压用户大规模生产的绿电需求。</w:t>
      </w:r>
    </w:p>
    <w:p>
      <w:pPr>
        <w:adjustRightInd w:val="0"/>
        <w:snapToGrid w:val="0"/>
        <w:spacing w:line="560" w:lineRule="exact"/>
        <w:ind w:firstLine="643" w:firstLineChars="200"/>
        <w:outlineLvl w:val="9"/>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bCs/>
          <w:sz w:val="32"/>
          <w:szCs w:val="32"/>
          <w:highlight w:val="none"/>
          <w:lang w:val="en-US" w:eastAsia="zh-CN"/>
          <w14:ligatures w14:val="standardContextual"/>
        </w:rPr>
        <w:t>对于高压绿电用户远景规划：</w:t>
      </w:r>
      <w:r>
        <w:rPr>
          <w:rFonts w:hint="eastAsia" w:ascii="方正仿宋_GBK" w:hAnsi="方正仿宋_GBK" w:eastAsia="方正仿宋_GBK" w:cs="Times New Roman"/>
          <w:sz w:val="32"/>
          <w:szCs w:val="32"/>
          <w:highlight w:val="none"/>
          <w14:ligatures w14:val="standardContextual"/>
        </w:rPr>
        <w:t>以220千伏西太湖变为核心，通过超规模扩建3、4号主变，构建背靠背式绿电变电站，打造“绿电资源汇集-站内分配-用户接入”的一体化网关，</w:t>
      </w:r>
      <w:r>
        <w:rPr>
          <w:rFonts w:hint="eastAsia" w:ascii="方正仿宋_GBK" w:hAnsi="方正仿宋_GBK" w:eastAsia="方正仿宋_GBK" w:cs="Times New Roman"/>
          <w:sz w:val="32"/>
          <w:szCs w:val="32"/>
          <w:highlight w:val="none"/>
          <w:lang w:val="en-US" w:eastAsia="zh-CN"/>
          <w14:ligatures w14:val="standardContextual"/>
        </w:rPr>
        <w:t>承接</w:t>
      </w:r>
      <w:r>
        <w:rPr>
          <w:rFonts w:hint="eastAsia" w:ascii="方正仿宋_GBK" w:hAnsi="方正仿宋_GBK" w:eastAsia="方正仿宋_GBK" w:cs="Times New Roman"/>
          <w:sz w:val="32"/>
          <w:szCs w:val="32"/>
          <w:highlight w:val="none"/>
          <w14:ligatures w14:val="standardContextual"/>
        </w:rPr>
        <w:t>前黄地区</w:t>
      </w:r>
      <w:r>
        <w:rPr>
          <w:rFonts w:hint="eastAsia" w:ascii="方正仿宋_GBK" w:hAnsi="方正仿宋_GBK" w:eastAsia="方正仿宋_GBK" w:cs="Times New Roman"/>
          <w:sz w:val="32"/>
          <w:szCs w:val="32"/>
          <w:highlight w:val="none"/>
          <w:lang w:val="en-US" w:eastAsia="zh-CN"/>
          <w14:ligatures w14:val="standardContextual"/>
        </w:rPr>
        <w:t>近800兆瓦</w:t>
      </w:r>
      <w:r>
        <w:rPr>
          <w:rFonts w:hint="eastAsia" w:ascii="方正仿宋_GBK" w:hAnsi="方正仿宋_GBK" w:eastAsia="方正仿宋_GBK" w:cs="Times New Roman"/>
          <w:sz w:val="32"/>
          <w:szCs w:val="32"/>
          <w:highlight w:val="none"/>
          <w14:ligatures w14:val="standardContextual"/>
        </w:rPr>
        <w:t>的风光绿电资源，</w:t>
      </w:r>
      <w:r>
        <w:rPr>
          <w:rFonts w:hint="eastAsia" w:ascii="方正仿宋_GBK" w:hAnsi="方正仿宋_GBK" w:eastAsia="方正仿宋_GBK" w:cs="Times New Roman"/>
          <w:sz w:val="32"/>
          <w:szCs w:val="32"/>
          <w:highlight w:val="none"/>
          <w:lang w:val="en-US" w:eastAsia="zh-CN"/>
          <w14:ligatures w14:val="standardContextual"/>
        </w:rPr>
        <w:t>形成“绿电调度枢纽”</w:t>
      </w:r>
      <w:r>
        <w:rPr>
          <w:rFonts w:hint="eastAsia" w:ascii="方正仿宋_GBK" w:hAnsi="方正仿宋_GBK" w:eastAsia="方正仿宋_GBK" w:cs="Times New Roman"/>
          <w:sz w:val="32"/>
          <w:szCs w:val="32"/>
          <w:highlight w:val="none"/>
          <w14:ligatures w14:val="standardContextual"/>
        </w:rPr>
        <w:t>。</w:t>
      </w:r>
    </w:p>
    <w:p>
      <w:pPr>
        <w:adjustRightInd w:val="0"/>
        <w:snapToGrid w:val="0"/>
        <w:spacing w:line="360" w:lineRule="auto"/>
        <w:jc w:val="center"/>
        <w:outlineLvl w:val="9"/>
        <w:rPr>
          <w:rFonts w:hint="eastAsia" w:ascii="等线" w:hAnsi="等线" w:eastAsia="等线" w:cs="Times New Roman"/>
          <w:szCs w:val="22"/>
          <w:highlight w:val="none"/>
          <w14:ligatures w14:val="none"/>
        </w:rPr>
      </w:pPr>
      <w:r>
        <w:rPr>
          <w:rFonts w:ascii="等线" w:hAnsi="等线" w:eastAsia="等线" w:cs="Times New Roman"/>
          <w:szCs w:val="22"/>
          <w:highlight w:val="none"/>
          <w14:ligatures w14:val="none"/>
        </w:rPr>
        <w:drawing>
          <wp:inline distT="0" distB="0" distL="0" distR="0">
            <wp:extent cx="5274310" cy="2185670"/>
            <wp:effectExtent l="0" t="0" r="2540" b="5080"/>
            <wp:docPr id="636783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83373" name="图片 1"/>
                    <pic:cNvPicPr>
                      <a:picLocks noChangeAspect="1"/>
                    </pic:cNvPicPr>
                  </pic:nvPicPr>
                  <pic:blipFill>
                    <a:blip r:embed="rId4"/>
                    <a:stretch>
                      <a:fillRect/>
                    </a:stretch>
                  </pic:blipFill>
                  <pic:spPr>
                    <a:xfrm>
                      <a:off x="0" y="0"/>
                      <a:ext cx="5274310" cy="2185670"/>
                    </a:xfrm>
                    <a:prstGeom prst="rect">
                      <a:avLst/>
                    </a:prstGeom>
                  </pic:spPr>
                </pic:pic>
              </a:graphicData>
            </a:graphic>
          </wp:inline>
        </w:drawing>
      </w:r>
    </w:p>
    <w:p>
      <w:pPr>
        <w:adjustRightInd w:val="0"/>
        <w:snapToGrid w:val="0"/>
        <w:jc w:val="center"/>
        <w:outlineLvl w:val="9"/>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28"/>
          <w:szCs w:val="28"/>
          <w:highlight w:val="none"/>
          <w14:ligatures w14:val="standardContextual"/>
        </w:rPr>
        <w:t>图1 绿电变电站方案示意图</w:t>
      </w:r>
    </w:p>
    <w:p>
      <w:pPr>
        <w:adjustRightInd w:val="0"/>
        <w:snapToGrid w:val="0"/>
        <w:spacing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pPr>
      <w:r>
        <w:rPr>
          <w:rFonts w:hint="eastAsia" w:ascii="方正黑体_GBK" w:hAnsi="方正黑体_GBK" w:eastAsia="方正黑体_GBK" w:cs="方正黑体_GBK"/>
          <w:b/>
          <w:bCs/>
          <w:sz w:val="36"/>
          <w:szCs w:val="36"/>
          <w:highlight w:val="none"/>
          <w14:ligatures w14:val="standardContextual"/>
        </w:rPr>
        <w:t>四、绿电进园区相关</w:t>
      </w:r>
      <w:r>
        <w:rPr>
          <w:rFonts w:hint="eastAsia" w:ascii="方正黑体_GBK" w:hAnsi="方正黑体_GBK" w:eastAsia="方正黑体_GBK" w:cs="方正黑体_GBK"/>
          <w:b/>
          <w:bCs/>
          <w:sz w:val="36"/>
          <w:szCs w:val="36"/>
          <w:highlight w:val="none"/>
          <w:lang w:val="en-US" w:eastAsia="zh-CN"/>
          <w14:ligatures w14:val="standardContextual"/>
        </w:rPr>
        <w:t>工作</w:t>
      </w:r>
      <w:r>
        <w:rPr>
          <w:rFonts w:hint="eastAsia" w:ascii="方正黑体_GBK" w:hAnsi="方正黑体_GBK" w:eastAsia="方正黑体_GBK" w:cs="方正黑体_GBK"/>
          <w:b/>
          <w:bCs/>
          <w:sz w:val="36"/>
          <w:szCs w:val="36"/>
          <w:highlight w:val="none"/>
          <w14:ligatures w14:val="standardContextual"/>
        </w:rPr>
        <w:t>建议</w:t>
      </w:r>
    </w:p>
    <w:p>
      <w:pPr>
        <w:adjustRightInd w:val="0"/>
        <w:snapToGrid w:val="0"/>
        <w:spacing w:line="560" w:lineRule="exact"/>
        <w:ind w:firstLine="640" w:firstLineChars="200"/>
        <w:outlineLvl w:val="9"/>
        <w:rPr>
          <w:rFonts w:hint="eastAsia" w:ascii="方正仿宋_GBK" w:hAnsi="方正仿宋_GBK" w:eastAsia="方正仿宋_GBK" w:cs="Times New Roman"/>
          <w:sz w:val="32"/>
          <w:szCs w:val="32"/>
          <w:highlight w:val="none"/>
          <w:lang w:eastAsia="zh-CN"/>
          <w14:ligatures w14:val="standardContextual"/>
        </w:rPr>
      </w:pPr>
      <w:r>
        <w:rPr>
          <w:rFonts w:hint="eastAsia" w:ascii="方正仿宋_GBK" w:hAnsi="方正仿宋_GBK" w:eastAsia="方正仿宋_GBK" w:cs="Times New Roman"/>
          <w:sz w:val="32"/>
          <w:szCs w:val="32"/>
          <w:highlight w:val="none"/>
          <w14:ligatures w14:val="standardContextual"/>
        </w:rPr>
        <w:t>为破解绿电供需矛盾、提升园区绿电消纳效率、助力企业应对国际低碳竞争，从</w:t>
      </w:r>
      <w:r>
        <w:rPr>
          <w:rFonts w:hint="eastAsia" w:ascii="方正楷体_GBK" w:hAnsi="方正楷体_GBK" w:eastAsia="方正楷体_GBK" w:cs="方正楷体_GBK"/>
          <w:b/>
          <w:bCs/>
          <w:kern w:val="2"/>
          <w:sz w:val="32"/>
          <w:szCs w:val="32"/>
          <w:highlight w:val="none"/>
          <w:lang w:val="en-US" w:eastAsia="zh-CN" w:bidi="ar-SA"/>
          <w14:ligatures w14:val="standardContextual"/>
        </w:rPr>
        <w:t>规划建设、成本疏导、数字赋能</w:t>
      </w:r>
      <w:r>
        <w:rPr>
          <w:rFonts w:hint="eastAsia" w:ascii="方正仿宋_GBK" w:hAnsi="方正仿宋_GBK" w:eastAsia="方正仿宋_GBK" w:cs="Times New Roman"/>
          <w:sz w:val="32"/>
          <w:szCs w:val="32"/>
          <w:highlight w:val="none"/>
          <w14:ligatures w14:val="standardContextual"/>
        </w:rPr>
        <w:t>三个核心维度优化工作建议，推动绿电进园区从“试点探索”转向“落地</w:t>
      </w:r>
      <w:r>
        <w:rPr>
          <w:rFonts w:hint="eastAsia" w:ascii="方正仿宋_GBK" w:hAnsi="方正仿宋_GBK" w:eastAsia="方正仿宋_GBK" w:cs="Times New Roman"/>
          <w:sz w:val="32"/>
          <w:szCs w:val="32"/>
          <w:highlight w:val="none"/>
          <w:lang w:val="en-US" w:eastAsia="zh-CN"/>
          <w14:ligatures w14:val="standardContextual"/>
        </w:rPr>
        <w:t>实践</w:t>
      </w:r>
      <w:r>
        <w:rPr>
          <w:rFonts w:hint="eastAsia" w:ascii="方正仿宋_GBK" w:hAnsi="方正仿宋_GBK" w:eastAsia="方正仿宋_GBK" w:cs="Times New Roman"/>
          <w:sz w:val="32"/>
          <w:szCs w:val="32"/>
          <w:highlight w:val="none"/>
          <w14:ligatures w14:val="standardContextual"/>
        </w:rPr>
        <w:t>”</w:t>
      </w:r>
      <w:r>
        <w:rPr>
          <w:rFonts w:hint="eastAsia" w:ascii="方正仿宋_GBK" w:hAnsi="方正仿宋_GBK" w:eastAsia="方正仿宋_GBK" w:cs="Times New Roman"/>
          <w:sz w:val="32"/>
          <w:szCs w:val="32"/>
          <w:highlight w:val="none"/>
          <w:lang w:eastAsia="zh-CN"/>
          <w14:ligatures w14:val="standardContextual"/>
        </w:rPr>
        <w:t>。</w:t>
      </w:r>
    </w:p>
    <w:p>
      <w:pPr>
        <w:widowControl w:val="0"/>
        <w:numPr>
          <w:ilvl w:val="0"/>
          <w:numId w:val="0"/>
        </w:numPr>
        <w:adjustRightInd w:val="0"/>
        <w:snapToGrid w:val="0"/>
        <w:spacing w:line="560" w:lineRule="exact"/>
        <w:ind w:left="643" w:leftChars="0"/>
        <w:contextualSpacing/>
        <w:jc w:val="both"/>
        <w:outlineLvl w:val="1"/>
        <w:rPr>
          <w:rFonts w:hint="default" w:ascii="方正楷体_GBK" w:hAnsi="方正楷体_GBK" w:eastAsia="方正楷体_GBK" w:cs="方正楷体_GBK"/>
          <w:b/>
          <w:bCs/>
          <w:kern w:val="2"/>
          <w:sz w:val="32"/>
          <w:szCs w:val="32"/>
          <w:highlight w:val="none"/>
          <w:lang w:val="en-US" w:eastAsia="zh-CN" w:bidi="ar-SA"/>
          <w14:ligatures w14:val="standardContextual"/>
        </w:rPr>
      </w:pPr>
      <w:r>
        <w:rPr>
          <w:rFonts w:hint="eastAsia" w:ascii="方正楷体_GBK" w:hAnsi="方正楷体_GBK" w:eastAsia="方正楷体_GBK" w:cs="方正楷体_GBK"/>
          <w:b/>
          <w:bCs/>
          <w:kern w:val="2"/>
          <w:sz w:val="32"/>
          <w:szCs w:val="32"/>
          <w:highlight w:val="none"/>
          <w:lang w:val="en-US" w:eastAsia="zh-CN" w:bidi="ar-SA"/>
          <w14:ligatures w14:val="standardContextual"/>
        </w:rPr>
        <w:t>（一）推动电网规划与绿电项目协同共进</w:t>
      </w:r>
    </w:p>
    <w:p>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left="0" w:leftChars="0" w:firstLine="640" w:firstLineChars="200"/>
        <w:contextualSpacing/>
        <w:jc w:val="both"/>
        <w:textAlignment w:val="auto"/>
        <w:outlineLvl w:val="1"/>
        <w:rPr>
          <w:rFonts w:hint="eastAsia" w:ascii="方正仿宋_GBK" w:hAnsi="方正仿宋_GBK" w:eastAsia="方正仿宋_GBK" w:cs="Times New Roman"/>
          <w:kern w:val="2"/>
          <w:sz w:val="32"/>
          <w:szCs w:val="32"/>
          <w:highlight w:val="none"/>
          <w:lang w:val="en-US" w:eastAsia="zh-CN" w:bidi="ar-SA"/>
          <w14:ligatures w14:val="standardContextual"/>
        </w:rPr>
      </w:pPr>
      <w:r>
        <w:rPr>
          <w:rFonts w:hint="eastAsia" w:ascii="方正仿宋_GBK" w:hAnsi="方正仿宋_GBK" w:eastAsia="方正仿宋_GBK" w:cs="Times New Roman"/>
          <w:kern w:val="2"/>
          <w:sz w:val="32"/>
          <w:szCs w:val="32"/>
          <w:highlight w:val="none"/>
          <w:lang w:val="en-US" w:eastAsia="zh-CN" w:bidi="ar-SA"/>
          <w14:ligatures w14:val="standardContextual"/>
        </w:rPr>
        <w:t>针对电网适配性不足和重复建设问题，强化电网规划与绿电项目在空间、时序、容量等方面的协同。</w:t>
      </w:r>
    </w:p>
    <w:p>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left="0" w:leftChars="0" w:firstLine="643" w:firstLineChars="200"/>
        <w:contextualSpacing/>
        <w:jc w:val="both"/>
        <w:textAlignment w:val="auto"/>
        <w:outlineLvl w:val="1"/>
        <w:rPr>
          <w:rFonts w:hint="eastAsia" w:ascii="方正仿宋_GBK" w:hAnsi="方正仿宋_GBK" w:eastAsia="方正仿宋_GBK" w:cs="Times New Roman"/>
          <w:kern w:val="2"/>
          <w:sz w:val="32"/>
          <w:szCs w:val="32"/>
          <w:highlight w:val="none"/>
          <w:lang w:val="en-US" w:eastAsia="zh-CN" w:bidi="ar-SA"/>
          <w14:ligatures w14:val="standardContextual"/>
        </w:rPr>
      </w:pPr>
      <w:r>
        <w:rPr>
          <w:rFonts w:hint="eastAsia" w:ascii="方正楷体_GBK" w:hAnsi="方正楷体_GBK" w:eastAsia="方正楷体_GBK" w:cs="方正楷体_GBK"/>
          <w:b/>
          <w:bCs/>
          <w:kern w:val="2"/>
          <w:sz w:val="32"/>
          <w:szCs w:val="32"/>
          <w:highlight w:val="none"/>
          <w:lang w:val="en-US" w:eastAsia="zh-CN" w:bidi="ar-SA"/>
          <w14:ligatures w14:val="standardContextual"/>
        </w:rPr>
        <w:t>一是升级主干网架，建设绿电汇集枢纽。</w:t>
      </w:r>
      <w:r>
        <w:rPr>
          <w:rFonts w:hint="eastAsia" w:ascii="方正仿宋_GBK" w:hAnsi="方正仿宋_GBK" w:eastAsia="方正仿宋_GBK" w:cs="Times New Roman"/>
          <w:kern w:val="2"/>
          <w:sz w:val="32"/>
          <w:szCs w:val="32"/>
          <w:highlight w:val="none"/>
          <w:lang w:val="en-US" w:eastAsia="zh-CN" w:bidi="ar-SA"/>
          <w14:ligatures w14:val="standardContextual"/>
        </w:rPr>
        <w:t>加快推进220千伏、110千伏输变电工程建设，同步规划建设纯绿电变电站与绿电专用母线，打造区域绿电“汇集枢纽”。在新建变电站、改扩建工程中超前预留绿电并网接口和容量，通过优化电网结构，提升电网对大规模绿电的承载能力，减少绿电与常规电的线路混流，确保绿电输送更高效、供应更稳定，满足园区企业快速增长的绿电接入需求。</w:t>
      </w:r>
    </w:p>
    <w:p>
      <w:pPr>
        <w:adjustRightInd w:val="0"/>
        <w:snapToGrid w:val="0"/>
        <w:spacing w:line="560" w:lineRule="exact"/>
        <w:ind w:firstLine="643" w:firstLineChars="200"/>
        <w:outlineLvl w:val="1"/>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bCs/>
          <w:kern w:val="2"/>
          <w:sz w:val="32"/>
          <w:szCs w:val="32"/>
          <w:highlight w:val="none"/>
          <w:lang w:val="en-US" w:eastAsia="zh-CN" w:bidi="ar-SA"/>
          <w14:ligatures w14:val="standardContextual"/>
        </w:rPr>
        <w:t>二是强化台区智能调控，促进就地高效消纳。</w:t>
      </w:r>
      <w:r>
        <w:rPr>
          <w:rFonts w:hint="eastAsia" w:ascii="方正仿宋_GBK" w:hAnsi="方正仿宋_GBK" w:eastAsia="方正仿宋_GBK" w:cs="Times New Roman"/>
          <w:sz w:val="32"/>
          <w:szCs w:val="32"/>
          <w:highlight w:val="none"/>
          <w14:ligatures w14:val="standardContextual"/>
        </w:rPr>
        <w:t>以新型配变融合终端为核心设备，搭建台区智能化管控系统，一方面实时监控分布式光伏、储能、充电桩等设备的运行状态，另一方面灵活调节园区用电负荷。同时开展台区绿电与负荷的“自平衡优化分析”，动态匹配绿电供应时段与企业用电高峰，让更多绿电在园区本地被直接消纳，减少绿电输送损耗。</w:t>
      </w:r>
    </w:p>
    <w:p>
      <w:pPr>
        <w:adjustRightInd w:val="0"/>
        <w:snapToGrid w:val="0"/>
        <w:spacing w:line="560" w:lineRule="exact"/>
        <w:ind w:firstLine="643" w:firstLineChars="200"/>
        <w:outlineLvl w:val="1"/>
        <w:rPr>
          <w:rFonts w:hint="eastAsia" w:ascii="方正仿宋_GBK" w:hAnsi="方正仿宋_GBK" w:eastAsia="方正仿宋_GBK" w:cs="Times New Roman"/>
          <w:sz w:val="32"/>
          <w:szCs w:val="32"/>
          <w:highlight w:val="none"/>
          <w:lang w:eastAsia="zh-CN"/>
          <w14:ligatures w14:val="standardContextual"/>
        </w:rPr>
      </w:pPr>
      <w:r>
        <w:rPr>
          <w:rFonts w:hint="eastAsia" w:ascii="方正楷体_GBK" w:hAnsi="方正楷体_GBK" w:eastAsia="方正楷体_GBK" w:cs="方正楷体_GBK"/>
          <w:b/>
          <w:bCs/>
          <w:kern w:val="2"/>
          <w:sz w:val="32"/>
          <w:szCs w:val="32"/>
          <w:highlight w:val="none"/>
          <w:lang w:val="en-US" w:eastAsia="zh-CN" w:bidi="ar-SA"/>
          <w14:ligatures w14:val="standardContextual"/>
        </w:rPr>
        <w:t>三是建立电网企业、运营商与需求用户的三方协同机制。</w:t>
      </w:r>
      <w:r>
        <w:rPr>
          <w:rFonts w:hint="eastAsia" w:ascii="方正仿宋_GBK" w:hAnsi="方正仿宋_GBK" w:eastAsia="方正仿宋_GBK" w:cs="Times New Roman"/>
          <w:sz w:val="32"/>
          <w:szCs w:val="32"/>
          <w:highlight w:val="none"/>
          <w:lang w:val="en-US" w:eastAsia="zh-CN"/>
          <w14:ligatures w14:val="standardContextual"/>
        </w:rPr>
        <w:t>推动</w:t>
      </w:r>
      <w:r>
        <w:rPr>
          <w:rFonts w:hint="eastAsia" w:ascii="方正仿宋_GBK" w:hAnsi="方正仿宋_GBK" w:eastAsia="方正仿宋_GBK" w:cs="Times New Roman"/>
          <w:sz w:val="32"/>
          <w:szCs w:val="32"/>
          <w:highlight w:val="none"/>
          <w14:ligatures w14:val="standardContextual"/>
        </w:rPr>
        <w:t>绿电项目</w:t>
      </w:r>
      <w:r>
        <w:rPr>
          <w:rFonts w:hint="eastAsia" w:ascii="方正仿宋_GBK" w:hAnsi="方正仿宋_GBK" w:eastAsia="方正仿宋_GBK" w:cs="Times New Roman"/>
          <w:sz w:val="32"/>
          <w:szCs w:val="32"/>
          <w:highlight w:val="none"/>
          <w:lang w:val="en-US" w:eastAsia="zh-CN"/>
          <w14:ligatures w14:val="standardContextual"/>
        </w:rPr>
        <w:t>在</w:t>
      </w:r>
      <w:r>
        <w:rPr>
          <w:rFonts w:hint="eastAsia" w:ascii="方正仿宋_GBK" w:hAnsi="方正仿宋_GBK" w:eastAsia="方正仿宋_GBK" w:cs="Times New Roman"/>
          <w:sz w:val="32"/>
          <w:szCs w:val="32"/>
          <w:highlight w:val="none"/>
          <w14:ligatures w14:val="standardContextual"/>
        </w:rPr>
        <w:t>立项阶段</w:t>
      </w:r>
      <w:r>
        <w:rPr>
          <w:rFonts w:hint="eastAsia" w:ascii="方正仿宋_GBK" w:hAnsi="方正仿宋_GBK" w:eastAsia="方正仿宋_GBK" w:cs="Times New Roman"/>
          <w:sz w:val="32"/>
          <w:szCs w:val="32"/>
          <w:highlight w:val="none"/>
          <w:lang w:val="en-US" w:eastAsia="zh-CN"/>
          <w14:ligatures w14:val="standardContextual"/>
        </w:rPr>
        <w:t>与</w:t>
      </w:r>
      <w:r>
        <w:rPr>
          <w:rFonts w:hint="eastAsia" w:ascii="方正仿宋_GBK" w:hAnsi="方正仿宋_GBK" w:eastAsia="方正仿宋_GBK" w:cs="Times New Roman"/>
          <w:sz w:val="32"/>
          <w:szCs w:val="32"/>
          <w:highlight w:val="none"/>
          <w14:ligatures w14:val="standardContextual"/>
        </w:rPr>
        <w:t>电网企业开展“电网适配性评估”</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14:ligatures w14:val="standardContextual"/>
        </w:rPr>
        <w:t>同步论证现有电网结构、可改造能力</w:t>
      </w:r>
      <w:r>
        <w:rPr>
          <w:rFonts w:hint="eastAsia" w:ascii="方正仿宋_GBK" w:hAnsi="方正仿宋_GBK" w:eastAsia="方正仿宋_GBK" w:cs="Times New Roman"/>
          <w:sz w:val="32"/>
          <w:szCs w:val="32"/>
          <w:highlight w:val="none"/>
          <w:lang w:eastAsia="zh-CN"/>
          <w14:ligatures w14:val="standardContextual"/>
        </w:rPr>
        <w:t>，明确接网方案和改造要求，确保绿电项目与电网接纳能力相匹配，保障绿电“并得上、送得出”。鼓励</w:t>
      </w:r>
      <w:r>
        <w:rPr>
          <w:rFonts w:hint="eastAsia" w:ascii="方正仿宋_GBK" w:hAnsi="方正仿宋_GBK" w:eastAsia="方正仿宋_GBK" w:cs="Times New Roman"/>
          <w:sz w:val="32"/>
          <w:szCs w:val="32"/>
          <w:highlight w:val="none"/>
          <w:lang w:val="en-US" w:eastAsia="zh-CN"/>
          <w14:ligatures w14:val="standardContextual"/>
        </w:rPr>
        <w:t>绿电需求用户</w:t>
      </w:r>
      <w:r>
        <w:rPr>
          <w:rFonts w:hint="eastAsia" w:ascii="方正仿宋_GBK" w:hAnsi="方正仿宋_GBK" w:eastAsia="方正仿宋_GBK" w:cs="Times New Roman"/>
          <w:sz w:val="32"/>
          <w:szCs w:val="32"/>
          <w:highlight w:val="none"/>
          <w:lang w:eastAsia="zh-CN"/>
          <w14:ligatures w14:val="standardContextual"/>
        </w:rPr>
        <w:t>在规划阶段明确接网容量、时段需求、溯源级别及可接受成本，充分参与接入系统方案的设计讨论，电网企业</w:t>
      </w:r>
      <w:r>
        <w:rPr>
          <w:rFonts w:hint="eastAsia" w:ascii="方正仿宋_GBK" w:hAnsi="方正仿宋_GBK" w:eastAsia="方正仿宋_GBK" w:cs="Times New Roman"/>
          <w:sz w:val="32"/>
          <w:szCs w:val="32"/>
          <w:highlight w:val="none"/>
          <w:lang w:val="en-US" w:eastAsia="zh-CN"/>
          <w14:ligatures w14:val="standardContextual"/>
        </w:rPr>
        <w:t>结合实际</w:t>
      </w:r>
      <w:r>
        <w:rPr>
          <w:rFonts w:hint="eastAsia" w:ascii="方正仿宋_GBK" w:hAnsi="方正仿宋_GBK" w:eastAsia="方正仿宋_GBK" w:cs="Times New Roman"/>
          <w:sz w:val="32"/>
          <w:szCs w:val="32"/>
          <w:highlight w:val="none"/>
          <w:lang w:eastAsia="zh-CN"/>
          <w14:ligatures w14:val="standardContextual"/>
        </w:rPr>
        <w:t>为用户提供差异化接网</w:t>
      </w:r>
      <w:r>
        <w:rPr>
          <w:rFonts w:hint="eastAsia" w:ascii="方正仿宋_GBK" w:hAnsi="方正仿宋_GBK" w:eastAsia="方正仿宋_GBK" w:cs="Times New Roman"/>
          <w:sz w:val="32"/>
          <w:szCs w:val="32"/>
          <w:highlight w:val="none"/>
          <w:lang w:val="en-US" w:eastAsia="zh-CN"/>
          <w14:ligatures w14:val="standardContextual"/>
        </w:rPr>
        <w:t>方案设计服务</w:t>
      </w:r>
      <w:r>
        <w:rPr>
          <w:rFonts w:hint="eastAsia" w:ascii="方正仿宋_GBK" w:hAnsi="方正仿宋_GBK" w:eastAsia="方正仿宋_GBK" w:cs="Times New Roman"/>
          <w:sz w:val="32"/>
          <w:szCs w:val="32"/>
          <w:highlight w:val="none"/>
          <w:lang w:eastAsia="zh-CN"/>
          <w14:ligatures w14:val="standardContextual"/>
        </w:rPr>
        <w:t>。</w:t>
      </w:r>
    </w:p>
    <w:p>
      <w:pPr>
        <w:adjustRightInd w:val="0"/>
        <w:snapToGrid w:val="0"/>
        <w:spacing w:line="560" w:lineRule="exact"/>
        <w:ind w:firstLine="643" w:firstLineChars="200"/>
        <w:outlineLvl w:val="1"/>
        <w:rPr>
          <w:rFonts w:hint="default" w:ascii="方正楷体_GBK" w:hAnsi="方正楷体_GBK" w:eastAsia="方正楷体_GBK" w:cs="方正楷体_GBK"/>
          <w:b/>
          <w:bCs/>
          <w:sz w:val="32"/>
          <w:szCs w:val="32"/>
          <w:highlight w:val="none"/>
          <w:lang w:val="en-US" w:eastAsia="zh-CN"/>
          <w14:ligatures w14:val="standardContextual"/>
        </w:rPr>
      </w:pPr>
      <w:r>
        <w:rPr>
          <w:rFonts w:hint="eastAsia" w:ascii="方正楷体_GBK" w:hAnsi="方正楷体_GBK" w:eastAsia="方正楷体_GBK" w:cs="方正楷体_GBK"/>
          <w:b/>
          <w:bCs/>
          <w:sz w:val="32"/>
          <w:szCs w:val="32"/>
          <w:highlight w:val="none"/>
          <w14:ligatures w14:val="standardContextual"/>
        </w:rPr>
        <w:t>（二）</w:t>
      </w:r>
      <w:r>
        <w:rPr>
          <w:rFonts w:hint="eastAsia" w:ascii="方正楷体_GBK" w:hAnsi="方正楷体_GBK" w:eastAsia="方正楷体_GBK" w:cs="方正楷体_GBK"/>
          <w:b/>
          <w:bCs/>
          <w:sz w:val="32"/>
          <w:szCs w:val="32"/>
          <w:highlight w:val="none"/>
          <w:lang w:val="en-US" w:eastAsia="zh-CN"/>
          <w14:ligatures w14:val="standardContextual"/>
        </w:rPr>
        <w:t>建立多元成本疏导机制，降低企业负担</w:t>
      </w:r>
    </w:p>
    <w:p>
      <w:pPr>
        <w:adjustRightInd w:val="0"/>
        <w:snapToGrid w:val="0"/>
        <w:spacing w:line="560" w:lineRule="exact"/>
        <w:ind w:firstLine="640" w:firstLineChars="200"/>
        <w:outlineLvl w:val="1"/>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highlight w:val="none"/>
          <w14:ligatures w14:val="standardContextual"/>
        </w:rPr>
        <w:t>针对电网改造费</w:t>
      </w:r>
      <w:r>
        <w:rPr>
          <w:rFonts w:hint="eastAsia" w:ascii="方正仿宋_GBK" w:hAnsi="方正仿宋_GBK" w:eastAsia="方正仿宋_GBK" w:cs="Times New Roman"/>
          <w:sz w:val="32"/>
          <w:szCs w:val="32"/>
          <w:highlight w:val="none"/>
          <w:lang w:val="en-US" w:eastAsia="zh-CN"/>
          <w14:ligatures w14:val="standardContextual"/>
        </w:rPr>
        <w:t>产生的额外费用，</w:t>
      </w:r>
      <w:r>
        <w:rPr>
          <w:rFonts w:hint="eastAsia" w:ascii="方正仿宋_GBK" w:hAnsi="方正仿宋_GBK" w:eastAsia="方正仿宋_GBK" w:cs="Times New Roman"/>
          <w:sz w:val="32"/>
          <w:szCs w:val="32"/>
          <w:highlight w:val="none"/>
          <w14:ligatures w14:val="standardContextual"/>
        </w:rPr>
        <w:t>中小企业承担能力弱</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lang w:val="en-US" w:eastAsia="zh-CN"/>
          <w14:ligatures w14:val="standardContextual"/>
        </w:rPr>
        <w:t>多</w:t>
      </w:r>
      <w:r>
        <w:rPr>
          <w:rFonts w:hint="eastAsia" w:ascii="方正仿宋_GBK" w:hAnsi="方正仿宋_GBK" w:eastAsia="方正仿宋_GBK" w:cs="Times New Roman"/>
          <w:sz w:val="32"/>
          <w:szCs w:val="32"/>
          <w:highlight w:val="none"/>
          <w14:ligatures w14:val="standardContextual"/>
        </w:rPr>
        <w:t>重成本压身</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14:ligatures w14:val="standardContextual"/>
        </w:rPr>
        <w:t>的瓶颈，新增成本疏导方向，</w:t>
      </w:r>
      <w:r>
        <w:rPr>
          <w:rFonts w:hint="eastAsia" w:ascii="方正仿宋_GBK" w:hAnsi="方正仿宋_GBK" w:eastAsia="方正仿宋_GBK" w:cs="Times New Roman"/>
          <w:sz w:val="32"/>
          <w:szCs w:val="32"/>
          <w:highlight w:val="none"/>
          <w:lang w:val="en-US" w:eastAsia="zh-CN"/>
          <w14:ligatures w14:val="standardContextual"/>
        </w:rPr>
        <w:t>降低企业负担</w:t>
      </w:r>
      <w:r>
        <w:rPr>
          <w:rFonts w:hint="eastAsia" w:ascii="方正仿宋_GBK" w:hAnsi="方正仿宋_GBK" w:eastAsia="方正仿宋_GBK" w:cs="Times New Roman"/>
          <w:sz w:val="32"/>
          <w:szCs w:val="32"/>
          <w:highlight w:val="none"/>
          <w14:ligatures w14:val="standardContextual"/>
        </w:rPr>
        <w:t>。</w:t>
      </w:r>
    </w:p>
    <w:p>
      <w:pPr>
        <w:adjustRightInd w:val="0"/>
        <w:snapToGrid w:val="0"/>
        <w:spacing w:line="560" w:lineRule="exact"/>
        <w:ind w:firstLine="643" w:firstLineChars="200"/>
        <w:outlineLvl w:val="1"/>
        <w:rPr>
          <w:rFonts w:hint="eastAsia" w:ascii="方正仿宋_GBK" w:hAnsi="方正仿宋_GBK" w:eastAsia="方正仿宋_GBK" w:cs="Times New Roman"/>
          <w:sz w:val="32"/>
          <w:szCs w:val="32"/>
          <w:highlight w:val="none"/>
          <w:lang w:eastAsia="zh-CN"/>
          <w14:ligatures w14:val="standardContextual"/>
        </w:rPr>
      </w:pPr>
      <w:r>
        <w:rPr>
          <w:rFonts w:hint="eastAsia" w:ascii="方正楷体_GBK" w:hAnsi="方正楷体_GBK" w:eastAsia="方正楷体_GBK" w:cs="方正楷体_GBK"/>
          <w:b/>
          <w:bCs/>
          <w:sz w:val="32"/>
          <w:szCs w:val="32"/>
          <w:highlight w:val="none"/>
          <w:lang w:val="en-US" w:eastAsia="zh-CN"/>
          <w14:ligatures w14:val="standardContextual"/>
        </w:rPr>
        <w:t>一是研究电网改造成本分摊模式。</w:t>
      </w:r>
      <w:r>
        <w:rPr>
          <w:rFonts w:hint="eastAsia" w:ascii="方正仿宋_GBK" w:hAnsi="方正仿宋_GBK" w:eastAsia="方正仿宋_GBK" w:cs="Times New Roman"/>
          <w:sz w:val="32"/>
          <w:szCs w:val="32"/>
          <w:highlight w:val="none"/>
          <w:lang w:val="en-US" w:eastAsia="zh-CN"/>
          <w14:ligatures w14:val="standardContextual"/>
        </w:rPr>
        <w:t>借鉴</w:t>
      </w:r>
      <w:r>
        <w:rPr>
          <w:rFonts w:hint="eastAsia" w:ascii="方正仿宋_GBK" w:hAnsi="方正仿宋_GBK" w:eastAsia="方正仿宋_GBK" w:cs="Times New Roman"/>
          <w:sz w:val="32"/>
          <w:szCs w:val="32"/>
          <w:highlight w:val="none"/>
          <w14:ligatures w14:val="standardContextual"/>
        </w:rPr>
        <w:t>现有</w:t>
      </w:r>
      <w:r>
        <w:rPr>
          <w:rFonts w:hint="eastAsia" w:ascii="方正仿宋_GBK" w:hAnsi="方正仿宋_GBK" w:eastAsia="方正仿宋_GBK" w:cs="Times New Roman"/>
          <w:sz w:val="32"/>
          <w:szCs w:val="32"/>
          <w:highlight w:val="none"/>
          <w:lang w:val="en-US" w:eastAsia="zh-CN"/>
          <w14:ligatures w14:val="standardContextual"/>
        </w:rPr>
        <w:t>的“零碳园区”和促进绿电交易等各类补贴</w:t>
      </w:r>
      <w:r>
        <w:rPr>
          <w:rFonts w:hint="eastAsia" w:ascii="方正仿宋_GBK" w:hAnsi="方正仿宋_GBK" w:eastAsia="方正仿宋_GBK" w:cs="Times New Roman"/>
          <w:sz w:val="32"/>
          <w:szCs w:val="32"/>
          <w:highlight w:val="none"/>
          <w14:ligatures w14:val="standardContextual"/>
        </w:rPr>
        <w:t>政策，将补贴</w:t>
      </w:r>
      <w:r>
        <w:rPr>
          <w:rFonts w:hint="eastAsia" w:ascii="方正仿宋_GBK" w:hAnsi="方正仿宋_GBK" w:eastAsia="方正仿宋_GBK" w:cs="Times New Roman"/>
          <w:sz w:val="32"/>
          <w:szCs w:val="32"/>
          <w:highlight w:val="none"/>
          <w:lang w:val="en-US" w:eastAsia="zh-CN"/>
          <w14:ligatures w14:val="standardContextual"/>
        </w:rPr>
        <w:t>范围</w:t>
      </w:r>
      <w:r>
        <w:rPr>
          <w:rFonts w:hint="eastAsia" w:ascii="方正仿宋_GBK" w:hAnsi="方正仿宋_GBK" w:eastAsia="方正仿宋_GBK" w:cs="Times New Roman"/>
          <w:sz w:val="32"/>
          <w:szCs w:val="32"/>
          <w:highlight w:val="none"/>
          <w14:ligatures w14:val="standardContextual"/>
        </w:rPr>
        <w:t>延伸至绿电</w:t>
      </w:r>
      <w:r>
        <w:rPr>
          <w:rFonts w:hint="eastAsia" w:ascii="方正仿宋_GBK" w:hAnsi="方正仿宋_GBK" w:eastAsia="方正仿宋_GBK" w:cs="Times New Roman"/>
          <w:sz w:val="32"/>
          <w:szCs w:val="32"/>
          <w:highlight w:val="none"/>
          <w:lang w:val="en-US" w:eastAsia="zh-CN"/>
          <w14:ligatures w14:val="standardContextual"/>
        </w:rPr>
        <w:t>接网</w:t>
      </w:r>
      <w:r>
        <w:rPr>
          <w:rFonts w:hint="eastAsia" w:ascii="方正仿宋_GBK" w:hAnsi="方正仿宋_GBK" w:eastAsia="方正仿宋_GBK" w:cs="Times New Roman"/>
          <w:sz w:val="32"/>
          <w:szCs w:val="32"/>
          <w:highlight w:val="none"/>
          <w14:ligatures w14:val="standardContextual"/>
        </w:rPr>
        <w:t>环节</w:t>
      </w:r>
      <w:r>
        <w:rPr>
          <w:rFonts w:hint="eastAsia" w:ascii="方正仿宋_GBK" w:hAnsi="方正仿宋_GBK" w:eastAsia="方正仿宋_GBK" w:cs="Times New Roman"/>
          <w:sz w:val="32"/>
          <w:szCs w:val="32"/>
          <w:highlight w:val="none"/>
          <w:lang w:val="en-US" w:eastAsia="zh-CN"/>
          <w14:ligatures w14:val="standardContextual"/>
        </w:rPr>
        <w:t>，</w:t>
      </w:r>
      <w:r>
        <w:rPr>
          <w:rFonts w:hint="eastAsia" w:ascii="方正仿宋_GBK" w:hAnsi="方正仿宋_GBK" w:eastAsia="方正仿宋_GBK" w:cs="Times New Roman"/>
          <w:sz w:val="32"/>
          <w:szCs w:val="32"/>
          <w:highlight w:val="none"/>
          <w14:ligatures w14:val="standardContextual"/>
        </w:rPr>
        <w:t>对中小企业</w:t>
      </w:r>
      <w:r>
        <w:rPr>
          <w:rFonts w:hint="eastAsia" w:ascii="方正仿宋_GBK" w:hAnsi="方正仿宋_GBK" w:eastAsia="方正仿宋_GBK" w:cs="Times New Roman"/>
          <w:sz w:val="32"/>
          <w:szCs w:val="32"/>
          <w:highlight w:val="none"/>
          <w:lang w:val="en-US" w:eastAsia="zh-CN"/>
          <w14:ligatures w14:val="standardContextual"/>
        </w:rPr>
        <w:t>申请绿电接入涉及的</w:t>
      </w:r>
      <w:r>
        <w:rPr>
          <w:rFonts w:hint="eastAsia" w:ascii="方正仿宋_GBK" w:hAnsi="方正仿宋_GBK" w:eastAsia="方正仿宋_GBK" w:cs="Times New Roman"/>
          <w:sz w:val="32"/>
          <w:szCs w:val="32"/>
          <w:highlight w:val="none"/>
          <w14:ligatures w14:val="standardContextual"/>
        </w:rPr>
        <w:t>电网改造费用</w:t>
      </w:r>
      <w:r>
        <w:rPr>
          <w:rFonts w:hint="eastAsia" w:ascii="方正仿宋_GBK" w:hAnsi="方正仿宋_GBK" w:eastAsia="方正仿宋_GBK" w:cs="Times New Roman"/>
          <w:sz w:val="32"/>
          <w:szCs w:val="32"/>
          <w:highlight w:val="none"/>
          <w:lang w:val="en-US" w:eastAsia="zh-CN"/>
          <w14:ligatures w14:val="standardContextual"/>
        </w:rPr>
        <w:t>按照一定比例</w:t>
      </w:r>
      <w:r>
        <w:rPr>
          <w:rFonts w:hint="eastAsia" w:ascii="方正仿宋_GBK" w:hAnsi="方正仿宋_GBK" w:eastAsia="方正仿宋_GBK" w:cs="Times New Roman"/>
          <w:sz w:val="32"/>
          <w:szCs w:val="32"/>
          <w:highlight w:val="none"/>
          <w14:ligatures w14:val="standardContextual"/>
        </w:rPr>
        <w:t>给予</w:t>
      </w:r>
      <w:r>
        <w:rPr>
          <w:rFonts w:hint="eastAsia" w:ascii="方正仿宋_GBK" w:hAnsi="方正仿宋_GBK" w:eastAsia="方正仿宋_GBK" w:cs="Times New Roman"/>
          <w:sz w:val="32"/>
          <w:szCs w:val="32"/>
          <w:highlight w:val="none"/>
          <w:lang w:val="en-US" w:eastAsia="zh-CN"/>
          <w14:ligatures w14:val="standardContextual"/>
        </w:rPr>
        <w:t>专项</w:t>
      </w:r>
      <w:r>
        <w:rPr>
          <w:rFonts w:hint="eastAsia" w:ascii="方正仿宋_GBK" w:hAnsi="方正仿宋_GBK" w:eastAsia="方正仿宋_GBK" w:cs="Times New Roman"/>
          <w:sz w:val="32"/>
          <w:szCs w:val="32"/>
          <w:highlight w:val="none"/>
          <w14:ligatures w14:val="standardContextual"/>
        </w:rPr>
        <w:t>补贴</w:t>
      </w:r>
      <w:r>
        <w:rPr>
          <w:rFonts w:hint="eastAsia" w:ascii="方正仿宋_GBK" w:hAnsi="方正仿宋_GBK" w:eastAsia="方正仿宋_GBK" w:cs="Times New Roman"/>
          <w:sz w:val="32"/>
          <w:szCs w:val="32"/>
          <w:highlight w:val="none"/>
          <w:lang w:eastAsia="zh-CN"/>
          <w14:ligatures w14:val="standardContextual"/>
        </w:rPr>
        <w:t>。对符合绿电消纳导向的园区基础设施改造项目，申请纳入能源领域专项资金、</w:t>
      </w:r>
      <w:r>
        <w:rPr>
          <w:rFonts w:hint="eastAsia" w:ascii="方正仿宋_GBK" w:hAnsi="方正仿宋_GBK" w:eastAsia="方正仿宋_GBK" w:cs="Times New Roman"/>
          <w:sz w:val="32"/>
          <w:szCs w:val="32"/>
          <w:highlight w:val="none"/>
          <w:lang w:val="en-US" w:eastAsia="zh-CN"/>
          <w14:ligatures w14:val="standardContextual"/>
        </w:rPr>
        <w:t>绿电激励项目</w:t>
      </w:r>
      <w:r>
        <w:rPr>
          <w:rFonts w:hint="eastAsia" w:ascii="方正仿宋_GBK" w:hAnsi="方正仿宋_GBK" w:eastAsia="方正仿宋_GBK" w:cs="Times New Roman"/>
          <w:sz w:val="32"/>
          <w:szCs w:val="32"/>
          <w:highlight w:val="none"/>
          <w:lang w:eastAsia="zh-CN"/>
          <w14:ligatures w14:val="standardContextual"/>
        </w:rPr>
        <w:t>支持范围，降低企业初始投资压力。</w:t>
      </w:r>
    </w:p>
    <w:p>
      <w:pPr>
        <w:adjustRightInd w:val="0"/>
        <w:snapToGrid w:val="0"/>
        <w:spacing w:line="560" w:lineRule="exact"/>
        <w:ind w:firstLine="643" w:firstLineChars="200"/>
        <w:outlineLvl w:val="1"/>
        <w:rPr>
          <w:rFonts w:hint="eastAsia" w:ascii="方正仿宋_GBK" w:hAnsi="方正仿宋_GBK" w:eastAsia="方正仿宋_GBK" w:cs="Times New Roman"/>
          <w:sz w:val="32"/>
          <w:szCs w:val="32"/>
          <w:highlight w:val="none"/>
          <w:lang w:eastAsia="zh-CN"/>
          <w14:ligatures w14:val="standardContextual"/>
        </w:rPr>
      </w:pPr>
      <w:r>
        <w:rPr>
          <w:rFonts w:hint="eastAsia" w:ascii="方正楷体_GBK" w:hAnsi="方正楷体_GBK" w:eastAsia="方正楷体_GBK" w:cs="方正楷体_GBK"/>
          <w:b/>
          <w:bCs/>
          <w:sz w:val="32"/>
          <w:szCs w:val="32"/>
          <w:highlight w:val="none"/>
          <w:lang w:val="en-US" w:eastAsia="zh-CN"/>
          <w14:ligatures w14:val="standardContextual"/>
        </w:rPr>
        <w:t>二是优化运营期绿电消费激励。</w:t>
      </w:r>
      <w:r>
        <w:rPr>
          <w:rFonts w:hint="eastAsia" w:ascii="方正仿宋_GBK" w:hAnsi="方正仿宋_GBK" w:eastAsia="方正仿宋_GBK" w:cs="Times New Roman"/>
          <w:sz w:val="32"/>
          <w:szCs w:val="32"/>
          <w:highlight w:val="none"/>
          <w:lang w:eastAsia="zh-CN"/>
          <w14:ligatures w14:val="standardContextual"/>
        </w:rPr>
        <w:t>在常州现有“近零碳试点单位运行阶段按绿电交易环境价值费用50%给予奖励（单个企业年最高10万元）”政策基础上，将支持对象扩大至园区绿电用户。结合企业实际绿电消纳比例与环境权益收益设定阶梯式奖励标准，</w:t>
      </w:r>
      <w:r>
        <w:rPr>
          <w:rFonts w:hint="eastAsia" w:ascii="方正仿宋_GBK" w:hAnsi="方正仿宋_GBK" w:eastAsia="方正仿宋_GBK" w:cs="Times New Roman"/>
          <w:sz w:val="32"/>
          <w:szCs w:val="32"/>
          <w:highlight w:val="none"/>
          <w:lang w:val="en-US" w:eastAsia="zh-CN"/>
          <w14:ligatures w14:val="standardContextual"/>
        </w:rPr>
        <w:t>设定</w:t>
      </w:r>
      <w:r>
        <w:rPr>
          <w:rFonts w:hint="eastAsia" w:ascii="方正仿宋_GBK" w:hAnsi="方正仿宋_GBK" w:eastAsia="方正仿宋_GBK" w:cs="Times New Roman"/>
          <w:sz w:val="32"/>
          <w:szCs w:val="32"/>
          <w:highlight w:val="none"/>
          <w:lang w:eastAsia="zh-CN"/>
          <w14:ligatures w14:val="standardContextual"/>
        </w:rPr>
        <w:t>年度奖励上限，以差异化激励降低企业绿电使用成本，撬动</w:t>
      </w:r>
      <w:r>
        <w:rPr>
          <w:rFonts w:hint="eastAsia" w:ascii="方正仿宋_GBK" w:hAnsi="方正仿宋_GBK" w:eastAsia="方正仿宋_GBK" w:cs="Times New Roman"/>
          <w:sz w:val="32"/>
          <w:szCs w:val="32"/>
          <w:highlight w:val="none"/>
          <w:lang w:val="en-US" w:eastAsia="zh-CN"/>
          <w14:ligatures w14:val="standardContextual"/>
        </w:rPr>
        <w:t>园区</w:t>
      </w:r>
      <w:r>
        <w:rPr>
          <w:rFonts w:hint="eastAsia" w:ascii="方正仿宋_GBK" w:hAnsi="方正仿宋_GBK" w:eastAsia="方正仿宋_GBK" w:cs="Times New Roman"/>
          <w:sz w:val="32"/>
          <w:szCs w:val="32"/>
          <w:highlight w:val="none"/>
          <w:lang w:eastAsia="zh-CN"/>
          <w14:ligatures w14:val="standardContextual"/>
        </w:rPr>
        <w:t>企业主动提升绿电消费占比</w:t>
      </w:r>
      <w:r>
        <w:rPr>
          <w:rFonts w:hint="eastAsia" w:ascii="方正仿宋_GBK" w:hAnsi="方正仿宋_GBK" w:eastAsia="方正仿宋_GBK" w:cs="Times New Roman"/>
          <w:sz w:val="32"/>
          <w:szCs w:val="32"/>
          <w:highlight w:val="none"/>
          <w:lang w:val="en-US" w:eastAsia="zh-CN"/>
          <w14:ligatures w14:val="standardContextual"/>
        </w:rPr>
        <w:t>的意愿</w:t>
      </w:r>
      <w:r>
        <w:rPr>
          <w:rFonts w:hint="eastAsia" w:ascii="方正仿宋_GBK" w:hAnsi="方正仿宋_GBK" w:eastAsia="方正仿宋_GBK" w:cs="Times New Roman"/>
          <w:sz w:val="32"/>
          <w:szCs w:val="32"/>
          <w:highlight w:val="none"/>
          <w:lang w:eastAsia="zh-CN"/>
          <w14:ligatures w14:val="standardContextual"/>
        </w:rPr>
        <w:t>。</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14:ligatures w14:val="standardContextual"/>
        </w:rPr>
      </w:pPr>
      <w:r>
        <w:rPr>
          <w:rFonts w:hint="eastAsia" w:ascii="方正楷体_GBK" w:hAnsi="方正楷体_GBK" w:eastAsia="方正楷体_GBK" w:cs="方正楷体_GBK"/>
          <w:b/>
          <w:bCs/>
          <w:sz w:val="32"/>
          <w:szCs w:val="32"/>
          <w:highlight w:val="none"/>
          <w14:ligatures w14:val="standardContextual"/>
        </w:rPr>
        <w:t>（</w:t>
      </w:r>
      <w:r>
        <w:rPr>
          <w:rFonts w:hint="eastAsia" w:ascii="方正楷体_GBK" w:hAnsi="方正楷体_GBK" w:eastAsia="方正楷体_GBK" w:cs="方正楷体_GBK"/>
          <w:b/>
          <w:bCs/>
          <w:sz w:val="32"/>
          <w:szCs w:val="32"/>
          <w:highlight w:val="none"/>
          <w:lang w:val="en-US" w:eastAsia="zh-CN"/>
          <w14:ligatures w14:val="standardContextual"/>
        </w:rPr>
        <w:t>三</w:t>
      </w:r>
      <w:r>
        <w:rPr>
          <w:rFonts w:hint="eastAsia" w:ascii="方正楷体_GBK" w:hAnsi="方正楷体_GBK" w:eastAsia="方正楷体_GBK" w:cs="方正楷体_GBK"/>
          <w:b/>
          <w:bCs/>
          <w:sz w:val="32"/>
          <w:szCs w:val="32"/>
          <w:highlight w:val="none"/>
          <w14:ligatures w14:val="standardContextual"/>
        </w:rPr>
        <w:t>）深化绿电溯源应用与电碳因子协同支撑</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lang w:eastAsia="zh-CN"/>
          <w14:ligatures w14:val="standardContextual"/>
        </w:rPr>
      </w:pPr>
      <w:r>
        <w:rPr>
          <w:rFonts w:hint="eastAsia" w:ascii="方正仿宋_GBK" w:hAnsi="方正仿宋_GBK" w:eastAsia="方正仿宋_GBK" w:cs="Times New Roman"/>
          <w:sz w:val="32"/>
          <w:szCs w:val="32"/>
          <w:highlight w:val="none"/>
          <w14:ligatures w14:val="standardContextual"/>
        </w:rPr>
        <w:t>针对国际绿电认证门槛高、碳足迹核算难的问题，通过</w:t>
      </w:r>
      <w:r>
        <w:rPr>
          <w:rFonts w:hint="eastAsia" w:ascii="方正仿宋_GBK" w:hAnsi="方正仿宋_GBK" w:eastAsia="方正仿宋_GBK" w:cs="Times New Roman"/>
          <w:spacing w:val="-6"/>
          <w:sz w:val="32"/>
          <w:szCs w:val="32"/>
          <w:highlight w:val="none"/>
          <w14:ligatures w14:val="standardContextual"/>
        </w:rPr>
        <w:t>技术整合与数据支撑，构建符合国际标准的绿电价值量化体系</w:t>
      </w:r>
      <w:r>
        <w:rPr>
          <w:rFonts w:hint="eastAsia" w:ascii="方正仿宋_GBK" w:hAnsi="方正仿宋_GBK" w:eastAsia="方正仿宋_GBK" w:cs="Times New Roman"/>
          <w:spacing w:val="-6"/>
          <w:sz w:val="32"/>
          <w:szCs w:val="32"/>
          <w:highlight w:val="none"/>
          <w:lang w:eastAsia="zh-CN"/>
          <w14:ligatures w14:val="standardContextual"/>
        </w:rPr>
        <w:t>。</w:t>
      </w:r>
    </w:p>
    <w:p>
      <w:pPr>
        <w:adjustRightInd w:val="0"/>
        <w:snapToGrid w:val="0"/>
        <w:spacing w:line="560" w:lineRule="exact"/>
        <w:ind w:firstLine="643" w:firstLineChars="200"/>
        <w:outlineLvl w:val="1"/>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bCs/>
          <w:sz w:val="32"/>
          <w:szCs w:val="32"/>
          <w:highlight w:val="none"/>
          <w:lang w:val="en-US" w:eastAsia="zh-CN"/>
          <w14:ligatures w14:val="standardContextual"/>
        </w:rPr>
        <w:t>一是</w:t>
      </w:r>
      <w:r>
        <w:rPr>
          <w:rFonts w:hint="eastAsia" w:ascii="方正楷体_GBK" w:hAnsi="方正楷体_GBK" w:eastAsia="方正楷体_GBK" w:cs="方正楷体_GBK"/>
          <w:b/>
          <w:bCs/>
          <w:sz w:val="32"/>
          <w:szCs w:val="32"/>
          <w:highlight w:val="none"/>
          <w14:ligatures w14:val="standardContextual"/>
        </w:rPr>
        <w:t>构建全链条绿电溯源与碳足迹认证体系</w:t>
      </w:r>
      <w:r>
        <w:rPr>
          <w:rFonts w:hint="eastAsia" w:ascii="方正楷体_GBK" w:hAnsi="方正楷体_GBK" w:eastAsia="方正楷体_GBK" w:cs="方正楷体_GBK"/>
          <w:b/>
          <w:bCs/>
          <w:sz w:val="32"/>
          <w:szCs w:val="32"/>
          <w:highlight w:val="none"/>
          <w:lang w:eastAsia="zh-CN"/>
          <w14:ligatures w14:val="standardContextual"/>
        </w:rPr>
        <w:t>。</w:t>
      </w:r>
      <w:r>
        <w:rPr>
          <w:rFonts w:hint="eastAsia" w:ascii="方正楷体_GBK" w:hAnsi="方正楷体_GBK" w:eastAsia="方正楷体_GBK" w:cs="方正楷体_GBK"/>
          <w:b/>
          <w:bCs/>
          <w:sz w:val="32"/>
          <w:szCs w:val="32"/>
          <w:highlight w:val="none"/>
          <w14:ligatures w14:val="standardContextual"/>
        </w:rPr>
        <w:t>一方面</w:t>
      </w:r>
      <w:r>
        <w:rPr>
          <w:rFonts w:hint="eastAsia" w:ascii="方正仿宋_GBK" w:hAnsi="方正仿宋_GBK" w:eastAsia="方正仿宋_GBK" w:cs="Times New Roman"/>
          <w:sz w:val="32"/>
          <w:szCs w:val="32"/>
          <w:highlight w:val="none"/>
          <w14:ligatures w14:val="standardContextual"/>
        </w:rPr>
        <w:t>攻关绿电溯源技术，融合“电证合一交易、区块链标记、电网潮流计算”</w:t>
      </w:r>
      <w:r>
        <w:rPr>
          <w:rFonts w:hint="eastAsia" w:ascii="方正仿宋_GBK" w:hAnsi="方正仿宋_GBK" w:eastAsia="方正仿宋_GBK" w:cs="Times New Roman"/>
          <w:sz w:val="32"/>
          <w:szCs w:val="32"/>
          <w:highlight w:val="none"/>
          <w:lang w:val="en-US" w:eastAsia="zh-CN"/>
          <w14:ligatures w14:val="standardContextual"/>
        </w:rPr>
        <w:t>等</w:t>
      </w:r>
      <w:r>
        <w:rPr>
          <w:rFonts w:hint="eastAsia" w:ascii="方正仿宋_GBK" w:hAnsi="方正仿宋_GBK" w:eastAsia="方正仿宋_GBK" w:cs="Times New Roman"/>
          <w:sz w:val="32"/>
          <w:szCs w:val="32"/>
          <w:highlight w:val="none"/>
          <w14:ligatures w14:val="standardContextual"/>
        </w:rPr>
        <w:t>方式，形成从发电、输电到用电的“逻辑+物理”全链条溯源方案，让绿电来源可查、去向可追</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14:ligatures w14:val="standardContextual"/>
        </w:rPr>
        <w:t>统一不同电压等级用户的绿电计量标准，确保绿电消费数据准确统一。</w:t>
      </w:r>
      <w:r>
        <w:rPr>
          <w:rFonts w:hint="eastAsia" w:ascii="方正楷体_GBK" w:hAnsi="方正楷体_GBK" w:eastAsia="方正楷体_GBK" w:cs="方正楷体_GBK"/>
          <w:b/>
          <w:bCs/>
          <w:sz w:val="32"/>
          <w:szCs w:val="32"/>
          <w:highlight w:val="none"/>
          <w:lang w:val="en-US" w:eastAsia="zh-CN"/>
          <w14:ligatures w14:val="standardContextual"/>
        </w:rPr>
        <w:t>另一方面</w:t>
      </w:r>
      <w:r>
        <w:rPr>
          <w:rFonts w:hint="eastAsia" w:ascii="方正仿宋_GBK" w:hAnsi="方正仿宋_GBK" w:eastAsia="方正仿宋_GBK" w:cs="Times New Roman"/>
          <w:sz w:val="32"/>
          <w:szCs w:val="32"/>
          <w:highlight w:val="none"/>
          <w14:ligatures w14:val="standardContextual"/>
        </w:rPr>
        <w:t>深度应用江苏省高精度分时分区电碳因子数据库，优化绿电消纳时序与负荷调度，支撑</w:t>
      </w:r>
      <w:r>
        <w:rPr>
          <w:rFonts w:hint="eastAsia" w:ascii="方正仿宋_GBK" w:hAnsi="方正仿宋_GBK" w:eastAsia="方正仿宋_GBK" w:cs="Times New Roman"/>
          <w:sz w:val="32"/>
          <w:szCs w:val="32"/>
          <w:highlight w:val="none"/>
          <w:lang w:val="en-US" w:eastAsia="zh-CN"/>
          <w14:ligatures w14:val="standardContextual"/>
        </w:rPr>
        <w:t>相关企业</w:t>
      </w:r>
      <w:r>
        <w:rPr>
          <w:rFonts w:hint="eastAsia" w:ascii="方正仿宋_GBK" w:hAnsi="方正仿宋_GBK" w:eastAsia="方正仿宋_GBK" w:cs="Times New Roman"/>
          <w:sz w:val="32"/>
          <w:szCs w:val="32"/>
          <w:highlight w:val="none"/>
          <w14:ligatures w14:val="standardContextual"/>
        </w:rPr>
        <w:t>生产排程精准匹配</w:t>
      </w:r>
      <w:r>
        <w:rPr>
          <w:rFonts w:hint="eastAsia" w:ascii="方正仿宋_GBK" w:hAnsi="方正仿宋_GBK" w:eastAsia="方正仿宋_GBK" w:cs="Times New Roman"/>
          <w:sz w:val="32"/>
          <w:szCs w:val="32"/>
          <w:highlight w:val="none"/>
          <w:lang w:val="en-US" w:eastAsia="zh-CN"/>
          <w14:ligatures w14:val="standardContextual"/>
        </w:rPr>
        <w:t>绿电</w:t>
      </w:r>
      <w:r>
        <w:rPr>
          <w:rFonts w:hint="eastAsia" w:ascii="方正仿宋_GBK" w:hAnsi="方正仿宋_GBK" w:eastAsia="方正仿宋_GBK" w:cs="Times New Roman"/>
          <w:sz w:val="32"/>
          <w:szCs w:val="32"/>
          <w:highlight w:val="none"/>
          <w14:ligatures w14:val="standardContextual"/>
        </w:rPr>
        <w:t>大发时段，降低碳成本</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lang w:val="en-US" w:eastAsia="zh-CN"/>
          <w14:ligatures w14:val="standardContextual"/>
        </w:rPr>
        <w:t>获取环境权益</w:t>
      </w:r>
      <w:r>
        <w:rPr>
          <w:rFonts w:hint="eastAsia" w:ascii="方正仿宋_GBK" w:hAnsi="方正仿宋_GBK" w:eastAsia="方正仿宋_GBK" w:cs="Times New Roman"/>
          <w:sz w:val="32"/>
          <w:szCs w:val="32"/>
          <w:highlight w:val="none"/>
          <w:lang w:eastAsia="zh-CN"/>
          <w14:ligatures w14:val="standardContextual"/>
        </w:rPr>
        <w:t>。</w:t>
      </w:r>
    </w:p>
    <w:p>
      <w:pPr>
        <w:adjustRightInd w:val="0"/>
        <w:snapToGrid w:val="0"/>
        <w:spacing w:line="560" w:lineRule="exact"/>
        <w:ind w:firstLine="643" w:firstLineChars="200"/>
        <w:outlineLvl w:val="1"/>
        <w:rPr>
          <w:rFonts w:hint="eastAsia" w:ascii="方正仿宋_GBK" w:hAnsi="方正仿宋_GBK" w:eastAsia="方正仿宋_GBK" w:cs="Times New Roman"/>
          <w:sz w:val="32"/>
          <w:szCs w:val="32"/>
          <w:highlight w:val="none"/>
          <w14:ligatures w14:val="standardContextual"/>
        </w:rPr>
      </w:pPr>
      <w:r>
        <w:rPr>
          <w:rFonts w:hint="eastAsia" w:ascii="方正楷体_GBK" w:hAnsi="方正楷体_GBK" w:eastAsia="方正楷体_GBK" w:cs="方正楷体_GBK"/>
          <w:b/>
          <w:bCs/>
          <w:sz w:val="32"/>
          <w:szCs w:val="32"/>
          <w:highlight w:val="none"/>
          <w:lang w:val="en-US" w:eastAsia="zh-CN"/>
          <w14:ligatures w14:val="standardContextual"/>
        </w:rPr>
        <w:t>二是</w:t>
      </w:r>
      <w:r>
        <w:rPr>
          <w:rFonts w:hint="eastAsia" w:ascii="方正楷体_GBK" w:hAnsi="方正楷体_GBK" w:eastAsia="方正楷体_GBK" w:cs="方正楷体_GBK"/>
          <w:b/>
          <w:bCs/>
          <w:sz w:val="32"/>
          <w:szCs w:val="32"/>
          <w:highlight w:val="none"/>
          <w14:ligatures w14:val="standardContextual"/>
        </w:rPr>
        <w:t>建设智慧能源管理与溯源平台</w:t>
      </w:r>
      <w:r>
        <w:rPr>
          <w:rFonts w:hint="eastAsia" w:ascii="方正楷体_GBK" w:hAnsi="方正楷体_GBK" w:eastAsia="方正楷体_GBK" w:cs="方正楷体_GBK"/>
          <w:b/>
          <w:bCs/>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14:ligatures w14:val="standardContextual"/>
        </w:rPr>
        <w:t>搭建园区级智慧能源综合管理系统，整合发电、输电、配电、用电全链条数据，实现绿电生产、输送、消费的实时监控与智能调控</w:t>
      </w:r>
      <w:r>
        <w:rPr>
          <w:rFonts w:hint="eastAsia" w:ascii="方正仿宋_GBK" w:hAnsi="方正仿宋_GBK" w:eastAsia="方正仿宋_GBK" w:cs="Times New Roman"/>
          <w:sz w:val="32"/>
          <w:szCs w:val="32"/>
          <w:highlight w:val="none"/>
          <w:lang w:eastAsia="zh-CN"/>
          <w14:ligatures w14:val="standardContextual"/>
        </w:rPr>
        <w:t>。</w:t>
      </w:r>
      <w:r>
        <w:rPr>
          <w:rFonts w:hint="eastAsia" w:ascii="方正仿宋_GBK" w:hAnsi="方正仿宋_GBK" w:eastAsia="方正仿宋_GBK" w:cs="Times New Roman"/>
          <w:sz w:val="32"/>
          <w:szCs w:val="32"/>
          <w:highlight w:val="none"/>
          <w14:ligatures w14:val="standardContextual"/>
        </w:rPr>
        <w:t>同步打造电碳耦合数字化中心及国家绿色认证示范点，为企业提供标准化的绿电使用证明、碳足迹核算报告等服务，精准匹配国际市场对“绿色合规”的要求，帮助企业在国际竞争中占据优势。</w:t>
      </w:r>
      <w:bookmarkEnd w:id="2"/>
      <w:bookmarkEnd w:id="3"/>
      <w:bookmarkStart w:id="10" w:name="_GoBack"/>
      <w:bookmarkEnd w:id="10"/>
    </w:p>
    <w:p>
      <w:pPr>
        <w:adjustRightInd w:val="0"/>
        <w:snapToGrid w:val="0"/>
        <w:spacing w:line="560" w:lineRule="exact"/>
        <w:ind w:firstLine="640" w:firstLineChars="200"/>
        <w:outlineLvl w:val="1"/>
        <w:rPr>
          <w:rFonts w:hint="eastAsia" w:ascii="方正仿宋_GBK" w:hAnsi="方正仿宋_GBK" w:eastAsia="方正仿宋_GBK" w:cs="Times New Roman"/>
          <w:sz w:val="32"/>
          <w:szCs w:val="32"/>
          <w:highlight w:val="none"/>
          <w14:ligatures w14:val="standardContextual"/>
        </w:rPr>
      </w:pPr>
    </w:p>
    <w:p>
      <w:pPr>
        <w:adjustRightInd w:val="0"/>
        <w:snapToGrid w:val="0"/>
        <w:spacing w:line="560" w:lineRule="exact"/>
        <w:ind w:firstLine="640" w:firstLineChars="200"/>
        <w:outlineLvl w:val="1"/>
        <w:rPr>
          <w:rFonts w:hint="eastAsia" w:ascii="方正仿宋_GBK" w:hAnsi="方正仿宋_GBK" w:eastAsia="方正仿宋_GBK" w:cs="Times New Roman"/>
          <w:sz w:val="32"/>
          <w:szCs w:val="32"/>
          <w:highlight w:val="none"/>
          <w14:ligatures w14:val="standardContextual"/>
        </w:rPr>
      </w:pPr>
    </w:p>
    <w:p>
      <w:pPr>
        <w:adjustRightInd w:val="0"/>
        <w:snapToGrid w:val="0"/>
        <w:spacing w:line="560" w:lineRule="exact"/>
        <w:ind w:firstLine="0" w:firstLineChars="0"/>
        <w:jc w:val="right"/>
        <w:outlineLvl w:val="1"/>
        <w:rPr>
          <w:rFonts w:hint="default" w:ascii="方正仿宋_GBK" w:hAnsi="方正仿宋_GBK" w:eastAsia="方正仿宋_GBK" w:cs="Times New Roman"/>
          <w:sz w:val="32"/>
          <w:szCs w:val="32"/>
          <w:highlight w:val="none"/>
          <w:lang w:val="en-US"/>
          <w14:ligatures w14:val="standardContextual"/>
        </w:rPr>
      </w:pPr>
      <w:r>
        <w:rPr>
          <w:rFonts w:hint="eastAsia" w:ascii="方正楷体_GBK" w:hAnsi="方正楷体_GBK" w:eastAsia="方正楷体_GBK" w:cs="方正楷体_GBK"/>
          <w:b/>
          <w:bCs/>
          <w:sz w:val="32"/>
          <w:szCs w:val="32"/>
          <w:highlight w:val="none"/>
          <w:lang w:val="en-US" w:eastAsia="zh-CN"/>
          <w14:ligatures w14:val="none"/>
        </w:rPr>
        <w:t>撰稿人：赵清源、张文嘉、汪立俊、张渊、徐筝、丁志远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224C34F1"/>
    <w:rsid w:val="273B136A"/>
    <w:rsid w:val="2A976290"/>
    <w:rsid w:val="2CEE4744"/>
    <w:rsid w:val="2DFF48CA"/>
    <w:rsid w:val="309B06AC"/>
    <w:rsid w:val="388F6D48"/>
    <w:rsid w:val="39712E34"/>
    <w:rsid w:val="3ED85280"/>
    <w:rsid w:val="420678AE"/>
    <w:rsid w:val="43850656"/>
    <w:rsid w:val="440C3737"/>
    <w:rsid w:val="44F354BA"/>
    <w:rsid w:val="51EB4B97"/>
    <w:rsid w:val="57803A42"/>
    <w:rsid w:val="58195673"/>
    <w:rsid w:val="59E41013"/>
    <w:rsid w:val="5ADE72D7"/>
    <w:rsid w:val="5FDA06E2"/>
    <w:rsid w:val="648701A3"/>
    <w:rsid w:val="65DB7D10"/>
    <w:rsid w:val="692A7973"/>
    <w:rsid w:val="6B977093"/>
    <w:rsid w:val="70C938A7"/>
    <w:rsid w:val="70E1568B"/>
    <w:rsid w:val="71CD20B4"/>
    <w:rsid w:val="73216DDF"/>
    <w:rsid w:val="75044958"/>
    <w:rsid w:val="76E07A22"/>
    <w:rsid w:val="778A576D"/>
    <w:rsid w:val="79FB0956"/>
    <w:rsid w:val="7D6C7155"/>
    <w:rsid w:val="7E1022D2"/>
    <w:rsid w:val="7F675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3">
    <w:name w:val="annotation text"/>
    <w:basedOn w:val="1"/>
    <w:qFormat/>
    <w:uiPriority w:val="0"/>
    <w:pPr>
      <w:jc w:val="lef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5833</Words>
  <Characters>6000</Characters>
  <Lines>0</Lines>
  <Paragraphs>0</Paragraphs>
  <TotalTime>6</TotalTime>
  <ScaleCrop>false</ScaleCrop>
  <LinksUpToDate>false</LinksUpToDate>
  <CharactersWithSpaces>6001</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2025-08-20T10:37:00Z</dcterms:created>
  <dc:creator>丁志远</dc:creator>
  <cp:lastModifiedBy>丁志远</cp:lastModifiedBy>
  <dcterms:modified xsi:type="dcterms:W3CDTF">2025-09-05T02:59:41Z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CB3B18A590F2447C863AEA4D76FFACC6_13</vt:lpwstr>
  </property>
</Properties>
</file>