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475DDA">
      <w:pPr>
        <w:widowControl/>
        <w:adjustRightInd w:val="0"/>
        <w:snapToGrid w:val="0"/>
        <w:spacing w:before="120" w:after="120" w:line="560" w:lineRule="exact"/>
        <w:jc w:val="center"/>
        <w:outlineLvl w:val="0"/>
        <w:rPr>
          <w:rFonts w:hint="eastAsia" w:ascii="方正小标宋_GBK" w:hAnsi="宋体" w:eastAsia="方正小标宋_GBK" w:cs="Times New Roman"/>
          <w:sz w:val="44"/>
          <w:szCs w:val="44"/>
          <w:highlight w:val="none"/>
          <w14:ligatures w14:val="standardContextual"/>
        </w:rPr>
      </w:pPr>
      <w:r>
        <w:rPr>
          <w:rFonts w:hint="eastAsia" w:ascii="方正小标宋_GBK" w:hAnsi="宋体" w:eastAsia="方正小标宋_GBK" w:cs="Times New Roman"/>
          <w:sz w:val="44"/>
          <w:szCs w:val="44"/>
        </w:rPr>
        <w:t>徐州地区110千伏电网</w:t>
      </w:r>
      <w:r>
        <w:rPr>
          <w:rFonts w:hint="eastAsia" w:ascii="方正小标宋_GBK" w:hAnsi="宋体" w:eastAsia="方正小标宋_GBK" w:cs="Times New Roman"/>
          <w:sz w:val="44"/>
          <w:szCs w:val="44"/>
        </w:rPr>
        <w:br w:type="textWrapping"/>
      </w:r>
      <w:r>
        <w:rPr>
          <w:rFonts w:hint="eastAsia" w:ascii="方正小标宋_GBK" w:hAnsi="宋体" w:eastAsia="方正小标宋_GBK" w:cs="Times New Roman"/>
          <w:sz w:val="44"/>
          <w:szCs w:val="44"/>
        </w:rPr>
        <w:t>容载比弹性指标优化研究</w:t>
      </w:r>
    </w:p>
    <w:p w14:paraId="1AE6B65B">
      <w:pPr>
        <w:widowControl/>
        <w:adjustRightInd w:val="0"/>
        <w:snapToGrid w:val="0"/>
        <w:spacing w:line="580" w:lineRule="exact"/>
        <w:jc w:val="center"/>
        <w:outlineLvl w:val="9"/>
        <w:rPr>
          <w:rFonts w:hint="eastAsia" w:ascii="方正楷体_GBK" w:hAnsi="方正楷体_GBK" w:eastAsia="方正楷体_GBK" w:cs="方正楷体_GBK"/>
          <w:b/>
          <w:bCs/>
          <w:sz w:val="32"/>
          <w:szCs w:val="32"/>
          <w:highlight w:val="none"/>
          <w:lang w:val="en-US" w:eastAsia="zh-CN"/>
          <w14:ligatures w14:val="none"/>
        </w:rPr>
      </w:pPr>
      <w:r>
        <w:rPr>
          <w:rFonts w:hint="eastAsia" w:ascii="方正楷体_GBK" w:hAnsi="方正楷体_GBK" w:eastAsia="方正楷体_GBK" w:cs="方正楷体_GBK"/>
          <w:b/>
          <w:bCs/>
          <w:sz w:val="32"/>
          <w:szCs w:val="32"/>
          <w:lang w:val="en-US" w:eastAsia="zh-CN"/>
        </w:rPr>
        <w:t>（供稿单位：徐州公司）</w:t>
      </w:r>
    </w:p>
    <w:p w14:paraId="5A3F805F">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分布式光伏持续接入后，110千伏主变同时承担晚间正向供电和日间反向输送任务，区域容量储备与局部高负载并存，单凭区域容载比难以判断各站的增容需求。围绕徐州地区分布式新能源高渗透率条件下的容量规划问题，本研究选取邳州和市区开展对比，联合比选主变、储能和10千伏联络，分析具体设备组合及费用变化，并提取五项推广参数，形成分片区容载比推荐矩阵，为“一片一策”规划提供依据。</w:t>
      </w:r>
    </w:p>
    <w:p w14:paraId="52F7150C">
      <w:pPr>
        <w:keepNext/>
        <w:widowControl/>
        <w:adjustRightInd w:val="0"/>
        <w:snapToGrid w:val="0"/>
        <w:spacing w:line="560" w:lineRule="exact"/>
        <w:ind w:firstLine="723" w:firstLineChars="200"/>
        <w:outlineLvl w:val="9"/>
        <w:rPr>
          <w:rFonts w:hint="eastAsia" w:ascii="方正黑体_GBK" w:hAnsi="方正黑体_GBK" w:eastAsia="方正黑体_GBK" w:cs="方正黑体_GBK"/>
          <w:b/>
          <w:bCs/>
          <w:sz w:val="36"/>
          <w:szCs w:val="36"/>
          <w:highlight w:val="none"/>
          <w14:ligatures w14:val="standardContextual"/>
        </w:rPr>
      </w:pPr>
      <w:r>
        <w:rPr>
          <w:rFonts w:hint="eastAsia" w:ascii="方正黑体_GBK" w:hAnsi="方正黑体_GBK" w:eastAsia="方正黑体_GBK" w:cs="方正黑体_GBK"/>
          <w:b/>
          <w:bCs/>
          <w:sz w:val="36"/>
          <w:szCs w:val="36"/>
        </w:rPr>
        <w:t>一、现状形势分析</w:t>
      </w:r>
    </w:p>
    <w:p w14:paraId="476F5480">
      <w:pPr>
        <w:keepNext/>
        <w:widowControl/>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pPr>
      <w:r>
        <w:rPr>
          <w:rFonts w:hint="eastAsia" w:ascii="方正楷体_GBK" w:hAnsi="方正楷体_GBK" w:eastAsia="方正楷体_GBK" w:cs="方正楷体_GBK"/>
          <w:b/>
          <w:bCs/>
          <w:sz w:val="32"/>
          <w:szCs w:val="32"/>
        </w:rPr>
        <w:t>（一）新能源增长改变主变双向承载任务</w:t>
      </w:r>
    </w:p>
    <w:p w14:paraId="6FD4C70C">
      <w:pPr>
        <w:widowControl/>
        <w:adjustRightInd w:val="0"/>
        <w:snapToGrid w:val="0"/>
        <w:spacing w:line="560" w:lineRule="exact"/>
        <w:ind w:firstLine="643" w:firstLineChars="200"/>
        <w:rPr>
          <w:rFonts w:hint="eastAsia" w:ascii="方正仿宋_GBK" w:hAnsi="方正仿宋_GBK" w:eastAsia="方正仿宋_GBK" w:cs="Times New Roman"/>
          <w:sz w:val="32"/>
          <w:szCs w:val="32"/>
          <w:highlight w:val="none"/>
          <w14:ligatures w14:val="standardContextual"/>
        </w:rPr>
      </w:pPr>
      <w:r>
        <w:rPr>
          <w:rFonts w:hint="eastAsia" w:ascii="方正楷体_GBK" w:hAnsi="方正楷体_GBK" w:eastAsia="方正楷体_GBK" w:cs="方正楷体_GBK"/>
          <w:b/>
          <w:sz w:val="32"/>
          <w:szCs w:val="32"/>
        </w:rPr>
        <w:t>一是县域光伏规模增长较快。</w:t>
      </w:r>
      <w:r>
        <w:rPr>
          <w:rFonts w:hint="eastAsia" w:ascii="方正仿宋_GBK" w:hAnsi="方正仿宋_GBK" w:eastAsia="方正仿宋_GBK" w:cs="Times New Roman"/>
          <w:sz w:val="32"/>
          <w:szCs w:val="32"/>
        </w:rPr>
        <w:t>邳州年末分布式光伏装机由2023年的564.70 MW增加至2025年的1559.64 MW，市区同期由253.68 MW增加至491.18 MW。分布式电源装机渗透率为同范围并网装机与用户最大负荷之比，无量纲[1]。按典型场景估计用户最大负荷，2025年邳州和市区该指标分别为1.63和0.32，分别体现光伏规模较大的县域与负荷较集中的城区特征。</w:t>
      </w:r>
    </w:p>
    <w:p w14:paraId="1DB1D8BA">
      <w:pPr>
        <w:widowControl/>
        <w:adjustRightInd w:val="0"/>
        <w:snapToGrid w:val="0"/>
        <w:spacing w:line="560" w:lineRule="exact"/>
        <w:ind w:firstLine="643" w:firstLineChars="200"/>
        <w:rPr>
          <w:rFonts w:hint="eastAsia" w:ascii="方正仿宋_GBK" w:hAnsi="方正仿宋_GBK" w:eastAsia="方正仿宋_GBK" w:cs="Times New Roman"/>
          <w:sz w:val="32"/>
          <w:szCs w:val="32"/>
          <w:highlight w:val="none"/>
          <w14:ligatures w14:val="standardContextual"/>
        </w:rPr>
      </w:pPr>
      <w:r>
        <w:rPr>
          <w:rFonts w:hint="eastAsia" w:ascii="方正楷体_GBK" w:hAnsi="方正楷体_GBK" w:eastAsia="方正楷体_GBK" w:cs="方正楷体_GBK"/>
          <w:b/>
          <w:sz w:val="32"/>
          <w:szCs w:val="32"/>
        </w:rPr>
        <w:t>二是年度供能与峰时容量需求存在时段差异。</w:t>
      </w:r>
      <w:r>
        <w:rPr>
          <w:rFonts w:hint="eastAsia" w:ascii="方正仿宋_GBK" w:hAnsi="方正仿宋_GBK" w:eastAsia="方正仿宋_GBK" w:cs="Times New Roman"/>
          <w:sz w:val="32"/>
          <w:szCs w:val="32"/>
        </w:rPr>
        <w:t>分布式电源电量渗透率为同范围年发电量与用户年用电量之比，以百分比表示[1]。结合月末装机、典型出力曲线及净交换电量估计，2025年邳州约为40%，市区约为9%。光伏发电增加可降低日间受电量，集中出力时还可能形成反向输送。主变容量需同时满足正向高峰和反向高峰，年度电量变化需与峰时功率共同分析。</w:t>
      </w:r>
    </w:p>
    <w:p w14:paraId="4B239135">
      <w:pPr>
        <w:widowControl/>
        <w:adjustRightInd w:val="0"/>
        <w:snapToGrid w:val="0"/>
        <w:spacing w:line="560" w:lineRule="exact"/>
        <w:ind w:firstLine="643" w:firstLineChars="200"/>
        <w:rPr>
          <w:rFonts w:hint="eastAsia" w:ascii="方正仿宋_GBK" w:hAnsi="方正仿宋_GBK" w:eastAsia="方正仿宋_GBK" w:cs="Times New Roman"/>
          <w:sz w:val="32"/>
          <w:szCs w:val="32"/>
          <w:highlight w:val="none"/>
          <w14:ligatures w14:val="standardContextual"/>
        </w:rPr>
      </w:pPr>
      <w:r>
        <w:rPr>
          <w:rFonts w:hint="eastAsia" w:ascii="方正楷体_GBK" w:hAnsi="方正楷体_GBK" w:eastAsia="方正楷体_GBK" w:cs="方正楷体_GBK"/>
          <w:b/>
          <w:sz w:val="32"/>
          <w:szCs w:val="32"/>
        </w:rPr>
        <w:t>三是两地区负荷发展阶段和波动特征不同。</w:t>
      </w:r>
      <w:r>
        <w:rPr>
          <w:rFonts w:hint="eastAsia" w:ascii="方正仿宋_GBK" w:hAnsi="方正仿宋_GBK" w:eastAsia="方正仿宋_GBK" w:cs="Times New Roman"/>
          <w:sz w:val="32"/>
          <w:szCs w:val="32"/>
        </w:rPr>
        <w:t>年最大净负荷平均增长率按同范围期末与期初年网供最大负荷之比、以年度间隔作复合开根后减1计算，单位为%/年[1]。2021—2025年邳州约为7%，市区约为1%。邳州2023年负荷较上年回落，市区2022年和2024年出现回落，既有主变继续在役时，负荷下降会使容载比升高。后续规划需保留这种实际波动，并结合设备投运时点解释指标变化。</w:t>
      </w:r>
    </w:p>
    <w:p w14:paraId="74EE51EE">
      <w:pPr>
        <w:keepNext/>
        <w:widowControl/>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pPr>
      <w:r>
        <w:rPr>
          <w:rFonts w:hint="eastAsia" w:ascii="方正楷体_GBK" w:hAnsi="方正楷体_GBK" w:eastAsia="方正楷体_GBK" w:cs="方正楷体_GBK"/>
          <w:b/>
          <w:bCs/>
          <w:sz w:val="32"/>
          <w:szCs w:val="32"/>
        </w:rPr>
        <w:t>（二）区域容量储备与站级供电压力并存</w:t>
      </w:r>
    </w:p>
    <w:p w14:paraId="5F41B805">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容载比为同范围公用主变总容量与年网供最大负荷之比，容量单位为MVA，负荷单位为MW[1]。2025年邳州实际主变容量2139.50 MVA、年网供最大负荷956.45 MW，容载比2.24；市区分别为3701.00 MVA、1528.82 MW和2.42。两地区区域容量储备较充足，站级设备利用状况仍存在差异。</w:t>
      </w:r>
    </w:p>
    <w:p w14:paraId="252CA65F">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项目设备统计中，邳州40台、市区61台110千伏主变的实测年最大负载率中位数分别为53%和55%，两地区均有7台达到80%及以上。各台主变的年度最大值对应各自发生时刻。规划计算另以站级净负荷绝对峰值除以本站初始主变容量与0.95功率因数的乘积，形成站级负载率，分析局部双向承载压力。</w:t>
      </w:r>
    </w:p>
    <w:p w14:paraId="02767264">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站级分析覆盖邳州20座、市区26座具有设备对应资料的变电站。相同总容量下，主变台数和容量组合会改变最大单台主变退出运行后的剩余供电能力，站间联络还会改变邻站余量的利用条件。容量安排需由区域指标进一步落实到具体站点及供电任务。</w:t>
      </w:r>
    </w:p>
    <w:p w14:paraId="0F69A2B5">
      <w:pPr>
        <w:keepNext/>
        <w:widowControl/>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pPr>
      <w:r>
        <w:rPr>
          <w:rFonts w:hint="eastAsia" w:ascii="方正楷体_GBK" w:hAnsi="方正楷体_GBK" w:eastAsia="方正楷体_GBK" w:cs="方正楷体_GBK"/>
          <w:b/>
          <w:bCs/>
          <w:sz w:val="32"/>
          <w:szCs w:val="32"/>
        </w:rPr>
        <w:t>（三）导则要求为分片区容量比选提供依据</w:t>
      </w:r>
    </w:p>
    <w:p w14:paraId="716DB082">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2025年4月《配电网规划设计技术导则（修订稿）》提出，容载比总体控制在1.5～2.0，并按年最大净负荷平均增长率划分发展阶段[1]。饱和期、较慢增长、中等增长及较快增长分别对应不超过2%、(2%,4%]、(4%,7%]和超过7%的增长水平，建议范围分别为1.5～1.7、1.6～1.8、1.7～1.9和1.8～2.0。</w:t>
      </w:r>
    </w:p>
    <w:p w14:paraId="68AC46B7">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第6.2.2.1条同时提出，在建议范围内无法满足供电安全准则时，可结合实际情况适当提高容载比，并要求加强中压联络、结合转供能力合理确定规划区域容量[1]。本研究据此比较相同源荷和供电约束下的具体设备方案，分析容量、储能及联络如何共同满足供电要求，以设备配置及费用支持容载比取值。</w:t>
      </w:r>
    </w:p>
    <w:p w14:paraId="60204A27">
      <w:pPr>
        <w:keepNext/>
        <w:widowControl/>
        <w:adjustRightInd w:val="0"/>
        <w:snapToGrid w:val="0"/>
        <w:spacing w:line="560" w:lineRule="exact"/>
        <w:ind w:firstLine="723" w:firstLineChars="200"/>
        <w:outlineLvl w:val="9"/>
        <w:rPr>
          <w:rFonts w:hint="eastAsia" w:ascii="方正黑体_GBK" w:hAnsi="方正黑体_GBK" w:eastAsia="方正黑体_GBK" w:cs="方正黑体_GBK"/>
          <w:b/>
          <w:bCs/>
          <w:sz w:val="36"/>
          <w:szCs w:val="36"/>
          <w:highlight w:val="none"/>
          <w14:ligatures w14:val="standardContextual"/>
        </w:rPr>
      </w:pPr>
      <w:r>
        <w:rPr>
          <w:rFonts w:hint="eastAsia" w:ascii="方正黑体_GBK" w:hAnsi="方正黑体_GBK" w:eastAsia="方正黑体_GBK" w:cs="方正黑体_GBK"/>
          <w:b/>
          <w:bCs/>
          <w:sz w:val="36"/>
          <w:szCs w:val="36"/>
        </w:rPr>
        <w:t>二、关键问题与研究方法</w:t>
      </w:r>
    </w:p>
    <w:p w14:paraId="475E7B30">
      <w:pPr>
        <w:keepNext/>
        <w:widowControl/>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pPr>
      <w:r>
        <w:rPr>
          <w:rFonts w:hint="eastAsia" w:ascii="方正楷体_GBK" w:hAnsi="方正楷体_GBK" w:eastAsia="方正楷体_GBK" w:cs="方正楷体_GBK"/>
          <w:b/>
          <w:bCs/>
          <w:sz w:val="32"/>
          <w:szCs w:val="32"/>
        </w:rPr>
        <w:t>（一）建立同一起点、逐年承接的方案比较方法</w:t>
      </w:r>
    </w:p>
    <w:p w14:paraId="34A3C0C1">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两地区均保留2021年实际地区容量，邳州为2027.00 MVA，市区为3113.50 MVA。2022—2025年采用实际年度负荷和光伏规模开展模板回算，2026—2035年按区域负荷预测及全市光伏装机相对2025年的比例构造规划情景，站级空间分配继承2025年模板。2025—2030年、2030—2035年负荷预测对应的年最大净负荷平均增长率，邳州分别为4.14%、3.77%，市区分别为3.83%、3.82%。这些结果为共同条件下的规划计算值。</w:t>
      </w:r>
    </w:p>
    <w:p w14:paraId="3D01515C">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刚性方案新增扩容以当年网供最大负荷的2.0倍控制，既有容量已超过该值时保留上一年度在役设备。弹性方案取消这一新增容量上限，在相同年度容载比下限和供电约束下，按允许设备及扩建条件确定容量。两方案共用同地区年度源荷、工程价格及候选网络，逐年承接已投运主变、储能和联络，新增措施按当年需求安排。</w:t>
      </w:r>
    </w:p>
    <w:p w14:paraId="199F5BCC">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主变新购额定容量采用31.50、50.00、63.00、80.00 MVA，具备预留条件的站点可扩建第三台50.00 MVA主变，同一原主变位置全期最多更换一次。主表弹性方案先比较新增储能与联络费用，在配套费用参考值20%范围内优先减少联络，再比较总费用。由此形成兼顾容量配置与联络工程简化的可行建设方案。</w:t>
      </w:r>
    </w:p>
    <w:p w14:paraId="3F6E9728">
      <w:pPr>
        <w:keepNext/>
        <w:widowControl/>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pPr>
      <w:r>
        <w:rPr>
          <w:rFonts w:hint="eastAsia" w:ascii="方正楷体_GBK" w:hAnsi="方正楷体_GBK" w:eastAsia="方正楷体_GBK" w:cs="方正楷体_GBK"/>
          <w:b/>
          <w:bCs/>
          <w:sz w:val="32"/>
          <w:szCs w:val="32"/>
        </w:rPr>
        <w:t>（二）将转供能力落实到通道、区段和两端设备</w:t>
      </w:r>
    </w:p>
    <w:p w14:paraId="44341DDD">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10千伏联络通过切换供电区段改善负荷与容量的空间匹配，区段内用电负荷和光伏共同转接，按转接后的带符号净功率校核两端主变。各小时区内转出与承接合计相等，受入为正、反送为负，区域同期净负荷保持平衡。</w:t>
      </w:r>
    </w:p>
    <w:p w14:paraId="23F595FD">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既有转供能力按变电站全停资料落实为逐站MW上限，同时受可切换区段、线路容量、共享馈线及受端主变余量限制。地区全部电压等级负荷加权转供率约为邳州67%、市区92%，110千伏案例使用匹配站点的功率上限。新增联络按具体端点和候选通道安排，正常及主变故障追加转供共用既有能力预算和相关路径。</w:t>
      </w:r>
    </w:p>
    <w:p w14:paraId="68A47331">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正常运行的转供方案和本站最大单台主变退出运行（N-1）后的追加方案，在各年度内分别固定，再回代全年8760小时检验。正常运行及故障工况中的健康站按80%允许负载率校核，故障站扣除最大单台主变后，剩余主变按130%短时允许负载率校核，功率因数取0.95。邳州2021年固定基期设备存在事故支撑缺口，规划补强自2022年开始。</w:t>
      </w:r>
    </w:p>
    <w:p w14:paraId="39F10326">
      <w:pPr>
        <w:keepNext/>
        <w:widowControl/>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pPr>
      <w:r>
        <w:rPr>
          <w:rFonts w:hint="eastAsia" w:ascii="方正楷体_GBK" w:hAnsi="方正楷体_GBK" w:eastAsia="方正楷体_GBK" w:cs="方正楷体_GBK"/>
          <w:b/>
          <w:bCs/>
          <w:sz w:val="32"/>
          <w:szCs w:val="32"/>
        </w:rPr>
        <w:t>（三）按功率与可用电量共同确定储能支撑</w:t>
      </w:r>
    </w:p>
    <w:p w14:paraId="11936205">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储能以100.00 kW/215.00 kWh成套柜配置，柜数按整数选择。可用电量系数取0.76，集中反映荷电状态可用窗口和单向放电效率，研究采用80%的可用窗口与95%的单向放电效率相乘[2]。有效支撑功率取额定功率与可用电量除以规定持续时间的较小值，正向放电与反向吸收按各自时长校核。</w:t>
      </w:r>
    </w:p>
    <w:p w14:paraId="414624C6">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95%峰值阈值为区域净负荷绝对值全年最大值的95%，先按同小时汇总站级净负荷，再统计达到该阈值的最长连续时长。缺失记录补齐后统一使用8760小时序列，邳州按相邻小时均值、市区按相邻周同星期同时刻均值补齐。两地区正向近峰最长连续时长分别为2 h和6 h，作为案例储能正向支撑条件，反向支撑按各站参数设置。</w:t>
      </w:r>
    </w:p>
    <w:p w14:paraId="1D9C0B5D">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储能可在一定持续时间内补充局部功率缺口，主变增容则同时改变正常运行和N-1后的承载能力。联络能够调用的支援还取决于邻站余量，因此三类措施需按各自可提供的有效能力和费用联合比较。</w:t>
      </w:r>
    </w:p>
    <w:p w14:paraId="44D06D64">
      <w:pPr>
        <w:keepNext/>
        <w:widowControl/>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pPr>
      <w:r>
        <w:rPr>
          <w:rFonts w:hint="eastAsia" w:ascii="方正楷体_GBK" w:hAnsi="方正楷体_GBK" w:eastAsia="方正楷体_GBK" w:cs="方正楷体_GBK"/>
          <w:b/>
          <w:bCs/>
          <w:sz w:val="32"/>
          <w:szCs w:val="32"/>
        </w:rPr>
        <w:t>（四）以统一评价期费用比较具体可行方案</w:t>
      </w:r>
    </w:p>
    <w:p w14:paraId="718B4423">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各投运批次的建设投资和固定运维费用统一评价至2041年末，按6%折现率折算至2021年末。主变、线路、储能设备寿命分别为40年、40年、25年，固定维护费率分别为4.2%、2.2%、3%。本次新增设备在评价截止前均未达到设定寿命，所列费用由建设投资及固定运维构成，费用范围包括三类新增措施，期末残值、存量设备运维变化和储能充电及损耗费用留待运行资料补充。</w:t>
      </w:r>
    </w:p>
    <w:p w14:paraId="47A77722">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本研究逐年选择工程，取得配置后核对设备承接、源荷区段功率平衡和通道约束，再回代年度正常及N-1工况。各年决策使用当年需求和上一年度资产，比较对象为通过上述校核的具体可行方案，费用差由各类措施的实际采购规模及投运时点共同形成。</w:t>
      </w:r>
    </w:p>
    <w:p w14:paraId="419A2B30">
      <w:pPr>
        <w:keepNext/>
        <w:widowControl/>
        <w:adjustRightInd w:val="0"/>
        <w:snapToGrid w:val="0"/>
        <w:spacing w:line="560" w:lineRule="exact"/>
        <w:ind w:firstLine="723" w:firstLineChars="200"/>
        <w:outlineLvl w:val="9"/>
        <w:rPr>
          <w:rFonts w:hint="eastAsia" w:ascii="方正黑体_GBK" w:hAnsi="方正黑体_GBK" w:eastAsia="方正黑体_GBK" w:cs="方正黑体_GBK"/>
          <w:b/>
          <w:bCs/>
          <w:sz w:val="36"/>
          <w:szCs w:val="36"/>
          <w:highlight w:val="none"/>
          <w14:ligatures w14:val="standardContextual"/>
        </w:rPr>
      </w:pPr>
      <w:r>
        <w:rPr>
          <w:rFonts w:hint="eastAsia" w:ascii="方正黑体_GBK" w:hAnsi="方正黑体_GBK" w:eastAsia="方正黑体_GBK" w:cs="方正黑体_GBK"/>
          <w:b/>
          <w:bCs/>
          <w:sz w:val="36"/>
          <w:szCs w:val="36"/>
        </w:rPr>
        <w:t>三、两地区方案比选与指标优化成果</w:t>
      </w:r>
    </w:p>
    <w:p w14:paraId="3964C629">
      <w:pPr>
        <w:keepNext/>
        <w:widowControl/>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pPr>
      <w:r>
        <w:rPr>
          <w:rFonts w:hint="eastAsia" w:ascii="方正楷体_GBK" w:hAnsi="方正楷体_GBK" w:eastAsia="方正楷体_GBK" w:cs="方正楷体_GBK"/>
          <w:b/>
          <w:bCs/>
          <w:sz w:val="32"/>
          <w:szCs w:val="32"/>
        </w:rPr>
        <w:t>（一）弹性方案通过工程替代降低全期费用</w:t>
      </w:r>
    </w:p>
    <w:p w14:paraId="13402D2B">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2022—2035年两地区刚性方案费用现值合计98006.53万元，弹性方案95107.86万元，减少2898.67万元，降幅2.96%。其中邳州减少848.32万元，市区减少2050.35万元。表1列示各措施费用，均按同一评价范围计算。</w:t>
      </w:r>
    </w:p>
    <w:p w14:paraId="087F11F5">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表1 两地区新增措施评价期费用现值</w:t>
      </w:r>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650"/>
        <w:gridCol w:w="1750"/>
        <w:gridCol w:w="1750"/>
        <w:gridCol w:w="1750"/>
        <w:gridCol w:w="1756"/>
      </w:tblGrid>
      <w:tr w14:paraId="3D47F0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trPr>
        <w:tc>
          <w:tcPr>
            <w:tcW w:w="650" w:type="dxa"/>
            <w:vAlign w:val="center"/>
          </w:tcPr>
          <w:p w14:paraId="5A09A06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地区</w:t>
            </w:r>
          </w:p>
        </w:tc>
        <w:tc>
          <w:tcPr>
            <w:tcW w:w="650" w:type="dxa"/>
            <w:vAlign w:val="center"/>
          </w:tcPr>
          <w:p w14:paraId="7DB0749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方案</w:t>
            </w:r>
          </w:p>
        </w:tc>
        <w:tc>
          <w:tcPr>
            <w:tcW w:w="1750" w:type="dxa"/>
            <w:vAlign w:val="center"/>
          </w:tcPr>
          <w:p w14:paraId="5D9B59A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主变/万元</w:t>
            </w:r>
          </w:p>
        </w:tc>
        <w:tc>
          <w:tcPr>
            <w:tcW w:w="1750" w:type="dxa"/>
            <w:vAlign w:val="center"/>
          </w:tcPr>
          <w:p w14:paraId="0A32FA7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储能/万元</w:t>
            </w:r>
          </w:p>
        </w:tc>
        <w:tc>
          <w:tcPr>
            <w:tcW w:w="1750" w:type="dxa"/>
            <w:vAlign w:val="center"/>
          </w:tcPr>
          <w:p w14:paraId="7E0141E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联络/万元</w:t>
            </w:r>
          </w:p>
        </w:tc>
        <w:tc>
          <w:tcPr>
            <w:tcW w:w="1756" w:type="dxa"/>
            <w:vAlign w:val="center"/>
          </w:tcPr>
          <w:p w14:paraId="11FA778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合计/万元</w:t>
            </w:r>
          </w:p>
        </w:tc>
      </w:tr>
      <w:tr w14:paraId="34D70B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650" w:type="dxa"/>
            <w:vAlign w:val="center"/>
          </w:tcPr>
          <w:p w14:paraId="24DBBA6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邳州</w:t>
            </w:r>
          </w:p>
        </w:tc>
        <w:tc>
          <w:tcPr>
            <w:tcW w:w="650" w:type="dxa"/>
            <w:vAlign w:val="center"/>
          </w:tcPr>
          <w:p w14:paraId="3A12A49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刚性</w:t>
            </w:r>
          </w:p>
        </w:tc>
        <w:tc>
          <w:tcPr>
            <w:tcW w:w="1750" w:type="dxa"/>
            <w:vAlign w:val="center"/>
          </w:tcPr>
          <w:p w14:paraId="56D7F4E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14938.49</w:t>
            </w:r>
          </w:p>
        </w:tc>
        <w:tc>
          <w:tcPr>
            <w:tcW w:w="1750" w:type="dxa"/>
            <w:vAlign w:val="center"/>
          </w:tcPr>
          <w:p w14:paraId="39DB8A2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38108.23</w:t>
            </w:r>
          </w:p>
        </w:tc>
        <w:tc>
          <w:tcPr>
            <w:tcW w:w="1750" w:type="dxa"/>
            <w:vAlign w:val="center"/>
          </w:tcPr>
          <w:p w14:paraId="1B3E9D5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5322.97</w:t>
            </w:r>
          </w:p>
        </w:tc>
        <w:tc>
          <w:tcPr>
            <w:tcW w:w="1756" w:type="dxa"/>
            <w:vAlign w:val="center"/>
          </w:tcPr>
          <w:p w14:paraId="1483D54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58369.68</w:t>
            </w:r>
          </w:p>
        </w:tc>
      </w:tr>
      <w:tr w14:paraId="528F32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650" w:type="dxa"/>
            <w:vAlign w:val="center"/>
          </w:tcPr>
          <w:p w14:paraId="3024C04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邳州</w:t>
            </w:r>
          </w:p>
        </w:tc>
        <w:tc>
          <w:tcPr>
            <w:tcW w:w="650" w:type="dxa"/>
            <w:vAlign w:val="center"/>
          </w:tcPr>
          <w:p w14:paraId="243A8F5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弹性</w:t>
            </w:r>
          </w:p>
        </w:tc>
        <w:tc>
          <w:tcPr>
            <w:tcW w:w="1750" w:type="dxa"/>
            <w:vAlign w:val="center"/>
          </w:tcPr>
          <w:p w14:paraId="1CDF2ED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23290.49</w:t>
            </w:r>
          </w:p>
        </w:tc>
        <w:tc>
          <w:tcPr>
            <w:tcW w:w="1750" w:type="dxa"/>
            <w:vAlign w:val="center"/>
          </w:tcPr>
          <w:p w14:paraId="162BDED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32491.48</w:t>
            </w:r>
          </w:p>
        </w:tc>
        <w:tc>
          <w:tcPr>
            <w:tcW w:w="1750" w:type="dxa"/>
            <w:vAlign w:val="center"/>
          </w:tcPr>
          <w:p w14:paraId="33B6316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1739.39</w:t>
            </w:r>
          </w:p>
        </w:tc>
        <w:tc>
          <w:tcPr>
            <w:tcW w:w="1756" w:type="dxa"/>
            <w:vAlign w:val="center"/>
          </w:tcPr>
          <w:p w14:paraId="1B5ED1D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57521.36</w:t>
            </w:r>
          </w:p>
        </w:tc>
      </w:tr>
      <w:tr w14:paraId="7B481D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650" w:type="dxa"/>
            <w:vAlign w:val="center"/>
          </w:tcPr>
          <w:p w14:paraId="50282CF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市区</w:t>
            </w:r>
          </w:p>
        </w:tc>
        <w:tc>
          <w:tcPr>
            <w:tcW w:w="650" w:type="dxa"/>
            <w:vAlign w:val="center"/>
          </w:tcPr>
          <w:p w14:paraId="54A984E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刚性</w:t>
            </w:r>
          </w:p>
        </w:tc>
        <w:tc>
          <w:tcPr>
            <w:tcW w:w="1750" w:type="dxa"/>
            <w:vAlign w:val="center"/>
          </w:tcPr>
          <w:p w14:paraId="33494A0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13399.40</w:t>
            </w:r>
          </w:p>
        </w:tc>
        <w:tc>
          <w:tcPr>
            <w:tcW w:w="1750" w:type="dxa"/>
            <w:vAlign w:val="center"/>
          </w:tcPr>
          <w:p w14:paraId="64DA094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5389.71</w:t>
            </w:r>
          </w:p>
        </w:tc>
        <w:tc>
          <w:tcPr>
            <w:tcW w:w="1750" w:type="dxa"/>
            <w:vAlign w:val="center"/>
          </w:tcPr>
          <w:p w14:paraId="3BC0E37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20847.73</w:t>
            </w:r>
          </w:p>
        </w:tc>
        <w:tc>
          <w:tcPr>
            <w:tcW w:w="1756" w:type="dxa"/>
            <w:vAlign w:val="center"/>
          </w:tcPr>
          <w:p w14:paraId="00EDA47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39636.85</w:t>
            </w:r>
          </w:p>
        </w:tc>
      </w:tr>
      <w:tr w14:paraId="2F8E4D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650" w:type="dxa"/>
            <w:vAlign w:val="center"/>
          </w:tcPr>
          <w:p w14:paraId="225937B3">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市区</w:t>
            </w:r>
          </w:p>
        </w:tc>
        <w:tc>
          <w:tcPr>
            <w:tcW w:w="650" w:type="dxa"/>
            <w:vAlign w:val="center"/>
          </w:tcPr>
          <w:p w14:paraId="4B2FF72E">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弹性</w:t>
            </w:r>
          </w:p>
        </w:tc>
        <w:tc>
          <w:tcPr>
            <w:tcW w:w="1750" w:type="dxa"/>
            <w:vAlign w:val="center"/>
          </w:tcPr>
          <w:p w14:paraId="086AF377">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22928.25</w:t>
            </w:r>
          </w:p>
        </w:tc>
        <w:tc>
          <w:tcPr>
            <w:tcW w:w="1750" w:type="dxa"/>
            <w:vAlign w:val="center"/>
          </w:tcPr>
          <w:p w14:paraId="77C5C5F1">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6000.60</w:t>
            </w:r>
          </w:p>
        </w:tc>
        <w:tc>
          <w:tcPr>
            <w:tcW w:w="1750" w:type="dxa"/>
            <w:vAlign w:val="center"/>
          </w:tcPr>
          <w:p w14:paraId="0A1D49AA">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8657.65</w:t>
            </w:r>
          </w:p>
        </w:tc>
        <w:tc>
          <w:tcPr>
            <w:tcW w:w="1756" w:type="dxa"/>
            <w:vAlign w:val="center"/>
          </w:tcPr>
          <w:p w14:paraId="569B658F">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37586.50</w:t>
            </w:r>
          </w:p>
        </w:tc>
      </w:tr>
    </w:tbl>
    <w:p w14:paraId="03EE7436">
      <w:pPr>
        <w:widowControl/>
        <w:adjustRightInd w:val="0"/>
        <w:snapToGrid w:val="0"/>
        <w:spacing w:line="560" w:lineRule="exact"/>
        <w:ind w:firstLine="643" w:firstLineChars="200"/>
        <w:rPr>
          <w:rFonts w:hint="eastAsia" w:ascii="方正仿宋_GBK" w:hAnsi="方正仿宋_GBK" w:eastAsia="方正仿宋_GBK" w:cs="Times New Roman"/>
          <w:sz w:val="32"/>
          <w:szCs w:val="32"/>
          <w:highlight w:val="none"/>
          <w14:ligatures w14:val="standardContextual"/>
        </w:rPr>
      </w:pPr>
      <w:r>
        <w:rPr>
          <w:rFonts w:hint="eastAsia" w:ascii="方正楷体_GBK" w:hAnsi="方正楷体_GBK" w:eastAsia="方正楷体_GBK" w:cs="方正楷体_GBK"/>
          <w:b/>
          <w:sz w:val="32"/>
          <w:szCs w:val="32"/>
        </w:rPr>
        <w:t>一是邳州以较多主变投入替代部分储能和联络。</w:t>
      </w:r>
      <w:r>
        <w:rPr>
          <w:rFonts w:hint="eastAsia" w:ascii="方正仿宋_GBK" w:hAnsi="方正仿宋_GBK" w:eastAsia="方正仿宋_GBK" w:cs="Times New Roman"/>
          <w:sz w:val="32"/>
          <w:szCs w:val="32"/>
        </w:rPr>
        <w:t>弹性方案主变费用现值较刚性增加8352.01万元，储能和联络分别减少5616.74万元、3583.59万元。站内补强提高正常及故障时的剩余承载能力，减少部分局部支撑和通道建设需求，三项费用共同形成该地区848.32万元的合计下降。</w:t>
      </w:r>
    </w:p>
    <w:p w14:paraId="1AEF835F">
      <w:pPr>
        <w:widowControl/>
        <w:adjustRightInd w:val="0"/>
        <w:snapToGrid w:val="0"/>
        <w:spacing w:line="560" w:lineRule="exact"/>
        <w:ind w:firstLine="643" w:firstLineChars="200"/>
        <w:rPr>
          <w:rFonts w:hint="eastAsia" w:ascii="方正仿宋_GBK" w:hAnsi="方正仿宋_GBK" w:eastAsia="方正仿宋_GBK" w:cs="Times New Roman"/>
          <w:sz w:val="32"/>
          <w:szCs w:val="32"/>
          <w:highlight w:val="none"/>
          <w14:ligatures w14:val="standardContextual"/>
        </w:rPr>
      </w:pPr>
      <w:r>
        <w:rPr>
          <w:rFonts w:hint="eastAsia" w:ascii="方正楷体_GBK" w:hAnsi="方正楷体_GBK" w:eastAsia="方正楷体_GBK" w:cs="方正楷体_GBK"/>
          <w:b/>
          <w:sz w:val="32"/>
          <w:szCs w:val="32"/>
        </w:rPr>
        <w:t>二是市区主要通过减少新增联络形成费用优势。</w:t>
      </w:r>
      <w:r>
        <w:rPr>
          <w:rFonts w:hint="eastAsia" w:ascii="方正仿宋_GBK" w:hAnsi="方正仿宋_GBK" w:eastAsia="方正仿宋_GBK" w:cs="Times New Roman"/>
          <w:sz w:val="32"/>
          <w:szCs w:val="32"/>
        </w:rPr>
        <w:t>弹性方案主变与储能费用现值分别增加9528.85万元、610.89万元，联络费用减少12190.08万元，合计下降2050.35万元。市区电缆长度占比约80%，高于邳州约11%，同类新增联络的工程费用较高，站内补强对联络建设的替代作用在费用比较中更突出。</w:t>
      </w:r>
    </w:p>
    <w:p w14:paraId="6F336880">
      <w:pPr>
        <w:widowControl/>
        <w:adjustRightInd w:val="0"/>
        <w:snapToGrid w:val="0"/>
        <w:spacing w:line="560" w:lineRule="exact"/>
        <w:ind w:firstLine="643" w:firstLineChars="200"/>
        <w:rPr>
          <w:rFonts w:hint="eastAsia" w:ascii="方正仿宋_GBK" w:hAnsi="方正仿宋_GBK" w:eastAsia="方正仿宋_GBK" w:cs="Times New Roman"/>
          <w:sz w:val="32"/>
          <w:szCs w:val="32"/>
          <w:highlight w:val="none"/>
          <w14:ligatures w14:val="standardContextual"/>
        </w:rPr>
      </w:pPr>
      <w:r>
        <w:rPr>
          <w:rFonts w:hint="eastAsia" w:ascii="方正楷体_GBK" w:hAnsi="方正楷体_GBK" w:eastAsia="方正楷体_GBK" w:cs="方正楷体_GBK"/>
          <w:b/>
          <w:sz w:val="32"/>
          <w:szCs w:val="32"/>
        </w:rPr>
        <w:t>三是费用优势随年度建设逐步形成。</w:t>
      </w:r>
      <w:r>
        <w:rPr>
          <w:rFonts w:hint="eastAsia" w:ascii="方正仿宋_GBK" w:hAnsi="方正仿宋_GBK" w:eastAsia="方正仿宋_GBK" w:cs="Times New Roman"/>
          <w:sz w:val="32"/>
          <w:szCs w:val="32"/>
        </w:rPr>
        <w:t>市区2022年两方案均无新增工程，2030年弹性累计费用现值16806.54万元，高于刚性14819.77万元。前期较多主变采购增加投入，后续联络建设减少后才形成全期优势。各年度的设备和费用差异需结合投运过程判断。</w:t>
      </w:r>
    </w:p>
    <w:p w14:paraId="53F3B6D9">
      <w:pPr>
        <w:keepNext/>
        <w:widowControl/>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pPr>
      <w:r>
        <w:rPr>
          <w:rFonts w:hint="eastAsia" w:ascii="方正楷体_GBK" w:hAnsi="方正楷体_GBK" w:eastAsia="方正楷体_GBK" w:cs="方正楷体_GBK"/>
          <w:b/>
          <w:bCs/>
          <w:sz w:val="32"/>
          <w:szCs w:val="32"/>
        </w:rPr>
        <w:t>（二）邳州兼顾正向供电与后期反向承载需求</w:t>
      </w:r>
    </w:p>
    <w:p w14:paraId="17C0B1EA">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邳州刚性方案2022—2026年保持2027.00 MVA主变容量，主要利用储能和联络应对局部需求。弹性方案2022年净增41.50 MVA，2025年达到2091.50 MVA，该年储能为零，累计新增联络3条；刚性方案2025年配置56.33 MWh储能和9条新增联络。前期站内补强改变了本地支撑与邻站支援的组合。</w:t>
      </w:r>
    </w:p>
    <w:p w14:paraId="23876542">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2030年弹性主变容量2388.50 MVA、储能69.66 MWh、累计新增联络6条，刚性分别为2125.50 MVA、153.94 MWh和25条。光伏及负荷继续增长后，两方案均逐步增加建设。至2035年，弹性主变容量2901.00 MVA，比刚性2678.00 MVA多223.00 MVA，储能额定能量分别为545.67 MWh和568.25 MWh，累计新增联络分别为21条和58条。</w:t>
      </w:r>
    </w:p>
    <w:p w14:paraId="0E461F23">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表2 邳州代表年度主变容量及容载比</w:t>
      </w:r>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1620"/>
        <w:gridCol w:w="1640"/>
        <w:gridCol w:w="1370"/>
        <w:gridCol w:w="1640"/>
        <w:gridCol w:w="1386"/>
      </w:tblGrid>
      <w:tr w14:paraId="3208E8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trPr>
        <w:tc>
          <w:tcPr>
            <w:tcW w:w="650" w:type="dxa"/>
            <w:vAlign w:val="center"/>
          </w:tcPr>
          <w:p w14:paraId="3E79CB0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年份</w:t>
            </w:r>
          </w:p>
        </w:tc>
        <w:tc>
          <w:tcPr>
            <w:tcW w:w="1620" w:type="dxa"/>
            <w:vAlign w:val="center"/>
          </w:tcPr>
          <w:p w14:paraId="63C061C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网供峰值/MW</w:t>
            </w:r>
          </w:p>
        </w:tc>
        <w:tc>
          <w:tcPr>
            <w:tcW w:w="1640" w:type="dxa"/>
            <w:vAlign w:val="center"/>
          </w:tcPr>
          <w:p w14:paraId="485F6BD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刚性容量/MVA</w:t>
            </w:r>
          </w:p>
        </w:tc>
        <w:tc>
          <w:tcPr>
            <w:tcW w:w="1370" w:type="dxa"/>
            <w:vAlign w:val="center"/>
          </w:tcPr>
          <w:p w14:paraId="2DDFD9E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刚性容载比</w:t>
            </w:r>
          </w:p>
        </w:tc>
        <w:tc>
          <w:tcPr>
            <w:tcW w:w="1640" w:type="dxa"/>
            <w:vAlign w:val="center"/>
          </w:tcPr>
          <w:p w14:paraId="7026C18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弹性容量/MVA</w:t>
            </w:r>
          </w:p>
        </w:tc>
        <w:tc>
          <w:tcPr>
            <w:tcW w:w="1386" w:type="dxa"/>
            <w:vAlign w:val="center"/>
          </w:tcPr>
          <w:p w14:paraId="465ADD3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弹性容载比</w:t>
            </w:r>
          </w:p>
        </w:tc>
      </w:tr>
      <w:tr w14:paraId="1FF8EA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650" w:type="dxa"/>
            <w:vAlign w:val="center"/>
          </w:tcPr>
          <w:p w14:paraId="45B65D8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2021</w:t>
            </w:r>
          </w:p>
        </w:tc>
        <w:tc>
          <w:tcPr>
            <w:tcW w:w="1620" w:type="dxa"/>
            <w:vAlign w:val="center"/>
          </w:tcPr>
          <w:p w14:paraId="3A1AEE3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731.77</w:t>
            </w:r>
          </w:p>
        </w:tc>
        <w:tc>
          <w:tcPr>
            <w:tcW w:w="1640" w:type="dxa"/>
            <w:vAlign w:val="center"/>
          </w:tcPr>
          <w:p w14:paraId="6B140E3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2027.00</w:t>
            </w:r>
          </w:p>
        </w:tc>
        <w:tc>
          <w:tcPr>
            <w:tcW w:w="1370" w:type="dxa"/>
            <w:vAlign w:val="center"/>
          </w:tcPr>
          <w:p w14:paraId="56A5C9A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2.77</w:t>
            </w:r>
          </w:p>
        </w:tc>
        <w:tc>
          <w:tcPr>
            <w:tcW w:w="1640" w:type="dxa"/>
            <w:vAlign w:val="center"/>
          </w:tcPr>
          <w:p w14:paraId="69413E4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2027.00</w:t>
            </w:r>
          </w:p>
        </w:tc>
        <w:tc>
          <w:tcPr>
            <w:tcW w:w="1386" w:type="dxa"/>
            <w:vAlign w:val="center"/>
          </w:tcPr>
          <w:p w14:paraId="03A2768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2.77</w:t>
            </w:r>
          </w:p>
        </w:tc>
      </w:tr>
      <w:tr w14:paraId="48F113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650" w:type="dxa"/>
            <w:vAlign w:val="center"/>
          </w:tcPr>
          <w:p w14:paraId="0AB4371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2022</w:t>
            </w:r>
          </w:p>
        </w:tc>
        <w:tc>
          <w:tcPr>
            <w:tcW w:w="1620" w:type="dxa"/>
            <w:vAlign w:val="center"/>
          </w:tcPr>
          <w:p w14:paraId="5D8B7C3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825.00</w:t>
            </w:r>
          </w:p>
        </w:tc>
        <w:tc>
          <w:tcPr>
            <w:tcW w:w="1640" w:type="dxa"/>
            <w:vAlign w:val="center"/>
          </w:tcPr>
          <w:p w14:paraId="5472CFD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2027.00</w:t>
            </w:r>
          </w:p>
        </w:tc>
        <w:tc>
          <w:tcPr>
            <w:tcW w:w="1370" w:type="dxa"/>
            <w:vAlign w:val="center"/>
          </w:tcPr>
          <w:p w14:paraId="7070252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2.46</w:t>
            </w:r>
          </w:p>
        </w:tc>
        <w:tc>
          <w:tcPr>
            <w:tcW w:w="1640" w:type="dxa"/>
            <w:vAlign w:val="center"/>
          </w:tcPr>
          <w:p w14:paraId="3BC4113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2068.50</w:t>
            </w:r>
          </w:p>
        </w:tc>
        <w:tc>
          <w:tcPr>
            <w:tcW w:w="1386" w:type="dxa"/>
            <w:vAlign w:val="center"/>
          </w:tcPr>
          <w:p w14:paraId="25051A4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2.51</w:t>
            </w:r>
          </w:p>
        </w:tc>
      </w:tr>
      <w:tr w14:paraId="46D1E7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650" w:type="dxa"/>
            <w:vAlign w:val="center"/>
          </w:tcPr>
          <w:p w14:paraId="61AAA43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2023</w:t>
            </w:r>
          </w:p>
        </w:tc>
        <w:tc>
          <w:tcPr>
            <w:tcW w:w="1620" w:type="dxa"/>
            <w:vAlign w:val="center"/>
          </w:tcPr>
          <w:p w14:paraId="0003433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761.23</w:t>
            </w:r>
          </w:p>
        </w:tc>
        <w:tc>
          <w:tcPr>
            <w:tcW w:w="1640" w:type="dxa"/>
            <w:vAlign w:val="center"/>
          </w:tcPr>
          <w:p w14:paraId="049E4F0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2027.00</w:t>
            </w:r>
          </w:p>
        </w:tc>
        <w:tc>
          <w:tcPr>
            <w:tcW w:w="1370" w:type="dxa"/>
            <w:vAlign w:val="center"/>
          </w:tcPr>
          <w:p w14:paraId="20B8E16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2.66</w:t>
            </w:r>
          </w:p>
        </w:tc>
        <w:tc>
          <w:tcPr>
            <w:tcW w:w="1640" w:type="dxa"/>
            <w:vAlign w:val="center"/>
          </w:tcPr>
          <w:p w14:paraId="7B4CF37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2068.50</w:t>
            </w:r>
          </w:p>
        </w:tc>
        <w:tc>
          <w:tcPr>
            <w:tcW w:w="1386" w:type="dxa"/>
            <w:vAlign w:val="center"/>
          </w:tcPr>
          <w:p w14:paraId="12C805D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2.72</w:t>
            </w:r>
          </w:p>
        </w:tc>
      </w:tr>
      <w:tr w14:paraId="4F8BF3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650" w:type="dxa"/>
            <w:vAlign w:val="center"/>
          </w:tcPr>
          <w:p w14:paraId="790C14D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2025</w:t>
            </w:r>
          </w:p>
        </w:tc>
        <w:tc>
          <w:tcPr>
            <w:tcW w:w="1620" w:type="dxa"/>
            <w:vAlign w:val="center"/>
          </w:tcPr>
          <w:p w14:paraId="1D4588D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956.45</w:t>
            </w:r>
          </w:p>
        </w:tc>
        <w:tc>
          <w:tcPr>
            <w:tcW w:w="1640" w:type="dxa"/>
            <w:vAlign w:val="center"/>
          </w:tcPr>
          <w:p w14:paraId="2BE8219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2027.00</w:t>
            </w:r>
          </w:p>
        </w:tc>
        <w:tc>
          <w:tcPr>
            <w:tcW w:w="1370" w:type="dxa"/>
            <w:vAlign w:val="center"/>
          </w:tcPr>
          <w:p w14:paraId="30C1075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2.12</w:t>
            </w:r>
          </w:p>
        </w:tc>
        <w:tc>
          <w:tcPr>
            <w:tcW w:w="1640" w:type="dxa"/>
            <w:vAlign w:val="center"/>
          </w:tcPr>
          <w:p w14:paraId="5F44F1D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2091.50</w:t>
            </w:r>
          </w:p>
        </w:tc>
        <w:tc>
          <w:tcPr>
            <w:tcW w:w="1386" w:type="dxa"/>
            <w:vAlign w:val="center"/>
          </w:tcPr>
          <w:p w14:paraId="0C148AB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2.19</w:t>
            </w:r>
          </w:p>
        </w:tc>
      </w:tr>
      <w:tr w14:paraId="1B9E7B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650" w:type="dxa"/>
            <w:vAlign w:val="center"/>
          </w:tcPr>
          <w:p w14:paraId="093FF62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2030</w:t>
            </w:r>
          </w:p>
        </w:tc>
        <w:tc>
          <w:tcPr>
            <w:tcW w:w="1620" w:type="dxa"/>
            <w:vAlign w:val="center"/>
          </w:tcPr>
          <w:p w14:paraId="6AE43BE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1171.59</w:t>
            </w:r>
          </w:p>
        </w:tc>
        <w:tc>
          <w:tcPr>
            <w:tcW w:w="1640" w:type="dxa"/>
            <w:vAlign w:val="center"/>
          </w:tcPr>
          <w:p w14:paraId="68D4133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2125.50</w:t>
            </w:r>
          </w:p>
        </w:tc>
        <w:tc>
          <w:tcPr>
            <w:tcW w:w="1370" w:type="dxa"/>
            <w:vAlign w:val="center"/>
          </w:tcPr>
          <w:p w14:paraId="09DCA80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1.81</w:t>
            </w:r>
          </w:p>
        </w:tc>
        <w:tc>
          <w:tcPr>
            <w:tcW w:w="1640" w:type="dxa"/>
            <w:vAlign w:val="center"/>
          </w:tcPr>
          <w:p w14:paraId="0FEFE7E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2388.50</w:t>
            </w:r>
          </w:p>
        </w:tc>
        <w:tc>
          <w:tcPr>
            <w:tcW w:w="1386" w:type="dxa"/>
            <w:vAlign w:val="center"/>
          </w:tcPr>
          <w:p w14:paraId="5DC27E3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2.04</w:t>
            </w:r>
          </w:p>
        </w:tc>
      </w:tr>
      <w:tr w14:paraId="546F62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650" w:type="dxa"/>
            <w:vAlign w:val="center"/>
          </w:tcPr>
          <w:p w14:paraId="5F184DF6">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2035</w:t>
            </w:r>
          </w:p>
        </w:tc>
        <w:tc>
          <w:tcPr>
            <w:tcW w:w="1620" w:type="dxa"/>
            <w:vAlign w:val="center"/>
          </w:tcPr>
          <w:p w14:paraId="6EF8F74C">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1409.47</w:t>
            </w:r>
          </w:p>
        </w:tc>
        <w:tc>
          <w:tcPr>
            <w:tcW w:w="1640" w:type="dxa"/>
            <w:vAlign w:val="center"/>
          </w:tcPr>
          <w:p w14:paraId="6578AF5D">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2678.00</w:t>
            </w:r>
          </w:p>
        </w:tc>
        <w:tc>
          <w:tcPr>
            <w:tcW w:w="1370" w:type="dxa"/>
            <w:vAlign w:val="center"/>
          </w:tcPr>
          <w:p w14:paraId="3F56579B">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1.90</w:t>
            </w:r>
          </w:p>
        </w:tc>
        <w:tc>
          <w:tcPr>
            <w:tcW w:w="1640" w:type="dxa"/>
            <w:vAlign w:val="center"/>
          </w:tcPr>
          <w:p w14:paraId="1A7DEFD9">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2901.00</w:t>
            </w:r>
          </w:p>
        </w:tc>
        <w:tc>
          <w:tcPr>
            <w:tcW w:w="1386" w:type="dxa"/>
            <w:vAlign w:val="center"/>
          </w:tcPr>
          <w:p w14:paraId="103EF99B">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2.06</w:t>
            </w:r>
          </w:p>
        </w:tc>
      </w:tr>
    </w:tbl>
    <w:p w14:paraId="5C7DD0DB">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邳州2023年负荷回落，两方案均保留上年在役主变，容载比因分母减小而升高。后期容量增加与负荷增长同时作用，2035年弹性容载比2.06，刚性1.90。两方案的配储地点、时点和联络使用存在差异，储能规模还受各站双向功率缺口及支撑时长共同限制。</w:t>
      </w:r>
    </w:p>
    <w:p w14:paraId="19730AE0">
      <w:pPr>
        <w:keepNext/>
        <w:widowControl/>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pPr>
      <w:r>
        <w:rPr>
          <w:rFonts w:hint="eastAsia" w:ascii="方正楷体_GBK" w:hAnsi="方正楷体_GBK" w:eastAsia="方正楷体_GBK" w:cs="方正楷体_GBK"/>
          <w:b/>
          <w:bCs/>
          <w:sz w:val="32"/>
          <w:szCs w:val="32"/>
        </w:rPr>
        <w:t>（三）市区以站内补强减少联络并保留局部配储</w:t>
      </w:r>
    </w:p>
    <w:p w14:paraId="064E1206">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市区2022年两方案均利用3113.50 MVA在役主变和既有网络满足计算需求。2023—2025年开始出现建设差异，至2025年弹性容量3150.50 MVA，未新增储能和联络；刚性保持3113.50 MVA，配置3.87 MWh储能、累计新增联络5条。</w:t>
      </w:r>
    </w:p>
    <w:p w14:paraId="491F2904">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2030年弹性主变容量3413.00 MVA，仍未新增储能及联络，刚性容量3140.50 MVA、储能12.04 MWh、累计新增联络32条。2032年以后两方案继续增加本地支撑，至2035年弹性储能109.65 MWh，高于刚性92.88 MWh，累计新增联络35条，少于刚性66条。</w:t>
      </w:r>
    </w:p>
    <w:p w14:paraId="39E381D3">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表3 市区代表年度主变容量及容载比</w:t>
      </w:r>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1620"/>
        <w:gridCol w:w="1640"/>
        <w:gridCol w:w="1370"/>
        <w:gridCol w:w="1640"/>
        <w:gridCol w:w="1386"/>
      </w:tblGrid>
      <w:tr w14:paraId="2EA146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trPr>
        <w:tc>
          <w:tcPr>
            <w:tcW w:w="650" w:type="dxa"/>
            <w:vAlign w:val="center"/>
          </w:tcPr>
          <w:p w14:paraId="321A429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年份</w:t>
            </w:r>
          </w:p>
        </w:tc>
        <w:tc>
          <w:tcPr>
            <w:tcW w:w="1620" w:type="dxa"/>
            <w:vAlign w:val="center"/>
          </w:tcPr>
          <w:p w14:paraId="11925ED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网供峰值/MW</w:t>
            </w:r>
          </w:p>
        </w:tc>
        <w:tc>
          <w:tcPr>
            <w:tcW w:w="1640" w:type="dxa"/>
            <w:vAlign w:val="center"/>
          </w:tcPr>
          <w:p w14:paraId="08E9D79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刚性容量/MVA</w:t>
            </w:r>
          </w:p>
        </w:tc>
        <w:tc>
          <w:tcPr>
            <w:tcW w:w="1370" w:type="dxa"/>
            <w:vAlign w:val="center"/>
          </w:tcPr>
          <w:p w14:paraId="58B8D5D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刚性容载比</w:t>
            </w:r>
          </w:p>
        </w:tc>
        <w:tc>
          <w:tcPr>
            <w:tcW w:w="1640" w:type="dxa"/>
            <w:vAlign w:val="center"/>
          </w:tcPr>
          <w:p w14:paraId="01F1B7E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弹性容量/MVA</w:t>
            </w:r>
          </w:p>
        </w:tc>
        <w:tc>
          <w:tcPr>
            <w:tcW w:w="1386" w:type="dxa"/>
            <w:vAlign w:val="center"/>
          </w:tcPr>
          <w:p w14:paraId="0251624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弹性容载比</w:t>
            </w:r>
          </w:p>
        </w:tc>
      </w:tr>
      <w:tr w14:paraId="2ED2E3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650" w:type="dxa"/>
            <w:vAlign w:val="center"/>
          </w:tcPr>
          <w:p w14:paraId="01F9BBF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2021</w:t>
            </w:r>
          </w:p>
        </w:tc>
        <w:tc>
          <w:tcPr>
            <w:tcW w:w="1620" w:type="dxa"/>
            <w:vAlign w:val="center"/>
          </w:tcPr>
          <w:p w14:paraId="6C2D2B3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1449.77</w:t>
            </w:r>
          </w:p>
        </w:tc>
        <w:tc>
          <w:tcPr>
            <w:tcW w:w="1640" w:type="dxa"/>
            <w:vAlign w:val="center"/>
          </w:tcPr>
          <w:p w14:paraId="7ED8F51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3113.50</w:t>
            </w:r>
          </w:p>
        </w:tc>
        <w:tc>
          <w:tcPr>
            <w:tcW w:w="1370" w:type="dxa"/>
            <w:vAlign w:val="center"/>
          </w:tcPr>
          <w:p w14:paraId="589C7EB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2.15</w:t>
            </w:r>
          </w:p>
        </w:tc>
        <w:tc>
          <w:tcPr>
            <w:tcW w:w="1640" w:type="dxa"/>
            <w:vAlign w:val="center"/>
          </w:tcPr>
          <w:p w14:paraId="3C95D83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3113.50</w:t>
            </w:r>
          </w:p>
        </w:tc>
        <w:tc>
          <w:tcPr>
            <w:tcW w:w="1386" w:type="dxa"/>
            <w:vAlign w:val="center"/>
          </w:tcPr>
          <w:p w14:paraId="50EDEEA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2.15</w:t>
            </w:r>
          </w:p>
        </w:tc>
      </w:tr>
      <w:tr w14:paraId="3C6B73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650" w:type="dxa"/>
            <w:vAlign w:val="center"/>
          </w:tcPr>
          <w:p w14:paraId="3DBA1C2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2022</w:t>
            </w:r>
          </w:p>
        </w:tc>
        <w:tc>
          <w:tcPr>
            <w:tcW w:w="1620" w:type="dxa"/>
            <w:vAlign w:val="center"/>
          </w:tcPr>
          <w:p w14:paraId="6932B2E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1432.37</w:t>
            </w:r>
          </w:p>
        </w:tc>
        <w:tc>
          <w:tcPr>
            <w:tcW w:w="1640" w:type="dxa"/>
            <w:vAlign w:val="center"/>
          </w:tcPr>
          <w:p w14:paraId="0D1BD81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3113.50</w:t>
            </w:r>
          </w:p>
        </w:tc>
        <w:tc>
          <w:tcPr>
            <w:tcW w:w="1370" w:type="dxa"/>
            <w:vAlign w:val="center"/>
          </w:tcPr>
          <w:p w14:paraId="0B8BBBD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2.17</w:t>
            </w:r>
          </w:p>
        </w:tc>
        <w:tc>
          <w:tcPr>
            <w:tcW w:w="1640" w:type="dxa"/>
            <w:vAlign w:val="center"/>
          </w:tcPr>
          <w:p w14:paraId="0115BF8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3113.50</w:t>
            </w:r>
          </w:p>
        </w:tc>
        <w:tc>
          <w:tcPr>
            <w:tcW w:w="1386" w:type="dxa"/>
            <w:vAlign w:val="center"/>
          </w:tcPr>
          <w:p w14:paraId="4191269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2.17</w:t>
            </w:r>
          </w:p>
        </w:tc>
      </w:tr>
      <w:tr w14:paraId="62085F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650" w:type="dxa"/>
            <w:vAlign w:val="center"/>
          </w:tcPr>
          <w:p w14:paraId="5619A2D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2023</w:t>
            </w:r>
          </w:p>
        </w:tc>
        <w:tc>
          <w:tcPr>
            <w:tcW w:w="1620" w:type="dxa"/>
            <w:vAlign w:val="center"/>
          </w:tcPr>
          <w:p w14:paraId="15EA906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1542.22</w:t>
            </w:r>
          </w:p>
        </w:tc>
        <w:tc>
          <w:tcPr>
            <w:tcW w:w="1640" w:type="dxa"/>
            <w:vAlign w:val="center"/>
          </w:tcPr>
          <w:p w14:paraId="1342960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3113.50</w:t>
            </w:r>
          </w:p>
        </w:tc>
        <w:tc>
          <w:tcPr>
            <w:tcW w:w="1370" w:type="dxa"/>
            <w:vAlign w:val="center"/>
          </w:tcPr>
          <w:p w14:paraId="3DA2602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2.02</w:t>
            </w:r>
          </w:p>
        </w:tc>
        <w:tc>
          <w:tcPr>
            <w:tcW w:w="1640" w:type="dxa"/>
            <w:vAlign w:val="center"/>
          </w:tcPr>
          <w:p w14:paraId="04A9C90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3150.50</w:t>
            </w:r>
          </w:p>
        </w:tc>
        <w:tc>
          <w:tcPr>
            <w:tcW w:w="1386" w:type="dxa"/>
            <w:vAlign w:val="center"/>
          </w:tcPr>
          <w:p w14:paraId="7BE9AF0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2.04</w:t>
            </w:r>
          </w:p>
        </w:tc>
      </w:tr>
      <w:tr w14:paraId="46A501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650" w:type="dxa"/>
            <w:vAlign w:val="center"/>
          </w:tcPr>
          <w:p w14:paraId="6F3FDA2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2025</w:t>
            </w:r>
          </w:p>
        </w:tc>
        <w:tc>
          <w:tcPr>
            <w:tcW w:w="1620" w:type="dxa"/>
            <w:vAlign w:val="center"/>
          </w:tcPr>
          <w:p w14:paraId="14CC341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1528.82</w:t>
            </w:r>
          </w:p>
        </w:tc>
        <w:tc>
          <w:tcPr>
            <w:tcW w:w="1640" w:type="dxa"/>
            <w:vAlign w:val="center"/>
          </w:tcPr>
          <w:p w14:paraId="7B31EF6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3113.50</w:t>
            </w:r>
          </w:p>
        </w:tc>
        <w:tc>
          <w:tcPr>
            <w:tcW w:w="1370" w:type="dxa"/>
            <w:vAlign w:val="center"/>
          </w:tcPr>
          <w:p w14:paraId="551275E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2.04</w:t>
            </w:r>
          </w:p>
        </w:tc>
        <w:tc>
          <w:tcPr>
            <w:tcW w:w="1640" w:type="dxa"/>
            <w:vAlign w:val="center"/>
          </w:tcPr>
          <w:p w14:paraId="710431F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3150.50</w:t>
            </w:r>
          </w:p>
        </w:tc>
        <w:tc>
          <w:tcPr>
            <w:tcW w:w="1386" w:type="dxa"/>
            <w:vAlign w:val="center"/>
          </w:tcPr>
          <w:p w14:paraId="7AE0C69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2.06</w:t>
            </w:r>
          </w:p>
        </w:tc>
      </w:tr>
      <w:tr w14:paraId="10501F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650" w:type="dxa"/>
            <w:vAlign w:val="center"/>
          </w:tcPr>
          <w:p w14:paraId="7C8BD8F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2030</w:t>
            </w:r>
          </w:p>
        </w:tc>
        <w:tc>
          <w:tcPr>
            <w:tcW w:w="1620" w:type="dxa"/>
            <w:vAlign w:val="center"/>
          </w:tcPr>
          <w:p w14:paraId="492287A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1845.31</w:t>
            </w:r>
          </w:p>
        </w:tc>
        <w:tc>
          <w:tcPr>
            <w:tcW w:w="1640" w:type="dxa"/>
            <w:vAlign w:val="center"/>
          </w:tcPr>
          <w:p w14:paraId="7F5E918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3140.50</w:t>
            </w:r>
          </w:p>
        </w:tc>
        <w:tc>
          <w:tcPr>
            <w:tcW w:w="1370" w:type="dxa"/>
            <w:vAlign w:val="center"/>
          </w:tcPr>
          <w:p w14:paraId="09678AF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1.70</w:t>
            </w:r>
          </w:p>
        </w:tc>
        <w:tc>
          <w:tcPr>
            <w:tcW w:w="1640" w:type="dxa"/>
            <w:vAlign w:val="center"/>
          </w:tcPr>
          <w:p w14:paraId="3DC568B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3413.00</w:t>
            </w:r>
          </w:p>
        </w:tc>
        <w:tc>
          <w:tcPr>
            <w:tcW w:w="1386" w:type="dxa"/>
            <w:vAlign w:val="center"/>
          </w:tcPr>
          <w:p w14:paraId="34F76EA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1.85</w:t>
            </w:r>
          </w:p>
        </w:tc>
      </w:tr>
      <w:tr w14:paraId="324B32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650" w:type="dxa"/>
            <w:vAlign w:val="center"/>
          </w:tcPr>
          <w:p w14:paraId="19F58FCA">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2035</w:t>
            </w:r>
          </w:p>
        </w:tc>
        <w:tc>
          <w:tcPr>
            <w:tcW w:w="1620" w:type="dxa"/>
            <w:vAlign w:val="center"/>
          </w:tcPr>
          <w:p w14:paraId="03EC8AF5">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2226.18</w:t>
            </w:r>
          </w:p>
        </w:tc>
        <w:tc>
          <w:tcPr>
            <w:tcW w:w="1640" w:type="dxa"/>
            <w:vAlign w:val="center"/>
          </w:tcPr>
          <w:p w14:paraId="28F44567">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3587.00</w:t>
            </w:r>
          </w:p>
        </w:tc>
        <w:tc>
          <w:tcPr>
            <w:tcW w:w="1370" w:type="dxa"/>
            <w:vAlign w:val="center"/>
          </w:tcPr>
          <w:p w14:paraId="4E127C52">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1.61</w:t>
            </w:r>
          </w:p>
        </w:tc>
        <w:tc>
          <w:tcPr>
            <w:tcW w:w="1640" w:type="dxa"/>
            <w:vAlign w:val="center"/>
          </w:tcPr>
          <w:p w14:paraId="4C38D316">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3608.50</w:t>
            </w:r>
          </w:p>
        </w:tc>
        <w:tc>
          <w:tcPr>
            <w:tcW w:w="1386" w:type="dxa"/>
            <w:vAlign w:val="center"/>
          </w:tcPr>
          <w:p w14:paraId="67B24737">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1.62</w:t>
            </w:r>
          </w:p>
        </w:tc>
      </w:tr>
    </w:tbl>
    <w:p w14:paraId="76233D44">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2035年弹性与刚性主变容量分别为3608.50 MVA、3587.00 MVA，容量差21.50 MVA，容载比分别为1.62、1.61。市区的费用改善主要体现为建设组合与投运时序的调整。储能在部分年份承担更多本地支撑，联络减少的费用节省则超过主变和储能投入增加。</w:t>
      </w:r>
    </w:p>
    <w:p w14:paraId="111BC656">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表4 2035年两地区年末在役配置</w:t>
      </w:r>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650"/>
        <w:gridCol w:w="1750"/>
        <w:gridCol w:w="1750"/>
        <w:gridCol w:w="1750"/>
        <w:gridCol w:w="1756"/>
      </w:tblGrid>
      <w:tr w14:paraId="7A5D4F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trPr>
        <w:tc>
          <w:tcPr>
            <w:tcW w:w="650" w:type="dxa"/>
            <w:vAlign w:val="center"/>
          </w:tcPr>
          <w:p w14:paraId="65EFF61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地区</w:t>
            </w:r>
          </w:p>
        </w:tc>
        <w:tc>
          <w:tcPr>
            <w:tcW w:w="650" w:type="dxa"/>
            <w:vAlign w:val="center"/>
          </w:tcPr>
          <w:p w14:paraId="0B35DBC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方案</w:t>
            </w:r>
          </w:p>
        </w:tc>
        <w:tc>
          <w:tcPr>
            <w:tcW w:w="1750" w:type="dxa"/>
            <w:vAlign w:val="center"/>
          </w:tcPr>
          <w:p w14:paraId="382E79F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主变容量/MVA</w:t>
            </w:r>
          </w:p>
        </w:tc>
        <w:tc>
          <w:tcPr>
            <w:tcW w:w="1750" w:type="dxa"/>
            <w:vAlign w:val="center"/>
          </w:tcPr>
          <w:p w14:paraId="1480D13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储能功率/MW</w:t>
            </w:r>
          </w:p>
        </w:tc>
        <w:tc>
          <w:tcPr>
            <w:tcW w:w="1750" w:type="dxa"/>
            <w:vAlign w:val="center"/>
          </w:tcPr>
          <w:p w14:paraId="6652FA8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储能能量/MWh</w:t>
            </w:r>
          </w:p>
        </w:tc>
        <w:tc>
          <w:tcPr>
            <w:tcW w:w="1756" w:type="dxa"/>
            <w:vAlign w:val="center"/>
          </w:tcPr>
          <w:p w14:paraId="3C865F6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累计新增联络/条</w:t>
            </w:r>
          </w:p>
        </w:tc>
      </w:tr>
      <w:tr w14:paraId="4C9704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650" w:type="dxa"/>
            <w:vAlign w:val="center"/>
          </w:tcPr>
          <w:p w14:paraId="1A5C513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邳州</w:t>
            </w:r>
          </w:p>
        </w:tc>
        <w:tc>
          <w:tcPr>
            <w:tcW w:w="650" w:type="dxa"/>
            <w:vAlign w:val="center"/>
          </w:tcPr>
          <w:p w14:paraId="7380AF2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刚性</w:t>
            </w:r>
          </w:p>
        </w:tc>
        <w:tc>
          <w:tcPr>
            <w:tcW w:w="1750" w:type="dxa"/>
            <w:vAlign w:val="center"/>
          </w:tcPr>
          <w:p w14:paraId="393CF43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2678.00</w:t>
            </w:r>
          </w:p>
        </w:tc>
        <w:tc>
          <w:tcPr>
            <w:tcW w:w="1750" w:type="dxa"/>
            <w:vAlign w:val="center"/>
          </w:tcPr>
          <w:p w14:paraId="2E92FA7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264.30</w:t>
            </w:r>
          </w:p>
        </w:tc>
        <w:tc>
          <w:tcPr>
            <w:tcW w:w="1750" w:type="dxa"/>
            <w:vAlign w:val="center"/>
          </w:tcPr>
          <w:p w14:paraId="4D98BD0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568.25</w:t>
            </w:r>
          </w:p>
        </w:tc>
        <w:tc>
          <w:tcPr>
            <w:tcW w:w="1756" w:type="dxa"/>
            <w:vAlign w:val="center"/>
          </w:tcPr>
          <w:p w14:paraId="03F4695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58</w:t>
            </w:r>
          </w:p>
        </w:tc>
      </w:tr>
      <w:tr w14:paraId="7EEA85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650" w:type="dxa"/>
            <w:vAlign w:val="center"/>
          </w:tcPr>
          <w:p w14:paraId="2ABE5BB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邳州</w:t>
            </w:r>
          </w:p>
        </w:tc>
        <w:tc>
          <w:tcPr>
            <w:tcW w:w="650" w:type="dxa"/>
            <w:vAlign w:val="center"/>
          </w:tcPr>
          <w:p w14:paraId="24FE704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弹性</w:t>
            </w:r>
          </w:p>
        </w:tc>
        <w:tc>
          <w:tcPr>
            <w:tcW w:w="1750" w:type="dxa"/>
            <w:vAlign w:val="center"/>
          </w:tcPr>
          <w:p w14:paraId="111DF6D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2901.00</w:t>
            </w:r>
          </w:p>
        </w:tc>
        <w:tc>
          <w:tcPr>
            <w:tcW w:w="1750" w:type="dxa"/>
            <w:vAlign w:val="center"/>
          </w:tcPr>
          <w:p w14:paraId="0877D2D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253.80</w:t>
            </w:r>
          </w:p>
        </w:tc>
        <w:tc>
          <w:tcPr>
            <w:tcW w:w="1750" w:type="dxa"/>
            <w:vAlign w:val="center"/>
          </w:tcPr>
          <w:p w14:paraId="0DC29AA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545.67</w:t>
            </w:r>
          </w:p>
        </w:tc>
        <w:tc>
          <w:tcPr>
            <w:tcW w:w="1756" w:type="dxa"/>
            <w:vAlign w:val="center"/>
          </w:tcPr>
          <w:p w14:paraId="6FF782F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w:t>
            </w:r>
          </w:p>
        </w:tc>
      </w:tr>
      <w:tr w14:paraId="1010BA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650" w:type="dxa"/>
            <w:vAlign w:val="center"/>
          </w:tcPr>
          <w:p w14:paraId="49E98B2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市区</w:t>
            </w:r>
          </w:p>
        </w:tc>
        <w:tc>
          <w:tcPr>
            <w:tcW w:w="650" w:type="dxa"/>
            <w:vAlign w:val="center"/>
          </w:tcPr>
          <w:p w14:paraId="2900149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刚性</w:t>
            </w:r>
          </w:p>
        </w:tc>
        <w:tc>
          <w:tcPr>
            <w:tcW w:w="1750" w:type="dxa"/>
            <w:vAlign w:val="center"/>
          </w:tcPr>
          <w:p w14:paraId="20909FD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3587.00</w:t>
            </w:r>
          </w:p>
        </w:tc>
        <w:tc>
          <w:tcPr>
            <w:tcW w:w="1750" w:type="dxa"/>
            <w:vAlign w:val="center"/>
          </w:tcPr>
          <w:p w14:paraId="6516497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43.20</w:t>
            </w:r>
          </w:p>
        </w:tc>
        <w:tc>
          <w:tcPr>
            <w:tcW w:w="1750" w:type="dxa"/>
            <w:vAlign w:val="center"/>
          </w:tcPr>
          <w:p w14:paraId="52E45C1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92.88</w:t>
            </w:r>
          </w:p>
        </w:tc>
        <w:tc>
          <w:tcPr>
            <w:tcW w:w="1756" w:type="dxa"/>
            <w:vAlign w:val="center"/>
          </w:tcPr>
          <w:p w14:paraId="4759717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66</w:t>
            </w:r>
          </w:p>
        </w:tc>
      </w:tr>
      <w:tr w14:paraId="2D7D17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650" w:type="dxa"/>
            <w:vAlign w:val="center"/>
          </w:tcPr>
          <w:p w14:paraId="0D4AC4D3">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市区</w:t>
            </w:r>
          </w:p>
        </w:tc>
        <w:tc>
          <w:tcPr>
            <w:tcW w:w="650" w:type="dxa"/>
            <w:vAlign w:val="center"/>
          </w:tcPr>
          <w:p w14:paraId="73EA02EE">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弹性</w:t>
            </w:r>
          </w:p>
        </w:tc>
        <w:tc>
          <w:tcPr>
            <w:tcW w:w="1750" w:type="dxa"/>
            <w:vAlign w:val="center"/>
          </w:tcPr>
          <w:p w14:paraId="7B32AFCA">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3608.50</w:t>
            </w:r>
          </w:p>
        </w:tc>
        <w:tc>
          <w:tcPr>
            <w:tcW w:w="1750" w:type="dxa"/>
            <w:vAlign w:val="center"/>
          </w:tcPr>
          <w:p w14:paraId="0C76FF4D">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51.00</w:t>
            </w:r>
          </w:p>
        </w:tc>
        <w:tc>
          <w:tcPr>
            <w:tcW w:w="1750" w:type="dxa"/>
            <w:vAlign w:val="center"/>
          </w:tcPr>
          <w:p w14:paraId="6C17CA5A">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109.65</w:t>
            </w:r>
          </w:p>
        </w:tc>
        <w:tc>
          <w:tcPr>
            <w:tcW w:w="1756" w:type="dxa"/>
            <w:vAlign w:val="center"/>
          </w:tcPr>
          <w:p w14:paraId="1FB95418">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35</w:t>
            </w:r>
          </w:p>
        </w:tc>
      </w:tr>
    </w:tbl>
    <w:p w14:paraId="0274EE5E">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表4的主变和储能为年末在役规模，联络为2022—2035年累计新增条数。新购主变容量为更换及扩建所采购设备的铭牌容量之和，净增容量为新购容量扣除同期被替换容量。2035年邳州弹性方案当年新购50.00 MVA、替换40.00 MVA，净增10.00 MVA，新增储能132.44 MWh和联络3条；市区当年扩建一台50.00 MVA主变，新增储能41.07 MWh和联络11条。当年新增工程与年末在役规模分别反映建设量和累计供电能力。</w:t>
      </w:r>
    </w:p>
    <w:p w14:paraId="5C74E4FD">
      <w:pPr>
        <w:keepNext/>
        <w:widowControl/>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pPr>
      <w:r>
        <w:rPr>
          <w:rFonts w:hint="eastAsia" w:ascii="方正楷体_GBK" w:hAnsi="方正楷体_GBK" w:eastAsia="方正楷体_GBK" w:cs="方正楷体_GBK"/>
          <w:b/>
          <w:bCs/>
          <w:sz w:val="32"/>
          <w:szCs w:val="32"/>
        </w:rPr>
        <w:t>（四）两层相关分析确定五项推广参数</w:t>
      </w:r>
    </w:p>
    <w:p w14:paraId="630B79A8">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指标筛选围绕源荷规模、运行压力和网络支援展开，并纳入时间及相对投资条件。十三</w:t>
      </w:r>
      <w:bookmarkStart w:id="0" w:name="_GoBack"/>
      <w:bookmarkEnd w:id="0"/>
      <w:r>
        <w:rPr>
          <w:rFonts w:hint="eastAsia" w:ascii="方正仿宋_GBK" w:hAnsi="方正仿宋_GBK" w:eastAsia="方正仿宋_GBK" w:cs="Times New Roman"/>
          <w:sz w:val="32"/>
          <w:szCs w:val="32"/>
        </w:rPr>
        <w:t>项候选包括装机渗透率和电量渗透率，站级负载率最大值及最大正反向净负荷，年最大净负荷平均增长率和负荷分散系数，初始转供率及电缆长度占比，95%峰值持续时间和储能支撑持续时间，以及主变与线路、主变与储能两项单位功率投资比。候选选择依据为导则有关负荷发展、负荷转移和反向容量校核要求，并结合联络与容载比关系及储能规划研究[1,3,4]。</w:t>
      </w:r>
    </w:p>
    <w:p w14:paraId="6996CA42">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负荷分散系数为各站正向峰值之和与区域同时正向峰值之比，无量纲。初始转供率为基期可转负荷与基期网供最大负荷之比，以百分比表示，两项均联系导则列出的容量储备影响因素[1]。电缆长度占比为电缆长度占电缆与架空线路总长度的比例，以百分比表示，通过新增联络造价影响措施选择[5]。最大正反向净负荷为区域同期曲线的受电峰值和反送功率最大幅值，单位MW，两项投资比则按单位有效功率投资折算，为无量纲指标。</w:t>
      </w:r>
    </w:p>
    <w:p w14:paraId="4F049948">
      <w:pPr>
        <w:widowControl/>
        <w:adjustRightInd w:val="0"/>
        <w:snapToGrid w:val="0"/>
        <w:spacing w:line="560" w:lineRule="exact"/>
        <w:ind w:firstLine="643" w:firstLineChars="200"/>
        <w:rPr>
          <w:rFonts w:hint="eastAsia" w:ascii="方正仿宋_GBK" w:hAnsi="方正仿宋_GBK" w:eastAsia="方正仿宋_GBK" w:cs="Times New Roman"/>
          <w:sz w:val="32"/>
          <w:szCs w:val="32"/>
          <w:highlight w:val="none"/>
          <w14:ligatures w14:val="standardContextual"/>
        </w:rPr>
      </w:pPr>
      <w:r>
        <w:rPr>
          <w:rFonts w:hint="eastAsia" w:ascii="方正楷体_GBK" w:hAnsi="方正楷体_GBK" w:eastAsia="方正楷体_GBK" w:cs="方正楷体_GBK"/>
          <w:b/>
          <w:sz w:val="32"/>
          <w:szCs w:val="32"/>
        </w:rPr>
        <w:t>一是按与容载比的组内相关筛选候选。</w:t>
      </w:r>
      <w:r>
        <w:rPr>
          <w:rFonts w:hint="eastAsia" w:ascii="方正仿宋_GBK" w:hAnsi="方正仿宋_GBK" w:eastAsia="方正仿宋_GBK" w:cs="Times New Roman"/>
          <w:sz w:val="32"/>
          <w:szCs w:val="32"/>
        </w:rPr>
        <w:t>仿真采用统一五站模板，针对每项指标固定其他源荷、网络、时间及价格条件，组织至少两个有效节点的受控序列。指标和容载比分别减去所在组均值，汇总节点计算Pearson系数[6]，节点等权并保留容量未响应组。本研究取相关绝对值不低于0.40作为第一层筛选要求，十三项中九项进入下一层比较。</w:t>
      </w:r>
    </w:p>
    <w:p w14:paraId="4C9811C5">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表5 十三项候选指标与容载比的组内相关</w:t>
      </w:r>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2950"/>
        <w:gridCol w:w="1150"/>
        <w:gridCol w:w="1400"/>
        <w:gridCol w:w="1150"/>
        <w:gridCol w:w="1656"/>
      </w:tblGrid>
      <w:tr w14:paraId="39C3AE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trPr>
        <w:tc>
          <w:tcPr>
            <w:tcW w:w="2950" w:type="dxa"/>
            <w:vAlign w:val="center"/>
          </w:tcPr>
          <w:p w14:paraId="46D63AB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指标</w:t>
            </w:r>
          </w:p>
        </w:tc>
        <w:tc>
          <w:tcPr>
            <w:tcW w:w="1150" w:type="dxa"/>
            <w:vAlign w:val="center"/>
          </w:tcPr>
          <w:p w14:paraId="4D54377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有效组数</w:t>
            </w:r>
          </w:p>
        </w:tc>
        <w:tc>
          <w:tcPr>
            <w:tcW w:w="1400" w:type="dxa"/>
            <w:vAlign w:val="center"/>
          </w:tcPr>
          <w:p w14:paraId="4FF8C88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有效节点数</w:t>
            </w:r>
          </w:p>
        </w:tc>
        <w:tc>
          <w:tcPr>
            <w:tcW w:w="1150" w:type="dxa"/>
            <w:vAlign w:val="center"/>
          </w:tcPr>
          <w:p w14:paraId="5A352D5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Pearson</w:t>
            </w:r>
          </w:p>
        </w:tc>
        <w:tc>
          <w:tcPr>
            <w:tcW w:w="1656" w:type="dxa"/>
            <w:vAlign w:val="center"/>
          </w:tcPr>
          <w:p w14:paraId="57924F7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容量响应组占比</w:t>
            </w:r>
          </w:p>
        </w:tc>
      </w:tr>
      <w:tr w14:paraId="29A5C3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2950" w:type="dxa"/>
            <w:vAlign w:val="center"/>
          </w:tcPr>
          <w:p w14:paraId="3D7AF5E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分布式电源装机渗透率</w:t>
            </w:r>
          </w:p>
        </w:tc>
        <w:tc>
          <w:tcPr>
            <w:tcW w:w="1150" w:type="dxa"/>
            <w:vAlign w:val="center"/>
          </w:tcPr>
          <w:p w14:paraId="22C9D4A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2484</w:t>
            </w:r>
          </w:p>
        </w:tc>
        <w:tc>
          <w:tcPr>
            <w:tcW w:w="1400" w:type="dxa"/>
            <w:vAlign w:val="center"/>
          </w:tcPr>
          <w:p w14:paraId="725E3E3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32112</w:t>
            </w:r>
          </w:p>
        </w:tc>
        <w:tc>
          <w:tcPr>
            <w:tcW w:w="1150" w:type="dxa"/>
            <w:vAlign w:val="center"/>
          </w:tcPr>
          <w:p w14:paraId="65E57D9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0.88</w:t>
            </w:r>
          </w:p>
        </w:tc>
        <w:tc>
          <w:tcPr>
            <w:tcW w:w="1656" w:type="dxa"/>
            <w:vAlign w:val="center"/>
          </w:tcPr>
          <w:p w14:paraId="0922D1E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100%</w:t>
            </w:r>
          </w:p>
        </w:tc>
      </w:tr>
      <w:tr w14:paraId="3AAD58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2950" w:type="dxa"/>
            <w:vAlign w:val="center"/>
          </w:tcPr>
          <w:p w14:paraId="67B33BA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分布式电源电量渗透率</w:t>
            </w:r>
          </w:p>
        </w:tc>
        <w:tc>
          <w:tcPr>
            <w:tcW w:w="1150" w:type="dxa"/>
            <w:vAlign w:val="center"/>
          </w:tcPr>
          <w:p w14:paraId="5AF7DE8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19880</w:t>
            </w:r>
          </w:p>
        </w:tc>
        <w:tc>
          <w:tcPr>
            <w:tcW w:w="1400" w:type="dxa"/>
            <w:vAlign w:val="center"/>
          </w:tcPr>
          <w:p w14:paraId="7ED0631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60798</w:t>
            </w:r>
          </w:p>
        </w:tc>
        <w:tc>
          <w:tcPr>
            <w:tcW w:w="1150" w:type="dxa"/>
            <w:vAlign w:val="center"/>
          </w:tcPr>
          <w:p w14:paraId="383FDD9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0.89</w:t>
            </w:r>
          </w:p>
        </w:tc>
        <w:tc>
          <w:tcPr>
            <w:tcW w:w="1656" w:type="dxa"/>
            <w:vAlign w:val="center"/>
          </w:tcPr>
          <w:p w14:paraId="7DCA7ED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57%</w:t>
            </w:r>
          </w:p>
        </w:tc>
      </w:tr>
      <w:tr w14:paraId="376AC6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950" w:type="dxa"/>
            <w:vAlign w:val="center"/>
          </w:tcPr>
          <w:p w14:paraId="50FBCB8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站级负载率最大值</w:t>
            </w:r>
          </w:p>
        </w:tc>
        <w:tc>
          <w:tcPr>
            <w:tcW w:w="1150" w:type="dxa"/>
            <w:vAlign w:val="center"/>
          </w:tcPr>
          <w:p w14:paraId="7F8D1D2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19880</w:t>
            </w:r>
          </w:p>
        </w:tc>
        <w:tc>
          <w:tcPr>
            <w:tcW w:w="1400" w:type="dxa"/>
            <w:vAlign w:val="center"/>
          </w:tcPr>
          <w:p w14:paraId="6CEC141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60798</w:t>
            </w:r>
          </w:p>
        </w:tc>
        <w:tc>
          <w:tcPr>
            <w:tcW w:w="1150" w:type="dxa"/>
            <w:vAlign w:val="center"/>
          </w:tcPr>
          <w:p w14:paraId="228112E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0.92</w:t>
            </w:r>
          </w:p>
        </w:tc>
        <w:tc>
          <w:tcPr>
            <w:tcW w:w="1656" w:type="dxa"/>
            <w:vAlign w:val="center"/>
          </w:tcPr>
          <w:p w14:paraId="2887374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57%</w:t>
            </w:r>
          </w:p>
        </w:tc>
      </w:tr>
      <w:tr w14:paraId="0D0444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2950" w:type="dxa"/>
            <w:vAlign w:val="center"/>
          </w:tcPr>
          <w:p w14:paraId="48CB88D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最大正向净负荷</w:t>
            </w:r>
          </w:p>
        </w:tc>
        <w:tc>
          <w:tcPr>
            <w:tcW w:w="1150" w:type="dxa"/>
            <w:vAlign w:val="center"/>
          </w:tcPr>
          <w:p w14:paraId="40A47AB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11988</w:t>
            </w:r>
          </w:p>
        </w:tc>
        <w:tc>
          <w:tcPr>
            <w:tcW w:w="1400" w:type="dxa"/>
            <w:vAlign w:val="center"/>
          </w:tcPr>
          <w:p w14:paraId="2457C7E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88781</w:t>
            </w:r>
          </w:p>
        </w:tc>
        <w:tc>
          <w:tcPr>
            <w:tcW w:w="1150" w:type="dxa"/>
            <w:vAlign w:val="center"/>
          </w:tcPr>
          <w:p w14:paraId="3F12164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-0.78</w:t>
            </w:r>
          </w:p>
        </w:tc>
        <w:tc>
          <w:tcPr>
            <w:tcW w:w="1656" w:type="dxa"/>
            <w:vAlign w:val="center"/>
          </w:tcPr>
          <w:p w14:paraId="23EC521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93%</w:t>
            </w:r>
          </w:p>
        </w:tc>
      </w:tr>
      <w:tr w14:paraId="2D8D7A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2950" w:type="dxa"/>
            <w:vAlign w:val="center"/>
          </w:tcPr>
          <w:p w14:paraId="4813149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最大反向净负荷</w:t>
            </w:r>
          </w:p>
        </w:tc>
        <w:tc>
          <w:tcPr>
            <w:tcW w:w="1150" w:type="dxa"/>
            <w:vAlign w:val="center"/>
          </w:tcPr>
          <w:p w14:paraId="554CAC8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19880</w:t>
            </w:r>
          </w:p>
        </w:tc>
        <w:tc>
          <w:tcPr>
            <w:tcW w:w="1400" w:type="dxa"/>
            <w:vAlign w:val="center"/>
          </w:tcPr>
          <w:p w14:paraId="0698D44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60798</w:t>
            </w:r>
          </w:p>
        </w:tc>
        <w:tc>
          <w:tcPr>
            <w:tcW w:w="1150" w:type="dxa"/>
            <w:vAlign w:val="center"/>
          </w:tcPr>
          <w:p w14:paraId="17EFE5A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0.88</w:t>
            </w:r>
          </w:p>
        </w:tc>
        <w:tc>
          <w:tcPr>
            <w:tcW w:w="1656" w:type="dxa"/>
            <w:vAlign w:val="center"/>
          </w:tcPr>
          <w:p w14:paraId="5BC40A4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57%</w:t>
            </w:r>
          </w:p>
        </w:tc>
      </w:tr>
      <w:tr w14:paraId="10D903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2950" w:type="dxa"/>
            <w:vAlign w:val="center"/>
          </w:tcPr>
          <w:p w14:paraId="652972E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年最大净负荷平均增长率</w:t>
            </w:r>
          </w:p>
        </w:tc>
        <w:tc>
          <w:tcPr>
            <w:tcW w:w="1150" w:type="dxa"/>
            <w:vAlign w:val="center"/>
          </w:tcPr>
          <w:p w14:paraId="56E8DD7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4329</w:t>
            </w:r>
          </w:p>
        </w:tc>
        <w:tc>
          <w:tcPr>
            <w:tcW w:w="1400" w:type="dxa"/>
            <w:vAlign w:val="center"/>
          </w:tcPr>
          <w:p w14:paraId="64BADDD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32112</w:t>
            </w:r>
          </w:p>
        </w:tc>
        <w:tc>
          <w:tcPr>
            <w:tcW w:w="1150" w:type="dxa"/>
            <w:vAlign w:val="center"/>
          </w:tcPr>
          <w:p w14:paraId="6F2126F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-0.80</w:t>
            </w:r>
          </w:p>
        </w:tc>
        <w:tc>
          <w:tcPr>
            <w:tcW w:w="1656" w:type="dxa"/>
            <w:vAlign w:val="center"/>
          </w:tcPr>
          <w:p w14:paraId="27AD680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89%</w:t>
            </w:r>
          </w:p>
        </w:tc>
      </w:tr>
      <w:tr w14:paraId="0DA756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950" w:type="dxa"/>
            <w:vAlign w:val="center"/>
          </w:tcPr>
          <w:p w14:paraId="66570F3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95%峰值持续时间</w:t>
            </w:r>
          </w:p>
        </w:tc>
        <w:tc>
          <w:tcPr>
            <w:tcW w:w="1150" w:type="dxa"/>
            <w:vAlign w:val="center"/>
          </w:tcPr>
          <w:p w14:paraId="4499BF5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5140</w:t>
            </w:r>
          </w:p>
        </w:tc>
        <w:tc>
          <w:tcPr>
            <w:tcW w:w="1400" w:type="dxa"/>
            <w:vAlign w:val="center"/>
          </w:tcPr>
          <w:p w14:paraId="53287AF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41118</w:t>
            </w:r>
          </w:p>
        </w:tc>
        <w:tc>
          <w:tcPr>
            <w:tcW w:w="1150" w:type="dxa"/>
            <w:vAlign w:val="center"/>
          </w:tcPr>
          <w:p w14:paraId="02D18FA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0.26</w:t>
            </w:r>
          </w:p>
        </w:tc>
        <w:tc>
          <w:tcPr>
            <w:tcW w:w="1656" w:type="dxa"/>
            <w:vAlign w:val="center"/>
          </w:tcPr>
          <w:p w14:paraId="5F0CA60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w:t>
            </w:r>
          </w:p>
        </w:tc>
      </w:tr>
      <w:tr w14:paraId="1B675C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2950" w:type="dxa"/>
            <w:vAlign w:val="center"/>
          </w:tcPr>
          <w:p w14:paraId="100E130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负荷分散系数</w:t>
            </w:r>
          </w:p>
        </w:tc>
        <w:tc>
          <w:tcPr>
            <w:tcW w:w="1150" w:type="dxa"/>
            <w:vAlign w:val="center"/>
          </w:tcPr>
          <w:p w14:paraId="7A99E63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10608</w:t>
            </w:r>
          </w:p>
        </w:tc>
        <w:tc>
          <w:tcPr>
            <w:tcW w:w="1400" w:type="dxa"/>
            <w:vAlign w:val="center"/>
          </w:tcPr>
          <w:p w14:paraId="5CEC326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31473</w:t>
            </w:r>
          </w:p>
        </w:tc>
        <w:tc>
          <w:tcPr>
            <w:tcW w:w="1150" w:type="dxa"/>
            <w:vAlign w:val="center"/>
          </w:tcPr>
          <w:p w14:paraId="3CB9F4D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0.52</w:t>
            </w:r>
          </w:p>
        </w:tc>
        <w:tc>
          <w:tcPr>
            <w:tcW w:w="1656" w:type="dxa"/>
            <w:vAlign w:val="center"/>
          </w:tcPr>
          <w:p w14:paraId="16519DC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37%</w:t>
            </w:r>
          </w:p>
        </w:tc>
      </w:tr>
      <w:tr w14:paraId="6AE3F4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2950" w:type="dxa"/>
            <w:vAlign w:val="center"/>
          </w:tcPr>
          <w:p w14:paraId="4407414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初始转供率</w:t>
            </w:r>
          </w:p>
        </w:tc>
        <w:tc>
          <w:tcPr>
            <w:tcW w:w="1150" w:type="dxa"/>
            <w:vAlign w:val="center"/>
          </w:tcPr>
          <w:p w14:paraId="14DAEB2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4680</w:t>
            </w:r>
          </w:p>
        </w:tc>
        <w:tc>
          <w:tcPr>
            <w:tcW w:w="1400" w:type="dxa"/>
            <w:vAlign w:val="center"/>
          </w:tcPr>
          <w:p w14:paraId="46F30EB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32058</w:t>
            </w:r>
          </w:p>
        </w:tc>
        <w:tc>
          <w:tcPr>
            <w:tcW w:w="1150" w:type="dxa"/>
            <w:vAlign w:val="center"/>
          </w:tcPr>
          <w:p w14:paraId="5A6A4E1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-0.74</w:t>
            </w:r>
          </w:p>
        </w:tc>
        <w:tc>
          <w:tcPr>
            <w:tcW w:w="1656" w:type="dxa"/>
            <w:vAlign w:val="center"/>
          </w:tcPr>
          <w:p w14:paraId="56A3F37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81%</w:t>
            </w:r>
          </w:p>
        </w:tc>
      </w:tr>
      <w:tr w14:paraId="01EA39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2950" w:type="dxa"/>
            <w:vAlign w:val="center"/>
          </w:tcPr>
          <w:p w14:paraId="2CF1FEF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主变与线路单位功率投资比</w:t>
            </w:r>
          </w:p>
        </w:tc>
        <w:tc>
          <w:tcPr>
            <w:tcW w:w="1150" w:type="dxa"/>
            <w:vAlign w:val="center"/>
          </w:tcPr>
          <w:p w14:paraId="20D9F27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2466</w:t>
            </w:r>
          </w:p>
        </w:tc>
        <w:tc>
          <w:tcPr>
            <w:tcW w:w="1400" w:type="dxa"/>
            <w:vAlign w:val="center"/>
          </w:tcPr>
          <w:p w14:paraId="1B8A0D2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17262</w:t>
            </w:r>
          </w:p>
        </w:tc>
        <w:tc>
          <w:tcPr>
            <w:tcW w:w="1150" w:type="dxa"/>
            <w:vAlign w:val="center"/>
          </w:tcPr>
          <w:p w14:paraId="15F5796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-0.16</w:t>
            </w:r>
          </w:p>
        </w:tc>
        <w:tc>
          <w:tcPr>
            <w:tcW w:w="1656" w:type="dxa"/>
            <w:vAlign w:val="center"/>
          </w:tcPr>
          <w:p w14:paraId="1099B84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14%</w:t>
            </w:r>
          </w:p>
        </w:tc>
      </w:tr>
      <w:tr w14:paraId="742CB7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950" w:type="dxa"/>
            <w:vAlign w:val="center"/>
          </w:tcPr>
          <w:p w14:paraId="0EB41CE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主变与储能单位功率投资比</w:t>
            </w:r>
          </w:p>
        </w:tc>
        <w:tc>
          <w:tcPr>
            <w:tcW w:w="1150" w:type="dxa"/>
            <w:vAlign w:val="center"/>
          </w:tcPr>
          <w:p w14:paraId="6516166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2466</w:t>
            </w:r>
          </w:p>
        </w:tc>
        <w:tc>
          <w:tcPr>
            <w:tcW w:w="1400" w:type="dxa"/>
            <w:vAlign w:val="center"/>
          </w:tcPr>
          <w:p w14:paraId="7CC2F39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17262</w:t>
            </w:r>
          </w:p>
        </w:tc>
        <w:tc>
          <w:tcPr>
            <w:tcW w:w="1150" w:type="dxa"/>
            <w:vAlign w:val="center"/>
          </w:tcPr>
          <w:p w14:paraId="4055A58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-0.20</w:t>
            </w:r>
          </w:p>
        </w:tc>
        <w:tc>
          <w:tcPr>
            <w:tcW w:w="1656" w:type="dxa"/>
            <w:vAlign w:val="center"/>
          </w:tcPr>
          <w:p w14:paraId="7A25881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8%</w:t>
            </w:r>
          </w:p>
        </w:tc>
      </w:tr>
      <w:tr w14:paraId="4A20A8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2950" w:type="dxa"/>
            <w:vAlign w:val="center"/>
          </w:tcPr>
          <w:p w14:paraId="3134873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电缆长度占比</w:t>
            </w:r>
          </w:p>
        </w:tc>
        <w:tc>
          <w:tcPr>
            <w:tcW w:w="1150" w:type="dxa"/>
            <w:vAlign w:val="center"/>
          </w:tcPr>
          <w:p w14:paraId="284DF33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7584</w:t>
            </w:r>
          </w:p>
        </w:tc>
        <w:tc>
          <w:tcPr>
            <w:tcW w:w="1400" w:type="dxa"/>
            <w:vAlign w:val="center"/>
          </w:tcPr>
          <w:p w14:paraId="4C09F1B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32112</w:t>
            </w:r>
          </w:p>
        </w:tc>
        <w:tc>
          <w:tcPr>
            <w:tcW w:w="1150" w:type="dxa"/>
            <w:vAlign w:val="center"/>
          </w:tcPr>
          <w:p w14:paraId="555402D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0.45</w:t>
            </w:r>
          </w:p>
        </w:tc>
        <w:tc>
          <w:tcPr>
            <w:tcW w:w="1656" w:type="dxa"/>
            <w:vAlign w:val="center"/>
          </w:tcPr>
          <w:p w14:paraId="5B6D38F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25%</w:t>
            </w:r>
          </w:p>
        </w:tc>
      </w:tr>
      <w:tr w14:paraId="28CEC0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2950" w:type="dxa"/>
            <w:vAlign w:val="center"/>
          </w:tcPr>
          <w:p w14:paraId="3313B9B5">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储能支撑持续时间</w:t>
            </w:r>
          </w:p>
        </w:tc>
        <w:tc>
          <w:tcPr>
            <w:tcW w:w="1150" w:type="dxa"/>
            <w:vAlign w:val="center"/>
          </w:tcPr>
          <w:p w14:paraId="040F09BF">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10704</w:t>
            </w:r>
          </w:p>
        </w:tc>
        <w:tc>
          <w:tcPr>
            <w:tcW w:w="1400" w:type="dxa"/>
            <w:vAlign w:val="center"/>
          </w:tcPr>
          <w:p w14:paraId="7EC9FF24">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32112</w:t>
            </w:r>
          </w:p>
        </w:tc>
        <w:tc>
          <w:tcPr>
            <w:tcW w:w="1150" w:type="dxa"/>
            <w:vAlign w:val="center"/>
          </w:tcPr>
          <w:p w14:paraId="5A00F91D">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0.27</w:t>
            </w:r>
          </w:p>
        </w:tc>
        <w:tc>
          <w:tcPr>
            <w:tcW w:w="1656" w:type="dxa"/>
            <w:vAlign w:val="center"/>
          </w:tcPr>
          <w:p w14:paraId="1A1D9ED0">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r>
    </w:tbl>
    <w:p w14:paraId="4BD2091E">
      <w:pPr>
        <w:widowControl/>
        <w:adjustRightInd w:val="0"/>
        <w:snapToGrid w:val="0"/>
        <w:spacing w:line="560" w:lineRule="exact"/>
        <w:ind w:firstLine="643" w:firstLineChars="200"/>
        <w:rPr>
          <w:rFonts w:hint="eastAsia" w:ascii="方正仿宋_GBK" w:hAnsi="方正仿宋_GBK" w:eastAsia="方正仿宋_GBK" w:cs="Times New Roman"/>
          <w:sz w:val="32"/>
          <w:szCs w:val="32"/>
          <w:highlight w:val="none"/>
          <w14:ligatures w14:val="standardContextual"/>
        </w:rPr>
      </w:pPr>
      <w:r>
        <w:rPr>
          <w:rFonts w:hint="eastAsia" w:ascii="方正楷体_GBK" w:hAnsi="方正楷体_GBK" w:eastAsia="方正楷体_GBK" w:cs="方正楷体_GBK"/>
          <w:b/>
          <w:sz w:val="32"/>
          <w:szCs w:val="32"/>
        </w:rPr>
        <w:t>二是按指标间高相关归并信息。</w:t>
      </w:r>
      <w:r>
        <w:rPr>
          <w:rFonts w:hint="eastAsia" w:ascii="方正仿宋_GBK" w:hAnsi="方正仿宋_GBK" w:eastAsia="方正仿宋_GBK" w:cs="Times New Roman"/>
          <w:sz w:val="32"/>
          <w:szCs w:val="32"/>
        </w:rPr>
        <w:t>十三项指标的78个配对，以Pearson绝对值不低于0.70识别信息重叠较多的指标组，同组优先采用直接描述规划条件的基础输入。电量渗透率、最大反向净负荷及站级负载率与装机渗透率分别为0.92、0.89和0.78，保留装机渗透率作为代表。最大正向净负荷与年最大净负荷平均增长率接近1.00，反映统一基期和四年复合增长的计算关系，保留增长率作为代表。</w:t>
      </w:r>
    </w:p>
    <w:p w14:paraId="3DCB268C">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表6 高相关指标归并及代表参数</w:t>
      </w:r>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2400"/>
        <w:gridCol w:w="2400"/>
        <w:gridCol w:w="900"/>
        <w:gridCol w:w="2606"/>
      </w:tblGrid>
      <w:tr w14:paraId="0AC523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trPr>
        <w:tc>
          <w:tcPr>
            <w:tcW w:w="2400" w:type="dxa"/>
            <w:vAlign w:val="center"/>
          </w:tcPr>
          <w:p w14:paraId="53FCA6D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候选指标</w:t>
            </w:r>
          </w:p>
        </w:tc>
        <w:tc>
          <w:tcPr>
            <w:tcW w:w="2400" w:type="dxa"/>
            <w:vAlign w:val="center"/>
          </w:tcPr>
          <w:p w14:paraId="19F64C3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对应基础参数</w:t>
            </w:r>
          </w:p>
        </w:tc>
        <w:tc>
          <w:tcPr>
            <w:tcW w:w="900" w:type="dxa"/>
            <w:vAlign w:val="center"/>
          </w:tcPr>
          <w:p w14:paraId="1FA4842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Pearson</w:t>
            </w:r>
          </w:p>
        </w:tc>
        <w:tc>
          <w:tcPr>
            <w:tcW w:w="2606" w:type="dxa"/>
            <w:vAlign w:val="center"/>
          </w:tcPr>
          <w:p w14:paraId="722F173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代表参数</w:t>
            </w:r>
          </w:p>
        </w:tc>
      </w:tr>
      <w:tr w14:paraId="23280D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2400" w:type="dxa"/>
            <w:vAlign w:val="center"/>
          </w:tcPr>
          <w:p w14:paraId="0FC46C1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分布式电源电量渗透率</w:t>
            </w:r>
          </w:p>
        </w:tc>
        <w:tc>
          <w:tcPr>
            <w:tcW w:w="2400" w:type="dxa"/>
            <w:vAlign w:val="center"/>
          </w:tcPr>
          <w:p w14:paraId="390D859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分布式电源装机渗透率</w:t>
            </w:r>
          </w:p>
        </w:tc>
        <w:tc>
          <w:tcPr>
            <w:tcW w:w="900" w:type="dxa"/>
            <w:vAlign w:val="center"/>
          </w:tcPr>
          <w:p w14:paraId="25B888E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0.92</w:t>
            </w:r>
          </w:p>
        </w:tc>
        <w:tc>
          <w:tcPr>
            <w:tcW w:w="2606" w:type="dxa"/>
            <w:vAlign w:val="center"/>
          </w:tcPr>
          <w:p w14:paraId="7314519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分布式电源装机渗透率</w:t>
            </w:r>
          </w:p>
        </w:tc>
      </w:tr>
      <w:tr w14:paraId="3CFDE6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2400" w:type="dxa"/>
            <w:vAlign w:val="center"/>
          </w:tcPr>
          <w:p w14:paraId="7647DD8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最大反向净负荷</w:t>
            </w:r>
          </w:p>
        </w:tc>
        <w:tc>
          <w:tcPr>
            <w:tcW w:w="2400" w:type="dxa"/>
            <w:vAlign w:val="center"/>
          </w:tcPr>
          <w:p w14:paraId="1C43864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分布式电源装机渗透率</w:t>
            </w:r>
          </w:p>
        </w:tc>
        <w:tc>
          <w:tcPr>
            <w:tcW w:w="900" w:type="dxa"/>
            <w:vAlign w:val="center"/>
          </w:tcPr>
          <w:p w14:paraId="650863B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0.89</w:t>
            </w:r>
          </w:p>
        </w:tc>
        <w:tc>
          <w:tcPr>
            <w:tcW w:w="2606" w:type="dxa"/>
            <w:vAlign w:val="center"/>
          </w:tcPr>
          <w:p w14:paraId="0FF188B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分布式电源装机渗透率</w:t>
            </w:r>
          </w:p>
        </w:tc>
      </w:tr>
      <w:tr w14:paraId="01F915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400" w:type="dxa"/>
            <w:vAlign w:val="center"/>
          </w:tcPr>
          <w:p w14:paraId="4ADFC15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站级负载率最大值</w:t>
            </w:r>
          </w:p>
        </w:tc>
        <w:tc>
          <w:tcPr>
            <w:tcW w:w="2400" w:type="dxa"/>
            <w:vAlign w:val="center"/>
          </w:tcPr>
          <w:p w14:paraId="545D7A0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分布式电源装机渗透率</w:t>
            </w:r>
          </w:p>
        </w:tc>
        <w:tc>
          <w:tcPr>
            <w:tcW w:w="900" w:type="dxa"/>
            <w:vAlign w:val="center"/>
          </w:tcPr>
          <w:p w14:paraId="6EA0794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0.78</w:t>
            </w:r>
          </w:p>
        </w:tc>
        <w:tc>
          <w:tcPr>
            <w:tcW w:w="2606" w:type="dxa"/>
            <w:vAlign w:val="center"/>
          </w:tcPr>
          <w:p w14:paraId="131FC3A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分布式电源装机渗透率</w:t>
            </w:r>
          </w:p>
        </w:tc>
      </w:tr>
      <w:tr w14:paraId="6DAFAB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2400" w:type="dxa"/>
            <w:vAlign w:val="center"/>
          </w:tcPr>
          <w:p w14:paraId="4204D4F2">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最大正向净负荷</w:t>
            </w:r>
          </w:p>
        </w:tc>
        <w:tc>
          <w:tcPr>
            <w:tcW w:w="2400" w:type="dxa"/>
            <w:vAlign w:val="center"/>
          </w:tcPr>
          <w:p w14:paraId="044DD2A7">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年最大净负荷平均增长率</w:t>
            </w:r>
          </w:p>
        </w:tc>
        <w:tc>
          <w:tcPr>
            <w:tcW w:w="900" w:type="dxa"/>
            <w:vAlign w:val="center"/>
          </w:tcPr>
          <w:p w14:paraId="705D1859">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1.00</w:t>
            </w:r>
          </w:p>
        </w:tc>
        <w:tc>
          <w:tcPr>
            <w:tcW w:w="2606" w:type="dxa"/>
            <w:vAlign w:val="center"/>
          </w:tcPr>
          <w:p w14:paraId="064F3302">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年最大净负荷平均增长率</w:t>
            </w:r>
          </w:p>
        </w:tc>
      </w:tr>
    </w:tbl>
    <w:p w14:paraId="0300B622">
      <w:pPr>
        <w:widowControl/>
        <w:adjustRightInd w:val="0"/>
        <w:snapToGrid w:val="0"/>
        <w:spacing w:line="560" w:lineRule="exact"/>
        <w:ind w:firstLine="643" w:firstLineChars="200"/>
        <w:rPr>
          <w:rFonts w:hint="eastAsia" w:ascii="方正仿宋_GBK" w:hAnsi="方正仿宋_GBK" w:eastAsia="方正仿宋_GBK" w:cs="Times New Roman"/>
          <w:sz w:val="32"/>
          <w:szCs w:val="32"/>
          <w:highlight w:val="none"/>
          <w14:ligatures w14:val="standardContextual"/>
        </w:rPr>
      </w:pPr>
      <w:r>
        <w:rPr>
          <w:rFonts w:hint="eastAsia" w:ascii="方正楷体_GBK" w:hAnsi="方正楷体_GBK" w:eastAsia="方正楷体_GBK" w:cs="方正楷体_GBK"/>
          <w:b/>
          <w:sz w:val="32"/>
          <w:szCs w:val="32"/>
        </w:rPr>
        <w:t>三是核验保留参数间的相关关系。</w:t>
      </w:r>
      <w:r>
        <w:rPr>
          <w:rFonts w:hint="eastAsia" w:ascii="方正仿宋_GBK" w:hAnsi="方正仿宋_GBK" w:eastAsia="方正仿宋_GBK" w:cs="Times New Roman"/>
          <w:sz w:val="32"/>
          <w:szCs w:val="32"/>
        </w:rPr>
        <w:t>最终五项参数为装机渗透率、年最大净负荷平均增长率、电缆长度占比、初始转供率和负荷分散系数。电缆长度占比与初始转供率的Pearson系数为0.29，其余配对绝对值不超过0.15。两项分别通过工程造价和既有支援能力作用于设备配置，其余参数保留源荷发展和局部峰值分布信息。上述相关关系描述所设有效情景内的线性联系。</w:t>
      </w:r>
    </w:p>
    <w:p w14:paraId="1BE714E7">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表7 五项推广参数的Pearson相关矩阵</w:t>
      </w:r>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700"/>
        <w:gridCol w:w="1321"/>
        <w:gridCol w:w="1321"/>
        <w:gridCol w:w="1321"/>
        <w:gridCol w:w="1321"/>
        <w:gridCol w:w="1322"/>
      </w:tblGrid>
      <w:tr w14:paraId="3BDC6B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trPr>
        <w:tc>
          <w:tcPr>
            <w:tcW w:w="1700" w:type="dxa"/>
            <w:vAlign w:val="center"/>
          </w:tcPr>
          <w:p w14:paraId="2D80D5F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参数</w:t>
            </w:r>
          </w:p>
        </w:tc>
        <w:tc>
          <w:tcPr>
            <w:tcW w:w="1321" w:type="dxa"/>
            <w:vAlign w:val="center"/>
          </w:tcPr>
          <w:p w14:paraId="2A26CF7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装机渗透率</w:t>
            </w:r>
          </w:p>
        </w:tc>
        <w:tc>
          <w:tcPr>
            <w:tcW w:w="1321" w:type="dxa"/>
            <w:vAlign w:val="center"/>
          </w:tcPr>
          <w:p w14:paraId="378E6F6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年最大净负荷平均增长率</w:t>
            </w:r>
          </w:p>
        </w:tc>
        <w:tc>
          <w:tcPr>
            <w:tcW w:w="1321" w:type="dxa"/>
            <w:vAlign w:val="center"/>
          </w:tcPr>
          <w:p w14:paraId="7393470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电缆长度占比</w:t>
            </w:r>
          </w:p>
        </w:tc>
        <w:tc>
          <w:tcPr>
            <w:tcW w:w="1321" w:type="dxa"/>
            <w:vAlign w:val="center"/>
          </w:tcPr>
          <w:p w14:paraId="2A613D7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初始转供率</w:t>
            </w:r>
          </w:p>
        </w:tc>
        <w:tc>
          <w:tcPr>
            <w:tcW w:w="1322" w:type="dxa"/>
            <w:vAlign w:val="center"/>
          </w:tcPr>
          <w:p w14:paraId="6779329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负荷分散系数</w:t>
            </w:r>
          </w:p>
        </w:tc>
      </w:tr>
      <w:tr w14:paraId="06451F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700" w:type="dxa"/>
            <w:vAlign w:val="center"/>
          </w:tcPr>
          <w:p w14:paraId="2B18629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分布式电源装机渗透率</w:t>
            </w:r>
          </w:p>
        </w:tc>
        <w:tc>
          <w:tcPr>
            <w:tcW w:w="1321" w:type="dxa"/>
            <w:vAlign w:val="center"/>
          </w:tcPr>
          <w:p w14:paraId="4EB70CA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1.00</w:t>
            </w:r>
          </w:p>
        </w:tc>
        <w:tc>
          <w:tcPr>
            <w:tcW w:w="1321" w:type="dxa"/>
            <w:vAlign w:val="center"/>
          </w:tcPr>
          <w:p w14:paraId="45CFE4B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0.00</w:t>
            </w:r>
          </w:p>
        </w:tc>
        <w:tc>
          <w:tcPr>
            <w:tcW w:w="1321" w:type="dxa"/>
            <w:vAlign w:val="center"/>
          </w:tcPr>
          <w:p w14:paraId="30FF5C7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0.00</w:t>
            </w:r>
          </w:p>
        </w:tc>
        <w:tc>
          <w:tcPr>
            <w:tcW w:w="1321" w:type="dxa"/>
            <w:vAlign w:val="center"/>
          </w:tcPr>
          <w:p w14:paraId="42C819D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0.00</w:t>
            </w:r>
          </w:p>
        </w:tc>
        <w:tc>
          <w:tcPr>
            <w:tcW w:w="1322" w:type="dxa"/>
            <w:vAlign w:val="center"/>
          </w:tcPr>
          <w:p w14:paraId="6E90971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0.00</w:t>
            </w:r>
          </w:p>
        </w:tc>
      </w:tr>
      <w:tr w14:paraId="1B5BB3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700" w:type="dxa"/>
            <w:vAlign w:val="center"/>
          </w:tcPr>
          <w:p w14:paraId="26EA30F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年最大净负荷平均增长率</w:t>
            </w:r>
          </w:p>
        </w:tc>
        <w:tc>
          <w:tcPr>
            <w:tcW w:w="1321" w:type="dxa"/>
            <w:vAlign w:val="center"/>
          </w:tcPr>
          <w:p w14:paraId="0309821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0.00</w:t>
            </w:r>
          </w:p>
        </w:tc>
        <w:tc>
          <w:tcPr>
            <w:tcW w:w="1321" w:type="dxa"/>
            <w:vAlign w:val="center"/>
          </w:tcPr>
          <w:p w14:paraId="6280CDF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1.00</w:t>
            </w:r>
          </w:p>
        </w:tc>
        <w:tc>
          <w:tcPr>
            <w:tcW w:w="1321" w:type="dxa"/>
            <w:vAlign w:val="center"/>
          </w:tcPr>
          <w:p w14:paraId="343F228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0.05</w:t>
            </w:r>
          </w:p>
        </w:tc>
        <w:tc>
          <w:tcPr>
            <w:tcW w:w="1321" w:type="dxa"/>
            <w:vAlign w:val="center"/>
          </w:tcPr>
          <w:p w14:paraId="5F94674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0.15</w:t>
            </w:r>
          </w:p>
        </w:tc>
        <w:tc>
          <w:tcPr>
            <w:tcW w:w="1322" w:type="dxa"/>
            <w:vAlign w:val="center"/>
          </w:tcPr>
          <w:p w14:paraId="404A86C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-0.03</w:t>
            </w:r>
          </w:p>
        </w:tc>
      </w:tr>
      <w:tr w14:paraId="7660E5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700" w:type="dxa"/>
            <w:vAlign w:val="center"/>
          </w:tcPr>
          <w:p w14:paraId="4422FD3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电缆长度占比</w:t>
            </w:r>
          </w:p>
        </w:tc>
        <w:tc>
          <w:tcPr>
            <w:tcW w:w="1321" w:type="dxa"/>
            <w:vAlign w:val="center"/>
          </w:tcPr>
          <w:p w14:paraId="4D45E32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0.00</w:t>
            </w:r>
          </w:p>
        </w:tc>
        <w:tc>
          <w:tcPr>
            <w:tcW w:w="1321" w:type="dxa"/>
            <w:vAlign w:val="center"/>
          </w:tcPr>
          <w:p w14:paraId="60B923C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0.05</w:t>
            </w:r>
          </w:p>
        </w:tc>
        <w:tc>
          <w:tcPr>
            <w:tcW w:w="1321" w:type="dxa"/>
            <w:vAlign w:val="center"/>
          </w:tcPr>
          <w:p w14:paraId="3D679E0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1.00</w:t>
            </w:r>
          </w:p>
        </w:tc>
        <w:tc>
          <w:tcPr>
            <w:tcW w:w="1321" w:type="dxa"/>
            <w:vAlign w:val="center"/>
          </w:tcPr>
          <w:p w14:paraId="157B1D2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0.29</w:t>
            </w:r>
          </w:p>
        </w:tc>
        <w:tc>
          <w:tcPr>
            <w:tcW w:w="1322" w:type="dxa"/>
            <w:vAlign w:val="center"/>
          </w:tcPr>
          <w:p w14:paraId="143B352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0.01</w:t>
            </w:r>
          </w:p>
        </w:tc>
      </w:tr>
      <w:tr w14:paraId="53F01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700" w:type="dxa"/>
            <w:vAlign w:val="center"/>
          </w:tcPr>
          <w:p w14:paraId="090C889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初始转供率</w:t>
            </w:r>
          </w:p>
        </w:tc>
        <w:tc>
          <w:tcPr>
            <w:tcW w:w="1321" w:type="dxa"/>
            <w:vAlign w:val="center"/>
          </w:tcPr>
          <w:p w14:paraId="17462BB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0.00</w:t>
            </w:r>
          </w:p>
        </w:tc>
        <w:tc>
          <w:tcPr>
            <w:tcW w:w="1321" w:type="dxa"/>
            <w:vAlign w:val="center"/>
          </w:tcPr>
          <w:p w14:paraId="3388BBF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0.15</w:t>
            </w:r>
          </w:p>
        </w:tc>
        <w:tc>
          <w:tcPr>
            <w:tcW w:w="1321" w:type="dxa"/>
            <w:vAlign w:val="center"/>
          </w:tcPr>
          <w:p w14:paraId="25EF678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0.29</w:t>
            </w:r>
          </w:p>
        </w:tc>
        <w:tc>
          <w:tcPr>
            <w:tcW w:w="1321" w:type="dxa"/>
            <w:vAlign w:val="center"/>
          </w:tcPr>
          <w:p w14:paraId="2DD8CA2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1.00</w:t>
            </w:r>
          </w:p>
        </w:tc>
        <w:tc>
          <w:tcPr>
            <w:tcW w:w="1322" w:type="dxa"/>
            <w:vAlign w:val="center"/>
          </w:tcPr>
          <w:p w14:paraId="710F4CD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0.05</w:t>
            </w:r>
          </w:p>
        </w:tc>
      </w:tr>
      <w:tr w14:paraId="2D8EBB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700" w:type="dxa"/>
            <w:vAlign w:val="center"/>
          </w:tcPr>
          <w:p w14:paraId="0F171865">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负荷分散系数</w:t>
            </w:r>
          </w:p>
        </w:tc>
        <w:tc>
          <w:tcPr>
            <w:tcW w:w="1321" w:type="dxa"/>
            <w:vAlign w:val="center"/>
          </w:tcPr>
          <w:p w14:paraId="1CFCB676">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0.00</w:t>
            </w:r>
          </w:p>
        </w:tc>
        <w:tc>
          <w:tcPr>
            <w:tcW w:w="1321" w:type="dxa"/>
            <w:vAlign w:val="center"/>
          </w:tcPr>
          <w:p w14:paraId="2C558A42">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-0.03</w:t>
            </w:r>
          </w:p>
        </w:tc>
        <w:tc>
          <w:tcPr>
            <w:tcW w:w="1321" w:type="dxa"/>
            <w:vAlign w:val="center"/>
          </w:tcPr>
          <w:p w14:paraId="0A4AC4F9">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0.01</w:t>
            </w:r>
          </w:p>
        </w:tc>
        <w:tc>
          <w:tcPr>
            <w:tcW w:w="1321" w:type="dxa"/>
            <w:vAlign w:val="center"/>
          </w:tcPr>
          <w:p w14:paraId="6A65C820">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0.05</w:t>
            </w:r>
          </w:p>
        </w:tc>
        <w:tc>
          <w:tcPr>
            <w:tcW w:w="1322" w:type="dxa"/>
            <w:vAlign w:val="center"/>
          </w:tcPr>
          <w:p w14:paraId="5CD936E5">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1.00</w:t>
            </w:r>
          </w:p>
        </w:tc>
      </w:tr>
    </w:tbl>
    <w:p w14:paraId="08313A80">
      <w:pPr>
        <w:keepNext/>
        <w:widowControl/>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pPr>
      <w:r>
        <w:rPr>
          <w:rFonts w:hint="eastAsia" w:ascii="方正楷体_GBK" w:hAnsi="方正楷体_GBK" w:eastAsia="方正楷体_GBK" w:cs="方正楷体_GBK"/>
          <w:b/>
          <w:bCs/>
          <w:sz w:val="32"/>
          <w:szCs w:val="32"/>
        </w:rPr>
        <w:t>（五）形成六张矩阵并明确推荐窗口条件</w:t>
      </w:r>
    </w:p>
    <w:p w14:paraId="6AD9FA1F">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推广计算采用独立五站模板，每站基期两台50.00 MVA主变，区域基期网供峰值250.00 MW，目标时点为基期后第4年。日间用户负荷系数取0.30，光伏出力系数取0.75，设备候选、工程价格及正常和N-1条件统一。矩阵适用于这些计算条件下的前期容量比选，实际片区按本地设备与网络重新校核。</w:t>
      </w:r>
    </w:p>
    <w:p w14:paraId="1EED01F5">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矩阵按电缆长度占比不超过10%、(10%,30%]、超过30%分为三档，负荷分散系数在1.05—1.25内以0.02间隔取11个节点，再以1.15分两档。结合年最大净负荷平均增长率四档、装机渗透率三档、初始转供率四档，形成六张表、288个单元。采样节点和矩阵分类分别表示计算取点与查表范围。</w:t>
      </w:r>
    </w:p>
    <w:p w14:paraId="5088CF58">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各单元以最接近容载比中位数的真实节点定位推荐窗口，同距时取较大容载比，基准窗口宽度0.10、代表定位网格0.02。同一行接近的不同容量水平按中点共用界值并局部缩窄，容量相同的节点保留平台。表8—表13列示对应窗口，表中四列百分比为初始转供率，装机渗透率及容载比均为无量纲数值。</w:t>
      </w:r>
    </w:p>
    <w:p w14:paraId="51622782">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表8 容载比推荐（电缆占比≤10%、分散系数≤1.15）</w:t>
      </w:r>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380576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trPr>
        <w:tc>
          <w:tcPr>
            <w:tcW w:w="1450" w:type="dxa"/>
            <w:vAlign w:val="center"/>
          </w:tcPr>
          <w:p w14:paraId="3A3ECFE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年最大净负荷平均增长率</w:t>
            </w:r>
          </w:p>
        </w:tc>
        <w:tc>
          <w:tcPr>
            <w:tcW w:w="1050" w:type="dxa"/>
            <w:vAlign w:val="center"/>
          </w:tcPr>
          <w:p w14:paraId="2BC6E5B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装机渗透率</w:t>
            </w:r>
          </w:p>
        </w:tc>
        <w:tc>
          <w:tcPr>
            <w:tcW w:w="1451" w:type="dxa"/>
            <w:vAlign w:val="center"/>
          </w:tcPr>
          <w:p w14:paraId="24DFB23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≤30%</w:t>
            </w:r>
          </w:p>
        </w:tc>
        <w:tc>
          <w:tcPr>
            <w:tcW w:w="1451" w:type="dxa"/>
            <w:vAlign w:val="center"/>
          </w:tcPr>
          <w:p w14:paraId="193B80E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(30%,50%]</w:t>
            </w:r>
          </w:p>
        </w:tc>
        <w:tc>
          <w:tcPr>
            <w:tcW w:w="1451" w:type="dxa"/>
            <w:vAlign w:val="center"/>
          </w:tcPr>
          <w:p w14:paraId="799FBBB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(50%,70%]</w:t>
            </w:r>
          </w:p>
        </w:tc>
        <w:tc>
          <w:tcPr>
            <w:tcW w:w="1453" w:type="dxa"/>
            <w:vAlign w:val="center"/>
          </w:tcPr>
          <w:p w14:paraId="5FB713D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&gt;70%</w:t>
            </w:r>
          </w:p>
        </w:tc>
      </w:tr>
      <w:tr w14:paraId="3F08B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166ADC3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p>
        </w:tc>
        <w:tc>
          <w:tcPr>
            <w:tcW w:w="1050" w:type="dxa"/>
            <w:vAlign w:val="center"/>
          </w:tcPr>
          <w:p w14:paraId="66BC673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p>
        </w:tc>
        <w:tc>
          <w:tcPr>
            <w:tcW w:w="1451" w:type="dxa"/>
            <w:vAlign w:val="center"/>
          </w:tcPr>
          <w:p w14:paraId="7940DAC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1.95～2.05</w:t>
            </w:r>
          </w:p>
        </w:tc>
        <w:tc>
          <w:tcPr>
            <w:tcW w:w="1451" w:type="dxa"/>
            <w:vAlign w:val="center"/>
          </w:tcPr>
          <w:p w14:paraId="7840246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1.95～2.05</w:t>
            </w:r>
          </w:p>
        </w:tc>
        <w:tc>
          <w:tcPr>
            <w:tcW w:w="1451" w:type="dxa"/>
            <w:vAlign w:val="center"/>
          </w:tcPr>
          <w:p w14:paraId="4D8D58E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1.95～2.05</w:t>
            </w:r>
          </w:p>
        </w:tc>
        <w:tc>
          <w:tcPr>
            <w:tcW w:w="1453" w:type="dxa"/>
            <w:vAlign w:val="center"/>
          </w:tcPr>
          <w:p w14:paraId="00CA033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1.95～2.05</w:t>
            </w:r>
          </w:p>
        </w:tc>
      </w:tr>
      <w:tr w14:paraId="296FFA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1B2316D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p>
        </w:tc>
        <w:tc>
          <w:tcPr>
            <w:tcW w:w="1050" w:type="dxa"/>
            <w:vAlign w:val="center"/>
          </w:tcPr>
          <w:p w14:paraId="20A19F4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c>
          <w:tcPr>
            <w:tcW w:w="1451" w:type="dxa"/>
            <w:vAlign w:val="center"/>
          </w:tcPr>
          <w:p w14:paraId="0764CF2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2.15～2.25</w:t>
            </w:r>
          </w:p>
        </w:tc>
        <w:tc>
          <w:tcPr>
            <w:tcW w:w="1451" w:type="dxa"/>
            <w:vAlign w:val="center"/>
          </w:tcPr>
          <w:p w14:paraId="1E7A3A7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1.99～2.09</w:t>
            </w:r>
          </w:p>
        </w:tc>
        <w:tc>
          <w:tcPr>
            <w:tcW w:w="1451" w:type="dxa"/>
            <w:vAlign w:val="center"/>
          </w:tcPr>
          <w:p w14:paraId="1B05C05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1.99～2.09</w:t>
            </w:r>
          </w:p>
        </w:tc>
        <w:tc>
          <w:tcPr>
            <w:tcW w:w="1453" w:type="dxa"/>
            <w:vAlign w:val="center"/>
          </w:tcPr>
          <w:p w14:paraId="30375F5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1.99～2.09</w:t>
            </w:r>
          </w:p>
        </w:tc>
      </w:tr>
      <w:tr w14:paraId="1D70C4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6126948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p>
        </w:tc>
        <w:tc>
          <w:tcPr>
            <w:tcW w:w="1050" w:type="dxa"/>
            <w:vAlign w:val="center"/>
          </w:tcPr>
          <w:p w14:paraId="64F5B82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&gt;2</w:t>
            </w:r>
          </w:p>
        </w:tc>
        <w:tc>
          <w:tcPr>
            <w:tcW w:w="1451" w:type="dxa"/>
            <w:vAlign w:val="center"/>
          </w:tcPr>
          <w:p w14:paraId="37B77FD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2.75～2.85</w:t>
            </w:r>
          </w:p>
        </w:tc>
        <w:tc>
          <w:tcPr>
            <w:tcW w:w="1451" w:type="dxa"/>
            <w:vAlign w:val="center"/>
          </w:tcPr>
          <w:p w14:paraId="658178A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2.57～2.67</w:t>
            </w:r>
          </w:p>
        </w:tc>
        <w:tc>
          <w:tcPr>
            <w:tcW w:w="1451" w:type="dxa"/>
            <w:vAlign w:val="center"/>
          </w:tcPr>
          <w:p w14:paraId="55114F7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2.57～2.67</w:t>
            </w:r>
          </w:p>
        </w:tc>
        <w:tc>
          <w:tcPr>
            <w:tcW w:w="1453" w:type="dxa"/>
            <w:vAlign w:val="center"/>
          </w:tcPr>
          <w:p w14:paraId="56E32F3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2.57～2.67</w:t>
            </w:r>
          </w:p>
        </w:tc>
      </w:tr>
      <w:tr w14:paraId="24CC1D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20F3F1B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w:t>
            </w:r>
          </w:p>
        </w:tc>
        <w:tc>
          <w:tcPr>
            <w:tcW w:w="1050" w:type="dxa"/>
            <w:vAlign w:val="center"/>
          </w:tcPr>
          <w:p w14:paraId="42788E1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p>
        </w:tc>
        <w:tc>
          <w:tcPr>
            <w:tcW w:w="1451" w:type="dxa"/>
            <w:vAlign w:val="center"/>
          </w:tcPr>
          <w:p w14:paraId="58D5AB0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2.01～2.11</w:t>
            </w:r>
          </w:p>
        </w:tc>
        <w:tc>
          <w:tcPr>
            <w:tcW w:w="1451" w:type="dxa"/>
            <w:vAlign w:val="center"/>
          </w:tcPr>
          <w:p w14:paraId="76485CA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c>
          <w:tcPr>
            <w:tcW w:w="1451" w:type="dxa"/>
            <w:vAlign w:val="center"/>
          </w:tcPr>
          <w:p w14:paraId="673D077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c>
          <w:tcPr>
            <w:tcW w:w="1453" w:type="dxa"/>
            <w:vAlign w:val="center"/>
          </w:tcPr>
          <w:p w14:paraId="2A0D995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r>
      <w:tr w14:paraId="074311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6DBBFC1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w:t>
            </w:r>
          </w:p>
        </w:tc>
        <w:tc>
          <w:tcPr>
            <w:tcW w:w="1050" w:type="dxa"/>
            <w:vAlign w:val="center"/>
          </w:tcPr>
          <w:p w14:paraId="2F94E1D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c>
          <w:tcPr>
            <w:tcW w:w="1451" w:type="dxa"/>
            <w:vAlign w:val="center"/>
          </w:tcPr>
          <w:p w14:paraId="694F462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2.09～2.19</w:t>
            </w:r>
          </w:p>
        </w:tc>
        <w:tc>
          <w:tcPr>
            <w:tcW w:w="1451" w:type="dxa"/>
            <w:vAlign w:val="center"/>
          </w:tcPr>
          <w:p w14:paraId="40F4F7F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1.92～2.01</w:t>
            </w:r>
          </w:p>
        </w:tc>
        <w:tc>
          <w:tcPr>
            <w:tcW w:w="1451" w:type="dxa"/>
            <w:vAlign w:val="center"/>
          </w:tcPr>
          <w:p w14:paraId="71FAB50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1.83～1.92</w:t>
            </w:r>
          </w:p>
        </w:tc>
        <w:tc>
          <w:tcPr>
            <w:tcW w:w="1453" w:type="dxa"/>
            <w:vAlign w:val="center"/>
          </w:tcPr>
          <w:p w14:paraId="12BE306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1.83～1.92</w:t>
            </w:r>
          </w:p>
        </w:tc>
      </w:tr>
      <w:tr w14:paraId="395AA3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3D6504F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w:t>
            </w:r>
          </w:p>
        </w:tc>
        <w:tc>
          <w:tcPr>
            <w:tcW w:w="1050" w:type="dxa"/>
            <w:vAlign w:val="center"/>
          </w:tcPr>
          <w:p w14:paraId="57CC49B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&gt;2</w:t>
            </w:r>
          </w:p>
        </w:tc>
        <w:tc>
          <w:tcPr>
            <w:tcW w:w="1451" w:type="dxa"/>
            <w:vAlign w:val="center"/>
          </w:tcPr>
          <w:p w14:paraId="4098177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2.65～2.75</w:t>
            </w:r>
          </w:p>
        </w:tc>
        <w:tc>
          <w:tcPr>
            <w:tcW w:w="1451" w:type="dxa"/>
            <w:vAlign w:val="center"/>
          </w:tcPr>
          <w:p w14:paraId="13B8587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2.37～2.47</w:t>
            </w:r>
          </w:p>
        </w:tc>
        <w:tc>
          <w:tcPr>
            <w:tcW w:w="1451" w:type="dxa"/>
            <w:vAlign w:val="center"/>
          </w:tcPr>
          <w:p w14:paraId="50CB064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2.37～2.47</w:t>
            </w:r>
          </w:p>
        </w:tc>
        <w:tc>
          <w:tcPr>
            <w:tcW w:w="1453" w:type="dxa"/>
            <w:vAlign w:val="center"/>
          </w:tcPr>
          <w:p w14:paraId="4348626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2.37～2.47</w:t>
            </w:r>
          </w:p>
        </w:tc>
      </w:tr>
      <w:tr w14:paraId="797611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33B8BBA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(4%,7%]</w:t>
            </w:r>
          </w:p>
        </w:tc>
        <w:tc>
          <w:tcPr>
            <w:tcW w:w="1050" w:type="dxa"/>
            <w:vAlign w:val="center"/>
          </w:tcPr>
          <w:p w14:paraId="0BF2024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p>
        </w:tc>
        <w:tc>
          <w:tcPr>
            <w:tcW w:w="1451" w:type="dxa"/>
            <w:vAlign w:val="center"/>
          </w:tcPr>
          <w:p w14:paraId="3400515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1.93～2.03</w:t>
            </w:r>
          </w:p>
        </w:tc>
        <w:tc>
          <w:tcPr>
            <w:tcW w:w="1451" w:type="dxa"/>
            <w:vAlign w:val="center"/>
          </w:tcPr>
          <w:p w14:paraId="426C7F4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c>
          <w:tcPr>
            <w:tcW w:w="1451" w:type="dxa"/>
            <w:vAlign w:val="center"/>
          </w:tcPr>
          <w:p w14:paraId="2EA0FD4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1.57～1.67</w:t>
            </w:r>
          </w:p>
        </w:tc>
        <w:tc>
          <w:tcPr>
            <w:tcW w:w="1453" w:type="dxa"/>
            <w:vAlign w:val="center"/>
          </w:tcPr>
          <w:p w14:paraId="50DEB2F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1.57～1.67</w:t>
            </w:r>
          </w:p>
        </w:tc>
      </w:tr>
      <w:tr w14:paraId="4AFAAF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594D0E7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(4%,7%]</w:t>
            </w:r>
          </w:p>
        </w:tc>
        <w:tc>
          <w:tcPr>
            <w:tcW w:w="1050" w:type="dxa"/>
            <w:vAlign w:val="center"/>
          </w:tcPr>
          <w:p w14:paraId="47A52D8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c>
          <w:tcPr>
            <w:tcW w:w="1451" w:type="dxa"/>
            <w:vAlign w:val="center"/>
          </w:tcPr>
          <w:p w14:paraId="13E4737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2.05～2.15</w:t>
            </w:r>
          </w:p>
        </w:tc>
        <w:tc>
          <w:tcPr>
            <w:tcW w:w="1451" w:type="dxa"/>
            <w:vAlign w:val="center"/>
          </w:tcPr>
          <w:p w14:paraId="18CA568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1.81～1.89</w:t>
            </w:r>
          </w:p>
        </w:tc>
        <w:tc>
          <w:tcPr>
            <w:tcW w:w="1451" w:type="dxa"/>
            <w:vAlign w:val="center"/>
          </w:tcPr>
          <w:p w14:paraId="4B99F39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1.73～1.81</w:t>
            </w:r>
          </w:p>
        </w:tc>
        <w:tc>
          <w:tcPr>
            <w:tcW w:w="1453" w:type="dxa"/>
            <w:vAlign w:val="center"/>
          </w:tcPr>
          <w:p w14:paraId="443124E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1.73～1.81</w:t>
            </w:r>
          </w:p>
        </w:tc>
      </w:tr>
      <w:tr w14:paraId="00BB9C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55F888F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(4%,7%]</w:t>
            </w:r>
          </w:p>
        </w:tc>
        <w:tc>
          <w:tcPr>
            <w:tcW w:w="1050" w:type="dxa"/>
            <w:vAlign w:val="center"/>
          </w:tcPr>
          <w:p w14:paraId="1517C4F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&gt;2</w:t>
            </w:r>
          </w:p>
        </w:tc>
        <w:tc>
          <w:tcPr>
            <w:tcW w:w="1451" w:type="dxa"/>
            <w:vAlign w:val="center"/>
          </w:tcPr>
          <w:p w14:paraId="019BD26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2.45～2.55</w:t>
            </w:r>
          </w:p>
        </w:tc>
        <w:tc>
          <w:tcPr>
            <w:tcW w:w="1451" w:type="dxa"/>
            <w:vAlign w:val="center"/>
          </w:tcPr>
          <w:p w14:paraId="1C84C84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2.45～2.55</w:t>
            </w:r>
          </w:p>
        </w:tc>
        <w:tc>
          <w:tcPr>
            <w:tcW w:w="1451" w:type="dxa"/>
            <w:vAlign w:val="center"/>
          </w:tcPr>
          <w:p w14:paraId="2871546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2.25～2.35</w:t>
            </w:r>
          </w:p>
        </w:tc>
        <w:tc>
          <w:tcPr>
            <w:tcW w:w="1453" w:type="dxa"/>
            <w:vAlign w:val="center"/>
          </w:tcPr>
          <w:p w14:paraId="0CF90BA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2.15～2.25</w:t>
            </w:r>
          </w:p>
        </w:tc>
      </w:tr>
      <w:tr w14:paraId="38DDC7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18E26AE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&gt;7%</w:t>
            </w:r>
          </w:p>
        </w:tc>
        <w:tc>
          <w:tcPr>
            <w:tcW w:w="1050" w:type="dxa"/>
            <w:vAlign w:val="center"/>
          </w:tcPr>
          <w:p w14:paraId="7C8EFF0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p>
        </w:tc>
        <w:tc>
          <w:tcPr>
            <w:tcW w:w="1451" w:type="dxa"/>
            <w:vAlign w:val="center"/>
          </w:tcPr>
          <w:p w14:paraId="114E4C6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1.88～1.97</w:t>
            </w:r>
          </w:p>
        </w:tc>
        <w:tc>
          <w:tcPr>
            <w:tcW w:w="1451" w:type="dxa"/>
            <w:vAlign w:val="center"/>
          </w:tcPr>
          <w:p w14:paraId="6250FE0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1.79～1.88</w:t>
            </w:r>
          </w:p>
        </w:tc>
        <w:tc>
          <w:tcPr>
            <w:tcW w:w="1451" w:type="dxa"/>
            <w:vAlign w:val="center"/>
          </w:tcPr>
          <w:p w14:paraId="7A3F975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1.57～1.67</w:t>
            </w:r>
          </w:p>
        </w:tc>
        <w:tc>
          <w:tcPr>
            <w:tcW w:w="1453" w:type="dxa"/>
            <w:vAlign w:val="center"/>
          </w:tcPr>
          <w:p w14:paraId="0A1203F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1.43～1.53</w:t>
            </w:r>
          </w:p>
        </w:tc>
      </w:tr>
      <w:tr w14:paraId="241348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2F4EB6B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&gt;7%</w:t>
            </w:r>
          </w:p>
        </w:tc>
        <w:tc>
          <w:tcPr>
            <w:tcW w:w="1050" w:type="dxa"/>
            <w:vAlign w:val="center"/>
          </w:tcPr>
          <w:p w14:paraId="3EEBC02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c>
          <w:tcPr>
            <w:tcW w:w="1451" w:type="dxa"/>
            <w:vAlign w:val="center"/>
          </w:tcPr>
          <w:p w14:paraId="0482F48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1.96～2.03</w:t>
            </w:r>
          </w:p>
        </w:tc>
        <w:tc>
          <w:tcPr>
            <w:tcW w:w="1451" w:type="dxa"/>
            <w:vAlign w:val="center"/>
          </w:tcPr>
          <w:p w14:paraId="2891443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1.89～1.96</w:t>
            </w:r>
          </w:p>
        </w:tc>
        <w:tc>
          <w:tcPr>
            <w:tcW w:w="1451" w:type="dxa"/>
            <w:vAlign w:val="center"/>
          </w:tcPr>
          <w:p w14:paraId="045F5B7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1.63～1.69</w:t>
            </w:r>
          </w:p>
        </w:tc>
        <w:tc>
          <w:tcPr>
            <w:tcW w:w="1453" w:type="dxa"/>
            <w:vAlign w:val="center"/>
          </w:tcPr>
          <w:p w14:paraId="383B97D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1.57～1.63</w:t>
            </w:r>
          </w:p>
        </w:tc>
      </w:tr>
      <w:tr w14:paraId="144EB4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18445623">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&gt;7%</w:t>
            </w:r>
          </w:p>
        </w:tc>
        <w:tc>
          <w:tcPr>
            <w:tcW w:w="1050" w:type="dxa"/>
            <w:vAlign w:val="center"/>
          </w:tcPr>
          <w:p w14:paraId="68A21F56">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&gt;2</w:t>
            </w:r>
          </w:p>
        </w:tc>
        <w:tc>
          <w:tcPr>
            <w:tcW w:w="1451" w:type="dxa"/>
            <w:vAlign w:val="center"/>
          </w:tcPr>
          <w:p w14:paraId="53589EDB">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2.41～2.47</w:t>
            </w:r>
          </w:p>
        </w:tc>
        <w:tc>
          <w:tcPr>
            <w:tcW w:w="1451" w:type="dxa"/>
            <w:vAlign w:val="center"/>
          </w:tcPr>
          <w:p w14:paraId="6838D4A1">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2.35～2.41</w:t>
            </w:r>
          </w:p>
        </w:tc>
        <w:tc>
          <w:tcPr>
            <w:tcW w:w="1451" w:type="dxa"/>
            <w:vAlign w:val="center"/>
          </w:tcPr>
          <w:p w14:paraId="3C7E87A9">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2.19～2.29</w:t>
            </w:r>
          </w:p>
        </w:tc>
        <w:tc>
          <w:tcPr>
            <w:tcW w:w="1453" w:type="dxa"/>
            <w:vAlign w:val="center"/>
          </w:tcPr>
          <w:p w14:paraId="7FC4AD7C">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2.09～2.19</w:t>
            </w:r>
          </w:p>
        </w:tc>
      </w:tr>
    </w:tbl>
    <w:p w14:paraId="593AB7A6">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表9 容载比推荐（电缆占比≤10%、分散系数&gt;1.15）</w:t>
      </w:r>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50043B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trPr>
        <w:tc>
          <w:tcPr>
            <w:tcW w:w="1450" w:type="dxa"/>
            <w:vAlign w:val="center"/>
          </w:tcPr>
          <w:p w14:paraId="045F108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年最大净负荷平均增长率</w:t>
            </w:r>
          </w:p>
        </w:tc>
        <w:tc>
          <w:tcPr>
            <w:tcW w:w="1050" w:type="dxa"/>
            <w:vAlign w:val="center"/>
          </w:tcPr>
          <w:p w14:paraId="537D315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装机渗透率</w:t>
            </w:r>
          </w:p>
        </w:tc>
        <w:tc>
          <w:tcPr>
            <w:tcW w:w="1451" w:type="dxa"/>
            <w:vAlign w:val="center"/>
          </w:tcPr>
          <w:p w14:paraId="4B8F5DB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≤30%</w:t>
            </w:r>
          </w:p>
        </w:tc>
        <w:tc>
          <w:tcPr>
            <w:tcW w:w="1451" w:type="dxa"/>
            <w:vAlign w:val="center"/>
          </w:tcPr>
          <w:p w14:paraId="2FD2405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(30%,50%]</w:t>
            </w:r>
          </w:p>
        </w:tc>
        <w:tc>
          <w:tcPr>
            <w:tcW w:w="1451" w:type="dxa"/>
            <w:vAlign w:val="center"/>
          </w:tcPr>
          <w:p w14:paraId="754B542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(50%,70%]</w:t>
            </w:r>
          </w:p>
        </w:tc>
        <w:tc>
          <w:tcPr>
            <w:tcW w:w="1453" w:type="dxa"/>
            <w:vAlign w:val="center"/>
          </w:tcPr>
          <w:p w14:paraId="4F4E9CE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&gt;70%</w:t>
            </w:r>
          </w:p>
        </w:tc>
      </w:tr>
      <w:tr w14:paraId="464444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5438946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p>
        </w:tc>
        <w:tc>
          <w:tcPr>
            <w:tcW w:w="1050" w:type="dxa"/>
            <w:vAlign w:val="center"/>
          </w:tcPr>
          <w:p w14:paraId="550006C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p>
        </w:tc>
        <w:tc>
          <w:tcPr>
            <w:tcW w:w="1451" w:type="dxa"/>
            <w:vAlign w:val="center"/>
          </w:tcPr>
          <w:p w14:paraId="277A87D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2.17～2.27</w:t>
            </w:r>
          </w:p>
        </w:tc>
        <w:tc>
          <w:tcPr>
            <w:tcW w:w="1451" w:type="dxa"/>
            <w:vAlign w:val="center"/>
          </w:tcPr>
          <w:p w14:paraId="551E554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1.95～2.05</w:t>
            </w:r>
          </w:p>
        </w:tc>
        <w:tc>
          <w:tcPr>
            <w:tcW w:w="1451" w:type="dxa"/>
            <w:vAlign w:val="center"/>
          </w:tcPr>
          <w:p w14:paraId="291DDA5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1.95～2.05</w:t>
            </w:r>
          </w:p>
        </w:tc>
        <w:tc>
          <w:tcPr>
            <w:tcW w:w="1453" w:type="dxa"/>
            <w:vAlign w:val="center"/>
          </w:tcPr>
          <w:p w14:paraId="0D08AD2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1.95～2.05</w:t>
            </w:r>
          </w:p>
        </w:tc>
      </w:tr>
      <w:tr w14:paraId="79E1E0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744B3CD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p>
        </w:tc>
        <w:tc>
          <w:tcPr>
            <w:tcW w:w="1050" w:type="dxa"/>
            <w:vAlign w:val="center"/>
          </w:tcPr>
          <w:p w14:paraId="1308D36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c>
          <w:tcPr>
            <w:tcW w:w="1451" w:type="dxa"/>
            <w:vAlign w:val="center"/>
          </w:tcPr>
          <w:p w14:paraId="1BAA866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2.27～2.37</w:t>
            </w:r>
          </w:p>
        </w:tc>
        <w:tc>
          <w:tcPr>
            <w:tcW w:w="1451" w:type="dxa"/>
            <w:vAlign w:val="center"/>
          </w:tcPr>
          <w:p w14:paraId="74F6AAB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1.99～2.09</w:t>
            </w:r>
          </w:p>
        </w:tc>
        <w:tc>
          <w:tcPr>
            <w:tcW w:w="1451" w:type="dxa"/>
            <w:vAlign w:val="center"/>
          </w:tcPr>
          <w:p w14:paraId="0DE7A69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1.99～2.09</w:t>
            </w:r>
          </w:p>
        </w:tc>
        <w:tc>
          <w:tcPr>
            <w:tcW w:w="1453" w:type="dxa"/>
            <w:vAlign w:val="center"/>
          </w:tcPr>
          <w:p w14:paraId="7B765F2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1.99～2.09</w:t>
            </w:r>
          </w:p>
        </w:tc>
      </w:tr>
      <w:tr w14:paraId="45A289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03ABB94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p>
        </w:tc>
        <w:tc>
          <w:tcPr>
            <w:tcW w:w="1050" w:type="dxa"/>
            <w:vAlign w:val="center"/>
          </w:tcPr>
          <w:p w14:paraId="2540646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&gt;2</w:t>
            </w:r>
          </w:p>
        </w:tc>
        <w:tc>
          <w:tcPr>
            <w:tcW w:w="1451" w:type="dxa"/>
            <w:vAlign w:val="center"/>
          </w:tcPr>
          <w:p w14:paraId="0E6CB00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2.79～2.89</w:t>
            </w:r>
          </w:p>
        </w:tc>
        <w:tc>
          <w:tcPr>
            <w:tcW w:w="1451" w:type="dxa"/>
            <w:vAlign w:val="center"/>
          </w:tcPr>
          <w:p w14:paraId="0A6BF17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2.57～2.67</w:t>
            </w:r>
          </w:p>
        </w:tc>
        <w:tc>
          <w:tcPr>
            <w:tcW w:w="1451" w:type="dxa"/>
            <w:vAlign w:val="center"/>
          </w:tcPr>
          <w:p w14:paraId="080F904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2.57～2.67</w:t>
            </w:r>
          </w:p>
        </w:tc>
        <w:tc>
          <w:tcPr>
            <w:tcW w:w="1453" w:type="dxa"/>
            <w:vAlign w:val="center"/>
          </w:tcPr>
          <w:p w14:paraId="6B8CACB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2.57～2.67</w:t>
            </w:r>
          </w:p>
        </w:tc>
      </w:tr>
      <w:tr w14:paraId="4DDB8C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65B830D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w:t>
            </w:r>
          </w:p>
        </w:tc>
        <w:tc>
          <w:tcPr>
            <w:tcW w:w="1050" w:type="dxa"/>
            <w:vAlign w:val="center"/>
          </w:tcPr>
          <w:p w14:paraId="609731B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p>
        </w:tc>
        <w:tc>
          <w:tcPr>
            <w:tcW w:w="1451" w:type="dxa"/>
            <w:vAlign w:val="center"/>
          </w:tcPr>
          <w:p w14:paraId="5F3089E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2.17～2.27</w:t>
            </w:r>
          </w:p>
        </w:tc>
        <w:tc>
          <w:tcPr>
            <w:tcW w:w="1451" w:type="dxa"/>
            <w:vAlign w:val="center"/>
          </w:tcPr>
          <w:p w14:paraId="53A8013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1.91～2.01</w:t>
            </w:r>
          </w:p>
        </w:tc>
        <w:tc>
          <w:tcPr>
            <w:tcW w:w="1451" w:type="dxa"/>
            <w:vAlign w:val="center"/>
          </w:tcPr>
          <w:p w14:paraId="0FC3F9A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c>
          <w:tcPr>
            <w:tcW w:w="1453" w:type="dxa"/>
            <w:vAlign w:val="center"/>
          </w:tcPr>
          <w:p w14:paraId="7F3C4E7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r>
      <w:tr w14:paraId="1C836E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11FA9E6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w:t>
            </w:r>
          </w:p>
        </w:tc>
        <w:tc>
          <w:tcPr>
            <w:tcW w:w="1050" w:type="dxa"/>
            <w:vAlign w:val="center"/>
          </w:tcPr>
          <w:p w14:paraId="5C455CF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c>
          <w:tcPr>
            <w:tcW w:w="1451" w:type="dxa"/>
            <w:vAlign w:val="center"/>
          </w:tcPr>
          <w:p w14:paraId="1B5B331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2.27～2.37</w:t>
            </w:r>
          </w:p>
        </w:tc>
        <w:tc>
          <w:tcPr>
            <w:tcW w:w="1451" w:type="dxa"/>
            <w:vAlign w:val="center"/>
          </w:tcPr>
          <w:p w14:paraId="2424A80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1.92～2.01</w:t>
            </w:r>
          </w:p>
        </w:tc>
        <w:tc>
          <w:tcPr>
            <w:tcW w:w="1451" w:type="dxa"/>
            <w:vAlign w:val="center"/>
          </w:tcPr>
          <w:p w14:paraId="704A59B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1.83～1.92</w:t>
            </w:r>
          </w:p>
        </w:tc>
        <w:tc>
          <w:tcPr>
            <w:tcW w:w="1453" w:type="dxa"/>
            <w:vAlign w:val="center"/>
          </w:tcPr>
          <w:p w14:paraId="2A2AC3C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1.83～1.92</w:t>
            </w:r>
          </w:p>
        </w:tc>
      </w:tr>
      <w:tr w14:paraId="11B722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4FCC60F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w:t>
            </w:r>
          </w:p>
        </w:tc>
        <w:tc>
          <w:tcPr>
            <w:tcW w:w="1050" w:type="dxa"/>
            <w:vAlign w:val="center"/>
          </w:tcPr>
          <w:p w14:paraId="22B2F68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&gt;2</w:t>
            </w:r>
          </w:p>
        </w:tc>
        <w:tc>
          <w:tcPr>
            <w:tcW w:w="1451" w:type="dxa"/>
            <w:vAlign w:val="center"/>
          </w:tcPr>
          <w:p w14:paraId="275A49E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2.75～2.85</w:t>
            </w:r>
          </w:p>
        </w:tc>
        <w:tc>
          <w:tcPr>
            <w:tcW w:w="1451" w:type="dxa"/>
            <w:vAlign w:val="center"/>
          </w:tcPr>
          <w:p w14:paraId="3345C5B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2.47～2.57</w:t>
            </w:r>
          </w:p>
        </w:tc>
        <w:tc>
          <w:tcPr>
            <w:tcW w:w="1451" w:type="dxa"/>
            <w:vAlign w:val="center"/>
          </w:tcPr>
          <w:p w14:paraId="7F8B8B2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2.37～2.47</w:t>
            </w:r>
          </w:p>
        </w:tc>
        <w:tc>
          <w:tcPr>
            <w:tcW w:w="1453" w:type="dxa"/>
            <w:vAlign w:val="center"/>
          </w:tcPr>
          <w:p w14:paraId="5D645C8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2.37～2.47</w:t>
            </w:r>
          </w:p>
        </w:tc>
      </w:tr>
      <w:tr w14:paraId="2E3BAE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4073E4B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(4%,7%]</w:t>
            </w:r>
          </w:p>
        </w:tc>
        <w:tc>
          <w:tcPr>
            <w:tcW w:w="1050" w:type="dxa"/>
            <w:vAlign w:val="center"/>
          </w:tcPr>
          <w:p w14:paraId="034E9DF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p>
        </w:tc>
        <w:tc>
          <w:tcPr>
            <w:tcW w:w="1451" w:type="dxa"/>
            <w:vAlign w:val="center"/>
          </w:tcPr>
          <w:p w14:paraId="7336711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2.08～2.15</w:t>
            </w:r>
          </w:p>
        </w:tc>
        <w:tc>
          <w:tcPr>
            <w:tcW w:w="1451" w:type="dxa"/>
            <w:vAlign w:val="center"/>
          </w:tcPr>
          <w:p w14:paraId="5205477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2.01～2.08</w:t>
            </w:r>
          </w:p>
        </w:tc>
        <w:tc>
          <w:tcPr>
            <w:tcW w:w="1451" w:type="dxa"/>
            <w:vAlign w:val="center"/>
          </w:tcPr>
          <w:p w14:paraId="0D142FB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c>
          <w:tcPr>
            <w:tcW w:w="1453" w:type="dxa"/>
            <w:vAlign w:val="center"/>
          </w:tcPr>
          <w:p w14:paraId="25F5739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1.57～1.67</w:t>
            </w:r>
          </w:p>
        </w:tc>
      </w:tr>
      <w:tr w14:paraId="42895A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7AA4922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(4%,7%]</w:t>
            </w:r>
          </w:p>
        </w:tc>
        <w:tc>
          <w:tcPr>
            <w:tcW w:w="1050" w:type="dxa"/>
            <w:vAlign w:val="center"/>
          </w:tcPr>
          <w:p w14:paraId="71610BB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c>
          <w:tcPr>
            <w:tcW w:w="1451" w:type="dxa"/>
            <w:vAlign w:val="center"/>
          </w:tcPr>
          <w:p w14:paraId="0F1490F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2.08～2.15</w:t>
            </w:r>
          </w:p>
        </w:tc>
        <w:tc>
          <w:tcPr>
            <w:tcW w:w="1451" w:type="dxa"/>
            <w:vAlign w:val="center"/>
          </w:tcPr>
          <w:p w14:paraId="68C6A61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2.01～2.08</w:t>
            </w:r>
          </w:p>
        </w:tc>
        <w:tc>
          <w:tcPr>
            <w:tcW w:w="1451" w:type="dxa"/>
            <w:vAlign w:val="center"/>
          </w:tcPr>
          <w:p w14:paraId="0182030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c>
          <w:tcPr>
            <w:tcW w:w="1453" w:type="dxa"/>
            <w:vAlign w:val="center"/>
          </w:tcPr>
          <w:p w14:paraId="72B592A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r>
      <w:tr w14:paraId="6A2CD9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6812C3D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(4%,7%]</w:t>
            </w:r>
          </w:p>
        </w:tc>
        <w:tc>
          <w:tcPr>
            <w:tcW w:w="1050" w:type="dxa"/>
            <w:vAlign w:val="center"/>
          </w:tcPr>
          <w:p w14:paraId="24D308E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&gt;2</w:t>
            </w:r>
          </w:p>
        </w:tc>
        <w:tc>
          <w:tcPr>
            <w:tcW w:w="1451" w:type="dxa"/>
            <w:vAlign w:val="center"/>
          </w:tcPr>
          <w:p w14:paraId="43045A8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2.52～2.59</w:t>
            </w:r>
          </w:p>
        </w:tc>
        <w:tc>
          <w:tcPr>
            <w:tcW w:w="1451" w:type="dxa"/>
            <w:vAlign w:val="center"/>
          </w:tcPr>
          <w:p w14:paraId="5568433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2.45～2.52</w:t>
            </w:r>
          </w:p>
        </w:tc>
        <w:tc>
          <w:tcPr>
            <w:tcW w:w="1451" w:type="dxa"/>
            <w:vAlign w:val="center"/>
          </w:tcPr>
          <w:p w14:paraId="0581196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2.33～2.43</w:t>
            </w:r>
          </w:p>
        </w:tc>
        <w:tc>
          <w:tcPr>
            <w:tcW w:w="1453" w:type="dxa"/>
            <w:vAlign w:val="center"/>
          </w:tcPr>
          <w:p w14:paraId="173CA7B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2.15～2.25</w:t>
            </w:r>
          </w:p>
        </w:tc>
      </w:tr>
      <w:tr w14:paraId="064E0B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490A037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&gt;7%</w:t>
            </w:r>
          </w:p>
        </w:tc>
        <w:tc>
          <w:tcPr>
            <w:tcW w:w="1050" w:type="dxa"/>
            <w:vAlign w:val="center"/>
          </w:tcPr>
          <w:p w14:paraId="485A1CB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p>
        </w:tc>
        <w:tc>
          <w:tcPr>
            <w:tcW w:w="1451" w:type="dxa"/>
            <w:vAlign w:val="center"/>
          </w:tcPr>
          <w:p w14:paraId="671A09F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2.02～2.11</w:t>
            </w:r>
          </w:p>
        </w:tc>
        <w:tc>
          <w:tcPr>
            <w:tcW w:w="1451" w:type="dxa"/>
            <w:vAlign w:val="center"/>
          </w:tcPr>
          <w:p w14:paraId="040C321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1.93～2.02</w:t>
            </w:r>
          </w:p>
        </w:tc>
        <w:tc>
          <w:tcPr>
            <w:tcW w:w="1451" w:type="dxa"/>
            <w:vAlign w:val="center"/>
          </w:tcPr>
          <w:p w14:paraId="0157760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c>
          <w:tcPr>
            <w:tcW w:w="1453" w:type="dxa"/>
            <w:vAlign w:val="center"/>
          </w:tcPr>
          <w:p w14:paraId="6091FC3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1.45～1.55</w:t>
            </w:r>
          </w:p>
        </w:tc>
      </w:tr>
      <w:tr w14:paraId="2DD6F8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156E05E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&gt;7%</w:t>
            </w:r>
          </w:p>
        </w:tc>
        <w:tc>
          <w:tcPr>
            <w:tcW w:w="1050" w:type="dxa"/>
            <w:vAlign w:val="center"/>
          </w:tcPr>
          <w:p w14:paraId="4E588CD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c>
          <w:tcPr>
            <w:tcW w:w="1451" w:type="dxa"/>
            <w:vAlign w:val="center"/>
          </w:tcPr>
          <w:p w14:paraId="12C79A9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2.01～2.07</w:t>
            </w:r>
          </w:p>
        </w:tc>
        <w:tc>
          <w:tcPr>
            <w:tcW w:w="1451" w:type="dxa"/>
            <w:vAlign w:val="center"/>
          </w:tcPr>
          <w:p w14:paraId="4D8248C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2.07～2.13</w:t>
            </w:r>
          </w:p>
        </w:tc>
        <w:tc>
          <w:tcPr>
            <w:tcW w:w="1451" w:type="dxa"/>
            <w:vAlign w:val="center"/>
          </w:tcPr>
          <w:p w14:paraId="76CDFDF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1.87～1.97</w:t>
            </w:r>
          </w:p>
        </w:tc>
        <w:tc>
          <w:tcPr>
            <w:tcW w:w="1453" w:type="dxa"/>
            <w:vAlign w:val="center"/>
          </w:tcPr>
          <w:p w14:paraId="7AE9320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1.57～1.67</w:t>
            </w:r>
          </w:p>
        </w:tc>
      </w:tr>
      <w:tr w14:paraId="1181C5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4A656285">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&gt;7%</w:t>
            </w:r>
          </w:p>
        </w:tc>
        <w:tc>
          <w:tcPr>
            <w:tcW w:w="1050" w:type="dxa"/>
            <w:vAlign w:val="center"/>
          </w:tcPr>
          <w:p w14:paraId="34A24465">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&gt;2</w:t>
            </w:r>
          </w:p>
        </w:tc>
        <w:tc>
          <w:tcPr>
            <w:tcW w:w="1451" w:type="dxa"/>
            <w:vAlign w:val="center"/>
          </w:tcPr>
          <w:p w14:paraId="406D294E">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2.46～2.55</w:t>
            </w:r>
          </w:p>
        </w:tc>
        <w:tc>
          <w:tcPr>
            <w:tcW w:w="1451" w:type="dxa"/>
            <w:vAlign w:val="center"/>
          </w:tcPr>
          <w:p w14:paraId="6BEB092B">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2.37～2.46</w:t>
            </w:r>
          </w:p>
        </w:tc>
        <w:tc>
          <w:tcPr>
            <w:tcW w:w="1451" w:type="dxa"/>
            <w:vAlign w:val="center"/>
          </w:tcPr>
          <w:p w14:paraId="2E78AC46">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2.27～2.37</w:t>
            </w:r>
          </w:p>
        </w:tc>
        <w:tc>
          <w:tcPr>
            <w:tcW w:w="1453" w:type="dxa"/>
            <w:vAlign w:val="center"/>
          </w:tcPr>
          <w:p w14:paraId="349B00ED">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2.09～2.19</w:t>
            </w:r>
          </w:p>
        </w:tc>
      </w:tr>
    </w:tbl>
    <w:p w14:paraId="09337A1A">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表10 容载比推荐（电缆占比(10%,30%]、分散系数≤1.15）</w:t>
      </w:r>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493D87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trPr>
        <w:tc>
          <w:tcPr>
            <w:tcW w:w="1450" w:type="dxa"/>
            <w:vAlign w:val="center"/>
          </w:tcPr>
          <w:p w14:paraId="104DAA7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年最大净负荷平均增长率</w:t>
            </w:r>
          </w:p>
        </w:tc>
        <w:tc>
          <w:tcPr>
            <w:tcW w:w="1050" w:type="dxa"/>
            <w:vAlign w:val="center"/>
          </w:tcPr>
          <w:p w14:paraId="5FEA9A7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装机渗透率</w:t>
            </w:r>
          </w:p>
        </w:tc>
        <w:tc>
          <w:tcPr>
            <w:tcW w:w="1451" w:type="dxa"/>
            <w:vAlign w:val="center"/>
          </w:tcPr>
          <w:p w14:paraId="43F6ED9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≤30%</w:t>
            </w:r>
          </w:p>
        </w:tc>
        <w:tc>
          <w:tcPr>
            <w:tcW w:w="1451" w:type="dxa"/>
            <w:vAlign w:val="center"/>
          </w:tcPr>
          <w:p w14:paraId="321E72B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(30%,50%]</w:t>
            </w:r>
          </w:p>
        </w:tc>
        <w:tc>
          <w:tcPr>
            <w:tcW w:w="1451" w:type="dxa"/>
            <w:vAlign w:val="center"/>
          </w:tcPr>
          <w:p w14:paraId="1C367CD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(50%,70%]</w:t>
            </w:r>
          </w:p>
        </w:tc>
        <w:tc>
          <w:tcPr>
            <w:tcW w:w="1453" w:type="dxa"/>
            <w:vAlign w:val="center"/>
          </w:tcPr>
          <w:p w14:paraId="68224D1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&gt;70%</w:t>
            </w:r>
          </w:p>
        </w:tc>
      </w:tr>
      <w:tr w14:paraId="0BD180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649E008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p>
        </w:tc>
        <w:tc>
          <w:tcPr>
            <w:tcW w:w="1050" w:type="dxa"/>
            <w:vAlign w:val="center"/>
          </w:tcPr>
          <w:p w14:paraId="7FEA82B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p>
        </w:tc>
        <w:tc>
          <w:tcPr>
            <w:tcW w:w="1451" w:type="dxa"/>
            <w:vAlign w:val="center"/>
          </w:tcPr>
          <w:p w14:paraId="1969EE5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2.02～2.09</w:t>
            </w:r>
          </w:p>
        </w:tc>
        <w:tc>
          <w:tcPr>
            <w:tcW w:w="1451" w:type="dxa"/>
            <w:vAlign w:val="center"/>
          </w:tcPr>
          <w:p w14:paraId="3EF5789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1.95～2.02</w:t>
            </w:r>
          </w:p>
        </w:tc>
        <w:tc>
          <w:tcPr>
            <w:tcW w:w="1451" w:type="dxa"/>
            <w:vAlign w:val="center"/>
          </w:tcPr>
          <w:p w14:paraId="4AB26B1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1.95～2.02</w:t>
            </w:r>
          </w:p>
        </w:tc>
        <w:tc>
          <w:tcPr>
            <w:tcW w:w="1453" w:type="dxa"/>
            <w:vAlign w:val="center"/>
          </w:tcPr>
          <w:p w14:paraId="17CB0EC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1.95～2.02</w:t>
            </w:r>
          </w:p>
        </w:tc>
      </w:tr>
      <w:tr w14:paraId="1D23D9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2EEB814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p>
        </w:tc>
        <w:tc>
          <w:tcPr>
            <w:tcW w:w="1050" w:type="dxa"/>
            <w:vAlign w:val="center"/>
          </w:tcPr>
          <w:p w14:paraId="635FADE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c>
          <w:tcPr>
            <w:tcW w:w="1451" w:type="dxa"/>
            <w:vAlign w:val="center"/>
          </w:tcPr>
          <w:p w14:paraId="278158E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2.15～2.25</w:t>
            </w:r>
          </w:p>
        </w:tc>
        <w:tc>
          <w:tcPr>
            <w:tcW w:w="1451" w:type="dxa"/>
            <w:vAlign w:val="center"/>
          </w:tcPr>
          <w:p w14:paraId="7F01B7F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1.99～2.09</w:t>
            </w:r>
          </w:p>
        </w:tc>
        <w:tc>
          <w:tcPr>
            <w:tcW w:w="1451" w:type="dxa"/>
            <w:vAlign w:val="center"/>
          </w:tcPr>
          <w:p w14:paraId="45AAD9B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1.99～2.09</w:t>
            </w:r>
          </w:p>
        </w:tc>
        <w:tc>
          <w:tcPr>
            <w:tcW w:w="1453" w:type="dxa"/>
            <w:vAlign w:val="center"/>
          </w:tcPr>
          <w:p w14:paraId="229F8E5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1.99～2.09</w:t>
            </w:r>
          </w:p>
        </w:tc>
      </w:tr>
      <w:tr w14:paraId="4ABC00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4E6E4E3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p>
        </w:tc>
        <w:tc>
          <w:tcPr>
            <w:tcW w:w="1050" w:type="dxa"/>
            <w:vAlign w:val="center"/>
          </w:tcPr>
          <w:p w14:paraId="5BA90BA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&gt;2</w:t>
            </w:r>
          </w:p>
        </w:tc>
        <w:tc>
          <w:tcPr>
            <w:tcW w:w="1451" w:type="dxa"/>
            <w:vAlign w:val="center"/>
          </w:tcPr>
          <w:p w14:paraId="3E0A10D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2.75～2.85</w:t>
            </w:r>
          </w:p>
        </w:tc>
        <w:tc>
          <w:tcPr>
            <w:tcW w:w="1451" w:type="dxa"/>
            <w:vAlign w:val="center"/>
          </w:tcPr>
          <w:p w14:paraId="0DC40A5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2.57～2.67</w:t>
            </w:r>
          </w:p>
        </w:tc>
        <w:tc>
          <w:tcPr>
            <w:tcW w:w="1451" w:type="dxa"/>
            <w:vAlign w:val="center"/>
          </w:tcPr>
          <w:p w14:paraId="0CA3607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2.57～2.67</w:t>
            </w:r>
          </w:p>
        </w:tc>
        <w:tc>
          <w:tcPr>
            <w:tcW w:w="1453" w:type="dxa"/>
            <w:vAlign w:val="center"/>
          </w:tcPr>
          <w:p w14:paraId="13B4A82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2.57～2.67</w:t>
            </w:r>
          </w:p>
        </w:tc>
      </w:tr>
      <w:tr w14:paraId="3E6210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57D4640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w:t>
            </w:r>
          </w:p>
        </w:tc>
        <w:tc>
          <w:tcPr>
            <w:tcW w:w="1050" w:type="dxa"/>
            <w:vAlign w:val="center"/>
          </w:tcPr>
          <w:p w14:paraId="4C0BAA7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p>
        </w:tc>
        <w:tc>
          <w:tcPr>
            <w:tcW w:w="1451" w:type="dxa"/>
            <w:vAlign w:val="center"/>
          </w:tcPr>
          <w:p w14:paraId="1DF111B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2.01～2.11</w:t>
            </w:r>
          </w:p>
        </w:tc>
        <w:tc>
          <w:tcPr>
            <w:tcW w:w="1451" w:type="dxa"/>
            <w:vAlign w:val="center"/>
          </w:tcPr>
          <w:p w14:paraId="6DBF5F3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c>
          <w:tcPr>
            <w:tcW w:w="1451" w:type="dxa"/>
            <w:vAlign w:val="center"/>
          </w:tcPr>
          <w:p w14:paraId="440C590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c>
          <w:tcPr>
            <w:tcW w:w="1453" w:type="dxa"/>
            <w:vAlign w:val="center"/>
          </w:tcPr>
          <w:p w14:paraId="7C0EAED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r>
      <w:tr w14:paraId="6C11B8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3B2CB97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w:t>
            </w:r>
          </w:p>
        </w:tc>
        <w:tc>
          <w:tcPr>
            <w:tcW w:w="1050" w:type="dxa"/>
            <w:vAlign w:val="center"/>
          </w:tcPr>
          <w:p w14:paraId="3AC81D8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c>
          <w:tcPr>
            <w:tcW w:w="1451" w:type="dxa"/>
            <w:vAlign w:val="center"/>
          </w:tcPr>
          <w:p w14:paraId="7E38D70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2.09～2.19</w:t>
            </w:r>
          </w:p>
        </w:tc>
        <w:tc>
          <w:tcPr>
            <w:tcW w:w="1451" w:type="dxa"/>
            <w:vAlign w:val="center"/>
          </w:tcPr>
          <w:p w14:paraId="36D3BF0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1.92～2.01</w:t>
            </w:r>
          </w:p>
        </w:tc>
        <w:tc>
          <w:tcPr>
            <w:tcW w:w="1451" w:type="dxa"/>
            <w:vAlign w:val="center"/>
          </w:tcPr>
          <w:p w14:paraId="1057486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1.83～1.92</w:t>
            </w:r>
          </w:p>
        </w:tc>
        <w:tc>
          <w:tcPr>
            <w:tcW w:w="1453" w:type="dxa"/>
            <w:vAlign w:val="center"/>
          </w:tcPr>
          <w:p w14:paraId="763970F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1.83～1.92</w:t>
            </w:r>
          </w:p>
        </w:tc>
      </w:tr>
      <w:tr w14:paraId="388C4A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7510174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w:t>
            </w:r>
          </w:p>
        </w:tc>
        <w:tc>
          <w:tcPr>
            <w:tcW w:w="1050" w:type="dxa"/>
            <w:vAlign w:val="center"/>
          </w:tcPr>
          <w:p w14:paraId="17E362B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&gt;2</w:t>
            </w:r>
          </w:p>
        </w:tc>
        <w:tc>
          <w:tcPr>
            <w:tcW w:w="1451" w:type="dxa"/>
            <w:vAlign w:val="center"/>
          </w:tcPr>
          <w:p w14:paraId="1FEA814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2.65～2.75</w:t>
            </w:r>
          </w:p>
        </w:tc>
        <w:tc>
          <w:tcPr>
            <w:tcW w:w="1451" w:type="dxa"/>
            <w:vAlign w:val="center"/>
          </w:tcPr>
          <w:p w14:paraId="074EC83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2.47～2.57</w:t>
            </w:r>
          </w:p>
        </w:tc>
        <w:tc>
          <w:tcPr>
            <w:tcW w:w="1451" w:type="dxa"/>
            <w:vAlign w:val="center"/>
          </w:tcPr>
          <w:p w14:paraId="2DD376E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2.37～2.47</w:t>
            </w:r>
          </w:p>
        </w:tc>
        <w:tc>
          <w:tcPr>
            <w:tcW w:w="1453" w:type="dxa"/>
            <w:vAlign w:val="center"/>
          </w:tcPr>
          <w:p w14:paraId="016D795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2.37～2.47</w:t>
            </w:r>
          </w:p>
        </w:tc>
      </w:tr>
      <w:tr w14:paraId="1446AD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6644511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(4%,7%]</w:t>
            </w:r>
          </w:p>
        </w:tc>
        <w:tc>
          <w:tcPr>
            <w:tcW w:w="1050" w:type="dxa"/>
            <w:vAlign w:val="center"/>
          </w:tcPr>
          <w:p w14:paraId="1720BD5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p>
        </w:tc>
        <w:tc>
          <w:tcPr>
            <w:tcW w:w="1451" w:type="dxa"/>
            <w:vAlign w:val="center"/>
          </w:tcPr>
          <w:p w14:paraId="28C2DF7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1.93～2.03</w:t>
            </w:r>
          </w:p>
        </w:tc>
        <w:tc>
          <w:tcPr>
            <w:tcW w:w="1451" w:type="dxa"/>
            <w:vAlign w:val="center"/>
          </w:tcPr>
          <w:p w14:paraId="70634BC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c>
          <w:tcPr>
            <w:tcW w:w="1451" w:type="dxa"/>
            <w:vAlign w:val="center"/>
          </w:tcPr>
          <w:p w14:paraId="252D4A0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1.57～1.67</w:t>
            </w:r>
          </w:p>
        </w:tc>
        <w:tc>
          <w:tcPr>
            <w:tcW w:w="1453" w:type="dxa"/>
            <w:vAlign w:val="center"/>
          </w:tcPr>
          <w:p w14:paraId="218E3D5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1.57～1.67</w:t>
            </w:r>
          </w:p>
        </w:tc>
      </w:tr>
      <w:tr w14:paraId="4D904C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1D0427E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(4%,7%]</w:t>
            </w:r>
          </w:p>
        </w:tc>
        <w:tc>
          <w:tcPr>
            <w:tcW w:w="1050" w:type="dxa"/>
            <w:vAlign w:val="center"/>
          </w:tcPr>
          <w:p w14:paraId="1D08162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c>
          <w:tcPr>
            <w:tcW w:w="1451" w:type="dxa"/>
            <w:vAlign w:val="center"/>
          </w:tcPr>
          <w:p w14:paraId="63CB3C4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2.05～2.15</w:t>
            </w:r>
          </w:p>
        </w:tc>
        <w:tc>
          <w:tcPr>
            <w:tcW w:w="1451" w:type="dxa"/>
            <w:vAlign w:val="center"/>
          </w:tcPr>
          <w:p w14:paraId="47C111C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1.81～1.89</w:t>
            </w:r>
          </w:p>
        </w:tc>
        <w:tc>
          <w:tcPr>
            <w:tcW w:w="1451" w:type="dxa"/>
            <w:vAlign w:val="center"/>
          </w:tcPr>
          <w:p w14:paraId="2AF617A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1.73～1.81</w:t>
            </w:r>
          </w:p>
        </w:tc>
        <w:tc>
          <w:tcPr>
            <w:tcW w:w="1453" w:type="dxa"/>
            <w:vAlign w:val="center"/>
          </w:tcPr>
          <w:p w14:paraId="1542D5C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1.73～1.81</w:t>
            </w:r>
          </w:p>
        </w:tc>
      </w:tr>
      <w:tr w14:paraId="2F3C7B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3C8DC7B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(4%,7%]</w:t>
            </w:r>
          </w:p>
        </w:tc>
        <w:tc>
          <w:tcPr>
            <w:tcW w:w="1050" w:type="dxa"/>
            <w:vAlign w:val="center"/>
          </w:tcPr>
          <w:p w14:paraId="5A949FB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&gt;2</w:t>
            </w:r>
          </w:p>
        </w:tc>
        <w:tc>
          <w:tcPr>
            <w:tcW w:w="1451" w:type="dxa"/>
            <w:vAlign w:val="center"/>
          </w:tcPr>
          <w:p w14:paraId="17C0AC5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2.45～2.55</w:t>
            </w:r>
          </w:p>
        </w:tc>
        <w:tc>
          <w:tcPr>
            <w:tcW w:w="1451" w:type="dxa"/>
            <w:vAlign w:val="center"/>
          </w:tcPr>
          <w:p w14:paraId="20CF698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2.45～2.55</w:t>
            </w:r>
          </w:p>
        </w:tc>
        <w:tc>
          <w:tcPr>
            <w:tcW w:w="1451" w:type="dxa"/>
            <w:vAlign w:val="center"/>
          </w:tcPr>
          <w:p w14:paraId="4949FAA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2.25～2.35</w:t>
            </w:r>
          </w:p>
        </w:tc>
        <w:tc>
          <w:tcPr>
            <w:tcW w:w="1453" w:type="dxa"/>
            <w:vAlign w:val="center"/>
          </w:tcPr>
          <w:p w14:paraId="3DF3898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2.25～2.35</w:t>
            </w:r>
          </w:p>
        </w:tc>
      </w:tr>
      <w:tr w14:paraId="1747C6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6F1E4ED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&gt;7%</w:t>
            </w:r>
          </w:p>
        </w:tc>
        <w:tc>
          <w:tcPr>
            <w:tcW w:w="1050" w:type="dxa"/>
            <w:vAlign w:val="center"/>
          </w:tcPr>
          <w:p w14:paraId="5BC775D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p>
        </w:tc>
        <w:tc>
          <w:tcPr>
            <w:tcW w:w="1451" w:type="dxa"/>
            <w:vAlign w:val="center"/>
          </w:tcPr>
          <w:p w14:paraId="6EE11C4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1.88～1.97</w:t>
            </w:r>
          </w:p>
        </w:tc>
        <w:tc>
          <w:tcPr>
            <w:tcW w:w="1451" w:type="dxa"/>
            <w:vAlign w:val="center"/>
          </w:tcPr>
          <w:p w14:paraId="2EA2F13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1.79～1.88</w:t>
            </w:r>
          </w:p>
        </w:tc>
        <w:tc>
          <w:tcPr>
            <w:tcW w:w="1451" w:type="dxa"/>
            <w:vAlign w:val="center"/>
          </w:tcPr>
          <w:p w14:paraId="6E1C1EF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1.57～1.67</w:t>
            </w:r>
          </w:p>
        </w:tc>
        <w:tc>
          <w:tcPr>
            <w:tcW w:w="1453" w:type="dxa"/>
            <w:vAlign w:val="center"/>
          </w:tcPr>
          <w:p w14:paraId="2DF286D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1.43～1.53</w:t>
            </w:r>
          </w:p>
        </w:tc>
      </w:tr>
      <w:tr w14:paraId="5DC28D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451A2A6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&gt;7%</w:t>
            </w:r>
          </w:p>
        </w:tc>
        <w:tc>
          <w:tcPr>
            <w:tcW w:w="1050" w:type="dxa"/>
            <w:vAlign w:val="center"/>
          </w:tcPr>
          <w:p w14:paraId="1D04BF2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c>
          <w:tcPr>
            <w:tcW w:w="1451" w:type="dxa"/>
            <w:vAlign w:val="center"/>
          </w:tcPr>
          <w:p w14:paraId="088C3AF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1.96～2.03</w:t>
            </w:r>
          </w:p>
        </w:tc>
        <w:tc>
          <w:tcPr>
            <w:tcW w:w="1451" w:type="dxa"/>
            <w:vAlign w:val="center"/>
          </w:tcPr>
          <w:p w14:paraId="6825D68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1.89～1.96</w:t>
            </w:r>
          </w:p>
        </w:tc>
        <w:tc>
          <w:tcPr>
            <w:tcW w:w="1451" w:type="dxa"/>
            <w:vAlign w:val="center"/>
          </w:tcPr>
          <w:p w14:paraId="2C4C546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1.63～1.69</w:t>
            </w:r>
          </w:p>
        </w:tc>
        <w:tc>
          <w:tcPr>
            <w:tcW w:w="1453" w:type="dxa"/>
            <w:vAlign w:val="center"/>
          </w:tcPr>
          <w:p w14:paraId="1CE1251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1.57～1.63</w:t>
            </w:r>
          </w:p>
        </w:tc>
      </w:tr>
      <w:tr w14:paraId="716248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48E0921A">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&gt;7%</w:t>
            </w:r>
          </w:p>
        </w:tc>
        <w:tc>
          <w:tcPr>
            <w:tcW w:w="1050" w:type="dxa"/>
            <w:vAlign w:val="center"/>
          </w:tcPr>
          <w:p w14:paraId="3C1BF95B">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&gt;2</w:t>
            </w:r>
          </w:p>
        </w:tc>
        <w:tc>
          <w:tcPr>
            <w:tcW w:w="1451" w:type="dxa"/>
            <w:vAlign w:val="center"/>
          </w:tcPr>
          <w:p w14:paraId="1A86A3C7">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2.41～2.47</w:t>
            </w:r>
          </w:p>
        </w:tc>
        <w:tc>
          <w:tcPr>
            <w:tcW w:w="1451" w:type="dxa"/>
            <w:vAlign w:val="center"/>
          </w:tcPr>
          <w:p w14:paraId="3B1A889F">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2.35～2.41</w:t>
            </w:r>
          </w:p>
        </w:tc>
        <w:tc>
          <w:tcPr>
            <w:tcW w:w="1451" w:type="dxa"/>
            <w:vAlign w:val="center"/>
          </w:tcPr>
          <w:p w14:paraId="57C19293">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2.19～2.29</w:t>
            </w:r>
          </w:p>
        </w:tc>
        <w:tc>
          <w:tcPr>
            <w:tcW w:w="1453" w:type="dxa"/>
            <w:vAlign w:val="center"/>
          </w:tcPr>
          <w:p w14:paraId="6E625A5D">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2.09～2.19</w:t>
            </w:r>
          </w:p>
        </w:tc>
      </w:tr>
    </w:tbl>
    <w:p w14:paraId="60493EBE">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表11 容载比推荐（电缆占比(10%,30%]、分散系数&gt;1.15）</w:t>
      </w:r>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789957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trPr>
        <w:tc>
          <w:tcPr>
            <w:tcW w:w="1450" w:type="dxa"/>
            <w:vAlign w:val="center"/>
          </w:tcPr>
          <w:p w14:paraId="1632632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年最大净负荷平均增长率</w:t>
            </w:r>
          </w:p>
        </w:tc>
        <w:tc>
          <w:tcPr>
            <w:tcW w:w="1050" w:type="dxa"/>
            <w:vAlign w:val="center"/>
          </w:tcPr>
          <w:p w14:paraId="2B119F0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装机渗透率</w:t>
            </w:r>
          </w:p>
        </w:tc>
        <w:tc>
          <w:tcPr>
            <w:tcW w:w="1451" w:type="dxa"/>
            <w:vAlign w:val="center"/>
          </w:tcPr>
          <w:p w14:paraId="549DC5B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≤30%</w:t>
            </w:r>
          </w:p>
        </w:tc>
        <w:tc>
          <w:tcPr>
            <w:tcW w:w="1451" w:type="dxa"/>
            <w:vAlign w:val="center"/>
          </w:tcPr>
          <w:p w14:paraId="0248BB4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(30%,50%]</w:t>
            </w:r>
          </w:p>
        </w:tc>
        <w:tc>
          <w:tcPr>
            <w:tcW w:w="1451" w:type="dxa"/>
            <w:vAlign w:val="center"/>
          </w:tcPr>
          <w:p w14:paraId="4FF0936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(50%,70%]</w:t>
            </w:r>
          </w:p>
        </w:tc>
        <w:tc>
          <w:tcPr>
            <w:tcW w:w="1453" w:type="dxa"/>
            <w:vAlign w:val="center"/>
          </w:tcPr>
          <w:p w14:paraId="6E2B643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&gt;70%</w:t>
            </w:r>
          </w:p>
        </w:tc>
      </w:tr>
      <w:tr w14:paraId="5B802D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0F859C4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p>
        </w:tc>
        <w:tc>
          <w:tcPr>
            <w:tcW w:w="1050" w:type="dxa"/>
            <w:vAlign w:val="center"/>
          </w:tcPr>
          <w:p w14:paraId="5CB8A58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p>
        </w:tc>
        <w:tc>
          <w:tcPr>
            <w:tcW w:w="1451" w:type="dxa"/>
            <w:vAlign w:val="center"/>
          </w:tcPr>
          <w:p w14:paraId="3D43C17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2.17～2.27</w:t>
            </w:r>
          </w:p>
        </w:tc>
        <w:tc>
          <w:tcPr>
            <w:tcW w:w="1451" w:type="dxa"/>
            <w:vAlign w:val="center"/>
          </w:tcPr>
          <w:p w14:paraId="12FC3FA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1.95～2.05</w:t>
            </w:r>
          </w:p>
        </w:tc>
        <w:tc>
          <w:tcPr>
            <w:tcW w:w="1451" w:type="dxa"/>
            <w:vAlign w:val="center"/>
          </w:tcPr>
          <w:p w14:paraId="5168236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1.95～2.05</w:t>
            </w:r>
          </w:p>
        </w:tc>
        <w:tc>
          <w:tcPr>
            <w:tcW w:w="1453" w:type="dxa"/>
            <w:vAlign w:val="center"/>
          </w:tcPr>
          <w:p w14:paraId="1DEF063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1.95～2.05</w:t>
            </w:r>
          </w:p>
        </w:tc>
      </w:tr>
      <w:tr w14:paraId="6CC747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40B3D7B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p>
        </w:tc>
        <w:tc>
          <w:tcPr>
            <w:tcW w:w="1050" w:type="dxa"/>
            <w:vAlign w:val="center"/>
          </w:tcPr>
          <w:p w14:paraId="3EA4499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c>
          <w:tcPr>
            <w:tcW w:w="1451" w:type="dxa"/>
            <w:vAlign w:val="center"/>
          </w:tcPr>
          <w:p w14:paraId="459326B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2.27～2.37</w:t>
            </w:r>
          </w:p>
        </w:tc>
        <w:tc>
          <w:tcPr>
            <w:tcW w:w="1451" w:type="dxa"/>
            <w:vAlign w:val="center"/>
          </w:tcPr>
          <w:p w14:paraId="550994E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1.99～2.09</w:t>
            </w:r>
          </w:p>
        </w:tc>
        <w:tc>
          <w:tcPr>
            <w:tcW w:w="1451" w:type="dxa"/>
            <w:vAlign w:val="center"/>
          </w:tcPr>
          <w:p w14:paraId="2142B15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1.99～2.09</w:t>
            </w:r>
          </w:p>
        </w:tc>
        <w:tc>
          <w:tcPr>
            <w:tcW w:w="1453" w:type="dxa"/>
            <w:vAlign w:val="center"/>
          </w:tcPr>
          <w:p w14:paraId="2807325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1.99～2.09</w:t>
            </w:r>
          </w:p>
        </w:tc>
      </w:tr>
      <w:tr w14:paraId="2638A4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6158EA4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p>
        </w:tc>
        <w:tc>
          <w:tcPr>
            <w:tcW w:w="1050" w:type="dxa"/>
            <w:vAlign w:val="center"/>
          </w:tcPr>
          <w:p w14:paraId="4C77438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&gt;2</w:t>
            </w:r>
          </w:p>
        </w:tc>
        <w:tc>
          <w:tcPr>
            <w:tcW w:w="1451" w:type="dxa"/>
            <w:vAlign w:val="center"/>
          </w:tcPr>
          <w:p w14:paraId="749176B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2.79～2.89</w:t>
            </w:r>
          </w:p>
        </w:tc>
        <w:tc>
          <w:tcPr>
            <w:tcW w:w="1451" w:type="dxa"/>
            <w:vAlign w:val="center"/>
          </w:tcPr>
          <w:p w14:paraId="63E1164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2.57～2.67</w:t>
            </w:r>
          </w:p>
        </w:tc>
        <w:tc>
          <w:tcPr>
            <w:tcW w:w="1451" w:type="dxa"/>
            <w:vAlign w:val="center"/>
          </w:tcPr>
          <w:p w14:paraId="183E7C7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2.57～2.67</w:t>
            </w:r>
          </w:p>
        </w:tc>
        <w:tc>
          <w:tcPr>
            <w:tcW w:w="1453" w:type="dxa"/>
            <w:vAlign w:val="center"/>
          </w:tcPr>
          <w:p w14:paraId="063A489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2.57～2.67</w:t>
            </w:r>
          </w:p>
        </w:tc>
      </w:tr>
      <w:tr w14:paraId="5E6079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6F08D3A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w:t>
            </w:r>
          </w:p>
        </w:tc>
        <w:tc>
          <w:tcPr>
            <w:tcW w:w="1050" w:type="dxa"/>
            <w:vAlign w:val="center"/>
          </w:tcPr>
          <w:p w14:paraId="2745C18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p>
        </w:tc>
        <w:tc>
          <w:tcPr>
            <w:tcW w:w="1451" w:type="dxa"/>
            <w:vAlign w:val="center"/>
          </w:tcPr>
          <w:p w14:paraId="45C9C02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2.17～2.27</w:t>
            </w:r>
          </w:p>
        </w:tc>
        <w:tc>
          <w:tcPr>
            <w:tcW w:w="1451" w:type="dxa"/>
            <w:vAlign w:val="center"/>
          </w:tcPr>
          <w:p w14:paraId="60C96C8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1.91～2.01</w:t>
            </w:r>
          </w:p>
        </w:tc>
        <w:tc>
          <w:tcPr>
            <w:tcW w:w="1451" w:type="dxa"/>
            <w:vAlign w:val="center"/>
          </w:tcPr>
          <w:p w14:paraId="3999214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c>
          <w:tcPr>
            <w:tcW w:w="1453" w:type="dxa"/>
            <w:vAlign w:val="center"/>
          </w:tcPr>
          <w:p w14:paraId="390AD97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r>
      <w:tr w14:paraId="0147CF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2181388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w:t>
            </w:r>
          </w:p>
        </w:tc>
        <w:tc>
          <w:tcPr>
            <w:tcW w:w="1050" w:type="dxa"/>
            <w:vAlign w:val="center"/>
          </w:tcPr>
          <w:p w14:paraId="6FFB7FE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c>
          <w:tcPr>
            <w:tcW w:w="1451" w:type="dxa"/>
            <w:vAlign w:val="center"/>
          </w:tcPr>
          <w:p w14:paraId="533BE5E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2.27～2.37</w:t>
            </w:r>
          </w:p>
        </w:tc>
        <w:tc>
          <w:tcPr>
            <w:tcW w:w="1451" w:type="dxa"/>
            <w:vAlign w:val="center"/>
          </w:tcPr>
          <w:p w14:paraId="04C6509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2.01～2.11</w:t>
            </w:r>
          </w:p>
        </w:tc>
        <w:tc>
          <w:tcPr>
            <w:tcW w:w="1451" w:type="dxa"/>
            <w:vAlign w:val="center"/>
          </w:tcPr>
          <w:p w14:paraId="32CC33C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1.83～1.93</w:t>
            </w:r>
          </w:p>
        </w:tc>
        <w:tc>
          <w:tcPr>
            <w:tcW w:w="1453" w:type="dxa"/>
            <w:vAlign w:val="center"/>
          </w:tcPr>
          <w:p w14:paraId="60DECD2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1.83～1.93</w:t>
            </w:r>
          </w:p>
        </w:tc>
      </w:tr>
      <w:tr w14:paraId="4B81B4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5780EB3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w:t>
            </w:r>
          </w:p>
        </w:tc>
        <w:tc>
          <w:tcPr>
            <w:tcW w:w="1050" w:type="dxa"/>
            <w:vAlign w:val="center"/>
          </w:tcPr>
          <w:p w14:paraId="72D8913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&gt;2</w:t>
            </w:r>
          </w:p>
        </w:tc>
        <w:tc>
          <w:tcPr>
            <w:tcW w:w="1451" w:type="dxa"/>
            <w:vAlign w:val="center"/>
          </w:tcPr>
          <w:p w14:paraId="1C01499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2.75～2.85</w:t>
            </w:r>
          </w:p>
        </w:tc>
        <w:tc>
          <w:tcPr>
            <w:tcW w:w="1451" w:type="dxa"/>
            <w:vAlign w:val="center"/>
          </w:tcPr>
          <w:p w14:paraId="4B83D65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2.47～2.57</w:t>
            </w:r>
          </w:p>
        </w:tc>
        <w:tc>
          <w:tcPr>
            <w:tcW w:w="1451" w:type="dxa"/>
            <w:vAlign w:val="center"/>
          </w:tcPr>
          <w:p w14:paraId="7368375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2.37～2.47</w:t>
            </w:r>
          </w:p>
        </w:tc>
        <w:tc>
          <w:tcPr>
            <w:tcW w:w="1453" w:type="dxa"/>
            <w:vAlign w:val="center"/>
          </w:tcPr>
          <w:p w14:paraId="5AF59D6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2.37～2.47</w:t>
            </w:r>
          </w:p>
        </w:tc>
      </w:tr>
      <w:tr w14:paraId="6E404D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1F7FABF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(4%,7%]</w:t>
            </w:r>
          </w:p>
        </w:tc>
        <w:tc>
          <w:tcPr>
            <w:tcW w:w="1050" w:type="dxa"/>
            <w:vAlign w:val="center"/>
          </w:tcPr>
          <w:p w14:paraId="20FF1F7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p>
        </w:tc>
        <w:tc>
          <w:tcPr>
            <w:tcW w:w="1451" w:type="dxa"/>
            <w:vAlign w:val="center"/>
          </w:tcPr>
          <w:p w14:paraId="2930580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2.08～2.15</w:t>
            </w:r>
          </w:p>
        </w:tc>
        <w:tc>
          <w:tcPr>
            <w:tcW w:w="1451" w:type="dxa"/>
            <w:vAlign w:val="center"/>
          </w:tcPr>
          <w:p w14:paraId="55ADB2A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2.01～2.08</w:t>
            </w:r>
          </w:p>
        </w:tc>
        <w:tc>
          <w:tcPr>
            <w:tcW w:w="1451" w:type="dxa"/>
            <w:vAlign w:val="center"/>
          </w:tcPr>
          <w:p w14:paraId="48BA569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c>
          <w:tcPr>
            <w:tcW w:w="1453" w:type="dxa"/>
            <w:vAlign w:val="center"/>
          </w:tcPr>
          <w:p w14:paraId="32F0E7A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1.57～1.67</w:t>
            </w:r>
          </w:p>
        </w:tc>
      </w:tr>
      <w:tr w14:paraId="650ABB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42D560D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(4%,7%]</w:t>
            </w:r>
          </w:p>
        </w:tc>
        <w:tc>
          <w:tcPr>
            <w:tcW w:w="1050" w:type="dxa"/>
            <w:vAlign w:val="center"/>
          </w:tcPr>
          <w:p w14:paraId="7F18EED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c>
          <w:tcPr>
            <w:tcW w:w="1451" w:type="dxa"/>
            <w:vAlign w:val="center"/>
          </w:tcPr>
          <w:p w14:paraId="2751E70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2.08～2.15</w:t>
            </w:r>
          </w:p>
        </w:tc>
        <w:tc>
          <w:tcPr>
            <w:tcW w:w="1451" w:type="dxa"/>
            <w:vAlign w:val="center"/>
          </w:tcPr>
          <w:p w14:paraId="234687A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2.01～2.08</w:t>
            </w:r>
          </w:p>
        </w:tc>
        <w:tc>
          <w:tcPr>
            <w:tcW w:w="1451" w:type="dxa"/>
            <w:vAlign w:val="center"/>
          </w:tcPr>
          <w:p w14:paraId="2E0A772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c>
          <w:tcPr>
            <w:tcW w:w="1453" w:type="dxa"/>
            <w:vAlign w:val="center"/>
          </w:tcPr>
          <w:p w14:paraId="1A3DAF9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r>
      <w:tr w14:paraId="39C99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742068E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(4%,7%]</w:t>
            </w:r>
          </w:p>
        </w:tc>
        <w:tc>
          <w:tcPr>
            <w:tcW w:w="1050" w:type="dxa"/>
            <w:vAlign w:val="center"/>
          </w:tcPr>
          <w:p w14:paraId="3BAF223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&gt;2</w:t>
            </w:r>
          </w:p>
        </w:tc>
        <w:tc>
          <w:tcPr>
            <w:tcW w:w="1451" w:type="dxa"/>
            <w:vAlign w:val="center"/>
          </w:tcPr>
          <w:p w14:paraId="73FEF6F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2.52～2.59</w:t>
            </w:r>
          </w:p>
        </w:tc>
        <w:tc>
          <w:tcPr>
            <w:tcW w:w="1451" w:type="dxa"/>
            <w:vAlign w:val="center"/>
          </w:tcPr>
          <w:p w14:paraId="5FF9638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2.45～2.52</w:t>
            </w:r>
          </w:p>
        </w:tc>
        <w:tc>
          <w:tcPr>
            <w:tcW w:w="1451" w:type="dxa"/>
            <w:vAlign w:val="center"/>
          </w:tcPr>
          <w:p w14:paraId="5DC701F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2.34～2.43</w:t>
            </w:r>
          </w:p>
        </w:tc>
        <w:tc>
          <w:tcPr>
            <w:tcW w:w="1453" w:type="dxa"/>
            <w:vAlign w:val="center"/>
          </w:tcPr>
          <w:p w14:paraId="28A8FC4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2.25～2.34</w:t>
            </w:r>
          </w:p>
        </w:tc>
      </w:tr>
      <w:tr w14:paraId="56CAC2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0B49739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&gt;7%</w:t>
            </w:r>
          </w:p>
        </w:tc>
        <w:tc>
          <w:tcPr>
            <w:tcW w:w="1050" w:type="dxa"/>
            <w:vAlign w:val="center"/>
          </w:tcPr>
          <w:p w14:paraId="51C170B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p>
        </w:tc>
        <w:tc>
          <w:tcPr>
            <w:tcW w:w="1451" w:type="dxa"/>
            <w:vAlign w:val="center"/>
          </w:tcPr>
          <w:p w14:paraId="3561972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2.02～2.11</w:t>
            </w:r>
          </w:p>
        </w:tc>
        <w:tc>
          <w:tcPr>
            <w:tcW w:w="1451" w:type="dxa"/>
            <w:vAlign w:val="center"/>
          </w:tcPr>
          <w:p w14:paraId="2327A46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1.93～2.02</w:t>
            </w:r>
          </w:p>
        </w:tc>
        <w:tc>
          <w:tcPr>
            <w:tcW w:w="1451" w:type="dxa"/>
            <w:vAlign w:val="center"/>
          </w:tcPr>
          <w:p w14:paraId="6F40143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c>
          <w:tcPr>
            <w:tcW w:w="1453" w:type="dxa"/>
            <w:vAlign w:val="center"/>
          </w:tcPr>
          <w:p w14:paraId="4941B4A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1.45～1.55</w:t>
            </w:r>
          </w:p>
        </w:tc>
      </w:tr>
      <w:tr w14:paraId="07D803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6EB0E3A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&gt;7%</w:t>
            </w:r>
          </w:p>
        </w:tc>
        <w:tc>
          <w:tcPr>
            <w:tcW w:w="1050" w:type="dxa"/>
            <w:vAlign w:val="center"/>
          </w:tcPr>
          <w:p w14:paraId="58DAB76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c>
          <w:tcPr>
            <w:tcW w:w="1451" w:type="dxa"/>
            <w:vAlign w:val="center"/>
          </w:tcPr>
          <w:p w14:paraId="07FF031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2.01～2.07</w:t>
            </w:r>
          </w:p>
        </w:tc>
        <w:tc>
          <w:tcPr>
            <w:tcW w:w="1451" w:type="dxa"/>
            <w:vAlign w:val="center"/>
          </w:tcPr>
          <w:p w14:paraId="6C41D5C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2.07～2.13</w:t>
            </w:r>
          </w:p>
        </w:tc>
        <w:tc>
          <w:tcPr>
            <w:tcW w:w="1451" w:type="dxa"/>
            <w:vAlign w:val="center"/>
          </w:tcPr>
          <w:p w14:paraId="3AF2A0A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1.89～1.99</w:t>
            </w:r>
          </w:p>
        </w:tc>
        <w:tc>
          <w:tcPr>
            <w:tcW w:w="1453" w:type="dxa"/>
            <w:vAlign w:val="center"/>
          </w:tcPr>
          <w:p w14:paraId="7E07709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1.57～1.67</w:t>
            </w:r>
          </w:p>
        </w:tc>
      </w:tr>
      <w:tr w14:paraId="7D4B18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47DE6E99">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&gt;7%</w:t>
            </w:r>
          </w:p>
        </w:tc>
        <w:tc>
          <w:tcPr>
            <w:tcW w:w="1050" w:type="dxa"/>
            <w:vAlign w:val="center"/>
          </w:tcPr>
          <w:p w14:paraId="4378E1CC">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&gt;2</w:t>
            </w:r>
          </w:p>
        </w:tc>
        <w:tc>
          <w:tcPr>
            <w:tcW w:w="1451" w:type="dxa"/>
            <w:vAlign w:val="center"/>
          </w:tcPr>
          <w:p w14:paraId="59E51688">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2.46～2.55</w:t>
            </w:r>
          </w:p>
        </w:tc>
        <w:tc>
          <w:tcPr>
            <w:tcW w:w="1451" w:type="dxa"/>
            <w:vAlign w:val="center"/>
          </w:tcPr>
          <w:p w14:paraId="79515D37">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2.37～2.46</w:t>
            </w:r>
          </w:p>
        </w:tc>
        <w:tc>
          <w:tcPr>
            <w:tcW w:w="1451" w:type="dxa"/>
            <w:vAlign w:val="center"/>
          </w:tcPr>
          <w:p w14:paraId="68C66229">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2.27～2.37</w:t>
            </w:r>
          </w:p>
        </w:tc>
        <w:tc>
          <w:tcPr>
            <w:tcW w:w="1453" w:type="dxa"/>
            <w:vAlign w:val="center"/>
          </w:tcPr>
          <w:p w14:paraId="52780ABE">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2.09～2.19</w:t>
            </w:r>
          </w:p>
        </w:tc>
      </w:tr>
    </w:tbl>
    <w:p w14:paraId="0F7EA11F">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表12 容载比推荐（电缆占比&gt;30%、分散系数≤1.15）</w:t>
      </w:r>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00F99E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trPr>
        <w:tc>
          <w:tcPr>
            <w:tcW w:w="1450" w:type="dxa"/>
            <w:vAlign w:val="center"/>
          </w:tcPr>
          <w:p w14:paraId="21802C2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年最大净负荷平均增长率</w:t>
            </w:r>
          </w:p>
        </w:tc>
        <w:tc>
          <w:tcPr>
            <w:tcW w:w="1050" w:type="dxa"/>
            <w:vAlign w:val="center"/>
          </w:tcPr>
          <w:p w14:paraId="3B43016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装机渗透率</w:t>
            </w:r>
          </w:p>
        </w:tc>
        <w:tc>
          <w:tcPr>
            <w:tcW w:w="1451" w:type="dxa"/>
            <w:vAlign w:val="center"/>
          </w:tcPr>
          <w:p w14:paraId="5A536BB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≤30%</w:t>
            </w:r>
          </w:p>
        </w:tc>
        <w:tc>
          <w:tcPr>
            <w:tcW w:w="1451" w:type="dxa"/>
            <w:vAlign w:val="center"/>
          </w:tcPr>
          <w:p w14:paraId="641BD41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(30%,50%]</w:t>
            </w:r>
          </w:p>
        </w:tc>
        <w:tc>
          <w:tcPr>
            <w:tcW w:w="1451" w:type="dxa"/>
            <w:vAlign w:val="center"/>
          </w:tcPr>
          <w:p w14:paraId="22EB597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(50%,70%]</w:t>
            </w:r>
          </w:p>
        </w:tc>
        <w:tc>
          <w:tcPr>
            <w:tcW w:w="1453" w:type="dxa"/>
            <w:vAlign w:val="center"/>
          </w:tcPr>
          <w:p w14:paraId="1AF8E52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&gt;70%</w:t>
            </w:r>
          </w:p>
        </w:tc>
      </w:tr>
      <w:tr w14:paraId="43CA9E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5C4A205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p>
        </w:tc>
        <w:tc>
          <w:tcPr>
            <w:tcW w:w="1050" w:type="dxa"/>
            <w:vAlign w:val="center"/>
          </w:tcPr>
          <w:p w14:paraId="79B7B8D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p>
        </w:tc>
        <w:tc>
          <w:tcPr>
            <w:tcW w:w="1451" w:type="dxa"/>
            <w:vAlign w:val="center"/>
          </w:tcPr>
          <w:p w14:paraId="57D7787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2.02～2.09</w:t>
            </w:r>
          </w:p>
        </w:tc>
        <w:tc>
          <w:tcPr>
            <w:tcW w:w="1451" w:type="dxa"/>
            <w:vAlign w:val="center"/>
          </w:tcPr>
          <w:p w14:paraId="7DAA12C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1.95～2.02</w:t>
            </w:r>
          </w:p>
        </w:tc>
        <w:tc>
          <w:tcPr>
            <w:tcW w:w="1451" w:type="dxa"/>
            <w:vAlign w:val="center"/>
          </w:tcPr>
          <w:p w14:paraId="12E7556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1.95～2.02</w:t>
            </w:r>
          </w:p>
        </w:tc>
        <w:tc>
          <w:tcPr>
            <w:tcW w:w="1453" w:type="dxa"/>
            <w:vAlign w:val="center"/>
          </w:tcPr>
          <w:p w14:paraId="66FD5E6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1.95～2.02</w:t>
            </w:r>
          </w:p>
        </w:tc>
      </w:tr>
      <w:tr w14:paraId="3A8B67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5E561FF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p>
        </w:tc>
        <w:tc>
          <w:tcPr>
            <w:tcW w:w="1050" w:type="dxa"/>
            <w:vAlign w:val="center"/>
          </w:tcPr>
          <w:p w14:paraId="3C48CA4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c>
          <w:tcPr>
            <w:tcW w:w="1451" w:type="dxa"/>
            <w:vAlign w:val="center"/>
          </w:tcPr>
          <w:p w14:paraId="22BC5C8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2.15～2.25</w:t>
            </w:r>
          </w:p>
        </w:tc>
        <w:tc>
          <w:tcPr>
            <w:tcW w:w="1451" w:type="dxa"/>
            <w:vAlign w:val="center"/>
          </w:tcPr>
          <w:p w14:paraId="709DB5D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1.99～2.09</w:t>
            </w:r>
          </w:p>
        </w:tc>
        <w:tc>
          <w:tcPr>
            <w:tcW w:w="1451" w:type="dxa"/>
            <w:vAlign w:val="center"/>
          </w:tcPr>
          <w:p w14:paraId="21F17B9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1.99～2.09</w:t>
            </w:r>
          </w:p>
        </w:tc>
        <w:tc>
          <w:tcPr>
            <w:tcW w:w="1453" w:type="dxa"/>
            <w:vAlign w:val="center"/>
          </w:tcPr>
          <w:p w14:paraId="4726A64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1.99～2.09</w:t>
            </w:r>
          </w:p>
        </w:tc>
      </w:tr>
      <w:tr w14:paraId="6E0194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1597134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p>
        </w:tc>
        <w:tc>
          <w:tcPr>
            <w:tcW w:w="1050" w:type="dxa"/>
            <w:vAlign w:val="center"/>
          </w:tcPr>
          <w:p w14:paraId="6343BD3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&gt;2</w:t>
            </w:r>
          </w:p>
        </w:tc>
        <w:tc>
          <w:tcPr>
            <w:tcW w:w="1451" w:type="dxa"/>
            <w:vAlign w:val="center"/>
          </w:tcPr>
          <w:p w14:paraId="5265740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2.79～2.89</w:t>
            </w:r>
          </w:p>
        </w:tc>
        <w:tc>
          <w:tcPr>
            <w:tcW w:w="1451" w:type="dxa"/>
            <w:vAlign w:val="center"/>
          </w:tcPr>
          <w:p w14:paraId="21D7AA8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2.57～2.67</w:t>
            </w:r>
          </w:p>
        </w:tc>
        <w:tc>
          <w:tcPr>
            <w:tcW w:w="1451" w:type="dxa"/>
            <w:vAlign w:val="center"/>
          </w:tcPr>
          <w:p w14:paraId="7FF791F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2.57～2.67</w:t>
            </w:r>
          </w:p>
        </w:tc>
        <w:tc>
          <w:tcPr>
            <w:tcW w:w="1453" w:type="dxa"/>
            <w:vAlign w:val="center"/>
          </w:tcPr>
          <w:p w14:paraId="3EB3423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2.57～2.67</w:t>
            </w:r>
          </w:p>
        </w:tc>
      </w:tr>
      <w:tr w14:paraId="0CAD14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213D3D8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w:t>
            </w:r>
          </w:p>
        </w:tc>
        <w:tc>
          <w:tcPr>
            <w:tcW w:w="1050" w:type="dxa"/>
            <w:vAlign w:val="center"/>
          </w:tcPr>
          <w:p w14:paraId="0DC90F4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p>
        </w:tc>
        <w:tc>
          <w:tcPr>
            <w:tcW w:w="1451" w:type="dxa"/>
            <w:vAlign w:val="center"/>
          </w:tcPr>
          <w:p w14:paraId="1E2DDE7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2.01～2.11</w:t>
            </w:r>
          </w:p>
        </w:tc>
        <w:tc>
          <w:tcPr>
            <w:tcW w:w="1451" w:type="dxa"/>
            <w:vAlign w:val="center"/>
          </w:tcPr>
          <w:p w14:paraId="04091F2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1.83～1.93</w:t>
            </w:r>
          </w:p>
        </w:tc>
        <w:tc>
          <w:tcPr>
            <w:tcW w:w="1451" w:type="dxa"/>
            <w:vAlign w:val="center"/>
          </w:tcPr>
          <w:p w14:paraId="6448649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c>
          <w:tcPr>
            <w:tcW w:w="1453" w:type="dxa"/>
            <w:vAlign w:val="center"/>
          </w:tcPr>
          <w:p w14:paraId="2858EAB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r>
      <w:tr w14:paraId="79BC5D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2B86A4E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w:t>
            </w:r>
          </w:p>
        </w:tc>
        <w:tc>
          <w:tcPr>
            <w:tcW w:w="1050" w:type="dxa"/>
            <w:vAlign w:val="center"/>
          </w:tcPr>
          <w:p w14:paraId="7DC956F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c>
          <w:tcPr>
            <w:tcW w:w="1451" w:type="dxa"/>
            <w:vAlign w:val="center"/>
          </w:tcPr>
          <w:p w14:paraId="7F5671B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2.09～2.19</w:t>
            </w:r>
          </w:p>
        </w:tc>
        <w:tc>
          <w:tcPr>
            <w:tcW w:w="1451" w:type="dxa"/>
            <w:vAlign w:val="center"/>
          </w:tcPr>
          <w:p w14:paraId="76BCDB9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1.92～2.01</w:t>
            </w:r>
          </w:p>
        </w:tc>
        <w:tc>
          <w:tcPr>
            <w:tcW w:w="1451" w:type="dxa"/>
            <w:vAlign w:val="center"/>
          </w:tcPr>
          <w:p w14:paraId="4412FDA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1.83～1.92</w:t>
            </w:r>
          </w:p>
        </w:tc>
        <w:tc>
          <w:tcPr>
            <w:tcW w:w="1453" w:type="dxa"/>
            <w:vAlign w:val="center"/>
          </w:tcPr>
          <w:p w14:paraId="4A0A33A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1.83～1.92</w:t>
            </w:r>
          </w:p>
        </w:tc>
      </w:tr>
      <w:tr w14:paraId="7DBCC4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1BA7424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w:t>
            </w:r>
          </w:p>
        </w:tc>
        <w:tc>
          <w:tcPr>
            <w:tcW w:w="1050" w:type="dxa"/>
            <w:vAlign w:val="center"/>
          </w:tcPr>
          <w:p w14:paraId="080D34C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&gt;2</w:t>
            </w:r>
          </w:p>
        </w:tc>
        <w:tc>
          <w:tcPr>
            <w:tcW w:w="1451" w:type="dxa"/>
            <w:vAlign w:val="center"/>
          </w:tcPr>
          <w:p w14:paraId="43087A7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2.65～2.75</w:t>
            </w:r>
          </w:p>
        </w:tc>
        <w:tc>
          <w:tcPr>
            <w:tcW w:w="1451" w:type="dxa"/>
            <w:vAlign w:val="center"/>
          </w:tcPr>
          <w:p w14:paraId="168E250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2.47～2.57</w:t>
            </w:r>
          </w:p>
        </w:tc>
        <w:tc>
          <w:tcPr>
            <w:tcW w:w="1451" w:type="dxa"/>
            <w:vAlign w:val="center"/>
          </w:tcPr>
          <w:p w14:paraId="3C24D0D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2.37～2.47</w:t>
            </w:r>
          </w:p>
        </w:tc>
        <w:tc>
          <w:tcPr>
            <w:tcW w:w="1453" w:type="dxa"/>
            <w:vAlign w:val="center"/>
          </w:tcPr>
          <w:p w14:paraId="31CC03D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2.37～2.47</w:t>
            </w:r>
          </w:p>
        </w:tc>
      </w:tr>
      <w:tr w14:paraId="261B42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25C4A34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(4%,7%]</w:t>
            </w:r>
          </w:p>
        </w:tc>
        <w:tc>
          <w:tcPr>
            <w:tcW w:w="1050" w:type="dxa"/>
            <w:vAlign w:val="center"/>
          </w:tcPr>
          <w:p w14:paraId="279ACFC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p>
        </w:tc>
        <w:tc>
          <w:tcPr>
            <w:tcW w:w="1451" w:type="dxa"/>
            <w:vAlign w:val="center"/>
          </w:tcPr>
          <w:p w14:paraId="3EE0C78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1.93～2.03</w:t>
            </w:r>
          </w:p>
        </w:tc>
        <w:tc>
          <w:tcPr>
            <w:tcW w:w="1451" w:type="dxa"/>
            <w:vAlign w:val="center"/>
          </w:tcPr>
          <w:p w14:paraId="19D335D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1.79～1.89</w:t>
            </w:r>
          </w:p>
        </w:tc>
        <w:tc>
          <w:tcPr>
            <w:tcW w:w="1451" w:type="dxa"/>
            <w:vAlign w:val="center"/>
          </w:tcPr>
          <w:p w14:paraId="3EC7D72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1.65～1.73</w:t>
            </w:r>
          </w:p>
        </w:tc>
        <w:tc>
          <w:tcPr>
            <w:tcW w:w="1453" w:type="dxa"/>
            <w:vAlign w:val="center"/>
          </w:tcPr>
          <w:p w14:paraId="09FE360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1.57～1.65</w:t>
            </w:r>
          </w:p>
        </w:tc>
      </w:tr>
      <w:tr w14:paraId="2ADFFE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4575397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(4%,7%]</w:t>
            </w:r>
          </w:p>
        </w:tc>
        <w:tc>
          <w:tcPr>
            <w:tcW w:w="1050" w:type="dxa"/>
            <w:vAlign w:val="center"/>
          </w:tcPr>
          <w:p w14:paraId="7DEE428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c>
          <w:tcPr>
            <w:tcW w:w="1451" w:type="dxa"/>
            <w:vAlign w:val="center"/>
          </w:tcPr>
          <w:p w14:paraId="3C075C6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2.05～2.15</w:t>
            </w:r>
          </w:p>
        </w:tc>
        <w:tc>
          <w:tcPr>
            <w:tcW w:w="1451" w:type="dxa"/>
            <w:vAlign w:val="center"/>
          </w:tcPr>
          <w:p w14:paraId="29B6A89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1.89～1.99</w:t>
            </w:r>
          </w:p>
        </w:tc>
        <w:tc>
          <w:tcPr>
            <w:tcW w:w="1451" w:type="dxa"/>
            <w:vAlign w:val="center"/>
          </w:tcPr>
          <w:p w14:paraId="501F361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c>
          <w:tcPr>
            <w:tcW w:w="1453" w:type="dxa"/>
            <w:vAlign w:val="center"/>
          </w:tcPr>
          <w:p w14:paraId="102BFD2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r>
      <w:tr w14:paraId="4ACE78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6C050BF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(4%,7%]</w:t>
            </w:r>
          </w:p>
        </w:tc>
        <w:tc>
          <w:tcPr>
            <w:tcW w:w="1050" w:type="dxa"/>
            <w:vAlign w:val="center"/>
          </w:tcPr>
          <w:p w14:paraId="424F71C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&gt;2</w:t>
            </w:r>
          </w:p>
        </w:tc>
        <w:tc>
          <w:tcPr>
            <w:tcW w:w="1451" w:type="dxa"/>
            <w:vAlign w:val="center"/>
          </w:tcPr>
          <w:p w14:paraId="08F216A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2.45～2.55</w:t>
            </w:r>
          </w:p>
        </w:tc>
        <w:tc>
          <w:tcPr>
            <w:tcW w:w="1451" w:type="dxa"/>
            <w:vAlign w:val="center"/>
          </w:tcPr>
          <w:p w14:paraId="4D11634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2.45～2.55</w:t>
            </w:r>
          </w:p>
        </w:tc>
        <w:tc>
          <w:tcPr>
            <w:tcW w:w="1451" w:type="dxa"/>
            <w:vAlign w:val="center"/>
          </w:tcPr>
          <w:p w14:paraId="275105D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2.25～2.35</w:t>
            </w:r>
          </w:p>
        </w:tc>
        <w:tc>
          <w:tcPr>
            <w:tcW w:w="1453" w:type="dxa"/>
            <w:vAlign w:val="center"/>
          </w:tcPr>
          <w:p w14:paraId="3CF7E47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2.25～2.35</w:t>
            </w:r>
          </w:p>
        </w:tc>
      </w:tr>
      <w:tr w14:paraId="272067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732D397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&gt;7%</w:t>
            </w:r>
          </w:p>
        </w:tc>
        <w:tc>
          <w:tcPr>
            <w:tcW w:w="1050" w:type="dxa"/>
            <w:vAlign w:val="center"/>
          </w:tcPr>
          <w:p w14:paraId="5E03D9E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p>
        </w:tc>
        <w:tc>
          <w:tcPr>
            <w:tcW w:w="1451" w:type="dxa"/>
            <w:vAlign w:val="center"/>
          </w:tcPr>
          <w:p w14:paraId="6F06685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1.88～1.97</w:t>
            </w:r>
          </w:p>
        </w:tc>
        <w:tc>
          <w:tcPr>
            <w:tcW w:w="1451" w:type="dxa"/>
            <w:vAlign w:val="center"/>
          </w:tcPr>
          <w:p w14:paraId="664D607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1.79～1.88</w:t>
            </w:r>
          </w:p>
        </w:tc>
        <w:tc>
          <w:tcPr>
            <w:tcW w:w="1451" w:type="dxa"/>
            <w:vAlign w:val="center"/>
          </w:tcPr>
          <w:p w14:paraId="53F8E3F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1.57～1.67</w:t>
            </w:r>
          </w:p>
        </w:tc>
        <w:tc>
          <w:tcPr>
            <w:tcW w:w="1453" w:type="dxa"/>
            <w:vAlign w:val="center"/>
          </w:tcPr>
          <w:p w14:paraId="40E2A18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1.43～1.53</w:t>
            </w:r>
          </w:p>
        </w:tc>
      </w:tr>
      <w:tr w14:paraId="594589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0CDC955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&gt;7%</w:t>
            </w:r>
          </w:p>
        </w:tc>
        <w:tc>
          <w:tcPr>
            <w:tcW w:w="1050" w:type="dxa"/>
            <w:vAlign w:val="center"/>
          </w:tcPr>
          <w:p w14:paraId="5A8B3DD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c>
          <w:tcPr>
            <w:tcW w:w="1451" w:type="dxa"/>
            <w:vAlign w:val="center"/>
          </w:tcPr>
          <w:p w14:paraId="2B2C5E5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1.96～2.03</w:t>
            </w:r>
          </w:p>
        </w:tc>
        <w:tc>
          <w:tcPr>
            <w:tcW w:w="1451" w:type="dxa"/>
            <w:vAlign w:val="center"/>
          </w:tcPr>
          <w:p w14:paraId="78ADFD7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1.89～1.96</w:t>
            </w:r>
          </w:p>
        </w:tc>
        <w:tc>
          <w:tcPr>
            <w:tcW w:w="1451" w:type="dxa"/>
            <w:vAlign w:val="center"/>
          </w:tcPr>
          <w:p w14:paraId="57FF40B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c>
          <w:tcPr>
            <w:tcW w:w="1453" w:type="dxa"/>
            <w:vAlign w:val="center"/>
          </w:tcPr>
          <w:p w14:paraId="31B618B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1.57～1.67</w:t>
            </w:r>
          </w:p>
        </w:tc>
      </w:tr>
      <w:tr w14:paraId="01249D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4C901741">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&gt;7%</w:t>
            </w:r>
          </w:p>
        </w:tc>
        <w:tc>
          <w:tcPr>
            <w:tcW w:w="1050" w:type="dxa"/>
            <w:vAlign w:val="center"/>
          </w:tcPr>
          <w:p w14:paraId="00D62436">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&gt;2</w:t>
            </w:r>
          </w:p>
        </w:tc>
        <w:tc>
          <w:tcPr>
            <w:tcW w:w="1451" w:type="dxa"/>
            <w:vAlign w:val="center"/>
          </w:tcPr>
          <w:p w14:paraId="29B64837">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2.41～2.47</w:t>
            </w:r>
          </w:p>
        </w:tc>
        <w:tc>
          <w:tcPr>
            <w:tcW w:w="1451" w:type="dxa"/>
            <w:vAlign w:val="center"/>
          </w:tcPr>
          <w:p w14:paraId="34EB8A4C">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2.35～2.41</w:t>
            </w:r>
          </w:p>
        </w:tc>
        <w:tc>
          <w:tcPr>
            <w:tcW w:w="1451" w:type="dxa"/>
            <w:vAlign w:val="center"/>
          </w:tcPr>
          <w:p w14:paraId="2E73B6DB">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2.19～2.29</w:t>
            </w:r>
          </w:p>
        </w:tc>
        <w:tc>
          <w:tcPr>
            <w:tcW w:w="1453" w:type="dxa"/>
            <w:vAlign w:val="center"/>
          </w:tcPr>
          <w:p w14:paraId="1E4FE2A8">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2.19～2.29</w:t>
            </w:r>
          </w:p>
        </w:tc>
      </w:tr>
    </w:tbl>
    <w:p w14:paraId="1E3C939F">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表13 容载比推荐（电缆占比&gt;30%、分散系数&gt;1.15）</w:t>
      </w:r>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002238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trPr>
        <w:tc>
          <w:tcPr>
            <w:tcW w:w="1450" w:type="dxa"/>
            <w:vAlign w:val="center"/>
          </w:tcPr>
          <w:p w14:paraId="785D48F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年最大净负荷平均增长率</w:t>
            </w:r>
          </w:p>
        </w:tc>
        <w:tc>
          <w:tcPr>
            <w:tcW w:w="1050" w:type="dxa"/>
            <w:vAlign w:val="center"/>
          </w:tcPr>
          <w:p w14:paraId="4AB2621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装机渗透率</w:t>
            </w:r>
          </w:p>
        </w:tc>
        <w:tc>
          <w:tcPr>
            <w:tcW w:w="1451" w:type="dxa"/>
            <w:vAlign w:val="center"/>
          </w:tcPr>
          <w:p w14:paraId="5F211B4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≤30%</w:t>
            </w:r>
          </w:p>
        </w:tc>
        <w:tc>
          <w:tcPr>
            <w:tcW w:w="1451" w:type="dxa"/>
            <w:vAlign w:val="center"/>
          </w:tcPr>
          <w:p w14:paraId="723FFC2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(30%,50%]</w:t>
            </w:r>
          </w:p>
        </w:tc>
        <w:tc>
          <w:tcPr>
            <w:tcW w:w="1451" w:type="dxa"/>
            <w:vAlign w:val="center"/>
          </w:tcPr>
          <w:p w14:paraId="38E56DC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(50%,70%]</w:t>
            </w:r>
          </w:p>
        </w:tc>
        <w:tc>
          <w:tcPr>
            <w:tcW w:w="1453" w:type="dxa"/>
            <w:vAlign w:val="center"/>
          </w:tcPr>
          <w:p w14:paraId="33A0483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&gt;70%</w:t>
            </w:r>
          </w:p>
        </w:tc>
      </w:tr>
      <w:tr w14:paraId="2963C9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2022499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p>
        </w:tc>
        <w:tc>
          <w:tcPr>
            <w:tcW w:w="1050" w:type="dxa"/>
            <w:vAlign w:val="center"/>
          </w:tcPr>
          <w:p w14:paraId="600EA24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p>
        </w:tc>
        <w:tc>
          <w:tcPr>
            <w:tcW w:w="1451" w:type="dxa"/>
            <w:vAlign w:val="center"/>
          </w:tcPr>
          <w:p w14:paraId="3E5D6CD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2.17～2.27</w:t>
            </w:r>
          </w:p>
        </w:tc>
        <w:tc>
          <w:tcPr>
            <w:tcW w:w="1451" w:type="dxa"/>
            <w:vAlign w:val="center"/>
          </w:tcPr>
          <w:p w14:paraId="23E103B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2.02～2.09</w:t>
            </w:r>
          </w:p>
        </w:tc>
        <w:tc>
          <w:tcPr>
            <w:tcW w:w="1451" w:type="dxa"/>
            <w:vAlign w:val="center"/>
          </w:tcPr>
          <w:p w14:paraId="6B36817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1.95～2.02</w:t>
            </w:r>
          </w:p>
        </w:tc>
        <w:tc>
          <w:tcPr>
            <w:tcW w:w="1453" w:type="dxa"/>
            <w:vAlign w:val="center"/>
          </w:tcPr>
          <w:p w14:paraId="0346B80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1.95～2.02</w:t>
            </w:r>
          </w:p>
        </w:tc>
      </w:tr>
      <w:tr w14:paraId="2C4FD3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24BC02F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p>
        </w:tc>
        <w:tc>
          <w:tcPr>
            <w:tcW w:w="1050" w:type="dxa"/>
            <w:vAlign w:val="center"/>
          </w:tcPr>
          <w:p w14:paraId="6D9ED5E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c>
          <w:tcPr>
            <w:tcW w:w="1451" w:type="dxa"/>
            <w:vAlign w:val="center"/>
          </w:tcPr>
          <w:p w14:paraId="1681E4A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2.27～2.37</w:t>
            </w:r>
          </w:p>
        </w:tc>
        <w:tc>
          <w:tcPr>
            <w:tcW w:w="1451" w:type="dxa"/>
            <w:vAlign w:val="center"/>
          </w:tcPr>
          <w:p w14:paraId="483AE85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2.15～2.25</w:t>
            </w:r>
          </w:p>
        </w:tc>
        <w:tc>
          <w:tcPr>
            <w:tcW w:w="1451" w:type="dxa"/>
            <w:vAlign w:val="center"/>
          </w:tcPr>
          <w:p w14:paraId="0F9071F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1.99～2.09</w:t>
            </w:r>
          </w:p>
        </w:tc>
        <w:tc>
          <w:tcPr>
            <w:tcW w:w="1453" w:type="dxa"/>
            <w:vAlign w:val="center"/>
          </w:tcPr>
          <w:p w14:paraId="1B00D5F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1.99～2.09</w:t>
            </w:r>
          </w:p>
        </w:tc>
      </w:tr>
      <w:tr w14:paraId="3BE474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29EA081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p>
        </w:tc>
        <w:tc>
          <w:tcPr>
            <w:tcW w:w="1050" w:type="dxa"/>
            <w:vAlign w:val="center"/>
          </w:tcPr>
          <w:p w14:paraId="406423C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&gt;2</w:t>
            </w:r>
          </w:p>
        </w:tc>
        <w:tc>
          <w:tcPr>
            <w:tcW w:w="1451" w:type="dxa"/>
            <w:vAlign w:val="center"/>
          </w:tcPr>
          <w:p w14:paraId="5058953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2.79～2.89</w:t>
            </w:r>
          </w:p>
        </w:tc>
        <w:tc>
          <w:tcPr>
            <w:tcW w:w="1451" w:type="dxa"/>
            <w:vAlign w:val="center"/>
          </w:tcPr>
          <w:p w14:paraId="45D1C2B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2.63～2.69</w:t>
            </w:r>
          </w:p>
        </w:tc>
        <w:tc>
          <w:tcPr>
            <w:tcW w:w="1451" w:type="dxa"/>
            <w:vAlign w:val="center"/>
          </w:tcPr>
          <w:p w14:paraId="6CD7FB5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2.57～2.63</w:t>
            </w:r>
          </w:p>
        </w:tc>
        <w:tc>
          <w:tcPr>
            <w:tcW w:w="1453" w:type="dxa"/>
            <w:vAlign w:val="center"/>
          </w:tcPr>
          <w:p w14:paraId="31C6DB8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2.57～2.63</w:t>
            </w:r>
          </w:p>
        </w:tc>
      </w:tr>
      <w:tr w14:paraId="5420CB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6B37C82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w:t>
            </w:r>
          </w:p>
        </w:tc>
        <w:tc>
          <w:tcPr>
            <w:tcW w:w="1050" w:type="dxa"/>
            <w:vAlign w:val="center"/>
          </w:tcPr>
          <w:p w14:paraId="16A14C5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p>
        </w:tc>
        <w:tc>
          <w:tcPr>
            <w:tcW w:w="1451" w:type="dxa"/>
            <w:vAlign w:val="center"/>
          </w:tcPr>
          <w:p w14:paraId="53DE383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2.17～2.27</w:t>
            </w:r>
          </w:p>
        </w:tc>
        <w:tc>
          <w:tcPr>
            <w:tcW w:w="1451" w:type="dxa"/>
            <w:vAlign w:val="center"/>
          </w:tcPr>
          <w:p w14:paraId="4D93885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1.92～2.01</w:t>
            </w:r>
          </w:p>
        </w:tc>
        <w:tc>
          <w:tcPr>
            <w:tcW w:w="1451" w:type="dxa"/>
            <w:vAlign w:val="center"/>
          </w:tcPr>
          <w:p w14:paraId="12F61DE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1.83～1.92</w:t>
            </w:r>
          </w:p>
        </w:tc>
        <w:tc>
          <w:tcPr>
            <w:tcW w:w="1453" w:type="dxa"/>
            <w:vAlign w:val="center"/>
          </w:tcPr>
          <w:p w14:paraId="16BBE83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r>
      <w:tr w14:paraId="4F41B2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25864C6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w:t>
            </w:r>
          </w:p>
        </w:tc>
        <w:tc>
          <w:tcPr>
            <w:tcW w:w="1050" w:type="dxa"/>
            <w:vAlign w:val="center"/>
          </w:tcPr>
          <w:p w14:paraId="192F5EF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c>
          <w:tcPr>
            <w:tcW w:w="1451" w:type="dxa"/>
            <w:vAlign w:val="center"/>
          </w:tcPr>
          <w:p w14:paraId="778DFFB8">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2.27～2.37</w:t>
            </w:r>
          </w:p>
        </w:tc>
        <w:tc>
          <w:tcPr>
            <w:tcW w:w="1451" w:type="dxa"/>
            <w:vAlign w:val="center"/>
          </w:tcPr>
          <w:p w14:paraId="1FD7BC3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2.01～2.11</w:t>
            </w:r>
          </w:p>
        </w:tc>
        <w:tc>
          <w:tcPr>
            <w:tcW w:w="1451" w:type="dxa"/>
            <w:vAlign w:val="center"/>
          </w:tcPr>
          <w:p w14:paraId="0BE7D8B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1.92～2.01</w:t>
            </w:r>
          </w:p>
        </w:tc>
        <w:tc>
          <w:tcPr>
            <w:tcW w:w="1453" w:type="dxa"/>
            <w:vAlign w:val="center"/>
          </w:tcPr>
          <w:p w14:paraId="0200906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1.83～1.92</w:t>
            </w:r>
          </w:p>
        </w:tc>
      </w:tr>
      <w:tr w14:paraId="295CCD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11B5769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w:t>
            </w:r>
          </w:p>
        </w:tc>
        <w:tc>
          <w:tcPr>
            <w:tcW w:w="1050" w:type="dxa"/>
            <w:vAlign w:val="center"/>
          </w:tcPr>
          <w:p w14:paraId="0BB20A5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&gt;2</w:t>
            </w:r>
          </w:p>
        </w:tc>
        <w:tc>
          <w:tcPr>
            <w:tcW w:w="1451" w:type="dxa"/>
            <w:vAlign w:val="center"/>
          </w:tcPr>
          <w:p w14:paraId="04ED90D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2.75～2.85</w:t>
            </w:r>
          </w:p>
        </w:tc>
        <w:tc>
          <w:tcPr>
            <w:tcW w:w="1451" w:type="dxa"/>
            <w:vAlign w:val="center"/>
          </w:tcPr>
          <w:p w14:paraId="14A3F87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2.47～2.57</w:t>
            </w:r>
          </w:p>
        </w:tc>
        <w:tc>
          <w:tcPr>
            <w:tcW w:w="1451" w:type="dxa"/>
            <w:vAlign w:val="center"/>
          </w:tcPr>
          <w:p w14:paraId="2CC2305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2.37～2.47</w:t>
            </w:r>
          </w:p>
        </w:tc>
        <w:tc>
          <w:tcPr>
            <w:tcW w:w="1453" w:type="dxa"/>
            <w:vAlign w:val="center"/>
          </w:tcPr>
          <w:p w14:paraId="54C56FC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2.37～2.47</w:t>
            </w:r>
          </w:p>
        </w:tc>
      </w:tr>
      <w:tr w14:paraId="3C3B46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7F7BF92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(4%,7%]</w:t>
            </w:r>
          </w:p>
        </w:tc>
        <w:tc>
          <w:tcPr>
            <w:tcW w:w="1050" w:type="dxa"/>
            <w:vAlign w:val="center"/>
          </w:tcPr>
          <w:p w14:paraId="3EC92D2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p>
        </w:tc>
        <w:tc>
          <w:tcPr>
            <w:tcW w:w="1451" w:type="dxa"/>
            <w:vAlign w:val="center"/>
          </w:tcPr>
          <w:p w14:paraId="25B3369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2.08～2.15</w:t>
            </w:r>
          </w:p>
        </w:tc>
        <w:tc>
          <w:tcPr>
            <w:tcW w:w="1451" w:type="dxa"/>
            <w:vAlign w:val="center"/>
          </w:tcPr>
          <w:p w14:paraId="285E90F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2.01～2.08</w:t>
            </w:r>
          </w:p>
        </w:tc>
        <w:tc>
          <w:tcPr>
            <w:tcW w:w="1451" w:type="dxa"/>
            <w:vAlign w:val="center"/>
          </w:tcPr>
          <w:p w14:paraId="3413283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1.73～1.83</w:t>
            </w:r>
          </w:p>
        </w:tc>
        <w:tc>
          <w:tcPr>
            <w:tcW w:w="1453" w:type="dxa"/>
            <w:vAlign w:val="center"/>
          </w:tcPr>
          <w:p w14:paraId="7AC0461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1.57～1.67</w:t>
            </w:r>
          </w:p>
        </w:tc>
      </w:tr>
      <w:tr w14:paraId="0C54E8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6E32CD2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(4%,7%]</w:t>
            </w:r>
          </w:p>
        </w:tc>
        <w:tc>
          <w:tcPr>
            <w:tcW w:w="1050" w:type="dxa"/>
            <w:vAlign w:val="center"/>
          </w:tcPr>
          <w:p w14:paraId="0054C04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c>
          <w:tcPr>
            <w:tcW w:w="1451" w:type="dxa"/>
            <w:vAlign w:val="center"/>
          </w:tcPr>
          <w:p w14:paraId="5A9E5D7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2.05～2.15</w:t>
            </w:r>
          </w:p>
        </w:tc>
        <w:tc>
          <w:tcPr>
            <w:tcW w:w="1451" w:type="dxa"/>
            <w:vAlign w:val="center"/>
          </w:tcPr>
          <w:p w14:paraId="261A911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2.05～2.15</w:t>
            </w:r>
          </w:p>
        </w:tc>
        <w:tc>
          <w:tcPr>
            <w:tcW w:w="1451" w:type="dxa"/>
            <w:vAlign w:val="center"/>
          </w:tcPr>
          <w:p w14:paraId="0BD5581F">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1.81～1.89</w:t>
            </w:r>
          </w:p>
        </w:tc>
        <w:tc>
          <w:tcPr>
            <w:tcW w:w="1453" w:type="dxa"/>
            <w:vAlign w:val="center"/>
          </w:tcPr>
          <w:p w14:paraId="50720DF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1.73～1.81</w:t>
            </w:r>
          </w:p>
        </w:tc>
      </w:tr>
      <w:tr w14:paraId="630ED4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4F74351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(4%,7%]</w:t>
            </w:r>
          </w:p>
        </w:tc>
        <w:tc>
          <w:tcPr>
            <w:tcW w:w="1050" w:type="dxa"/>
            <w:vAlign w:val="center"/>
          </w:tcPr>
          <w:p w14:paraId="6FC07C2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&gt;2</w:t>
            </w:r>
          </w:p>
        </w:tc>
        <w:tc>
          <w:tcPr>
            <w:tcW w:w="1451" w:type="dxa"/>
            <w:vAlign w:val="center"/>
          </w:tcPr>
          <w:p w14:paraId="5E1EB6C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2.52～2.59</w:t>
            </w:r>
          </w:p>
        </w:tc>
        <w:tc>
          <w:tcPr>
            <w:tcW w:w="1451" w:type="dxa"/>
            <w:vAlign w:val="center"/>
          </w:tcPr>
          <w:p w14:paraId="34376EB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2.48～2.52</w:t>
            </w:r>
          </w:p>
        </w:tc>
        <w:tc>
          <w:tcPr>
            <w:tcW w:w="1451" w:type="dxa"/>
            <w:vAlign w:val="center"/>
          </w:tcPr>
          <w:p w14:paraId="5B4DFEA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2.41～2.48</w:t>
            </w:r>
          </w:p>
        </w:tc>
        <w:tc>
          <w:tcPr>
            <w:tcW w:w="1453" w:type="dxa"/>
            <w:vAlign w:val="center"/>
          </w:tcPr>
          <w:p w14:paraId="75CA9161">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2.25～2.35</w:t>
            </w:r>
          </w:p>
        </w:tc>
      </w:tr>
      <w:tr w14:paraId="553F82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58EA401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&gt;7%</w:t>
            </w:r>
          </w:p>
        </w:tc>
        <w:tc>
          <w:tcPr>
            <w:tcW w:w="1050" w:type="dxa"/>
            <w:vAlign w:val="center"/>
          </w:tcPr>
          <w:p w14:paraId="499E78B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p>
        </w:tc>
        <w:tc>
          <w:tcPr>
            <w:tcW w:w="1451" w:type="dxa"/>
            <w:vAlign w:val="center"/>
          </w:tcPr>
          <w:p w14:paraId="4E3457E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2.02～2.11</w:t>
            </w:r>
          </w:p>
        </w:tc>
        <w:tc>
          <w:tcPr>
            <w:tcW w:w="1451" w:type="dxa"/>
            <w:vAlign w:val="center"/>
          </w:tcPr>
          <w:p w14:paraId="443A02F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1.95～2.02</w:t>
            </w:r>
          </w:p>
        </w:tc>
        <w:tc>
          <w:tcPr>
            <w:tcW w:w="1451" w:type="dxa"/>
            <w:vAlign w:val="center"/>
          </w:tcPr>
          <w:p w14:paraId="6DA6767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1.87～1.95</w:t>
            </w:r>
          </w:p>
        </w:tc>
        <w:tc>
          <w:tcPr>
            <w:tcW w:w="1453" w:type="dxa"/>
            <w:vAlign w:val="center"/>
          </w:tcPr>
          <w:p w14:paraId="2A13DB5B">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1.45～1.55</w:t>
            </w:r>
          </w:p>
        </w:tc>
      </w:tr>
      <w:tr w14:paraId="286CF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5D6C802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&gt;7%</w:t>
            </w:r>
          </w:p>
        </w:tc>
        <w:tc>
          <w:tcPr>
            <w:tcW w:w="1050" w:type="dxa"/>
            <w:vAlign w:val="center"/>
          </w:tcPr>
          <w:p w14:paraId="2F0DDC25">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(1,2]</w:t>
            </w:r>
          </w:p>
        </w:tc>
        <w:tc>
          <w:tcPr>
            <w:tcW w:w="1451" w:type="dxa"/>
            <w:vAlign w:val="center"/>
          </w:tcPr>
          <w:p w14:paraId="65C3934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2.01～2.07</w:t>
            </w:r>
          </w:p>
        </w:tc>
        <w:tc>
          <w:tcPr>
            <w:tcW w:w="1451" w:type="dxa"/>
            <w:vAlign w:val="center"/>
          </w:tcPr>
          <w:p w14:paraId="5083A32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2.07～2.13</w:t>
            </w:r>
          </w:p>
        </w:tc>
        <w:tc>
          <w:tcPr>
            <w:tcW w:w="1451" w:type="dxa"/>
            <w:vAlign w:val="center"/>
          </w:tcPr>
          <w:p w14:paraId="2071CCF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1.89～1.99</w:t>
            </w:r>
          </w:p>
        </w:tc>
        <w:tc>
          <w:tcPr>
            <w:tcW w:w="1453" w:type="dxa"/>
            <w:vAlign w:val="center"/>
          </w:tcPr>
          <w:p w14:paraId="211875C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1.57～1.67</w:t>
            </w:r>
          </w:p>
        </w:tc>
      </w:tr>
      <w:tr w14:paraId="164655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0F63B55B">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&gt;7%</w:t>
            </w:r>
          </w:p>
        </w:tc>
        <w:tc>
          <w:tcPr>
            <w:tcW w:w="1050" w:type="dxa"/>
            <w:vAlign w:val="center"/>
          </w:tcPr>
          <w:p w14:paraId="1D83B8F9">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&gt;2</w:t>
            </w:r>
          </w:p>
        </w:tc>
        <w:tc>
          <w:tcPr>
            <w:tcW w:w="1451" w:type="dxa"/>
            <w:vAlign w:val="center"/>
          </w:tcPr>
          <w:p w14:paraId="021E4153">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2.46～2.55</w:t>
            </w:r>
          </w:p>
        </w:tc>
        <w:tc>
          <w:tcPr>
            <w:tcW w:w="1451" w:type="dxa"/>
            <w:vAlign w:val="center"/>
          </w:tcPr>
          <w:p w14:paraId="5B92F295">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2.37～2.46</w:t>
            </w:r>
          </w:p>
        </w:tc>
        <w:tc>
          <w:tcPr>
            <w:tcW w:w="1451" w:type="dxa"/>
            <w:vAlign w:val="center"/>
          </w:tcPr>
          <w:p w14:paraId="33C796D7">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2.28～2.37</w:t>
            </w:r>
          </w:p>
        </w:tc>
        <w:tc>
          <w:tcPr>
            <w:tcW w:w="1453" w:type="dxa"/>
            <w:vAlign w:val="center"/>
          </w:tcPr>
          <w:p w14:paraId="590F9E1D">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2.19～2.28</w:t>
            </w:r>
          </w:p>
        </w:tc>
      </w:tr>
    </w:tbl>
    <w:p w14:paraId="18030AA7">
      <w:pPr>
        <w:keepNext/>
        <w:widowControl/>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pPr>
      <w:r>
        <w:rPr>
          <w:rFonts w:hint="eastAsia" w:ascii="方正楷体_GBK" w:hAnsi="方正楷体_GBK" w:eastAsia="方正楷体_GBK" w:cs="方正楷体_GBK"/>
          <w:b/>
          <w:bCs/>
          <w:sz w:val="32"/>
          <w:szCs w:val="32"/>
        </w:rPr>
        <w:t>（六）参数响应体现设备替代与配置平台</w:t>
      </w:r>
    </w:p>
    <w:p w14:paraId="00D2D5C1">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装机渗透率增加后，反向输送任务可能成为主变及储能的主要约束。年最大净负荷平均增长率则同时改变容量需求与容载比分母，存量容量先被增长需求逐步利用，局部缺口扩大后再按允许额定容量补强。电缆长度占比提高会增加新增联络费用，部分条件下转向站内建设；负荷分散系数提高则增加局部峰值压力，其影响取决于邻站支援及储能条件。</w:t>
      </w:r>
    </w:p>
    <w:p w14:paraId="77D29B66">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初始转供率的作用需结合已有设备和重新选配条件判断。以电缆长度占比50%、装机渗透率0.50、年最大净负荷平均增长率4%、负荷分散系数1.10为例，五站设备重新选配时，初始转供率四档对应的推荐窗口依次为1.91～2.01、1.61～1.71、1.40～1.49和1.31～1.40。既有支援增强后，可以利用邻站容量减少本地设备需求。</w:t>
      </w:r>
    </w:p>
    <w:p w14:paraId="009E66B1">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存量主变持续在役时，转供改善可能先减少储能和新增联络，主变总容量保持原值。实际查表应先确定设备承接条件，再结合具体窗口比较可实施的主变台数、额定容量及配套工程，使容载比取值与供电任务和费用对应。</w:t>
      </w:r>
    </w:p>
    <w:p w14:paraId="7637AF0C">
      <w:pPr>
        <w:keepNext/>
        <w:widowControl/>
        <w:adjustRightInd w:val="0"/>
        <w:snapToGrid w:val="0"/>
        <w:spacing w:line="560" w:lineRule="exact"/>
        <w:ind w:firstLine="723" w:firstLineChars="200"/>
        <w:outlineLvl w:val="9"/>
        <w:rPr>
          <w:rFonts w:hint="eastAsia" w:ascii="方正黑体_GBK" w:hAnsi="方正黑体_GBK" w:eastAsia="方正黑体_GBK" w:cs="方正黑体_GBK"/>
          <w:b/>
          <w:bCs/>
          <w:sz w:val="36"/>
          <w:szCs w:val="36"/>
          <w:highlight w:val="none"/>
          <w14:ligatures w14:val="standardContextual"/>
        </w:rPr>
      </w:pPr>
      <w:r>
        <w:rPr>
          <w:rFonts w:hint="eastAsia" w:ascii="方正黑体_GBK" w:hAnsi="方正黑体_GBK" w:eastAsia="方正黑体_GBK" w:cs="方正黑体_GBK"/>
          <w:b/>
          <w:bCs/>
          <w:sz w:val="36"/>
          <w:szCs w:val="36"/>
        </w:rPr>
        <w:t>四、规划应用相关工作建议</w:t>
      </w:r>
    </w:p>
    <w:p w14:paraId="6755B0B9">
      <w:pPr>
        <w:keepNext/>
        <w:widowControl/>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pPr>
      <w:r>
        <w:rPr>
          <w:rFonts w:hint="eastAsia" w:ascii="方正楷体_GBK" w:hAnsi="方正楷体_GBK" w:eastAsia="方正楷体_GBK" w:cs="方正楷体_GBK"/>
          <w:b/>
          <w:bCs/>
          <w:sz w:val="32"/>
          <w:szCs w:val="32"/>
        </w:rPr>
        <w:t>（一）按片区条件查表，形成具体设备方案</w:t>
      </w:r>
    </w:p>
    <w:p w14:paraId="67043BEF">
      <w:pPr>
        <w:widowControl/>
        <w:adjustRightInd w:val="0"/>
        <w:snapToGrid w:val="0"/>
        <w:spacing w:line="560" w:lineRule="exact"/>
        <w:ind w:firstLine="643" w:firstLineChars="200"/>
        <w:rPr>
          <w:rFonts w:hint="eastAsia" w:ascii="方正仿宋_GBK" w:hAnsi="方正仿宋_GBK" w:eastAsia="方正仿宋_GBK" w:cs="Times New Roman"/>
          <w:sz w:val="32"/>
          <w:szCs w:val="32"/>
          <w:highlight w:val="none"/>
          <w14:ligatures w14:val="standardContextual"/>
        </w:rPr>
      </w:pPr>
      <w:r>
        <w:rPr>
          <w:rFonts w:hint="eastAsia" w:ascii="方正楷体_GBK" w:hAnsi="方正楷体_GBK" w:eastAsia="方正楷体_GBK" w:cs="方正楷体_GBK"/>
          <w:b/>
          <w:sz w:val="32"/>
          <w:szCs w:val="32"/>
        </w:rPr>
        <w:t>一是统一统计范围和发展阶段。</w:t>
      </w:r>
      <w:r>
        <w:rPr>
          <w:rFonts w:hint="eastAsia" w:ascii="方正仿宋_GBK" w:hAnsi="方正仿宋_GBK" w:eastAsia="方正仿宋_GBK" w:cs="Times New Roman"/>
          <w:sz w:val="32"/>
          <w:szCs w:val="32"/>
        </w:rPr>
        <w:t>按相同电压等级、供电范围和年度计算网供峰值、分布式电源装机渗透率及年最大净负荷平均增长率，再根据电缆长度占比、初始转供率及负荷分散系数定位矩阵。实际年度输入与未来预测分别使用对应时期的增长水平，保留年度峰值波动及其对容载比的影响。</w:t>
      </w:r>
    </w:p>
    <w:p w14:paraId="6BC1AAB8">
      <w:pPr>
        <w:widowControl/>
        <w:adjustRightInd w:val="0"/>
        <w:snapToGrid w:val="0"/>
        <w:spacing w:line="560" w:lineRule="exact"/>
        <w:ind w:firstLine="643" w:firstLineChars="200"/>
        <w:rPr>
          <w:rFonts w:hint="eastAsia" w:ascii="方正仿宋_GBK" w:hAnsi="方正仿宋_GBK" w:eastAsia="方正仿宋_GBK" w:cs="Times New Roman"/>
          <w:sz w:val="32"/>
          <w:szCs w:val="32"/>
          <w:highlight w:val="none"/>
          <w14:ligatures w14:val="standardContextual"/>
        </w:rPr>
      </w:pPr>
      <w:r>
        <w:rPr>
          <w:rFonts w:hint="eastAsia" w:ascii="方正楷体_GBK" w:hAnsi="方正楷体_GBK" w:eastAsia="方正楷体_GBK" w:cs="方正楷体_GBK"/>
          <w:b/>
          <w:sz w:val="32"/>
          <w:szCs w:val="32"/>
        </w:rPr>
        <w:t>二是将推荐范围落实到站级措施。</w:t>
      </w:r>
      <w:r>
        <w:rPr>
          <w:rFonts w:hint="eastAsia" w:ascii="方正仿宋_GBK" w:hAnsi="方正仿宋_GBK" w:eastAsia="方正仿宋_GBK" w:cs="Times New Roman"/>
          <w:sz w:val="32"/>
          <w:szCs w:val="32"/>
        </w:rPr>
        <w:t>以实际在役主变为起点，逐站比较更换和扩建，结合储能有效功率与联络通道确定建设组合。主变容量与台数应同时满足正常供电及最大单台主变N-1要求，再按具体采购、配储及线路工程计算费用，明确投运年份和负荷转接安排。</w:t>
      </w:r>
    </w:p>
    <w:p w14:paraId="6ACA2AB3">
      <w:pPr>
        <w:widowControl/>
        <w:adjustRightInd w:val="0"/>
        <w:snapToGrid w:val="0"/>
        <w:spacing w:line="560" w:lineRule="exact"/>
        <w:ind w:firstLine="643" w:firstLineChars="200"/>
        <w:rPr>
          <w:rFonts w:hint="eastAsia" w:ascii="方正仿宋_GBK" w:hAnsi="方正仿宋_GBK" w:eastAsia="方正仿宋_GBK" w:cs="Times New Roman"/>
          <w:sz w:val="32"/>
          <w:szCs w:val="32"/>
          <w:highlight w:val="none"/>
          <w14:ligatures w14:val="standardContextual"/>
        </w:rPr>
      </w:pPr>
      <w:r>
        <w:rPr>
          <w:rFonts w:hint="eastAsia" w:ascii="方正楷体_GBK" w:hAnsi="方正楷体_GBK" w:eastAsia="方正楷体_GBK" w:cs="方正楷体_GBK"/>
          <w:b/>
          <w:sz w:val="32"/>
          <w:szCs w:val="32"/>
        </w:rPr>
        <w:t>三是按设备配置回算最终容载比。</w:t>
      </w:r>
      <w:r>
        <w:rPr>
          <w:rFonts w:hint="eastAsia" w:ascii="方正仿宋_GBK" w:hAnsi="方正仿宋_GBK" w:eastAsia="方正仿宋_GBK" w:cs="Times New Roman"/>
          <w:sz w:val="32"/>
          <w:szCs w:val="32"/>
        </w:rPr>
        <w:t>查表范围用于确定容量初步比选方向，最终数值由可实施主变总容量除以同年度年网供最大负荷确定。对高于导则分档建议上限的方案，结合初始设备和局部供电任务分析原因，按导则有关供电安全条件论证提高的必要性[1]。</w:t>
      </w:r>
    </w:p>
    <w:p w14:paraId="07D080F6">
      <w:pPr>
        <w:keepNext/>
        <w:widowControl/>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pPr>
      <w:r>
        <w:rPr>
          <w:rFonts w:hint="eastAsia" w:ascii="方正楷体_GBK" w:hAnsi="方正楷体_GBK" w:eastAsia="方正楷体_GBK" w:cs="方正楷体_GBK"/>
          <w:b/>
          <w:bCs/>
          <w:sz w:val="32"/>
          <w:szCs w:val="32"/>
        </w:rPr>
        <w:t>（二）区分片区供电任务，合理组合补强措施</w:t>
      </w:r>
    </w:p>
    <w:p w14:paraId="19958B29">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邳州类光伏渗透率较高的片区，重点分析日间反向功率、晚间正向供电和故障剩余能力，按局部缺口的持续过程确定储能支撑。主变补强、邻站支援与储能吸收或放电共同满足双向任务，按具体工程费用选择组合，并随光伏投产进度更新容量需求。</w:t>
      </w:r>
    </w:p>
    <w:p w14:paraId="0CFC91A2">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市区类负荷较集中的片区，重点结合站级高负载、主变N-1能力和邻站承接任务比较站内补强与联络建设。电缆比例较高时，新建通道费用对方案排序的影响更大，应利用既有可切换区段和邻站余量，将新增联络与主变更换、扩建及配储共同纳入比选。</w:t>
      </w:r>
    </w:p>
    <w:p w14:paraId="46B7AE25">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转供能力核定以逐站可转负荷、具体馈线路径及受端余量为基础。地区负荷加权统计用于描述网络背景，站级功率上限用于约束实际可调用的支援能力，年度正常和事故转接分别落实到固定方案。新建工程按可提供的有效支撑和投运时点计费，保证设备规模、费用和供电任务一致。</w:t>
      </w:r>
    </w:p>
    <w:p w14:paraId="1018A583">
      <w:pPr>
        <w:keepNext/>
        <w:widowControl/>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pPr>
      <w:r>
        <w:rPr>
          <w:rFonts w:hint="eastAsia" w:ascii="方正楷体_GBK" w:hAnsi="方正楷体_GBK" w:eastAsia="方正楷体_GBK" w:cs="方正楷体_GBK"/>
          <w:b/>
          <w:bCs/>
          <w:sz w:val="32"/>
          <w:szCs w:val="32"/>
        </w:rPr>
        <w:t>（三）结合建设进度滚动更新应用结果</w:t>
      </w:r>
    </w:p>
    <w:p w14:paraId="7A8908E6">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年度规划随新增用户、负荷峰值和光伏投产更新源荷条件，承接已投运设备，再比较当年主变、储能与联络需求。线路造价、储能价格、站内扩建条件及馈线可转区段发生变化后，同步调整工程组合与推荐窗口，形成各片区的建设时序。</w:t>
      </w:r>
    </w:p>
    <w:p w14:paraId="2F7A0004">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本研究以年度源荷序列回代正常及主变N-1工况，部分等效通道和区段分配采用研究设定，历史时序为模板回算，未来沿用基准空间分布。储能按有效功率参与容量比选，工程应用还需结合实际网络检查连续荷电状态、电压及保护配合，并补充运行费用。上述条件在规划应用中一并核定，用新增资料逐步完善“一片一策”的容量安排。</w:t>
      </w:r>
    </w:p>
    <w:p w14:paraId="3B67EAB1">
      <w:pPr>
        <w:keepNext/>
        <w:widowControl/>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pPr>
      <w:r>
        <w:rPr>
          <w:rFonts w:hint="eastAsia" w:ascii="方正楷体_GBK" w:hAnsi="方正楷体_GBK" w:eastAsia="方正楷体_GBK" w:cs="方正楷体_GBK"/>
          <w:b/>
          <w:bCs/>
          <w:sz w:val="32"/>
          <w:szCs w:val="32"/>
        </w:rPr>
        <w:t>参考依据</w:t>
      </w:r>
    </w:p>
    <w:p w14:paraId="7E71E10A">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[1] 配电网规划设计技术导则（修订稿，2025年4月）[R]. 2025.</w:t>
      </w:r>
    </w:p>
    <w:p w14:paraId="394E1839">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[2] 郭自文, 王子鉴, 黄纯, 等. 考虑源荷储功率协调和不确定性的配电网集群划分方法[J]. 电网技术, 2026, 50(3): 1082-1090.</w:t>
      </w:r>
    </w:p>
    <w:p w14:paraId="2953ADEB">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[3] 肖峻, 刘柔嘉, 龙梦皓. 变电容载比与下一级中压配电网络关系的量化分析[J]. 电力建设, 2015, 36(11): 45-50.</w:t>
      </w:r>
    </w:p>
    <w:p w14:paraId="0892CD83">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[4] MARTÍNEZ M, MATEO C, GÓMEZ T, et al. Distributed battery energy storage systems for deferring distribution network reinforcements under sustained load growth scenarios[J]. Journal of Energy Storage, 2024, 100: 113404.</w:t>
      </w:r>
    </w:p>
    <w:p w14:paraId="21F730CF">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[5] ZHU Z, LU S, GAO B, et al. Life cycle cost analysis of three types of power lines in 10 kV distribution network[J]. Inventions, 2016, 1(4): 20.</w:t>
      </w:r>
    </w:p>
    <w:p w14:paraId="324D0EF7">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[6] National Institute of Standards and Technology. Dataplot Reference Manual: Correlation[EB/OL]. 1997.</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altName w:val="Noto Serif CJK TC Black"/>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altName w:val="Webdings"/>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0F3C52" w:usb2="00000016" w:usb3="00000000" w:csb0="0004001F" w:csb1="00000000"/>
  </w:font>
  <w:font w:name="方正书宋_GBK">
    <w:panose1 w:val="02000000000000000000"/>
    <w:charset w:val="86"/>
    <w:family w:val="auto"/>
    <w:pitch w:val="default"/>
    <w:sig w:usb0="00000001" w:usb1="08000000" w:usb2="00000000" w:usb3="00000000" w:csb0="00040000" w:csb1="00000000"/>
  </w:font>
  <w:font w:name="方正小标宋_GBK">
    <w:panose1 w:val="02000000000000000000"/>
    <w:charset w:val="86"/>
    <w:family w:val="auto"/>
    <w:pitch w:val="default"/>
    <w:sig w:usb0="00000001" w:usb1="08000000" w:usb2="00000000" w:usb3="00000000" w:csb0="00040000" w:csb1="00000000"/>
  </w:font>
  <w:font w:name="方正楷体_GBK">
    <w:panose1 w:val="02000000000000000000"/>
    <w:charset w:val="86"/>
    <w:family w:val="auto"/>
    <w:pitch w:val="default"/>
    <w:sig w:usb0="00000001" w:usb1="08000000" w:usb2="00000000" w:usb3="00000000" w:csb0="00040000" w:csb1="00000000"/>
  </w:font>
  <w:font w:name="方正仿宋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Microsoft YaHei">
    <w:panose1 w:val="020B0503020204020204"/>
    <w:charset w:val="86"/>
    <w:family w:val="auto"/>
    <w:pitch w:val="default"/>
    <w:sig w:usb0="80000287" w:usb1="280F3C52" w:usb2="00000016" w:usb3="00000000" w:csb0="0004001F" w:csb1="00000000"/>
  </w:font>
  <w:font w:name="Tahoma">
    <w:altName w:val="DejaVu Sans"/>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044958"/>
    <w:rsid w:val="01594BF4"/>
    <w:rsid w:val="05EB00C3"/>
    <w:rsid w:val="09945539"/>
    <w:rsid w:val="0F0D0680"/>
    <w:rsid w:val="1174266D"/>
    <w:rsid w:val="11F13A26"/>
    <w:rsid w:val="177114C1"/>
    <w:rsid w:val="224C34F1"/>
    <w:rsid w:val="273B136A"/>
    <w:rsid w:val="2A976290"/>
    <w:rsid w:val="2CEE4744"/>
    <w:rsid w:val="2DFF48CA"/>
    <w:rsid w:val="309B06AC"/>
    <w:rsid w:val="388F6D48"/>
    <w:rsid w:val="39712E34"/>
    <w:rsid w:val="3ED85280"/>
    <w:rsid w:val="420678AE"/>
    <w:rsid w:val="43850656"/>
    <w:rsid w:val="440C3737"/>
    <w:rsid w:val="44F354BA"/>
    <w:rsid w:val="51EB4B97"/>
    <w:rsid w:val="57803A42"/>
    <w:rsid w:val="58195673"/>
    <w:rsid w:val="59E41013"/>
    <w:rsid w:val="5ADE72D7"/>
    <w:rsid w:val="5FDA06E2"/>
    <w:rsid w:val="648701A3"/>
    <w:rsid w:val="65DB7D10"/>
    <w:rsid w:val="692A7973"/>
    <w:rsid w:val="6B977093"/>
    <w:rsid w:val="70C938A7"/>
    <w:rsid w:val="70E1568B"/>
    <w:rsid w:val="71CD20B4"/>
    <w:rsid w:val="73216DDF"/>
    <w:rsid w:val="75044958"/>
    <w:rsid w:val="76E07A22"/>
    <w:rsid w:val="778A576D"/>
    <w:rsid w:val="79FB0956"/>
    <w:rsid w:val="7D6C7155"/>
    <w:rsid w:val="7E1022D2"/>
    <w:rsid w:val="7F675C96"/>
    <w:rsid w:val="CD7F4D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Normal Indent"/>
    <w:next w:val="1"/>
    <w:qFormat/>
    <w:uiPriority w:val="0"/>
    <w:pPr>
      <w:widowControl w:val="0"/>
      <w:ind w:firstLine="420" w:firstLineChars="200"/>
      <w:jc w:val="both"/>
    </w:pPr>
    <w:rPr>
      <w:rFonts w:ascii="Calibri" w:hAnsi="Calibri" w:eastAsiaTheme="minorEastAsia" w:cstheme="minorBidi"/>
      <w:kern w:val="2"/>
      <w:sz w:val="21"/>
      <w:szCs w:val="24"/>
      <w:lang w:val="en-US" w:eastAsia="zh-CN" w:bidi="ar-SA"/>
    </w:rPr>
  </w:style>
  <w:style w:type="paragraph" w:styleId="3">
    <w:name w:val="annotation text"/>
    <w:basedOn w:val="1"/>
    <w:qFormat/>
    <w:uiPriority w:val="0"/>
    <w:pPr>
      <w:jc w:val="left"/>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Properties>
  <DataSet Characteristic="{497d5c66-340d-4e0f-935b-39008625698f}">
    <Data data="gkwFDAgJDwMAAgYLGEcIBB1WDhoABwECCBhHAQsMQVk="/>
  </DataSet>
</Properties>
</file>

<file path=customXml/itemProps1.xml><?xml version="1.0" encoding="utf-8"?>
<ds:datastoreItem xmlns:ds="http://schemas.openxmlformats.org/officeDocument/2006/customXml" ds:itemID="{497d5c66-340d-4e0f-935b-39008625698f}">
  <ds:schemaRefs/>
</ds:datastoreItem>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8</TotalTime>
  <ScaleCrop>false</ScaleCrop>
  <LinksUpToDate>false</LinksUpToDate>
  <CharactersWithSpaces>0</CharactersWithSpaces>
  <Application>WPS Office_12.1.2.23578_F1E327BC-269C-435d-A152-05C5408002CA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2025-08-20T18:37:00Z</dcterms:created>
  <dc:creator>徐州公司</dc:creator>
  <cp:lastModifiedBy>许恒</cp:lastModifiedBy>
  <dcterms:modified xsi:type="dcterms:W3CDTF">2026-10-22T11:24:17Z</dcterms:modified>
  <dc:title>徐州地区110千伏电网容载比弹性指标优化研究成果总结</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2052-12.1.2.23578</vt:lpwstr>
  </property>
  <property fmtid="{D5CDD505-2E9C-101B-9397-08002B2CF9AE}" pid="3" name="KSOTemplateDocerSaveRecord">
    <vt:lpwstr>eyJoZGlkIjoiM2NiMTg4YjA2OGQ1YzliYTI4M2ZjYjVjZTMyYmEzNjIiLCJ1c2VySWQiOiIyMDk2Mjk0MDQifQ==</vt:lpwstr>
  </property>
  <property fmtid="{D5CDD505-2E9C-101B-9397-08002B2CF9AE}" pid="4" name="ICV">
    <vt:lpwstr>CB3B18A590F2447C863AEA4D76FFACC6_13</vt:lpwstr>
  </property>
</Properties>
</file>