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before="120" w:after="120" w:line="560" w:lineRule="exact"/>
        <w:jc w:val="center"/>
        <w:outlineLvl w:val="0"/>
        <w:rPr>
          <w:rFonts w:hint="eastAsia" w:ascii="方正小标宋_GBK" w:hAnsi="宋体" w:eastAsia="方正小标宋_GBK" w:cs="Times New Roman"/>
          <w:sz w:val="44"/>
          <w:szCs w:val="44"/>
          <w:highlight w:val="none"/>
          <w14:ligatures w14:val="standardContextual"/>
        </w:rPr>
        <w:widowControl/>
      </w:pPr>
      <w:r>
        <w:rPr>
          <w:rFonts w:hint="eastAsia" w:ascii="方正小标宋_GBK" w:hAnsi="宋体" w:eastAsia="方正小标宋_GBK" w:cs="Times New Roman"/>
          <w:sz w:val="44"/>
          <w:szCs w:val="44"/>
        </w:rPr>
        <w:t xml:space="preserve">徐州地区110千伏电网</w:t>
        <w:br/>
      </w:r>
      <w:r>
        <w:rPr>
          <w:rFonts w:hint="eastAsia" w:ascii="方正小标宋_GBK" w:hAnsi="宋体" w:eastAsia="方正小标宋_GBK" w:cs="Times New Roman"/>
          <w:sz w:val="44"/>
          <w:szCs w:val="44"/>
        </w:rPr>
        <w:t xml:space="preserve">容载比弹性指标优化研究</w:t>
      </w:r>
    </w:p>
    <w:p>
      <w:pPr>
        <w:adjustRightInd w:val="0"/>
        <w:snapToGrid w:val="0"/>
        <w:spacing w:line="580" w:lineRule="exact"/>
        <w:jc w:val="center"/>
        <w:outlineLvl w:val="9"/>
        <w:rPr>
          <w:rFonts w:hint="eastAsia" w:ascii="方正楷体_GBK" w:hAnsi="方正楷体_GBK" w:eastAsia="方正楷体_GBK" w:cs="方正楷体_GBK"/>
          <w:b/>
          <w:bCs/>
          <w:sz w:val="32"/>
          <w:szCs w:val="32"/>
          <w:highlight w:val="none"/>
          <w:lang w:val="en-US" w:eastAsia="zh-CN"/>
          <w14:ligatures w14:val="none"/>
        </w:rPr>
        <w:widowControl/>
      </w:pPr>
      <w:r>
        <w:rPr>
          <w:rFonts w:hint="eastAsia" w:ascii="方正楷体_GBK" w:hAnsi="方正楷体_GBK" w:eastAsia="方正楷体_GBK" w:cs="方正楷体_GBK"/>
          <w:b/>
          <w:bCs/>
          <w:sz w:val="32"/>
          <w:szCs w:val="32"/>
          <w:lang w:val="en-US" w:eastAsia="zh-CN"/>
        </w:rPr>
        <w:t xml:space="preserve">（供稿单位：徐州公司）</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分布式光伏持续接入后，110千伏主变同时承担晚间正向供电和日间反向输送任务，区域容量储备与局部高负载并存，单凭区域容载比难以判断各站的增容需求。围绕徐州地区分布式新能源高渗透率条件下的容量规划问题，本研究选取邳州和市区开展对比，联合比选主变、储能和10千伏联络，分析具体设备组合及费用变化，并提取五项推广参数，形成分片区容载比推荐矩阵，为“一片一策”规划提供依据。</w:t>
      </w:r>
    </w:p>
    <w:p>
      <w:pPr>
        <w:adjustRightInd w:val="0"/>
        <w:snapToGrid w:val="0"/>
        <w:spacing w:line="560" w:lineRule="exact"/>
        <w:ind w:firstLine="723" w:firstLineChars="200"/>
        <w:outlineLvl w:val="9"/>
        <w:rPr>
          <w:rFonts w:hint="eastAsia" w:ascii="方正黑体_GBK" w:hAnsi="方正黑体_GBK" w:eastAsia="方正黑体_GBK" w:cs="方正黑体_GBK"/>
          <w:b/>
          <w:bCs/>
          <w:sz w:val="36"/>
          <w:szCs w:val="36"/>
          <w:highlight w:val="none"/>
          <w14:ligatures w14:val="standardContextual"/>
        </w:rPr>
        <w:keepNext/>
        <w:widowControl/>
      </w:pPr>
      <w:r>
        <w:rPr>
          <w:rFonts w:hint="eastAsia" w:ascii="方正黑体_GBK" w:hAnsi="方正黑体_GBK" w:eastAsia="方正黑体_GBK" w:cs="方正黑体_GBK"/>
          <w:b/>
          <w:bCs/>
          <w:sz w:val="36"/>
          <w:szCs w:val="36"/>
        </w:rPr>
        <w:t xml:space="preserve">一、现状形势分析</w:t>
      </w:r>
    </w:p>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keepNext/>
        <w:widowControl/>
      </w:pPr>
      <w:r>
        <w:rPr>
          <w:rFonts w:hint="eastAsia" w:ascii="方正楷体_GBK" w:hAnsi="方正楷体_GBK" w:eastAsia="方正楷体_GBK" w:cs="方正楷体_GBK"/>
          <w:b/>
          <w:bCs/>
          <w:sz w:val="32"/>
          <w:szCs w:val="32"/>
        </w:rPr>
        <w:t xml:space="preserve">（一）新能源增长改变主变双向承载任务</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楷体_GBK" w:hAnsi="方正楷体_GBK" w:eastAsia="方正楷体_GBK" w:cs="方正楷体_GBK"/>
          <w:sz w:val="32"/>
          <w:szCs w:val="32"/>
          <w:b/>
        </w:rPr>
        <w:t xml:space="preserve">一是县域光伏规模增长较快。</w:t>
      </w:r>
      <w:r>
        <w:rPr>
          <w:rFonts w:hint="eastAsia" w:ascii="方正仿宋_GBK" w:hAnsi="方正仿宋_GBK" w:eastAsia="方正仿宋_GBK" w:cs="Times New Roman"/>
          <w:sz w:val="32"/>
          <w:szCs w:val="32"/>
        </w:rPr>
        <w:t xml:space="preserve">邳州年末分布式光伏装机由2023年的564.70 MW增加至2025年的1559.64 MW，市区同期由253.68 MW增加至491.18 MW。分布式电源装机渗透率为同范围并网装机与用户最大负荷之比，无量纲[1]。按典型场景估计用户最大负荷，2025年邳州和市区该指标分别为1.63和0.32，分别体现光伏规模较大的县域与负荷较集中的城区特征。</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楷体_GBK" w:hAnsi="方正楷体_GBK" w:eastAsia="方正楷体_GBK" w:cs="方正楷体_GBK"/>
          <w:sz w:val="32"/>
          <w:szCs w:val="32"/>
          <w:b/>
        </w:rPr>
        <w:t xml:space="preserve">二是年度供能与峰时容量需求存在时段差异。</w:t>
      </w:r>
      <w:r>
        <w:rPr>
          <w:rFonts w:hint="eastAsia" w:ascii="方正仿宋_GBK" w:hAnsi="方正仿宋_GBK" w:eastAsia="方正仿宋_GBK" w:cs="Times New Roman"/>
          <w:sz w:val="32"/>
          <w:szCs w:val="32"/>
        </w:rPr>
        <w:t xml:space="preserve">分布式电源电量渗透率为同范围年发电量与用户年用电量之比，以百分比表示[1]。结合月末装机、典型出力曲线及净交换电量估计，2025年邳州约为40%，市区约为9%。光伏发电增加可降低日间受电量，集中出力时还可能形成反向输送。主变容量需同时满足正向高峰和反向高峰，年度电量变化需与峰时功率共同分析。</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楷体_GBK" w:hAnsi="方正楷体_GBK" w:eastAsia="方正楷体_GBK" w:cs="方正楷体_GBK"/>
          <w:sz w:val="32"/>
          <w:szCs w:val="32"/>
          <w:b/>
        </w:rPr>
        <w:t xml:space="preserve">三是两地区负荷发展阶段和波动特征不同。</w:t>
      </w:r>
      <w:r>
        <w:rPr>
          <w:rFonts w:hint="eastAsia" w:ascii="方正仿宋_GBK" w:hAnsi="方正仿宋_GBK" w:eastAsia="方正仿宋_GBK" w:cs="Times New Roman"/>
          <w:sz w:val="32"/>
          <w:szCs w:val="32"/>
        </w:rPr>
        <w:t xml:space="preserve">年最大净负荷平均增长率按同范围期末与期初年网供最大负荷之比、以年度间隔作复合开根后减1计算，单位为%/年[1]。2021—2025年邳州约为7%，市区约为1%。邳州2023年负荷较上年回落，市区2022年和2024年出现回落，既有主变继续在役时，负荷下降会使容载比升高。后续规划需保留这种实际波动，并结合设备投运时点解释指标变化。</w:t>
      </w:r>
    </w:p>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keepNext/>
        <w:widowControl/>
      </w:pPr>
      <w:r>
        <w:rPr>
          <w:rFonts w:hint="eastAsia" w:ascii="方正楷体_GBK" w:hAnsi="方正楷体_GBK" w:eastAsia="方正楷体_GBK" w:cs="方正楷体_GBK"/>
          <w:b/>
          <w:bCs/>
          <w:sz w:val="32"/>
          <w:szCs w:val="32"/>
        </w:rPr>
        <w:t xml:space="preserve">（二）区域容量储备与站级供电压力并存</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容载比为同范围公用主变总容量与年网供最大负荷之比，容量单位为MVA，负荷单位为MW[1]。2025年邳州实际主变容量2139.50 MVA、年网供最大负荷956.45 MW，容载比2.24；市区分别为3701.00 MVA、1528.82 MW和2.42。两地区区域容量储备较充足，站级设备利用状况仍存在差异。</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项目设备统计中，邳州40台、市区61台110千伏主变的实测年最大负载率中位数分别为53%和55%，两地区均有7台达到80%及以上。各台主变的年度最大值对应各自发生时刻。规划计算另以站级净负荷绝对峰值除以本站初始主变容量与0.95功率因数的乘积，形成站级负载率，分析局部双向承载压力。</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站级分析覆盖邳州20座、市区26座具有设备对应资料的变电站。相同总容量下，主变台数和容量组合会改变最大单台主变退出运行后的剩余供电能力，站间联络还会改变邻站余量的利用条件。容量安排需由区域指标进一步落实到具体站点及供电任务。</w:t>
      </w:r>
    </w:p>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keepNext/>
        <w:widowControl/>
      </w:pPr>
      <w:r>
        <w:rPr>
          <w:rFonts w:hint="eastAsia" w:ascii="方正楷体_GBK" w:hAnsi="方正楷体_GBK" w:eastAsia="方正楷体_GBK" w:cs="方正楷体_GBK"/>
          <w:b/>
          <w:bCs/>
          <w:sz w:val="32"/>
          <w:szCs w:val="32"/>
        </w:rPr>
        <w:t xml:space="preserve">（三）导则要求为分片区容量比选提供依据</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2025年4月《配电网规划设计技术导则（修订稿）》提出，容载比总体控制在1.5～2.0，并按年最大净负荷平均增长率划分发展阶段[1]。饱和期、较慢增长、中等增长及较快增长分别对应不超过2%、(2%,4%]、(4%,7%]和超过7%的增长水平，建议范围分别为1.5～1.7、1.6～1.8、1.7～1.9和1.8～2.0。</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第6.2.2.1条同时提出，在建议范围内无法满足供电安全准则时，可结合实际情况适当提高容载比，并要求加强中压联络、结合转供能力合理确定规划区域容量[1]。本研究据此比较相同源荷和供电约束下的具体设备方案，分析容量、储能及联络如何共同满足供电要求，以设备配置及费用支持容载比取值。</w:t>
      </w:r>
    </w:p>
    <w:p>
      <w:pPr>
        <w:adjustRightInd w:val="0"/>
        <w:snapToGrid w:val="0"/>
        <w:spacing w:line="560" w:lineRule="exact"/>
        <w:ind w:firstLine="723" w:firstLineChars="200"/>
        <w:outlineLvl w:val="9"/>
        <w:rPr>
          <w:rFonts w:hint="eastAsia" w:ascii="方正黑体_GBK" w:hAnsi="方正黑体_GBK" w:eastAsia="方正黑体_GBK" w:cs="方正黑体_GBK"/>
          <w:b/>
          <w:bCs/>
          <w:sz w:val="36"/>
          <w:szCs w:val="36"/>
          <w:highlight w:val="none"/>
          <w14:ligatures w14:val="standardContextual"/>
        </w:rPr>
        <w:keepNext/>
        <w:widowControl/>
      </w:pPr>
      <w:r>
        <w:rPr>
          <w:rFonts w:hint="eastAsia" w:ascii="方正黑体_GBK" w:hAnsi="方正黑体_GBK" w:eastAsia="方正黑体_GBK" w:cs="方正黑体_GBK"/>
          <w:b/>
          <w:bCs/>
          <w:sz w:val="36"/>
          <w:szCs w:val="36"/>
        </w:rPr>
        <w:t xml:space="preserve">二、关键问题与研究方法</w:t>
      </w:r>
    </w:p>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keepNext/>
        <w:widowControl/>
      </w:pPr>
      <w:r>
        <w:rPr>
          <w:rFonts w:hint="eastAsia" w:ascii="方正楷体_GBK" w:hAnsi="方正楷体_GBK" w:eastAsia="方正楷体_GBK" w:cs="方正楷体_GBK"/>
          <w:b/>
          <w:bCs/>
          <w:sz w:val="32"/>
          <w:szCs w:val="32"/>
        </w:rPr>
        <w:t xml:space="preserve">（一）建立同一起点、逐年承接的方案比较方法</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两地区均保留2021年实际地区容量，邳州为2027.00 MVA，市区为3113.50 MVA。2022—2025年采用实际年度负荷和光伏规模开展模板回算，2026—2035年按区域负荷预测及全市光伏装机相对2025年的比例构造规划情景，站级空间分配继承2025年模板。2025—2030年、2030—2035年负荷预测对应的年最大净负荷平均增长率，邳州分别为4.14%、3.77%，市区分别为3.83%、3.82%。这些结果为共同条件下的规划计算值。</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刚性方案新增扩容以当年网供最大负荷的2.0倍控制，既有容量已超过该值时保留上一年度在役设备。弹性方案取消这一新增容量上限，在相同年度容载比下限和供电约束下，按允许设备及扩建条件确定容量。两方案共用同地区年度源荷、工程价格及候选网络，逐年承接已投运主变、储能和联络，新增措施按当年需求安排。</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主表弹性方案先比较新增储能与联络费用，在配套费用参考值20%范围内优先减少联络，再比较总费用。由此形成兼顾容量配置与联络工程简化的可行建设方案。</w:t>
      </w:r>
    </w:p>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keepNext/>
        <w:widowControl/>
      </w:pPr>
      <w:r>
        <w:rPr>
          <w:rFonts w:hint="eastAsia" w:ascii="方正楷体_GBK" w:hAnsi="方正楷体_GBK" w:eastAsia="方正楷体_GBK" w:cs="方正楷体_GBK"/>
          <w:b/>
          <w:bCs/>
          <w:sz w:val="32"/>
          <w:szCs w:val="32"/>
        </w:rPr>
        <w:t xml:space="preserve">（二）将转供能力落实到通道、区段和两端设备</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10千伏联络通过切换供电区段改善负荷与容量的空间匹配，区段内用电负荷和光伏共同转接，按转接后的带符号净功率校核两端主变。各小时区内转出与承接合计相等，受入为正、反送为负，区域同期净负荷保持平衡。</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既有转供能力按变电站全停资料落实为逐站MW上限，同时受可切换区段、线路容量、共享馈线及受端主变余量限制。地区全部电压等级负荷加权转供率约为邳州67%、市区92%，110千伏案例使用匹配站点的功率上限。新增联络按具体端点和候选通道安排，正常及主变故障追加转供共用既有能力预算和相关路径。</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正常运行的转供方案和本站最大单台主变退出运行（N-1）后的追加方案，在各年度内分别固定，再回代全年8760小时检验。邳州2021年固定基期设备存在事故支撑缺口，规划补强自2022年开始。</w:t>
      </w:r>
    </w:p>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keepNext/>
        <w:widowControl/>
      </w:pPr>
      <w:r>
        <w:rPr>
          <w:rFonts w:hint="eastAsia" w:ascii="方正楷体_GBK" w:hAnsi="方正楷体_GBK" w:eastAsia="方正楷体_GBK" w:cs="方正楷体_GBK"/>
          <w:b/>
          <w:bCs/>
          <w:sz w:val="32"/>
          <w:szCs w:val="32"/>
        </w:rPr>
        <w:t xml:space="preserve">（三）按功率与可用电量共同确定储能支撑</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储能以100.00 kW/215.00 kWh成套柜配置，柜数按整数选择。可用电量系数取0.76，集中反映荷电状态可用窗口和单向放电效率，研究采用80%的可用窗口与95%的单向放电效率相乘[2]。有效支撑功率取额定功率与可用电量除以规定持续时间的较小值，正向放电与反向吸收按各自时长校核。</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95%峰值阈值为区域净负荷绝对值全年最大值的95%，先按同小时汇总站级净负荷，再统计达到该阈值的最长连续时长。缺失记录补齐后统一使用8760小时序列，邳州按相邻小时均值、市区按相邻周同星期同时刻均值补齐。两地区正向近峰最长连续时长分别为2 h和6 h，作为案例储能正向支撑条件，反向支撑按各站参数设置。</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储能可在一定持续时间内补充局部功率缺口，主变增容则同时改变正常运行和N-1后的承载能力。联络能够调用的支援还取决于邻站余量，因此三类措施需按各自可提供的有效能力和费用联合比较。</w:t>
      </w:r>
    </w:p>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keepNext/>
        <w:widowControl/>
      </w:pPr>
      <w:r>
        <w:rPr>
          <w:rFonts w:hint="eastAsia" w:ascii="方正楷体_GBK" w:hAnsi="方正楷体_GBK" w:eastAsia="方正楷体_GBK" w:cs="方正楷体_GBK"/>
          <w:b/>
          <w:bCs/>
          <w:sz w:val="32"/>
          <w:szCs w:val="32"/>
        </w:rPr>
        <w:t xml:space="preserve">（四）建立建设、运维与更新费用现值模型</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建设投资按各年实际采购及投运工程计取。主变更换以整台新购铭牌容量计价，扩建主变按包含间隔、出线等配套设施的完整工程计价，储能按当年新增柜数和成套柜参考价格计价，新增联络按当年投运项目计价。联络工程投资由电缆与架空线路长度加权造价、工程长度及固定接入费共同确定。各措施的建设规模与投运时点由年度方案给出。</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以2021年末为折现基准，2041年末为共同评价截止时点。单项工程于y年投运，其费用现值由投运年建设投资、评价期内设备更新和投运次年起的固定运维构成：</w:t>
      </w:r>
    </w:p>
    <w:tbl>
      <w:tblPr>
        <w:tblW w:w="8306" w:type="dxa"/>
        <w:jc w:val="center"/>
        <w:tblInd w:w="0" w:type="dxa"/>
        <w:tblLayout w:type="fixed"/>
        <w:tblCaption w:val="ReportEquation"/>
        <w:tblBorders>
          <w:top w:val="nil"/>
          <w:left w:val="nil"/>
          <w:bottom w:val="nil"/>
          <w:right w:val="nil"/>
          <w:insideH w:val="nil"/>
          <w:insideV w:val="nil"/>
        </w:tblBorders>
        <w:tblCellMar>
          <w:top w:w="0" w:type="dxa"/>
          <w:bottom w:w="0" w:type="dxa"/>
          <w:left w:w="0" w:type="dxa"/>
          <w:right w:w="0" w:type="dxa"/>
        </w:tblCellMar>
      </w:tblPr>
      <w:tblGrid>
        <w:gridCol w:w="800"/>
        <w:gridCol w:w="6706"/>
        <w:gridCol w:w="800"/>
      </w:tblGrid>
      <w:tr>
        <w:trPr>
          <w:cantSplit/>
        </w:trPr>
        <w:tc>
          <w:tcPr>
            <w:tcW w:w="800" w:type="dxa"/>
            <w:vAlign w:val="center"/>
            <w:tcMar>
              <w:top w:w="0" w:type="dxa"/>
              <w:bottom w:w="0" w:type="dxa"/>
              <w:left w:w="0" w:type="dxa"/>
              <w:right w:w="0" w:type="dxa"/>
            </w:tcMar>
          </w:tcPr>
          <w:p>
            <w:pPr>
              <w:ind w:firstLine="0" w:firstLineChars="0" w:hanging="0" w:hangingChars="0" w:left="0" w:right="0" w:start="0" w:end="0" w:leftChars="0" w:rightChars="0" w:startChars="0" w:endChars="0"/>
              <w:jc w:val="center"/>
              <w:spacing w:before="50" w:after="50" w:line="360" w:lineRule="auto"/>
              <w:snapToGrid w:val="0"/>
              <w:keepNext/>
            </w:pPr>
          </w:p>
        </w:tc>
        <w:tc>
          <w:tcPr>
            <w:tcW w:w="6706" w:type="dxa"/>
            <w:vAlign w:val="center"/>
            <w:tcMar>
              <w:top w:w="0" w:type="dxa"/>
              <w:bottom w:w="0" w:type="dxa"/>
              <w:left w:w="0" w:type="dxa"/>
              <w:right w:w="0" w:type="dxa"/>
            </w:tcMar>
          </w:tcPr>
          <w:p>
            <w:pPr>
              <w:ind w:firstLine="0" w:firstLineChars="0" w:hanging="0" w:hangingChars="0" w:left="0" w:right="0" w:start="0" w:end="0" w:leftChars="0" w:rightChars="0" w:startChars="0" w:endChars="0"/>
              <w:jc w:val="center"/>
              <w:spacing w:before="50" w:after="50" w:line="360" w:lineRule="auto"/>
              <w:snapToGrid w:val="0"/>
              <w:keepNext/>
            </w:pPr>
            <m:oMath>
              <m:m>
                <m:mPr>
                  <m:mcs>
                    <m:mc>
                      <m:mcPr>
                        <m:count m:val="1"/>
                        <m:mcJc m:val="right"/>
                      </m:mcPr>
                    </m:mc>
                    <m:mc>
                      <m:mcPr>
                        <m:count m:val="1"/>
                        <m:mcJc m:val="left"/>
                      </m:mcPr>
                    </m:mc>
                  </m:mcs>
                  <m:plcHide m:val="1"/>
                </m:mPr>
                <m:mr>
                  <m:e>
                    <m:r>
                      <m:rPr>
                        <m:nor m:val="1"/>
                      </m:rPr>
                      <w:rPr>
                        <w:rFonts w:ascii="Times New Roman" w:hAnsi="Times New Roman" w:cs="Times New Roman" w:eastAsia="方正仿宋_GBK"/>
                        <w:sz w:val="28"/>
                        <w:szCs w:val="28"/>
                        <w:i w:val="1"/>
                        <w:iCs w:val="1"/>
                      </w:rPr>
                      <m:t>C</m:t>
                    </m:r>
                    <m:r>
                      <m:rPr>
                        <m:nor m:val="1"/>
                        <m:sty m:val="p"/>
                      </m:rPr>
                      <w:rPr>
                        <w:rFonts w:ascii="Times New Roman" w:hAnsi="Times New Roman" w:cs="Times New Roman" w:eastAsia="方正仿宋_GBK"/>
                        <w:b w:val="0"/>
                        <w:sz w:val="28"/>
                        <w:szCs w:val="28"/>
                        <w:i w:val="0"/>
                        <w:iCs w:val="0"/>
                      </w:rPr>
                      <m:t>(</m:t>
                    </m:r>
                    <m:r>
                      <m:rPr>
                        <m:nor m:val="1"/>
                      </m:rPr>
                      <w:rPr>
                        <w:rFonts w:ascii="Times New Roman" w:hAnsi="Times New Roman" w:cs="Times New Roman" w:eastAsia="方正仿宋_GBK"/>
                        <w:sz w:val="28"/>
                        <w:szCs w:val="28"/>
                        <w:i w:val="1"/>
                        <w:iCs w:val="1"/>
                      </w:rPr>
                      <m:t>I</m:t>
                    </m:r>
                    <m:r>
                      <m:rPr>
                        <m:nor m:val="1"/>
                        <m:sty m:val="p"/>
                      </m:rPr>
                      <w:rPr>
                        <w:rFonts w:ascii="Times New Roman" w:hAnsi="Times New Roman" w:cs="Times New Roman" w:eastAsia="方正仿宋_GBK"/>
                        <w:b w:val="0"/>
                        <w:sz w:val="28"/>
                        <w:szCs w:val="28"/>
                        <w:i w:val="0"/>
                        <w:iCs w:val="0"/>
                      </w:rPr>
                      <m:t>,</m:t>
                    </m:r>
                    <m:r>
                      <m:rPr>
                        <m:nor m:val="1"/>
                      </m:rPr>
                      <w:rPr>
                        <w:rFonts w:ascii="Times New Roman" w:hAnsi="Times New Roman" w:cs="Times New Roman" w:eastAsia="方正仿宋_GBK"/>
                        <w:sz w:val="28"/>
                        <w:szCs w:val="28"/>
                        <w:i w:val="1"/>
                        <w:iCs w:val="1"/>
                      </w:rPr>
                      <m:t>y</m:t>
                    </m:r>
                    <m:r>
                      <m:rPr>
                        <m:nor m:val="1"/>
                        <m:sty m:val="p"/>
                      </m:rPr>
                      <w:rPr>
                        <w:rFonts w:ascii="Times New Roman" w:hAnsi="Times New Roman" w:cs="Times New Roman" w:eastAsia="方正仿宋_GBK"/>
                        <w:b w:val="0"/>
                        <w:sz w:val="28"/>
                        <w:szCs w:val="28"/>
                        <w:i w:val="0"/>
                        <w:iCs w:val="0"/>
                      </w:rPr>
                      <m:t>,</m:t>
                    </m:r>
                    <m:r>
                      <m:rPr>
                        <m:nor m:val="1"/>
                      </m:rPr>
                      <w:rPr>
                        <w:rFonts w:ascii="Times New Roman" w:hAnsi="Times New Roman" w:cs="Times New Roman" w:eastAsia="方正仿宋_GBK"/>
                        <w:sz w:val="28"/>
                        <w:szCs w:val="28"/>
                        <w:i w:val="1"/>
                        <w:iCs w:val="1"/>
                      </w:rPr>
                      <m:t>L</m:t>
                    </m:r>
                    <m:r>
                      <m:rPr>
                        <m:nor m:val="1"/>
                        <m:sty m:val="p"/>
                      </m:rPr>
                      <w:rPr>
                        <w:rFonts w:ascii="Times New Roman" w:hAnsi="Times New Roman" w:cs="Times New Roman" w:eastAsia="方正仿宋_GBK"/>
                        <w:b w:val="0"/>
                        <w:sz w:val="28"/>
                        <w:szCs w:val="28"/>
                        <w:i w:val="0"/>
                        <w:iCs w:val="0"/>
                      </w:rPr>
                      <m:t>,</m:t>
                    </m:r>
                    <m:r>
                      <m:rPr>
                        <m:nor m:val="1"/>
                      </m:rPr>
                      <w:rPr>
                        <w:rFonts w:ascii="Times New Roman" w:hAnsi="Times New Roman" w:cs="Times New Roman" w:eastAsia="方正仿宋_GBK"/>
                        <w:sz w:val="28"/>
                        <w:szCs w:val="28"/>
                        <w:i w:val="1"/>
                        <w:iCs w:val="1"/>
                      </w:rPr>
                      <m:t>q</m:t>
                    </m:r>
                    <m:r>
                      <m:rPr>
                        <m:nor m:val="1"/>
                        <m:sty m:val="p"/>
                      </m:rPr>
                      <w:rPr>
                        <w:rFonts w:ascii="Times New Roman" w:hAnsi="Times New Roman" w:cs="Times New Roman" w:eastAsia="方正仿宋_GBK"/>
                        <w:b w:val="0"/>
                        <w:sz w:val="28"/>
                        <w:szCs w:val="28"/>
                        <w:i w:val="0"/>
                        <w:iCs w:val="0"/>
                      </w:rPr>
                      <m:t>)=​</m:t>
                    </m:r>
                  </m:e>
                  <m:e>
                    <m:f>
                      <m:fPr/>
                      <m:num>
                        <m:r>
                          <m:rPr>
                            <m:nor m:val="1"/>
                          </m:rPr>
                          <w:rPr>
                            <w:rFonts w:ascii="Times New Roman" w:hAnsi="Times New Roman" w:cs="Times New Roman" w:eastAsia="方正仿宋_GBK"/>
                            <w:sz w:val="28"/>
                            <w:szCs w:val="28"/>
                            <w:i w:val="1"/>
                            <w:iCs w:val="1"/>
                          </w:rPr>
                          <m:t>I</m:t>
                        </m:r>
                      </m:num>
                      <m:den>
                        <m:r>
                          <m:rPr>
                            <m:nor m:val="1"/>
                            <m:sty m:val="p"/>
                          </m:rPr>
                          <w:rPr>
                            <w:rFonts w:ascii="Times New Roman" w:hAnsi="Times New Roman" w:cs="Times New Roman" w:eastAsia="方正仿宋_GBK"/>
                            <w:b w:val="0"/>
                            <w:sz w:val="28"/>
                            <w:szCs w:val="28"/>
                            <w:i w:val="0"/>
                            <w:iCs w:val="0"/>
                          </w:rPr>
                          <m:t>(1+</m:t>
                        </m:r>
                        <m:r>
                          <m:rPr>
                            <m:nor m:val="1"/>
                          </m:rPr>
                          <w:rPr>
                            <w:rFonts w:ascii="Times New Roman" w:hAnsi="Times New Roman" w:cs="Times New Roman" w:eastAsia="方正仿宋_GBK"/>
                            <w:sz w:val="28"/>
                            <w:szCs w:val="28"/>
                            <w:i w:val="1"/>
                            <w:iCs w:val="1"/>
                          </w:rPr>
                          <m:t>r</m:t>
                        </m:r>
                        <m:sSup>
                          <m:sSupPr/>
                          <m:e>
                            <m:r>
                              <m:rPr>
                                <m:nor m:val="1"/>
                                <m:sty m:val="p"/>
                              </m:rPr>
                              <w:rPr>
                                <w:rFonts w:ascii="Times New Roman" w:hAnsi="Times New Roman" w:cs="Times New Roman" w:eastAsia="方正仿宋_GBK"/>
                                <w:b w:val="0"/>
                                <w:sz w:val="28"/>
                                <w:szCs w:val="28"/>
                                <w:i w:val="0"/>
                                <w:iCs w:val="0"/>
                              </w:rPr>
                              <m:t>)</m:t>
                            </m:r>
                          </m:e>
                          <m:sup>
                            <m:r>
                              <m:rPr>
                                <m:nor m:val="1"/>
                              </m:rPr>
                              <w:rPr>
                                <w:rFonts w:ascii="Times New Roman" w:hAnsi="Times New Roman" w:cs="Times New Roman" w:eastAsia="方正仿宋_GBK"/>
                                <w:sz w:val="28"/>
                                <w:szCs w:val="28"/>
                                <w:i w:val="1"/>
                                <w:iCs w:val="1"/>
                              </w:rPr>
                              <m:t>y</m:t>
                            </m:r>
                            <m:r>
                              <m:rPr>
                                <m:nor m:val="1"/>
                                <m:sty m:val="p"/>
                              </m:rPr>
                              <w:rPr>
                                <w:rFonts w:ascii="Times New Roman" w:hAnsi="Times New Roman" w:cs="Times New Roman" w:eastAsia="方正仿宋_GBK"/>
                                <w:b w:val="0"/>
                                <w:sz w:val="28"/>
                                <w:szCs w:val="28"/>
                                <w:i w:val="0"/>
                                <w:iCs w:val="0"/>
                              </w:rPr>
                              <m:t>−2021</m:t>
                            </m:r>
                          </m:sup>
                        </m:sSup>
                      </m:den>
                    </m:f>
                  </m:e>
                </m:mr>
                <m:mr>
                  <m:e/>
                  <m:e>
                    <m:r>
                      <m:rPr>
                        <m:nor m:val="1"/>
                        <m:sty m:val="p"/>
                      </m:rPr>
                      <w:rPr>
                        <w:rFonts w:ascii="Times New Roman" w:hAnsi="Times New Roman" w:cs="Times New Roman" w:eastAsia="方正仿宋_GBK"/>
                        <w:b w:val="0"/>
                        <w:sz w:val="28"/>
                        <w:szCs w:val="28"/>
                        <w:i w:val="0"/>
                        <w:iCs w:val="0"/>
                      </w:rPr>
                      <m:t>+</m:t>
                    </m:r>
                    <m:nary>
                      <m:naryPr>
                        <m:chr m:val="∑"/>
                        <m:limLoc m:val="undOvr"/>
                        <m:supHide m:val="1"/>
                      </m:naryPr>
                      <m:sub>
                        <m:r>
                          <m:rPr>
                            <m:nor m:val="1"/>
                          </m:rPr>
                          <w:rPr>
                            <w:rFonts w:ascii="Times New Roman" w:hAnsi="Times New Roman" w:cs="Times New Roman" w:eastAsia="方正仿宋_GBK"/>
                            <w:sz w:val="28"/>
                            <w:szCs w:val="28"/>
                            <w:i w:val="1"/>
                            <w:iCs w:val="1"/>
                          </w:rPr>
                          <m:t>k</m:t>
                        </m:r>
                        <m:r>
                          <m:rPr>
                            <m:nor m:val="1"/>
                            <m:sty m:val="p"/>
                          </m:rPr>
                          <w:rPr>
                            <w:rFonts w:ascii="Times New Roman" w:hAnsi="Times New Roman" w:cs="Times New Roman" w:eastAsia="方正仿宋_GBK"/>
                            <w:b w:val="0"/>
                            <w:sz w:val="28"/>
                            <w:szCs w:val="28"/>
                            <w:i w:val="0"/>
                            <w:iCs w:val="0"/>
                          </w:rPr>
                          <m:t>≥1, </m:t>
                        </m:r>
                        <m:r>
                          <m:rPr>
                            <m:nor m:val="1"/>
                          </m:rPr>
                          <w:rPr>
                            <w:rFonts w:ascii="Times New Roman" w:hAnsi="Times New Roman" w:cs="Times New Roman" w:eastAsia="方正仿宋_GBK"/>
                            <w:sz w:val="28"/>
                            <w:szCs w:val="28"/>
                            <w:i w:val="1"/>
                            <w:iCs w:val="1"/>
                          </w:rPr>
                          <m:t>y</m:t>
                        </m:r>
                        <m:r>
                          <m:rPr>
                            <m:nor m:val="1"/>
                            <m:sty m:val="p"/>
                          </m:rPr>
                          <w:rPr>
                            <w:rFonts w:ascii="Times New Roman" w:hAnsi="Times New Roman" w:cs="Times New Roman" w:eastAsia="方正仿宋_GBK"/>
                            <w:b w:val="0"/>
                            <w:sz w:val="28"/>
                            <w:szCs w:val="28"/>
                            <w:i w:val="0"/>
                            <w:iCs w:val="0"/>
                          </w:rPr>
                          <m:t>+</m:t>
                        </m:r>
                        <m:r>
                          <m:rPr>
                            <m:nor m:val="1"/>
                          </m:rPr>
                          <w:rPr>
                            <w:rFonts w:ascii="Times New Roman" w:hAnsi="Times New Roman" w:cs="Times New Roman" w:eastAsia="方正仿宋_GBK"/>
                            <w:sz w:val="28"/>
                            <w:szCs w:val="28"/>
                            <w:i w:val="1"/>
                            <w:iCs w:val="1"/>
                          </w:rPr>
                          <m:t>kL</m:t>
                        </m:r>
                        <m:r>
                          <m:rPr>
                            <m:nor m:val="1"/>
                            <m:sty m:val="p"/>
                          </m:rPr>
                          <w:rPr>
                            <w:rFonts w:ascii="Times New Roman" w:hAnsi="Times New Roman" w:cs="Times New Roman" w:eastAsia="方正仿宋_GBK"/>
                            <w:b w:val="0"/>
                            <w:sz w:val="28"/>
                            <w:szCs w:val="28"/>
                            <w:i w:val="0"/>
                            <w:iCs w:val="0"/>
                          </w:rPr>
                          <m:t>&lt;</m:t>
                        </m:r>
                        <m:r>
                          <m:rPr>
                            <m:nor m:val="1"/>
                          </m:rPr>
                          <w:rPr>
                            <w:rFonts w:ascii="Times New Roman" w:hAnsi="Times New Roman" w:cs="Times New Roman" w:eastAsia="方正仿宋_GBK"/>
                            <w:sz w:val="28"/>
                            <w:szCs w:val="28"/>
                            <w:i w:val="1"/>
                            <w:iCs w:val="1"/>
                          </w:rPr>
                          <m:t>T</m:t>
                        </m:r>
                      </m:sub>
                      <m:sup>
                        <m:r>
                          <m:rPr>
                            <m:nor m:val="1"/>
                            <m:sty m:val="p"/>
                          </m:rPr>
                          <w:rPr>
                            <w:rFonts w:ascii="Times New Roman" w:hAnsi="Times New Roman" w:cs="Times New Roman" w:eastAsia="方正仿宋_GBK"/>
                            <w:b w:val="0"/>
                            <w:sz w:val="28"/>
                            <w:szCs w:val="28"/>
                            <w:i w:val="0"/>
                            <w:iCs w:val="0"/>
                          </w:rPr>
                          <m:t>​</m:t>
                        </m:r>
                      </m:sup>
                      <m:e>
                        <m:f>
                          <m:fPr/>
                          <m:num>
                            <m:r>
                              <m:rPr>
                                <m:nor m:val="1"/>
                              </m:rPr>
                              <w:rPr>
                                <w:rFonts w:ascii="Times New Roman" w:hAnsi="Times New Roman" w:cs="Times New Roman" w:eastAsia="方正仿宋_GBK"/>
                                <w:sz w:val="28"/>
                                <w:szCs w:val="28"/>
                                <w:i w:val="1"/>
                                <w:iCs w:val="1"/>
                              </w:rPr>
                              <m:t>I</m:t>
                            </m:r>
                          </m:num>
                          <m:den>
                            <m:r>
                              <m:rPr>
                                <m:nor m:val="1"/>
                                <m:sty m:val="p"/>
                              </m:rPr>
                              <w:rPr>
                                <w:rFonts w:ascii="Times New Roman" w:hAnsi="Times New Roman" w:cs="Times New Roman" w:eastAsia="方正仿宋_GBK"/>
                                <w:b w:val="0"/>
                                <w:sz w:val="28"/>
                                <w:szCs w:val="28"/>
                                <w:i w:val="0"/>
                                <w:iCs w:val="0"/>
                              </w:rPr>
                              <m:t>(1+</m:t>
                            </m:r>
                            <m:r>
                              <m:rPr>
                                <m:nor m:val="1"/>
                              </m:rPr>
                              <w:rPr>
                                <w:rFonts w:ascii="Times New Roman" w:hAnsi="Times New Roman" w:cs="Times New Roman" w:eastAsia="方正仿宋_GBK"/>
                                <w:sz w:val="28"/>
                                <w:szCs w:val="28"/>
                                <w:i w:val="1"/>
                                <w:iCs w:val="1"/>
                              </w:rPr>
                              <m:t>r</m:t>
                            </m:r>
                            <m:sSup>
                              <m:sSupPr/>
                              <m:e>
                                <m:r>
                                  <m:rPr>
                                    <m:nor m:val="1"/>
                                    <m:sty m:val="p"/>
                                  </m:rPr>
                                  <w:rPr>
                                    <w:rFonts w:ascii="Times New Roman" w:hAnsi="Times New Roman" w:cs="Times New Roman" w:eastAsia="方正仿宋_GBK"/>
                                    <w:b w:val="0"/>
                                    <w:sz w:val="28"/>
                                    <w:szCs w:val="28"/>
                                    <w:i w:val="0"/>
                                    <w:iCs w:val="0"/>
                                  </w:rPr>
                                  <m:t>)</m:t>
                                </m:r>
                              </m:e>
                              <m:sup>
                                <m:r>
                                  <m:rPr>
                                    <m:nor m:val="1"/>
                                  </m:rPr>
                                  <w:rPr>
                                    <w:rFonts w:ascii="Times New Roman" w:hAnsi="Times New Roman" w:cs="Times New Roman" w:eastAsia="方正仿宋_GBK"/>
                                    <w:sz w:val="28"/>
                                    <w:szCs w:val="28"/>
                                    <w:i w:val="1"/>
                                    <w:iCs w:val="1"/>
                                  </w:rPr>
                                  <m:t>y</m:t>
                                </m:r>
                                <m:r>
                                  <m:rPr>
                                    <m:nor m:val="1"/>
                                    <m:sty m:val="p"/>
                                  </m:rPr>
                                  <w:rPr>
                                    <w:rFonts w:ascii="Times New Roman" w:hAnsi="Times New Roman" w:cs="Times New Roman" w:eastAsia="方正仿宋_GBK"/>
                                    <w:b w:val="0"/>
                                    <w:sz w:val="28"/>
                                    <w:szCs w:val="28"/>
                                    <w:i w:val="0"/>
                                    <w:iCs w:val="0"/>
                                  </w:rPr>
                                  <m:t>+</m:t>
                                </m:r>
                                <m:r>
                                  <m:rPr>
                                    <m:nor m:val="1"/>
                                  </m:rPr>
                                  <w:rPr>
                                    <w:rFonts w:ascii="Times New Roman" w:hAnsi="Times New Roman" w:cs="Times New Roman" w:eastAsia="方正仿宋_GBK"/>
                                    <w:sz w:val="28"/>
                                    <w:szCs w:val="28"/>
                                    <w:i w:val="1"/>
                                    <w:iCs w:val="1"/>
                                  </w:rPr>
                                  <m:t>kL</m:t>
                                </m:r>
                                <m:r>
                                  <m:rPr>
                                    <m:nor m:val="1"/>
                                    <m:sty m:val="p"/>
                                  </m:rPr>
                                  <w:rPr>
                                    <w:rFonts w:ascii="Times New Roman" w:hAnsi="Times New Roman" w:cs="Times New Roman" w:eastAsia="方正仿宋_GBK"/>
                                    <w:b w:val="0"/>
                                    <w:sz w:val="28"/>
                                    <w:szCs w:val="28"/>
                                    <w:i w:val="0"/>
                                    <w:iCs w:val="0"/>
                                  </w:rPr>
                                  <m:t>−2021</m:t>
                                </m:r>
                              </m:sup>
                            </m:sSup>
                          </m:den>
                        </m:f>
                      </m:e>
                    </m:nary>
                  </m:e>
                </m:mr>
                <m:mr>
                  <m:e/>
                  <m:e>
                    <m:r>
                      <m:rPr>
                        <m:nor m:val="1"/>
                        <m:sty m:val="p"/>
                      </m:rPr>
                      <w:rPr>
                        <w:rFonts w:ascii="Times New Roman" w:hAnsi="Times New Roman" w:cs="Times New Roman" w:eastAsia="方正仿宋_GBK"/>
                        <w:b w:val="0"/>
                        <w:sz w:val="28"/>
                        <w:szCs w:val="28"/>
                        <w:i w:val="0"/>
                        <w:iCs w:val="0"/>
                      </w:rPr>
                      <m:t>+</m:t>
                    </m:r>
                    <m:nary>
                      <m:naryPr>
                        <m:chr m:val="∑"/>
                        <m:limLoc m:val="undOvr"/>
                      </m:naryPr>
                      <m:sub>
                        <m:r>
                          <m:rPr>
                            <m:nor m:val="1"/>
                          </m:rPr>
                          <w:rPr>
                            <w:rFonts w:ascii="Times New Roman" w:hAnsi="Times New Roman" w:cs="Times New Roman" w:eastAsia="方正仿宋_GBK"/>
                            <w:sz w:val="28"/>
                            <w:szCs w:val="28"/>
                            <w:i w:val="1"/>
                            <w:iCs w:val="1"/>
                          </w:rPr>
                          <m:t>t</m:t>
                        </m:r>
                        <m:r>
                          <m:rPr>
                            <m:nor m:val="1"/>
                            <m:sty m:val="p"/>
                          </m:rPr>
                          <w:rPr>
                            <w:rFonts w:ascii="Times New Roman" w:hAnsi="Times New Roman" w:cs="Times New Roman" w:eastAsia="方正仿宋_GBK"/>
                            <w:b w:val="0"/>
                            <w:sz w:val="28"/>
                            <w:szCs w:val="28"/>
                            <w:i w:val="0"/>
                            <w:iCs w:val="0"/>
                          </w:rPr>
                          <m:t>=</m:t>
                        </m:r>
                        <m:r>
                          <m:rPr>
                            <m:nor m:val="1"/>
                          </m:rPr>
                          <w:rPr>
                            <w:rFonts w:ascii="Times New Roman" w:hAnsi="Times New Roman" w:cs="Times New Roman" w:eastAsia="方正仿宋_GBK"/>
                            <w:sz w:val="28"/>
                            <w:szCs w:val="28"/>
                            <w:i w:val="1"/>
                            <w:iCs w:val="1"/>
                          </w:rPr>
                          <m:t>y</m:t>
                        </m:r>
                        <m:r>
                          <m:rPr>
                            <m:nor m:val="1"/>
                            <m:sty m:val="p"/>
                          </m:rPr>
                          <w:rPr>
                            <w:rFonts w:ascii="Times New Roman" w:hAnsi="Times New Roman" w:cs="Times New Roman" w:eastAsia="方正仿宋_GBK"/>
                            <w:b w:val="0"/>
                            <w:sz w:val="28"/>
                            <w:szCs w:val="28"/>
                            <w:i w:val="0"/>
                            <w:iCs w:val="0"/>
                          </w:rPr>
                          <m:t>+1</m:t>
                        </m:r>
                      </m:sub>
                      <m:sup>
                        <m:r>
                          <m:rPr>
                            <m:nor m:val="1"/>
                          </m:rPr>
                          <w:rPr>
                            <w:rFonts w:ascii="Times New Roman" w:hAnsi="Times New Roman" w:cs="Times New Roman" w:eastAsia="方正仿宋_GBK"/>
                            <w:sz w:val="28"/>
                            <w:szCs w:val="28"/>
                            <w:i w:val="1"/>
                            <w:iCs w:val="1"/>
                          </w:rPr>
                          <m:t>T</m:t>
                        </m:r>
                      </m:sup>
                      <m:e>
                        <m:f>
                          <m:fPr/>
                          <m:num>
                            <m:r>
                              <m:rPr>
                                <m:nor m:val="1"/>
                              </m:rPr>
                              <w:rPr>
                                <w:rFonts w:ascii="Times New Roman" w:hAnsi="Times New Roman" w:cs="Times New Roman" w:eastAsia="方正仿宋_GBK"/>
                                <w:sz w:val="28"/>
                                <w:szCs w:val="28"/>
                                <w:i w:val="1"/>
                                <w:iCs w:val="1"/>
                              </w:rPr>
                              <m:t>qI</m:t>
                            </m:r>
                          </m:num>
                          <m:den>
                            <m:r>
                              <m:rPr>
                                <m:nor m:val="1"/>
                                <m:sty m:val="p"/>
                              </m:rPr>
                              <w:rPr>
                                <w:rFonts w:ascii="Times New Roman" w:hAnsi="Times New Roman" w:cs="Times New Roman" w:eastAsia="方正仿宋_GBK"/>
                                <w:b w:val="0"/>
                                <w:sz w:val="28"/>
                                <w:szCs w:val="28"/>
                                <w:i w:val="0"/>
                                <w:iCs w:val="0"/>
                              </w:rPr>
                              <m:t>(1+</m:t>
                            </m:r>
                            <m:r>
                              <m:rPr>
                                <m:nor m:val="1"/>
                              </m:rPr>
                              <w:rPr>
                                <w:rFonts w:ascii="Times New Roman" w:hAnsi="Times New Roman" w:cs="Times New Roman" w:eastAsia="方正仿宋_GBK"/>
                                <w:sz w:val="28"/>
                                <w:szCs w:val="28"/>
                                <w:i w:val="1"/>
                                <w:iCs w:val="1"/>
                              </w:rPr>
                              <m:t>r</m:t>
                            </m:r>
                            <m:sSup>
                              <m:sSupPr/>
                              <m:e>
                                <m:r>
                                  <m:rPr>
                                    <m:nor m:val="1"/>
                                    <m:sty m:val="p"/>
                                  </m:rPr>
                                  <w:rPr>
                                    <w:rFonts w:ascii="Times New Roman" w:hAnsi="Times New Roman" w:cs="Times New Roman" w:eastAsia="方正仿宋_GBK"/>
                                    <w:b w:val="0"/>
                                    <w:sz w:val="28"/>
                                    <w:szCs w:val="28"/>
                                    <w:i w:val="0"/>
                                    <w:iCs w:val="0"/>
                                  </w:rPr>
                                  <m:t>)</m:t>
                                </m:r>
                              </m:e>
                              <m:sup>
                                <m:r>
                                  <m:rPr>
                                    <m:nor m:val="1"/>
                                  </m:rPr>
                                  <w:rPr>
                                    <w:rFonts w:ascii="Times New Roman" w:hAnsi="Times New Roman" w:cs="Times New Roman" w:eastAsia="方正仿宋_GBK"/>
                                    <w:sz w:val="28"/>
                                    <w:szCs w:val="28"/>
                                    <w:i w:val="1"/>
                                    <w:iCs w:val="1"/>
                                  </w:rPr>
                                  <m:t>t</m:t>
                                </m:r>
                                <m:r>
                                  <m:rPr>
                                    <m:nor m:val="1"/>
                                    <m:sty m:val="p"/>
                                  </m:rPr>
                                  <w:rPr>
                                    <w:rFonts w:ascii="Times New Roman" w:hAnsi="Times New Roman" w:cs="Times New Roman" w:eastAsia="方正仿宋_GBK"/>
                                    <w:b w:val="0"/>
                                    <w:sz w:val="28"/>
                                    <w:szCs w:val="28"/>
                                    <w:i w:val="0"/>
                                    <w:iCs w:val="0"/>
                                  </w:rPr>
                                  <m:t>−2021</m:t>
                                </m:r>
                              </m:sup>
                            </m:sSup>
                          </m:den>
                        </m:f>
                      </m:e>
                    </m:nary>
                    <m:r>
                      <m:rPr>
                        <m:nor m:val="1"/>
                        <m:sty m:val="p"/>
                      </m:rPr>
                      <w:rPr>
                        <w:rFonts w:ascii="Times New Roman" w:hAnsi="Times New Roman" w:cs="Times New Roman" w:eastAsia="方正仿宋_GBK"/>
                        <w:b w:val="0"/>
                        <w:sz w:val="28"/>
                        <w:szCs w:val="28"/>
                        <w:i w:val="0"/>
                        <w:iCs w:val="0"/>
                      </w:rPr>
                      <m:t>.</m:t>
                    </m:r>
                  </m:e>
                </m:mr>
              </m:m>
            </m:oMath>
          </w:p>
        </w:tc>
        <w:tc>
          <w:tcPr>
            <w:tcW w:w="800" w:type="dxa"/>
            <w:vAlign w:val="center"/>
            <w:tcMar>
              <w:top w:w="0" w:type="dxa"/>
              <w:bottom w:w="0" w:type="dxa"/>
              <w:left w:w="0" w:type="dxa"/>
              <w:right w:w="0" w:type="dxa"/>
            </w:tcMar>
          </w:tcPr>
          <w:p>
            <w:pPr>
              <w:ind w:firstLine="0" w:firstLineChars="0" w:hanging="0" w:hangingChars="0" w:left="0" w:right="0" w:start="0" w:end="0" w:leftChars="0" w:rightChars="0" w:startChars="0" w:endChars="0"/>
              <w:jc w:val="right"/>
              <w:spacing w:before="50" w:after="50" w:line="360" w:lineRule="auto"/>
              <w:snapToGrid w:val="0"/>
              <w:keepNext/>
            </w:pPr>
            <w:r>
              <w:rPr>
                <w:rFonts w:ascii="Times New Roman" w:hAnsi="Times New Roman" w:cs="Times New Roman" w:eastAsia="方正仿宋_GBK"/>
                <w:sz w:val="24"/>
              </w:rPr>
              <w:t>（1）</w:t>
            </w:r>
          </w:p>
        </w:tc>
      </w:tr>
    </w:tbl>
    <w:p>
      <w:pPr>
        <w:adjustRightInd w:val="0"/>
        <w:snapToGrid w:val="0"/>
        <w:spacing w:line="560" w:lineRule="exact"/>
        <w:rPr>
          <w:rFonts w:hint="eastAsia" w:ascii="方正仿宋_GBK" w:hAnsi="方正仿宋_GBK" w:eastAsia="方正仿宋_GBK" w:cs="Times New Roman"/>
          <w:sz w:val="32"/>
          <w:szCs w:val="32"/>
          <w:highlight w:val="none"/>
          <w14:ligatures w14:val="standardContextual"/>
        </w:rPr>
        <w:widowControl/>
        <w:ind w:firstLine="0" w:firstLineChars="0" w:hanging="0" w:hangingChars="0" w:left="0" w:right="0" w:start="0" w:end="0" w:leftChars="0" w:rightChars="0" w:startChars="0" w:endChars="0"/>
      </w:pPr>
      <w:r>
        <w:rPr>
          <w:rFonts w:hint="eastAsia" w:ascii="方正仿宋_GBK" w:hAnsi="方正仿宋_GBK" w:eastAsia="方正仿宋_GBK" w:cs="Times New Roman"/>
          <w:sz w:val="32"/>
          <w:szCs w:val="32"/>
        </w:rPr>
        <w:t xml:space="preserve">式中，</w:t>
      </w:r>
      <w:r>
        <w:rPr>
          <w:rFonts w:hint="eastAsia" w:ascii="Times New Roman" w:hAnsi="Times New Roman" w:eastAsia="方正仿宋_GBK" w:cs="Times New Roman"/>
          <w:sz w:val="32"/>
          <w:szCs w:val="32"/>
          <w:i w:val="1"/>
          <w:iCs w:val="1"/>
        </w:rPr>
        <w:t xml:space="preserve">C</w:t>
      </w:r>
      <w:r>
        <w:rPr>
          <w:rFonts w:hint="eastAsia" w:ascii="方正仿宋_GBK" w:hAnsi="方正仿宋_GBK" w:eastAsia="方正仿宋_GBK" w:cs="Times New Roman"/>
          <w:sz w:val="32"/>
          <w:szCs w:val="32"/>
        </w:rPr>
        <w:t xml:space="preserve">为单项工程费用现值，</w:t>
      </w:r>
      <w:r>
        <w:rPr>
          <w:rFonts w:hint="eastAsia" w:ascii="Times New Roman" w:hAnsi="Times New Roman" w:eastAsia="方正仿宋_GBK" w:cs="Times New Roman"/>
          <w:sz w:val="32"/>
          <w:szCs w:val="32"/>
          <w:i w:val="1"/>
          <w:iCs w:val="1"/>
        </w:rPr>
        <w:t xml:space="preserve">I</w:t>
      </w:r>
      <w:r>
        <w:rPr>
          <w:rFonts w:hint="eastAsia" w:ascii="方正仿宋_GBK" w:hAnsi="方正仿宋_GBK" w:eastAsia="方正仿宋_GBK" w:cs="Times New Roman"/>
          <w:sz w:val="32"/>
          <w:szCs w:val="32"/>
        </w:rPr>
        <w:t xml:space="preserve">为初始建设投资，单位均为万元；</w:t>
      </w:r>
      <w:r>
        <w:rPr>
          <w:rFonts w:hint="eastAsia" w:ascii="Times New Roman" w:hAnsi="Times New Roman" w:eastAsia="方正仿宋_GBK" w:cs="Times New Roman"/>
          <w:sz w:val="32"/>
          <w:szCs w:val="32"/>
          <w:i w:val="1"/>
          <w:iCs w:val="1"/>
        </w:rPr>
        <w:t xml:space="preserve">y</w:t>
      </w:r>
      <w:r>
        <w:rPr>
          <w:rFonts w:hint="eastAsia" w:ascii="方正仿宋_GBK" w:hAnsi="方正仿宋_GBK" w:eastAsia="方正仿宋_GBK" w:cs="Times New Roman"/>
          <w:sz w:val="32"/>
          <w:szCs w:val="32"/>
        </w:rPr>
        <w:t xml:space="preserve">为投运年份，</w:t>
      </w:r>
      <w:r>
        <w:rPr>
          <w:rFonts w:hint="eastAsia" w:ascii="Times New Roman" w:hAnsi="Times New Roman" w:eastAsia="方正仿宋_GBK" w:cs="Times New Roman"/>
          <w:sz w:val="32"/>
          <w:szCs w:val="32"/>
          <w:i w:val="1"/>
          <w:iCs w:val="1"/>
        </w:rPr>
        <w:t xml:space="preserve">L</w:t>
      </w:r>
      <w:r>
        <w:rPr>
          <w:rFonts w:hint="eastAsia" w:ascii="方正仿宋_GBK" w:hAnsi="方正仿宋_GBK" w:eastAsia="方正仿宋_GBK" w:cs="Times New Roman"/>
          <w:sz w:val="32"/>
          <w:szCs w:val="32"/>
        </w:rPr>
        <w:t xml:space="preserve">为设备寿命，单位为年；</w:t>
      </w:r>
      <w:r>
        <w:rPr>
          <w:rFonts w:hint="eastAsia" w:ascii="Times New Roman" w:hAnsi="Times New Roman" w:eastAsia="方正仿宋_GBK" w:cs="Times New Roman"/>
          <w:sz w:val="32"/>
          <w:szCs w:val="32"/>
          <w:i w:val="1"/>
          <w:iCs w:val="1"/>
        </w:rPr>
        <w:t xml:space="preserve">q</w:t>
      </w:r>
      <w:r>
        <w:rPr>
          <w:rFonts w:hint="eastAsia" w:ascii="方正仿宋_GBK" w:hAnsi="方正仿宋_GBK" w:eastAsia="方正仿宋_GBK" w:cs="Times New Roman"/>
          <w:sz w:val="32"/>
          <w:szCs w:val="32"/>
        </w:rPr>
        <w:t xml:space="preserve">为年度固定运维费占初始投资的比例，</w:t>
      </w:r>
      <w:r>
        <w:rPr>
          <w:rFonts w:hint="eastAsia" w:ascii="Times New Roman" w:hAnsi="Times New Roman" w:eastAsia="方正仿宋_GBK" w:cs="Times New Roman"/>
          <w:sz w:val="32"/>
          <w:szCs w:val="32"/>
          <w:i w:val="1"/>
          <w:iCs w:val="1"/>
        </w:rPr>
        <w:t xml:space="preserve">r</w:t>
      </w:r>
      <w:r>
        <w:rPr>
          <w:rFonts w:hint="eastAsia" w:ascii="方正仿宋_GBK" w:hAnsi="方正仿宋_GBK" w:eastAsia="方正仿宋_GBK" w:cs="Times New Roman"/>
          <w:sz w:val="32"/>
          <w:szCs w:val="32"/>
        </w:rPr>
        <w:t xml:space="preserve">为折现率，</w:t>
      </w:r>
      <w:r>
        <w:rPr>
          <w:rFonts w:hint="eastAsia" w:ascii="Times New Roman" w:hAnsi="Times New Roman" w:eastAsia="方正仿宋_GBK" w:cs="Times New Roman"/>
          <w:sz w:val="32"/>
          <w:szCs w:val="32"/>
          <w:i w:val="1"/>
          <w:iCs w:val="1"/>
        </w:rPr>
        <w:t xml:space="preserve">k</w:t>
      </w:r>
      <w:r>
        <w:rPr>
          <w:rFonts w:hint="eastAsia" w:ascii="方正仿宋_GBK" w:hAnsi="方正仿宋_GBK" w:eastAsia="方正仿宋_GBK" w:cs="Times New Roman"/>
          <w:sz w:val="32"/>
          <w:szCs w:val="32"/>
        </w:rPr>
        <w:t xml:space="preserve">为设备更新次数序号，</w:t>
      </w:r>
      <w:r>
        <w:rPr>
          <w:rFonts w:hint="eastAsia" w:ascii="Times New Roman" w:hAnsi="Times New Roman" w:eastAsia="方正仿宋_GBK" w:cs="Times New Roman"/>
          <w:sz w:val="32"/>
          <w:szCs w:val="32"/>
          <w:i w:val="1"/>
          <w:iCs w:val="1"/>
        </w:rPr>
        <w:t xml:space="preserve">t</w:t>
      </w:r>
      <w:r>
        <w:rPr>
          <w:rFonts w:hint="eastAsia" w:ascii="方正仿宋_GBK" w:hAnsi="方正仿宋_GBK" w:eastAsia="方正仿宋_GBK" w:cs="Times New Roman"/>
          <w:sz w:val="32"/>
          <w:szCs w:val="32"/>
        </w:rPr>
        <w:t xml:space="preserve">为运维年份，</w:t>
      </w:r>
      <w:r>
        <w:rPr>
          <w:rFonts w:hint="eastAsia" w:ascii="Times New Roman" w:hAnsi="Times New Roman" w:eastAsia="方正仿宋_GBK" w:cs="Times New Roman"/>
          <w:sz w:val="32"/>
          <w:szCs w:val="32"/>
          <w:i w:val="1"/>
          <w:iCs w:val="1"/>
        </w:rPr>
        <w:t xml:space="preserve">T</w:t>
      </w:r>
      <w:r>
        <w:rPr>
          <w:rFonts w:hint="eastAsia" w:ascii="方正仿宋_GBK" w:hAnsi="方正仿宋_GBK" w:eastAsia="方正仿宋_GBK" w:cs="Times New Roman"/>
          <w:sz w:val="32"/>
          <w:szCs w:val="32"/>
        </w:rPr>
        <w:t xml:space="preserve">为评价截止年2041。设备在</w:t>
      </w:r>
      <w:r>
        <w:rPr>
          <w:rFonts w:hint="eastAsia" w:ascii="Times New Roman" w:hAnsi="Times New Roman" w:eastAsia="方正仿宋_GBK" w:cs="Times New Roman"/>
          <w:sz w:val="32"/>
          <w:szCs w:val="32"/>
          <w:i w:val="1"/>
          <w:iCs w:val="1"/>
        </w:rPr>
        <w:t xml:space="preserve">y</w:t>
      </w:r>
      <w:r>
        <w:rPr>
          <w:rFonts w:hint="eastAsia" w:ascii="方正仿宋_GBK" w:hAnsi="方正仿宋_GBK" w:eastAsia="方正仿宋_GBK" w:cs="Times New Roman"/>
          <w:sz w:val="32"/>
          <w:szCs w:val="32"/>
        </w:rPr>
        <w:t xml:space="preserve">+</w:t>
      </w:r>
      <w:r>
        <w:rPr>
          <w:rFonts w:hint="eastAsia" w:ascii="Times New Roman" w:hAnsi="Times New Roman" w:eastAsia="方正仿宋_GBK" w:cs="Times New Roman"/>
          <w:sz w:val="32"/>
          <w:szCs w:val="32"/>
          <w:i w:val="1"/>
          <w:iCs w:val="1"/>
        </w:rPr>
        <w:t xml:space="preserve">k</w:t>
      </w:r>
      <w:r>
        <w:rPr>
          <w:rFonts w:hint="eastAsia" w:ascii="Times New Roman" w:hAnsi="Times New Roman" w:eastAsia="方正仿宋_GBK" w:cs="Times New Roman"/>
          <w:sz w:val="32"/>
          <w:szCs w:val="32"/>
          <w:i w:val="1"/>
          <w:iCs w:val="1"/>
        </w:rPr>
        <w:t xml:space="preserve">L</w:t>
      </w:r>
      <w:r>
        <w:rPr>
          <w:rFonts w:hint="eastAsia" w:ascii="方正仿宋_GBK" w:hAnsi="方正仿宋_GBK" w:eastAsia="方正仿宋_GBK" w:cs="Times New Roman"/>
          <w:sz w:val="32"/>
          <w:szCs w:val="32"/>
        </w:rPr>
        <w:t xml:space="preserve">严格小于2041时计取更新投资，固定运维从投运次年计至2041年末。</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主变、线路、储能的设备寿命分别为40年、40年、25年，固定维护费率分别为4.20%、2.20%、3.00%，折现率取6%。2022—2035年投运设备在评价截止前均未达到设定寿命，当前方案的更新费用为零。各投运批次分别建立现金流，汇总主变、储能和联络三类工程费用现值：</w:t>
      </w:r>
    </w:p>
    <w:tbl>
      <w:tblPr>
        <w:tblW w:w="8306" w:type="dxa"/>
        <w:jc w:val="center"/>
        <w:tblInd w:w="0" w:type="dxa"/>
        <w:tblLayout w:type="fixed"/>
        <w:tblCaption w:val="ReportEquation"/>
        <w:tblBorders>
          <w:top w:val="nil"/>
          <w:left w:val="nil"/>
          <w:bottom w:val="nil"/>
          <w:right w:val="nil"/>
          <w:insideH w:val="nil"/>
          <w:insideV w:val="nil"/>
        </w:tblBorders>
        <w:tblCellMar>
          <w:top w:w="0" w:type="dxa"/>
          <w:bottom w:w="0" w:type="dxa"/>
          <w:left w:w="0" w:type="dxa"/>
          <w:right w:w="0" w:type="dxa"/>
        </w:tblCellMar>
      </w:tblPr>
      <w:tblGrid>
        <w:gridCol w:w="800"/>
        <w:gridCol w:w="6706"/>
        <w:gridCol w:w="800"/>
      </w:tblGrid>
      <w:tr>
        <w:trPr>
          <w:cantSplit/>
        </w:trPr>
        <w:tc>
          <w:tcPr>
            <w:tcW w:w="800" w:type="dxa"/>
            <w:vAlign w:val="center"/>
            <w:tcMar>
              <w:top w:w="0" w:type="dxa"/>
              <w:bottom w:w="0" w:type="dxa"/>
              <w:left w:w="0" w:type="dxa"/>
              <w:right w:w="0" w:type="dxa"/>
            </w:tcMar>
          </w:tcPr>
          <w:p>
            <w:pPr>
              <w:ind w:firstLine="0" w:firstLineChars="0" w:hanging="0" w:hangingChars="0" w:left="0" w:right="0" w:start="0" w:end="0" w:leftChars="0" w:rightChars="0" w:startChars="0" w:endChars="0"/>
              <w:jc w:val="center"/>
              <w:spacing w:before="50" w:after="50" w:line="360" w:lineRule="auto"/>
              <w:snapToGrid w:val="0"/>
              <w:keepNext/>
            </w:pPr>
          </w:p>
        </w:tc>
        <w:tc>
          <w:tcPr>
            <w:tcW w:w="6706" w:type="dxa"/>
            <w:vAlign w:val="center"/>
            <w:tcMar>
              <w:top w:w="0" w:type="dxa"/>
              <w:bottom w:w="0" w:type="dxa"/>
              <w:left w:w="0" w:type="dxa"/>
              <w:right w:w="0" w:type="dxa"/>
            </w:tcMar>
          </w:tcPr>
          <w:p>
            <w:pPr>
              <w:ind w:firstLine="0" w:firstLineChars="0" w:hanging="0" w:hangingChars="0" w:left="0" w:right="0" w:start="0" w:end="0" w:leftChars="0" w:rightChars="0" w:startChars="0" w:endChars="0"/>
              <w:jc w:val="center"/>
              <w:spacing w:before="50" w:after="50" w:line="360" w:lineRule="auto"/>
              <w:snapToGrid w:val="0"/>
              <w:keepNext/>
            </w:pPr>
            <m:oMath>
              <m:sSub>
                <m:sSubPr/>
                <m:e>
                  <m:r>
                    <m:rPr>
                      <m:nor m:val="1"/>
                    </m:rPr>
                    <w:rPr>
                      <w:rFonts w:ascii="Times New Roman" w:hAnsi="Times New Roman" w:cs="Times New Roman" w:eastAsia="方正仿宋_GBK"/>
                      <w:sz w:val="28"/>
                      <w:szCs w:val="28"/>
                      <w:i w:val="1"/>
                      <w:iCs w:val="1"/>
                    </w:rPr>
                    <m:t>C</m:t>
                  </m:r>
                </m:e>
                <m:sub>
                  <m:r>
                    <m:rPr>
                      <m:nor m:val="1"/>
                      <m:sty m:val="p"/>
                    </m:rPr>
                    <w:rPr>
                      <w:rFonts w:ascii="Times New Roman" w:hAnsi="Times New Roman" w:cs="Times New Roman" w:eastAsia="方正仿宋_GBK"/>
                      <w:b w:val="0"/>
                      <w:sz w:val="28"/>
                      <w:szCs w:val="28"/>
                      <w:i w:val="0"/>
                      <w:iCs w:val="0"/>
                    </w:rPr>
                    <m:t>plan</m:t>
                  </m:r>
                </m:sub>
              </m:sSub>
              <m:r>
                <m:rPr>
                  <m:nor m:val="1"/>
                  <m:sty m:val="p"/>
                </m:rPr>
                <w:rPr>
                  <w:rFonts w:ascii="Times New Roman" w:hAnsi="Times New Roman" w:cs="Times New Roman" w:eastAsia="方正仿宋_GBK"/>
                  <w:b w:val="0"/>
                  <w:sz w:val="28"/>
                  <w:szCs w:val="28"/>
                  <w:i w:val="0"/>
                  <w:iCs w:val="0"/>
                </w:rPr>
                <m:t>=</m:t>
              </m:r>
              <m:nary>
                <m:naryPr>
                  <m:chr m:val="∑"/>
                  <m:limLoc m:val="undOvr"/>
                  <m:supHide m:val="1"/>
                </m:naryPr>
                <m:sub>
                  <m:r>
                    <m:rPr>
                      <m:nor m:val="1"/>
                    </m:rPr>
                    <w:rPr>
                      <w:rFonts w:ascii="Times New Roman" w:hAnsi="Times New Roman" w:cs="Times New Roman" w:eastAsia="方正仿宋_GBK"/>
                      <w:sz w:val="28"/>
                      <w:szCs w:val="28"/>
                      <w:i w:val="1"/>
                      <w:iCs w:val="1"/>
                    </w:rPr>
                    <m:t>e</m:t>
                  </m:r>
                  <m:r>
                    <m:rPr>
                      <m:nor m:val="1"/>
                      <m:sty m:val="p"/>
                    </m:rPr>
                    <w:rPr>
                      <w:rFonts w:ascii="Times New Roman" w:hAnsi="Times New Roman" w:cs="Times New Roman" w:eastAsia="方正仿宋_GBK"/>
                      <w:b w:val="0"/>
                      <w:sz w:val="28"/>
                      <w:szCs w:val="28"/>
                      <w:i w:val="0"/>
                      <w:iCs w:val="0"/>
                    </w:rPr>
                    <m:t>∈</m:t>
                  </m:r>
                  <m:sSub>
                    <m:sSubPr/>
                    <m:e>
                      <m:r>
                        <m:rPr>
                          <m:nor m:val="1"/>
                          <m:sty m:val="p"/>
                          <m:scr m:val="script"/>
                        </m:rPr>
                        <w:rPr>
                          <w:rFonts w:ascii="Times New Roman" w:hAnsi="Times New Roman" w:cs="Times New Roman" w:eastAsia="方正仿宋_GBK"/>
                          <w:b w:val="0"/>
                          <w:sz w:val="28"/>
                          <w:szCs w:val="28"/>
                          <w:i w:val="1"/>
                          <w:iCs w:val="1"/>
                        </w:rPr>
                        <m:t>E</m:t>
                      </m:r>
                    </m:e>
                    <m:sub>
                      <m:r>
                        <m:rPr>
                          <m:nor m:val="1"/>
                        </m:rPr>
                        <w:rPr>
                          <w:rFonts w:ascii="Times New Roman" w:hAnsi="Times New Roman" w:cs="Times New Roman" w:eastAsia="方正仿宋_GBK"/>
                          <w:sz w:val="28"/>
                          <w:szCs w:val="28"/>
                          <w:i w:val="1"/>
                          <w:iCs w:val="1"/>
                        </w:rPr>
                        <m:t>T</m:t>
                      </m:r>
                    </m:sub>
                  </m:sSub>
                </m:sub>
                <m:sup>
                  <m:r>
                    <m:rPr>
                      <m:nor m:val="1"/>
                      <m:sty m:val="p"/>
                    </m:rPr>
                    <w:rPr>
                      <w:rFonts w:ascii="Times New Roman" w:hAnsi="Times New Roman" w:cs="Times New Roman" w:eastAsia="方正仿宋_GBK"/>
                      <w:b w:val="0"/>
                      <w:sz w:val="28"/>
                      <w:szCs w:val="28"/>
                      <w:i w:val="0"/>
                      <w:iCs w:val="0"/>
                    </w:rPr>
                    <m:t>​</m:t>
                  </m:r>
                </m:sup>
                <m:e>
                  <m:sSub>
                    <m:sSubPr/>
                    <m:e>
                      <m:r>
                        <m:rPr>
                          <m:nor m:val="1"/>
                        </m:rPr>
                        <w:rPr>
                          <w:rFonts w:ascii="Times New Roman" w:hAnsi="Times New Roman" w:cs="Times New Roman" w:eastAsia="方正仿宋_GBK"/>
                          <w:sz w:val="28"/>
                          <w:szCs w:val="28"/>
                          <w:i w:val="1"/>
                          <w:iCs w:val="1"/>
                        </w:rPr>
                        <m:t>C</m:t>
                      </m:r>
                    </m:e>
                    <m:sub>
                      <m:r>
                        <m:rPr>
                          <m:nor m:val="1"/>
                        </m:rPr>
                        <w:rPr>
                          <w:rFonts w:ascii="Times New Roman" w:hAnsi="Times New Roman" w:cs="Times New Roman" w:eastAsia="方正仿宋_GBK"/>
                          <w:sz w:val="28"/>
                          <w:szCs w:val="28"/>
                          <w:i w:val="1"/>
                          <w:iCs w:val="1"/>
                        </w:rPr>
                        <m:t>e</m:t>
                      </m:r>
                    </m:sub>
                  </m:sSub>
                </m:e>
              </m:nary>
              <m:r>
                <m:rPr>
                  <m:nor m:val="1"/>
                  <m:sty m:val="p"/>
                </m:rPr>
                <w:rPr>
                  <w:rFonts w:ascii="Times New Roman" w:hAnsi="Times New Roman" w:cs="Times New Roman" w:eastAsia="方正仿宋_GBK"/>
                  <w:b w:val="0"/>
                  <w:sz w:val="28"/>
                  <w:szCs w:val="28"/>
                  <w:i w:val="0"/>
                  <w:iCs w:val="0"/>
                </w:rPr>
                <m:t>+</m:t>
              </m:r>
              <m:nary>
                <m:naryPr>
                  <m:chr m:val="∑"/>
                  <m:limLoc m:val="undOvr"/>
                  <m:supHide m:val="1"/>
                </m:naryPr>
                <m:sub>
                  <m:r>
                    <m:rPr>
                      <m:nor m:val="1"/>
                    </m:rPr>
                    <w:rPr>
                      <w:rFonts w:ascii="Times New Roman" w:hAnsi="Times New Roman" w:cs="Times New Roman" w:eastAsia="方正仿宋_GBK"/>
                      <w:sz w:val="28"/>
                      <w:szCs w:val="28"/>
                      <w:i w:val="1"/>
                      <w:iCs w:val="1"/>
                    </w:rPr>
                    <m:t>e</m:t>
                  </m:r>
                  <m:r>
                    <m:rPr>
                      <m:nor m:val="1"/>
                      <m:sty m:val="p"/>
                    </m:rPr>
                    <w:rPr>
                      <w:rFonts w:ascii="Times New Roman" w:hAnsi="Times New Roman" w:cs="Times New Roman" w:eastAsia="方正仿宋_GBK"/>
                      <w:b w:val="0"/>
                      <w:sz w:val="28"/>
                      <w:szCs w:val="28"/>
                      <w:i w:val="0"/>
                      <w:iCs w:val="0"/>
                    </w:rPr>
                    <m:t>∈</m:t>
                  </m:r>
                  <m:sSub>
                    <m:sSubPr/>
                    <m:e>
                      <m:r>
                        <m:rPr>
                          <m:nor m:val="1"/>
                          <m:sty m:val="p"/>
                          <m:scr m:val="script"/>
                        </m:rPr>
                        <w:rPr>
                          <w:rFonts w:ascii="Times New Roman" w:hAnsi="Times New Roman" w:cs="Times New Roman" w:eastAsia="方正仿宋_GBK"/>
                          <w:b w:val="0"/>
                          <w:sz w:val="28"/>
                          <w:szCs w:val="28"/>
                          <w:i w:val="1"/>
                          <w:iCs w:val="1"/>
                        </w:rPr>
                        <m:t>E</m:t>
                      </m:r>
                    </m:e>
                    <m:sub>
                      <m:r>
                        <m:rPr>
                          <m:nor m:val="1"/>
                        </m:rPr>
                        <w:rPr>
                          <w:rFonts w:ascii="Times New Roman" w:hAnsi="Times New Roman" w:cs="Times New Roman" w:eastAsia="方正仿宋_GBK"/>
                          <w:sz w:val="28"/>
                          <w:szCs w:val="28"/>
                          <w:i w:val="1"/>
                          <w:iCs w:val="1"/>
                        </w:rPr>
                        <m:t>B</m:t>
                      </m:r>
                    </m:sub>
                  </m:sSub>
                </m:sub>
                <m:sup>
                  <m:r>
                    <m:rPr>
                      <m:nor m:val="1"/>
                      <m:sty m:val="p"/>
                    </m:rPr>
                    <w:rPr>
                      <w:rFonts w:ascii="Times New Roman" w:hAnsi="Times New Roman" w:cs="Times New Roman" w:eastAsia="方正仿宋_GBK"/>
                      <w:b w:val="0"/>
                      <w:sz w:val="28"/>
                      <w:szCs w:val="28"/>
                      <w:i w:val="0"/>
                      <w:iCs w:val="0"/>
                    </w:rPr>
                    <m:t>​</m:t>
                  </m:r>
                </m:sup>
                <m:e>
                  <m:sSub>
                    <m:sSubPr/>
                    <m:e>
                      <m:r>
                        <m:rPr>
                          <m:nor m:val="1"/>
                        </m:rPr>
                        <w:rPr>
                          <w:rFonts w:ascii="Times New Roman" w:hAnsi="Times New Roman" w:cs="Times New Roman" w:eastAsia="方正仿宋_GBK"/>
                          <w:sz w:val="28"/>
                          <w:szCs w:val="28"/>
                          <w:i w:val="1"/>
                          <w:iCs w:val="1"/>
                        </w:rPr>
                        <m:t>C</m:t>
                      </m:r>
                    </m:e>
                    <m:sub>
                      <m:r>
                        <m:rPr>
                          <m:nor m:val="1"/>
                        </m:rPr>
                        <w:rPr>
                          <w:rFonts w:ascii="Times New Roman" w:hAnsi="Times New Roman" w:cs="Times New Roman" w:eastAsia="方正仿宋_GBK"/>
                          <w:sz w:val="28"/>
                          <w:szCs w:val="28"/>
                          <w:i w:val="1"/>
                          <w:iCs w:val="1"/>
                        </w:rPr>
                        <m:t>e</m:t>
                      </m:r>
                    </m:sub>
                  </m:sSub>
                </m:e>
              </m:nary>
              <m:r>
                <m:rPr>
                  <m:nor m:val="1"/>
                  <m:sty m:val="p"/>
                </m:rPr>
                <w:rPr>
                  <w:rFonts w:ascii="Times New Roman" w:hAnsi="Times New Roman" w:cs="Times New Roman" w:eastAsia="方正仿宋_GBK"/>
                  <w:b w:val="0"/>
                  <w:sz w:val="28"/>
                  <w:szCs w:val="28"/>
                  <w:i w:val="0"/>
                  <w:iCs w:val="0"/>
                </w:rPr>
                <m:t>+</m:t>
              </m:r>
              <m:nary>
                <m:naryPr>
                  <m:chr m:val="∑"/>
                  <m:limLoc m:val="undOvr"/>
                  <m:supHide m:val="1"/>
                </m:naryPr>
                <m:sub>
                  <m:r>
                    <m:rPr>
                      <m:nor m:val="1"/>
                    </m:rPr>
                    <w:rPr>
                      <w:rFonts w:ascii="Times New Roman" w:hAnsi="Times New Roman" w:cs="Times New Roman" w:eastAsia="方正仿宋_GBK"/>
                      <w:sz w:val="28"/>
                      <w:szCs w:val="28"/>
                      <w:i w:val="1"/>
                      <w:iCs w:val="1"/>
                    </w:rPr>
                    <m:t>e</m:t>
                  </m:r>
                  <m:r>
                    <m:rPr>
                      <m:nor m:val="1"/>
                      <m:sty m:val="p"/>
                    </m:rPr>
                    <w:rPr>
                      <w:rFonts w:ascii="Times New Roman" w:hAnsi="Times New Roman" w:cs="Times New Roman" w:eastAsia="方正仿宋_GBK"/>
                      <w:b w:val="0"/>
                      <w:sz w:val="28"/>
                      <w:szCs w:val="28"/>
                      <w:i w:val="0"/>
                      <w:iCs w:val="0"/>
                    </w:rPr>
                    <m:t>∈</m:t>
                  </m:r>
                  <m:sSub>
                    <m:sSubPr/>
                    <m:e>
                      <m:r>
                        <m:rPr>
                          <m:nor m:val="1"/>
                          <m:sty m:val="p"/>
                          <m:scr m:val="script"/>
                        </m:rPr>
                        <w:rPr>
                          <w:rFonts w:ascii="Times New Roman" w:hAnsi="Times New Roman" w:cs="Times New Roman" w:eastAsia="方正仿宋_GBK"/>
                          <w:b w:val="0"/>
                          <w:sz w:val="28"/>
                          <w:szCs w:val="28"/>
                          <w:i w:val="1"/>
                          <w:iCs w:val="1"/>
                        </w:rPr>
                        <m:t>E</m:t>
                      </m:r>
                    </m:e>
                    <m:sub>
                      <m:r>
                        <m:rPr>
                          <m:nor m:val="1"/>
                        </m:rPr>
                        <w:rPr>
                          <w:rFonts w:ascii="Times New Roman" w:hAnsi="Times New Roman" w:cs="Times New Roman" w:eastAsia="方正仿宋_GBK"/>
                          <w:sz w:val="28"/>
                          <w:szCs w:val="28"/>
                          <w:i w:val="1"/>
                          <w:iCs w:val="1"/>
                        </w:rPr>
                        <m:t>L</m:t>
                      </m:r>
                    </m:sub>
                  </m:sSub>
                </m:sub>
                <m:sup>
                  <m:r>
                    <m:rPr>
                      <m:nor m:val="1"/>
                      <m:sty m:val="p"/>
                    </m:rPr>
                    <w:rPr>
                      <w:rFonts w:ascii="Times New Roman" w:hAnsi="Times New Roman" w:cs="Times New Roman" w:eastAsia="方正仿宋_GBK"/>
                      <w:b w:val="0"/>
                      <w:sz w:val="28"/>
                      <w:szCs w:val="28"/>
                      <w:i w:val="0"/>
                      <w:iCs w:val="0"/>
                    </w:rPr>
                    <m:t>​</m:t>
                  </m:r>
                </m:sup>
                <m:e>
                  <m:sSub>
                    <m:sSubPr/>
                    <m:e>
                      <m:r>
                        <m:rPr>
                          <m:nor m:val="1"/>
                        </m:rPr>
                        <w:rPr>
                          <w:rFonts w:ascii="Times New Roman" w:hAnsi="Times New Roman" w:cs="Times New Roman" w:eastAsia="方正仿宋_GBK"/>
                          <w:sz w:val="28"/>
                          <w:szCs w:val="28"/>
                          <w:i w:val="1"/>
                          <w:iCs w:val="1"/>
                        </w:rPr>
                        <m:t>C</m:t>
                      </m:r>
                    </m:e>
                    <m:sub>
                      <m:r>
                        <m:rPr>
                          <m:nor m:val="1"/>
                        </m:rPr>
                        <w:rPr>
                          <w:rFonts w:ascii="Times New Roman" w:hAnsi="Times New Roman" w:cs="Times New Roman" w:eastAsia="方正仿宋_GBK"/>
                          <w:sz w:val="28"/>
                          <w:szCs w:val="28"/>
                          <w:i w:val="1"/>
                          <w:iCs w:val="1"/>
                        </w:rPr>
                        <m:t>e</m:t>
                      </m:r>
                    </m:sub>
                  </m:sSub>
                </m:e>
              </m:nary>
              <m:r>
                <m:rPr>
                  <m:nor m:val="1"/>
                  <m:sty m:val="p"/>
                </m:rPr>
                <w:rPr>
                  <w:rFonts w:ascii="Times New Roman" w:hAnsi="Times New Roman" w:cs="Times New Roman" w:eastAsia="方正仿宋_GBK"/>
                  <w:b w:val="0"/>
                  <w:sz w:val="28"/>
                  <w:szCs w:val="28"/>
                  <w:i w:val="0"/>
                  <w:iCs w:val="0"/>
                </w:rPr>
                <m:t>.</m:t>
              </m:r>
            </m:oMath>
          </w:p>
        </w:tc>
        <w:tc>
          <w:tcPr>
            <w:tcW w:w="800" w:type="dxa"/>
            <w:vAlign w:val="center"/>
            <w:tcMar>
              <w:top w:w="0" w:type="dxa"/>
              <w:bottom w:w="0" w:type="dxa"/>
              <w:left w:w="0" w:type="dxa"/>
              <w:right w:w="0" w:type="dxa"/>
            </w:tcMar>
          </w:tcPr>
          <w:p>
            <w:pPr>
              <w:ind w:firstLine="0" w:firstLineChars="0" w:hanging="0" w:hangingChars="0" w:left="0" w:right="0" w:start="0" w:end="0" w:leftChars="0" w:rightChars="0" w:startChars="0" w:endChars="0"/>
              <w:jc w:val="right"/>
              <w:spacing w:before="50" w:after="50" w:line="360" w:lineRule="auto"/>
              <w:snapToGrid w:val="0"/>
              <w:keepNext/>
            </w:pPr>
            <w:r>
              <w:rPr>
                <w:rFonts w:ascii="Times New Roman" w:hAnsi="Times New Roman" w:cs="Times New Roman" w:eastAsia="方正仿宋_GBK"/>
                <w:sz w:val="24"/>
              </w:rPr>
              <w:t>（2）</w:t>
            </w:r>
          </w:p>
        </w:tc>
      </w:tr>
    </w:tbl>
    <w:p>
      <w:pPr>
        <w:adjustRightInd w:val="0"/>
        <w:snapToGrid w:val="0"/>
        <w:spacing w:line="560" w:lineRule="exact"/>
        <w:rPr>
          <w:rFonts w:hint="eastAsia" w:ascii="方正仿宋_GBK" w:hAnsi="方正仿宋_GBK" w:eastAsia="方正仿宋_GBK" w:cs="Times New Roman"/>
          <w:sz w:val="32"/>
          <w:szCs w:val="32"/>
          <w:highlight w:val="none"/>
          <w14:ligatures w14:val="standardContextual"/>
        </w:rPr>
        <w:widowControl/>
        <w:ind w:firstLine="0" w:firstLineChars="0" w:hanging="0" w:hangingChars="0" w:left="0" w:right="0" w:start="0" w:end="0" w:leftChars="0" w:rightChars="0" w:startChars="0" w:endChars="0"/>
      </w:pPr>
      <w:r>
        <w:rPr>
          <w:rFonts w:hint="eastAsia" w:ascii="方正仿宋_GBK" w:hAnsi="方正仿宋_GBK" w:eastAsia="方正仿宋_GBK" w:cs="Times New Roman"/>
          <w:sz w:val="32"/>
          <w:szCs w:val="32"/>
        </w:rPr>
        <w:t xml:space="preserve">式中，</w:t>
      </w:r>
      <w:r>
        <w:rPr>
          <w:rFonts w:hint="eastAsia" w:ascii="Times New Roman" w:hAnsi="Times New Roman" w:eastAsia="方正仿宋_GBK" w:cs="Times New Roman"/>
          <w:sz w:val="32"/>
          <w:szCs w:val="32"/>
          <w:i w:val="1"/>
          <w:iCs w:val="1"/>
        </w:rPr>
        <w:t xml:space="preserve">C</w:t>
      </w:r>
      <w:r>
        <w:rPr>
          <w:rFonts w:hint="eastAsia" w:ascii="Times New Roman" w:hAnsi="Times New Roman" w:eastAsia="方正仿宋_GBK" w:cs="Times New Roman"/>
          <w:sz w:val="32"/>
          <w:szCs w:val="32"/>
          <w:i w:val="0"/>
          <w:iCs w:val="0"/>
          <w:vertAlign w:val="subscript"/>
        </w:rPr>
        <w:t xml:space="preserve">plan</w:t>
      </w:r>
      <w:r>
        <w:rPr>
          <w:rFonts w:hint="eastAsia" w:ascii="方正仿宋_GBK" w:hAnsi="方正仿宋_GBK" w:eastAsia="方正仿宋_GBK" w:cs="Times New Roman"/>
          <w:sz w:val="32"/>
          <w:szCs w:val="32"/>
        </w:rPr>
        <w:t xml:space="preserve">为方案费用现值，</w:t>
      </w:r>
      <w:r>
        <w:rPr>
          <w:rFonts w:hint="eastAsia" w:ascii="Times New Roman" w:hAnsi="Times New Roman" w:eastAsia="方正仿宋_GBK" w:cs="Times New Roman"/>
          <w:sz w:val="32"/>
          <w:szCs w:val="32"/>
          <w:i w:val="1"/>
          <w:iCs w:val="1"/>
        </w:rPr>
        <w:t xml:space="preserve">C</w:t>
      </w:r>
      <w:r>
        <w:rPr>
          <w:rFonts w:hint="eastAsia" w:ascii="Times New Roman" w:hAnsi="Times New Roman" w:eastAsia="方正仿宋_GBK" w:cs="Times New Roman"/>
          <w:sz w:val="32"/>
          <w:szCs w:val="32"/>
          <w:i w:val="1"/>
          <w:iCs w:val="1"/>
          <w:vertAlign w:val="subscript"/>
        </w:rPr>
        <w:t xml:space="preserve">e</w:t>
      </w:r>
      <w:r>
        <w:rPr>
          <w:rFonts w:hint="eastAsia" w:ascii="方正仿宋_GBK" w:hAnsi="方正仿宋_GBK" w:eastAsia="方正仿宋_GBK" w:cs="Times New Roman"/>
          <w:sz w:val="32"/>
          <w:szCs w:val="32"/>
        </w:rPr>
        <w:t xml:space="preserve">为工程</w:t>
      </w:r>
      <w:r>
        <w:rPr>
          <w:rFonts w:hint="eastAsia" w:ascii="Times New Roman" w:hAnsi="Times New Roman" w:eastAsia="方正仿宋_GBK" w:cs="Times New Roman"/>
          <w:sz w:val="32"/>
          <w:szCs w:val="32"/>
          <w:i w:val="1"/>
          <w:iCs w:val="1"/>
        </w:rPr>
        <w:t xml:space="preserve">e</w:t>
      </w:r>
      <w:r>
        <w:rPr>
          <w:rFonts w:hint="eastAsia" w:ascii="方正仿宋_GBK" w:hAnsi="方正仿宋_GBK" w:eastAsia="方正仿宋_GBK" w:cs="Times New Roman"/>
          <w:sz w:val="32"/>
          <w:szCs w:val="32"/>
        </w:rPr>
        <w:t xml:space="preserve">的费用现值，单位均为万元；</w:t>
      </w:r>
      <w:r>
        <w:rPr>
          <w:rFonts w:hint="eastAsia" w:ascii="Times New Roman" w:hAnsi="Times New Roman" w:eastAsia="方正仿宋_GBK" w:cs="Times New Roman"/>
          <w:sz w:val="32"/>
          <w:szCs w:val="32"/>
          <w:i w:val="1"/>
          <w:iCs w:val="1"/>
        </w:rPr>
        <w:t xml:space="preserve">E</w:t>
      </w:r>
      <w:r>
        <w:rPr>
          <w:rFonts w:hint="eastAsia" w:ascii="Times New Roman" w:hAnsi="Times New Roman" w:eastAsia="方正仿宋_GBK" w:cs="Times New Roman"/>
          <w:sz w:val="32"/>
          <w:szCs w:val="32"/>
          <w:i w:val="0"/>
          <w:iCs w:val="0"/>
          <w:vertAlign w:val="subscript"/>
        </w:rPr>
        <w:t xml:space="preserve">T</w:t>
      </w:r>
      <w:r>
        <w:rPr>
          <w:rFonts w:hint="eastAsia" w:ascii="方正仿宋_GBK" w:hAnsi="方正仿宋_GBK" w:eastAsia="方正仿宋_GBK" w:cs="Times New Roman"/>
          <w:sz w:val="32"/>
          <w:szCs w:val="32"/>
        </w:rPr>
        <w:t xml:space="preserve">、</w:t>
      </w:r>
      <w:r>
        <w:rPr>
          <w:rFonts w:hint="eastAsia" w:ascii="Times New Roman" w:hAnsi="Times New Roman" w:eastAsia="方正仿宋_GBK" w:cs="Times New Roman"/>
          <w:sz w:val="32"/>
          <w:szCs w:val="32"/>
          <w:i w:val="1"/>
          <w:iCs w:val="1"/>
        </w:rPr>
        <w:t xml:space="preserve">E</w:t>
      </w:r>
      <w:r>
        <w:rPr>
          <w:rFonts w:hint="eastAsia" w:ascii="Times New Roman" w:hAnsi="Times New Roman" w:eastAsia="方正仿宋_GBK" w:cs="Times New Roman"/>
          <w:sz w:val="32"/>
          <w:szCs w:val="32"/>
          <w:i w:val="0"/>
          <w:iCs w:val="0"/>
          <w:vertAlign w:val="subscript"/>
        </w:rPr>
        <w:t xml:space="preserve">B</w:t>
      </w:r>
      <w:r>
        <w:rPr>
          <w:rFonts w:hint="eastAsia" w:ascii="方正仿宋_GBK" w:hAnsi="方正仿宋_GBK" w:eastAsia="方正仿宋_GBK" w:cs="Times New Roman"/>
          <w:sz w:val="32"/>
          <w:szCs w:val="32"/>
        </w:rPr>
        <w:t xml:space="preserve">、</w:t>
      </w:r>
      <w:r>
        <w:rPr>
          <w:rFonts w:hint="eastAsia" w:ascii="Times New Roman" w:hAnsi="Times New Roman" w:eastAsia="方正仿宋_GBK" w:cs="Times New Roman"/>
          <w:sz w:val="32"/>
          <w:szCs w:val="32"/>
          <w:i w:val="1"/>
          <w:iCs w:val="1"/>
        </w:rPr>
        <w:t xml:space="preserve">E</w:t>
      </w:r>
      <w:r>
        <w:rPr>
          <w:rFonts w:hint="eastAsia" w:ascii="Times New Roman" w:hAnsi="Times New Roman" w:eastAsia="方正仿宋_GBK" w:cs="Times New Roman"/>
          <w:sz w:val="32"/>
          <w:szCs w:val="32"/>
          <w:i w:val="0"/>
          <w:iCs w:val="0"/>
          <w:vertAlign w:val="subscript"/>
        </w:rPr>
        <w:t xml:space="preserve">L</w:t>
      </w:r>
      <w:r>
        <w:rPr>
          <w:rFonts w:hint="eastAsia" w:ascii="方正仿宋_GBK" w:hAnsi="方正仿宋_GBK" w:eastAsia="方正仿宋_GBK" w:cs="Times New Roman"/>
          <w:sz w:val="32"/>
          <w:szCs w:val="32"/>
        </w:rPr>
        <w:t xml:space="preserve">分别表示规划期内主变、储能和联络投运项目集合。主变按完整采购量、储能按新增柜数、联络按新增项目计费，后续年度沿用其在役状态校核供电能力。</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费用统计对象为2022—2035年新增及改造工程的建设和固定运维支出，既有资产原建设费用不重复计入。两类方案采用相同计价范围、折现基准和评价截止年，尚未计入期末残值、被替换存量设备运维费用变化、储能充电购电及损耗费用，也未抵扣收益。费用降幅按这一支出范围解释，工程应用时结合运行及资产资料补充对应现金流。</w:t>
      </w:r>
    </w:p>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keepNext/>
        <w:widowControl/>
      </w:pPr>
      <w:r>
        <w:rPr>
          <w:rFonts w:hint="eastAsia" w:ascii="方正楷体_GBK" w:hAnsi="方正楷体_GBK" w:eastAsia="方正楷体_GBK" w:cs="方正楷体_GBK"/>
          <w:b/>
          <w:bCs/>
          <w:sz w:val="32"/>
          <w:szCs w:val="32"/>
        </w:rPr>
        <w:t xml:space="preserve">（五）明确主要寻优约束与年度实施条件</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楷体_GBK" w:hAnsi="方正楷体_GBK" w:eastAsia="方正楷体_GBK" w:cs="方正楷体_GBK"/>
          <w:sz w:val="32"/>
          <w:szCs w:val="32"/>
          <w:b/>
        </w:rPr>
        <w:t xml:space="preserve">一是设备选择与逐年承接约束。</w:t>
      </w:r>
      <w:r>
        <w:rPr>
          <w:rFonts w:hint="eastAsia" w:ascii="方正仿宋_GBK" w:hAnsi="方正仿宋_GBK" w:eastAsia="方正仿宋_GBK" w:cs="Times New Roman"/>
          <w:sz w:val="32"/>
          <w:szCs w:val="32"/>
        </w:rPr>
        <w:t xml:space="preserve">主变从允许额定容量中整台选择，新购规格采用31.50、50.00、63.00、80.00 MVA，具备预留条件的站点可扩建第三台50.00 MVA主变，同一原主变位置全期最多更换一次。储能柜数和新增联络投运状态采用整数决策，主变、储能和联络投运后持续在役，后续年度承接上一年度设备。刚性与弹性方案分别按前述容量上限条件比较，并采用相同的年度容载比下限。</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楷体_GBK" w:hAnsi="方正楷体_GBK" w:eastAsia="方正楷体_GBK" w:cs="方正楷体_GBK"/>
          <w:sz w:val="32"/>
          <w:szCs w:val="32"/>
          <w:b/>
        </w:rPr>
        <w:t xml:space="preserve">二是正常运行与主变N-1双向承载约束。</w:t>
      </w:r>
      <w:r>
        <w:rPr>
          <w:rFonts w:hint="eastAsia" w:ascii="方正仿宋_GBK" w:hAnsi="方正仿宋_GBK" w:eastAsia="方正仿宋_GBK" w:cs="Times New Roman"/>
          <w:sz w:val="32"/>
          <w:szCs w:val="32"/>
        </w:rPr>
        <w:t xml:space="preserve">各站按转接后的带符号净负荷校核正向供电和反向输送。正常运行及故障工况中的健康站按80%允许负载率校核，故障站扣除最大单台主变后，剩余主变按130%短时允许负载率校核，功率因数取0.95。容量与有效储能支撑共同满足：</w:t>
      </w:r>
    </w:p>
    <w:tbl>
      <w:tblPr>
        <w:tblW w:w="8306" w:type="dxa"/>
        <w:jc w:val="center"/>
        <w:tblInd w:w="0" w:type="dxa"/>
        <w:tblLayout w:type="fixed"/>
        <w:tblCaption w:val="ReportEquation"/>
        <w:tblBorders>
          <w:top w:val="nil"/>
          <w:left w:val="nil"/>
          <w:bottom w:val="nil"/>
          <w:right w:val="nil"/>
          <w:insideH w:val="nil"/>
          <w:insideV w:val="nil"/>
        </w:tblBorders>
        <w:tblCellMar>
          <w:top w:w="0" w:type="dxa"/>
          <w:bottom w:w="0" w:type="dxa"/>
          <w:left w:w="0" w:type="dxa"/>
          <w:right w:w="0" w:type="dxa"/>
        </w:tblCellMar>
      </w:tblPr>
      <w:tblGrid>
        <w:gridCol w:w="800"/>
        <w:gridCol w:w="6706"/>
        <w:gridCol w:w="800"/>
      </w:tblGrid>
      <w:tr>
        <w:trPr>
          <w:cantSplit/>
        </w:trPr>
        <w:tc>
          <w:tcPr>
            <w:tcW w:w="800" w:type="dxa"/>
            <w:vAlign w:val="center"/>
            <w:tcMar>
              <w:top w:w="0" w:type="dxa"/>
              <w:bottom w:w="0" w:type="dxa"/>
              <w:left w:w="0" w:type="dxa"/>
              <w:right w:w="0" w:type="dxa"/>
            </w:tcMar>
          </w:tcPr>
          <w:p>
            <w:pPr>
              <w:ind w:firstLine="0" w:firstLineChars="0" w:hanging="0" w:hangingChars="0" w:left="0" w:right="0" w:start="0" w:end="0" w:leftChars="0" w:rightChars="0" w:startChars="0" w:endChars="0"/>
              <w:jc w:val="center"/>
              <w:spacing w:before="50" w:after="50" w:line="360" w:lineRule="auto"/>
              <w:snapToGrid w:val="0"/>
              <w:keepNext/>
            </w:pPr>
          </w:p>
        </w:tc>
        <w:tc>
          <w:tcPr>
            <w:tcW w:w="6706" w:type="dxa"/>
            <w:vAlign w:val="center"/>
            <w:tcMar>
              <w:top w:w="0" w:type="dxa"/>
              <w:bottom w:w="0" w:type="dxa"/>
              <w:left w:w="0" w:type="dxa"/>
              <w:right w:w="0" w:type="dxa"/>
            </w:tcMar>
          </w:tcPr>
          <w:p>
            <w:pPr>
              <w:ind w:firstLine="0" w:firstLineChars="0" w:hanging="0" w:hangingChars="0" w:left="0" w:right="0" w:start="0" w:end="0" w:leftChars="0" w:rightChars="0" w:startChars="0" w:endChars="0"/>
              <w:jc w:val="center"/>
              <w:spacing w:before="50" w:after="50" w:line="360" w:lineRule="auto"/>
              <w:snapToGrid w:val="0"/>
              <w:keepNext/>
            </w:pPr>
            <m:oMath>
              <m:m>
                <m:mPr>
                  <m:mcs>
                    <m:mc>
                      <m:mcPr>
                        <m:count m:val="1"/>
                        <m:mcJc m:val="right"/>
                      </m:mcPr>
                    </m:mc>
                    <m:mc>
                      <m:mcPr>
                        <m:count m:val="1"/>
                        <m:mcJc m:val="left"/>
                      </m:mcPr>
                    </m:mc>
                  </m:mcs>
                  <m:plcHide m:val="1"/>
                </m:mPr>
                <m:mr>
                  <m:e>
                    <m:r>
                      <m:rPr>
                        <m:nor m:val="1"/>
                        <m:sty m:val="p"/>
                      </m:rPr>
                      <w:rPr>
                        <w:rFonts w:ascii="Times New Roman" w:hAnsi="Times New Roman" w:cs="Times New Roman" w:eastAsia="方正仿宋_GBK"/>
                        <w:b w:val="0"/>
                        <w:sz w:val="28"/>
                        <w:szCs w:val="28"/>
                        <w:i w:val="0"/>
                        <w:iCs w:val="0"/>
                      </w:rPr>
                      <m:t>−</m:t>
                    </m:r>
                    <m:sSub>
                      <m:sSubPr/>
                      <m:e>
                        <m:r>
                          <m:rPr>
                            <m:nor m:val="1"/>
                          </m:rPr>
                          <w:rPr>
                            <w:rFonts w:ascii="Times New Roman" w:hAnsi="Times New Roman" w:cs="Times New Roman" w:eastAsia="方正仿宋_GBK"/>
                            <w:sz w:val="28"/>
                            <w:szCs w:val="28"/>
                            <w:i w:val="1"/>
                            <w:iCs w:val="1"/>
                          </w:rPr>
                          <m:t>k</m:t>
                        </m:r>
                      </m:e>
                      <m:sub>
                        <m:r>
                          <m:rPr>
                            <m:nor m:val="1"/>
                          </m:rPr>
                          <w:rPr>
                            <w:rFonts w:ascii="Times New Roman" w:hAnsi="Times New Roman" w:cs="Times New Roman" w:eastAsia="方正仿宋_GBK"/>
                            <w:sz w:val="28"/>
                            <w:szCs w:val="28"/>
                            <w:i w:val="1"/>
                            <w:iCs w:val="1"/>
                          </w:rPr>
                          <m:t>i</m:t>
                        </m:r>
                        <m:r>
                          <m:rPr>
                            <m:nor m:val="1"/>
                            <m:sty m:val="p"/>
                          </m:rPr>
                          <w:rPr>
                            <w:rFonts w:ascii="Times New Roman" w:hAnsi="Times New Roman" w:cs="Times New Roman" w:eastAsia="方正仿宋_GBK"/>
                            <w:b w:val="0"/>
                            <w:sz w:val="28"/>
                            <w:szCs w:val="28"/>
                            <w:i w:val="0"/>
                            <w:iCs w:val="0"/>
                          </w:rPr>
                          <m:t>,</m:t>
                        </m:r>
                        <m:r>
                          <m:rPr>
                            <m:nor m:val="1"/>
                          </m:rPr>
                          <w:rPr>
                            <w:rFonts w:ascii="Times New Roman" w:hAnsi="Times New Roman" w:cs="Times New Roman" w:eastAsia="方正仿宋_GBK"/>
                            <w:sz w:val="28"/>
                            <w:szCs w:val="28"/>
                            <w:i w:val="1"/>
                            <w:iCs w:val="1"/>
                          </w:rPr>
                          <m:t>ω</m:t>
                        </m:r>
                      </m:sub>
                    </m:sSub>
                    <m:r>
                      <m:rPr>
                        <m:nor m:val="1"/>
                        <m:sty m:val="p"/>
                      </m:rPr>
                      <w:rPr>
                        <w:rFonts w:ascii="Times New Roman" w:hAnsi="Times New Roman" w:cs="Times New Roman" w:eastAsia="方正仿宋_GBK"/>
                        <w:b w:val="0"/>
                        <w:sz w:val="28"/>
                        <w:szCs w:val="28"/>
                        <w:i w:val="0"/>
                        <w:iCs w:val="0"/>
                      </w:rPr>
                      <m:t>cos</m:t>
                    </m:r>
                    <m:r>
                      <m:rPr>
                        <m:nor m:val="1"/>
                      </m:rPr>
                      <w:rPr>
                        <w:rFonts w:ascii="Times New Roman" w:hAnsi="Times New Roman" w:cs="Times New Roman" w:eastAsia="方正仿宋_GBK"/>
                        <w:sz w:val="28"/>
                        <w:szCs w:val="28"/>
                        <w:i w:val="1"/>
                        <w:iCs w:val="1"/>
                      </w:rPr>
                      <m:t>φ</m:t>
                    </m:r>
                    <m:r>
                      <m:rPr>
                        <m:nor m:val="1"/>
                        <m:sty m:val="p"/>
                      </m:rPr>
                      <w:rPr>
                        <w:rFonts w:ascii="Times New Roman" w:hAnsi="Times New Roman" w:cs="Times New Roman" w:eastAsia="方正仿宋_GBK"/>
                        <w:b w:val="0"/>
                        <w:sz w:val="28"/>
                        <w:szCs w:val="28"/>
                        <w:i w:val="0"/>
                        <w:iCs w:val="0"/>
                      </w:rPr>
                      <m:t> </m:t>
                    </m:r>
                    <m:sSubSup>
                      <m:sSubSupPr/>
                      <m:e>
                        <m:r>
                          <m:rPr>
                            <m:nor m:val="1"/>
                          </m:rPr>
                          <w:rPr>
                            <w:rFonts w:ascii="Times New Roman" w:hAnsi="Times New Roman" w:cs="Times New Roman" w:eastAsia="方正仿宋_GBK"/>
                            <w:sz w:val="28"/>
                            <w:szCs w:val="28"/>
                            <w:i w:val="1"/>
                            <w:iCs w:val="1"/>
                          </w:rPr>
                          <m:t>S</m:t>
                        </m:r>
                      </m:e>
                      <m:sub>
                        <m:r>
                          <m:rPr>
                            <m:nor m:val="1"/>
                          </m:rPr>
                          <w:rPr>
                            <w:rFonts w:ascii="Times New Roman" w:hAnsi="Times New Roman" w:cs="Times New Roman" w:eastAsia="方正仿宋_GBK"/>
                            <w:sz w:val="28"/>
                            <w:szCs w:val="28"/>
                            <w:i w:val="1"/>
                            <w:iCs w:val="1"/>
                          </w:rPr>
                          <m:t>i</m:t>
                        </m:r>
                        <m:r>
                          <m:rPr>
                            <m:nor m:val="1"/>
                            <m:sty m:val="p"/>
                          </m:rPr>
                          <w:rPr>
                            <w:rFonts w:ascii="Times New Roman" w:hAnsi="Times New Roman" w:cs="Times New Roman" w:eastAsia="方正仿宋_GBK"/>
                            <w:b w:val="0"/>
                            <w:sz w:val="28"/>
                            <w:szCs w:val="28"/>
                            <w:i w:val="0"/>
                            <w:iCs w:val="0"/>
                          </w:rPr>
                          <m:t>,</m:t>
                        </m:r>
                        <m:r>
                          <m:rPr>
                            <m:nor m:val="1"/>
                          </m:rPr>
                          <w:rPr>
                            <w:rFonts w:ascii="Times New Roman" w:hAnsi="Times New Roman" w:cs="Times New Roman" w:eastAsia="方正仿宋_GBK"/>
                            <w:sz w:val="28"/>
                            <w:szCs w:val="28"/>
                            <w:i w:val="1"/>
                            <w:iCs w:val="1"/>
                          </w:rPr>
                          <m:t>ω</m:t>
                        </m:r>
                      </m:sub>
                      <m:sup>
                        <m:r>
                          <m:rPr>
                            <m:nor m:val="1"/>
                            <m:sty m:val="p"/>
                          </m:rPr>
                          <w:rPr>
                            <w:rFonts w:ascii="Times New Roman" w:hAnsi="Times New Roman" w:cs="Times New Roman" w:eastAsia="方正仿宋_GBK"/>
                            <w:b w:val="0"/>
                            <w:sz w:val="28"/>
                            <w:szCs w:val="28"/>
                            <w:i w:val="0"/>
                            <w:iCs w:val="0"/>
                          </w:rPr>
                          <m:t>av</m:t>
                        </m:r>
                      </m:sup>
                    </m:sSubSup>
                    <m:r>
                      <m:rPr>
                        <m:nor m:val="1"/>
                        <m:sty m:val="p"/>
                      </m:rPr>
                      <w:rPr>
                        <w:rFonts w:ascii="Times New Roman" w:hAnsi="Times New Roman" w:cs="Times New Roman" w:eastAsia="方正仿宋_GBK"/>
                        <w:b w:val="0"/>
                        <w:sz w:val="28"/>
                        <w:szCs w:val="28"/>
                        <w:i w:val="0"/>
                        <w:iCs w:val="0"/>
                      </w:rPr>
                      <m:t>−</m:t>
                    </m:r>
                    <m:sSubSup>
                      <m:sSubSupPr/>
                      <m:e>
                        <m:r>
                          <m:rPr>
                            <m:nor m:val="1"/>
                          </m:rPr>
                          <w:rPr>
                            <w:rFonts w:ascii="Times New Roman" w:hAnsi="Times New Roman" w:cs="Times New Roman" w:eastAsia="方正仿宋_GBK"/>
                            <w:sz w:val="28"/>
                            <w:szCs w:val="28"/>
                            <w:i w:val="1"/>
                            <w:iCs w:val="1"/>
                          </w:rPr>
                          <m:t>B</m:t>
                        </m:r>
                      </m:e>
                      <m:sub>
                        <m:r>
                          <m:rPr>
                            <m:nor m:val="1"/>
                          </m:rPr>
                          <w:rPr>
                            <w:rFonts w:ascii="Times New Roman" w:hAnsi="Times New Roman" w:cs="Times New Roman" w:eastAsia="方正仿宋_GBK"/>
                            <w:sz w:val="28"/>
                            <w:szCs w:val="28"/>
                            <w:i w:val="1"/>
                            <w:iCs w:val="1"/>
                          </w:rPr>
                          <m:t>i</m:t>
                        </m:r>
                      </m:sub>
                      <m:sup>
                        <m:r>
                          <m:rPr>
                            <m:nor m:val="1"/>
                            <m:sty m:val="p"/>
                          </m:rPr>
                          <w:rPr>
                            <w:rFonts w:ascii="Times New Roman" w:hAnsi="Times New Roman" w:cs="Times New Roman" w:eastAsia="方正仿宋_GBK"/>
                            <w:b w:val="0"/>
                            <w:sz w:val="28"/>
                            <w:szCs w:val="28"/>
                            <w:i w:val="0"/>
                            <w:iCs w:val="0"/>
                          </w:rPr>
                          <m:t>−</m:t>
                        </m:r>
                      </m:sup>
                    </m:sSubSup>
                  </m:e>
                  <m:e>
                    <m:r>
                      <m:rPr>
                        <m:nor m:val="1"/>
                        <m:sty m:val="p"/>
                      </m:rPr>
                      <w:rPr>
                        <w:rFonts w:ascii="Times New Roman" w:hAnsi="Times New Roman" w:cs="Times New Roman" w:eastAsia="方正仿宋_GBK"/>
                        <w:b w:val="0"/>
                        <w:sz w:val="28"/>
                        <w:szCs w:val="28"/>
                        <w:i w:val="0"/>
                        <w:iCs w:val="0"/>
                      </w:rPr>
                      <m:t>≤</m:t>
                    </m:r>
                    <m:sSub>
                      <m:sSubPr/>
                      <m:e>
                        <m:r>
                          <m:rPr>
                            <m:nor m:val="1"/>
                          </m:rPr>
                          <w:rPr>
                            <w:rFonts w:ascii="Times New Roman" w:hAnsi="Times New Roman" w:cs="Times New Roman" w:eastAsia="方正仿宋_GBK"/>
                            <w:sz w:val="28"/>
                            <w:szCs w:val="28"/>
                            <w:i w:val="1"/>
                            <w:iCs w:val="1"/>
                          </w:rPr>
                          <m:t>P</m:t>
                        </m:r>
                      </m:e>
                      <m:sub>
                        <m:r>
                          <m:rPr>
                            <m:nor m:val="1"/>
                          </m:rPr>
                          <w:rPr>
                            <w:rFonts w:ascii="Times New Roman" w:hAnsi="Times New Roman" w:cs="Times New Roman" w:eastAsia="方正仿宋_GBK"/>
                            <w:sz w:val="28"/>
                            <w:szCs w:val="28"/>
                            <w:i w:val="1"/>
                            <w:iCs w:val="1"/>
                          </w:rPr>
                          <m:t>i</m:t>
                        </m:r>
                        <m:r>
                          <m:rPr>
                            <m:nor m:val="1"/>
                            <m:sty m:val="p"/>
                          </m:rPr>
                          <w:rPr>
                            <w:rFonts w:ascii="Times New Roman" w:hAnsi="Times New Roman" w:cs="Times New Roman" w:eastAsia="方正仿宋_GBK"/>
                            <w:b w:val="0"/>
                            <w:sz w:val="28"/>
                            <w:szCs w:val="28"/>
                            <w:i w:val="0"/>
                            <w:iCs w:val="0"/>
                          </w:rPr>
                          <m:t>,</m:t>
                        </m:r>
                        <m:r>
                          <m:rPr>
                            <m:nor m:val="1"/>
                          </m:rPr>
                          <w:rPr>
                            <w:rFonts w:ascii="Times New Roman" w:hAnsi="Times New Roman" w:cs="Times New Roman" w:eastAsia="方正仿宋_GBK"/>
                            <w:sz w:val="28"/>
                            <w:szCs w:val="28"/>
                            <w:i w:val="1"/>
                            <w:iCs w:val="1"/>
                          </w:rPr>
                          <m:t>ω</m:t>
                        </m:r>
                      </m:sub>
                    </m:sSub>
                    <m:r>
                      <m:rPr>
                        <m:nor m:val="1"/>
                        <m:sty m:val="p"/>
                      </m:rPr>
                      <w:rPr>
                        <w:rFonts w:ascii="Times New Roman" w:hAnsi="Times New Roman" w:cs="Times New Roman" w:eastAsia="方正仿宋_GBK"/>
                        <w:b w:val="0"/>
                        <w:sz w:val="28"/>
                        <w:szCs w:val="28"/>
                        <w:i w:val="0"/>
                        <w:iCs w:val="0"/>
                      </w:rPr>
                      <m:t>−</m:t>
                    </m:r>
                    <m:sSubSup>
                      <m:sSubSupPr/>
                      <m:e>
                        <m:r>
                          <m:rPr>
                            <m:nor m:val="1"/>
                          </m:rPr>
                          <w:rPr>
                            <w:rFonts w:ascii="Times New Roman" w:hAnsi="Times New Roman" w:cs="Times New Roman" w:eastAsia="方正仿宋_GBK"/>
                            <w:sz w:val="28"/>
                            <w:szCs w:val="28"/>
                            <w:i w:val="1"/>
                            <w:iCs w:val="1"/>
                          </w:rPr>
                          <m:t>q</m:t>
                        </m:r>
                      </m:e>
                      <m:sub>
                        <m:r>
                          <m:rPr>
                            <m:nor m:val="1"/>
                          </m:rPr>
                          <w:rPr>
                            <w:rFonts w:ascii="Times New Roman" w:hAnsi="Times New Roman" w:cs="Times New Roman" w:eastAsia="方正仿宋_GBK"/>
                            <w:sz w:val="28"/>
                            <w:szCs w:val="28"/>
                            <w:i w:val="1"/>
                            <w:iCs w:val="1"/>
                          </w:rPr>
                          <m:t>i</m:t>
                        </m:r>
                        <m:r>
                          <m:rPr>
                            <m:nor m:val="1"/>
                            <m:sty m:val="p"/>
                          </m:rPr>
                          <w:rPr>
                            <w:rFonts w:ascii="Times New Roman" w:hAnsi="Times New Roman" w:cs="Times New Roman" w:eastAsia="方正仿宋_GBK"/>
                            <w:b w:val="0"/>
                            <w:sz w:val="28"/>
                            <w:szCs w:val="28"/>
                            <w:i w:val="0"/>
                            <w:iCs w:val="0"/>
                          </w:rPr>
                          <m:t>,</m:t>
                        </m:r>
                        <m:r>
                          <m:rPr>
                            <m:nor m:val="1"/>
                          </m:rPr>
                          <w:rPr>
                            <w:rFonts w:ascii="Times New Roman" w:hAnsi="Times New Roman" w:cs="Times New Roman" w:eastAsia="方正仿宋_GBK"/>
                            <w:sz w:val="28"/>
                            <w:szCs w:val="28"/>
                            <w:i w:val="1"/>
                            <w:iCs w:val="1"/>
                          </w:rPr>
                          <m:t>ω</m:t>
                        </m:r>
                      </m:sub>
                      <m:sup>
                        <m:r>
                          <m:rPr>
                            <m:nor m:val="1"/>
                            <m:sty m:val="p"/>
                          </m:rPr>
                          <w:rPr>
                            <w:rFonts w:ascii="Times New Roman" w:hAnsi="Times New Roman" w:cs="Times New Roman" w:eastAsia="方正仿宋_GBK"/>
                            <w:b w:val="0"/>
                            <w:sz w:val="28"/>
                            <w:szCs w:val="28"/>
                            <w:i w:val="0"/>
                            <w:iCs w:val="0"/>
                          </w:rPr>
                          <m:t>out</m:t>
                        </m:r>
                      </m:sup>
                    </m:sSubSup>
                    <m:r>
                      <m:rPr>
                        <m:nor m:val="1"/>
                        <m:sty m:val="p"/>
                      </m:rPr>
                      <w:rPr>
                        <w:rFonts w:ascii="Times New Roman" w:hAnsi="Times New Roman" w:cs="Times New Roman" w:eastAsia="方正仿宋_GBK"/>
                        <w:b w:val="0"/>
                        <w:sz w:val="28"/>
                        <w:szCs w:val="28"/>
                        <w:i w:val="0"/>
                        <w:iCs w:val="0"/>
                      </w:rPr>
                      <m:t>+</m:t>
                    </m:r>
                    <m:sSubSup>
                      <m:sSubSupPr/>
                      <m:e>
                        <m:r>
                          <m:rPr>
                            <m:nor m:val="1"/>
                          </m:rPr>
                          <w:rPr>
                            <w:rFonts w:ascii="Times New Roman" w:hAnsi="Times New Roman" w:cs="Times New Roman" w:eastAsia="方正仿宋_GBK"/>
                            <w:sz w:val="28"/>
                            <w:szCs w:val="28"/>
                            <w:i w:val="1"/>
                            <w:iCs w:val="1"/>
                          </w:rPr>
                          <m:t>q</m:t>
                        </m:r>
                      </m:e>
                      <m:sub>
                        <m:r>
                          <m:rPr>
                            <m:nor m:val="1"/>
                          </m:rPr>
                          <w:rPr>
                            <w:rFonts w:ascii="Times New Roman" w:hAnsi="Times New Roman" w:cs="Times New Roman" w:eastAsia="方正仿宋_GBK"/>
                            <w:sz w:val="28"/>
                            <w:szCs w:val="28"/>
                            <w:i w:val="1"/>
                            <w:iCs w:val="1"/>
                          </w:rPr>
                          <m:t>i</m:t>
                        </m:r>
                        <m:r>
                          <m:rPr>
                            <m:nor m:val="1"/>
                            <m:sty m:val="p"/>
                          </m:rPr>
                          <w:rPr>
                            <w:rFonts w:ascii="Times New Roman" w:hAnsi="Times New Roman" w:cs="Times New Roman" w:eastAsia="方正仿宋_GBK"/>
                            <w:b w:val="0"/>
                            <w:sz w:val="28"/>
                            <w:szCs w:val="28"/>
                            <w:i w:val="0"/>
                            <w:iCs w:val="0"/>
                          </w:rPr>
                          <m:t>,</m:t>
                        </m:r>
                        <m:r>
                          <m:rPr>
                            <m:nor m:val="1"/>
                          </m:rPr>
                          <w:rPr>
                            <w:rFonts w:ascii="Times New Roman" w:hAnsi="Times New Roman" w:cs="Times New Roman" w:eastAsia="方正仿宋_GBK"/>
                            <w:sz w:val="28"/>
                            <w:szCs w:val="28"/>
                            <w:i w:val="1"/>
                            <w:iCs w:val="1"/>
                          </w:rPr>
                          <m:t>ω</m:t>
                        </m:r>
                      </m:sub>
                      <m:sup>
                        <m:r>
                          <m:rPr>
                            <m:nor m:val="1"/>
                            <m:sty m:val="p"/>
                          </m:rPr>
                          <w:rPr>
                            <w:rFonts w:ascii="Times New Roman" w:hAnsi="Times New Roman" w:cs="Times New Roman" w:eastAsia="方正仿宋_GBK"/>
                            <w:b w:val="0"/>
                            <w:sz w:val="28"/>
                            <w:szCs w:val="28"/>
                            <w:i w:val="0"/>
                            <w:iCs w:val="0"/>
                          </w:rPr>
                          <m:t>in</m:t>
                        </m:r>
                      </m:sup>
                    </m:sSubSup>
                  </m:e>
                </m:mr>
                <m:mr>
                  <m:e/>
                  <m:e>
                    <m:r>
                      <m:rPr>
                        <m:nor m:val="1"/>
                        <m:sty m:val="p"/>
                      </m:rPr>
                      <w:rPr>
                        <w:rFonts w:ascii="Times New Roman" w:hAnsi="Times New Roman" w:cs="Times New Roman" w:eastAsia="方正仿宋_GBK"/>
                        <w:b w:val="0"/>
                        <w:sz w:val="28"/>
                        <w:szCs w:val="28"/>
                        <w:i w:val="0"/>
                        <w:iCs w:val="0"/>
                      </w:rPr>
                      <m:t>≤</m:t>
                    </m:r>
                    <m:sSub>
                      <m:sSubPr/>
                      <m:e>
                        <m:r>
                          <m:rPr>
                            <m:nor m:val="1"/>
                          </m:rPr>
                          <w:rPr>
                            <w:rFonts w:ascii="Times New Roman" w:hAnsi="Times New Roman" w:cs="Times New Roman" w:eastAsia="方正仿宋_GBK"/>
                            <w:sz w:val="28"/>
                            <w:szCs w:val="28"/>
                            <w:i w:val="1"/>
                            <w:iCs w:val="1"/>
                          </w:rPr>
                          <m:t>k</m:t>
                        </m:r>
                      </m:e>
                      <m:sub>
                        <m:r>
                          <m:rPr>
                            <m:nor m:val="1"/>
                          </m:rPr>
                          <w:rPr>
                            <w:rFonts w:ascii="Times New Roman" w:hAnsi="Times New Roman" w:cs="Times New Roman" w:eastAsia="方正仿宋_GBK"/>
                            <w:sz w:val="28"/>
                            <w:szCs w:val="28"/>
                            <w:i w:val="1"/>
                            <w:iCs w:val="1"/>
                          </w:rPr>
                          <m:t>i</m:t>
                        </m:r>
                        <m:r>
                          <m:rPr>
                            <m:nor m:val="1"/>
                            <m:sty m:val="p"/>
                          </m:rPr>
                          <w:rPr>
                            <w:rFonts w:ascii="Times New Roman" w:hAnsi="Times New Roman" w:cs="Times New Roman" w:eastAsia="方正仿宋_GBK"/>
                            <w:b w:val="0"/>
                            <w:sz w:val="28"/>
                            <w:szCs w:val="28"/>
                            <w:i w:val="0"/>
                            <w:iCs w:val="0"/>
                          </w:rPr>
                          <m:t>,</m:t>
                        </m:r>
                        <m:r>
                          <m:rPr>
                            <m:nor m:val="1"/>
                          </m:rPr>
                          <w:rPr>
                            <w:rFonts w:ascii="Times New Roman" w:hAnsi="Times New Roman" w:cs="Times New Roman" w:eastAsia="方正仿宋_GBK"/>
                            <w:sz w:val="28"/>
                            <w:szCs w:val="28"/>
                            <w:i w:val="1"/>
                            <w:iCs w:val="1"/>
                          </w:rPr>
                          <m:t>ω</m:t>
                        </m:r>
                      </m:sub>
                    </m:sSub>
                    <m:r>
                      <m:rPr>
                        <m:nor m:val="1"/>
                        <m:sty m:val="p"/>
                      </m:rPr>
                      <w:rPr>
                        <w:rFonts w:ascii="Times New Roman" w:hAnsi="Times New Roman" w:cs="Times New Roman" w:eastAsia="方正仿宋_GBK"/>
                        <w:b w:val="0"/>
                        <w:sz w:val="28"/>
                        <w:szCs w:val="28"/>
                        <w:i w:val="0"/>
                        <w:iCs w:val="0"/>
                      </w:rPr>
                      <m:t>cos</m:t>
                    </m:r>
                    <m:r>
                      <m:rPr>
                        <m:nor m:val="1"/>
                      </m:rPr>
                      <w:rPr>
                        <w:rFonts w:ascii="Times New Roman" w:hAnsi="Times New Roman" w:cs="Times New Roman" w:eastAsia="方正仿宋_GBK"/>
                        <w:sz w:val="28"/>
                        <w:szCs w:val="28"/>
                        <w:i w:val="1"/>
                        <w:iCs w:val="1"/>
                      </w:rPr>
                      <m:t>φ</m:t>
                    </m:r>
                    <m:r>
                      <m:rPr>
                        <m:nor m:val="1"/>
                        <m:sty m:val="p"/>
                      </m:rPr>
                      <w:rPr>
                        <w:rFonts w:ascii="Times New Roman" w:hAnsi="Times New Roman" w:cs="Times New Roman" w:eastAsia="方正仿宋_GBK"/>
                        <w:b w:val="0"/>
                        <w:sz w:val="28"/>
                        <w:szCs w:val="28"/>
                        <w:i w:val="0"/>
                        <w:iCs w:val="0"/>
                      </w:rPr>
                      <m:t> </m:t>
                    </m:r>
                    <m:sSubSup>
                      <m:sSubSupPr/>
                      <m:e>
                        <m:r>
                          <m:rPr>
                            <m:nor m:val="1"/>
                          </m:rPr>
                          <w:rPr>
                            <w:rFonts w:ascii="Times New Roman" w:hAnsi="Times New Roman" w:cs="Times New Roman" w:eastAsia="方正仿宋_GBK"/>
                            <w:sz w:val="28"/>
                            <w:szCs w:val="28"/>
                            <w:i w:val="1"/>
                            <w:iCs w:val="1"/>
                          </w:rPr>
                          <m:t>S</m:t>
                        </m:r>
                      </m:e>
                      <m:sub>
                        <m:r>
                          <m:rPr>
                            <m:nor m:val="1"/>
                          </m:rPr>
                          <w:rPr>
                            <w:rFonts w:ascii="Times New Roman" w:hAnsi="Times New Roman" w:cs="Times New Roman" w:eastAsia="方正仿宋_GBK"/>
                            <w:sz w:val="28"/>
                            <w:szCs w:val="28"/>
                            <w:i w:val="1"/>
                            <w:iCs w:val="1"/>
                          </w:rPr>
                          <m:t>i</m:t>
                        </m:r>
                        <m:r>
                          <m:rPr>
                            <m:nor m:val="1"/>
                            <m:sty m:val="p"/>
                          </m:rPr>
                          <w:rPr>
                            <w:rFonts w:ascii="Times New Roman" w:hAnsi="Times New Roman" w:cs="Times New Roman" w:eastAsia="方正仿宋_GBK"/>
                            <w:b w:val="0"/>
                            <w:sz w:val="28"/>
                            <w:szCs w:val="28"/>
                            <w:i w:val="0"/>
                            <w:iCs w:val="0"/>
                          </w:rPr>
                          <m:t>,</m:t>
                        </m:r>
                        <m:r>
                          <m:rPr>
                            <m:nor m:val="1"/>
                          </m:rPr>
                          <w:rPr>
                            <w:rFonts w:ascii="Times New Roman" w:hAnsi="Times New Roman" w:cs="Times New Roman" w:eastAsia="方正仿宋_GBK"/>
                            <w:sz w:val="28"/>
                            <w:szCs w:val="28"/>
                            <w:i w:val="1"/>
                            <w:iCs w:val="1"/>
                          </w:rPr>
                          <m:t>ω</m:t>
                        </m:r>
                      </m:sub>
                      <m:sup>
                        <m:r>
                          <m:rPr>
                            <m:nor m:val="1"/>
                            <m:sty m:val="p"/>
                          </m:rPr>
                          <w:rPr>
                            <w:rFonts w:ascii="Times New Roman" w:hAnsi="Times New Roman" w:cs="Times New Roman" w:eastAsia="方正仿宋_GBK"/>
                            <w:b w:val="0"/>
                            <w:sz w:val="28"/>
                            <w:szCs w:val="28"/>
                            <w:i w:val="0"/>
                            <w:iCs w:val="0"/>
                          </w:rPr>
                          <m:t>av</m:t>
                        </m:r>
                      </m:sup>
                    </m:sSubSup>
                    <m:r>
                      <m:rPr>
                        <m:nor m:val="1"/>
                        <m:sty m:val="p"/>
                      </m:rPr>
                      <w:rPr>
                        <w:rFonts w:ascii="Times New Roman" w:hAnsi="Times New Roman" w:cs="Times New Roman" w:eastAsia="方正仿宋_GBK"/>
                        <w:b w:val="0"/>
                        <w:sz w:val="28"/>
                        <w:szCs w:val="28"/>
                        <w:i w:val="0"/>
                        <w:iCs w:val="0"/>
                      </w:rPr>
                      <m:t>+</m:t>
                    </m:r>
                    <m:sSubSup>
                      <m:sSubSupPr/>
                      <m:e>
                        <m:r>
                          <m:rPr>
                            <m:nor m:val="1"/>
                          </m:rPr>
                          <w:rPr>
                            <w:rFonts w:ascii="Times New Roman" w:hAnsi="Times New Roman" w:cs="Times New Roman" w:eastAsia="方正仿宋_GBK"/>
                            <w:sz w:val="28"/>
                            <w:szCs w:val="28"/>
                            <w:i w:val="1"/>
                            <w:iCs w:val="1"/>
                          </w:rPr>
                          <m:t>B</m:t>
                        </m:r>
                      </m:e>
                      <m:sub>
                        <m:r>
                          <m:rPr>
                            <m:nor m:val="1"/>
                          </m:rPr>
                          <w:rPr>
                            <w:rFonts w:ascii="Times New Roman" w:hAnsi="Times New Roman" w:cs="Times New Roman" w:eastAsia="方正仿宋_GBK"/>
                            <w:sz w:val="28"/>
                            <w:szCs w:val="28"/>
                            <w:i w:val="1"/>
                            <w:iCs w:val="1"/>
                          </w:rPr>
                          <m:t>i</m:t>
                        </m:r>
                      </m:sub>
                      <m:sup>
                        <m:r>
                          <m:rPr>
                            <m:nor m:val="1"/>
                            <m:sty m:val="p"/>
                          </m:rPr>
                          <w:rPr>
                            <w:rFonts w:ascii="Times New Roman" w:hAnsi="Times New Roman" w:cs="Times New Roman" w:eastAsia="方正仿宋_GBK"/>
                            <w:b w:val="0"/>
                            <w:sz w:val="28"/>
                            <w:szCs w:val="28"/>
                            <w:i w:val="0"/>
                            <w:iCs w:val="0"/>
                          </w:rPr>
                          <m:t>+</m:t>
                        </m:r>
                      </m:sup>
                    </m:sSubSup>
                    <m:r>
                      <m:rPr>
                        <m:nor m:val="1"/>
                        <m:sty m:val="p"/>
                      </m:rPr>
                      <w:rPr>
                        <w:rFonts w:ascii="Times New Roman" w:hAnsi="Times New Roman" w:cs="Times New Roman" w:eastAsia="方正仿宋_GBK"/>
                        <w:b w:val="0"/>
                        <w:sz w:val="28"/>
                        <w:szCs w:val="28"/>
                        <w:i w:val="0"/>
                        <w:iCs w:val="0"/>
                      </w:rPr>
                      <m:t>,</m:t>
                    </m:r>
                  </m:e>
                </m:mr>
                <m:mr>
                  <m:e>
                    <m:sSubSup>
                      <m:sSubSupPr/>
                      <m:e>
                        <m:r>
                          <m:rPr>
                            <m:nor m:val="1"/>
                          </m:rPr>
                          <w:rPr>
                            <w:rFonts w:ascii="Times New Roman" w:hAnsi="Times New Roman" w:cs="Times New Roman" w:eastAsia="方正仿宋_GBK"/>
                            <w:sz w:val="28"/>
                            <w:szCs w:val="28"/>
                            <w:i w:val="1"/>
                            <w:iCs w:val="1"/>
                          </w:rPr>
                          <m:t>S</m:t>
                        </m:r>
                      </m:e>
                      <m:sub>
                        <m:r>
                          <m:rPr>
                            <m:nor m:val="1"/>
                          </m:rPr>
                          <w:rPr>
                            <w:rFonts w:ascii="Times New Roman" w:hAnsi="Times New Roman" w:cs="Times New Roman" w:eastAsia="方正仿宋_GBK"/>
                            <w:sz w:val="28"/>
                            <w:szCs w:val="28"/>
                            <w:i w:val="1"/>
                            <w:iCs w:val="1"/>
                          </w:rPr>
                          <m:t>i</m:t>
                        </m:r>
                        <m:r>
                          <m:rPr>
                            <m:nor m:val="1"/>
                            <m:sty m:val="p"/>
                          </m:rPr>
                          <w:rPr>
                            <w:rFonts w:ascii="Times New Roman" w:hAnsi="Times New Roman" w:cs="Times New Roman" w:eastAsia="方正仿宋_GBK"/>
                            <w:b w:val="0"/>
                            <w:sz w:val="28"/>
                            <w:szCs w:val="28"/>
                            <w:i w:val="0"/>
                            <w:iCs w:val="0"/>
                          </w:rPr>
                          <m:t>,</m:t>
                        </m:r>
                        <m:r>
                          <m:rPr>
                            <m:nor m:val="1"/>
                          </m:rPr>
                          <w:rPr>
                            <w:rFonts w:ascii="Times New Roman" w:hAnsi="Times New Roman" w:cs="Times New Roman" w:eastAsia="方正仿宋_GBK"/>
                            <w:sz w:val="28"/>
                            <w:szCs w:val="28"/>
                            <w:i w:val="1"/>
                            <w:iCs w:val="1"/>
                          </w:rPr>
                          <m:t>ω</m:t>
                        </m:r>
                      </m:sub>
                      <m:sup>
                        <m:r>
                          <m:rPr>
                            <m:nor m:val="1"/>
                            <m:sty m:val="p"/>
                          </m:rPr>
                          <w:rPr>
                            <w:rFonts w:ascii="Times New Roman" w:hAnsi="Times New Roman" w:cs="Times New Roman" w:eastAsia="方正仿宋_GBK"/>
                            <w:b w:val="0"/>
                            <w:sz w:val="28"/>
                            <w:szCs w:val="28"/>
                            <w:i w:val="0"/>
                            <w:iCs w:val="0"/>
                          </w:rPr>
                          <m:t>av</m:t>
                        </m:r>
                      </m:sup>
                    </m:sSubSup>
                  </m:e>
                  <m:e>
                    <m:r>
                      <m:rPr>
                        <m:nor m:val="1"/>
                        <m:sty m:val="p"/>
                      </m:rPr>
                      <w:rPr>
                        <w:rFonts w:ascii="Times New Roman" w:hAnsi="Times New Roman" w:cs="Times New Roman" w:eastAsia="方正仿宋_GBK"/>
                        <w:b w:val="0"/>
                        <w:sz w:val="28"/>
                        <w:szCs w:val="28"/>
                        <w:i w:val="0"/>
                        <w:iCs w:val="0"/>
                      </w:rPr>
                      <m:t>=</m:t>
                    </m:r>
                    <m:sSub>
                      <m:sSubPr/>
                      <m:e>
                        <m:r>
                          <m:rPr>
                            <m:nor m:val="1"/>
                          </m:rPr>
                          <w:rPr>
                            <w:rFonts w:ascii="Times New Roman" w:hAnsi="Times New Roman" w:cs="Times New Roman" w:eastAsia="方正仿宋_GBK"/>
                            <w:sz w:val="28"/>
                            <w:szCs w:val="28"/>
                            <w:i w:val="1"/>
                            <w:iCs w:val="1"/>
                          </w:rPr>
                          <m:t>S</m:t>
                        </m:r>
                      </m:e>
                      <m:sub>
                        <m:r>
                          <m:rPr>
                            <m:nor m:val="1"/>
                          </m:rPr>
                          <w:rPr>
                            <w:rFonts w:ascii="Times New Roman" w:hAnsi="Times New Roman" w:cs="Times New Roman" w:eastAsia="方正仿宋_GBK"/>
                            <w:sz w:val="28"/>
                            <w:szCs w:val="28"/>
                            <w:i w:val="1"/>
                            <w:iCs w:val="1"/>
                          </w:rPr>
                          <m:t>i</m:t>
                        </m:r>
                      </m:sub>
                    </m:sSub>
                    <m:r>
                      <m:rPr>
                        <m:nor m:val="1"/>
                        <m:sty m:val="p"/>
                      </m:rPr>
                      <w:rPr>
                        <w:rFonts w:ascii="Times New Roman" w:hAnsi="Times New Roman" w:cs="Times New Roman" w:eastAsia="方正仿宋_GBK"/>
                        <w:b w:val="0"/>
                        <w:sz w:val="28"/>
                        <w:szCs w:val="28"/>
                        <w:i w:val="0"/>
                        <w:iCs w:val="0"/>
                      </w:rPr>
                      <m:t>−</m:t>
                    </m:r>
                    <m:sSub>
                      <m:sSubPr/>
                      <m:e>
                        <m:r>
                          <m:rPr>
                            <m:nor m:val="1"/>
                            <m:sty m:val="b"/>
                          </m:rPr>
                          <w:rPr>
                            <w:rFonts w:ascii="Times New Roman" w:hAnsi="Times New Roman" w:cs="Times New Roman" w:eastAsia="方正仿宋_GBK"/>
                            <w:b/>
                            <w:sz w:val="28"/>
                            <w:szCs w:val="28"/>
                            <w:i w:val="0"/>
                            <w:iCs w:val="0"/>
                          </w:rPr>
                          <m:t>1</m:t>
                        </m:r>
                      </m:e>
                      <m:sub>
                        <m:r>
                          <m:rPr>
                            <m:nor m:val="1"/>
                          </m:rPr>
                          <w:rPr>
                            <w:rFonts w:ascii="Times New Roman" w:hAnsi="Times New Roman" w:cs="Times New Roman" w:eastAsia="方正仿宋_GBK"/>
                            <w:sz w:val="28"/>
                            <w:szCs w:val="28"/>
                            <w:i w:val="1"/>
                            <w:iCs w:val="1"/>
                          </w:rPr>
                          <m:t>i</m:t>
                        </m:r>
                        <m:r>
                          <m:rPr>
                            <m:nor m:val="1"/>
                            <m:sty m:val="p"/>
                          </m:rPr>
                          <w:rPr>
                            <w:rFonts w:ascii="Times New Roman" w:hAnsi="Times New Roman" w:cs="Times New Roman" w:eastAsia="方正仿宋_GBK"/>
                            <w:b w:val="0"/>
                            <w:sz w:val="28"/>
                            <w:szCs w:val="28"/>
                            <w:i w:val="0"/>
                            <w:iCs w:val="0"/>
                          </w:rPr>
                          <m:t>为故障站</m:t>
                        </m:r>
                      </m:sub>
                    </m:sSub>
                    <m:limLow>
                      <m:limLowPr/>
                      <m:e>
                        <m:r>
                          <m:rPr>
                            <m:nor m:val="1"/>
                            <m:sty m:val="p"/>
                          </m:rPr>
                          <w:rPr>
                            <w:rFonts w:ascii="Times New Roman" w:hAnsi="Times New Roman" w:cs="Times New Roman" w:eastAsia="方正仿宋_GBK"/>
                            <w:b w:val="0"/>
                            <w:sz w:val="28"/>
                            <w:szCs w:val="28"/>
                            <w:i w:val="0"/>
                            <w:iCs w:val="0"/>
                          </w:rPr>
                          <m:t>max</m:t>
                        </m:r>
                      </m:e>
                      <m:lim>
                        <m:r>
                          <m:rPr>
                            <m:nor m:val="1"/>
                          </m:rPr>
                          <w:rPr>
                            <w:rFonts w:ascii="Times New Roman" w:hAnsi="Times New Roman" w:cs="Times New Roman" w:eastAsia="方正仿宋_GBK"/>
                            <w:sz w:val="28"/>
                            <w:szCs w:val="28"/>
                            <w:i w:val="1"/>
                            <w:iCs w:val="1"/>
                          </w:rPr>
                          <m:t>j</m:t>
                        </m:r>
                      </m:lim>
                    </m:limLow>
                    <m:sSub>
                      <m:sSubPr/>
                      <m:e>
                        <m:r>
                          <m:rPr>
                            <m:nor m:val="1"/>
                          </m:rPr>
                          <w:rPr>
                            <w:rFonts w:ascii="Times New Roman" w:hAnsi="Times New Roman" w:cs="Times New Roman" w:eastAsia="方正仿宋_GBK"/>
                            <w:sz w:val="28"/>
                            <w:szCs w:val="28"/>
                            <w:i w:val="1"/>
                            <w:iCs w:val="1"/>
                          </w:rPr>
                          <m:t>S</m:t>
                        </m:r>
                      </m:e>
                      <m:sub>
                        <m:r>
                          <m:rPr>
                            <m:nor m:val="1"/>
                          </m:rPr>
                          <w:rPr>
                            <w:rFonts w:ascii="Times New Roman" w:hAnsi="Times New Roman" w:cs="Times New Roman" w:eastAsia="方正仿宋_GBK"/>
                            <w:sz w:val="28"/>
                            <w:szCs w:val="28"/>
                            <w:i w:val="1"/>
                            <w:iCs w:val="1"/>
                          </w:rPr>
                          <m:t>i</m:t>
                        </m:r>
                        <m:r>
                          <m:rPr>
                            <m:nor m:val="1"/>
                            <m:sty m:val="p"/>
                          </m:rPr>
                          <w:rPr>
                            <w:rFonts w:ascii="Times New Roman" w:hAnsi="Times New Roman" w:cs="Times New Roman" w:eastAsia="方正仿宋_GBK"/>
                            <w:b w:val="0"/>
                            <w:sz w:val="28"/>
                            <w:szCs w:val="28"/>
                            <w:i w:val="0"/>
                            <w:iCs w:val="0"/>
                          </w:rPr>
                          <m:t>,</m:t>
                        </m:r>
                        <m:r>
                          <m:rPr>
                            <m:nor m:val="1"/>
                          </m:rPr>
                          <w:rPr>
                            <w:rFonts w:ascii="Times New Roman" w:hAnsi="Times New Roman" w:cs="Times New Roman" w:eastAsia="方正仿宋_GBK"/>
                            <w:sz w:val="28"/>
                            <w:szCs w:val="28"/>
                            <w:i w:val="1"/>
                            <w:iCs w:val="1"/>
                          </w:rPr>
                          <m:t>j</m:t>
                        </m:r>
                      </m:sub>
                    </m:sSub>
                    <m:r>
                      <m:rPr>
                        <m:nor m:val="1"/>
                        <m:sty m:val="p"/>
                      </m:rPr>
                      <w:rPr>
                        <w:rFonts w:ascii="Times New Roman" w:hAnsi="Times New Roman" w:cs="Times New Roman" w:eastAsia="方正仿宋_GBK"/>
                        <w:b w:val="0"/>
                        <w:sz w:val="28"/>
                        <w:szCs w:val="28"/>
                        <w:i w:val="0"/>
                        <w:iCs w:val="0"/>
                      </w:rPr>
                      <m:t>.</m:t>
                    </m:r>
                  </m:e>
                </m:mr>
              </m:m>
            </m:oMath>
          </w:p>
        </w:tc>
        <w:tc>
          <w:tcPr>
            <w:tcW w:w="800" w:type="dxa"/>
            <w:vAlign w:val="center"/>
            <w:tcMar>
              <w:top w:w="0" w:type="dxa"/>
              <w:bottom w:w="0" w:type="dxa"/>
              <w:left w:w="0" w:type="dxa"/>
              <w:right w:w="0" w:type="dxa"/>
            </w:tcMar>
          </w:tcPr>
          <w:p>
            <w:pPr>
              <w:ind w:firstLine="0" w:firstLineChars="0" w:hanging="0" w:hangingChars="0" w:left="0" w:right="0" w:start="0" w:end="0" w:leftChars="0" w:rightChars="0" w:startChars="0" w:endChars="0"/>
              <w:jc w:val="right"/>
              <w:spacing w:before="50" w:after="50" w:line="360" w:lineRule="auto"/>
              <w:snapToGrid w:val="0"/>
              <w:keepNext/>
            </w:pPr>
            <w:r>
              <w:rPr>
                <w:rFonts w:ascii="Times New Roman" w:hAnsi="Times New Roman" w:cs="Times New Roman" w:eastAsia="方正仿宋_GBK"/>
                <w:sz w:val="24"/>
              </w:rPr>
              <w:t>（3）</w:t>
            </w:r>
          </w:p>
        </w:tc>
      </w:tr>
    </w:tbl>
    <w:p>
      <w:pPr>
        <w:adjustRightInd w:val="0"/>
        <w:snapToGrid w:val="0"/>
        <w:spacing w:line="560" w:lineRule="exact"/>
        <w:rPr>
          <w:rFonts w:hint="eastAsia" w:ascii="方正仿宋_GBK" w:hAnsi="方正仿宋_GBK" w:eastAsia="方正仿宋_GBK" w:cs="Times New Roman"/>
          <w:sz w:val="32"/>
          <w:szCs w:val="32"/>
          <w:highlight w:val="none"/>
          <w14:ligatures w14:val="standardContextual"/>
        </w:rPr>
        <w:widowControl/>
        <w:ind w:firstLine="0" w:firstLineChars="0" w:hanging="0" w:hangingChars="0" w:left="0" w:right="0" w:start="0" w:end="0" w:leftChars="0" w:rightChars="0" w:startChars="0" w:endChars="0"/>
      </w:pPr>
      <w:r>
        <w:rPr>
          <w:rFonts w:hint="eastAsia" w:ascii="方正仿宋_GBK" w:hAnsi="方正仿宋_GBK" w:eastAsia="方正仿宋_GBK" w:cs="Times New Roman"/>
          <w:sz w:val="32"/>
          <w:szCs w:val="32"/>
        </w:rPr>
        <w:t xml:space="preserve">式中，</w:t>
      </w:r>
      <w:r>
        <w:rPr>
          <w:rFonts w:hint="eastAsia" w:ascii="Times New Roman" w:hAnsi="Times New Roman" w:eastAsia="方正仿宋_GBK" w:cs="Times New Roman"/>
          <w:sz w:val="32"/>
          <w:szCs w:val="32"/>
          <w:i w:val="1"/>
          <w:iCs w:val="1"/>
        </w:rPr>
        <w:t xml:space="preserve">i</w:t>
      </w:r>
      <w:r>
        <w:rPr>
          <w:rFonts w:hint="eastAsia" w:ascii="方正仿宋_GBK" w:hAnsi="方正仿宋_GBK" w:eastAsia="方正仿宋_GBK" w:cs="Times New Roman"/>
          <w:sz w:val="32"/>
          <w:szCs w:val="32"/>
        </w:rPr>
        <w:t xml:space="preserve">、</w:t>
      </w:r>
      <w:r>
        <w:rPr>
          <w:rFonts w:hint="eastAsia" w:ascii="Times New Roman" w:hAnsi="Times New Roman" w:eastAsia="方正仿宋_GBK" w:cs="Times New Roman"/>
          <w:sz w:val="32"/>
          <w:szCs w:val="32"/>
          <w:i w:val="1"/>
          <w:iCs w:val="1"/>
        </w:rPr>
        <w:t xml:space="preserve">j</w:t>
      </w:r>
      <w:r>
        <w:rPr>
          <w:rFonts w:hint="eastAsia" w:ascii="方正仿宋_GBK" w:hAnsi="方正仿宋_GBK" w:eastAsia="方正仿宋_GBK" w:cs="Times New Roman"/>
          <w:sz w:val="32"/>
          <w:szCs w:val="32"/>
        </w:rPr>
        <w:t xml:space="preserve">分别为站点及主变序号，</w:t>
      </w:r>
      <w:r>
        <w:rPr>
          <w:rFonts w:hint="eastAsia" w:ascii="Times New Roman" w:hAnsi="Times New Roman" w:eastAsia="方正仿宋_GBK" w:cs="Times New Roman"/>
          <w:sz w:val="32"/>
          <w:szCs w:val="32"/>
          <w:i w:val="1"/>
          <w:iCs w:val="1"/>
        </w:rPr>
        <w:t xml:space="preserve">ω</w:t>
      </w:r>
      <w:r>
        <w:rPr>
          <w:rFonts w:hint="eastAsia" w:ascii="方正仿宋_GBK" w:hAnsi="方正仿宋_GBK" w:eastAsia="方正仿宋_GBK" w:cs="Times New Roman"/>
          <w:sz w:val="32"/>
          <w:szCs w:val="32"/>
        </w:rPr>
        <w:t xml:space="preserve">为运行工况；</w:t>
      </w:r>
      <w:r>
        <w:rPr>
          <w:rFonts w:hint="eastAsia" w:ascii="Times New Roman" w:hAnsi="Times New Roman" w:eastAsia="方正仿宋_GBK" w:cs="Times New Roman"/>
          <w:sz w:val="32"/>
          <w:szCs w:val="32"/>
          <w:i w:val="1"/>
          <w:iCs w:val="1"/>
        </w:rPr>
        <w:t xml:space="preserve">P</w:t>
      </w:r>
      <w:r>
        <w:rPr>
          <w:rFonts w:hint="eastAsia" w:ascii="方正仿宋_GBK" w:hAnsi="方正仿宋_GBK" w:eastAsia="方正仿宋_GBK" w:cs="Times New Roman"/>
          <w:sz w:val="32"/>
          <w:szCs w:val="32"/>
        </w:rPr>
        <w:t xml:space="preserve">为转接前站级净负荷，</w:t>
      </w:r>
      <w:r>
        <w:rPr>
          <w:rFonts w:hint="eastAsia" w:ascii="Times New Roman" w:hAnsi="Times New Roman" w:eastAsia="方正仿宋_GBK" w:cs="Times New Roman"/>
          <w:sz w:val="32"/>
          <w:szCs w:val="32"/>
          <w:i w:val="1"/>
          <w:iCs w:val="1"/>
        </w:rPr>
        <w:t xml:space="preserve">q</w:t>
      </w:r>
      <w:r>
        <w:rPr>
          <w:rFonts w:hint="eastAsia" w:ascii="Times New Roman" w:hAnsi="Times New Roman" w:eastAsia="方正仿宋_GBK" w:cs="Times New Roman"/>
          <w:sz w:val="32"/>
          <w:szCs w:val="32"/>
          <w:i w:val="0"/>
          <w:iCs w:val="0"/>
          <w:vertAlign w:val="superscript"/>
        </w:rPr>
        <w:t xml:space="preserve">out</w:t>
      </w:r>
      <w:r>
        <w:rPr>
          <w:rFonts w:hint="eastAsia" w:ascii="方正仿宋_GBK" w:hAnsi="方正仿宋_GBK" w:eastAsia="方正仿宋_GBK" w:cs="Times New Roman"/>
          <w:sz w:val="32"/>
          <w:szCs w:val="32"/>
        </w:rPr>
        <w:t xml:space="preserve">、</w:t>
      </w:r>
      <w:r>
        <w:rPr>
          <w:rFonts w:hint="eastAsia" w:ascii="Times New Roman" w:hAnsi="Times New Roman" w:eastAsia="方正仿宋_GBK" w:cs="Times New Roman"/>
          <w:sz w:val="32"/>
          <w:szCs w:val="32"/>
          <w:i w:val="1"/>
          <w:iCs w:val="1"/>
        </w:rPr>
        <w:t xml:space="preserve">q</w:t>
      </w:r>
      <w:r>
        <w:rPr>
          <w:rFonts w:hint="eastAsia" w:ascii="Times New Roman" w:hAnsi="Times New Roman" w:eastAsia="方正仿宋_GBK" w:cs="Times New Roman"/>
          <w:sz w:val="32"/>
          <w:szCs w:val="32"/>
          <w:i w:val="0"/>
          <w:iCs w:val="0"/>
          <w:vertAlign w:val="superscript"/>
        </w:rPr>
        <w:t xml:space="preserve">in</w:t>
      </w:r>
      <w:r>
        <w:rPr>
          <w:rFonts w:hint="eastAsia" w:ascii="方正仿宋_GBK" w:hAnsi="方正仿宋_GBK" w:eastAsia="方正仿宋_GBK" w:cs="Times New Roman"/>
          <w:sz w:val="32"/>
          <w:szCs w:val="32"/>
        </w:rPr>
        <w:t xml:space="preserve">为区段转出及承接的净功率，</w:t>
      </w:r>
      <w:r>
        <w:rPr>
          <w:rFonts w:hint="eastAsia" w:ascii="Times New Roman" w:hAnsi="Times New Roman" w:eastAsia="方正仿宋_GBK" w:cs="Times New Roman"/>
          <w:sz w:val="32"/>
          <w:szCs w:val="32"/>
          <w:i w:val="1"/>
          <w:iCs w:val="1"/>
        </w:rPr>
        <w:t xml:space="preserve">B</w:t>
      </w:r>
      <w:r>
        <w:rPr>
          <w:rFonts w:hint="eastAsia" w:ascii="方正仿宋_GBK" w:hAnsi="方正仿宋_GBK" w:eastAsia="方正仿宋_GBK" w:cs="Times New Roman"/>
          <w:sz w:val="32"/>
          <w:szCs w:val="32"/>
          <w:vertAlign w:val="superscript"/>
        </w:rPr>
        <w:t xml:space="preserve">+</w:t>
      </w:r>
      <w:r>
        <w:rPr>
          <w:rFonts w:hint="eastAsia" w:ascii="方正仿宋_GBK" w:hAnsi="方正仿宋_GBK" w:eastAsia="方正仿宋_GBK" w:cs="Times New Roman"/>
          <w:sz w:val="32"/>
          <w:szCs w:val="32"/>
        </w:rPr>
        <w:t xml:space="preserve">、</w:t>
      </w:r>
      <w:r>
        <w:rPr>
          <w:rFonts w:hint="eastAsia" w:ascii="Times New Roman" w:hAnsi="Times New Roman" w:eastAsia="方正仿宋_GBK" w:cs="Times New Roman"/>
          <w:sz w:val="32"/>
          <w:szCs w:val="32"/>
          <w:i w:val="1"/>
          <w:iCs w:val="1"/>
        </w:rPr>
        <w:t xml:space="preserve">B</w:t>
      </w:r>
      <w:r>
        <w:rPr>
          <w:rFonts w:hint="eastAsia" w:ascii="方正仿宋_GBK" w:hAnsi="方正仿宋_GBK" w:eastAsia="方正仿宋_GBK" w:cs="Times New Roman"/>
          <w:sz w:val="32"/>
          <w:szCs w:val="32"/>
          <w:vertAlign w:val="superscript"/>
        </w:rPr>
        <w:t xml:space="preserve">−</w:t>
      </w:r>
      <w:r>
        <w:rPr>
          <w:rFonts w:hint="eastAsia" w:ascii="方正仿宋_GBK" w:hAnsi="方正仿宋_GBK" w:eastAsia="方正仿宋_GBK" w:cs="Times New Roman"/>
          <w:sz w:val="32"/>
          <w:szCs w:val="32"/>
        </w:rPr>
        <w:t xml:space="preserve">为储能正向支撑及反向吸收的有效功率，单位均为</w:t>
      </w:r>
      <w:r>
        <w:rPr>
          <w:rFonts w:hint="eastAsia" w:ascii="Times New Roman" w:hAnsi="Times New Roman" w:eastAsia="方正仿宋_GBK" w:cs="Times New Roman"/>
          <w:sz w:val="32"/>
          <w:szCs w:val="32"/>
          <w:i w:val="0"/>
          <w:iCs w:val="0"/>
        </w:rPr>
        <w:t xml:space="preserve">MW</w:t>
      </w:r>
      <w:r>
        <w:rPr>
          <w:rFonts w:hint="eastAsia" w:ascii="方正仿宋_GBK" w:hAnsi="方正仿宋_GBK" w:eastAsia="方正仿宋_GBK" w:cs="Times New Roman"/>
          <w:sz w:val="32"/>
          <w:szCs w:val="32"/>
        </w:rPr>
        <w:t xml:space="preserve">；</w:t>
      </w:r>
      <w:r>
        <w:rPr>
          <w:rFonts w:hint="eastAsia" w:ascii="Times New Roman" w:hAnsi="Times New Roman" w:eastAsia="方正仿宋_GBK" w:cs="Times New Roman"/>
          <w:sz w:val="32"/>
          <w:szCs w:val="32"/>
          <w:i w:val="1"/>
          <w:iCs w:val="1"/>
        </w:rPr>
        <w:t xml:space="preserve">S</w:t>
      </w:r>
      <w:r>
        <w:rPr>
          <w:rFonts w:hint="eastAsia" w:ascii="Times New Roman" w:hAnsi="Times New Roman" w:eastAsia="方正仿宋_GBK" w:cs="Times New Roman"/>
          <w:sz w:val="32"/>
          <w:szCs w:val="32"/>
          <w:i w:val="1"/>
          <w:iCs w:val="1"/>
          <w:vertAlign w:val="subscript"/>
        </w:rPr>
        <w:t xml:space="preserve">i</w:t>
      </w:r>
      <w:r>
        <w:rPr>
          <w:rFonts w:hint="eastAsia" w:ascii="方正仿宋_GBK" w:hAnsi="方正仿宋_GBK" w:eastAsia="方正仿宋_GBK" w:cs="Times New Roman"/>
          <w:sz w:val="32"/>
          <w:szCs w:val="32"/>
        </w:rPr>
        <w:t xml:space="preserve">为本站主变总容量，</w:t>
      </w:r>
      <w:r>
        <w:rPr>
          <w:rFonts w:hint="eastAsia" w:ascii="Times New Roman" w:hAnsi="Times New Roman" w:eastAsia="方正仿宋_GBK" w:cs="Times New Roman"/>
          <w:sz w:val="32"/>
          <w:szCs w:val="32"/>
          <w:i w:val="1"/>
          <w:iCs w:val="1"/>
        </w:rPr>
        <w:t xml:space="preserve">S</w:t>
      </w:r>
      <w:r>
        <w:rPr>
          <w:rFonts w:hint="eastAsia" w:ascii="Times New Roman" w:hAnsi="Times New Roman" w:eastAsia="方正仿宋_GBK" w:cs="Times New Roman"/>
          <w:sz w:val="32"/>
          <w:szCs w:val="32"/>
          <w:i w:val="1"/>
          <w:iCs w:val="1"/>
          <w:vertAlign w:val="subscript"/>
        </w:rPr>
        <w:t xml:space="preserve">i,j</w:t>
      </w:r>
      <w:r>
        <w:rPr>
          <w:rFonts w:hint="eastAsia" w:ascii="方正仿宋_GBK" w:hAnsi="方正仿宋_GBK" w:eastAsia="方正仿宋_GBK" w:cs="Times New Roman"/>
          <w:sz w:val="32"/>
          <w:szCs w:val="32"/>
        </w:rPr>
        <w:t xml:space="preserve">为单台主变容量，</w:t>
      </w:r>
      <w:r>
        <w:rPr>
          <w:rFonts w:hint="eastAsia" w:ascii="Times New Roman" w:hAnsi="Times New Roman" w:eastAsia="方正仿宋_GBK" w:cs="Times New Roman"/>
          <w:sz w:val="32"/>
          <w:szCs w:val="32"/>
          <w:i w:val="1"/>
          <w:iCs w:val="1"/>
        </w:rPr>
        <w:t xml:space="preserve">S</w:t>
      </w:r>
      <w:r>
        <w:rPr>
          <w:rFonts w:hint="eastAsia" w:ascii="Times New Roman" w:hAnsi="Times New Roman" w:eastAsia="方正仿宋_GBK" w:cs="Times New Roman"/>
          <w:sz w:val="32"/>
          <w:szCs w:val="32"/>
          <w:i w:val="0"/>
          <w:iCs w:val="0"/>
          <w:vertAlign w:val="superscript"/>
        </w:rPr>
        <w:t xml:space="preserve">av</w:t>
      </w:r>
      <w:r>
        <w:rPr>
          <w:rFonts w:hint="eastAsia" w:ascii="方正仿宋_GBK" w:hAnsi="方正仿宋_GBK" w:eastAsia="方正仿宋_GBK" w:cs="Times New Roman"/>
          <w:sz w:val="32"/>
          <w:szCs w:val="32"/>
        </w:rPr>
        <w:t xml:space="preserve">为工况下可用主变容量，单位均为</w:t>
      </w:r>
      <w:r>
        <w:rPr>
          <w:rFonts w:hint="eastAsia" w:ascii="Times New Roman" w:hAnsi="Times New Roman" w:eastAsia="方正仿宋_GBK" w:cs="Times New Roman"/>
          <w:sz w:val="32"/>
          <w:szCs w:val="32"/>
          <w:i w:val="0"/>
          <w:iCs w:val="0"/>
        </w:rPr>
        <w:t xml:space="preserve">MVA</w:t>
      </w:r>
      <w:r>
        <w:rPr>
          <w:rFonts w:hint="eastAsia" w:ascii="方正仿宋_GBK" w:hAnsi="方正仿宋_GBK" w:eastAsia="方正仿宋_GBK" w:cs="Times New Roman"/>
          <w:sz w:val="32"/>
          <w:szCs w:val="32"/>
        </w:rPr>
        <w:t xml:space="preserve">；</w:t>
      </w:r>
      <w:r>
        <w:rPr>
          <w:rFonts w:hint="eastAsia" w:ascii="Times New Roman" w:hAnsi="Times New Roman" w:eastAsia="方正仿宋_GBK" w:cs="Times New Roman"/>
          <w:sz w:val="32"/>
          <w:szCs w:val="32"/>
          <w:i w:val="1"/>
          <w:iCs w:val="1"/>
        </w:rPr>
        <w:t xml:space="preserve">k</w:t>
      </w:r>
      <w:r>
        <w:rPr>
          <w:rFonts w:hint="eastAsia" w:ascii="方正仿宋_GBK" w:hAnsi="方正仿宋_GBK" w:eastAsia="方正仿宋_GBK" w:cs="Times New Roman"/>
          <w:sz w:val="32"/>
          <w:szCs w:val="32"/>
        </w:rPr>
        <w:t xml:space="preserve">为工程允许负载率，健康站取0.80、故障站取1.30；</w:t>
      </w:r>
      <w:r>
        <w:rPr>
          <w:rFonts w:hint="eastAsia" w:ascii="Times New Roman" w:hAnsi="Times New Roman" w:eastAsia="方正仿宋_GBK" w:cs="Times New Roman"/>
          <w:sz w:val="32"/>
          <w:szCs w:val="32"/>
          <w:i w:val="0"/>
          <w:iCs w:val="0"/>
        </w:rPr>
        <w:t xml:space="preserve">cos</w:t>
      </w:r>
      <w:r>
        <w:rPr>
          <w:rFonts w:hint="eastAsia" w:ascii="Times New Roman" w:hAnsi="Times New Roman" w:eastAsia="方正仿宋_GBK" w:cs="Times New Roman"/>
          <w:sz w:val="32"/>
          <w:szCs w:val="32"/>
          <w:i w:val="1"/>
          <w:iCs w:val="1"/>
        </w:rPr>
        <w:t xml:space="preserve">φ</w:t>
      </w:r>
      <w:r>
        <w:rPr>
          <w:rFonts w:hint="eastAsia" w:ascii="方正仿宋_GBK" w:hAnsi="方正仿宋_GBK" w:eastAsia="方正仿宋_GBK" w:cs="Times New Roman"/>
          <w:sz w:val="32"/>
          <w:szCs w:val="32"/>
        </w:rPr>
        <w:t xml:space="preserve">为功率因数。指示项在本站故障时取1，其余取0，最大单台主变退出后的剩余容量用于故障校核。</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楷体_GBK" w:hAnsi="方正楷体_GBK" w:eastAsia="方正楷体_GBK" w:cs="方正楷体_GBK"/>
          <w:sz w:val="32"/>
          <w:szCs w:val="32"/>
          <w:b/>
        </w:rPr>
        <w:t xml:space="preserve">三是转供与持续支撑约束。</w:t>
      </w:r>
      <w:r>
        <w:rPr>
          <w:rFonts w:hint="eastAsia" w:ascii="方正仿宋_GBK" w:hAnsi="方正仿宋_GBK" w:eastAsia="方正仿宋_GBK" w:cs="Times New Roman"/>
          <w:sz w:val="32"/>
          <w:szCs w:val="32"/>
        </w:rPr>
        <w:t xml:space="preserve">转接功率受送端可切换区段、逐站既有转供上限、通道容量及受端馈线余量共同限制，使用同一馈线的联络共享其能力预算，承接站同时通过上述容量校核。各小时区域内部转出与承接净功率平衡，储能按前述额定功率、可用电量和方向持续时间确定有效能力，正常及事故追加的负荷转供方案各自在年度内固定。</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各年寻优使用当年源荷和上一年度资产，确定新增工程后复算建设及运维现金流，并回代全年8760小时的正常与N-1工况。正文比较通过设备、通道和供电能力校核的具体可行方案，费用差由采购规模、工程组合及投运时点共同形成。</w:t>
      </w:r>
    </w:p>
    <w:p>
      <w:pPr>
        <w:adjustRightInd w:val="0"/>
        <w:snapToGrid w:val="0"/>
        <w:spacing w:line="560" w:lineRule="exact"/>
        <w:ind w:firstLine="723" w:firstLineChars="200"/>
        <w:outlineLvl w:val="9"/>
        <w:rPr>
          <w:rFonts w:hint="eastAsia" w:ascii="方正黑体_GBK" w:hAnsi="方正黑体_GBK" w:eastAsia="方正黑体_GBK" w:cs="方正黑体_GBK"/>
          <w:b/>
          <w:bCs/>
          <w:sz w:val="36"/>
          <w:szCs w:val="36"/>
          <w:highlight w:val="none"/>
          <w14:ligatures w14:val="standardContextual"/>
        </w:rPr>
        <w:keepNext/>
        <w:widowControl/>
      </w:pPr>
      <w:r>
        <w:rPr>
          <w:rFonts w:hint="eastAsia" w:ascii="方正黑体_GBK" w:hAnsi="方正黑体_GBK" w:eastAsia="方正黑体_GBK" w:cs="方正黑体_GBK"/>
          <w:b/>
          <w:bCs/>
          <w:sz w:val="36"/>
          <w:szCs w:val="36"/>
        </w:rPr>
        <w:t xml:space="preserve">三、两地区方案比选与指标优化成果</w:t>
      </w:r>
    </w:p>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keepNext/>
        <w:widowControl/>
      </w:pPr>
      <w:r>
        <w:rPr>
          <w:rFonts w:hint="eastAsia" w:ascii="方正楷体_GBK" w:hAnsi="方正楷体_GBK" w:eastAsia="方正楷体_GBK" w:cs="方正楷体_GBK"/>
          <w:b/>
          <w:bCs/>
          <w:sz w:val="32"/>
          <w:szCs w:val="32"/>
        </w:rPr>
        <w:t xml:space="preserve">（一）弹性方案通过工程替代降低全期费用</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2022—2035年两地区刚性方案费用现值合计98006.53万元，弹性方案95107.86万元，减少2898.67万元，降幅2.96%。其中邳州减少848.32万元，市区减少2050.35万元。表1列示各措施费用，均按同一评价范围计算。</w:t>
      </w:r>
    </w:p>
    <w:p>
      <w:pPr>
        <w:adjustRightInd w:val="0"/>
        <w:snapToGrid w:val="0"/>
        <w:outlineLvl w:val="9"/>
        <w:rPr>
          <w:rFonts w:hint="eastAsia" w:ascii="方正仿宋_GBK" w:hAnsi="方正仿宋_GBK" w:eastAsia="方正仿宋_GBK" w:cs="Times New Roman"/>
          <w:sz w:val="32"/>
          <w:szCs w:val="32"/>
          <w:highlight w:val="none"/>
          <w14:ligatures w14:val="standardContextual"/>
        </w:rPr>
        <w:keepNext/>
        <w:widowControl/>
        <w:ind w:firstLine="0" w:firstLineChars="0" w:hanging="0" w:hangingChars="0" w:left="0" w:right="0" w:leftChars="0" w:rightChars="0" w:start="0" w:end="0" w:startChars="0" w:endChars="0"/>
        <w:jc w:val="center"/>
      </w:pPr>
      <w:r>
        <w:rPr>
          <w:rFonts w:hint="eastAsia" w:ascii="方正仿宋_GBK" w:hAnsi="方正仿宋_GBK" w:eastAsia="方正仿宋_GBK" w:cs="Times New Roman"/>
          <w:sz w:val="32"/>
          <w:szCs w:val="32"/>
        </w:rPr>
        <w:t xml:space="preserve">表1 两地区新增措施评价期费用现值</w:t>
      </w:r>
    </w:p>
    <w:tbl>
      <w:tblPr>
        <w:tblW w:w="8306" w:type="dxa"/>
        <w:jc w:val="center"/>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20" w:type="dxa"/>
          <w:bottom w:w="20" w:type="dxa"/>
          <w:left w:w="35" w:type="dxa"/>
          <w:right w:w="35" w:type="dxa"/>
        </w:tblCellMar>
      </w:tblPr>
      <w:tblGrid>
        <w:gridCol w:w="650"/>
        <w:gridCol w:w="650"/>
        <w:gridCol w:w="1750"/>
        <w:gridCol w:w="1750"/>
        <w:gridCol w:w="1750"/>
        <w:gridCol w:w="1756"/>
      </w:tblGrid>
      <w:tr>
        <w:trPr>
          <w:cantSplit/>
          <w:tblHeader/>
        </w:trPr>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地区</w:t>
            </w:r>
          </w:p>
        </w:tc>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方案</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主变/万元</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储能/万元</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联络/万元</w:t>
            </w:r>
          </w:p>
        </w:tc>
        <w:tc>
          <w:tcPr>
            <w:tcW w:w="17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合计/万元</w:t>
            </w:r>
          </w:p>
        </w:tc>
      </w:tr>
      <w:tr>
        <w:trPr>
          <w:cantSplit/>
        </w:trPr>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邳州</w:t>
            </w:r>
          </w:p>
        </w:tc>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刚性</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14938.49</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38108.23</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5322.97</w:t>
            </w:r>
          </w:p>
        </w:tc>
        <w:tc>
          <w:tcPr>
            <w:tcW w:w="17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58369.68</w:t>
            </w:r>
          </w:p>
        </w:tc>
      </w:tr>
      <w:tr>
        <w:trPr>
          <w:cantSplit/>
        </w:trPr>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邳州</w:t>
            </w:r>
          </w:p>
        </w:tc>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弹性</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23290.49</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32491.48</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1739.39</w:t>
            </w:r>
          </w:p>
        </w:tc>
        <w:tc>
          <w:tcPr>
            <w:tcW w:w="17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57521.36</w:t>
            </w:r>
          </w:p>
        </w:tc>
      </w:tr>
      <w:tr>
        <w:trPr>
          <w:cantSplit/>
        </w:trPr>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市区</w:t>
            </w:r>
          </w:p>
        </w:tc>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刚性</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13399.40</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5389.71</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20847.73</w:t>
            </w:r>
          </w:p>
        </w:tc>
        <w:tc>
          <w:tcPr>
            <w:tcW w:w="17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39636.85</w:t>
            </w:r>
          </w:p>
        </w:tc>
      </w:tr>
      <w:tr>
        <w:trPr>
          <w:cantSplit/>
        </w:trPr>
        <w:tc>
          <w:tcPr>
            <w:tcW w:w="6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市区</w:t>
            </w:r>
          </w:p>
        </w:tc>
        <w:tc>
          <w:tcPr>
            <w:tcW w:w="6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弹性</w:t>
            </w:r>
          </w:p>
        </w:tc>
        <w:tc>
          <w:tcPr>
            <w:tcW w:w="17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22928.25</w:t>
            </w:r>
          </w:p>
        </w:tc>
        <w:tc>
          <w:tcPr>
            <w:tcW w:w="17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6000.60</w:t>
            </w:r>
          </w:p>
        </w:tc>
        <w:tc>
          <w:tcPr>
            <w:tcW w:w="17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8657.65</w:t>
            </w:r>
          </w:p>
        </w:tc>
        <w:tc>
          <w:tcPr>
            <w:tcW w:w="1756"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37586.50</w:t>
            </w:r>
          </w:p>
        </w:tc>
      </w:tr>
    </w:tbl>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楷体_GBK" w:hAnsi="方正楷体_GBK" w:eastAsia="方正楷体_GBK" w:cs="方正楷体_GBK"/>
          <w:sz w:val="32"/>
          <w:szCs w:val="32"/>
          <w:b/>
        </w:rPr>
        <w:t xml:space="preserve">一是邳州以较多主变投入替代部分储能和联络。</w:t>
      </w:r>
      <w:r>
        <w:rPr>
          <w:rFonts w:hint="eastAsia" w:ascii="方正仿宋_GBK" w:hAnsi="方正仿宋_GBK" w:eastAsia="方正仿宋_GBK" w:cs="Times New Roman"/>
          <w:sz w:val="32"/>
          <w:szCs w:val="32"/>
        </w:rPr>
        <w:t xml:space="preserve">弹性方案主变费用现值较刚性增加8352.01万元，储能和联络分别减少5616.74万元、3583.59万元。站内补强提高正常及故障时的剩余承载能力，减少部分局部支撑和通道建设需求，三项费用共同形成该地区848.32万元的合计下降。</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楷体_GBK" w:hAnsi="方正楷体_GBK" w:eastAsia="方正楷体_GBK" w:cs="方正楷体_GBK"/>
          <w:sz w:val="32"/>
          <w:szCs w:val="32"/>
          <w:b/>
        </w:rPr>
        <w:t xml:space="preserve">二是市区主要通过减少新增联络形成费用优势。</w:t>
      </w:r>
      <w:r>
        <w:rPr>
          <w:rFonts w:hint="eastAsia" w:ascii="方正仿宋_GBK" w:hAnsi="方正仿宋_GBK" w:eastAsia="方正仿宋_GBK" w:cs="Times New Roman"/>
          <w:sz w:val="32"/>
          <w:szCs w:val="32"/>
        </w:rPr>
        <w:t xml:space="preserve">弹性方案主变与储能费用现值分别增加9528.85万元、610.89万元，联络费用减少12190.08万元，合计下降2050.35万元。市区电缆长度占比约80%，高于邳州约11%，同类新增联络的工程费用较高，站内补强对联络建设的替代作用在费用比较中更突出。</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楷体_GBK" w:hAnsi="方正楷体_GBK" w:eastAsia="方正楷体_GBK" w:cs="方正楷体_GBK"/>
          <w:sz w:val="32"/>
          <w:szCs w:val="32"/>
          <w:b/>
        </w:rPr>
        <w:t xml:space="preserve">三是费用优势随年度建设逐步形成。</w:t>
      </w:r>
      <w:r>
        <w:rPr>
          <w:rFonts w:hint="eastAsia" w:ascii="方正仿宋_GBK" w:hAnsi="方正仿宋_GBK" w:eastAsia="方正仿宋_GBK" w:cs="Times New Roman"/>
          <w:sz w:val="32"/>
          <w:szCs w:val="32"/>
        </w:rPr>
        <w:t xml:space="preserve">市区2022年两方案均无新增工程，2030年弹性累计费用现值16806.54万元，高于刚性14819.77万元。前期较多主变采购增加投入，后续联络建设减少后才形成全期优势。各年度的设备和费用差异需结合投运过程判断。</w:t>
      </w:r>
    </w:p>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keepNext/>
        <w:widowControl/>
      </w:pPr>
      <w:r>
        <w:rPr>
          <w:rFonts w:hint="eastAsia" w:ascii="方正楷体_GBK" w:hAnsi="方正楷体_GBK" w:eastAsia="方正楷体_GBK" w:cs="方正楷体_GBK"/>
          <w:b/>
          <w:bCs/>
          <w:sz w:val="32"/>
          <w:szCs w:val="32"/>
        </w:rPr>
        <w:t xml:space="preserve">（二）邳州兼顾正向供电与后期反向承载需求</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邳州刚性方案2022—2026年保持2027.00 MVA主变容量，主要利用储能和联络应对局部需求。弹性方案2022年净增41.50 MVA，2025年达到2091.50 MVA，该年储能为零，累计新增联络3条；刚性方案2025年配置56.33 MWh储能和9条新增联络。前期站内补强改变了本地支撑与邻站支援的组合。</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2030年弹性主变容量2388.50 MVA、储能69.66 MWh、累计新增联络6条，刚性分别为2125.50 MVA、153.94 MWh和25条。光伏及负荷继续增长后，两方案均逐步增加建设。至2035年，弹性主变容量2901.00 MVA，比刚性2678.00 MVA多223.00 MVA，储能额定能量分别为545.67 MWh和568.25 MWh，累计新增联络分别为21条和58条。</w:t>
      </w:r>
    </w:p>
    <w:p>
      <w:pPr>
        <w:adjustRightInd w:val="0"/>
        <w:snapToGrid w:val="0"/>
        <w:outlineLvl w:val="9"/>
        <w:rPr>
          <w:rFonts w:hint="eastAsia" w:ascii="方正仿宋_GBK" w:hAnsi="方正仿宋_GBK" w:eastAsia="方正仿宋_GBK" w:cs="Times New Roman"/>
          <w:sz w:val="32"/>
          <w:szCs w:val="32"/>
          <w:highlight w:val="none"/>
          <w14:ligatures w14:val="standardContextual"/>
        </w:rPr>
        <w:keepNext/>
        <w:widowControl/>
        <w:ind w:firstLine="0" w:firstLineChars="0" w:hanging="0" w:hangingChars="0" w:left="0" w:right="0" w:leftChars="0" w:rightChars="0" w:start="0" w:end="0" w:startChars="0" w:endChars="0"/>
        <w:jc w:val="center"/>
      </w:pPr>
      <w:r>
        <w:rPr>
          <w:rFonts w:hint="eastAsia" w:ascii="方正仿宋_GBK" w:hAnsi="方正仿宋_GBK" w:eastAsia="方正仿宋_GBK" w:cs="Times New Roman"/>
          <w:sz w:val="32"/>
          <w:szCs w:val="32"/>
        </w:rPr>
        <w:t xml:space="preserve">表2 邳州代表年度主变容量及容载比</w:t>
      </w:r>
    </w:p>
    <w:tbl>
      <w:tblPr>
        <w:tblW w:w="8306" w:type="dxa"/>
        <w:jc w:val="center"/>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20" w:type="dxa"/>
          <w:bottom w:w="20" w:type="dxa"/>
          <w:left w:w="35" w:type="dxa"/>
          <w:right w:w="35" w:type="dxa"/>
        </w:tblCellMar>
      </w:tblPr>
      <w:tblGrid>
        <w:gridCol w:w="650"/>
        <w:gridCol w:w="1620"/>
        <w:gridCol w:w="1640"/>
        <w:gridCol w:w="1370"/>
        <w:gridCol w:w="1640"/>
        <w:gridCol w:w="1386"/>
      </w:tblGrid>
      <w:tr>
        <w:trPr>
          <w:cantSplit/>
          <w:tblHeader/>
        </w:trPr>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年份</w:t>
            </w:r>
          </w:p>
        </w:tc>
        <w:tc>
          <w:tcPr>
            <w:tcW w:w="162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网供峰值/MW</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刚性容量/MVA</w:t>
            </w:r>
          </w:p>
        </w:tc>
        <w:tc>
          <w:tcPr>
            <w:tcW w:w="137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刚性容载比</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弹性容量/MVA</w:t>
            </w:r>
          </w:p>
        </w:tc>
        <w:tc>
          <w:tcPr>
            <w:tcW w:w="138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弹性容载比</w:t>
            </w:r>
          </w:p>
        </w:tc>
      </w:tr>
      <w:tr>
        <w:trPr>
          <w:cantSplit/>
        </w:trPr>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2021</w:t>
            </w:r>
          </w:p>
        </w:tc>
        <w:tc>
          <w:tcPr>
            <w:tcW w:w="162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731.77</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2027.00</w:t>
            </w:r>
          </w:p>
        </w:tc>
        <w:tc>
          <w:tcPr>
            <w:tcW w:w="137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2.77</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2027.00</w:t>
            </w:r>
          </w:p>
        </w:tc>
        <w:tc>
          <w:tcPr>
            <w:tcW w:w="138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2.77</w:t>
            </w:r>
          </w:p>
        </w:tc>
      </w:tr>
      <w:tr>
        <w:trPr>
          <w:cantSplit/>
        </w:trPr>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2022</w:t>
            </w:r>
          </w:p>
        </w:tc>
        <w:tc>
          <w:tcPr>
            <w:tcW w:w="162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825.00</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2027.00</w:t>
            </w:r>
          </w:p>
        </w:tc>
        <w:tc>
          <w:tcPr>
            <w:tcW w:w="137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2.46</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2068.50</w:t>
            </w:r>
          </w:p>
        </w:tc>
        <w:tc>
          <w:tcPr>
            <w:tcW w:w="138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2.51</w:t>
            </w:r>
          </w:p>
        </w:tc>
      </w:tr>
      <w:tr>
        <w:trPr>
          <w:cantSplit/>
        </w:trPr>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2023</w:t>
            </w:r>
          </w:p>
        </w:tc>
        <w:tc>
          <w:tcPr>
            <w:tcW w:w="162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761.23</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2027.00</w:t>
            </w:r>
          </w:p>
        </w:tc>
        <w:tc>
          <w:tcPr>
            <w:tcW w:w="137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2.66</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2068.50</w:t>
            </w:r>
          </w:p>
        </w:tc>
        <w:tc>
          <w:tcPr>
            <w:tcW w:w="138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2.72</w:t>
            </w:r>
          </w:p>
        </w:tc>
      </w:tr>
      <w:tr>
        <w:trPr>
          <w:cantSplit/>
        </w:trPr>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2025</w:t>
            </w:r>
          </w:p>
        </w:tc>
        <w:tc>
          <w:tcPr>
            <w:tcW w:w="162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956.45</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2027.00</w:t>
            </w:r>
          </w:p>
        </w:tc>
        <w:tc>
          <w:tcPr>
            <w:tcW w:w="137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2.12</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2091.50</w:t>
            </w:r>
          </w:p>
        </w:tc>
        <w:tc>
          <w:tcPr>
            <w:tcW w:w="138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2.19</w:t>
            </w:r>
          </w:p>
        </w:tc>
      </w:tr>
      <w:tr>
        <w:trPr>
          <w:cantSplit/>
        </w:trPr>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2030</w:t>
            </w:r>
          </w:p>
        </w:tc>
        <w:tc>
          <w:tcPr>
            <w:tcW w:w="162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1171.59</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2125.50</w:t>
            </w:r>
          </w:p>
        </w:tc>
        <w:tc>
          <w:tcPr>
            <w:tcW w:w="137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1.81</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2388.50</w:t>
            </w:r>
          </w:p>
        </w:tc>
        <w:tc>
          <w:tcPr>
            <w:tcW w:w="138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2.04</w:t>
            </w:r>
          </w:p>
        </w:tc>
      </w:tr>
      <w:tr>
        <w:trPr>
          <w:cantSplit/>
        </w:trPr>
        <w:tc>
          <w:tcPr>
            <w:tcW w:w="6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2035</w:t>
            </w:r>
          </w:p>
        </w:tc>
        <w:tc>
          <w:tcPr>
            <w:tcW w:w="162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1409.47</w:t>
            </w:r>
          </w:p>
        </w:tc>
        <w:tc>
          <w:tcPr>
            <w:tcW w:w="164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2678.00</w:t>
            </w:r>
          </w:p>
        </w:tc>
        <w:tc>
          <w:tcPr>
            <w:tcW w:w="137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1.90</w:t>
            </w:r>
          </w:p>
        </w:tc>
        <w:tc>
          <w:tcPr>
            <w:tcW w:w="164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2901.00</w:t>
            </w:r>
          </w:p>
        </w:tc>
        <w:tc>
          <w:tcPr>
            <w:tcW w:w="1386"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2.06</w:t>
            </w:r>
          </w:p>
        </w:tc>
      </w:tr>
    </w:tbl>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邳州2023年负荷回落，两方案均保留上年在役主变，容载比因分母减小而升高。后期容量增加与负荷增长同时作用，2035年弹性容载比2.06，刚性1.90。两方案的配储地点、时点和联络使用存在差异，储能规模还受各站双向功率缺口及支撑时长共同限制。</w:t>
      </w:r>
    </w:p>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keepNext/>
        <w:widowControl/>
      </w:pPr>
      <w:r>
        <w:rPr>
          <w:rFonts w:hint="eastAsia" w:ascii="方正楷体_GBK" w:hAnsi="方正楷体_GBK" w:eastAsia="方正楷体_GBK" w:cs="方正楷体_GBK"/>
          <w:b/>
          <w:bCs/>
          <w:sz w:val="32"/>
          <w:szCs w:val="32"/>
        </w:rPr>
        <w:t xml:space="preserve">（三）市区以站内补强减少联络并保留局部配储</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市区2022年两方案均利用3113.50 MVA在役主变和既有网络满足计算需求。2023—2025年开始出现建设差异，至2025年弹性容量3150.50 MVA，未新增储能和联络；刚性保持3113.50 MVA，配置3.87 MWh储能、累计新增联络5条。</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2030年弹性主变容量3413.00 MVA，仍未新增储能及联络，刚性容量3140.50 MVA、储能12.04 MWh、累计新增联络32条。2032年以后两方案继续增加本地支撑，至2035年弹性储能109.65 MWh，高于刚性92.88 MWh，累计新增联络35条，少于刚性66条。</w:t>
      </w:r>
    </w:p>
    <w:p>
      <w:pPr>
        <w:adjustRightInd w:val="0"/>
        <w:snapToGrid w:val="0"/>
        <w:outlineLvl w:val="9"/>
        <w:rPr>
          <w:rFonts w:hint="eastAsia" w:ascii="方正仿宋_GBK" w:hAnsi="方正仿宋_GBK" w:eastAsia="方正仿宋_GBK" w:cs="Times New Roman"/>
          <w:sz w:val="32"/>
          <w:szCs w:val="32"/>
          <w:highlight w:val="none"/>
          <w14:ligatures w14:val="standardContextual"/>
        </w:rPr>
        <w:keepNext/>
        <w:widowControl/>
        <w:ind w:firstLine="0" w:firstLineChars="0" w:hanging="0" w:hangingChars="0" w:left="0" w:right="0" w:leftChars="0" w:rightChars="0" w:start="0" w:end="0" w:startChars="0" w:endChars="0"/>
        <w:jc w:val="center"/>
      </w:pPr>
      <w:r>
        <w:rPr>
          <w:rFonts w:hint="eastAsia" w:ascii="方正仿宋_GBK" w:hAnsi="方正仿宋_GBK" w:eastAsia="方正仿宋_GBK" w:cs="Times New Roman"/>
          <w:sz w:val="32"/>
          <w:szCs w:val="32"/>
        </w:rPr>
        <w:t xml:space="preserve">表3 市区代表年度主变容量及容载比</w:t>
      </w:r>
    </w:p>
    <w:tbl>
      <w:tblPr>
        <w:tblW w:w="8306" w:type="dxa"/>
        <w:jc w:val="center"/>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20" w:type="dxa"/>
          <w:bottom w:w="20" w:type="dxa"/>
          <w:left w:w="35" w:type="dxa"/>
          <w:right w:w="35" w:type="dxa"/>
        </w:tblCellMar>
      </w:tblPr>
      <w:tblGrid>
        <w:gridCol w:w="650"/>
        <w:gridCol w:w="1620"/>
        <w:gridCol w:w="1640"/>
        <w:gridCol w:w="1370"/>
        <w:gridCol w:w="1640"/>
        <w:gridCol w:w="1386"/>
      </w:tblGrid>
      <w:tr>
        <w:trPr>
          <w:cantSplit/>
          <w:tblHeader/>
        </w:trPr>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年份</w:t>
            </w:r>
          </w:p>
        </w:tc>
        <w:tc>
          <w:tcPr>
            <w:tcW w:w="162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网供峰值/MW</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刚性容量/MVA</w:t>
            </w:r>
          </w:p>
        </w:tc>
        <w:tc>
          <w:tcPr>
            <w:tcW w:w="137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刚性容载比</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弹性容量/MVA</w:t>
            </w:r>
          </w:p>
        </w:tc>
        <w:tc>
          <w:tcPr>
            <w:tcW w:w="138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弹性容载比</w:t>
            </w:r>
          </w:p>
        </w:tc>
      </w:tr>
      <w:tr>
        <w:trPr>
          <w:cantSplit/>
        </w:trPr>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2021</w:t>
            </w:r>
          </w:p>
        </w:tc>
        <w:tc>
          <w:tcPr>
            <w:tcW w:w="162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1449.77</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3113.50</w:t>
            </w:r>
          </w:p>
        </w:tc>
        <w:tc>
          <w:tcPr>
            <w:tcW w:w="137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2.15</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3113.50</w:t>
            </w:r>
          </w:p>
        </w:tc>
        <w:tc>
          <w:tcPr>
            <w:tcW w:w="138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2.15</w:t>
            </w:r>
          </w:p>
        </w:tc>
      </w:tr>
      <w:tr>
        <w:trPr>
          <w:cantSplit/>
        </w:trPr>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2022</w:t>
            </w:r>
          </w:p>
        </w:tc>
        <w:tc>
          <w:tcPr>
            <w:tcW w:w="162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1432.37</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3113.50</w:t>
            </w:r>
          </w:p>
        </w:tc>
        <w:tc>
          <w:tcPr>
            <w:tcW w:w="137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2.17</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3113.50</w:t>
            </w:r>
          </w:p>
        </w:tc>
        <w:tc>
          <w:tcPr>
            <w:tcW w:w="138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2.17</w:t>
            </w:r>
          </w:p>
        </w:tc>
      </w:tr>
      <w:tr>
        <w:trPr>
          <w:cantSplit/>
        </w:trPr>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2023</w:t>
            </w:r>
          </w:p>
        </w:tc>
        <w:tc>
          <w:tcPr>
            <w:tcW w:w="162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1542.22</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3113.50</w:t>
            </w:r>
          </w:p>
        </w:tc>
        <w:tc>
          <w:tcPr>
            <w:tcW w:w="137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2.02</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3150.50</w:t>
            </w:r>
          </w:p>
        </w:tc>
        <w:tc>
          <w:tcPr>
            <w:tcW w:w="138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2.04</w:t>
            </w:r>
          </w:p>
        </w:tc>
      </w:tr>
      <w:tr>
        <w:trPr>
          <w:cantSplit/>
        </w:trPr>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2025</w:t>
            </w:r>
          </w:p>
        </w:tc>
        <w:tc>
          <w:tcPr>
            <w:tcW w:w="162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1528.82</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3113.50</w:t>
            </w:r>
          </w:p>
        </w:tc>
        <w:tc>
          <w:tcPr>
            <w:tcW w:w="137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2.04</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3150.50</w:t>
            </w:r>
          </w:p>
        </w:tc>
        <w:tc>
          <w:tcPr>
            <w:tcW w:w="138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2.06</w:t>
            </w:r>
          </w:p>
        </w:tc>
      </w:tr>
      <w:tr>
        <w:trPr>
          <w:cantSplit/>
        </w:trPr>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2030</w:t>
            </w:r>
          </w:p>
        </w:tc>
        <w:tc>
          <w:tcPr>
            <w:tcW w:w="162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1845.31</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3140.50</w:t>
            </w:r>
          </w:p>
        </w:tc>
        <w:tc>
          <w:tcPr>
            <w:tcW w:w="137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1.70</w:t>
            </w:r>
          </w:p>
        </w:tc>
        <w:tc>
          <w:tcPr>
            <w:tcW w:w="164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3413.00</w:t>
            </w:r>
          </w:p>
        </w:tc>
        <w:tc>
          <w:tcPr>
            <w:tcW w:w="138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1.85</w:t>
            </w:r>
          </w:p>
        </w:tc>
      </w:tr>
      <w:tr>
        <w:trPr>
          <w:cantSplit/>
        </w:trPr>
        <w:tc>
          <w:tcPr>
            <w:tcW w:w="6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2035</w:t>
            </w:r>
          </w:p>
        </w:tc>
        <w:tc>
          <w:tcPr>
            <w:tcW w:w="162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2226.18</w:t>
            </w:r>
          </w:p>
        </w:tc>
        <w:tc>
          <w:tcPr>
            <w:tcW w:w="164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3587.00</w:t>
            </w:r>
          </w:p>
        </w:tc>
        <w:tc>
          <w:tcPr>
            <w:tcW w:w="137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1.61</w:t>
            </w:r>
          </w:p>
        </w:tc>
        <w:tc>
          <w:tcPr>
            <w:tcW w:w="164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3608.50</w:t>
            </w:r>
          </w:p>
        </w:tc>
        <w:tc>
          <w:tcPr>
            <w:tcW w:w="1386"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1.62</w:t>
            </w:r>
          </w:p>
        </w:tc>
      </w:tr>
    </w:tbl>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2035年弹性与刚性主变容量分别为3608.50 MVA、3587.00 MVA，容量差21.50 MVA，容载比分别为1.62、1.61。市区的费用改善主要体现为建设组合与投运时序的调整。储能在部分年份承担更多本地支撑，联络减少的费用节省则超过主变和储能投入增加。</w:t>
      </w:r>
    </w:p>
    <w:p>
      <w:pPr>
        <w:adjustRightInd w:val="0"/>
        <w:snapToGrid w:val="0"/>
        <w:outlineLvl w:val="9"/>
        <w:rPr>
          <w:rFonts w:hint="eastAsia" w:ascii="方正仿宋_GBK" w:hAnsi="方正仿宋_GBK" w:eastAsia="方正仿宋_GBK" w:cs="Times New Roman"/>
          <w:sz w:val="32"/>
          <w:szCs w:val="32"/>
          <w:highlight w:val="none"/>
          <w14:ligatures w14:val="standardContextual"/>
        </w:rPr>
        <w:keepNext/>
        <w:widowControl/>
        <w:ind w:firstLine="0" w:firstLineChars="0" w:hanging="0" w:hangingChars="0" w:left="0" w:right="0" w:leftChars="0" w:rightChars="0" w:start="0" w:end="0" w:startChars="0" w:endChars="0"/>
        <w:jc w:val="center"/>
      </w:pPr>
      <w:r>
        <w:rPr>
          <w:rFonts w:hint="eastAsia" w:ascii="方正仿宋_GBK" w:hAnsi="方正仿宋_GBK" w:eastAsia="方正仿宋_GBK" w:cs="Times New Roman"/>
          <w:sz w:val="32"/>
          <w:szCs w:val="32"/>
        </w:rPr>
        <w:t xml:space="preserve">表4 2035年两地区年末在役配置</w:t>
      </w:r>
    </w:p>
    <w:tbl>
      <w:tblPr>
        <w:tblW w:w="8306" w:type="dxa"/>
        <w:jc w:val="center"/>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20" w:type="dxa"/>
          <w:bottom w:w="20" w:type="dxa"/>
          <w:left w:w="35" w:type="dxa"/>
          <w:right w:w="35" w:type="dxa"/>
        </w:tblCellMar>
      </w:tblPr>
      <w:tblGrid>
        <w:gridCol w:w="650"/>
        <w:gridCol w:w="650"/>
        <w:gridCol w:w="1750"/>
        <w:gridCol w:w="1750"/>
        <w:gridCol w:w="1750"/>
        <w:gridCol w:w="1756"/>
      </w:tblGrid>
      <w:tr>
        <w:trPr>
          <w:cantSplit/>
          <w:tblHeader/>
        </w:trPr>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地区</w:t>
            </w:r>
          </w:p>
        </w:tc>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方案</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主变容量/MVA</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储能功率/MW</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储能能量/MWh</w:t>
            </w:r>
          </w:p>
        </w:tc>
        <w:tc>
          <w:tcPr>
            <w:tcW w:w="17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累计新增联络/条</w:t>
            </w:r>
          </w:p>
        </w:tc>
      </w:tr>
      <w:tr>
        <w:trPr>
          <w:cantSplit/>
        </w:trPr>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邳州</w:t>
            </w:r>
          </w:p>
        </w:tc>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刚性</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2678.00</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264.30</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568.25</w:t>
            </w:r>
          </w:p>
        </w:tc>
        <w:tc>
          <w:tcPr>
            <w:tcW w:w="17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58</w:t>
            </w:r>
          </w:p>
        </w:tc>
      </w:tr>
      <w:tr>
        <w:trPr>
          <w:cantSplit/>
        </w:trPr>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邳州</w:t>
            </w:r>
          </w:p>
        </w:tc>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弹性</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2901.00</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253.80</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545.67</w:t>
            </w:r>
          </w:p>
        </w:tc>
        <w:tc>
          <w:tcPr>
            <w:tcW w:w="17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21</w:t>
            </w:r>
          </w:p>
        </w:tc>
      </w:tr>
      <w:tr>
        <w:trPr>
          <w:cantSplit/>
        </w:trPr>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市区</w:t>
            </w:r>
          </w:p>
        </w:tc>
        <w:tc>
          <w:tcPr>
            <w:tcW w:w="6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刚性</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3587.00</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43.20</w:t>
            </w:r>
          </w:p>
        </w:tc>
        <w:tc>
          <w:tcPr>
            <w:tcW w:w="17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92.88</w:t>
            </w:r>
          </w:p>
        </w:tc>
        <w:tc>
          <w:tcPr>
            <w:tcW w:w="17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66</w:t>
            </w:r>
          </w:p>
        </w:tc>
      </w:tr>
      <w:tr>
        <w:trPr>
          <w:cantSplit/>
        </w:trPr>
        <w:tc>
          <w:tcPr>
            <w:tcW w:w="6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市区</w:t>
            </w:r>
          </w:p>
        </w:tc>
        <w:tc>
          <w:tcPr>
            <w:tcW w:w="6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弹性</w:t>
            </w:r>
          </w:p>
        </w:tc>
        <w:tc>
          <w:tcPr>
            <w:tcW w:w="17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3608.50</w:t>
            </w:r>
          </w:p>
        </w:tc>
        <w:tc>
          <w:tcPr>
            <w:tcW w:w="17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51.00</w:t>
            </w:r>
          </w:p>
        </w:tc>
        <w:tc>
          <w:tcPr>
            <w:tcW w:w="17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109.65</w:t>
            </w:r>
          </w:p>
        </w:tc>
        <w:tc>
          <w:tcPr>
            <w:tcW w:w="1756"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35</w:t>
            </w:r>
          </w:p>
        </w:tc>
      </w:tr>
    </w:tbl>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表4的主变和储能为年末在役规模，联络为2022—2035年累计新增条数。新购主变容量为更换及扩建所采购设备的铭牌容量之和，净增容量为新购容量扣除同期被替换容量。2035年邳州弹性方案当年新购50.00 MVA、替换40.00 MVA，净增10.00 MVA，新增储能132.44 MWh和联络3条；市区当年扩建一台50.00 MVA主变，新增储能41.07 MWh和联络11条。当年新增工程与年末在役规模分别反映建设量和累计供电能力。</w:t>
      </w:r>
    </w:p>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keepNext/>
        <w:widowControl/>
      </w:pPr>
      <w:r>
        <w:rPr>
          <w:rFonts w:hint="eastAsia" w:ascii="方正楷体_GBK" w:hAnsi="方正楷体_GBK" w:eastAsia="方正楷体_GBK" w:cs="方正楷体_GBK"/>
          <w:b/>
          <w:bCs/>
          <w:sz w:val="32"/>
          <w:szCs w:val="32"/>
        </w:rPr>
        <w:t xml:space="preserve">（四）两层相关分析确定五项推广参数</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指标筛选围绕源荷规模、运行压力和网络支援展开，并纳入时间及相对投资条件。十三项候选包括装机渗透率和电量渗透率，站级负载率最大值及最大正反向净负荷，年最大净负荷平均增长率和负荷分散系数，初始转供率及电缆长度占比，95%峰值持续时间和储能支撑持续时间，以及主变与线路、主变与储能两项单位功率投资比。候选选择依据为导则有关负荷发展、负荷转移和反向容量校核要求，并结合联络与容载比关系及储能规划研究[1,3,4]。</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负荷分散系数为各站正向峰值之和与区域同时正向峰值之比，无量纲。初始转供率为基期可转负荷与基期网供最大负荷之比，以百分比表示，两项均联系导则列出的容量储备影响因素[1]。电缆长度占比为电缆长度占电缆与架空线路总长度的比例，以百分比表示，通过新增联络造价影响措施选择[5]。最大正反向净负荷为区域同期曲线的受电峰值和反送功率最大幅值，单位MW，两项投资比则按单位有效功率投资折算，为无量纲指标。</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楷体_GBK" w:hAnsi="方正楷体_GBK" w:eastAsia="方正楷体_GBK" w:cs="方正楷体_GBK"/>
          <w:sz w:val="32"/>
          <w:szCs w:val="32"/>
          <w:b/>
        </w:rPr>
        <w:t xml:space="preserve">一是按与容载比的组内相关筛选候选。</w:t>
      </w:r>
      <w:r>
        <w:rPr>
          <w:rFonts w:hint="eastAsia" w:ascii="方正仿宋_GBK" w:hAnsi="方正仿宋_GBK" w:eastAsia="方正仿宋_GBK" w:cs="Times New Roman"/>
          <w:sz w:val="32"/>
          <w:szCs w:val="32"/>
        </w:rPr>
        <w:t xml:space="preserve">仿真采用统一五站模板，针对每项指标固定其他源荷、网络、时间及价格条件，组织至少两个有效节点的受控序列。指标和容载比分别减去所在组均值，汇总节点计算Pearson系数[6]，节点等权并保留容量未响应组。本研究取相关绝对值不低于0.40作为第一层筛选要求，十三项中九项进入下一层比较。</w:t>
      </w:r>
    </w:p>
    <w:p>
      <w:pPr>
        <w:adjustRightInd w:val="0"/>
        <w:snapToGrid w:val="0"/>
        <w:outlineLvl w:val="9"/>
        <w:rPr>
          <w:rFonts w:hint="eastAsia" w:ascii="方正仿宋_GBK" w:hAnsi="方正仿宋_GBK" w:eastAsia="方正仿宋_GBK" w:cs="Times New Roman"/>
          <w:sz w:val="32"/>
          <w:szCs w:val="32"/>
          <w:highlight w:val="none"/>
          <w14:ligatures w14:val="standardContextual"/>
        </w:rPr>
        <w:keepNext/>
        <w:widowControl/>
        <w:ind w:firstLine="0" w:firstLineChars="0" w:hanging="0" w:hangingChars="0" w:left="0" w:right="0" w:leftChars="0" w:rightChars="0" w:start="0" w:end="0" w:startChars="0" w:endChars="0"/>
        <w:jc w:val="center"/>
      </w:pPr>
      <w:r>
        <w:rPr>
          <w:rFonts w:hint="eastAsia" w:ascii="方正仿宋_GBK" w:hAnsi="方正仿宋_GBK" w:eastAsia="方正仿宋_GBK" w:cs="Times New Roman"/>
          <w:sz w:val="32"/>
          <w:szCs w:val="32"/>
        </w:rPr>
        <w:t xml:space="preserve">表5 十三项候选指标与容载比的组内相关</w:t>
      </w:r>
    </w:p>
    <w:tbl>
      <w:tblPr>
        <w:tblW w:w="8306" w:type="dxa"/>
        <w:jc w:val="center"/>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20" w:type="dxa"/>
          <w:bottom w:w="20" w:type="dxa"/>
          <w:left w:w="35" w:type="dxa"/>
          <w:right w:w="35" w:type="dxa"/>
        </w:tblCellMar>
      </w:tblPr>
      <w:tblGrid>
        <w:gridCol w:w="2950"/>
        <w:gridCol w:w="1150"/>
        <w:gridCol w:w="1400"/>
        <w:gridCol w:w="1150"/>
        <w:gridCol w:w="1656"/>
      </w:tblGrid>
      <w:tr>
        <w:trPr>
          <w:cantSplit/>
          <w:tblHeader/>
        </w:trPr>
        <w:tc>
          <w:tcPr>
            <w:tcW w:w="29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指标</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有效组数</w:t>
            </w:r>
          </w:p>
        </w:tc>
        <w:tc>
          <w:tcPr>
            <w:tcW w:w="1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有效节点数</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Pearson</w:t>
            </w:r>
          </w:p>
        </w:tc>
        <w:tc>
          <w:tcPr>
            <w:tcW w:w="16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容量响应组占比</w:t>
            </w:r>
          </w:p>
        </w:tc>
      </w:tr>
      <w:tr>
        <w:trPr>
          <w:cantSplit/>
        </w:trPr>
        <w:tc>
          <w:tcPr>
            <w:tcW w:w="29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分布式电源装机渗透率</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2484</w:t>
            </w:r>
          </w:p>
        </w:tc>
        <w:tc>
          <w:tcPr>
            <w:tcW w:w="1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32112</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0.88</w:t>
            </w:r>
          </w:p>
        </w:tc>
        <w:tc>
          <w:tcPr>
            <w:tcW w:w="16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100%</w:t>
            </w:r>
          </w:p>
        </w:tc>
      </w:tr>
      <w:tr>
        <w:trPr>
          <w:cantSplit/>
        </w:trPr>
        <w:tc>
          <w:tcPr>
            <w:tcW w:w="29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分布式电源电量渗透率</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19880</w:t>
            </w:r>
          </w:p>
        </w:tc>
        <w:tc>
          <w:tcPr>
            <w:tcW w:w="1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60798</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0.89</w:t>
            </w:r>
          </w:p>
        </w:tc>
        <w:tc>
          <w:tcPr>
            <w:tcW w:w="16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57%</w:t>
            </w:r>
          </w:p>
        </w:tc>
      </w:tr>
      <w:tr>
        <w:trPr>
          <w:cantSplit/>
        </w:trPr>
        <w:tc>
          <w:tcPr>
            <w:tcW w:w="29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站级负载率最大值</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19880</w:t>
            </w:r>
          </w:p>
        </w:tc>
        <w:tc>
          <w:tcPr>
            <w:tcW w:w="1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60798</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0.92</w:t>
            </w:r>
          </w:p>
        </w:tc>
        <w:tc>
          <w:tcPr>
            <w:tcW w:w="16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57%</w:t>
            </w:r>
          </w:p>
        </w:tc>
      </w:tr>
      <w:tr>
        <w:trPr>
          <w:cantSplit/>
        </w:trPr>
        <w:tc>
          <w:tcPr>
            <w:tcW w:w="29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最大正向净负荷</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11988</w:t>
            </w:r>
          </w:p>
        </w:tc>
        <w:tc>
          <w:tcPr>
            <w:tcW w:w="1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88781</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-0.78</w:t>
            </w:r>
          </w:p>
        </w:tc>
        <w:tc>
          <w:tcPr>
            <w:tcW w:w="16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93%</w:t>
            </w:r>
          </w:p>
        </w:tc>
      </w:tr>
      <w:tr>
        <w:trPr>
          <w:cantSplit/>
        </w:trPr>
        <w:tc>
          <w:tcPr>
            <w:tcW w:w="29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最大反向净负荷</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19880</w:t>
            </w:r>
          </w:p>
        </w:tc>
        <w:tc>
          <w:tcPr>
            <w:tcW w:w="1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60798</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0.88</w:t>
            </w:r>
          </w:p>
        </w:tc>
        <w:tc>
          <w:tcPr>
            <w:tcW w:w="16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57%</w:t>
            </w:r>
          </w:p>
        </w:tc>
      </w:tr>
      <w:tr>
        <w:trPr>
          <w:cantSplit/>
        </w:trPr>
        <w:tc>
          <w:tcPr>
            <w:tcW w:w="29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年最大净负荷平均增长率</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4329</w:t>
            </w:r>
          </w:p>
        </w:tc>
        <w:tc>
          <w:tcPr>
            <w:tcW w:w="1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32112</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-0.80</w:t>
            </w:r>
          </w:p>
        </w:tc>
        <w:tc>
          <w:tcPr>
            <w:tcW w:w="16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89%</w:t>
            </w:r>
          </w:p>
        </w:tc>
      </w:tr>
      <w:tr>
        <w:trPr>
          <w:cantSplit/>
        </w:trPr>
        <w:tc>
          <w:tcPr>
            <w:tcW w:w="29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95%峰值持续时间</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5140</w:t>
            </w:r>
          </w:p>
        </w:tc>
        <w:tc>
          <w:tcPr>
            <w:tcW w:w="1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41118</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0.26</w:t>
            </w:r>
          </w:p>
        </w:tc>
        <w:tc>
          <w:tcPr>
            <w:tcW w:w="16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w:t>
            </w:r>
          </w:p>
        </w:tc>
      </w:tr>
      <w:tr>
        <w:trPr>
          <w:cantSplit/>
        </w:trPr>
        <w:tc>
          <w:tcPr>
            <w:tcW w:w="29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负荷分散系数</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10608</w:t>
            </w:r>
          </w:p>
        </w:tc>
        <w:tc>
          <w:tcPr>
            <w:tcW w:w="1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31473</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0.52</w:t>
            </w:r>
          </w:p>
        </w:tc>
        <w:tc>
          <w:tcPr>
            <w:tcW w:w="16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37%</w:t>
            </w:r>
          </w:p>
        </w:tc>
      </w:tr>
      <w:tr>
        <w:trPr>
          <w:cantSplit/>
        </w:trPr>
        <w:tc>
          <w:tcPr>
            <w:tcW w:w="29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初始转供率</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4680</w:t>
            </w:r>
          </w:p>
        </w:tc>
        <w:tc>
          <w:tcPr>
            <w:tcW w:w="1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32058</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-0.74</w:t>
            </w:r>
          </w:p>
        </w:tc>
        <w:tc>
          <w:tcPr>
            <w:tcW w:w="16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81%</w:t>
            </w:r>
          </w:p>
        </w:tc>
      </w:tr>
      <w:tr>
        <w:trPr>
          <w:cantSplit/>
        </w:trPr>
        <w:tc>
          <w:tcPr>
            <w:tcW w:w="29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主变与线路单位功率投资比</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2466</w:t>
            </w:r>
          </w:p>
        </w:tc>
        <w:tc>
          <w:tcPr>
            <w:tcW w:w="1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17262</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-0.16</w:t>
            </w:r>
          </w:p>
        </w:tc>
        <w:tc>
          <w:tcPr>
            <w:tcW w:w="16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14%</w:t>
            </w:r>
          </w:p>
        </w:tc>
      </w:tr>
      <w:tr>
        <w:trPr>
          <w:cantSplit/>
        </w:trPr>
        <w:tc>
          <w:tcPr>
            <w:tcW w:w="29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主变与储能单位功率投资比</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2466</w:t>
            </w:r>
          </w:p>
        </w:tc>
        <w:tc>
          <w:tcPr>
            <w:tcW w:w="1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17262</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-0.20</w:t>
            </w:r>
          </w:p>
        </w:tc>
        <w:tc>
          <w:tcPr>
            <w:tcW w:w="16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8%</w:t>
            </w:r>
          </w:p>
        </w:tc>
      </w:tr>
      <w:tr>
        <w:trPr>
          <w:cantSplit/>
        </w:trPr>
        <w:tc>
          <w:tcPr>
            <w:tcW w:w="29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电缆长度占比</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7584</w:t>
            </w:r>
          </w:p>
        </w:tc>
        <w:tc>
          <w:tcPr>
            <w:tcW w:w="1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32112</w:t>
            </w:r>
          </w:p>
        </w:tc>
        <w:tc>
          <w:tcPr>
            <w:tcW w:w="11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0.45</w:t>
            </w:r>
          </w:p>
        </w:tc>
        <w:tc>
          <w:tcPr>
            <w:tcW w:w="165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w:t>
            </w:r>
          </w:p>
        </w:tc>
      </w:tr>
      <w:tr>
        <w:trPr>
          <w:cantSplit/>
        </w:trPr>
        <w:tc>
          <w:tcPr>
            <w:tcW w:w="29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储能支撑持续时间</w:t>
            </w:r>
          </w:p>
        </w:tc>
        <w:tc>
          <w:tcPr>
            <w:tcW w:w="11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10704</w:t>
            </w:r>
          </w:p>
        </w:tc>
        <w:tc>
          <w:tcPr>
            <w:tcW w:w="140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32112</w:t>
            </w:r>
          </w:p>
        </w:tc>
        <w:tc>
          <w:tcPr>
            <w:tcW w:w="11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0.27</w:t>
            </w:r>
          </w:p>
        </w:tc>
        <w:tc>
          <w:tcPr>
            <w:tcW w:w="1656"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12%</w:t>
            </w:r>
          </w:p>
        </w:tc>
      </w:tr>
    </w:tbl>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楷体_GBK" w:hAnsi="方正楷体_GBK" w:eastAsia="方正楷体_GBK" w:cs="方正楷体_GBK"/>
          <w:sz w:val="32"/>
          <w:szCs w:val="32"/>
          <w:b/>
        </w:rPr>
        <w:t xml:space="preserve">二是按指标间高相关归并信息。</w:t>
      </w:r>
      <w:r>
        <w:rPr>
          <w:rFonts w:hint="eastAsia" w:ascii="方正仿宋_GBK" w:hAnsi="方正仿宋_GBK" w:eastAsia="方正仿宋_GBK" w:cs="Times New Roman"/>
          <w:sz w:val="32"/>
          <w:szCs w:val="32"/>
        </w:rPr>
        <w:t xml:space="preserve">十三项指标的78个配对，以Pearson绝对值不低于0.70识别信息重叠较多的指标组，同组优先采用直接描述规划条件的基础输入。电量渗透率、最大反向净负荷及站级负载率与装机渗透率分别为0.92、0.89和0.78，保留装机渗透率作为代表。最大正向净负荷与年最大净负荷平均增长率接近1.00，反映统一基期和四年复合增长的计算关系，保留增长率作为代表。</w:t>
      </w:r>
    </w:p>
    <w:p>
      <w:pPr>
        <w:adjustRightInd w:val="0"/>
        <w:snapToGrid w:val="0"/>
        <w:outlineLvl w:val="9"/>
        <w:rPr>
          <w:rFonts w:hint="eastAsia" w:ascii="方正仿宋_GBK" w:hAnsi="方正仿宋_GBK" w:eastAsia="方正仿宋_GBK" w:cs="Times New Roman"/>
          <w:sz w:val="32"/>
          <w:szCs w:val="32"/>
          <w:highlight w:val="none"/>
          <w14:ligatures w14:val="standardContextual"/>
        </w:rPr>
        <w:keepNext/>
        <w:widowControl/>
        <w:ind w:firstLine="0" w:firstLineChars="0" w:hanging="0" w:hangingChars="0" w:left="0" w:right="0" w:leftChars="0" w:rightChars="0" w:start="0" w:end="0" w:startChars="0" w:endChars="0"/>
        <w:jc w:val="center"/>
      </w:pPr>
      <w:r>
        <w:rPr>
          <w:rFonts w:hint="eastAsia" w:ascii="方正仿宋_GBK" w:hAnsi="方正仿宋_GBK" w:eastAsia="方正仿宋_GBK" w:cs="Times New Roman"/>
          <w:sz w:val="32"/>
          <w:szCs w:val="32"/>
        </w:rPr>
        <w:t xml:space="preserve">表6 高相关指标归并及代表参数</w:t>
      </w:r>
    </w:p>
    <w:tbl>
      <w:tblPr>
        <w:tblW w:w="8306" w:type="dxa"/>
        <w:jc w:val="center"/>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20" w:type="dxa"/>
          <w:bottom w:w="20" w:type="dxa"/>
          <w:left w:w="35" w:type="dxa"/>
          <w:right w:w="35" w:type="dxa"/>
        </w:tblCellMar>
      </w:tblPr>
      <w:tblGrid>
        <w:gridCol w:w="2400"/>
        <w:gridCol w:w="2400"/>
        <w:gridCol w:w="900"/>
        <w:gridCol w:w="2606"/>
      </w:tblGrid>
      <w:tr>
        <w:trPr>
          <w:cantSplit/>
          <w:tblHeader/>
        </w:trPr>
        <w:tc>
          <w:tcPr>
            <w:tcW w:w="2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候选指标</w:t>
            </w:r>
          </w:p>
        </w:tc>
        <w:tc>
          <w:tcPr>
            <w:tcW w:w="2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对应基础参数</w:t>
            </w:r>
          </w:p>
        </w:tc>
        <w:tc>
          <w:tcPr>
            <w:tcW w:w="9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Pearson</w:t>
            </w:r>
          </w:p>
        </w:tc>
        <w:tc>
          <w:tcPr>
            <w:tcW w:w="260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代表参数</w:t>
            </w:r>
          </w:p>
        </w:tc>
      </w:tr>
      <w:tr>
        <w:trPr>
          <w:cantSplit/>
        </w:trPr>
        <w:tc>
          <w:tcPr>
            <w:tcW w:w="2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分布式电源电量渗透率</w:t>
            </w:r>
          </w:p>
        </w:tc>
        <w:tc>
          <w:tcPr>
            <w:tcW w:w="2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分布式电源装机渗透率</w:t>
            </w:r>
          </w:p>
        </w:tc>
        <w:tc>
          <w:tcPr>
            <w:tcW w:w="9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0.92</w:t>
            </w:r>
          </w:p>
        </w:tc>
        <w:tc>
          <w:tcPr>
            <w:tcW w:w="260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分布式电源装机渗透率</w:t>
            </w:r>
          </w:p>
        </w:tc>
      </w:tr>
      <w:tr>
        <w:trPr>
          <w:cantSplit/>
        </w:trPr>
        <w:tc>
          <w:tcPr>
            <w:tcW w:w="2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最大反向净负荷</w:t>
            </w:r>
          </w:p>
        </w:tc>
        <w:tc>
          <w:tcPr>
            <w:tcW w:w="2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分布式电源装机渗透率</w:t>
            </w:r>
          </w:p>
        </w:tc>
        <w:tc>
          <w:tcPr>
            <w:tcW w:w="9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0.89</w:t>
            </w:r>
          </w:p>
        </w:tc>
        <w:tc>
          <w:tcPr>
            <w:tcW w:w="260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分布式电源装机渗透率</w:t>
            </w:r>
          </w:p>
        </w:tc>
      </w:tr>
      <w:tr>
        <w:trPr>
          <w:cantSplit/>
        </w:trPr>
        <w:tc>
          <w:tcPr>
            <w:tcW w:w="2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站级负载率最大值</w:t>
            </w:r>
          </w:p>
        </w:tc>
        <w:tc>
          <w:tcPr>
            <w:tcW w:w="24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分布式电源装机渗透率</w:t>
            </w:r>
          </w:p>
        </w:tc>
        <w:tc>
          <w:tcPr>
            <w:tcW w:w="9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0.78</w:t>
            </w:r>
          </w:p>
        </w:tc>
        <w:tc>
          <w:tcPr>
            <w:tcW w:w="2606"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分布式电源装机渗透率</w:t>
            </w:r>
          </w:p>
        </w:tc>
      </w:tr>
      <w:tr>
        <w:trPr>
          <w:cantSplit/>
        </w:trPr>
        <w:tc>
          <w:tcPr>
            <w:tcW w:w="240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最大正向净负荷</w:t>
            </w:r>
          </w:p>
        </w:tc>
        <w:tc>
          <w:tcPr>
            <w:tcW w:w="240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年最大净负荷平均增长率</w:t>
            </w:r>
          </w:p>
        </w:tc>
        <w:tc>
          <w:tcPr>
            <w:tcW w:w="90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1.00</w:t>
            </w:r>
          </w:p>
        </w:tc>
        <w:tc>
          <w:tcPr>
            <w:tcW w:w="2606"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年最大净负荷平均增长率</w:t>
            </w:r>
          </w:p>
        </w:tc>
      </w:tr>
    </w:tbl>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楷体_GBK" w:hAnsi="方正楷体_GBK" w:eastAsia="方正楷体_GBK" w:cs="方正楷体_GBK"/>
          <w:sz w:val="32"/>
          <w:szCs w:val="32"/>
          <w:b/>
        </w:rPr>
        <w:t xml:space="preserve">三是核验保留参数间的相关关系。</w:t>
      </w:r>
      <w:r>
        <w:rPr>
          <w:rFonts w:hint="eastAsia" w:ascii="方正仿宋_GBK" w:hAnsi="方正仿宋_GBK" w:eastAsia="方正仿宋_GBK" w:cs="Times New Roman"/>
          <w:sz w:val="32"/>
          <w:szCs w:val="32"/>
        </w:rPr>
        <w:t xml:space="preserve">最终五项参数为装机渗透率、年最大净负荷平均增长率、电缆长度占比、初始转供率和负荷分散系数。电缆长度占比与初始转供率的Pearson系数为0.29，其余配对绝对值不超过0.15。两项分别通过工程造价和既有支援能力作用于设备配置，其余参数保留源荷发展和局部峰值分布信息。上述相关关系描述所设有效情景内的线性联系。</w:t>
      </w:r>
    </w:p>
    <w:p>
      <w:pPr>
        <w:adjustRightInd w:val="0"/>
        <w:snapToGrid w:val="0"/>
        <w:outlineLvl w:val="9"/>
        <w:rPr>
          <w:rFonts w:hint="eastAsia" w:ascii="方正仿宋_GBK" w:hAnsi="方正仿宋_GBK" w:eastAsia="方正仿宋_GBK" w:cs="Times New Roman"/>
          <w:sz w:val="32"/>
          <w:szCs w:val="32"/>
          <w:highlight w:val="none"/>
          <w14:ligatures w14:val="standardContextual"/>
        </w:rPr>
        <w:keepNext/>
        <w:widowControl/>
        <w:ind w:firstLine="0" w:firstLineChars="0" w:hanging="0" w:hangingChars="0" w:left="0" w:right="0" w:leftChars="0" w:rightChars="0" w:start="0" w:end="0" w:startChars="0" w:endChars="0"/>
        <w:jc w:val="center"/>
      </w:pPr>
      <w:r>
        <w:rPr>
          <w:rFonts w:hint="eastAsia" w:ascii="方正仿宋_GBK" w:hAnsi="方正仿宋_GBK" w:eastAsia="方正仿宋_GBK" w:cs="Times New Roman"/>
          <w:sz w:val="32"/>
          <w:szCs w:val="32"/>
        </w:rPr>
        <w:t xml:space="preserve">表7 五项推广参数的Pearson相关矩阵</w:t>
      </w:r>
    </w:p>
    <w:tbl>
      <w:tblPr>
        <w:tblW w:w="8306" w:type="dxa"/>
        <w:jc w:val="center"/>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20" w:type="dxa"/>
          <w:bottom w:w="20" w:type="dxa"/>
          <w:left w:w="35" w:type="dxa"/>
          <w:right w:w="35" w:type="dxa"/>
        </w:tblCellMar>
      </w:tblPr>
      <w:tblGrid>
        <w:gridCol w:w="1700"/>
        <w:gridCol w:w="1321"/>
        <w:gridCol w:w="1321"/>
        <w:gridCol w:w="1321"/>
        <w:gridCol w:w="1321"/>
        <w:gridCol w:w="1322"/>
      </w:tblGrid>
      <w:tr>
        <w:trPr>
          <w:cantSplit/>
          <w:tblHeader/>
        </w:trPr>
        <w:tc>
          <w:tcPr>
            <w:tcW w:w="17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参数</w:t>
            </w:r>
          </w:p>
        </w:tc>
        <w:tc>
          <w:tcPr>
            <w:tcW w:w="132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装机渗透率</w:t>
            </w:r>
          </w:p>
        </w:tc>
        <w:tc>
          <w:tcPr>
            <w:tcW w:w="132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年最大净负荷平均增长率</w:t>
            </w:r>
          </w:p>
        </w:tc>
        <w:tc>
          <w:tcPr>
            <w:tcW w:w="132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电缆长度占比</w:t>
            </w:r>
          </w:p>
        </w:tc>
        <w:tc>
          <w:tcPr>
            <w:tcW w:w="132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初始转供率</w:t>
            </w:r>
          </w:p>
        </w:tc>
        <w:tc>
          <w:tcPr>
            <w:tcW w:w="1322"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负荷分散系数</w:t>
            </w:r>
          </w:p>
        </w:tc>
      </w:tr>
      <w:tr>
        <w:trPr>
          <w:cantSplit/>
        </w:trPr>
        <w:tc>
          <w:tcPr>
            <w:tcW w:w="17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分布式电源装机渗透率</w:t>
            </w:r>
          </w:p>
        </w:tc>
        <w:tc>
          <w:tcPr>
            <w:tcW w:w="132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1.00</w:t>
            </w:r>
          </w:p>
        </w:tc>
        <w:tc>
          <w:tcPr>
            <w:tcW w:w="132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0.00</w:t>
            </w:r>
          </w:p>
        </w:tc>
        <w:tc>
          <w:tcPr>
            <w:tcW w:w="132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0.00</w:t>
            </w:r>
          </w:p>
        </w:tc>
        <w:tc>
          <w:tcPr>
            <w:tcW w:w="132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0.00</w:t>
            </w:r>
          </w:p>
        </w:tc>
        <w:tc>
          <w:tcPr>
            <w:tcW w:w="1322"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0.00</w:t>
            </w:r>
          </w:p>
        </w:tc>
      </w:tr>
      <w:tr>
        <w:trPr>
          <w:cantSplit/>
        </w:trPr>
        <w:tc>
          <w:tcPr>
            <w:tcW w:w="17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年最大净负荷平均增长率</w:t>
            </w:r>
          </w:p>
        </w:tc>
        <w:tc>
          <w:tcPr>
            <w:tcW w:w="132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0.00</w:t>
            </w:r>
          </w:p>
        </w:tc>
        <w:tc>
          <w:tcPr>
            <w:tcW w:w="132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1.00</w:t>
            </w:r>
          </w:p>
        </w:tc>
        <w:tc>
          <w:tcPr>
            <w:tcW w:w="132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0.05</w:t>
            </w:r>
          </w:p>
        </w:tc>
        <w:tc>
          <w:tcPr>
            <w:tcW w:w="132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0.15</w:t>
            </w:r>
          </w:p>
        </w:tc>
        <w:tc>
          <w:tcPr>
            <w:tcW w:w="1322"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-0.03</w:t>
            </w:r>
          </w:p>
        </w:tc>
      </w:tr>
      <w:tr>
        <w:trPr>
          <w:cantSplit/>
        </w:trPr>
        <w:tc>
          <w:tcPr>
            <w:tcW w:w="17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电缆长度占比</w:t>
            </w:r>
          </w:p>
        </w:tc>
        <w:tc>
          <w:tcPr>
            <w:tcW w:w="132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0.00</w:t>
            </w:r>
          </w:p>
        </w:tc>
        <w:tc>
          <w:tcPr>
            <w:tcW w:w="132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0.05</w:t>
            </w:r>
          </w:p>
        </w:tc>
        <w:tc>
          <w:tcPr>
            <w:tcW w:w="132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1.00</w:t>
            </w:r>
          </w:p>
        </w:tc>
        <w:tc>
          <w:tcPr>
            <w:tcW w:w="132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0.29</w:t>
            </w:r>
          </w:p>
        </w:tc>
        <w:tc>
          <w:tcPr>
            <w:tcW w:w="1322"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0.01</w:t>
            </w:r>
          </w:p>
        </w:tc>
      </w:tr>
      <w:tr>
        <w:trPr>
          <w:cantSplit/>
        </w:trPr>
        <w:tc>
          <w:tcPr>
            <w:tcW w:w="170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初始转供率</w:t>
            </w:r>
          </w:p>
        </w:tc>
        <w:tc>
          <w:tcPr>
            <w:tcW w:w="132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0.00</w:t>
            </w:r>
          </w:p>
        </w:tc>
        <w:tc>
          <w:tcPr>
            <w:tcW w:w="132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0.15</w:t>
            </w:r>
          </w:p>
        </w:tc>
        <w:tc>
          <w:tcPr>
            <w:tcW w:w="132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0.29</w:t>
            </w:r>
          </w:p>
        </w:tc>
        <w:tc>
          <w:tcPr>
            <w:tcW w:w="132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1.00</w:t>
            </w:r>
          </w:p>
        </w:tc>
        <w:tc>
          <w:tcPr>
            <w:tcW w:w="1322"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0.05</w:t>
            </w:r>
          </w:p>
        </w:tc>
      </w:tr>
      <w:tr>
        <w:trPr>
          <w:cantSplit/>
        </w:trPr>
        <w:tc>
          <w:tcPr>
            <w:tcW w:w="170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负荷分散系数</w:t>
            </w:r>
          </w:p>
        </w:tc>
        <w:tc>
          <w:tcPr>
            <w:tcW w:w="132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0.00</w:t>
            </w:r>
          </w:p>
        </w:tc>
        <w:tc>
          <w:tcPr>
            <w:tcW w:w="132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-0.03</w:t>
            </w:r>
          </w:p>
        </w:tc>
        <w:tc>
          <w:tcPr>
            <w:tcW w:w="132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0.01</w:t>
            </w:r>
          </w:p>
        </w:tc>
        <w:tc>
          <w:tcPr>
            <w:tcW w:w="132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0.05</w:t>
            </w:r>
          </w:p>
        </w:tc>
        <w:tc>
          <w:tcPr>
            <w:tcW w:w="1322"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1.00</w:t>
            </w:r>
          </w:p>
        </w:tc>
      </w:tr>
    </w:tbl>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keepNext/>
        <w:widowControl/>
      </w:pPr>
      <w:r>
        <w:rPr>
          <w:rFonts w:hint="eastAsia" w:ascii="方正楷体_GBK" w:hAnsi="方正楷体_GBK" w:eastAsia="方正楷体_GBK" w:cs="方正楷体_GBK"/>
          <w:b/>
          <w:bCs/>
          <w:sz w:val="32"/>
          <w:szCs w:val="32"/>
        </w:rPr>
        <w:t xml:space="preserve">（五）形成六张矩阵并明确推荐窗口条件</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推广计算采用独立五站模板，每站基期两台50.00 MVA主变，区域基期网供峰值250.00 MW，目标时点为基期后第4年。日间用户负荷系数取0.30，光伏出力系数取0.75，设备候选、工程价格及正常和N-1条件统一。矩阵适用于这些计算条件下的前期容量比选，实际片区按本地设备与网络重新校核。</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矩阵按电缆长度占比不超过10%、(10%,30%]、超过30%分为三档，负荷分散系数在1.05—1.25内以0.02间隔取11个节点，再以1.15分两档。结合年最大净负荷平均增长率四档、装机渗透率三档、初始转供率四档，形成六张表、288个单元。采样节点和矩阵分类分别表示计算取点与查表范围。</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各单元以最接近容载比中位数的真实节点定位推荐窗口，同距时取较大容载比，基准窗口宽度0.10、代表定位网格0.02。同一行接近的不同容量水平按中点共用界值并局部缩窄，容量相同的节点保留平台。表8—表13列示对应窗口，表中四列百分比为初始转供率，装机渗透率及容载比均为无量纲数值。</w:t>
      </w:r>
    </w:p>
    <w:p>
      <w:pPr>
        <w:adjustRightInd w:val="0"/>
        <w:snapToGrid w:val="0"/>
        <w:outlineLvl w:val="9"/>
        <w:rPr>
          <w:rFonts w:hint="eastAsia" w:ascii="方正仿宋_GBK" w:hAnsi="方正仿宋_GBK" w:eastAsia="方正仿宋_GBK" w:cs="Times New Roman"/>
          <w:sz w:val="32"/>
          <w:szCs w:val="32"/>
          <w:highlight w:val="none"/>
          <w14:ligatures w14:val="standardContextual"/>
        </w:rPr>
        <w:keepNext/>
        <w:widowControl/>
        <w:ind w:firstLine="0" w:firstLineChars="0" w:hanging="0" w:hangingChars="0" w:left="0" w:right="0" w:leftChars="0" w:rightChars="0" w:start="0" w:end="0" w:startChars="0" w:endChars="0"/>
        <w:jc w:val="center"/>
      </w:pPr>
      <w:r>
        <w:rPr>
          <w:rFonts w:hint="eastAsia" w:ascii="方正仿宋_GBK" w:hAnsi="方正仿宋_GBK" w:eastAsia="方正仿宋_GBK" w:cs="Times New Roman"/>
          <w:sz w:val="32"/>
          <w:szCs w:val="32"/>
        </w:rPr>
        <w:t xml:space="preserve">表8 容载比推荐（电缆占比≤10%、分散系数≤1.15）</w:t>
      </w:r>
    </w:p>
    <w:tbl>
      <w:tblPr>
        <w:tblW w:w="8306" w:type="dxa"/>
        <w:jc w:val="center"/>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20" w:type="dxa"/>
          <w:bottom w:w="20" w:type="dxa"/>
          <w:left w:w="35" w:type="dxa"/>
          <w:right w:w="35" w:type="dxa"/>
        </w:tblCellMar>
      </w:tblPr>
      <w:tblGrid>
        <w:gridCol w:w="1450"/>
        <w:gridCol w:w="1050"/>
        <w:gridCol w:w="1451"/>
        <w:gridCol w:w="1451"/>
        <w:gridCol w:w="1451"/>
        <w:gridCol w:w="1453"/>
      </w:tblGrid>
      <w:tr>
        <w:trPr>
          <w:cantSplit/>
          <w:tblHeader/>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年最大净负荷平均增长率</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装机渗透率</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≤30%</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(30%,50%]</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(50%,70%]</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&gt;70%</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1.95～2.05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1.95～2.05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1.95～2.05</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1.95～2.05</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2.15～2.25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1.99～2.09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1.99～2.09</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1.99～2.09</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2.75～2.85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2.57～2.67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2.57～2.67</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2.57～2.67</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2.01～2.11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2.09～2.19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1.92～2.01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1.83～1.92</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1.83～1.92</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2.65～2.75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2.37～2.47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2.37～2.47</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2.37～2.47</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1.93～2.03</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1.57～1.67</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1.57～1.67</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2.05～2.15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1.81～1.89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1.73～1.81</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1.73～1.81</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2.45～2.55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2.45～2.55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2.25～2.35</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2.15～2.25</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1.88～1.97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1.79～1.88</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1.57～1.67</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1.43～1.53</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1.96～2.03</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1.89～1.96</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1.63～1.69</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1.57～1.63</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&gt;7%</w:t>
            </w:r>
          </w:p>
        </w:tc>
        <w:tc>
          <w:tcPr>
            <w:tcW w:w="10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2.41～2.47</w:t>
            </w:r>
          </w:p>
        </w:tc>
        <w:tc>
          <w:tcPr>
            <w:tcW w:w="145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2.35～2.41</w:t>
            </w:r>
          </w:p>
        </w:tc>
        <w:tc>
          <w:tcPr>
            <w:tcW w:w="145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2.19～2.29</w:t>
            </w:r>
          </w:p>
        </w:tc>
        <w:tc>
          <w:tcPr>
            <w:tcW w:w="1453"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2.09～2.19</w:t>
            </w:r>
          </w:p>
        </w:tc>
      </w:tr>
    </w:tbl>
    <w:p>
      <w:pPr>
        <w:adjustRightInd w:val="0"/>
        <w:snapToGrid w:val="0"/>
        <w:outlineLvl w:val="9"/>
        <w:rPr>
          <w:rFonts w:hint="eastAsia" w:ascii="方正仿宋_GBK" w:hAnsi="方正仿宋_GBK" w:eastAsia="方正仿宋_GBK" w:cs="Times New Roman"/>
          <w:sz w:val="32"/>
          <w:szCs w:val="32"/>
          <w:highlight w:val="none"/>
          <w14:ligatures w14:val="standardContextual"/>
        </w:rPr>
        <w:keepNext/>
        <w:widowControl/>
        <w:ind w:firstLine="0" w:firstLineChars="0" w:hanging="0" w:hangingChars="0" w:left="0" w:right="0" w:leftChars="0" w:rightChars="0" w:start="0" w:end="0" w:startChars="0" w:endChars="0"/>
        <w:jc w:val="center"/>
      </w:pPr>
      <w:r>
        <w:rPr>
          <w:rFonts w:hint="eastAsia" w:ascii="方正仿宋_GBK" w:hAnsi="方正仿宋_GBK" w:eastAsia="方正仿宋_GBK" w:cs="Times New Roman"/>
          <w:sz w:val="32"/>
          <w:szCs w:val="32"/>
        </w:rPr>
        <w:t xml:space="preserve">表9 容载比推荐（电缆占比≤10%、分散系数&gt;1.15）</w:t>
      </w:r>
    </w:p>
    <w:tbl>
      <w:tblPr>
        <w:tblW w:w="8306" w:type="dxa"/>
        <w:jc w:val="center"/>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20" w:type="dxa"/>
          <w:bottom w:w="20" w:type="dxa"/>
          <w:left w:w="35" w:type="dxa"/>
          <w:right w:w="35" w:type="dxa"/>
        </w:tblCellMar>
      </w:tblPr>
      <w:tblGrid>
        <w:gridCol w:w="1450"/>
        <w:gridCol w:w="1050"/>
        <w:gridCol w:w="1451"/>
        <w:gridCol w:w="1451"/>
        <w:gridCol w:w="1451"/>
        <w:gridCol w:w="1453"/>
      </w:tblGrid>
      <w:tr>
        <w:trPr>
          <w:cantSplit/>
          <w:tblHeader/>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年最大净负荷平均增长率</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装机渗透率</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≤30%</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(30%,50%]</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(50%,70%]</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&gt;70%</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2.17～2.27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1.95～2.05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1.95～2.05</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1.95～2.05</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2.27～2.37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1.99～2.09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1.99～2.09</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1.99～2.09</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2.79～2.89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2.57～2.67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2.57～2.67</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2.57～2.67</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2.17～2.27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1.91～2.01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2.27～2.37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1.92～2.01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1.83～1.92</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1.83～1.92</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2.75～2.85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2.47～2.57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2.37～2.47</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2.37～2.47</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2.08～2.15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2.01～2.08</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1.57～1.67</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2.08～2.15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2.01～2.08</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2.52～2.59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2.45～2.52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2.33～2.43</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2.15～2.25</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2.02～2.11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1.93～2.02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1.45～1.55</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2.01～2.07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2.07～2.13</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1.87～1.97</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1.57～1.67</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&gt;7%</w:t>
            </w:r>
          </w:p>
        </w:tc>
        <w:tc>
          <w:tcPr>
            <w:tcW w:w="10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2.46～2.55</w:t>
            </w:r>
          </w:p>
        </w:tc>
        <w:tc>
          <w:tcPr>
            <w:tcW w:w="145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2.37～2.46</w:t>
            </w:r>
          </w:p>
        </w:tc>
        <w:tc>
          <w:tcPr>
            <w:tcW w:w="145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2.27～2.37</w:t>
            </w:r>
          </w:p>
        </w:tc>
        <w:tc>
          <w:tcPr>
            <w:tcW w:w="1453"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2.09～2.19</w:t>
            </w:r>
          </w:p>
        </w:tc>
      </w:tr>
    </w:tbl>
    <w:p>
      <w:pPr>
        <w:adjustRightInd w:val="0"/>
        <w:snapToGrid w:val="0"/>
        <w:outlineLvl w:val="9"/>
        <w:rPr>
          <w:rFonts w:hint="eastAsia" w:ascii="方正仿宋_GBK" w:hAnsi="方正仿宋_GBK" w:eastAsia="方正仿宋_GBK" w:cs="Times New Roman"/>
          <w:sz w:val="32"/>
          <w:szCs w:val="32"/>
          <w:highlight w:val="none"/>
          <w14:ligatures w14:val="standardContextual"/>
        </w:rPr>
        <w:keepNext/>
        <w:widowControl/>
        <w:ind w:firstLine="0" w:firstLineChars="0" w:hanging="0" w:hangingChars="0" w:left="0" w:right="0" w:leftChars="0" w:rightChars="0" w:start="0" w:end="0" w:startChars="0" w:endChars="0"/>
        <w:jc w:val="center"/>
      </w:pPr>
      <w:r>
        <w:rPr>
          <w:rFonts w:hint="eastAsia" w:ascii="方正仿宋_GBK" w:hAnsi="方正仿宋_GBK" w:eastAsia="方正仿宋_GBK" w:cs="Times New Roman"/>
          <w:sz w:val="32"/>
          <w:szCs w:val="32"/>
        </w:rPr>
        <w:t xml:space="preserve">表10 容载比推荐（电缆占比(10%,30%]、分散系数≤1.15）</w:t>
      </w:r>
    </w:p>
    <w:tbl>
      <w:tblPr>
        <w:tblW w:w="8306" w:type="dxa"/>
        <w:jc w:val="center"/>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20" w:type="dxa"/>
          <w:bottom w:w="20" w:type="dxa"/>
          <w:left w:w="35" w:type="dxa"/>
          <w:right w:w="35" w:type="dxa"/>
        </w:tblCellMar>
      </w:tblPr>
      <w:tblGrid>
        <w:gridCol w:w="1450"/>
        <w:gridCol w:w="1050"/>
        <w:gridCol w:w="1451"/>
        <w:gridCol w:w="1451"/>
        <w:gridCol w:w="1451"/>
        <w:gridCol w:w="1453"/>
      </w:tblGrid>
      <w:tr>
        <w:trPr>
          <w:cantSplit/>
          <w:tblHeader/>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年最大净负荷平均增长率</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装机渗透率</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≤30%</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(30%,50%]</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(50%,70%]</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&gt;70%</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2.02～2.09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1.95～2.02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1.95～2.02</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1.95～2.02</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2.15～2.25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1.99～2.09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1.99～2.09</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1.99～2.09</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2.75～2.85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2.57～2.67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2.57～2.67</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2.57～2.67</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2.01～2.11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2.09～2.19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1.92～2.01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1.83～1.92</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1.83～1.92</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2.65～2.75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2.47～2.57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2.37～2.47</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2.37～2.47</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1.93～2.03</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1.57～1.67</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1.57～1.67</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2.05～2.15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1.81～1.89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1.73～1.81</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1.73～1.81</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2.45～2.55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2.45～2.55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2.25～2.35</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2.25～2.35</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1.88～1.97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1.79～1.88</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1.57～1.67</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1.43～1.53</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1.96～2.03</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1.89～1.96</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1.63～1.69</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1.57～1.63</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&gt;7%</w:t>
            </w:r>
          </w:p>
        </w:tc>
        <w:tc>
          <w:tcPr>
            <w:tcW w:w="10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2.41～2.47</w:t>
            </w:r>
          </w:p>
        </w:tc>
        <w:tc>
          <w:tcPr>
            <w:tcW w:w="145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2.35～2.41</w:t>
            </w:r>
          </w:p>
        </w:tc>
        <w:tc>
          <w:tcPr>
            <w:tcW w:w="145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2.19～2.29</w:t>
            </w:r>
          </w:p>
        </w:tc>
        <w:tc>
          <w:tcPr>
            <w:tcW w:w="1453"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2.09～2.19</w:t>
            </w:r>
          </w:p>
        </w:tc>
      </w:tr>
    </w:tbl>
    <w:p>
      <w:pPr>
        <w:adjustRightInd w:val="0"/>
        <w:snapToGrid w:val="0"/>
        <w:outlineLvl w:val="9"/>
        <w:rPr>
          <w:rFonts w:hint="eastAsia" w:ascii="方正仿宋_GBK" w:hAnsi="方正仿宋_GBK" w:eastAsia="方正仿宋_GBK" w:cs="Times New Roman"/>
          <w:sz w:val="32"/>
          <w:szCs w:val="32"/>
          <w:highlight w:val="none"/>
          <w14:ligatures w14:val="standardContextual"/>
        </w:rPr>
        <w:keepNext/>
        <w:widowControl/>
        <w:ind w:firstLine="0" w:firstLineChars="0" w:hanging="0" w:hangingChars="0" w:left="0" w:right="0" w:leftChars="0" w:rightChars="0" w:start="0" w:end="0" w:startChars="0" w:endChars="0"/>
        <w:jc w:val="center"/>
      </w:pPr>
      <w:r>
        <w:rPr>
          <w:rFonts w:hint="eastAsia" w:ascii="方正仿宋_GBK" w:hAnsi="方正仿宋_GBK" w:eastAsia="方正仿宋_GBK" w:cs="Times New Roman"/>
          <w:sz w:val="32"/>
          <w:szCs w:val="32"/>
        </w:rPr>
        <w:t xml:space="preserve">表11 容载比推荐（电缆占比(10%,30%]、分散系数&gt;1.15）</w:t>
      </w:r>
    </w:p>
    <w:tbl>
      <w:tblPr>
        <w:tblW w:w="8306" w:type="dxa"/>
        <w:jc w:val="center"/>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20" w:type="dxa"/>
          <w:bottom w:w="20" w:type="dxa"/>
          <w:left w:w="35" w:type="dxa"/>
          <w:right w:w="35" w:type="dxa"/>
        </w:tblCellMar>
      </w:tblPr>
      <w:tblGrid>
        <w:gridCol w:w="1450"/>
        <w:gridCol w:w="1050"/>
        <w:gridCol w:w="1451"/>
        <w:gridCol w:w="1451"/>
        <w:gridCol w:w="1451"/>
        <w:gridCol w:w="1453"/>
      </w:tblGrid>
      <w:tr>
        <w:trPr>
          <w:cantSplit/>
          <w:tblHeader/>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年最大净负荷平均增长率</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装机渗透率</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≤30%</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(30%,50%]</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(50%,70%]</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&gt;70%</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2.17～2.27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1.95～2.05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1.95～2.05</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1.95～2.05</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2.27～2.37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1.99～2.09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1.99～2.09</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1.99～2.09</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2.79～2.89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2.57～2.67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2.57～2.67</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2.57～2.67</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2.17～2.27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1.91～2.01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2.27～2.37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2.01～2.11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1.83～1.93</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1.83～1.93</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2.75～2.85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2.47～2.57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2.37～2.47</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2.37～2.47</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2.08～2.15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2.01～2.08</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1.57～1.67</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2.08～2.15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2.01～2.08</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2.52～2.59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2.45～2.52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2.34～2.43</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2.25～2.34</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2.02～2.11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1.93～2.02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1.45～1.55</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2.01～2.07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2.07～2.13</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1.89～1.99</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1.57～1.67</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&gt;7%</w:t>
            </w:r>
          </w:p>
        </w:tc>
        <w:tc>
          <w:tcPr>
            <w:tcW w:w="10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2.46～2.55</w:t>
            </w:r>
          </w:p>
        </w:tc>
        <w:tc>
          <w:tcPr>
            <w:tcW w:w="145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2.37～2.46</w:t>
            </w:r>
          </w:p>
        </w:tc>
        <w:tc>
          <w:tcPr>
            <w:tcW w:w="145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2.27～2.37</w:t>
            </w:r>
          </w:p>
        </w:tc>
        <w:tc>
          <w:tcPr>
            <w:tcW w:w="1453"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2.09～2.19</w:t>
            </w:r>
          </w:p>
        </w:tc>
      </w:tr>
    </w:tbl>
    <w:p>
      <w:pPr>
        <w:adjustRightInd w:val="0"/>
        <w:snapToGrid w:val="0"/>
        <w:outlineLvl w:val="9"/>
        <w:rPr>
          <w:rFonts w:hint="eastAsia" w:ascii="方正仿宋_GBK" w:hAnsi="方正仿宋_GBK" w:eastAsia="方正仿宋_GBK" w:cs="Times New Roman"/>
          <w:sz w:val="32"/>
          <w:szCs w:val="32"/>
          <w:highlight w:val="none"/>
          <w14:ligatures w14:val="standardContextual"/>
        </w:rPr>
        <w:keepNext/>
        <w:widowControl/>
        <w:ind w:firstLine="0" w:firstLineChars="0" w:hanging="0" w:hangingChars="0" w:left="0" w:right="0" w:leftChars="0" w:rightChars="0" w:start="0" w:end="0" w:startChars="0" w:endChars="0"/>
        <w:jc w:val="center"/>
      </w:pPr>
      <w:r>
        <w:rPr>
          <w:rFonts w:hint="eastAsia" w:ascii="方正仿宋_GBK" w:hAnsi="方正仿宋_GBK" w:eastAsia="方正仿宋_GBK" w:cs="Times New Roman"/>
          <w:sz w:val="32"/>
          <w:szCs w:val="32"/>
        </w:rPr>
        <w:t xml:space="preserve">表12 容载比推荐（电缆占比&gt;30%、分散系数≤1.15）</w:t>
      </w:r>
    </w:p>
    <w:tbl>
      <w:tblPr>
        <w:tblW w:w="8306" w:type="dxa"/>
        <w:jc w:val="center"/>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20" w:type="dxa"/>
          <w:bottom w:w="20" w:type="dxa"/>
          <w:left w:w="35" w:type="dxa"/>
          <w:right w:w="35" w:type="dxa"/>
        </w:tblCellMar>
      </w:tblPr>
      <w:tblGrid>
        <w:gridCol w:w="1450"/>
        <w:gridCol w:w="1050"/>
        <w:gridCol w:w="1451"/>
        <w:gridCol w:w="1451"/>
        <w:gridCol w:w="1451"/>
        <w:gridCol w:w="1453"/>
      </w:tblGrid>
      <w:tr>
        <w:trPr>
          <w:cantSplit/>
          <w:tblHeader/>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年最大净负荷平均增长率</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装机渗透率</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≤30%</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(30%,50%]</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(50%,70%]</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&gt;70%</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2.02～2.09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1.95～2.02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1.95～2.02</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1.95～2.02</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2.15～2.25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1.99～2.09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1.99～2.09</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1.99～2.09</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2.79～2.89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2.57～2.67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2.57～2.67</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2.57～2.67</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2.01～2.11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1.83～1.93</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2.09～2.19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1.92～2.01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1.83～1.92</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1.83～1.92</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2.65～2.75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2.47～2.57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2.37～2.47</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2.37～2.47</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1.93～2.03</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1.79～1.89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1.65～1.73</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1.57～1.65</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2.05～2.15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1.89～1.99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2.45～2.55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2.45～2.55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2.25～2.35</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2.25～2.35</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1.88～1.97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1.79～1.88</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1.57～1.67</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1.43～1.53</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1.96～2.03</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1.89～1.96</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1.57～1.67</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&gt;7%</w:t>
            </w:r>
          </w:p>
        </w:tc>
        <w:tc>
          <w:tcPr>
            <w:tcW w:w="10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2.41～2.47</w:t>
            </w:r>
          </w:p>
        </w:tc>
        <w:tc>
          <w:tcPr>
            <w:tcW w:w="145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2.35～2.41</w:t>
            </w:r>
          </w:p>
        </w:tc>
        <w:tc>
          <w:tcPr>
            <w:tcW w:w="145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2.19～2.29</w:t>
            </w:r>
          </w:p>
        </w:tc>
        <w:tc>
          <w:tcPr>
            <w:tcW w:w="1453"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2.19～2.29</w:t>
            </w:r>
          </w:p>
        </w:tc>
      </w:tr>
    </w:tbl>
    <w:p>
      <w:pPr>
        <w:adjustRightInd w:val="0"/>
        <w:snapToGrid w:val="0"/>
        <w:outlineLvl w:val="9"/>
        <w:rPr>
          <w:rFonts w:hint="eastAsia" w:ascii="方正仿宋_GBK" w:hAnsi="方正仿宋_GBK" w:eastAsia="方正仿宋_GBK" w:cs="Times New Roman"/>
          <w:sz w:val="32"/>
          <w:szCs w:val="32"/>
          <w:highlight w:val="none"/>
          <w14:ligatures w14:val="standardContextual"/>
        </w:rPr>
        <w:keepNext/>
        <w:widowControl/>
        <w:ind w:firstLine="0" w:firstLineChars="0" w:hanging="0" w:hangingChars="0" w:left="0" w:right="0" w:leftChars="0" w:rightChars="0" w:start="0" w:end="0" w:startChars="0" w:endChars="0"/>
        <w:jc w:val="center"/>
      </w:pPr>
      <w:r>
        <w:rPr>
          <w:rFonts w:hint="eastAsia" w:ascii="方正仿宋_GBK" w:hAnsi="方正仿宋_GBK" w:eastAsia="方正仿宋_GBK" w:cs="Times New Roman"/>
          <w:sz w:val="32"/>
          <w:szCs w:val="32"/>
        </w:rPr>
        <w:t xml:space="preserve">表13 容载比推荐（电缆占比&gt;30%、分散系数&gt;1.15）</w:t>
      </w:r>
    </w:p>
    <w:tbl>
      <w:tblPr>
        <w:tblW w:w="8306" w:type="dxa"/>
        <w:jc w:val="center"/>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20" w:type="dxa"/>
          <w:bottom w:w="20" w:type="dxa"/>
          <w:left w:w="35" w:type="dxa"/>
          <w:right w:w="35" w:type="dxa"/>
        </w:tblCellMar>
      </w:tblPr>
      <w:tblGrid>
        <w:gridCol w:w="1450"/>
        <w:gridCol w:w="1050"/>
        <w:gridCol w:w="1451"/>
        <w:gridCol w:w="1451"/>
        <w:gridCol w:w="1451"/>
        <w:gridCol w:w="1453"/>
      </w:tblGrid>
      <w:tr>
        <w:trPr>
          <w:cantSplit/>
          <w:tblHeader/>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年最大净负荷平均增长率</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装机渗透率</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≤30%</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(30%,50%]</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(50%,70%]</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b/>
              </w:rPr>
              <w:t xml:space="preserve">&gt;70%</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2.17～2.27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2.02～2.09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1.95～2.02</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1.95～2.02</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2.27～2.37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2.15～2.25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1.99～2.09</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1.99～2.09</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2.79～2.89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2.63～2.69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2.57～2.63</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2.57～2.63</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2.17～2.27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1.92～2.01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1.83～1.92</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2.27～2.37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2.01～2.11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1.92～2.01</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1.83～1.92</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2.75～2.85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2.47～2.57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2.37～2.47</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2.37～2.47</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2.08～2.15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2.01～2.08</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1.73～1.83</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1.57～1.67</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2.05～2.15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2.05～2.15</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1.81～1.89</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1.73～1.81</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(4%,7%]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2.52～2.59</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2.48～2.52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2.41～2.48</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2.25～2.35</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2.02～2.11</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1.95～2.02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1.87～1.95</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1.45～1.55</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&gt;7%</w:t>
            </w:r>
          </w:p>
        </w:tc>
        <w:tc>
          <w:tcPr>
            <w:tcW w:w="1050"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(1,2]</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2.01～2.07</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2.07～2.13</w:t>
            </w:r>
          </w:p>
        </w:tc>
        <w:tc>
          <w:tcPr>
            <w:tcW w:w="1451"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1.89～1.99</w:t>
            </w:r>
          </w:p>
        </w:tc>
        <w:tc>
          <w:tcPr>
            <w:tcW w:w="1453" w:type="dxa"/>
            <w:vAlign w:val="center"/>
          </w:tcPr>
          <w:p>
            <w:pPr>
              <w:jc w:val="center"/>
              <w:ind w:firstLine="0" w:firstLineChars="0" w:left="0" w:right="0" w:hanging="0" w:hangingChars="0" w:leftChars="0" w:rightChars="0"/>
              <w:spacing w:before="0" w:after="0" w:line="370" w:lineRule="exact"/>
              <w:snapToGrid w:val="0"/>
              <w:keepNext/>
            </w:pPr>
            <w:r>
              <w:rPr>
                <w:rFonts w:hint="eastAsia" w:ascii="方正仿宋_GBK" w:hAnsi="方正仿宋_GBK" w:eastAsia="方正仿宋_GBK" w:cs="Times New Roman"/>
                <w:sz w:val="24"/>
                <w:szCs w:val="24"/>
              </w:rPr>
              <w:t xml:space="preserve">1.57～1.67</w:t>
            </w:r>
          </w:p>
        </w:tc>
      </w:tr>
      <w:tr>
        <w:trPr>
          <w:cantSplit/>
        </w:trPr>
        <w:tc>
          <w:tcPr>
            <w:tcW w:w="14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&gt;7%</w:t>
            </w:r>
          </w:p>
        </w:tc>
        <w:tc>
          <w:tcPr>
            <w:tcW w:w="1050"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&gt;2</w:t>
            </w:r>
          </w:p>
        </w:tc>
        <w:tc>
          <w:tcPr>
            <w:tcW w:w="145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2.46～2.55</w:t>
            </w:r>
          </w:p>
        </w:tc>
        <w:tc>
          <w:tcPr>
            <w:tcW w:w="145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2.37～2.46</w:t>
            </w:r>
          </w:p>
        </w:tc>
        <w:tc>
          <w:tcPr>
            <w:tcW w:w="1451"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2.28～2.37</w:t>
            </w:r>
          </w:p>
        </w:tc>
        <w:tc>
          <w:tcPr>
            <w:tcW w:w="1453" w:type="dxa"/>
            <w:vAlign w:val="center"/>
          </w:tcPr>
          <w:p>
            <w:pPr>
              <w:jc w:val="center"/>
              <w:ind w:firstLine="0" w:firstLineChars="0" w:left="0" w:right="0" w:hanging="0" w:hangingChars="0" w:leftChars="0" w:rightChars="0"/>
              <w:spacing w:before="0" w:after="0" w:line="370" w:lineRule="exact"/>
              <w:snapToGrid w:val="0"/>
            </w:pPr>
            <w:r>
              <w:rPr>
                <w:rFonts w:hint="eastAsia" w:ascii="方正仿宋_GBK" w:hAnsi="方正仿宋_GBK" w:eastAsia="方正仿宋_GBK" w:cs="Times New Roman"/>
                <w:sz w:val="24"/>
                <w:szCs w:val="24"/>
              </w:rPr>
              <w:t xml:space="preserve">2.19～2.28</w:t>
            </w:r>
          </w:p>
        </w:tc>
      </w:tr>
    </w:tbl>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keepNext/>
        <w:widowControl/>
      </w:pPr>
      <w:r>
        <w:rPr>
          <w:rFonts w:hint="eastAsia" w:ascii="方正楷体_GBK" w:hAnsi="方正楷体_GBK" w:eastAsia="方正楷体_GBK" w:cs="方正楷体_GBK"/>
          <w:b/>
          <w:bCs/>
          <w:sz w:val="32"/>
          <w:szCs w:val="32"/>
        </w:rPr>
        <w:t xml:space="preserve">（六）参数响应体现设备替代与配置平台</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装机渗透率增加后，反向输送任务可能成为主变及储能的主要约束。年最大净负荷平均增长率则同时改变容量需求与容载比分母，存量容量先被增长需求逐步利用，局部缺口扩大后再按允许额定容量补强。电缆长度占比提高会增加新增联络费用，部分条件下转向站内建设；负荷分散系数提高则增加局部峰值压力，其影响取决于邻站支援及储能条件。</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初始转供率的作用需结合已有设备和重新选配条件判断。以电缆长度占比50%、装机渗透率0.50、年最大净负荷平均增长率4%、负荷分散系数1.10为例，五站设备重新选配时，初始转供率四档对应的推荐窗口依次为1.91～2.01、1.61～1.71、1.40～1.49和1.31～1.40。既有支援增强后，可以利用邻站容量减少本地设备需求。</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存量主变持续在役时，转供改善可能先减少储能和新增联络，主变总容量保持原值。实际查表应先确定设备承接条件，再结合具体窗口比较可实施的主变台数、额定容量及配套工程，使容载比取值与供电任务和费用对应。</w:t>
      </w:r>
    </w:p>
    <w:p>
      <w:pPr>
        <w:adjustRightInd w:val="0"/>
        <w:snapToGrid w:val="0"/>
        <w:spacing w:line="560" w:lineRule="exact"/>
        <w:ind w:firstLine="723" w:firstLineChars="200"/>
        <w:outlineLvl w:val="9"/>
        <w:rPr>
          <w:rFonts w:hint="eastAsia" w:ascii="方正黑体_GBK" w:hAnsi="方正黑体_GBK" w:eastAsia="方正黑体_GBK" w:cs="方正黑体_GBK"/>
          <w:b/>
          <w:bCs/>
          <w:sz w:val="36"/>
          <w:szCs w:val="36"/>
          <w:highlight w:val="none"/>
          <w14:ligatures w14:val="standardContextual"/>
        </w:rPr>
        <w:keepNext/>
        <w:widowControl/>
      </w:pPr>
      <w:r>
        <w:rPr>
          <w:rFonts w:hint="eastAsia" w:ascii="方正黑体_GBK" w:hAnsi="方正黑体_GBK" w:eastAsia="方正黑体_GBK" w:cs="方正黑体_GBK"/>
          <w:b/>
          <w:bCs/>
          <w:sz w:val="36"/>
          <w:szCs w:val="36"/>
        </w:rPr>
        <w:t xml:space="preserve">四、规划应用相关工作建议</w:t>
      </w:r>
    </w:p>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keepNext/>
        <w:widowControl/>
      </w:pPr>
      <w:r>
        <w:rPr>
          <w:rFonts w:hint="eastAsia" w:ascii="方正楷体_GBK" w:hAnsi="方正楷体_GBK" w:eastAsia="方正楷体_GBK" w:cs="方正楷体_GBK"/>
          <w:b/>
          <w:bCs/>
          <w:sz w:val="32"/>
          <w:szCs w:val="32"/>
        </w:rPr>
        <w:t xml:space="preserve">（一）按片区条件查表，形成具体设备方案</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楷体_GBK" w:hAnsi="方正楷体_GBK" w:eastAsia="方正楷体_GBK" w:cs="方正楷体_GBK"/>
          <w:sz w:val="32"/>
          <w:szCs w:val="32"/>
          <w:b/>
        </w:rPr>
        <w:t xml:space="preserve">一是统一统计范围和发展阶段。</w:t>
      </w:r>
      <w:r>
        <w:rPr>
          <w:rFonts w:hint="eastAsia" w:ascii="方正仿宋_GBK" w:hAnsi="方正仿宋_GBK" w:eastAsia="方正仿宋_GBK" w:cs="Times New Roman"/>
          <w:sz w:val="32"/>
          <w:szCs w:val="32"/>
        </w:rPr>
        <w:t xml:space="preserve">按相同电压等级、供电范围和年度计算网供峰值、分布式电源装机渗透率及年最大净负荷平均增长率，再根据电缆长度占比、初始转供率及负荷分散系数定位矩阵。实际年度输入与未来预测分别使用对应时期的增长水平，保留年度峰值波动及其对容载比的影响。</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楷体_GBK" w:hAnsi="方正楷体_GBK" w:eastAsia="方正楷体_GBK" w:cs="方正楷体_GBK"/>
          <w:sz w:val="32"/>
          <w:szCs w:val="32"/>
          <w:b/>
        </w:rPr>
        <w:t xml:space="preserve">二是将推荐范围落实到站级措施。</w:t>
      </w:r>
      <w:r>
        <w:rPr>
          <w:rFonts w:hint="eastAsia" w:ascii="方正仿宋_GBK" w:hAnsi="方正仿宋_GBK" w:eastAsia="方正仿宋_GBK" w:cs="Times New Roman"/>
          <w:sz w:val="32"/>
          <w:szCs w:val="32"/>
        </w:rPr>
        <w:t xml:space="preserve">以实际在役主变为起点，逐站比较更换和扩建，结合储能有效功率与联络通道确定建设组合。主变容量与台数应同时满足正常供电及最大单台主变N-1要求，再按具体采购、配储及线路工程计算费用，明确投运年份和负荷转接安排。</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楷体_GBK" w:hAnsi="方正楷体_GBK" w:eastAsia="方正楷体_GBK" w:cs="方正楷体_GBK"/>
          <w:sz w:val="32"/>
          <w:szCs w:val="32"/>
          <w:b/>
        </w:rPr>
        <w:t xml:space="preserve">三是按设备配置回算最终容载比。</w:t>
      </w:r>
      <w:r>
        <w:rPr>
          <w:rFonts w:hint="eastAsia" w:ascii="方正仿宋_GBK" w:hAnsi="方正仿宋_GBK" w:eastAsia="方正仿宋_GBK" w:cs="Times New Roman"/>
          <w:sz w:val="32"/>
          <w:szCs w:val="32"/>
        </w:rPr>
        <w:t xml:space="preserve">查表范围用于确定容量初步比选方向，最终数值由可实施主变总容量除以同年度年网供最大负荷确定。对高于导则分档建议上限的方案，结合初始设备和局部供电任务分析原因，按导则有关供电安全条件论证提高的必要性[1]。</w:t>
      </w:r>
    </w:p>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keepNext/>
        <w:widowControl/>
      </w:pPr>
      <w:r>
        <w:rPr>
          <w:rFonts w:hint="eastAsia" w:ascii="方正楷体_GBK" w:hAnsi="方正楷体_GBK" w:eastAsia="方正楷体_GBK" w:cs="方正楷体_GBK"/>
          <w:b/>
          <w:bCs/>
          <w:sz w:val="32"/>
          <w:szCs w:val="32"/>
        </w:rPr>
        <w:t xml:space="preserve">（二）区分片区供电任务，合理组合补强措施</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邳州类光伏渗透率较高的片区，重点分析日间反向功率、晚间正向供电和故障剩余能力，按局部缺口的持续过程确定储能支撑。主变补强、邻站支援与储能吸收或放电共同满足双向任务，按具体工程费用选择组合，并随光伏投产进度更新容量需求。</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市区类负荷较集中的片区，重点结合站级高负载、主变N-1能力和邻站承接任务比较站内补强与联络建设。电缆比例较高时，新建通道费用对方案排序的影响更大，应利用既有可切换区段和邻站余量，将新增联络与主变更换、扩建及配储共同纳入比选。</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转供能力核定以逐站可转负荷、具体馈线路径及受端余量为基础。地区负荷加权统计用于描述网络背景，站级功率上限用于约束实际可调用的支援能力，年度正常和事故转接分别落实到固定方案。新建工程按可提供的有效支撑和投运时点计费，保证设备规模、费用和供电任务一致。</w:t>
      </w:r>
    </w:p>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keepNext/>
        <w:widowControl/>
      </w:pPr>
      <w:r>
        <w:rPr>
          <w:rFonts w:hint="eastAsia" w:ascii="方正楷体_GBK" w:hAnsi="方正楷体_GBK" w:eastAsia="方正楷体_GBK" w:cs="方正楷体_GBK"/>
          <w:b/>
          <w:bCs/>
          <w:sz w:val="32"/>
          <w:szCs w:val="32"/>
        </w:rPr>
        <w:t xml:space="preserve">（三）结合建设进度滚动更新应用结果</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年度规划随新增用户、负荷峰值和光伏投产更新源荷条件，承接已投运设备，再比较当年主变、储能与联络需求。线路造价、储能价格、站内扩建条件及馈线可转区段发生变化后，同步调整工程组合与推荐窗口，形成各片区的建设时序。</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本研究以年度源荷序列回代正常及主变N-1工况，部分等效通道和区段分配采用研究设定，历史时序为模板回算，未来沿用基准空间分布。储能按有效功率参与容量比选，工程应用还需结合实际网络检查连续荷电状态、电压及保护配合，并补充运行费用。上述条件在规划应用中一并核定，用新增资料逐步完善“一片一策”的容量安排。</w:t>
      </w:r>
    </w:p>
    <w:p>
      <w:pPr>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keepNext/>
        <w:widowControl/>
      </w:pPr>
      <w:r>
        <w:rPr>
          <w:rFonts w:hint="eastAsia" w:ascii="方正楷体_GBK" w:hAnsi="方正楷体_GBK" w:eastAsia="方正楷体_GBK" w:cs="方正楷体_GBK"/>
          <w:b/>
          <w:bCs/>
          <w:sz w:val="32"/>
          <w:szCs w:val="32"/>
        </w:rPr>
        <w:t xml:space="preserve">参考依据</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[1] 配电网规划设计技术导则（修订稿，2025年4月）[R]. 2025.</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[2] 郭自文, 王子鉴, 黄纯, 等. 考虑源荷储功率协调和不确定性的配电网集群划分方法[J]. 电网技术, 2026, 50(3): 1082-1090.</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[3] 肖峻, 刘柔嘉, 龙梦皓. 变电容载比与下一级中压配电网络关系的量化分析[J]. 电力建设, 2015, 36(11): 45-50.</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[4] MARTÍNEZ M, MATEO C, GÓMEZ T, et al. Distributed battery energy storage systems for deferring distribution network reinforcements under sustained load growth scenarios[J]. Journal of Energy Storage, 2024, 100: 113404.</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[5] ZHU Z, LU S, GAO B, et al. Life cycle cost analysis of three types of power lines in 10 kV distribution network[J]. Inventions, 2016, 1(4): 20.</w:t>
      </w:r>
    </w:p>
    <w:p>
      <w:pPr>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widowControl/>
      </w:pPr>
      <w:r>
        <w:rPr>
          <w:rFonts w:hint="eastAsia" w:ascii="方正仿宋_GBK" w:hAnsi="方正仿宋_GBK" w:eastAsia="方正仿宋_GBK" w:cs="Times New Roman"/>
          <w:sz w:val="32"/>
          <w:szCs w:val="32"/>
        </w:rPr>
        <w:t xml:space="preserve">[6] National Institute of Standards and Technology. Dataplot Reference Manual: Correlation[EB/OL]. 1997.</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044958"/>
    <w:rsid w:val="01594BF4"/>
    <w:rsid w:val="05EB00C3"/>
    <w:rsid w:val="09945539"/>
    <w:rsid w:val="0F0D0680"/>
    <w:rsid w:val="1174266D"/>
    <w:rsid w:val="11F13A26"/>
    <w:rsid w:val="177114C1"/>
    <w:rsid w:val="224C34F1"/>
    <w:rsid w:val="273B136A"/>
    <w:rsid w:val="2A976290"/>
    <w:rsid w:val="2CEE4744"/>
    <w:rsid w:val="2DFF48CA"/>
    <w:rsid w:val="309B06AC"/>
    <w:rsid w:val="388F6D48"/>
    <w:rsid w:val="39712E34"/>
    <w:rsid w:val="3ED85280"/>
    <w:rsid w:val="420678AE"/>
    <w:rsid w:val="43850656"/>
    <w:rsid w:val="440C3737"/>
    <w:rsid w:val="44F354BA"/>
    <w:rsid w:val="51EB4B97"/>
    <w:rsid w:val="57803A42"/>
    <w:rsid w:val="58195673"/>
    <w:rsid w:val="59E41013"/>
    <w:rsid w:val="5ADE72D7"/>
    <w:rsid w:val="5FDA06E2"/>
    <w:rsid w:val="648701A3"/>
    <w:rsid w:val="65DB7D10"/>
    <w:rsid w:val="692A7973"/>
    <w:rsid w:val="6B977093"/>
    <w:rsid w:val="70C938A7"/>
    <w:rsid w:val="70E1568B"/>
    <w:rsid w:val="71CD20B4"/>
    <w:rsid w:val="73216DDF"/>
    <w:rsid w:val="75044958"/>
    <w:rsid w:val="76E07A22"/>
    <w:rsid w:val="778A576D"/>
    <w:rsid w:val="79FB0956"/>
    <w:rsid w:val="7D6C7155"/>
    <w:rsid w:val="7E1022D2"/>
    <w:rsid w:val="7F675C96"/>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paragraph" w:styleId="2">
    <w:name w:val="Normal Indent"/>
    <w:next w:val="1"/>
    <w:qFormat/>
    <w:uiPriority w:val="0"/>
    <w:pPr>
      <w:widowControl w:val="0"/>
      <w:ind w:firstLine="420" w:firstLineChars="200"/>
      <w:jc w:val="both"/>
    </w:pPr>
    <w:rPr>
      <w:rFonts w:ascii="Calibri" w:hAnsi="Calibri" w:eastAsiaTheme="minorEastAsia" w:cstheme="minorBidi"/>
      <w:kern w:val="2"/>
      <w:sz w:val="21"/>
      <w:szCs w:val="24"/>
      <w:lang w:val="en-US" w:eastAsia="zh-CN" w:bidi="ar-SA"/>
    </w:rPr>
  </w:style>
  <w:style w:type="paragraph" w:styleId="3">
    <w:name w:val="annotation text"/>
    <w:basedOn w:val="1"/>
    <w:qFormat/>
    <w:uiPriority w:val="0"/>
    <w:pPr>
      <w:jc w:val="lef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Properties>
  <DataSet Characteristic="{497d5c66-340d-4e0f-935b-39008625698f}">
    <Data data="gkwFDAgJDwMAAgYLGEcIBB1WDhoABwECCBhHAQsMQVk="/>
  </DataSet>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7d5c66-340d-4e0f-935b-39008625698f}">
  <ds:schemaRefs/>
</ds:datastoreItem>
</file>

<file path=docProps/app.xml><?xml version="1.0" encoding="utf-8"?>
<Properties xmlns="http://schemas.openxmlformats.org/officeDocument/2006/extended-properties" xmlns:vt="http://schemas.openxmlformats.org/officeDocument/2006/docPropsVTypes">
  <Template>Normal.dotm</Template>
  <Pages>0</Pages>
  <Words>0</Words>
  <Characters>0</Characters>
  <Lines>0</Lines>
  <Paragraphs>0</Paragraphs>
  <TotalTime>6</TotalTime>
  <ScaleCrop>false</ScaleCrop>
  <LinksUpToDate>false</LinksUpToDate>
  <CharactersWithSpaces>0</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2025-08-20T10:37:00Z</dcterms:created>
  <dc:creator>徐州公司</dc:creator>
  <cp:lastModifiedBy>xh</cp:lastModifiedBy>
  <dcterms:modified xsi:type="dcterms:W3CDTF">2025-09-05T02:59:41Z</dcterms:modified>
  <cp:revision>1</cp:revision>
  <dc:title>徐州地区110千伏电网容载比弹性指标优化研究成果总结</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y fmtid="{D5CDD505-2E9C-101B-9397-08002B2CF9AE}" pid="3" name="KSOTemplateDocerSaveRecord">
    <vt:lpwstr>eyJoZGlkIjoiM2NiMTg4YjA2OGQ1YzliYTI4M2ZjYjVjZTMyYmEzNjIiLCJ1c2VySWQiOiIyMDk2Mjk0MDQifQ==</vt:lpwstr>
  </property>
  <property fmtid="{D5CDD505-2E9C-101B-9397-08002B2CF9AE}" pid="4" name="ICV">
    <vt:lpwstr>CB3B18A590F2447C863AEA4D76FFACC6_13</vt:lpwstr>
  </property>
</Properties>
</file>