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8"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h58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4"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7"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h77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0"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h80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40"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h140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4"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h154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8"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h168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5"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h185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9"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h199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2"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h212 \h </w:instrText>
      </w:r>
      <w:r>
        <w:rPr>
          <w:rFonts w:ascii="Times New Roman" w:hAnsi="Times New Roman" w:eastAsia="方正仿宋_GBK"/>
          <w:b w:val="0"/>
          <w:sz w:val="24"/>
        </w:rPr>
        <w:fldChar w:fldCharType="separate"/>
      </w:r>
      <w:r>
        <w:rPr>
          <w:rFonts w:ascii="Times New Roman" w:hAnsi="Times New Roman" w:eastAsia="方正仿宋_GBK"/>
          <w:b w:val="0"/>
          <w:sz w:val="24"/>
        </w:rPr>
        <w:t>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4"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h234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6"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h236 \h </w:instrText>
      </w:r>
      <w:r>
        <w:rPr>
          <w:rFonts w:ascii="Times New Roman" w:hAnsi="Times New Roman" w:eastAsia="方正仿宋_GBK"/>
          <w:b/>
          <w:sz w:val="24"/>
        </w:rPr>
        <w:fldChar w:fldCharType="separate"/>
      </w:r>
      <w:r>
        <w:rPr>
          <w:rFonts w:ascii="Times New Roman" w:hAnsi="Times New Roman" w:eastAsia="方正仿宋_GBK"/>
          <w:b/>
          <w:sz w:val="24"/>
        </w:rPr>
        <w:t>28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7"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7"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5"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h265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7"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h287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3.5 核心参数的案例敏感性分析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4"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h354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2"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h362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9"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h379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0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h401 \h </w:instrText>
      </w:r>
      <w:r>
        <w:rPr>
          <w:rFonts w:ascii="Times New Roman" w:hAnsi="Times New Roman" w:eastAsia="方正仿宋_GBK"/>
          <w:b/>
          <w:sz w:val="24"/>
        </w:rPr>
        <w:fldChar w:fldCharType="separate"/>
      </w:r>
      <w:r>
        <w:rPr>
          <w:rFonts w:ascii="Times New Roman" w:hAnsi="Times New Roman" w:eastAsia="方正仿宋_GBK"/>
          <w:b/>
          <w:sz w:val="24"/>
        </w:rPr>
        <w:t>49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h414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3"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h433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1" w:history="1">
        <w:r>
          <w:rPr>
            <w:rFonts w:ascii="Times New Roman" w:hAnsi="Times New Roman" w:eastAsia="方正仿宋_GBK"/>
            <w:b w:val="0"/>
            <w:sz w:val="24"/>
          </w:rPr>
          <w:t>4.5 经济参数与敏感性分析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h461 \h </w:instrText>
      </w:r>
      <w:r>
        <w:rPr>
          <w:rFonts w:ascii="Times New Roman" w:hAnsi="Times New Roman" w:eastAsia="方正仿宋_GBK"/>
          <w:b w:val="0"/>
          <w:sz w:val="24"/>
        </w:rPr>
        <w:fldChar w:fldCharType="separate"/>
      </w:r>
      <w:r>
        <w:rPr>
          <w:rFonts w:ascii="Times New Roman" w:hAnsi="Times New Roman" w:eastAsia="方正仿宋_GBK"/>
          <w:b w:val="0"/>
          <w:sz w:val="24"/>
        </w:rPr>
        <w:t>54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0"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h500 \h </w:instrText>
      </w:r>
      <w:r>
        <w:rPr>
          <w:rFonts w:ascii="Times New Roman" w:hAnsi="Times New Roman" w:eastAsia="方正仿宋_GBK"/>
          <w:b/>
          <w:sz w:val="24"/>
        </w:rPr>
        <w:fldChar w:fldCharType="separate"/>
      </w:r>
      <w:r>
        <w:rPr>
          <w:rFonts w:ascii="Times New Roman" w:hAnsi="Times New Roman" w:eastAsia="方正仿宋_GBK"/>
          <w:b/>
          <w:sz w:val="24"/>
        </w:rPr>
        <w:t>59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2"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h502 \h </w:instrText>
      </w:r>
      <w:r>
        <w:rPr>
          <w:rFonts w:ascii="Times New Roman" w:hAnsi="Times New Roman" w:eastAsia="方正仿宋_GBK"/>
          <w:b w:val="0"/>
          <w:sz w:val="24"/>
        </w:rPr>
        <w:fldChar w:fldCharType="separate"/>
      </w:r>
      <w:r>
        <w:rPr>
          <w:rFonts w:ascii="Times New Roman" w:hAnsi="Times New Roman" w:eastAsia="方正仿宋_GBK"/>
          <w:b w:val="0"/>
          <w:sz w:val="24"/>
        </w:rPr>
        <w:t>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7"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h527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9"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h549 \h </w:instrText>
      </w:r>
      <w:r>
        <w:rPr>
          <w:rFonts w:ascii="Times New Roman" w:hAnsi="Times New Roman" w:eastAsia="方正仿宋_GBK"/>
          <w:b w:val="0"/>
          <w:sz w:val="24"/>
        </w:rPr>
        <w:fldChar w:fldCharType="separate"/>
      </w:r>
      <w:r>
        <w:rPr>
          <w:rFonts w:ascii="Times New Roman" w:hAnsi="Times New Roman" w:eastAsia="方正仿宋_GBK"/>
          <w:b w:val="0"/>
          <w:sz w:val="24"/>
        </w:rPr>
        <w:t>65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1"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h561 \h </w:instrText>
      </w:r>
      <w:r>
        <w:rPr>
          <w:rFonts w:ascii="Times New Roman" w:hAnsi="Times New Roman" w:eastAsia="方正仿宋_GBK"/>
          <w:b w:val="0"/>
          <w:sz w:val="24"/>
        </w:rPr>
        <w:fldChar w:fldCharType="separate"/>
      </w:r>
      <w:r>
        <w:rPr>
          <w:rFonts w:ascii="Times New Roman" w:hAnsi="Times New Roman" w:eastAsia="方正仿宋_GBK"/>
          <w:b w:val="0"/>
          <w:sz w:val="24"/>
        </w:rPr>
        <w:t>66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79"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h879 \h </w:instrText>
      </w:r>
      <w:r>
        <w:rPr>
          <w:rFonts w:ascii="Times New Roman" w:hAnsi="Times New Roman" w:eastAsia="方正仿宋_GBK"/>
          <w:b w:val="0"/>
          <w:sz w:val="24"/>
        </w:rPr>
        <w:fldChar w:fldCharType="separate"/>
      </w:r>
      <w:r>
        <w:rPr>
          <w:rFonts w:ascii="Times New Roman" w:hAnsi="Times New Roman" w:eastAsia="方正仿宋_GBK"/>
          <w:b w:val="0"/>
          <w:sz w:val="24"/>
        </w:rPr>
        <w:t>102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00" w:history="1">
        <w:r>
          <w:rPr>
            <w:rFonts w:ascii="Times New Roman" w:hAnsi="Times New Roman" w:eastAsia="方正仿宋_GBK"/>
            <w:b w:val="0"/>
            <w:sz w:val="24"/>
          </w:rPr>
          <w:t>5.6 参数拓展与通用推荐矩阵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h900 \h </w:instrText>
      </w:r>
      <w:r>
        <w:rPr>
          <w:rFonts w:ascii="Times New Roman" w:hAnsi="Times New Roman" w:eastAsia="方正仿宋_GBK"/>
          <w:b w:val="0"/>
          <w:sz w:val="24"/>
        </w:rPr>
        <w:fldChar w:fldCharType="separate"/>
      </w:r>
      <w:r>
        <w:rPr>
          <w:rFonts w:ascii="Times New Roman" w:hAnsi="Times New Roman" w:eastAsia="方正仿宋_GBK"/>
          <w:b w:val="0"/>
          <w:sz w:val="24"/>
        </w:rPr>
        <w:t>105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87"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h987 \h </w:instrText>
      </w:r>
      <w:r>
        <w:rPr>
          <w:rFonts w:ascii="Times New Roman" w:hAnsi="Times New Roman" w:eastAsia="方正仿宋_GBK"/>
          <w:b w:val="0"/>
          <w:sz w:val="24"/>
        </w:rPr>
        <w:fldChar w:fldCharType="separate"/>
      </w:r>
      <w:r>
        <w:rPr>
          <w:rFonts w:ascii="Times New Roman" w:hAnsi="Times New Roman" w:eastAsia="方正仿宋_GBK"/>
          <w:b w:val="0"/>
          <w:sz w:val="24"/>
        </w:rPr>
        <w:t>131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06"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h1006 \h </w:instrText>
      </w:r>
      <w:r>
        <w:rPr>
          <w:rFonts w:ascii="Times New Roman" w:hAnsi="Times New Roman" w:eastAsia="方正仿宋_GBK"/>
          <w:b/>
          <w:sz w:val="24"/>
        </w:rPr>
        <w:fldChar w:fldCharType="separate"/>
      </w:r>
      <w:r>
        <w:rPr>
          <w:rFonts w:ascii="Times New Roman" w:hAnsi="Times New Roman" w:eastAsia="方正仿宋_GBK"/>
          <w:b/>
          <w:sz w:val="24"/>
        </w:rPr>
        <w:t>133</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08"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h1008 \h </w:instrText>
      </w:r>
      <w:r>
        <w:rPr>
          <w:rFonts w:ascii="Times New Roman" w:hAnsi="Times New Roman" w:eastAsia="方正仿宋_GBK"/>
          <w:b w:val="0"/>
          <w:sz w:val="24"/>
        </w:rPr>
        <w:fldChar w:fldCharType="separate"/>
      </w:r>
      <w:r>
        <w:rPr>
          <w:rFonts w:ascii="Times New Roman" w:hAnsi="Times New Roman" w:eastAsia="方正仿宋_GBK"/>
          <w:b w:val="0"/>
          <w:sz w:val="24"/>
        </w:rPr>
        <w:t>133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2"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h1022 \h </w:instrText>
      </w:r>
      <w:r>
        <w:rPr>
          <w:rFonts w:ascii="Times New Roman" w:hAnsi="Times New Roman" w:eastAsia="方正仿宋_GBK"/>
          <w:b w:val="0"/>
          <w:sz w:val="24"/>
        </w:rPr>
        <w:fldChar w:fldCharType="separate"/>
      </w:r>
      <w:r>
        <w:rPr>
          <w:rFonts w:ascii="Times New Roman" w:hAnsi="Times New Roman" w:eastAsia="方正仿宋_GBK"/>
          <w:b w:val="0"/>
          <w:sz w:val="24"/>
        </w:rPr>
        <w:t>134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4"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h1034 \h </w:instrText>
      </w:r>
      <w:r>
        <w:rPr>
          <w:rFonts w:ascii="Times New Roman" w:hAnsi="Times New Roman" w:eastAsia="方正仿宋_GBK"/>
          <w:b w:val="0"/>
          <w:sz w:val="24"/>
        </w:rPr>
        <w:fldChar w:fldCharType="separate"/>
      </w:r>
      <w:r>
        <w:rPr>
          <w:rFonts w:ascii="Times New Roman" w:hAnsi="Times New Roman" w:eastAsia="方正仿宋_GBK"/>
          <w:b w:val="0"/>
          <w:sz w:val="24"/>
        </w:rPr>
        <w:t>135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40"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h1040 \h </w:instrText>
      </w:r>
      <w:r>
        <w:rPr>
          <w:rFonts w:ascii="Times New Roman" w:hAnsi="Times New Roman" w:eastAsia="方正仿宋_GBK"/>
          <w:b/>
          <w:sz w:val="24"/>
        </w:rPr>
        <w:fldChar w:fldCharType="separate"/>
      </w:r>
      <w:r>
        <w:rPr>
          <w:rFonts w:ascii="Times New Roman" w:hAnsi="Times New Roman" w:eastAsia="方正仿宋_GBK"/>
          <w:b/>
          <w:sz w:val="24"/>
        </w:rPr>
        <w:t>136</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主变N-1条件下的供电需求。</w:t>
      </w:r>
    </w:p>
    <w:p>
      <w:pPr>
        <w:pStyle w:val="2"/>
        <w:widowControl/>
        <w:spacing w:line="348" w:lineRule="exact"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48" w:lineRule="exact"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分布式电源电量渗透率、分布式电源装机渗透率以及主变年最大负载率，分别描述电量、装机规模和设备压力。报告因此将分布式电源装机渗透率与分布式电源电量渗透率作为区域源荷背景，将净负荷最大绝对值及95%峰值持续时间用于设备容量压力分析。</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《配电网规划设计技术导则》引入分布式电源装机渗透率（源荷比）和分布式电源电量渗透率，提出源荷比超过2.00，或分布式电源电量渗透率超过40%～50%时，以110～35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两地区适合用于分析新能源渗透指标与传统容载比之间的联系。</w:t>
      </w:r>
    </w:p>
    <w:p>
      <w:pPr>
        <w:pStyle w:val="2"/>
        <w:widowControl/>
        <w:spacing w:line="348" w:lineRule="exact" w:before="0" w:after="0"/>
        <w:ind w:firstLine="480"/>
        <w:jc w:val="both"/>
      </w:pPr>
      <w:r>
        <w:rPr>
          <w:rFonts w:ascii="Times New Roman" w:hAnsi="Times New Roman" w:eastAsia="方正仿宋_GBK"/>
          <w:b w:val="0"/>
          <w:sz w:val="24"/>
        </w:rPr>
        <w:t xml:space="preserve">本课题围绕这些规划问题开展研究。在相同年度负荷、设备初态和技术约束下，比较容载比按2.00上限控制与允许适度提高时的容量配置及评价期费用，分析源荷水平、负荷增长和峰段特征对结果的影响，提出分片区的弹性指标及其适用条件，为110 kV电网规划和工程比选提供依据。</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9" w:name="h19"/>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负荷下降导致的既有容量被动超限允许保留；弹性方案在容载比高于2.00的研究条件下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3" w:name="h33"/>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MW/km²。市区含不同分区，不能整体等同于A类；本研究按A类较少、B类较多设置转供率参考，设备候选按各站资料和研究假设分别确定。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不由统一比例直接生成。</w:t>
      </w:r>
    </w:p>
    <w:p>
      <w:pPr>
        <w:pStyle w:val="4"/>
        <w:keepNext/>
        <w:numPr>
          <w:numId w:val="0"/>
        </w:numPr>
        <w:spacing w:line="480" w:lineRule="exact" w:before="160" w:after="120"/>
        <w:ind w:firstLine="0"/>
      </w:pPr>
      <w:bookmarkStart w:id="1046" w:name="h46"/>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最后，围绕六项核心参数构造推广矩阵，储能价格及辅助技术经济参数另作敏感性分析。矩阵按输入区间归纳容载比计算范围，设备措施与费用分别列示。输入参数的首尾开口形式不改变输出容载比的有限端点。</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线路成本系数反映单位长度综合造价，储能价格在固定支撑持续时间下单独分析；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线路成本系数、初始转供率、储能支撑持续时间及负荷分散系数六项输入，开展12600组目标年静态比选。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8" w:name="h58"/>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核对资料完整性、统计范围和时间，再计算对应指标之间及其与容载比的相关系数；将存在共同分母或直接换算关系的指标合并使用，结合容量约束确定核心参数。</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初始转供率表达既有网络条件，储能支撑持续时间确定储能有效支撑功率，线路成本系数改变新增联络费用。储能价格与辅助技术参数单独分析，各区间均保留计算节点、配置结果及适用条件。</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4" w:name="h74"/>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列出供电区域类别、负荷分散系数、技术经济条件和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7" w:name="h77"/>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80" w:name="h80"/>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2" w:name="h102"/>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40" w:name="h140"/>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分布式电源装机渗透率、负荷增长、持续时间及相对工程费用作为可比较参数。</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4" w:name="h154"/>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在多主变站中，容量总和不能直接替代主变N-1后的剩余容量。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仅作为参数研究条件，不直接代表地区实际能力。</w:t>
      </w:r>
    </w:p>
    <w:p>
      <w:pPr>
        <w:pStyle w:val="2"/>
        <w:widowControl/>
        <w:spacing w:line="348" w:lineRule="exact"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8" w:name="h168"/>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如果把降压负荷直接作为用户最大负荷，可能将电网承担的剩余负荷误作用户全部用电需求，从而高估源荷比，影响地区间比较。</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站级各自最大反送功率相加，一般不等于区域同步反送峰值。各站非同时反向峰值之和仅用于反向容量压力的上界分析；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5" w:name="h185"/>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以相对架空基价的成本系数表达，储能价格以独立倍数作敏感性分析，避免持续时间变化与价格变化混入同一指标。未来价格情景用于比较相同技术条件下的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线路成本系数、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9" w:name="h199"/>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费用相近时可以出现多组可行配置。以费用目标求得的可行方案对应具体设备和联络项目。地区间的容载比排序不作为预设约束。</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增加候选邻接关系作结构对照。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pPr>
        <w:pStyle w:val="4"/>
        <w:keepNext/>
        <w:numPr>
          <w:numId w:val="0"/>
        </w:numPr>
        <w:spacing w:line="480" w:lineRule="exact" w:before="160" w:after="120"/>
        <w:ind w:firstLine="0"/>
      </w:pPr>
      <w:bookmarkStart w:id="1212" w:name="h212"/>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计算12600组目标年静态方案，按六项输入参数归纳648个区间单元。储能价格、设备候选及网络结构等另作专项敏感性分析，不增加主矩阵查表维度。</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但不能直接互换。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将反向功率直接取绝对值后计算全年受电量，会把反送电量误计为用电，改变电量平衡关系。</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MW额定功率也对应不同持续时间。研究通过功率与能量共同约束进行比较，避免仅按一种容量指标确定投资。</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源荷规模、负荷增长、线路造价、初始转供率和储能支撑持续时间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不称为导则规定。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端点不作无界延伸。主变按允许规格和台数建设，区间内并非每个小数值都对应独立可行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价格倍数本身不决定技术可替代性，站级容量和转供条件决定各措施能够承担的负荷，费用目标再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对新增线路，价格下降可能只降低既定建设规模的费用；对储能，价格下降则可能使部分容量缺口由储能承担，从而减少主变建设。两种响应均有工程意义。将</w:t>
      </w:r>
      <w:r>
        <w:rPr>
          <w:rFonts w:ascii="Times New Roman" w:hAnsi="Times New Roman" w:eastAsia="方正仿宋_GBK"/>
          <w:b w:val="0"/>
          <w:sz w:val="24"/>
        </w:rPr>
        <w:t xml:space="preserve">“</w:t>
      </w:r>
      <w:r>
        <w:rPr>
          <w:rFonts w:ascii="Times New Roman" w:hAnsi="Times New Roman" w:eastAsia="方正仿宋_GBK"/>
          <w:b w:val="0"/>
          <w:sz w:val="24"/>
        </w:rPr>
        <w:t xml:space="preserve">未改变容载比</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该参数不需要分析</w:t>
      </w:r>
      <w:r>
        <w:rPr>
          <w:rFonts w:ascii="Times New Roman" w:hAnsi="Times New Roman" w:eastAsia="方正仿宋_GBK"/>
          <w:b w:val="0"/>
          <w:sz w:val="24"/>
        </w:rPr>
        <w:t xml:space="preserve">”</w:t>
      </w:r>
      <w:r>
        <w:rPr>
          <w:rFonts w:ascii="Times New Roman" w:hAnsi="Times New Roman" w:eastAsia="方正仿宋_GBK"/>
          <w:b w:val="0"/>
          <w:sz w:val="24"/>
        </w:rPr>
        <w:t xml:space="preserve">会遗漏费用作用；将</w:t>
      </w:r>
      <w:r>
        <w:rPr>
          <w:rFonts w:ascii="Times New Roman" w:hAnsi="Times New Roman" w:eastAsia="方正仿宋_GBK"/>
          <w:b w:val="0"/>
          <w:sz w:val="24"/>
        </w:rPr>
        <w:t xml:space="preserve">“</w:t>
      </w:r>
      <w:r>
        <w:rPr>
          <w:rFonts w:ascii="Times New Roman" w:hAnsi="Times New Roman" w:eastAsia="方正仿宋_GBK"/>
          <w:b w:val="0"/>
          <w:sz w:val="24"/>
        </w:rPr>
        <w:t xml:space="preserve">费用发生变化</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容载比必然变化</w:t>
      </w:r>
      <w:r>
        <w:rPr>
          <w:rFonts w:ascii="Times New Roman" w:hAnsi="Times New Roman" w:eastAsia="方正仿宋_GBK"/>
          <w:b w:val="0"/>
          <w:sz w:val="24"/>
        </w:rPr>
        <w:t xml:space="preserve">”</w:t>
      </w:r>
      <w:r>
        <w:rPr>
          <w:rFonts w:ascii="Times New Roman" w:hAnsi="Times New Roman" w:eastAsia="方正仿宋_GBK"/>
          <w:b w:val="0"/>
          <w:sz w:val="24"/>
        </w:rPr>
        <w:t xml:space="preserve">则会混淆价格与容量两个结果。本报告在第五章分别列示容载比、设备规模和费用变化。</w:t>
      </w:r>
    </w:p>
    <w:p>
      <w:pPr>
        <w:pStyle w:val="4"/>
        <w:keepNext/>
        <w:numPr>
          <w:numId w:val="0"/>
        </w:numPr>
        <w:spacing w:line="480" w:lineRule="exact" w:before="160" w:after="120"/>
        <w:ind w:firstLine="0"/>
      </w:pPr>
      <w:bookmarkStart w:id="1234" w:name="h234"/>
      <w:bookmarkStart w:id="89" w:name="本章小结"/>
      <w:r>
        <w:rPr>
          <w:rFonts w:ascii="Times New Roman" w:hAnsi="Times New Roman" w:eastAsia="方正仿宋_GBK"/>
          <w:b/>
          <w:sz w:val="32"/>
        </w:rPr>
        <w:t xml:space="preserve">2.9 本章小结</w:t>
      </w:r>
      <w:bookmarkEnd w:id="89"/>
      <w:bookmarkEnd w:id="1234"/>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pPr>
        <w:pStyle w:val="3"/>
        <w:keepNext/>
        <w:pageBreakBefore/>
        <w:numPr>
          <w:numId w:val="0"/>
        </w:numPr>
        <w:spacing w:line="540" w:lineRule="exact" w:before="0" w:after="120"/>
        <w:ind w:firstLine="0"/>
      </w:pPr>
      <w:bookmarkStart w:id="1236" w:name="h236"/>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6"/>
    </w:p>
    <w:p>
      <w:pPr>
        <w:pStyle w:val="4"/>
        <w:keepNext/>
        <w:numPr>
          <w:numId w:val="0"/>
        </w:numPr>
        <w:spacing w:line="480" w:lineRule="exact" w:before="160" w:after="120"/>
        <w:ind w:firstLine="0"/>
      </w:pPr>
      <w:bookmarkStart w:id="1237" w:name="h237"/>
      <w:bookmarkStart w:id="91" w:name="研究地区与原始资料"/>
      <w:r>
        <w:rPr>
          <w:rFonts w:ascii="Times New Roman" w:hAnsi="Times New Roman" w:eastAsia="方正仿宋_GBK"/>
          <w:b/>
          <w:sz w:val="32"/>
        </w:rPr>
        <w:t xml:space="preserve">3.1 研究地区与原始资料</w:t>
      </w:r>
      <w:bookmarkEnd w:id="91"/>
      <w:bookmarkEnd w:id="1237"/>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95%峰值持续时间描述补齐后区域曲线的连续近峰事件，年度电量估计用于源荷背景分析。地区案例使用区域正向峰值和最低净负荷两类静态工况，各站功率按同一工况组织；正向储能支撑另统一取4 h作对照，不将实测近峰时长等同于N-1支撑要求。</w:t>
      </w:r>
    </w:p>
    <w:p>
      <w:pPr>
        <w:pStyle w:val="4"/>
        <w:keepNext/>
        <w:numPr>
          <w:numId w:val="0"/>
        </w:numPr>
        <w:spacing w:line="480" w:lineRule="exact" w:before="160" w:after="120"/>
        <w:ind w:firstLine="0"/>
      </w:pPr>
      <w:bookmarkStart w:id="1247" w:name="h247"/>
      <w:bookmarkStart w:id="95" w:name="年度容量负荷与增长特征"/>
      <w:r>
        <w:rPr>
          <w:rFonts w:ascii="Times New Roman" w:hAnsi="Times New Roman" w:eastAsia="方正仿宋_GBK"/>
          <w:b/>
          <w:sz w:val="32"/>
        </w:rPr>
        <w:t xml:space="preserve">3.2 年度容量、负荷与增长特征</w:t>
      </w:r>
      <w:bookmarkEnd w:id="95"/>
      <w:bookmarkEnd w:id="1247"/>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年最大净负荷平均增长率[7]由同范围起止年度负荷按复合增长形式计算。2021—2025年包含四个年度间隔，增长分档采用DL/T 5729—2023表6.3.4[5]。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acc>
                  <m:accPr>
                    <m:chr m:val="‾"/>
                  </m:accPr>
                  <m:e>
                    <m:r>
                      <m:t>g</m:t>
                    </m:r>
                  </m:e>
                </m:acc>
                <m:r>
                  <m:t>=</m:t>
                </m:r>
                <m:sSup>
                  <m:e>
                    <m:d>
                      <m:dPr>
                        <m:begChr m:val="("/>
                        <m:endChr m:val=")"/>
                        <m:grow/>
                      </m:dPr>
                      <m:e>
                        <m:f>
                          <m:fPr>
                            <m:type m:val="bar"/>
                          </m:fPr>
                          <m:num>
                            <m:sSub>
                              <m:e>
                                <m:r>
                                  <m:t>P</m:t>
                                </m:r>
                              </m:e>
                              <m:sub>
                                <m:r>
                                  <m:t>2025</m:t>
                                </m:r>
                              </m:sub>
                            </m:sSub>
                          </m:num>
                          <m:den>
                            <m:sSub>
                              <m:e>
                                <m:r>
                                  <m:t>P</m:t>
                                </m:r>
                              </m:e>
                              <m:sub>
                                <m:r>
                                  <m:t>2021</m:t>
                                </m:r>
                              </m:sub>
                            </m:sSub>
                          </m:den>
                        </m:f>
                      </m:e>
                    </m:d>
                  </m:e>
                  <m:sup>
                    <m:r>
                      <m:t>1</m:t>
                    </m:r>
                    <m:r>
                      <m:t>/</m:t>
                    </m:r>
                    <m:r>
                      <m:t>4</m:t>
                    </m:r>
                  </m:sup>
                </m:sSup>
                <m:r>
                  <m:t>−</m:t>
                </m:r>
                <m:r>
                  <m:t>1</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年网供最大负荷估计值，单位MW；</w:t>
      </w:r>
      <m:oMath>
        <m:acc>
          <m:accPr>
            <m:chr m:val="‾"/>
          </m:accPr>
          <m:e>
            <m: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t>(</m:t>
        </m:r>
        <m:r>
          <m:t>1</m:t>
        </m:r>
        <m:r>
          <m:t>+</m:t>
        </m:r>
        <m:acc>
          <m:accPr>
            <m:chr m:val="‾"/>
          </m:accPr>
          <m:e>
            <m:r>
              <m:t>g</m:t>
            </m:r>
          </m:e>
        </m:acc>
        <m:sSup>
          <m:e>
            <m:r>
              <m:t>)</m:t>
            </m:r>
          </m:e>
          <m:sup>
            <m: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5" w:name="h265"/>
      <w:bookmarkStart w:id="101" w:name="分布式光伏装机与电量"/>
      <w:r>
        <w:rPr>
          <w:rFonts w:ascii="Times New Roman" w:hAnsi="Times New Roman" w:eastAsia="方正仿宋_GBK"/>
          <w:b/>
          <w:sz w:val="32"/>
        </w:rPr>
        <w:t xml:space="preserve">3.3 分布式光伏装机与电量</w:t>
      </w:r>
      <w:bookmarkEnd w:id="101"/>
      <w:bookmarkEnd w:id="1265"/>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MWh。不同地区的年内投运速度和月末装机差异均进入计算，未把年末规模直接应用于全年。</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7" w:name="h287"/>
      <w:bookmarkStart w:id="107" w:name="主变负载率与双向净负荷"/>
      <w:r>
        <w:rPr>
          <w:rFonts w:ascii="Times New Roman" w:hAnsi="Times New Roman" w:eastAsia="方正仿宋_GBK"/>
          <w:b/>
          <w:sz w:val="32"/>
        </w:rPr>
        <w:t xml:space="preserve">3.4 主变负载率与双向净负荷</w:t>
      </w:r>
      <w:bookmarkEnd w:id="107"/>
      <w:bookmarkEnd w:id="1287"/>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邳州逐台主变年最大负载率中位数为53%，市区为55%。均值与中位数的差异说明设备分布需要单独观察。区域比值较高仍可能同时存在个别设备较高负载，建设措施应落实到站级。</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p>
                        <m:e>
                          <m:r>
                            <m:t>P</m:t>
                          </m:r>
                        </m:e>
                        <m:sup>
                          <m:r>
                            <m:t>+</m:t>
                          </m:r>
                        </m:sup>
                      </m:sSup>
                    </m:e>
                    <m:e>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e>
                  </m:mr>
                  <m:mr>
                    <m:e>
                      <m:sSup>
                        <m:e>
                          <m:r>
                            <m:t>P</m:t>
                          </m:r>
                        </m:e>
                        <m:sup>
                          <m:r>
                            <m:rPr>
                              <m:sty m:val="p"/>
                            </m:rPr>
                            <m:t>a</m:t>
                          </m:r>
                          <m:r>
                            <m:rPr>
                              <m:sty m:val="p"/>
                            </m:rPr>
                            <m:t>b</m:t>
                          </m:r>
                          <m:r>
                            <m:rPr>
                              <m:sty m:val="p"/>
                            </m:rPr>
                            <m:t>s</m:t>
                          </m:r>
                        </m:sup>
                      </m:sSup>
                    </m:e>
                    <m:e>
                      <m:r>
                        <m:t>=</m:t>
                      </m:r>
                      <m:r>
                        <m:rPr>
                          <m:nor/>
                          <m:sty m:val="p"/>
                        </m:rPr>
                        <m:t>max</m:t>
                      </m:r>
                      <m:r>
                        <m:t>(</m:t>
                      </m:r>
                      <m:sSup>
                        <m:e>
                          <m:r>
                            <m:t>P</m:t>
                          </m:r>
                        </m:e>
                        <m:sup>
                          <m:r>
                            <m:t>+</m:t>
                          </m:r>
                        </m:sup>
                      </m:sSup>
                      <m:r>
                        <m:t>,</m:t>
                      </m:r>
                      <m:sSup>
                        <m:e>
                          <m:r>
                            <m:t>P</m:t>
                          </m:r>
                        </m:e>
                        <m:sup>
                          <m:r>
                            <m:t>−</m:t>
                          </m:r>
                        </m:sup>
                      </m:sSup>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为净负荷最大绝对值，单位均为MW。站级负载率按</w:t>
      </w:r>
      <m:oMath>
        <m:sSup>
          <m:e>
            <m:r>
              <m:t>P</m:t>
            </m:r>
          </m:e>
          <m:sup>
            <m:r>
              <m:rPr>
                <m:sty m:val="p"/>
              </m:rPr>
              <m:t>a</m:t>
            </m:r>
            <m:r>
              <m:rPr>
                <m:sty m:val="p"/>
              </m:rPr>
              <m:t>b</m:t>
            </m:r>
            <m:r>
              <m:rPr>
                <m:sty m:val="p"/>
              </m:rPr>
              <m:t>s</m:t>
            </m:r>
          </m:sup>
        </m:sSup>
        <m:r>
          <m:t>/</m:t>
        </m:r>
        <m:r>
          <m:t>(</m:t>
        </m:r>
        <m:r>
          <m:t>S</m:t>
        </m:r>
        <m:r>
          <m:rPr>
            <m:nor/>
            <m:sty m:val="p"/>
          </m:rPr>
          <m:t>cos</m:t>
        </m:r>
        <m:r>
          <m:t>φ</m:t>
        </m:r>
        <m:r>
          <m:t>)</m:t>
        </m:r>
      </m:oMath>
      <w:r>
        <w:rPr>
          <w:rFonts w:ascii="Times New Roman" w:hAnsi="Times New Roman" w:eastAsia="方正仿宋_GBK"/>
          <w:b w:val="0"/>
          <w:sz w:val="24"/>
        </w:rPr>
        <w:t xml:space="preserve">计算，</w:t>
      </w:r>
      <m:oMath>
        <m: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H</m:t>
                    </m:r>
                  </m:e>
                  <m:sub>
                    <m:r>
                      <m:t>95</m:t>
                    </m:r>
                  </m:sub>
                </m:sSub>
                <m:r>
                  <m:t>=</m:t>
                </m:r>
                <m:r>
                  <m:rPr>
                    <m:nor/>
                    <m:sty m:val="p"/>
                  </m:rPr>
                  <m:t>max</m:t>
                </m:r>
                <m:r>
                  <m:t>{</m:t>
                </m:r>
                <m:r>
                  <m:rPr>
                    <m:nor/>
                    <m:sty m:val="p"/>
                  </m:rPr>
                  <m:t>连续时段长度</m:t>
                </m:r>
                <m:r>
                  <m:t>:</m:t>
                </m:r>
                <m:r>
                  <m:t>|</m:t>
                </m:r>
                <m:sSub>
                  <m:e>
                    <m:r>
                      <m:t>P</m:t>
                    </m:r>
                  </m:e>
                  <m:sub>
                    <m:r>
                      <m:rPr>
                        <m:sty m:val="p"/>
                      </m:rPr>
                      <m:t>r</m:t>
                    </m:r>
                    <m:r>
                      <m:rPr>
                        <m:sty m:val="p"/>
                      </m:rPr>
                      <m:t>e</m:t>
                    </m:r>
                    <m:r>
                      <m:rPr>
                        <m:sty m:val="p"/>
                      </m:rPr>
                      <m:t>g</m:t>
                    </m:r>
                    <m:r>
                      <m:rPr>
                        <m:sty m:val="p"/>
                      </m:rPr>
                      <m:t>i</m:t>
                    </m:r>
                    <m:r>
                      <m:rPr>
                        <m:sty m:val="p"/>
                      </m:rPr>
                      <m:t>o</m:t>
                    </m:r>
                    <m:r>
                      <m:rPr>
                        <m:sty m:val="p"/>
                      </m:rPr>
                      <m:t>n</m:t>
                    </m:r>
                    <m:r>
                      <m:t>,</m:t>
                    </m:r>
                    <m:r>
                      <m:t>t</m:t>
                    </m:r>
                  </m:sub>
                </m:sSub>
                <m:r>
                  <m:t>|</m:t>
                </m:r>
                <m:r>
                  <m:t>≥</m:t>
                </m:r>
                <m:r>
                  <m:t>0.95</m:t>
                </m:r>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r>
                  <m: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H</m:t>
            </m:r>
          </m:e>
          <m:sub>
            <m:r>
              <m:t>95</m:t>
            </m:r>
          </m:sub>
        </m:sSub>
      </m:oMath>
      <w:r>
        <w:rPr>
          <w:rFonts w:ascii="Times New Roman" w:hAnsi="Times New Roman" w:eastAsia="方正仿宋_GBK"/>
          <w:b w:val="0"/>
          <w:sz w:val="24"/>
        </w:rPr>
        <w:t xml:space="preserve">为95%峰值持续时间，单位h；</w:t>
      </w:r>
      <m:oMath>
        <m:sSub>
          <m:e>
            <m:r>
              <m:t>P</m:t>
            </m:r>
          </m:e>
          <m:sub>
            <m:r>
              <m:rPr>
                <m:sty m:val="p"/>
              </m:rPr>
              <m:t>r</m:t>
            </m:r>
            <m:r>
              <m:rPr>
                <m:sty m:val="p"/>
              </m:rPr>
              <m:t>e</m:t>
            </m:r>
            <m:r>
              <m:rPr>
                <m:sty m:val="p"/>
              </m:rPr>
              <m:t>g</m:t>
            </m:r>
            <m:r>
              <m:rPr>
                <m:sty m:val="p"/>
              </m:rPr>
              <m:t>i</m:t>
            </m:r>
            <m:r>
              <m:rPr>
                <m:sty m:val="p"/>
              </m:rPr>
              <m:t>o</m:t>
            </m:r>
            <m:r>
              <m:rPr>
                <m:sty m:val="p"/>
              </m:rPr>
              <m:t>n</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的区域净负荷，</w:t>
      </w:r>
      <m:oMath>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95%近峰持续时间用于描述区域负荷特征。N-1后的容量缺口可能在负荷未达到峰值95%时已经出现，实际能量需求应按超过剩余供电能力的功率差积分确定。4 h用于统一技术经济对照，其适用性需结合地区110 kV网供峰值曲线及故障恢复条件判断。当前研究采用可用电量系数0.76作静态折算，未开展逐时荷电状态仿真[28][10]。</w:t>
      </w:r>
    </w:p>
    <w:p>
      <w:pPr>
        <w:pStyle w:val="4"/>
        <w:keepNext/>
        <w:numPr>
          <w:numId w:val="0"/>
        </w:numPr>
        <w:spacing w:line="480" w:lineRule="exact" w:before="160" w:after="120"/>
        <w:ind w:firstLine="0"/>
      </w:pPr>
      <w:bookmarkStart w:id="1315" w:name="h315"/>
      <w:bookmarkStart w:id="117" w:name="核心参数的案例敏感性分析"/>
      <w:r>
        <w:rPr>
          <w:rFonts w:ascii="Times New Roman" w:hAnsi="Times New Roman" w:eastAsia="方正仿宋_GBK"/>
          <w:b/>
          <w:sz w:val="32"/>
        </w:rPr>
        <w:t xml:space="preserve">3.5 核心参数的案例敏感性分析</w:t>
      </w:r>
      <w:bookmarkEnd w:id="117"/>
      <w:bookmarkEnd w:id="1315"/>
    </w:p>
    <w:p>
      <w:pPr>
        <w:pStyle w:val="5"/>
        <w:keepNext/>
        <w:numPr>
          <w:numId w:val="0"/>
        </w:numPr>
        <w:spacing w:line="390" w:lineRule="exact" w:before="160" w:after="120"/>
        <w:ind w:firstLine="0"/>
      </w:pPr>
      <w:bookmarkStart w:id="118" w:name="案例基础与参数范围"/>
      <w:r>
        <w:rPr>
          <w:rFonts w:ascii="Times New Roman" w:hAnsi="Times New Roman" w:eastAsia="方正仿宋_GBK"/>
          <w:b/>
          <w:sz w:val="26"/>
        </w:rPr>
        <w:t xml:space="preserve">3.5.1 案例基础与参数范围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敏感性分析以邳州和市区的实际年度负荷、站级同步功率分布和具体候选网络为基础，保留各地区初始设备、可扩建位置及主变规格。采用弹性方案，在相同正常运行与主变N-1约束下，每次仅改变一项参数，重新确定逐年主变、储能及联络配置。分析对象为地区案例，推广模板的参数组合及其相关性在第5.6节讨论。</w:t>
      </w:r>
    </w:p>
    <w:p>
      <w:pPr>
        <w:pStyle w:val="2"/>
        <w:widowControl/>
        <w:spacing w:line="348" w:lineRule="exact" w:before="0" w:after="0"/>
        <w:ind w:firstLine="480"/>
        <w:jc w:val="both"/>
      </w:pPr>
      <w:r>
        <w:rPr>
          <w:rFonts w:ascii="Times New Roman" w:hAnsi="Times New Roman" w:eastAsia="方正仿宋_GBK"/>
          <w:b w:val="0"/>
          <w:sz w:val="24"/>
        </w:rPr>
        <w:t xml:space="preserve">两地区的源荷条件具有差异。邳州2025年分布式电源装机渗透率估计值为1.63，市区为0.32；年最大净负荷平均增长率按2021—2025年实际负荷计算，显示值分别为7%和1%。上述差异用于说明案例基础，不能通过两个地区的横向差值认定某一参数对容载比的独立影响。</w:t>
      </w:r>
    </w:p>
    <w:p>
      <w:pPr>
        <w:pStyle w:val="2"/>
        <w:keepNext/>
        <w:spacing w:line="280" w:lineRule="exact"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典型场景及样本外推</w:t>
            </w:r>
          </w:p>
        </w:tc>
      </w:tr>
    </w:tbl>
    <w:p>
      <w:pPr>
        <w:pStyle w:val="2"/>
        <w:widowControl/>
        <w:spacing w:line="348" w:lineRule="exact" w:before="0" w:after="0"/>
        <w:ind w:firstLine="480"/>
        <w:jc w:val="both"/>
      </w:pPr>
      <w:r>
        <w:rPr>
          <w:rFonts w:ascii="Times New Roman" w:hAnsi="Times New Roman" w:eastAsia="方正仿宋_GBK"/>
          <w:b w:val="0"/>
          <w:sz w:val="24"/>
        </w:rPr>
        <w:t xml:space="preserve">案例独立扰动包括年最大净负荷平均增长率、线路成本系数和储能支撑持续时间。三项参数分别作用于负荷发展、联络建设费用和储能有效支撑功率，能够在保留其余案例条件的情况下明确改变。储能价格保留基准值，其专项经济分析见第5.6节。</w:t>
      </w:r>
    </w:p>
    <w:p>
      <w:pPr>
        <w:pStyle w:val="2"/>
        <w:keepNext/>
        <w:spacing w:line="280" w:lineRule="exact" w:before="120" w:after="80"/>
        <w:ind w:firstLine="0"/>
        <w:jc w:val="center"/>
      </w:pPr>
      <w:r>
        <w:rPr>
          <w:rFonts w:ascii="Times New Roman" w:hAnsi="Times New Roman" w:eastAsia="宋体"/>
          <w:b w:val="0"/>
          <w:sz w:val="21"/>
        </w:rPr>
        <w:t xml:space="preserve">表3-9 地区案例核心参数及分析方式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基准</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扰动或对照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保持条件</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各地区2021—2025年复合计算值</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基准±2个百分点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年度波动形态、初始设备及候选网络</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邳州1.65；市区6.85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基准的75%、100%、125%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线路长度、固定接入费用及技术能力</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正向4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正向2、4、6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反向支撑要求、储能价格及额定规格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同一统计范围的站峰与区域同期峰关系</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站级与地区负荷对照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不由两类工况估计全年系数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邳州局部样本约28%；市区研究参考40%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分别说明资料范围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地区案例按具体路径校核</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邳州1.63；市区0.32（估计值）</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两地区源荷背景对照</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不按装机比例直接缩放净负荷</w:t>
            </w:r>
          </w:p>
        </w:tc>
      </w:tr>
    </w:tbl>
    <w:p>
      <w:pPr>
        <w:pStyle w:val="2"/>
        <w:widowControl/>
        <w:spacing w:line="348" w:lineRule="exact" w:before="0" w:after="0"/>
        <w:ind w:firstLine="480"/>
        <w:jc w:val="both"/>
      </w:pPr>
      <w:r>
        <w:rPr>
          <w:rFonts w:ascii="Times New Roman" w:hAnsi="Times New Roman" w:eastAsia="方正仿宋_GBK"/>
          <w:b w:val="0"/>
          <w:sz w:val="24"/>
        </w:rPr>
        <w:t xml:space="preserve">负荷分散系数按同一统计期、同一范围的各站最大负荷之和与区域同时最大负荷之比定义[5]。各站峰值和区域同步峰值均取补齐后的全年序列。</w:t>
      </w:r>
    </w:p>
    <w:p>
      <w:pPr>
        <w:pStyle w:val="2"/>
        <w:widowControl/>
        <w:spacing w:line="348" w:lineRule="atLeast" w:before="0" w:after="0"/>
        <w:ind w:firstLine="480"/>
        <w:jc w:val="both"/>
      </w:pPr>
      <w:r>
        <w:rPr>
          <w:rFonts w:ascii="Times New Roman" w:hAnsi="Times New Roman" w:eastAsia="方正仿宋_GBK"/>
          <w:b w:val="0"/>
          <w:sz w:val="24"/>
        </w:rPr>
        <w:t xml:space="preserve">负荷分散系数记为</w:t>
      </w:r>
      <m:oMath>
        <m:sSub>
          <m:e>
            <m:r>
              <m:t>K</m:t>
            </m:r>
          </m:e>
          <m:sub>
            <m:r>
              <m:t>D</m:t>
            </m:r>
          </m:sub>
        </m:sSub>
      </m:oMath>
      <w:r>
        <w:rPr>
          <w:rFonts w:ascii="Times New Roman" w:hAnsi="Times New Roman" w:eastAsia="方正仿宋_GBK"/>
          <w:b w:val="0"/>
          <w:sz w:val="24"/>
        </w:rPr>
        <w:t xml:space="preserve">，按</w:t>
      </w:r>
      <m:oMath>
        <m:sSub>
          <m:e>
            <m:r>
              <m:t>K</m:t>
            </m:r>
          </m:e>
          <m:sub>
            <m:r>
              <m:t>D</m:t>
            </m:r>
          </m:sub>
        </m:sSub>
        <m:r>
          <m:t>=</m:t>
        </m:r>
        <m:nary>
          <m:naryPr>
            <m:chr m:val="∑"/>
            <m:limLoc m:val="undOvr"/>
            <m:subHide m:val="0"/>
            <m:supHide m:val="1"/>
          </m:naryPr>
          <m:sub>
            <m:r>
              <m:t>i</m:t>
            </m:r>
          </m:sub>
          <m:sup>
            <m:r>
              <m:t>​</m:t>
            </m:r>
          </m:sup>
          <m:e>
            <m:sSubSup>
              <m:e>
                <m:r>
                  <m:t>P</m:t>
                </m:r>
              </m:e>
              <m:sub>
                <m:r>
                  <m:t>i</m:t>
                </m:r>
                <m:r>
                  <m:t>,</m:t>
                </m:r>
                <m:r>
                  <m:rPr>
                    <m:nor/>
                    <m:sty m:val="p"/>
                  </m:rPr>
                  <m:t>max</m:t>
                </m:r>
              </m:sub>
              <m:sup>
                <m:r>
                  <m:t>+</m:t>
                </m:r>
              </m:sup>
            </m:sSubSup>
          </m:e>
        </m:nary>
        <m:r>
          <m:t>/</m:t>
        </m:r>
        <m:sSubSup>
          <m:e>
            <m:r>
              <m:t>P</m:t>
            </m:r>
          </m:e>
          <m:sub>
            <m:r>
              <m:rPr>
                <m:sty m:val="p"/>
              </m:rPr>
              <m:t>r</m:t>
            </m:r>
            <m:r>
              <m:rPr>
                <m:sty m:val="p"/>
              </m:rPr>
              <m:t>e</m:t>
            </m:r>
            <m:r>
              <m:rPr>
                <m:sty m:val="p"/>
              </m:rPr>
              <m:t>g</m:t>
            </m:r>
            <m:r>
              <m:rPr>
                <m:sty m:val="p"/>
              </m:rPr>
              <m:t>i</m:t>
            </m:r>
            <m:r>
              <m:rPr>
                <m:sty m:val="p"/>
              </m:rPr>
              <m:t>o</m:t>
            </m:r>
            <m:r>
              <m:rPr>
                <m:sty m:val="p"/>
              </m:rPr>
              <m:t>n</m:t>
            </m:r>
            <m:r>
              <m:t>,</m:t>
            </m:r>
            <m:r>
              <m:rPr>
                <m:nor/>
                <m:sty m:val="p"/>
              </m:rPr>
              <m:t>max</m:t>
            </m:r>
          </m:sub>
          <m:sup>
            <m:r>
              <m:t>+</m:t>
            </m:r>
          </m:sup>
        </m:sSubSup>
      </m:oMath>
      <w:r>
        <w:rPr>
          <w:rFonts w:ascii="Times New Roman" w:hAnsi="Times New Roman" w:eastAsia="方正仿宋_GBK"/>
          <w:b w:val="0"/>
          <w:sz w:val="24"/>
        </w:rPr>
        <w:t xml:space="preserve">计算；分子为各站最大正向净负荷之和，分母为同期地区汇总曲线的最大正向净负荷。</w:t>
      </w:r>
    </w:p>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样本负荷分散系数为1.06，市区为1.11。市区各站独立峰值之和相对区域同期峰值的偏离更大，表明站间峰值时刻差异在本样本中更明显。第5.6节采用负荷分散系数1.00、1.10、1.15计算节点，覆盖两地区样本值附近的比较条件。</w:t>
      </w:r>
    </w:p>
    <w:p>
      <w:pPr>
        <w:pStyle w:val="2"/>
        <w:widowControl/>
        <w:spacing w:line="348" w:lineRule="exact" w:before="0" w:after="0"/>
        <w:ind w:firstLine="480"/>
        <w:jc w:val="both"/>
      </w:pPr>
      <w:r>
        <w:rPr>
          <w:rFonts w:ascii="Times New Roman" w:hAnsi="Times New Roman" w:eastAsia="方正仿宋_GBK"/>
          <w:b w:val="0"/>
          <w:sz w:val="24"/>
        </w:rPr>
        <w:t xml:space="preserve">邳州局部馈线样本测算的可转比例约28%，市区40%为B类区域占主导条件下的研究参考。二者的来源和统计范围不同，不将其作为两地区已核定的实际初始转供率直接比较。地区敏感性保持原有具体路径、馈线热限及邻站容量条件；初始转供率的独立作用在推广模板中按明确网络预算分析。</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用于说明两地区电源发展水平。现有案例以净负荷静态工况为输入，缺少同范围用户负荷与分布式电源出力的完整分解，故不直接按装机渗透率比例缩放净负荷。推广模板分别构造用户负荷和电源出力后，再改变分布式电源装机渗透率检验双向容量需求。</w:t>
      </w:r>
    </w:p>
    <w:p>
      <w:pPr>
        <w:pStyle w:val="5"/>
        <w:keepNext/>
        <w:numPr>
          <w:numId w:val="0"/>
        </w:numPr>
        <w:spacing w:line="390" w:lineRule="exact" w:before="160" w:after="120"/>
        <w:ind w:firstLine="0"/>
      </w:pPr>
      <w:bookmarkStart w:id="119" w:name="年最大净负荷平均增长率的影响"/>
      <w:r>
        <w:rPr>
          <w:rFonts w:ascii="Times New Roman" w:hAnsi="Times New Roman" w:eastAsia="方正仿宋_GBK"/>
          <w:b/>
          <w:sz w:val="26"/>
        </w:rPr>
        <w:t xml:space="preserve">3.5.2 年最大净负荷平均增长率的影响</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以各地区2021—2025年实际负荷计算的年最大净负荷平均增长率为基准，分别增加和减少2个百分点。历史基准序列保留年度波动，扰动序列在每个年份乘以相应发展倍率，不将实际负荷替换为平滑等比曲线。第</w:t>
      </w:r>
      <m:oMath>
        <m:r>
          <m:t>y</m:t>
        </m:r>
      </m:oMath>
      <w:r>
        <w:rPr>
          <w:rFonts w:ascii="Times New Roman" w:hAnsi="Times New Roman" w:eastAsia="方正仿宋_GBK"/>
          <w:b w:val="0"/>
          <w:sz w:val="24"/>
        </w:rPr>
        <w:t xml:space="preserve">年的扰动负荷按式（3-8）构造。</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y</m:t>
                          </m:r>
                        </m:sub>
                      </m:sSub>
                    </m:e>
                    <m:e>
                      <m:r>
                        <m:t>=</m:t>
                      </m:r>
                      <m:sSub>
                        <m:e>
                          <m:r>
                            <m:t>P</m:t>
                          </m:r>
                        </m:e>
                        <m:sub>
                          <m:r>
                            <m:t>y</m:t>
                          </m:r>
                        </m:sub>
                      </m:sSub>
                      <m:sSup>
                        <m:e>
                          <m:d>
                            <m:dPr>
                              <m:begChr m:val="("/>
                              <m:endChr m:val=")"/>
                              <m:grow/>
                            </m:dPr>
                            <m:e>
                              <m:f>
                                <m:fPr>
                                  <m:type m:val="bar"/>
                                </m:fPr>
                                <m:num>
                                  <m:r>
                                    <m:t>1</m:t>
                                  </m:r>
                                  <m:r>
                                    <m:t>+</m:t>
                                  </m:r>
                                  <m:acc>
                                    <m:accPr>
                                      <m:chr m:val="‾"/>
                                    </m:accPr>
                                    <m:e>
                                      <m:r>
                                        <m:t>g</m:t>
                                      </m:r>
                                    </m:e>
                                  </m:acc>
                                  <m:r>
                                    <m:t>+</m:t>
                                  </m:r>
                                  <m:r>
                                    <m:t>Δ</m:t>
                                  </m:r>
                                  <m:r>
                                    <m:t>g</m:t>
                                  </m:r>
                                </m:num>
                                <m:den>
                                  <m:r>
                                    <m:t>1</m:t>
                                  </m:r>
                                  <m:r>
                                    <m:t>+</m:t>
                                  </m:r>
                                  <m:acc>
                                    <m:accPr>
                                      <m:chr m:val="‾"/>
                                    </m:accPr>
                                    <m:e>
                                      <m:r>
                                        <m:t>g</m:t>
                                      </m:r>
                                    </m:e>
                                  </m:acc>
                                </m:den>
                              </m:f>
                            </m:e>
                          </m:d>
                        </m:e>
                        <m:sup>
                          <m:r>
                            <m:t>y</m:t>
                          </m:r>
                          <m:r>
                            <m:t>−</m:t>
                          </m:r>
                          <m:r>
                            <m:t>2021</m:t>
                          </m:r>
                        </m:sup>
                      </m:sSup>
                      <m:r>
                        <m:t>,</m:t>
                      </m:r>
                    </m:e>
                  </m:mr>
                  <m:mr>
                    <m:e>
                      <m:r>
                        <m:t>Δ</m:t>
                      </m:r>
                      <m:r>
                        <m:t>g</m:t>
                      </m:r>
                    </m:e>
                    <m:e>
                      <m:r>
                        <m:t>∈</m:t>
                      </m:r>
                      <m:r>
                        <m:t>{</m:t>
                      </m:r>
                      <m:r>
                        <m:t>−</m:t>
                      </m:r>
                      <m:r>
                        <m:t>0.02</m:t>
                      </m:r>
                      <m:r>
                        <m:t>,</m:t>
                      </m:r>
                      <m:r>
                        <m:t>0</m:t>
                      </m:r>
                      <m:r>
                        <m:t>,</m:t>
                      </m:r>
                      <m:r>
                        <m:t>0.02</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为基准年度年网供最大负荷，</w:t>
      </w:r>
      <m:oMath>
        <m:r>
          <m:t>P</m:t>
        </m:r>
        <m:sSub>
          <m:e>
            <m:r>
              <m:t>′</m:t>
            </m:r>
          </m:e>
          <m:sub>
            <m:r>
              <m:t>y</m:t>
            </m:r>
          </m:sub>
        </m:sSub>
      </m:oMath>
      <w:r>
        <w:rPr>
          <w:rFonts w:ascii="Times New Roman" w:hAnsi="Times New Roman" w:eastAsia="方正仿宋_GBK"/>
          <w:b w:val="0"/>
          <w:sz w:val="24"/>
        </w:rPr>
        <w:t xml:space="preserve">为敏感性情景负荷，单位MW；</w:t>
      </w:r>
      <m:oMath>
        <m:acc>
          <m:accPr>
            <m:chr m:val="‾"/>
          </m:accPr>
          <m:e>
            <m:r>
              <m:t>g</m:t>
            </m:r>
          </m:e>
        </m:acc>
      </m:oMath>
      <w:r>
        <w:rPr>
          <w:rFonts w:ascii="Times New Roman" w:hAnsi="Times New Roman" w:eastAsia="方正仿宋_GBK"/>
          <w:b w:val="0"/>
          <w:sz w:val="24"/>
        </w:rPr>
        <w:t xml:space="preserve">为基准年最大净负荷平均增长率，</w:t>
      </w:r>
      <m:oMath>
        <m:r>
          <m:t>Δ</m:t>
        </m:r>
        <m:r>
          <m:t>g</m:t>
        </m:r>
      </m:oMath>
      <w:r>
        <w:rPr>
          <w:rFonts w:ascii="Times New Roman" w:hAnsi="Times New Roman" w:eastAsia="方正仿宋_GBK"/>
          <w:b w:val="0"/>
          <w:sz w:val="24"/>
        </w:rPr>
        <w:t xml:space="preserve">为扰动幅度。相同年度倍率作用于各站同步功率，保留原有工况内的站间分布与负荷守恒。基期设备、候选线路热限及初始馈线能力不随负荷增长自动增加。</w:t>
      </w:r>
    </w:p>
    <w:p>
      <w:pPr>
        <w:pStyle w:val="2"/>
        <w:keepNext/>
        <w:spacing w:line="280" w:lineRule="exact" w:before="120" w:after="80"/>
        <w:ind w:firstLine="0"/>
        <w:jc w:val="center"/>
      </w:pPr>
      <w:r>
        <w:rPr>
          <w:rFonts w:ascii="Times New Roman" w:hAnsi="Times New Roman" w:eastAsia="宋体"/>
          <w:b w:val="0"/>
          <w:sz w:val="21"/>
        </w:rPr>
        <w:t xml:space="preserve">表3-11 两地区年最大净负荷平均增长率敏感性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1795.50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22016.50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2078.50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29087.82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54243.20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1653.13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64732.35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邳州在较低、基准及较高年最大净负荷平均增长率下，目标年负荷分别为886.87、956.45、1030.04 MW，对应主变容量1795.50、1955.50、2078.50 MVA，容载比为2.02、2.04、2.02。上述变化说明容量随设备投运调整，不能由负荷增长倍率直接推定同倍率的容载比变化。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市区在较低、基准及较高年最大净负荷平均增长率下，目标年负荷分别为1411.65、1528.82、1653.13 MW，对应主变容量3311.00、3311.00、3324.00 MVA，容载比为2.35、2.17、2.01。上述变化说明容量随设备投运调整，不能由负荷增长倍率直接推定同倍率的容载比变化。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改变后，容载比分母和设备容量需求同时变化。主变按整台规格投运，容量调整呈离散变化，故容载比与负荷发展未必同向。判断容量储备是否增加，应同时比较目标年公用主变总容量、年网供最大负荷及建设费用；仅凭容载比下降，无法认定供电能力降低。</w:t>
      </w:r>
    </w:p>
    <w:p>
      <w:pPr>
        <w:pStyle w:val="5"/>
        <w:keepNext/>
        <w:numPr>
          <w:numId w:val="0"/>
        </w:numPr>
        <w:spacing w:line="390" w:lineRule="exact" w:before="160" w:after="120"/>
        <w:ind w:firstLine="0"/>
      </w:pPr>
      <w:bookmarkStart w:id="120" w:name="线路成本系数的影响"/>
      <w:r>
        <w:rPr>
          <w:rFonts w:ascii="Times New Roman" w:hAnsi="Times New Roman" w:eastAsia="方正仿宋_GBK"/>
          <w:b/>
          <w:sz w:val="26"/>
        </w:rPr>
        <w:t xml:space="preserve">3.5.3 线路成本系数的影响</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按各地区基准值的75%、100%、125%分别设置。线路长度、固定接入费用、单项目能力及候选路径保持不变，只有单位长度造价项随线路成本系数变化。邳州和市区基准线路成本系数分别为1.65、6.85，对应3 km参考工程投资124.80万元、499.20万元。</w:t>
      </w:r>
    </w:p>
    <w:p>
      <w:pPr>
        <w:pStyle w:val="2"/>
        <w:keepNext/>
        <w:spacing w:line="280" w:lineRule="exact" w:before="120" w:after="80"/>
        <w:ind w:firstLine="0"/>
        <w:jc w:val="center"/>
      </w:pPr>
      <w:r>
        <w:rPr>
          <w:rFonts w:ascii="Times New Roman" w:hAnsi="Times New Roman" w:eastAsia="宋体"/>
          <w:b w:val="0"/>
          <w:sz w:val="21"/>
        </w:rPr>
        <w:t xml:space="preserve">表3-12 两地区线路成本系数敏感性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24212.57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27102.99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48469.18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67519.11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邳州线路成本系数由基准的75%增至125%时，所取得可行方案的新增联络项目数由34项变为30项，主变容量由1921.00 MVA变为1955.50 MVA，储能额定功率由2.70 MW变为0.00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市区线路成本系数由基准的75%增至125%时，所取得可行方案的新增联络项目数由74项变为64项，主变容量由3267.00 MVA变为3324.00 MVA，储能额定功率保持0.50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提高时，同一线路组合的费用直接增加；重新优化后还可能出现主变增容、储能及联络项目之间的替换。若容载比未变，仍需观察新增联络项目数、储能额定功率及费用现值；若容载比发生变化，则应结合主变总容量识别离散设备选择。该比较保持线路技术能力不变，避免把造价变化解释成转供能力变化。</w:t>
      </w:r>
    </w:p>
    <w:p>
      <w:pPr>
        <w:pStyle w:val="5"/>
        <w:keepNext/>
        <w:numPr>
          <w:numId w:val="0"/>
        </w:numPr>
        <w:spacing w:line="390" w:lineRule="exact" w:before="160" w:after="120"/>
        <w:ind w:firstLine="0"/>
      </w:pPr>
      <w:bookmarkStart w:id="121" w:name="储能支撑持续时间的影响"/>
      <w:r>
        <w:rPr>
          <w:rFonts w:ascii="Times New Roman" w:hAnsi="Times New Roman" w:eastAsia="方正仿宋_GBK"/>
          <w:b/>
          <w:sz w:val="26"/>
        </w:rPr>
        <w:t xml:space="preserve">3.5.4 储能支撑持续时间的影响</w:t>
      </w:r>
      <w:bookmarkEnd w:id="121"/>
    </w:p>
    <w:p>
      <w:pPr>
        <w:pStyle w:val="FirstParagraph"/>
        <w:widowControl/>
        <w:spacing w:line="348" w:lineRule="exact" w:before="0" w:after="0"/>
        <w:ind w:firstLine="480"/>
        <w:jc w:val="both"/>
      </w:pPr>
      <w:r>
        <w:rPr>
          <w:rFonts w:ascii="Times New Roman" w:hAnsi="Times New Roman" w:eastAsia="方正仿宋_GBK"/>
          <w:b w:val="0"/>
          <w:sz w:val="24"/>
        </w:rPr>
        <w:t xml:space="preserve">正向储能支撑持续时间分别取2、4、6 h。各站反向支撑要求、储能单柜额定功率与额定能量、可用电量系数及采购价格保持不变。单柜额定功率0.10 MW、额定能量215 kWh，可用电量系数0.76；三种正向持续时间下，单柜有效支撑功率分别为0.08170、0.04085、约0.02723 MW。</w:t>
      </w:r>
    </w:p>
    <w:p>
      <w:pPr>
        <w:pStyle w:val="2"/>
        <w:keepNext/>
        <w:spacing w:line="280" w:lineRule="exact" w:before="120" w:after="80"/>
        <w:ind w:firstLine="0"/>
        <w:jc w:val="center"/>
      </w:pPr>
      <w:r>
        <w:rPr>
          <w:rFonts w:ascii="Times New Roman" w:hAnsi="Times New Roman" w:eastAsia="宋体"/>
          <w:b w:val="0"/>
          <w:sz w:val="21"/>
        </w:rPr>
        <w:t xml:space="preserve">表3-13 两地区储能支撑持续时间敏感性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57835.89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58767.94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邳州三个持续时间方案均未配置储能，主变容量为1955.50 MVA、容载比为2.04，持续时间变化未改变容量配置。</w:t>
      </w:r>
    </w:p>
    <w:p>
      <w:pPr>
        <w:pStyle w:val="2"/>
        <w:widowControl/>
        <w:spacing w:line="348" w:lineRule="exact" w:before="0" w:after="0"/>
        <w:ind w:firstLine="480"/>
        <w:jc w:val="both"/>
      </w:pPr>
      <w:r>
        <w:rPr>
          <w:rFonts w:ascii="Times New Roman" w:hAnsi="Times New Roman" w:eastAsia="方正仿宋_GBK"/>
          <w:b w:val="0"/>
          <w:sz w:val="24"/>
        </w:rPr>
        <w:t xml:space="preserve">市区在2、4、6 h正向支撑要求下，目标年主变容量分别为3324.00、3311.00、3324.00 MVA，储能额定功率分别为5.30、1.60、2.20 MW，容载比为2.17、2.17、2.17。储能有效支撑功率随持续时间折算，额定功率变化需要连同主变与联络配置判断。</w:t>
      </w:r>
    </w:p>
    <w:p>
      <w:pPr>
        <w:pStyle w:val="2"/>
        <w:widowControl/>
        <w:spacing w:line="348" w:lineRule="exact" w:before="0" w:after="0"/>
        <w:ind w:firstLine="480"/>
        <w:jc w:val="both"/>
      </w:pPr>
      <w:r>
        <w:rPr>
          <w:rFonts w:ascii="Times New Roman" w:hAnsi="Times New Roman" w:eastAsia="方正仿宋_GBK"/>
          <w:b w:val="0"/>
          <w:sz w:val="24"/>
        </w:rPr>
        <w:t xml:space="preserve">邳州区域95%峰值持续时间为2 h，市区为6 h。持续时间分析因此分别覆盖短时与较长近峰条件，并以4 h作为共同技术经济基准。近峰持续时间描述区域负荷曲线，工程所需储能能量还取决于主变N-1后的缺口幅值、持续过程及故障恢复时间，不能只按地区峰值持续时间确定储能规模。</w:t>
      </w:r>
    </w:p>
    <w:p>
      <w:pPr>
        <w:pStyle w:val="5"/>
        <w:keepNext/>
        <w:numPr>
          <w:numId w:val="0"/>
        </w:numPr>
        <w:spacing w:line="390" w:lineRule="exact" w:before="160" w:after="120"/>
        <w:ind w:firstLine="0"/>
      </w:pPr>
      <w:bookmarkStart w:id="122" w:name="三项参数的响应比较"/>
      <w:r>
        <w:rPr>
          <w:rFonts w:ascii="Times New Roman" w:hAnsi="Times New Roman" w:eastAsia="方正仿宋_GBK"/>
          <w:b/>
          <w:sz w:val="26"/>
        </w:rPr>
        <w:t xml:space="preserve">3.5.5 三项参数的响应比较</w:t>
      </w:r>
      <w:bookmarkEnd w:id="122"/>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5125459"/>
            <wp:effectExtent b="0" l="0" r="0" t="0"/>
            <wp:docPr descr="" title="" id="1" name="Picture"/>
            <a:graphic>
              <a:graphicData uri="http://schemas.openxmlformats.org/drawingml/2006/picture">
                <pic:pic>
                  <pic:nvPicPr>
                    <pic:cNvPr descr="研究报告/02图表/当前版/case_sensitivity.png" id="0" name="Picture"/>
                    <pic:cNvPicPr>
                      <a:picLocks noChangeArrowheads="1" noChangeAspect="1"/>
                    </pic:cNvPicPr>
                  </pic:nvPicPr>
                  <pic:blipFill>
                    <a:blip r:embed="rId123"/>
                    <a:stretch>
                      <a:fillRect/>
                    </a:stretch>
                  </pic:blipFill>
                  <pic:spPr bwMode="auto">
                    <a:xfrm>
                      <a:off x="0" y="0"/>
                      <a:ext cx="5120640" cy="512545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两地区核心参数扰动下的容载比与费用响应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的扰动同时作用于各年功率规模及容载比分母；线路成本系数直接改变联络投资，设备组合可随经济条件调整；储能支撑持续时间改变单位储能可提供的持续功率。三项参数通过不同机制作用于容载比，不能将费用变化或储能规模变化直接当作容载比的同义指标。</w:t>
      </w:r>
    </w:p>
    <w:p>
      <w:pPr>
        <w:pStyle w:val="2"/>
        <w:widowControl/>
        <w:spacing w:line="348" w:lineRule="exact" w:before="0" w:after="0"/>
        <w:ind w:firstLine="480"/>
        <w:jc w:val="both"/>
      </w:pPr>
      <w:r>
        <w:rPr>
          <w:rFonts w:ascii="Times New Roman" w:hAnsi="Times New Roman" w:eastAsia="方正仿宋_GBK"/>
          <w:b w:val="0"/>
          <w:sz w:val="24"/>
        </w:rPr>
        <w:t xml:space="preserve">市区敏感性分析以零扰动方案为基准，其主变容量为3311.00 MVA、容载比为2.17、费用为58332.34万元。第五章规划方案采用3324.00 MVA，费用为58346.09万元。两种配置的费用接近。</w:t>
      </w:r>
    </w:p>
    <w:p>
      <w:pPr>
        <w:pStyle w:val="2"/>
        <w:widowControl/>
        <w:spacing w:line="348" w:lineRule="exact" w:before="0" w:after="0"/>
        <w:ind w:firstLine="480"/>
        <w:jc w:val="both"/>
      </w:pPr>
      <w:r>
        <w:rPr>
          <w:rFonts w:ascii="Times New Roman" w:hAnsi="Times New Roman" w:eastAsia="方正仿宋_GBK"/>
          <w:b w:val="0"/>
          <w:sz w:val="24"/>
        </w:rPr>
        <w:t xml:space="preserve">图中比较各情景方案的容载比与评价期费用现值。</w:t>
      </w:r>
    </w:p>
    <w:p>
      <w:pPr>
        <w:pStyle w:val="2"/>
        <w:widowControl/>
        <w:spacing w:line="348" w:lineRule="exact" w:before="0" w:after="0"/>
        <w:ind w:firstLine="480"/>
        <w:jc w:val="both"/>
      </w:pPr>
      <w:r>
        <w:rPr>
          <w:rFonts w:ascii="Times New Roman" w:hAnsi="Times New Roman" w:eastAsia="方正仿宋_GBK"/>
          <w:b w:val="0"/>
          <w:sz w:val="24"/>
        </w:rPr>
        <w:t xml:space="preserve">案例敏感性用于识别现有设备和网络条件下的响应，推广分析用于比较不同参数组合。两者共用指标定义与工程费用方法，保留各自的负荷、设备和网络基础。由案例发现的局部响应，可在推广矩阵中进一步检查适用条件；模板中的总体相关系数不替代地区案例的独立扰动结果。</w:t>
      </w:r>
    </w:p>
    <w:p>
      <w:pPr>
        <w:pStyle w:val="4"/>
        <w:keepNext/>
        <w:numPr>
          <w:numId w:val="0"/>
        </w:numPr>
        <w:spacing w:line="480" w:lineRule="exact" w:before="160" w:after="120"/>
        <w:ind w:firstLine="0"/>
      </w:pPr>
      <w:bookmarkStart w:id="1354" w:name="h354"/>
      <w:bookmarkStart w:id="124" w:name="kv负荷转接资料与仿真条件"/>
      <w:r>
        <w:rPr>
          <w:rFonts w:ascii="Times New Roman" w:hAnsi="Times New Roman" w:eastAsia="方正仿宋_GBK"/>
          <w:b/>
          <w:sz w:val="32"/>
        </w:rPr>
        <w:t xml:space="preserve">3.6 10 kV负荷转接资料与仿真条件</w:t>
      </w:r>
      <w:bookmarkEnd w:id="124"/>
      <w:bookmarkEnd w:id="1354"/>
    </w:p>
    <w:p>
      <w:pPr>
        <w:pStyle w:val="5"/>
        <w:keepNext/>
        <w:numPr>
          <w:numId w:val="0"/>
        </w:numPr>
        <w:spacing w:line="390" w:lineRule="exact" w:before="160" w:after="120"/>
        <w:ind w:firstLine="0"/>
      </w:pPr>
      <w:bookmarkStart w:id="125" w:name="现有馈线资料"/>
      <w:r>
        <w:rPr>
          <w:rFonts w:ascii="Times New Roman" w:hAnsi="Times New Roman" w:eastAsia="方正仿宋_GBK"/>
          <w:b/>
          <w:sz w:val="26"/>
        </w:rPr>
        <w:t xml:space="preserve">3.6.1 现有馈线资料</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邳州局部六馈线样本的源端负荷为35.29 MW，可转移上界为9.98 MW，比值约28%。该值反映局部资料，不直接代表全县实际转供率。当前网络模型以已知联络和候选区段建立具体路径，新增单项目有效能力采用7.49 MW，并校核共享馈线及接收站余量。</w:t>
      </w:r>
    </w:p>
    <w:p>
      <w:pPr>
        <w:pStyle w:val="5"/>
        <w:keepNext/>
        <w:numPr>
          <w:numId w:val="0"/>
        </w:numPr>
        <w:spacing w:line="390" w:lineRule="exact" w:before="160" w:after="120"/>
        <w:ind w:firstLine="0"/>
      </w:pPr>
      <w:bookmarkStart w:id="126" w:name="供电分区与初始转供率"/>
      <w:r>
        <w:rPr>
          <w:rFonts w:ascii="Times New Roman" w:hAnsi="Times New Roman" w:eastAsia="方正仿宋_GBK"/>
          <w:b/>
          <w:sz w:val="26"/>
        </w:rPr>
        <w:t xml:space="preserve">3.6.2 供电分区与初始转供率</w:t>
      </w:r>
      <w:bookmarkEnd w:id="1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第7.1.2条提出，A+、A类供电区域通过中压配电网转移负荷的比例宜为50%～70%，B、C类宜为30%～50%[5]。按市区A类较少、B类较多的研究背景，采用B类区间中值40%作为参数研究基准，比较30%～50%的变化。该取值是研究假设，现有资料尚不足以计算市区A/B分区的负荷加权实际转供率。</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已核验的具体网络，既有边按已知资料设置，缺少存量证明的候选按新增建设计费。推广模板以初始转供率设置基期转供预算，预算以MW固定；目标年负荷增加时，不自动同比扩大既有网络能力。实际可转负荷还受源端分段、馈线热限、联络路径和邻站主变容量限制。</w:t>
      </w:r>
    </w:p>
    <w:p>
      <w:pPr>
        <w:pStyle w:val="5"/>
        <w:keepNext/>
        <w:numPr>
          <w:numId w:val="0"/>
        </w:numPr>
        <w:spacing w:line="390" w:lineRule="exact" w:before="160" w:after="120"/>
        <w:ind w:firstLine="0"/>
      </w:pPr>
      <w:bookmarkStart w:id="127" w:name="电源归属及反向功率"/>
      <w:r>
        <w:rPr>
          <w:rFonts w:ascii="Times New Roman" w:hAnsi="Times New Roman" w:eastAsia="方正仿宋_GBK"/>
          <w:b/>
          <w:sz w:val="26"/>
        </w:rPr>
        <w:t xml:space="preserve">3.6.3 电源归属及反向功率</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不能超过本站原始可转负荷，不把从其他站接收的负荷再次作为新增源端能力。转供后净负荷同时校核正向供电和反向容量，区域内部转入、转出合计相等。</w:t>
      </w:r>
    </w:p>
    <w:p>
      <w:pPr>
        <w:pStyle w:val="4"/>
        <w:keepNext/>
        <w:numPr>
          <w:numId w:val="0"/>
        </w:numPr>
        <w:spacing w:line="480" w:lineRule="exact" w:before="160" w:after="120"/>
        <w:ind w:firstLine="0"/>
      </w:pPr>
      <w:bookmarkStart w:id="1362" w:name="h362"/>
      <w:bookmarkStart w:id="128" w:name="站级负载率与配置需求"/>
      <w:r>
        <w:rPr>
          <w:rFonts w:ascii="Times New Roman" w:hAnsi="Times New Roman" w:eastAsia="方正仿宋_GBK"/>
          <w:b/>
          <w:sz w:val="32"/>
        </w:rPr>
        <w:t xml:space="preserve">3.7 站级负载率与配置需求</w:t>
      </w:r>
      <w:bookmarkEnd w:id="128"/>
      <w:bookmarkEnd w:id="1362"/>
    </w:p>
    <w:p>
      <w:pPr>
        <w:pStyle w:val="5"/>
        <w:keepNext/>
        <w:numPr>
          <w:numId w:val="0"/>
        </w:numPr>
        <w:spacing w:line="390" w:lineRule="exact" w:before="160" w:after="120"/>
        <w:ind w:firstLine="0"/>
      </w:pPr>
      <w:bookmarkStart w:id="129" w:name="邳州站级相对负载"/>
      <w:r>
        <w:rPr>
          <w:rFonts w:ascii="Times New Roman" w:hAnsi="Times New Roman" w:eastAsia="方正仿宋_GBK"/>
          <w:b/>
          <w:sz w:val="26"/>
        </w:rPr>
        <w:t xml:space="preserve">3.7.1 邳州站级相对负载</w:t>
      </w:r>
      <w:bookmarkEnd w:id="129"/>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286422"/>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0"/>
                    <a:stretch>
                      <a:fillRect/>
                    </a:stretch>
                  </pic:blipFill>
                  <pic:spPr bwMode="auto">
                    <a:xfrm>
                      <a:off x="0" y="0"/>
                      <a:ext cx="5120640" cy="32864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邳州站级负载率</w:t>
      </w:r>
    </w:p>
    <w:p>
      <w:pPr>
        <w:pStyle w:val="5"/>
        <w:keepNext/>
        <w:numPr>
          <w:numId w:val="0"/>
        </w:numPr>
        <w:spacing w:line="390" w:lineRule="exact" w:before="160" w:after="120"/>
        <w:ind w:firstLine="0"/>
      </w:pPr>
      <w:bookmarkStart w:id="131" w:name="市区站级相对负载"/>
      <w:r>
        <w:rPr>
          <w:rFonts w:ascii="Times New Roman" w:hAnsi="Times New Roman" w:eastAsia="方正仿宋_GBK"/>
          <w:b/>
          <w:sz w:val="26"/>
        </w:rPr>
        <w:t xml:space="preserve">3.7.2 市区站级相对负载</w:t>
      </w:r>
      <w:bookmarkEnd w:id="131"/>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29273"/>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2"/>
                    <a:stretch>
                      <a:fillRect/>
                    </a:stretch>
                  </pic:blipFill>
                  <pic:spPr bwMode="auto">
                    <a:xfrm>
                      <a:off x="0" y="0"/>
                      <a:ext cx="5120640" cy="392927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3" w:name="负载率与规划措施的联系"/>
      <w:r>
        <w:rPr>
          <w:rFonts w:ascii="Times New Roman" w:hAnsi="Times New Roman" w:eastAsia="方正仿宋_GBK"/>
          <w:b/>
          <w:sz w:val="26"/>
        </w:rPr>
        <w:t xml:space="preserve">3.7.3 负载率与规划措施的联系</w:t>
      </w:r>
      <w:bookmarkEnd w:id="133"/>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4" w:name="较高负载率站的方向与配置条件"/>
      <w:r>
        <w:rPr>
          <w:rFonts w:ascii="Times New Roman" w:hAnsi="Times New Roman" w:eastAsia="方正仿宋_GBK"/>
          <w:b/>
          <w:sz w:val="26"/>
        </w:rPr>
        <w:t xml:space="preserve">3.7.4 较高负载率站的方向与配置条件</w:t>
      </w:r>
      <w:bookmarkEnd w:id="134"/>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89.75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96.47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103.71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按初始主变容量折算后，较大净负荷站与较高负载率站不必相同。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5" w:name="站级功率的主导方向"/>
      <w:r>
        <w:rPr>
          <w:rFonts w:ascii="Times New Roman" w:hAnsi="Times New Roman" w:eastAsia="方正仿宋_GBK"/>
          <w:b/>
          <w:sz w:val="26"/>
        </w:rPr>
        <w:t xml:space="preserve">3.7.5 站级功率的主导方向</w:t>
      </w:r>
      <w:bookmarkEnd w:id="135"/>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该方向统计未覆盖全年所有局部峰值，建设结论仍以第五章逐工况网络校核为依据。</w:t>
      </w:r>
    </w:p>
    <w:p>
      <w:pPr>
        <w:pStyle w:val="4"/>
        <w:keepNext/>
        <w:numPr>
          <w:numId w:val="0"/>
        </w:numPr>
        <w:spacing w:line="480" w:lineRule="exact" w:before="160" w:after="120"/>
        <w:ind w:firstLine="0"/>
      </w:pPr>
      <w:bookmarkStart w:id="1379" w:name="h379"/>
      <w:bookmarkStart w:id="136" w:name="运行特征的综合分析"/>
      <w:r>
        <w:rPr>
          <w:rFonts w:ascii="Times New Roman" w:hAnsi="Times New Roman" w:eastAsia="方正仿宋_GBK"/>
          <w:b/>
          <w:sz w:val="32"/>
        </w:rPr>
        <w:t xml:space="preserve">3.8 运行特征的综合分析</w:t>
      </w:r>
      <w:bookmarkEnd w:id="136"/>
      <w:bookmarkEnd w:id="1379"/>
    </w:p>
    <w:p>
      <w:pPr>
        <w:pStyle w:val="5"/>
        <w:keepNext/>
        <w:numPr>
          <w:numId w:val="0"/>
        </w:numPr>
        <w:spacing w:line="390" w:lineRule="exact" w:before="160" w:after="120"/>
        <w:ind w:firstLine="0"/>
      </w:pPr>
      <w:bookmarkStart w:id="137" w:name="容量建设与负荷变化的不同作用"/>
      <w:r>
        <w:rPr>
          <w:rFonts w:ascii="Times New Roman" w:hAnsi="Times New Roman" w:eastAsia="方正仿宋_GBK"/>
          <w:b/>
          <w:sz w:val="26"/>
        </w:rPr>
        <w:t xml:space="preserve">3.8.1 容量建设与负荷变化的不同作用</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可按容量和负荷两部分分解。先保持上年负荷并观察容量变化，再考虑分母变化，可以解释容载比增减的来源。下表采用与第五章相同的代数分解关系，将新增容量除以本年负荷作为容量变化贡献，将上年容量乘以两年负荷倒数之差作为负荷变化贡献，两项之和等于相邻年度容载比差值。</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由此，年度容载比偏高需要结合投产进度和当年负荷判断，不能直接等同于设备新增过多；容载比下降也需要联系存量调整和负荷兑现情况分析。</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避免用单一年份的高低值替代对完整发展过程的判断。第五章采用逐年方案，正是为了将这些变化落实到建设规模和投运时点。</w:t>
      </w:r>
    </w:p>
    <w:p>
      <w:pPr>
        <w:pStyle w:val="5"/>
        <w:keepNext/>
        <w:numPr>
          <w:numId w:val="0"/>
        </w:numPr>
        <w:spacing w:line="390" w:lineRule="exact" w:before="160" w:after="120"/>
        <w:ind w:firstLine="0"/>
      </w:pPr>
      <w:bookmarkStart w:id="138" w:name="光伏发电与用电高峰的季节关系"/>
      <w:r>
        <w:rPr>
          <w:rFonts w:ascii="Times New Roman" w:hAnsi="Times New Roman" w:eastAsia="方正仿宋_GBK"/>
          <w:b/>
          <w:sz w:val="26"/>
        </w:rPr>
        <w:t xml:space="preserve">3.8.2 光伏发电与用电高峰的季节关系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MWh。分布式电源电量渗透率下降并不表示当月光伏发电量减少。</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直接对月度分布式电源电量渗透率作算术平均，会给用电量不同的月份相同权重，所得结果与季度电量之比不一定相同。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从储能配置看，较高分布式电源电量渗透率能够说明本地电源对年度用电的贡献，却不能直接确定储能额定功率和能量。储能定容还要识别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9" w:name="区域容量储备与重载设备并存"/>
      <w:r>
        <w:rPr>
          <w:rFonts w:ascii="Times New Roman" w:hAnsi="Times New Roman" w:eastAsia="方正仿宋_GBK"/>
          <w:b/>
          <w:sz w:val="26"/>
        </w:rPr>
        <w:t xml:space="preserve">3.8.3 区域容量储备与重载设备并存</w:t>
      </w:r>
      <w:bookmarkEnd w:id="139"/>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分子是公用主变总容量，不能反映容量具体分布在哪一座站。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该指标不能替代站级负载率，也不能单独说明负荷在地理空间上是否集中。本报告将负荷分散系数纳入专项敏感性分析，并结合站级负荷分配讨论容量配置。</w:t>
      </w:r>
    </w:p>
    <w:p>
      <w:pPr>
        <w:pStyle w:val="5"/>
        <w:keepNext/>
        <w:numPr>
          <w:numId w:val="0"/>
        </w:numPr>
        <w:spacing w:line="390" w:lineRule="exact" w:before="160" w:after="120"/>
        <w:ind w:firstLine="0"/>
      </w:pPr>
      <w:bookmarkStart w:id="140" w:name="两地区的容量规划重点"/>
      <w:r>
        <w:rPr>
          <w:rFonts w:ascii="Times New Roman" w:hAnsi="Times New Roman" w:eastAsia="方正仿宋_GBK"/>
          <w:b/>
          <w:sz w:val="26"/>
        </w:rPr>
        <w:t xml:space="preserve">3.8.4 两地区的容量规划重点</w:t>
      </w:r>
      <w:bookmarkEnd w:id="140"/>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MW。光伏规模和供电负荷同时发展，意味着规划不能只按照单向用电增长推算主变需求。日间反送较大的站点应结合本地负荷和电源位置安排容量，晚间正向高峰及主变N-1条件则继续决定供电储备。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不能脱离设备组合单独确定。</w:t>
      </w:r>
    </w:p>
    <w:p>
      <w:pPr>
        <w:pStyle w:val="3"/>
        <w:keepNext/>
        <w:pageBreakBefore/>
        <w:numPr>
          <w:numId w:val="0"/>
        </w:numPr>
        <w:spacing w:line="540" w:lineRule="exact" w:before="0" w:after="120"/>
        <w:ind w:firstLine="0"/>
      </w:pPr>
      <w:bookmarkStart w:id="1401" w:name="h401"/>
      <w:bookmarkStart w:id="141" w:name="第四章-基于实际工程的建设成本模型"/>
      <w:r>
        <w:rPr>
          <w:rFonts w:ascii="Times New Roman" w:hAnsi="Times New Roman" w:eastAsia="方正仿宋_GBK"/>
          <w:b/>
          <w:sz w:val="36"/>
        </w:rPr>
        <w:t xml:space="preserve">第四章 基于实际工程的建设成本模型</w:t>
      </w:r>
      <w:bookmarkEnd w:id="141"/>
      <w:bookmarkEnd w:id="1401"/>
    </w:p>
    <w:p>
      <w:pPr>
        <w:pStyle w:val="4"/>
        <w:keepNext/>
        <w:numPr>
          <w:numId w:val="0"/>
        </w:numPr>
        <w:spacing w:line="480" w:lineRule="exact" w:before="160" w:after="120"/>
        <w:ind w:firstLine="0"/>
      </w:pPr>
      <w:bookmarkStart w:id="1402" w:name="h402"/>
      <w:bookmarkStart w:id="142" w:name="成本模型的范围与建立原则"/>
      <w:r>
        <w:rPr>
          <w:rFonts w:ascii="Times New Roman" w:hAnsi="Times New Roman" w:eastAsia="方正仿宋_GBK"/>
          <w:b/>
          <w:sz w:val="32"/>
        </w:rPr>
        <w:t xml:space="preserve">4.1 成本模型的范围与建立原则</w:t>
      </w:r>
      <w:bookmarkEnd w:id="142"/>
      <w:bookmarkEnd w:id="1402"/>
    </w:p>
    <w:p>
      <w:pPr>
        <w:pStyle w:val="5"/>
        <w:keepNext/>
        <w:numPr>
          <w:numId w:val="0"/>
        </w:numPr>
        <w:spacing w:line="390" w:lineRule="exact" w:before="160" w:after="120"/>
        <w:ind w:firstLine="0"/>
      </w:pPr>
      <w:bookmarkStart w:id="143" w:name="建设改造措施与投资估算依据"/>
      <w:r>
        <w:rPr>
          <w:rFonts w:ascii="Times New Roman" w:hAnsi="Times New Roman" w:eastAsia="方正仿宋_GBK"/>
          <w:b/>
          <w:sz w:val="26"/>
        </w:rPr>
        <w:t xml:space="preserve">4.1.1 建设改造措施与投资估算依据</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本研究比较新增主变、储能与10 kV联络措施的增量费用。根据分年度建设改造规模，按对应工程造价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线路成本系数、储能及主变价格倍数分别用于敏感性分析，工程范围差异在应用时另行核定[85][87][86]。</w:t>
      </w:r>
    </w:p>
    <w:p>
      <w:pPr>
        <w:pStyle w:val="5"/>
        <w:keepNext/>
        <w:numPr>
          <w:numId w:val="0"/>
        </w:numPr>
        <w:spacing w:line="390" w:lineRule="exact" w:before="160" w:after="120"/>
        <w:ind w:firstLine="0"/>
      </w:pPr>
      <w:bookmarkStart w:id="144" w:name="投资运维与更新"/>
      <w:r>
        <w:rPr>
          <w:rFonts w:ascii="Times New Roman" w:hAnsi="Times New Roman" w:eastAsia="方正仿宋_GBK"/>
          <w:b/>
          <w:sz w:val="26"/>
        </w:rPr>
        <w:t xml:space="preserve">4.1.2 投资、运维与更新</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5" w:name="增量比较的适用范围"/>
      <w:r>
        <w:rPr>
          <w:rFonts w:ascii="Times New Roman" w:hAnsi="Times New Roman" w:eastAsia="方正仿宋_GBK"/>
          <w:b/>
          <w:sz w:val="26"/>
        </w:rPr>
        <w:t xml:space="preserve">4.1.3 增量比较的适用范围</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14" w:name="h414"/>
      <w:bookmarkStart w:id="146" w:name="主变工程成本系数"/>
      <w:r>
        <w:rPr>
          <w:rFonts w:ascii="Times New Roman" w:hAnsi="Times New Roman" w:eastAsia="方正仿宋_GBK"/>
          <w:b/>
          <w:sz w:val="32"/>
        </w:rPr>
        <w:t xml:space="preserve">4.2 主变工程成本系数</w:t>
      </w:r>
      <w:bookmarkEnd w:id="146"/>
      <w:bookmarkEnd w:id="1414"/>
    </w:p>
    <w:p>
      <w:pPr>
        <w:pStyle w:val="5"/>
        <w:keepNext/>
        <w:numPr>
          <w:numId w:val="0"/>
        </w:numPr>
        <w:spacing w:line="390" w:lineRule="exact" w:before="160" w:after="120"/>
        <w:ind w:firstLine="0"/>
      </w:pPr>
      <w:bookmarkStart w:id="147" w:name="替换工程案例"/>
      <w:r>
        <w:rPr>
          <w:rFonts w:ascii="Times New Roman" w:hAnsi="Times New Roman" w:eastAsia="方正仿宋_GBK"/>
          <w:b/>
          <w:sz w:val="26"/>
        </w:rPr>
        <w:t xml:space="preserve">4.2.1 替换工程案例</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8" w:name="采购容量加权系数"/>
      <w:r>
        <w:rPr>
          <w:rFonts w:ascii="Times New Roman" w:hAnsi="Times New Roman" w:eastAsia="方正仿宋_GBK"/>
          <w:b/>
          <w:sz w:val="26"/>
        </w:rPr>
        <w:t xml:space="preserve">4.2.2 采购容量加权系数</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9" w:name="净增容量与工程费用"/>
      <w:r>
        <w:rPr>
          <w:rFonts w:ascii="Times New Roman" w:hAnsi="Times New Roman" w:eastAsia="方正仿宋_GBK"/>
          <w:b/>
          <w:sz w:val="26"/>
        </w:rPr>
        <w:t xml:space="preserve">4.2.3 净增容量与工程费用</w:t>
      </w:r>
      <w:bookmarkEnd w:id="149"/>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0" w:name="主变扩建"/>
      <w:r>
        <w:rPr>
          <w:rFonts w:ascii="Times New Roman" w:hAnsi="Times New Roman" w:eastAsia="方正仿宋_GBK"/>
          <w:b/>
          <w:sz w:val="26"/>
        </w:rPr>
        <w:t xml:space="preserve">4.2.4 主变扩建</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33" w:name="h433"/>
      <w:bookmarkStart w:id="151" w:name="kv联络工程费用"/>
      <w:r>
        <w:rPr>
          <w:rFonts w:ascii="Times New Roman" w:hAnsi="Times New Roman" w:eastAsia="方正仿宋_GBK"/>
          <w:b/>
          <w:sz w:val="32"/>
        </w:rPr>
        <w:t xml:space="preserve">4.3 10 kV联络工程费用</w:t>
      </w:r>
      <w:bookmarkEnd w:id="151"/>
      <w:bookmarkEnd w:id="1433"/>
    </w:p>
    <w:p>
      <w:pPr>
        <w:pStyle w:val="5"/>
        <w:keepNext/>
        <w:numPr>
          <w:numId w:val="0"/>
        </w:numPr>
        <w:spacing w:line="390" w:lineRule="exact" w:before="160" w:after="120"/>
        <w:ind w:firstLine="0"/>
      </w:pPr>
      <w:bookmarkStart w:id="152" w:name="参考工程及单位造价"/>
      <w:r>
        <w:rPr>
          <w:rFonts w:ascii="Times New Roman" w:hAnsi="Times New Roman" w:eastAsia="方正仿宋_GBK"/>
          <w:b/>
          <w:sz w:val="26"/>
        </w:rPr>
        <w:t xml:space="preserve">4.3.1 参考工程及单位造价</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kV线路迁改工程公开建设内容亦包括相应电缆及通道工程[88]。</w:t>
      </w:r>
    </w:p>
    <w:p>
      <w:pPr>
        <w:pStyle w:val="5"/>
        <w:keepNext/>
        <w:numPr>
          <w:numId w:val="0"/>
        </w:numPr>
        <w:spacing w:line="390" w:lineRule="exact" w:before="160" w:after="120"/>
        <w:ind w:firstLine="0"/>
      </w:pPr>
      <w:bookmarkStart w:id="153" w:name="线路成本系数"/>
      <w:r>
        <w:rPr>
          <w:rFonts w:ascii="Times New Roman" w:hAnsi="Times New Roman" w:eastAsia="方正仿宋_GBK"/>
          <w:b/>
          <w:sz w:val="26"/>
        </w:rPr>
        <w:t xml:space="preserve">4.3.2 线路成本系数</w:t>
      </w:r>
      <w:bookmarkEnd w:id="153"/>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t>k</m:t>
            </m:r>
          </m:e>
          <m:sub>
            <m:r>
              <m:t>L</m:t>
            </m:r>
          </m:sub>
        </m:sSub>
      </m:oMath>
      <w:r>
        <w:rPr>
          <w:rFonts w:ascii="Times New Roman" w:hAnsi="Times New Roman" w:eastAsia="方正仿宋_GBK"/>
          <w:b w:val="0"/>
          <w:sz w:val="24"/>
        </w:rPr>
        <w:t xml:space="preserve">。若电缆长度占比为</w:t>
      </w:r>
      <m:oMath>
        <m:r>
          <m:t>α</m:t>
        </m:r>
      </m:oMath>
      <w:r>
        <w:rPr>
          <w:rFonts w:ascii="Times New Roman" w:hAnsi="Times New Roman" w:eastAsia="方正仿宋_GBK"/>
          <w:b w:val="0"/>
          <w:sz w:val="24"/>
        </w:rPr>
        <w:t xml:space="preserve">，电缆综合参考价为180万元/km，则单位长度综合费用为</w:t>
      </w:r>
      <m:oMath>
        <m:r>
          <m:t>24</m:t>
        </m:r>
        <m:r>
          <m:t>(</m:t>
        </m:r>
        <m:r>
          <m:t>1</m:t>
        </m:r>
        <m:r>
          <m:t>−</m:t>
        </m:r>
        <m:r>
          <m:t>α</m:t>
        </m:r>
        <m:r>
          <m:t>)</m:t>
        </m:r>
        <m:r>
          <m:t>+</m:t>
        </m:r>
        <m:r>
          <m:t>180</m:t>
        </m:r>
        <m:r>
          <m:t>α</m:t>
        </m:r>
      </m:oMath>
      <w:r>
        <w:rPr>
          <w:rFonts w:ascii="Times New Roman" w:hAnsi="Times New Roman" w:eastAsia="方正仿宋_GBK"/>
          <w:b w:val="0"/>
          <w:sz w:val="24"/>
        </w:rPr>
        <w:t xml:space="preserve">，对应</w:t>
      </w:r>
      <m:oMath>
        <m:sSub>
          <m:e>
            <m:r>
              <m:t>k</m:t>
            </m:r>
          </m:e>
          <m:sub>
            <m:r>
              <m:t>L</m:t>
            </m:r>
          </m:sub>
        </m:sSub>
        <m:r>
          <m:t>=</m:t>
        </m:r>
        <m:r>
          <m:t>1</m:t>
        </m:r>
        <m:r>
          <m:t>+</m:t>
        </m:r>
        <m:r>
          <m:t>6.5</m:t>
        </m:r>
        <m:r>
          <m:t>α</m:t>
        </m:r>
      </m:oMath>
      <w:r>
        <w:rPr>
          <w:rFonts w:ascii="Times New Roman" w:hAnsi="Times New Roman" w:eastAsia="方正仿宋_GBK"/>
          <w:b w:val="0"/>
          <w:sz w:val="24"/>
        </w:rPr>
        <w:t xml:space="preserve">。系数也可按实际工程单位长度造价与基价之比确定。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L</m:t>
                    </m:r>
                  </m:sub>
                </m:sSub>
                <m:r>
                  <m:t>=</m:t>
                </m:r>
                <m:r>
                  <m:t>24</m:t>
                </m:r>
                <m:r>
                  <m:t>L</m:t>
                </m:r>
                <m:sSub>
                  <m:e>
                    <m:r>
                      <m:t>k</m:t>
                    </m:r>
                  </m:e>
                  <m:sub>
                    <m:r>
                      <m:t>L</m:t>
                    </m:r>
                  </m:sub>
                </m:sSub>
                <m:r>
                  <m:t>+</m:t>
                </m:r>
                <m:r>
                  <m:t>6</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为单项目建设投资，单位万元；</w:t>
      </w:r>
      <m:oMath>
        <m:r>
          <m:t>L</m:t>
        </m:r>
      </m:oMath>
      <w:r>
        <w:rPr>
          <w:rFonts w:ascii="Times New Roman" w:hAnsi="Times New Roman" w:eastAsia="方正仿宋_GBK"/>
          <w:b w:val="0"/>
          <w:sz w:val="24"/>
        </w:rPr>
        <w:t xml:space="preserve">为线路长度，基准取3 km；</w:t>
      </w:r>
      <m:oMath>
        <m:sSub>
          <m:e>
            <m:r>
              <m:t>k</m:t>
            </m:r>
          </m:e>
          <m:sub>
            <m: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t>k</m:t>
            </m:r>
          </m:e>
          <m:sub>
            <m: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邳州原案例项目投资124.80万元，对应</w:t>
      </w:r>
      <m:oMath>
        <m:sSub>
          <m:e>
            <m:r>
              <m:t>k</m:t>
            </m:r>
          </m:e>
          <m:sub>
            <m:r>
              <m:t>L</m:t>
            </m:r>
          </m:sub>
        </m:sSub>
        <m:r>
          <m:t>=</m:t>
        </m:r>
        <m:r>
          <m:t>1.65</m:t>
        </m:r>
      </m:oMath>
      <w:r>
        <w:rPr>
          <w:rFonts w:ascii="Times New Roman" w:hAnsi="Times New Roman" w:eastAsia="方正仿宋_GBK"/>
          <w:b w:val="0"/>
          <w:sz w:val="24"/>
        </w:rPr>
        <w:t xml:space="preserve">；市区499.20万元，对应</w:t>
      </w:r>
      <m:oMath>
        <m:sSub>
          <m:e>
            <m:r>
              <m:t>k</m:t>
            </m:r>
          </m:e>
          <m:sub>
            <m:r>
              <m:t>L</m:t>
            </m:r>
          </m:sub>
        </m:sSub>
        <m:r>
          <m:t>=</m:t>
        </m:r>
        <m:r>
          <m:t>6.85</m:t>
        </m:r>
      </m:oMath>
      <w:r>
        <w:rPr>
          <w:rFonts w:ascii="Times New Roman" w:hAnsi="Times New Roman" w:eastAsia="方正仿宋_GBK"/>
          <w:b w:val="0"/>
          <w:sz w:val="24"/>
        </w:rPr>
        <w:t xml:space="preserve">。两地区案例保留这两个工程参考费用，推广时直接改变系数，不设置</w:t>
      </w:r>
      <w:r>
        <w:rPr>
          <w:rFonts w:ascii="Times New Roman" w:hAnsi="Times New Roman" w:eastAsia="方正仿宋_GBK"/>
          <w:b w:val="0"/>
          <w:sz w:val="24"/>
        </w:rPr>
        <w:t xml:space="preserve">“</w:t>
      </w:r>
      <w:r>
        <w:rPr>
          <w:rFonts w:ascii="Times New Roman" w:hAnsi="Times New Roman" w:eastAsia="方正仿宋_GBK"/>
          <w:b w:val="0"/>
          <w:sz w:val="24"/>
        </w:rPr>
        <w:t xml:space="preserve">架空为主</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电缆为主</w:t>
      </w:r>
      <w:r>
        <w:rPr>
          <w:rFonts w:ascii="Times New Roman" w:hAnsi="Times New Roman" w:eastAsia="方正仿宋_GBK"/>
          <w:b w:val="0"/>
          <w:sz w:val="24"/>
        </w:rPr>
        <w:t xml:space="preserve">”</w:t>
      </w:r>
      <w:r>
        <w:rPr>
          <w:rFonts w:ascii="Times New Roman" w:hAnsi="Times New Roman" w:eastAsia="方正仿宋_GBK"/>
          <w:b w:val="0"/>
          <w:sz w:val="24"/>
        </w:rPr>
        <w:t xml:space="preserve">两套分类。</w:t>
      </w:r>
    </w:p>
    <w:p>
      <w:pPr>
        <w:pStyle w:val="2"/>
        <w:keepNext/>
        <w:spacing w:line="280" w:lineRule="exact" w:before="120" w:after="80"/>
        <w:ind w:firstLine="0"/>
        <w:jc w:val="center"/>
      </w:pPr>
      <w:r>
        <w:rPr>
          <w:rFonts w:ascii="Times New Roman" w:hAnsi="Times New Roman" w:eastAsia="宋体"/>
          <w:b w:val="0"/>
          <w:sz w:val="21"/>
        </w:rPr>
        <w:t xml:space="preserve">表4-3 线路成本系数与项目费用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164.40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546.00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注：电缆与架空参考基价为180、24万元/km；系数统一表达单位长度综合费用。</w:t>
      </w:r>
    </w:p>
    <w:p>
      <w:pPr>
        <w:pStyle w:val="5"/>
        <w:keepNext/>
        <w:numPr>
          <w:numId w:val="0"/>
        </w:numPr>
        <w:spacing w:line="390" w:lineRule="exact" w:before="160" w:after="120"/>
        <w:ind w:firstLine="0"/>
      </w:pPr>
      <w:bookmarkStart w:id="154" w:name="联络能力与工程计费"/>
      <w:r>
        <w:rPr>
          <w:rFonts w:ascii="Times New Roman" w:hAnsi="Times New Roman" w:eastAsia="方正仿宋_GBK"/>
          <w:b/>
          <w:sz w:val="26"/>
        </w:rPr>
        <w:t xml:space="preserve">4.3.3 联络能力与工程计费</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同一馈线连接多条候选联络时，共用其源端可转负荷和接收余量。单边7.49 MW不意味着每增建一条线路都能独立增加同等地区转供能力，还需核对共用馈线和接收主变。</w:t>
      </w:r>
    </w:p>
    <w:p>
      <w:pPr>
        <w:pStyle w:val="4"/>
        <w:keepNext/>
        <w:numPr>
          <w:numId w:val="0"/>
        </w:numPr>
        <w:spacing w:line="480" w:lineRule="exact" w:before="160" w:after="120"/>
        <w:ind w:firstLine="0"/>
      </w:pPr>
      <w:bookmarkStart w:id="1445" w:name="h445"/>
      <w:bookmarkStart w:id="155" w:name="储能投资模型"/>
      <w:r>
        <w:rPr>
          <w:rFonts w:ascii="Times New Roman" w:hAnsi="Times New Roman" w:eastAsia="方正仿宋_GBK"/>
          <w:b/>
          <w:sz w:val="32"/>
        </w:rPr>
        <w:t xml:space="preserve">4.4 储能投资模型</w:t>
      </w:r>
      <w:bookmarkEnd w:id="155"/>
      <w:bookmarkEnd w:id="1445"/>
    </w:p>
    <w:p>
      <w:pPr>
        <w:pStyle w:val="5"/>
        <w:keepNext/>
        <w:numPr>
          <w:numId w:val="0"/>
        </w:numPr>
        <w:spacing w:line="390" w:lineRule="exact" w:before="160" w:after="120"/>
        <w:ind w:firstLine="0"/>
      </w:pPr>
      <w:bookmarkStart w:id="156" w:name="储能规格与采购价格依据"/>
      <w:r>
        <w:rPr>
          <w:rFonts w:ascii="Times New Roman" w:hAnsi="Times New Roman" w:eastAsia="方正仿宋_GBK"/>
          <w:b/>
          <w:sz w:val="26"/>
        </w:rPr>
        <w:t xml:space="preserve">4.4.1 储能规格与采购价格依据</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7" w:name="成套柜单位价格"/>
      <w:r>
        <w:rPr>
          <w:rFonts w:ascii="Times New Roman" w:hAnsi="Times New Roman" w:eastAsia="方正仿宋_GBK"/>
          <w:b/>
          <w:sz w:val="26"/>
        </w:rPr>
        <w:t xml:space="preserve">4.4.2 成套柜单位价格</w:t>
      </w:r>
      <w:bookmarkEnd w:id="157"/>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（4-5）</w:t>
            </w:r>
          </w:p>
        </w:tc>
      </w:tr>
    </w:tbl>
    <w:p>
      <w:pPr>
        <w:pStyle w:val="FirstParagraph"/>
        <w:widowControl/>
        <w:spacing w:line="348" w:lineRule="atLeast" w:before="0" w:after="0"/>
        <w:ind w:left="0" w:right="0" w:firstLine="0" w:firstLineChars="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8" w:name="储能有效支撑功率与持续时间"/>
      <w:r>
        <w:rPr>
          <w:rFonts w:ascii="Times New Roman" w:hAnsi="Times New Roman" w:eastAsia="方正仿宋_GBK"/>
          <w:b/>
          <w:sz w:val="26"/>
        </w:rPr>
        <w:t xml:space="preserve">4.4.3 储能有效支撑功率与持续时间</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t>n</m:t>
        </m:r>
      </m:oMath>
      <w:r>
        <w:rPr>
          <w:rFonts w:ascii="Times New Roman" w:hAnsi="Times New Roman" w:eastAsia="方正仿宋_GBK"/>
          <w:b w:val="0"/>
          <w:sz w:val="24"/>
        </w:rPr>
        <w:t xml:space="preserve">为储能柜数，</w:t>
      </w:r>
      <m:oMath>
        <m:r>
          <m:t>H</m:t>
        </m:r>
      </m:oMath>
      <w:r>
        <w:rPr>
          <w:rFonts w:ascii="Times New Roman" w:hAnsi="Times New Roman" w:eastAsia="方正仿宋_GBK"/>
          <w:b w:val="0"/>
          <w:sz w:val="24"/>
        </w:rPr>
        <w:t xml:space="preserve">为支撑持续时间，可用电量系数取0.76，则有：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r>
                  <m:t>B</m:t>
                </m:r>
                <m:r>
                  <m:t>(</m:t>
                </m:r>
                <m:r>
                  <m:t>n</m:t>
                </m:r>
                <m:r>
                  <m:t>,</m:t>
                </m:r>
                <m:r>
                  <m:t>H</m:t>
                </m:r>
                <m:r>
                  <m:t>)</m:t>
                </m:r>
                <m:r>
                  <m:t>=</m:t>
                </m:r>
                <m:r>
                  <m:rPr>
                    <m:nor/>
                    <m:sty m:val="p"/>
                  </m:rPr>
                  <m:t>min</m:t>
                </m:r>
                <m:d>
                  <m:dPr>
                    <m:begChr m:val="{"/>
                    <m:endChr m:val="}"/>
                    <m:grow/>
                  </m:dPr>
                  <m:e>
                    <m:r>
                      <m:t>0.10</m:t>
                    </m:r>
                    <m:r>
                      <m:t>n</m:t>
                    </m:r>
                    <m:r>
                      <m:t>,</m:t>
                    </m:r>
                    <m:f>
                      <m:fPr>
                        <m:type m:val="bar"/>
                      </m:fPr>
                      <m:num>
                        <m:r>
                          <m:t>0.215</m:t>
                        </m:r>
                        <m:r>
                          <m:t>×</m:t>
                        </m:r>
                        <m:r>
                          <m:t>0.76</m:t>
                        </m:r>
                        <m:r>
                          <m:t>n</m:t>
                        </m:r>
                      </m:num>
                      <m:den>
                        <m:r>
                          <m:t>H</m:t>
                        </m:r>
                      </m:den>
                    </m:f>
                  </m:e>
                </m:d>
                <m:r>
                  <m:t>,</m:t>
                </m:r>
                <m:r>
                  <m:t>  </m:t>
                </m:r>
                <m:r>
                  <m:t>H</m:t>
                </m:r>
                <m:r>
                  <m:t>&gt;</m:t>
                </m:r>
                <m:r>
                  <m:t>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B</m:t>
        </m:r>
        <m:r>
          <m:t>(</m:t>
        </m:r>
        <m:r>
          <m:t>n</m:t>
        </m:r>
        <m:r>
          <m:t>,</m:t>
        </m:r>
        <m:r>
          <m:t>H</m:t>
        </m:r>
        <m:r>
          <m:t>)</m:t>
        </m:r>
      </m:oMath>
      <w:r>
        <w:rPr>
          <w:rFonts w:ascii="Times New Roman" w:hAnsi="Times New Roman" w:eastAsia="方正仿宋_GBK"/>
          <w:b w:val="0"/>
          <w:sz w:val="24"/>
        </w:rPr>
        <w:t xml:space="preserve">单位为MW，单柜额定能量为0.215 MWh，额定功率为0.10 MW，</w:t>
      </w:r>
      <m:oMath>
        <m: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60" w:name="可用能力与工程适用性"/>
      <w:r>
        <w:rPr>
          <w:rFonts w:ascii="Times New Roman" w:hAnsi="Times New Roman" w:eastAsia="方正仿宋_GBK"/>
          <w:b/>
          <w:sz w:val="26"/>
        </w:rPr>
        <w:t xml:space="preserve">4.4.4 可用能力与工程适用性</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统一静态比选，不能替代运行状态约束。正向支撑需要可放电电量，反向吸收需要可充电空间。当前模型未追踪荷电状态，不能保证每次连续事件均具备设定能力。工程应用需结合保证可用电量、充放电效率、充电条件及恢复时间核定支撑能力。</w:t>
      </w:r>
    </w:p>
    <w:p>
      <w:pPr>
        <w:pStyle w:val="4"/>
        <w:keepNext/>
        <w:numPr>
          <w:numId w:val="0"/>
        </w:numPr>
        <w:spacing w:line="480" w:lineRule="exact" w:before="160" w:after="120"/>
        <w:ind w:firstLine="0"/>
      </w:pPr>
      <w:bookmarkStart w:id="1461" w:name="h461"/>
      <w:bookmarkStart w:id="161" w:name="经济参数与敏感性分析"/>
      <w:r>
        <w:rPr>
          <w:rFonts w:ascii="Times New Roman" w:hAnsi="Times New Roman" w:eastAsia="方正仿宋_GBK"/>
          <w:b/>
          <w:sz w:val="32"/>
        </w:rPr>
        <w:t xml:space="preserve">4.5 经济参数与敏感性分析</w:t>
      </w:r>
      <w:bookmarkEnd w:id="161"/>
      <w:bookmarkEnd w:id="1461"/>
    </w:p>
    <w:p>
      <w:pPr>
        <w:pStyle w:val="5"/>
        <w:keepNext/>
        <w:numPr>
          <w:numId w:val="0"/>
        </w:numPr>
        <w:spacing w:line="390" w:lineRule="exact" w:before="160" w:after="120"/>
        <w:ind w:firstLine="0"/>
      </w:pPr>
      <w:bookmarkStart w:id="162" w:name="线路成本系数的独立变化"/>
      <w:r>
        <w:rPr>
          <w:rFonts w:ascii="Times New Roman" w:hAnsi="Times New Roman" w:eastAsia="方正仿宋_GBK"/>
          <w:b/>
          <w:sz w:val="26"/>
        </w:rPr>
        <w:t xml:space="preserve">4.5.1 线路成本系数的独立变化</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推广矩阵以线路成本系数表示联络建设费用。基准长度3 km、固定接入费6万元和单边能力保持不变，仅改变单位长度费用。该设置使价格变化与新增转供能力变化可以分别分析。线路成本系数的主网格取1.00、1.65、4.25、6.85、7.50，首尾区间不以这些有限节点封闭。</w:t>
      </w:r>
    </w:p>
    <w:p>
      <w:pPr>
        <w:pStyle w:val="5"/>
        <w:keepNext/>
        <w:numPr>
          <w:numId w:val="0"/>
        </w:numPr>
        <w:spacing w:line="390" w:lineRule="exact" w:before="160" w:after="120"/>
        <w:ind w:firstLine="0"/>
      </w:pPr>
      <w:bookmarkStart w:id="163" w:name="储能价格与持续时间分别设置"/>
      <w:r>
        <w:rPr>
          <w:rFonts w:ascii="Times New Roman" w:hAnsi="Times New Roman" w:eastAsia="方正仿宋_GBK"/>
          <w:b/>
          <w:sz w:val="26"/>
        </w:rPr>
        <w:t xml:space="preserve">4.5.2 储能价格与持续时间分别设置</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储能支撑持续时间保留在主矩阵，以4 h为共同基准，比较2 h和6 h。储能价格采用相对单柜参考投资的倍数，另取0.50、0.75、1.00、1.25作专项分析。每次价格倍数较固定功率、能量规格及持续时间，价格倍数作用于新增采购费用和由其计算的固定运维费用。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B</m:t>
                    </m:r>
                  </m:sub>
                </m:sSub>
                <m:r>
                  <m:t>=</m:t>
                </m:r>
                <m:sSub>
                  <m:e>
                    <m:r>
                      <m:t>m</m:t>
                    </m:r>
                  </m:e>
                  <m:sub>
                    <m:r>
                      <m:t>B</m:t>
                    </m:r>
                  </m:sub>
                </m:sSub>
                <m:sSub>
                  <m:e>
                    <m:r>
                      <m:t>c</m:t>
                    </m:r>
                  </m:e>
                  <m:sub>
                    <m:r>
                      <m:t>B</m:t>
                    </m:r>
                  </m:sub>
                </m:sSub>
                <m:r>
                  <m:t>Δ</m:t>
                </m:r>
                <m:r>
                  <m:t>n</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m</m:t>
            </m:r>
          </m:e>
          <m:sub>
            <m:r>
              <m:t>B</m:t>
            </m:r>
          </m:sub>
        </m:sSub>
      </m:oMath>
      <w:r>
        <w:rPr>
          <w:rFonts w:ascii="Times New Roman" w:hAnsi="Times New Roman" w:eastAsia="方正仿宋_GBK"/>
          <w:b w:val="0"/>
          <w:sz w:val="24"/>
        </w:rPr>
        <w:t xml:space="preserve">为储能价格倍数，</w:t>
      </w:r>
      <m:oMath>
        <m:sSub>
          <m:e>
            <m:r>
              <m:t>c</m:t>
            </m:r>
          </m:e>
          <m:sub>
            <m:r>
              <m:t>B</m:t>
            </m:r>
          </m:sub>
        </m:sSub>
      </m:oMath>
      <w:r>
        <w:rPr>
          <w:rFonts w:ascii="Times New Roman" w:hAnsi="Times New Roman" w:eastAsia="方正仿宋_GBK"/>
          <w:b w:val="0"/>
          <w:sz w:val="24"/>
        </w:rPr>
        <w:t xml:space="preserve">为单柜参考投资，</w:t>
      </w:r>
      <m:oMath>
        <m:r>
          <m:t>Δ</m:t>
        </m:r>
        <m:r>
          <m:t>n</m:t>
        </m:r>
      </m:oMath>
      <w:r>
        <w:rPr>
          <w:rFonts w:ascii="Times New Roman" w:hAnsi="Times New Roman" w:eastAsia="方正仿宋_GBK"/>
          <w:b w:val="0"/>
          <w:sz w:val="24"/>
        </w:rPr>
        <w:t xml:space="preserve">为新增柜数。持续时间改变有效支撑功率，价格倍数改变相同设备的费用，两者在交互分析中再联合比较。</w:t>
      </w:r>
    </w:p>
    <w:p>
      <w:pPr>
        <w:pStyle w:val="5"/>
        <w:keepNext/>
        <w:numPr>
          <w:numId w:val="0"/>
        </w:numPr>
        <w:spacing w:line="390" w:lineRule="exact" w:before="160" w:after="120"/>
        <w:ind w:firstLine="0"/>
      </w:pPr>
      <w:bookmarkStart w:id="164" w:name="主变价格与费用评价参数"/>
      <w:r>
        <w:rPr>
          <w:rFonts w:ascii="Times New Roman" w:hAnsi="Times New Roman" w:eastAsia="方正仿宋_GBK"/>
          <w:b/>
          <w:sz w:val="26"/>
        </w:rPr>
        <w:t xml:space="preserve">4.5.3 主变价格与费用评价参数</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主变更换系数和第三台50 MVA扩建费用共同采用0.75、1.00、1.25倍作对照。折现率、固定运维率和设备寿命分别按基准的0.80、1.00、1.20倍变化，其他参数固定。寿命变化只有在评价期内触发更新或改变其他已计费用时才影响结果，不能将当前无响应解释为设备寿命没有经济意义。</w:t>
      </w:r>
    </w:p>
    <w:p>
      <w:pPr>
        <w:pStyle w:val="5"/>
        <w:keepNext/>
        <w:numPr>
          <w:numId w:val="0"/>
        </w:numPr>
        <w:spacing w:line="390" w:lineRule="exact" w:before="160" w:after="120"/>
        <w:ind w:firstLine="0"/>
      </w:pPr>
      <w:bookmarkStart w:id="165" w:name="经济比较与技术条件"/>
      <w:r>
        <w:rPr>
          <w:rFonts w:ascii="Times New Roman" w:hAnsi="Times New Roman" w:eastAsia="方正仿宋_GBK"/>
          <w:b/>
          <w:sz w:val="26"/>
        </w:rPr>
        <w:t xml:space="preserve">4.5.4 经济比较与技术条件</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价格参数不改变主变允许规格、扩建位置及网络可行性。负荷分散系数、馈线热限、线路长度、功率因数和可用电量系数分别作辅助分析。其中线路长度直接改变项目费用，热限改变接收余量，两项不同时变化。结果分别报告容载比、费用及措施规模，避免仅凭某项费用下降推断容量必然下降。</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可作为工程费用的辅助比较，但不同措施的功率分母需要分别说明。主变投资对应新购整台容量，经功率因数折算后仍受N-1剩余容量约束；联络投资对应具体区段可转负荷，还受接收站余量限制；储能投资对应给定持续时间内的有效功率。三项费用相近时，其实际可替代的能力未必相同，最终经济性应由完整方案判断[30][28][10]。</w:t>
      </w:r>
    </w:p>
    <w:p>
      <w:pPr>
        <w:pStyle w:val="2"/>
        <w:widowControl/>
        <w:spacing w:line="348" w:lineRule="exact" w:before="0" w:after="0"/>
        <w:ind w:firstLine="480"/>
        <w:jc w:val="both"/>
      </w:pPr>
      <w:r>
        <w:rPr>
          <w:rFonts w:ascii="Times New Roman" w:hAnsi="Times New Roman" w:eastAsia="方正仿宋_GBK"/>
          <w:b w:val="0"/>
          <w:sz w:val="24"/>
        </w:rPr>
        <w:t xml:space="preserve">例如同一条3 km联络，系数1.65对应124.80万元，系数6.85对应499.20万元，两者所设可转负荷同为7.49 MW。提高系数只改变这条候选线路的费用，不扩大热限或可切换负荷。若邻站没有可用容量，降低线路价格仍不能消除本地供电缺口；若既有联络已经能够完成转供，则系数变化不会增加既有资产建设支出。</w:t>
      </w:r>
    </w:p>
    <w:p>
      <w:pPr>
        <w:pStyle w:val="2"/>
        <w:widowControl/>
        <w:spacing w:line="348" w:lineRule="exact" w:before="0" w:after="0"/>
        <w:ind w:firstLine="480"/>
        <w:jc w:val="both"/>
      </w:pPr>
      <w:r>
        <w:rPr>
          <w:rFonts w:ascii="Times New Roman" w:hAnsi="Times New Roman" w:eastAsia="方正仿宋_GBK"/>
          <w:b w:val="0"/>
          <w:sz w:val="24"/>
        </w:rPr>
        <w:t xml:space="preserve">储能价格分析固定100 kW/215 kWh规格及可用电量系数。10柜设备在4 h下的有效支撑功率为0.4085 MW，价格降低改变相同能力所需支出，持续时间延长则改变同一组设备能够提供的能力。分别设置价格倍数与持续时间后，可以识别费用变化是由采购价格、设备规模还是两者共同引起。</w:t>
      </w:r>
    </w:p>
    <w:p>
      <w:pPr>
        <w:pStyle w:val="4"/>
        <w:keepNext/>
        <w:numPr>
          <w:numId w:val="0"/>
        </w:numPr>
        <w:spacing w:line="480" w:lineRule="exact" w:before="160" w:after="120"/>
        <w:ind w:firstLine="0"/>
      </w:pPr>
      <w:bookmarkStart w:id="1474" w:name="h474"/>
      <w:bookmarkStart w:id="166" w:name="现金流现值计算"/>
      <w:r>
        <w:rPr>
          <w:rFonts w:ascii="Times New Roman" w:hAnsi="Times New Roman" w:eastAsia="方正仿宋_GBK"/>
          <w:b/>
          <w:sz w:val="32"/>
        </w:rPr>
        <w:t xml:space="preserve">4.6 现金流现值计算</w:t>
      </w:r>
      <w:bookmarkEnd w:id="166"/>
      <w:bookmarkEnd w:id="1474"/>
    </w:p>
    <w:p>
      <w:pPr>
        <w:pStyle w:val="5"/>
        <w:keepNext/>
        <w:numPr>
          <w:numId w:val="0"/>
        </w:numPr>
        <w:spacing w:line="390" w:lineRule="exact" w:before="160" w:after="120"/>
        <w:ind w:firstLine="0"/>
      </w:pPr>
      <w:bookmarkStart w:id="167" w:name="单项工程现值因子"/>
      <w:r>
        <w:rPr>
          <w:rFonts w:ascii="Times New Roman" w:hAnsi="Times New Roman" w:eastAsia="方正仿宋_GBK"/>
          <w:b/>
          <w:sz w:val="26"/>
        </w:rPr>
        <w:t xml:space="preserve">4.6.1 单项工程现值因子</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e>
                  </m:mr>
                  <m:mr>
                    <m:e/>
                    <m:e>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8" w:name="年度投运对现值的影响"/>
      <w:r>
        <w:rPr>
          <w:rFonts w:ascii="Times New Roman" w:hAnsi="Times New Roman" w:eastAsia="方正仿宋_GBK"/>
          <w:b/>
          <w:sz w:val="26"/>
        </w:rPr>
        <w:t xml:space="preserve">4.6.2 年度投运对现值的影响</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9" w:name="费用构成与结果复算"/>
      <w:r>
        <w:rPr>
          <w:rFonts w:ascii="Times New Roman" w:hAnsi="Times New Roman" w:eastAsia="方正仿宋_GBK"/>
          <w:b/>
          <w:sz w:val="26"/>
        </w:rPr>
        <w:t xml:space="preserve">4.6.3 费用构成与结果复算</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70" w:name="评价期边界与费用解释"/>
      <w:r>
        <w:rPr>
          <w:rFonts w:ascii="Times New Roman" w:hAnsi="Times New Roman" w:eastAsia="方正仿宋_GBK"/>
          <w:b/>
          <w:sz w:val="26"/>
        </w:rPr>
        <w:t xml:space="preserve">4.6.4 评价期边界与费用解释</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不能据此比较设备完整使用寿命的总支出。</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71" w:name="主变更换与扩建的投资差异"/>
      <w:r>
        <w:rPr>
          <w:rFonts w:ascii="Times New Roman" w:hAnsi="Times New Roman" w:eastAsia="方正仿宋_GBK"/>
          <w:b/>
          <w:sz w:val="26"/>
        </w:rPr>
        <w:t xml:space="preserve">4.6.5 主变更换与扩建的投资差异</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投资较低或扩建投资较高，均不能直接决定方案优先次序。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2" w:name="联络与储能的费用响应"/>
      <w:r>
        <w:rPr>
          <w:rFonts w:ascii="Times New Roman" w:hAnsi="Times New Roman" w:eastAsia="方正仿宋_GBK"/>
          <w:b/>
          <w:sz w:val="26"/>
        </w:rPr>
        <w:t xml:space="preserve">4.6.6 联络与储能的费用响应</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避免将固定项目与可变长度费用同时按比例缩放。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不能仅由某一类设备的数量变化推断。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500" w:name="h500"/>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500"/>
    </w:p>
    <w:p>
      <w:pPr>
        <w:pStyle w:val="FirstParagraph"/>
        <w:widowControl/>
        <w:spacing w:line="348" w:lineRule="exact" w:before="0" w:after="0"/>
        <w:ind w:firstLine="480"/>
        <w:jc w:val="both"/>
      </w:pPr>
      <w:r>
        <w:rPr>
          <w:rFonts w:ascii="Times New Roman" w:hAnsi="Times New Roman" w:eastAsia="方正仿宋_GBK"/>
          <w:b w:val="0"/>
          <w:sz w:val="24"/>
        </w:rPr>
        <w:t xml:space="preserve">邳州光伏接入规模较大，市区负荷较为集中，两地区的容量配置需求各有侧重。本章结合第三章运行统计与第四章工程费用，比较刚性、弹性方案的主变容量、储能配置及站间负荷转接，分析费用差异的形成原因，并归纳不同源荷和经济条件下的容载比取值特征。</w:t>
      </w:r>
    </w:p>
    <w:p>
      <w:pPr>
        <w:pStyle w:val="4"/>
        <w:keepNext/>
        <w:numPr>
          <w:numId w:val="0"/>
        </w:numPr>
        <w:spacing w:line="480" w:lineRule="exact" w:before="160" w:after="120"/>
        <w:ind w:firstLine="0"/>
      </w:pPr>
      <w:bookmarkStart w:id="1502" w:name="h502"/>
      <w:bookmarkStart w:id="174" w:name="寻优问题与共同起点"/>
      <w:r>
        <w:rPr>
          <w:rFonts w:ascii="Times New Roman" w:hAnsi="Times New Roman" w:eastAsia="方正仿宋_GBK"/>
          <w:b/>
          <w:sz w:val="32"/>
        </w:rPr>
        <w:t xml:space="preserve">5.1 寻优问题与共同起点</w:t>
      </w:r>
      <w:bookmarkEnd w:id="174"/>
      <w:bookmarkEnd w:id="1502"/>
    </w:p>
    <w:p>
      <w:pPr>
        <w:pStyle w:val="5"/>
        <w:keepNext/>
        <w:numPr>
          <w:numId w:val="0"/>
        </w:numPr>
        <w:spacing w:line="390" w:lineRule="exact" w:before="160" w:after="120"/>
        <w:ind w:firstLine="0"/>
      </w:pPr>
      <w:bookmarkStart w:id="175" w:name="年度负荷与共同仿真起点"/>
      <w:r>
        <w:rPr>
          <w:rFonts w:ascii="Times New Roman" w:hAnsi="Times New Roman" w:eastAsia="方正仿宋_GBK"/>
          <w:b/>
          <w:sz w:val="26"/>
        </w:rPr>
        <w:t xml:space="preserve">5.1.1 年度负荷与共同仿真起点</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MVA；基期负荷取2021年实际统计值，两地区基期容载比按两位小数均为2.00。该设置用于方案比较，实际在役容量仍采用第三章年度统计，不叠加到仿真设备上。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P</m:t>
                    </m:r>
                  </m:e>
                  <m:sub>
                    <m:r>
                      <m:t>c</m:t>
                    </m:r>
                    <m:r>
                      <m:t>,</m:t>
                    </m:r>
                    <m:r>
                      <m:t>y</m:t>
                    </m:r>
                  </m:sub>
                </m:sSub>
                <m:r>
                  <m:t>=</m:t>
                </m:r>
                <m:sSubSup>
                  <m:e>
                    <m:r>
                      <m:t>P</m:t>
                    </m:r>
                  </m:e>
                  <m:sub>
                    <m:r>
                      <m:t>c</m:t>
                    </m:r>
                    <m:r>
                      <m:t>,</m:t>
                    </m:r>
                    <m:r>
                      <m:t>y</m:t>
                    </m:r>
                  </m:sub>
                  <m:sup>
                    <m:r>
                      <m:rPr>
                        <m:sty m:val="p"/>
                      </m:rPr>
                      <m:t>s</m:t>
                    </m:r>
                    <m:r>
                      <m:rPr>
                        <m:sty m:val="p"/>
                      </m:rPr>
                      <m:t>t</m:t>
                    </m:r>
                    <m:r>
                      <m:rPr>
                        <m:sty m:val="p"/>
                      </m:rPr>
                      <m:t>a</m:t>
                    </m:r>
                    <m:r>
                      <m:rPr>
                        <m:sty m:val="p"/>
                      </m:rPr>
                      <m:t>t</m:t>
                    </m:r>
                  </m:sup>
                </m:sSubSup>
                <m:r>
                  <m:t>,</m:t>
                </m:r>
                <m:r>
                  <m:t> </m:t>
                </m:r>
                <m:r>
                  <m:t>y</m:t>
                </m:r>
                <m:r>
                  <m:t>=</m:t>
                </m:r>
                <m:r>
                  <m:t>2021</m:t>
                </m:r>
                <m:r>
                  <m:t>,</m:t>
                </m:r>
                <m:r>
                  <m:t>…</m:t>
                </m:r>
                <m:r>
                  <m:t>,</m:t>
                </m:r>
                <m:r>
                  <m:t>2025</m:t>
                </m:r>
                <m:r>
                  <m:t>,</m:t>
                </m:r>
                <m:r>
                  <m:t>  </m:t>
                </m:r>
                <m:sSub>
                  <m:e>
                    <m:r>
                      <m:t>R</m:t>
                    </m:r>
                  </m:e>
                  <m:sub>
                    <m:r>
                      <m:t>c</m:t>
                    </m:r>
                    <m:r>
                      <m:t>,</m:t>
                    </m:r>
                    <m:r>
                      <m:t>0</m:t>
                    </m:r>
                  </m:sub>
                </m:sSub>
                <m:r>
                  <m:t>=</m:t>
                </m:r>
                <m:f>
                  <m:fPr>
                    <m:type m:val="bar"/>
                  </m:fPr>
                  <m:num>
                    <m:sSub>
                      <m:e>
                        <m:r>
                          <m:t>S</m:t>
                        </m:r>
                      </m:e>
                      <m:sub>
                        <m:r>
                          <m:t>c</m:t>
                        </m:r>
                        <m:r>
                          <m:t>,</m:t>
                        </m:r>
                        <m:r>
                          <m:t>0</m:t>
                        </m:r>
                      </m:sub>
                    </m:sSub>
                  </m:num>
                  <m:den>
                    <m:sSub>
                      <m:e>
                        <m:r>
                          <m:t>P</m:t>
                        </m:r>
                      </m:e>
                      <m:sub>
                        <m:r>
                          <m:t>c</m:t>
                        </m:r>
                        <m:r>
                          <m:t>,</m:t>
                        </m:r>
                        <m:r>
                          <m:t>2021</m:t>
                        </m:r>
                      </m:sub>
                    </m:sSub>
                  </m:den>
                </m:f>
                <m:r>
                  <m:t>≈</m:t>
                </m:r>
                <m:r>
                  <m:t>2.00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S</m:t>
            </m:r>
          </m:e>
          <m:sub>
            <m:r>
              <m:t>c</m:t>
            </m:r>
            <m:r>
              <m:t>,</m:t>
            </m:r>
            <m:r>
              <m:t>0</m:t>
            </m:r>
          </m:sub>
        </m:sSub>
      </m:oMath>
      <w:r>
        <w:rPr>
          <w:rFonts w:ascii="Times New Roman" w:hAnsi="Times New Roman" w:eastAsia="方正仿宋_GBK"/>
          <w:b w:val="0"/>
          <w:sz w:val="24"/>
        </w:rPr>
        <w:t xml:space="preserve">为地区</w:t>
      </w:r>
      <m:oMath>
        <m:r>
          <m:t>c</m:t>
        </m:r>
      </m:oMath>
      <w:r>
        <w:rPr>
          <w:rFonts w:ascii="Times New Roman" w:hAnsi="Times New Roman" w:eastAsia="方正仿宋_GBK"/>
          <w:b w:val="0"/>
          <w:sz w:val="24"/>
        </w:rPr>
        <w:t xml:space="preserve">的初始仿真主变总容量，单位MVA；</w:t>
      </w:r>
      <m:oMath>
        <m:sSub>
          <m:e>
            <m:r>
              <m:t>R</m:t>
            </m:r>
          </m:e>
          <m:sub>
            <m:r>
              <m:t>c</m:t>
            </m:r>
            <m:r>
              <m:t>,</m:t>
            </m:r>
            <m:r>
              <m:t>0</m:t>
            </m:r>
          </m:sub>
        </m:sSub>
      </m:oMath>
      <w:r>
        <w:rPr>
          <w:rFonts w:ascii="Times New Roman" w:hAnsi="Times New Roman" w:eastAsia="方正仿宋_GBK"/>
          <w:b w:val="0"/>
          <w:sz w:val="24"/>
        </w:rPr>
        <w:t xml:space="preserve">为基期容载比，</w:t>
      </w:r>
      <m:oMath>
        <m:sSubSup>
          <m:e>
            <m:r>
              <m:t>P</m:t>
            </m:r>
          </m:e>
          <m:sub>
            <m:r>
              <m:t>c</m:t>
            </m:r>
            <m:r>
              <m:t>,</m:t>
            </m:r>
            <m:r>
              <m:t>y</m:t>
            </m:r>
          </m:sub>
          <m:sup>
            <m:r>
              <m:rPr>
                <m:sty m:val="p"/>
              </m:rPr>
              <m:t>s</m:t>
            </m:r>
            <m:r>
              <m:rPr>
                <m:sty m:val="p"/>
              </m:rPr>
              <m:t>t</m:t>
            </m:r>
            <m:r>
              <m:rPr>
                <m:sty m:val="p"/>
              </m:rPr>
              <m:t>a</m:t>
            </m:r>
            <m:r>
              <m:rPr>
                <m:sty m:val="p"/>
              </m:rPr>
              <m:t>t</m:t>
            </m:r>
          </m:sup>
        </m:sSubSup>
      </m:oMath>
      <w:r>
        <w:rPr>
          <w:rFonts w:ascii="Times New Roman" w:hAnsi="Times New Roman" w:eastAsia="方正仿宋_GBK"/>
          <w:b w:val="0"/>
          <w:sz w:val="24"/>
        </w:rPr>
        <w:t xml:space="preserve">为同地区第</w:t>
      </w:r>
      <m:oMath>
        <m: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年的原表网供最大负荷估计值，单位MW。已有年度负荷直接进入模型，保留2023年邳州及2022、2024年市区的负荷回落。标准复合增长率用于增长水平描述和通用情景设置，不替代已知年度负荷。</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研究情景，不表述为各历史年度实测反送极值。地区案例采用静态工况比选，未开展逐时荷电状态仿真。</w:t>
      </w:r>
    </w:p>
    <w:p>
      <w:pPr>
        <w:pStyle w:val="5"/>
        <w:keepNext/>
        <w:numPr>
          <w:numId w:val="0"/>
        </w:numPr>
        <w:spacing w:line="390" w:lineRule="exact" w:before="160" w:after="120"/>
        <w:ind w:firstLine="0"/>
      </w:pPr>
      <w:bookmarkStart w:id="176" w:name="刚性与弹性方案"/>
      <w:r>
        <w:rPr>
          <w:rFonts w:ascii="Times New Roman" w:hAnsi="Times New Roman" w:eastAsia="方正仿宋_GBK"/>
          <w:b/>
          <w:sz w:val="26"/>
        </w:rPr>
        <w:t xml:space="preserve">5.1.2 刚性与弹性方案</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允许保留既有资产，但不能据此继续扩容。弹性方案在突破2.00的研究条件下，按费用最小选择设备组合，其上界由站点允许规格及扩建位置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sSub>
                        <m:e>
                          <m:r>
                            <m:t>S</m:t>
                          </m:r>
                        </m:e>
                        <m:sub>
                          <m:r>
                            <m:t>c</m:t>
                          </m:r>
                          <m:r>
                            <m:t>,</m:t>
                          </m:r>
                          <m:r>
                            <m:t>s</m:t>
                          </m:r>
                          <m:r>
                            <m:t>,</m:t>
                          </m:r>
                          <m:r>
                            <m:t>y</m:t>
                          </m:r>
                        </m:sub>
                      </m:sSub>
                      <m:r>
                        <m:t>/</m:t>
                      </m:r>
                      <m:sSub>
                        <m:e>
                          <m:r>
                            <m:t>P</m:t>
                          </m:r>
                        </m:e>
                        <m:sub>
                          <m:r>
                            <m:t>c</m:t>
                          </m:r>
                          <m:r>
                            <m:t>,</m:t>
                          </m:r>
                          <m:r>
                            <m:t>y</m:t>
                          </m:r>
                        </m:sub>
                      </m:sSub>
                      <m:r>
                        <m:t>,</m:t>
                      </m:r>
                    </m:e>
                  </m:mr>
                  <m:mr>
                    <m:e>
                      <m:sSub>
                        <m:e>
                          <m:r>
                            <m:t>S</m:t>
                          </m:r>
                        </m:e>
                        <m:sub>
                          <m:r>
                            <m:t>c</m:t>
                          </m:r>
                          <m:r>
                            <m:t>,</m:t>
                          </m:r>
                          <m:r>
                            <m:rPr>
                              <m:sty m:val="p"/>
                            </m:rPr>
                            <m:t>r</m:t>
                          </m:r>
                          <m:r>
                            <m:rPr>
                              <m:sty m:val="p"/>
                            </m:rPr>
                            <m:t>i</m:t>
                          </m:r>
                          <m:r>
                            <m:rPr>
                              <m:sty m:val="p"/>
                            </m:rPr>
                            <m:t>g</m:t>
                          </m:r>
                          <m:r>
                            <m:rPr>
                              <m:sty m:val="p"/>
                            </m:rPr>
                            <m:t>i</m:t>
                          </m:r>
                          <m:r>
                            <m:rPr>
                              <m:sty m:val="p"/>
                            </m:rPr>
                            <m:t>d</m:t>
                          </m:r>
                          <m:r>
                            <m:t>,</m:t>
                          </m:r>
                          <m:r>
                            <m:t>y</m:t>
                          </m:r>
                          <m:r>
                            <m:t>−</m:t>
                          </m:r>
                          <m:r>
                            <m:t>1</m:t>
                          </m:r>
                        </m:sub>
                      </m:sSub>
                    </m:e>
                    <m:e>
                      <m:r>
                        <m:t>≤</m:t>
                      </m:r>
                      <m:sSub>
                        <m:e>
                          <m:r>
                            <m:t>S</m:t>
                          </m:r>
                        </m:e>
                        <m:sub>
                          <m:r>
                            <m:t>c</m:t>
                          </m:r>
                          <m:r>
                            <m:t>,</m:t>
                          </m:r>
                          <m:r>
                            <m:rPr>
                              <m:sty m:val="p"/>
                            </m:rPr>
                            <m:t>r</m:t>
                          </m:r>
                          <m:r>
                            <m:rPr>
                              <m:sty m:val="p"/>
                            </m:rPr>
                            <m:t>i</m:t>
                          </m:r>
                          <m:r>
                            <m:rPr>
                              <m:sty m:val="p"/>
                            </m:rPr>
                            <m:t>g</m:t>
                          </m:r>
                          <m:r>
                            <m:rPr>
                              <m:sty m:val="p"/>
                            </m:rPr>
                            <m:t>i</m:t>
                          </m:r>
                          <m:r>
                            <m:rPr>
                              <m:sty m:val="p"/>
                            </m:rPr>
                            <m:t>d</m:t>
                          </m:r>
                          <m:r>
                            <m:t>,</m:t>
                          </m:r>
                          <m:r>
                            <m:t>y</m:t>
                          </m:r>
                        </m:sub>
                      </m:sSub>
                      <m:r>
                        <m:t>≤</m:t>
                      </m:r>
                      <m:r>
                        <m:rPr>
                          <m:nor/>
                          <m:sty m:val="p"/>
                        </m:rPr>
                        <m:t>max</m:t>
                      </m:r>
                      <m:r>
                        <m:t>{</m:t>
                      </m:r>
                      <m:sSub>
                        <m:e>
                          <m:r>
                            <m:t>S</m:t>
                          </m:r>
                        </m:e>
                        <m:sub>
                          <m:r>
                            <m:t>c</m:t>
                          </m:r>
                          <m:r>
                            <m:t>,</m:t>
                          </m:r>
                          <m:r>
                            <m:rPr>
                              <m:sty m:val="p"/>
                            </m:rPr>
                            <m:t>r</m:t>
                          </m:r>
                          <m:r>
                            <m:rPr>
                              <m:sty m:val="p"/>
                            </m:rPr>
                            <m:t>i</m:t>
                          </m:r>
                          <m:r>
                            <m:rPr>
                              <m:sty m:val="p"/>
                            </m:rPr>
                            <m:t>g</m:t>
                          </m:r>
                          <m:r>
                            <m:rPr>
                              <m:sty m:val="p"/>
                            </m:rPr>
                            <m:t>i</m:t>
                          </m:r>
                          <m:r>
                            <m:rPr>
                              <m:sty m:val="p"/>
                            </m:rPr>
                            <m:t>d</m:t>
                          </m:r>
                          <m:r>
                            <m:t>,</m:t>
                          </m:r>
                          <m:r>
                            <m:t>y</m:t>
                          </m:r>
                          <m:r>
                            <m:t>−</m:t>
                          </m:r>
                          <m:r>
                            <m:t>1</m:t>
                          </m:r>
                        </m:sub>
                      </m:sSub>
                      <m:r>
                        <m:t>,</m:t>
                      </m:r>
                      <m:r>
                        <m:t>2</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r>
                        <m:rPr>
                          <m:nor/>
                          <m:sty m:val="p"/>
                        </m:rPr>
                        <m:t>max</m:t>
                      </m:r>
                      <m:r>
                        <m:t>{</m:t>
                      </m:r>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r>
                            <m:t>−</m:t>
                          </m:r>
                          <m:r>
                            <m:t>1</m:t>
                          </m:r>
                        </m:sub>
                      </m:sSub>
                      <m:r>
                        <m:t>,</m:t>
                      </m:r>
                      <m:r>
                        <m:t>2.001</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nary>
                        <m:naryPr>
                          <m:chr m:val="∑"/>
                          <m:limLoc m:val="undOvr"/>
                          <m:subHide m:val="0"/>
                          <m:supHide m:val="1"/>
                        </m:naryPr>
                        <m:sub>
                          <m:r>
                            <m:t>i</m:t>
                          </m:r>
                        </m:sub>
                        <m:sup>
                          <m:r>
                            <m:t>​</m:t>
                          </m:r>
                        </m:sup>
                        <m:e>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s</m:t>
        </m:r>
      </m:oMath>
      <w:r>
        <w:rPr>
          <w:rFonts w:ascii="Times New Roman" w:hAnsi="Times New Roman" w:eastAsia="方正仿宋_GBK"/>
          <w:b w:val="0"/>
          <w:sz w:val="24"/>
        </w:rPr>
        <w:t xml:space="preserve">表示刚性或弹性方案，</w:t>
      </w:r>
      <m:oMath>
        <m:sSub>
          <m:e>
            <m:r>
              <m:t>S</m:t>
            </m:r>
          </m:e>
          <m:sub>
            <m:r>
              <m:t>c</m:t>
            </m:r>
            <m:r>
              <m:t>,</m:t>
            </m:r>
            <m:r>
              <m:t>s</m:t>
            </m:r>
            <m:r>
              <m:t>,</m:t>
            </m:r>
            <m:r>
              <m:t>y</m:t>
            </m:r>
          </m:sub>
        </m:sSub>
      </m:oMath>
      <w:r>
        <w:rPr>
          <w:rFonts w:ascii="Times New Roman" w:hAnsi="Times New Roman" w:eastAsia="方正仿宋_GBK"/>
          <w:b w:val="0"/>
          <w:sz w:val="24"/>
        </w:rPr>
        <w:t xml:space="preserve">为方案主变总容量；</w:t>
      </w:r>
      <m:oMath>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在候选设备及场地条件下允许的最大容量。2.001用于表达本次弹性比选突破2.00的条件，不作为导则新增规定。容载比由容量和同年网供峰值计算，储能及线路能力不计入其分子。</w:t>
      </w:r>
    </w:p>
    <w:p>
      <w:pPr>
        <w:pStyle w:val="2"/>
        <w:widowControl/>
        <w:spacing w:line="348" w:lineRule="exact" w:before="0" w:after="0"/>
        <w:ind w:firstLine="480"/>
        <w:jc w:val="both"/>
      </w:pPr>
      <w:r>
        <w:rPr>
          <w:rFonts w:ascii="Times New Roman" w:hAnsi="Times New Roman" w:eastAsia="方正仿宋_GBK"/>
          <w:b w:val="0"/>
          <w:sz w:val="24"/>
        </w:rPr>
        <w:t xml:space="preserve">屋顶资源和光伏发展条件用于构造源荷情景。可实施的容量规模受站址、设备候选和网络条件限制，地区间容载比及费用关系由计算结果判断。</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[90]，本研究以此为历史参照，并列出40%、60%两种开发程度下的估算值。徐州地铁分布式光伏项目公开资料列出可用建筑面积94900 m²、规划装机9.49 MWp，据此取装机密度0.10 kWp/m²[91]。</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《江苏省分布式光伏发展实施方案（2026—2030年）》提出，2030年全省分布式光伏累计装机较2025年翻一番，达到1.20亿千瓦[92]。以装机翻倍作为地区发展情景，邳州和市区装机规模分别约为3119.28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[93]。</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资源可开发规模不能单独推导主变容量上限：同样的装机规模，在用户负荷、光伏空间分布、联络条件及储能持续时间不同的情况下，对正反向容量的要求也不同。本研究保留上述资源分析，容量比选的最大可选值由实际设备候选与站址条件确定，不据此设置统一容载比上限。</w:t>
      </w:r>
    </w:p>
    <w:p>
      <w:pPr>
        <w:pStyle w:val="5"/>
        <w:keepNext/>
        <w:numPr>
          <w:numId w:val="0"/>
        </w:numPr>
        <w:spacing w:line="390" w:lineRule="exact"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kWh成套柜，可用电量系数为0.76。地区案例正向支撑统一取4 h，反向持续时间沿用各站原静态参数；2 h和6 h用于分析持续时间变化。采用相同储能规格和工程价格，比较容量约束变化后是否仍需配置储能。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性质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2022—2025年逐年实际统计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原始收资</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共同对照条件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按各站反向容量校核要求设置</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静态支撑参数</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 kW/215 kWh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新增主变规格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联络项目费用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邳州124.80、市区499.20万元/条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保持原案例费用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供电安全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正常及最大单台主变N-1</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分故障工况校核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中分布式电源装机与用户最大负荷的比值定义，用于联系装机规模和典型出力下的反向净负荷[7]。分布式电源电量渗透率仍用于地区背景分析，但在采用统一利用小时和年负荷率的模板中，与分布式电源装机渗透率存在确定换算关系，不再增加重复维度。</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年最大净负荷平均增长率采用起止负荷之比开根计算，增长分界取DL/T 5729—2023表6.3.4[5]。地区案例保留已知年度负荷，通用模板按增长率计算目标年规模。增长率同时作用于容量需求和容载比分母，后续分析同时报告主变容量及其比值。</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反映单位长度综合造价相对参考基价的比例，初始转供率反映基期网络能够转移的负荷比例。二者分别进入工程费用和网络能力，不能用线路价格代替转供能力[8][76]。储能支撑持续时间决定额定能量可折算的有效功率，储能价格再单独改变采购费用；这种区分与储能功率、能量联合配置方法相衔接[30][28][10]。</w:t>
      </w:r>
    </w:p>
    <w:p>
      <w:pPr>
        <w:pStyle w:val="4"/>
        <w:keepNext/>
        <w:numPr>
          <w:numId w:val="0"/>
        </w:numPr>
        <w:spacing w:line="480" w:lineRule="exact" w:before="160" w:after="120"/>
        <w:ind w:firstLine="0"/>
      </w:pPr>
      <w:bookmarkStart w:id="1527" w:name="h527"/>
      <w:bookmarkStart w:id="178" w:name="三类措施的选取与寻优方法"/>
      <w:r>
        <w:rPr>
          <w:rFonts w:ascii="Times New Roman" w:hAnsi="Times New Roman" w:eastAsia="方正仿宋_GBK"/>
          <w:b/>
          <w:sz w:val="32"/>
        </w:rPr>
        <w:t xml:space="preserve">5.2 三类措施的选取与寻优方法</w:t>
      </w:r>
      <w:bookmarkEnd w:id="178"/>
      <w:bookmarkEnd w:id="1527"/>
    </w:p>
    <w:p>
      <w:pPr>
        <w:pStyle w:val="5"/>
        <w:keepNext/>
        <w:numPr>
          <w:numId w:val="0"/>
        </w:numPr>
        <w:spacing w:line="390" w:lineRule="exact"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S</m:t>
                          </m:r>
                        </m:e>
                        <m:sub>
                          <m:r>
                            <m:t>i</m:t>
                          </m:r>
                          <m:r>
                            <m:t>,</m:t>
                          </m:r>
                          <m:r>
                            <m:t>y</m:t>
                          </m:r>
                        </m:sub>
                      </m:sSub>
                    </m:e>
                    <m:e>
                      <m:r>
                        <m:t>=</m:t>
                      </m:r>
                      <m:nary>
                        <m:naryPr>
                          <m:chr m:val="∑"/>
                          <m:limLoc m:val="undOvr"/>
                          <m:subHide m:val="0"/>
                          <m:supHide m:val="1"/>
                        </m:naryPr>
                        <m:sub>
                          <m:r>
                            <m:t>j</m:t>
                          </m:r>
                          <m:r>
                            <m:t>,</m:t>
                          </m:r>
                          <m:r>
                            <m:t>r</m:t>
                          </m:r>
                        </m:sub>
                        <m:sup>
                          <m:r>
                            <m:t>​</m:t>
                          </m:r>
                        </m:sup>
                        <m:e>
                          <m:r>
                            <m:t>r</m:t>
                          </m:r>
                        </m:e>
                      </m:nary>
                      <m:sSub>
                        <m:e>
                          <m:r>
                            <m:t>x</m:t>
                          </m:r>
                        </m:e>
                        <m:sub>
                          <m:r>
                            <m:t>i</m:t>
                          </m:r>
                          <m:r>
                            <m:t>,</m:t>
                          </m:r>
                          <m:r>
                            <m:t>j</m:t>
                          </m:r>
                          <m:r>
                            <m:t>,</m:t>
                          </m:r>
                          <m:r>
                            <m:t>r</m:t>
                          </m:r>
                          <m:r>
                            <m:t>,</m:t>
                          </m:r>
                          <m:r>
                            <m:t>y</m:t>
                          </m:r>
                        </m:sub>
                      </m:sSub>
                      <m:r>
                        <m:t>+</m:t>
                      </m:r>
                      <m:r>
                        <m:t>50</m:t>
                      </m:r>
                      <m:sSub>
                        <m:e>
                          <m:r>
                            <m:t>z</m:t>
                          </m:r>
                        </m:e>
                        <m:sub>
                          <m:r>
                            <m:t>i</m:t>
                          </m:r>
                          <m:r>
                            <m:t>,</m:t>
                          </m:r>
                          <m:r>
                            <m:t>y</m:t>
                          </m:r>
                        </m:sub>
                      </m:sSub>
                      <m:r>
                        <m:t>,</m:t>
                      </m:r>
                    </m:e>
                  </m:mr>
                  <m:mr>
                    <m:e>
                      <m:nary>
                        <m:naryPr>
                          <m:chr m:val="∑"/>
                          <m:limLoc m:val="undOvr"/>
                          <m:subHide m:val="0"/>
                          <m:supHide m:val="1"/>
                        </m:naryPr>
                        <m:sub>
                          <m:r>
                            <m:t>r</m:t>
                          </m:r>
                        </m:sub>
                        <m:sup>
                          <m:r>
                            <m:t>​</m:t>
                          </m:r>
                        </m:sup>
                        <m:e>
                          <m:sSub>
                            <m:e>
                              <m:r>
                                <m:t>x</m:t>
                              </m:r>
                            </m:e>
                            <m:sub>
                              <m:r>
                                <m:t>i</m:t>
                              </m:r>
                              <m:r>
                                <m:t>,</m:t>
                              </m:r>
                              <m:r>
                                <m:t>j</m:t>
                              </m:r>
                              <m:r>
                                <m:t>,</m:t>
                              </m:r>
                              <m:r>
                                <m:t>r</m:t>
                              </m:r>
                              <m:r>
                                <m:t>,</m:t>
                              </m:r>
                              <m:r>
                                <m:t>y</m:t>
                              </m:r>
                            </m:sub>
                          </m:sSub>
                        </m:e>
                      </m:nary>
                    </m:e>
                    <m:e>
                      <m:r>
                        <m:t>=</m:t>
                      </m:r>
                      <m:r>
                        <m:t>1</m:t>
                      </m:r>
                      <m:r>
                        <m:t>,</m:t>
                      </m:r>
                    </m:e>
                  </m:mr>
                  <m:mr>
                    <m:e>
                      <m:sSub>
                        <m:e>
                          <m:r>
                            <m:t>n</m:t>
                          </m:r>
                        </m:e>
                        <m:sub>
                          <m:r>
                            <m:t>i</m:t>
                          </m:r>
                          <m:r>
                            <m:t>,</m:t>
                          </m:r>
                          <m:r>
                            <m:t>y</m:t>
                          </m:r>
                        </m:sub>
                      </m:sSub>
                    </m:e>
                    <m:e>
                      <m:r>
                        <m:t>≥</m:t>
                      </m:r>
                      <m:sSub>
                        <m:e>
                          <m:r>
                            <m:t>n</m:t>
                          </m:r>
                        </m:e>
                        <m:sub>
                          <m:r>
                            <m:t>i</m:t>
                          </m:r>
                          <m:r>
                            <m:t>,</m:t>
                          </m:r>
                          <m:r>
                            <m:t>y</m:t>
                          </m:r>
                          <m:r>
                            <m:t>−</m:t>
                          </m:r>
                          <m:r>
                            <m:t>1</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x</m:t>
            </m:r>
          </m:e>
          <m:sub>
            <m:r>
              <m:t>i</m:t>
            </m:r>
            <m:r>
              <m:t>,</m:t>
            </m:r>
            <m:r>
              <m:t>j</m:t>
            </m:r>
            <m:r>
              <m:t>,</m:t>
            </m:r>
            <m:r>
              <m:t>r</m:t>
            </m:r>
            <m:r>
              <m:t>,</m:t>
            </m:r>
            <m:r>
              <m:t>y</m:t>
            </m:r>
          </m:sub>
        </m:sSub>
      </m:oMath>
      <w:r>
        <w:rPr>
          <w:rFonts w:ascii="Times New Roman" w:hAnsi="Times New Roman" w:eastAsia="方正仿宋_GBK"/>
          <w:b w:val="0"/>
          <w:sz w:val="24"/>
        </w:rPr>
        <w:t xml:space="preserve">表示站点</w:t>
      </w:r>
      <m:oMath>
        <m:r>
          <m:t>i</m:t>
        </m:r>
      </m:oMath>
      <w:r>
        <w:rPr>
          <w:rFonts w:ascii="Times New Roman" w:hAnsi="Times New Roman" w:eastAsia="方正仿宋_GBK"/>
          <w:b w:val="0"/>
          <w:sz w:val="24"/>
        </w:rPr>
        <w:t xml:space="preserve">第</w:t>
      </w:r>
      <m:oMath>
        <m:r>
          <m:t>j</m:t>
        </m:r>
      </m:oMath>
      <w:r>
        <w:rPr>
          <w:rFonts w:ascii="Times New Roman" w:hAnsi="Times New Roman" w:eastAsia="方正仿宋_GBK"/>
          <w:b w:val="0"/>
          <w:sz w:val="24"/>
        </w:rPr>
        <w:t xml:space="preserve">个原主变位置在第</w:t>
      </w:r>
      <m:oMath>
        <m:r>
          <m:t>y</m:t>
        </m:r>
      </m:oMath>
      <w:r>
        <w:rPr>
          <w:rFonts w:ascii="Times New Roman" w:hAnsi="Times New Roman" w:eastAsia="方正仿宋_GBK"/>
          <w:b w:val="0"/>
          <w:sz w:val="24"/>
        </w:rPr>
        <w:t xml:space="preserve">年是否采用容量</w:t>
      </w:r>
      <m:oMath>
        <m:r>
          <m:t>r</m:t>
        </m:r>
      </m:oMath>
      <w:r>
        <w:rPr>
          <w:rFonts w:ascii="Times New Roman" w:hAnsi="Times New Roman" w:eastAsia="方正仿宋_GBK"/>
          <w:b w:val="0"/>
          <w:sz w:val="24"/>
        </w:rPr>
        <w:t xml:space="preserve">，</w:t>
      </w:r>
      <m:oMath>
        <m:sSub>
          <m:e>
            <m:r>
              <m:t>z</m:t>
            </m:r>
          </m:e>
          <m:sub>
            <m:r>
              <m:t>i</m:t>
            </m:r>
            <m:r>
              <m:t>,</m:t>
            </m:r>
            <m:r>
              <m:t>y</m:t>
            </m:r>
          </m:sub>
        </m:sSub>
      </m:oMath>
      <w:r>
        <w:rPr>
          <w:rFonts w:ascii="Times New Roman" w:hAnsi="Times New Roman" w:eastAsia="方正仿宋_GBK"/>
          <w:b w:val="0"/>
          <w:sz w:val="24"/>
        </w:rPr>
        <w:t xml:space="preserve">表示第三台50 MVA主变是否在役，</w:t>
      </w:r>
      <m:oMath>
        <m:sSub>
          <m:e>
            <m:r>
              <m:t>n</m:t>
            </m:r>
          </m:e>
          <m:sub>
            <m:r>
              <m:t>i</m:t>
            </m:r>
            <m:r>
              <m:t>,</m:t>
            </m:r>
            <m: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MVA，并可能提高最大单台主变N-1后的剩余容量。设备结构对供电安全的影响进入约束，不能只按每MVA投资排序[85]。</w:t>
      </w:r>
    </w:p>
    <w:p>
      <w:pPr>
        <w:pStyle w:val="5"/>
        <w:keepNext/>
        <w:numPr>
          <w:numId w:val="0"/>
        </w:numPr>
        <w:spacing w:line="390" w:lineRule="exact"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初始转供率用于概括基期可转负荷条件。邳州局部六馈线资料可用于说明比例的计算过程：以最大电流估计本地负荷，以允许电流与已用电流之差估计接收余量，再考虑联络路径及共享馈线预算。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对同一馈线接入的多条联络，其转出和接收任务共用同一负荷及热限预算。局部筛查的最大可转负荷为9.98 MW，样本负荷合计35.29 MW，比例约28%。该比例说明局部样本条件，不能直接认定为全县实测水平。当前地区案例按具体已知联络与候选区段建模，不按统一比例凭空增加站间连接。</w:t>
      </w:r>
    </w:p>
    <w:p>
      <w:pPr>
        <w:pStyle w:val="2"/>
        <w:widowControl/>
        <w:spacing w:line="348" w:lineRule="exact" w:before="0" w:after="0"/>
        <w:ind w:firstLine="480"/>
        <w:jc w:val="both"/>
      </w:pPr>
      <w:r>
        <w:rPr>
          <w:rFonts w:ascii="Times New Roman" w:hAnsi="Times New Roman" w:eastAsia="方正仿宋_GBK"/>
          <w:b w:val="0"/>
          <w:sz w:val="24"/>
        </w:rPr>
        <w:t xml:space="preserve">市区按A类较少、B类较多的研究背景，参数研究采用B类区间中值40%，并比较30%～50%。导则对A+、A类及B、C类的转供比例建议分别为50%～70%和30%～50%[5]。在分区负荷及存量网络核实前，40%仅作为研究参考；地区案例中缺少已核实存量边的部分仍按新增付费候选处理。</w:t>
      </w:r>
    </w:p>
    <w:p>
      <w:pPr>
        <w:pStyle w:val="5"/>
        <w:keepNext/>
        <w:numPr>
          <w:numId w:val="0"/>
        </w:numPr>
        <w:spacing w:line="390" w:lineRule="exact" w:before="160" w:after="120"/>
        <w:ind w:firstLine="0"/>
      </w:pPr>
      <w:bookmarkStart w:id="181" w:name="新建10-kv联络提升转供能力"/>
      <w:r>
        <w:rPr>
          <w:rFonts w:ascii="Times New Roman" w:hAnsi="Times New Roman" w:eastAsia="方正仿宋_GBK"/>
          <w:b/>
          <w:sz w:val="26"/>
        </w:rPr>
        <w:t xml:space="preserve">5.2.3 新建10 kV联络提升转供能力</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未建设的候选边不能承担转供。共用馈线的联络项目共同占用该馈线的可转负荷与接收余量，接收负荷还应通过邻站主变容量校核。</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Sup>
                        <m:e>
                          <m:r>
                            <m:t>q</m:t>
                          </m:r>
                        </m:e>
                        <m:sub>
                          <m:r>
                            <m:t>e</m:t>
                          </m:r>
                          <m:r>
                            <m:t>,</m:t>
                          </m:r>
                          <m:r>
                            <m:t>ω</m:t>
                          </m:r>
                        </m:sub>
                        <m:sup>
                          <m:r>
                            <m:t>a</m:t>
                          </m:r>
                          <m:r>
                            <m:t>→</m:t>
                          </m:r>
                          <m:r>
                            <m:t>b</m:t>
                          </m:r>
                        </m:sup>
                      </m:sSubSup>
                      <m:r>
                        <m:t>+</m:t>
                      </m:r>
                      <m:sSubSup>
                        <m:e>
                          <m:r>
                            <m:t>q</m:t>
                          </m:r>
                        </m:e>
                        <m:sub>
                          <m:r>
                            <m:t>e</m:t>
                          </m:r>
                          <m:r>
                            <m:t>,</m:t>
                          </m:r>
                          <m:r>
                            <m:t>ω</m:t>
                          </m:r>
                        </m:sub>
                        <m:sup>
                          <m:r>
                            <m:t>b</m:t>
                          </m:r>
                          <m:r>
                            <m:t>→</m:t>
                          </m:r>
                          <m:r>
                            <m:t>a</m:t>
                          </m:r>
                        </m:sup>
                      </m:sSubSup>
                    </m:e>
                    <m:e>
                      <m:r>
                        <m:t>≤</m:t>
                      </m:r>
                      <m:sSub>
                        <m:e>
                          <m:r>
                            <m:t>F</m:t>
                          </m:r>
                        </m:e>
                        <m:sub>
                          <m:r>
                            <m:t>e</m:t>
                          </m:r>
                        </m:sub>
                      </m:sSub>
                      <m:sSub>
                        <m:e>
                          <m:r>
                            <m:t>x</m:t>
                          </m:r>
                        </m:e>
                        <m:sub>
                          <m:r>
                            <m:t>e</m:t>
                          </m:r>
                          <m:r>
                            <m:t>,</m:t>
                          </m:r>
                          <m:r>
                            <m:t>y</m:t>
                          </m:r>
                        </m:sub>
                      </m:sSub>
                      <m:r>
                        <m:t>,</m:t>
                      </m:r>
                    </m:e>
                  </m:mr>
                  <m:mr>
                    <m:e>
                      <m:nary>
                        <m:naryPr>
                          <m:chr m:val="∑"/>
                          <m:limLoc m:val="undOvr"/>
                          <m:subHide m:val="0"/>
                          <m:supHide m:val="1"/>
                        </m:naryPr>
                        <m:sub>
                          <m:r>
                            <m:t>e</m:t>
                          </m:r>
                          <m:r>
                            <m:t>∈</m:t>
                          </m:r>
                          <m:sSubSup>
                            <m:e>
                              <m:r>
                                <m:rPr>
                                  <m:sty m:val="p"/>
                                  <m:scr m:val="script"/>
                                </m:rPr>
                                <m:t>E</m:t>
                              </m:r>
                            </m:e>
                            <m:sub>
                              <m:r>
                                <m:t>f</m:t>
                              </m:r>
                            </m:sub>
                            <m:sup>
                              <m:r>
                                <m:rPr>
                                  <m:sty m:val="p"/>
                                </m:rPr>
                                <m:t>o</m:t>
                              </m:r>
                              <m:r>
                                <m:rPr>
                                  <m:sty m:val="p"/>
                                </m:rPr>
                                <m:t>u</m:t>
                              </m:r>
                              <m:r>
                                <m:rPr>
                                  <m:sty m:val="p"/>
                                </m:rPr>
                                <m:t>t</m:t>
                              </m:r>
                            </m:sup>
                          </m:sSubSup>
                        </m:sub>
                        <m:sup>
                          <m:r>
                            <m:t>​</m:t>
                          </m:r>
                        </m:sup>
                        <m:e>
                          <m:sSub>
                            <m:e>
                              <m:r>
                                <m:t>q</m:t>
                              </m:r>
                            </m:e>
                            <m:sub>
                              <m:r>
                                <m:t>e</m:t>
                              </m:r>
                              <m:r>
                                <m:t>,</m:t>
                              </m:r>
                              <m:r>
                                <m:t>ω</m:t>
                              </m:r>
                            </m:sub>
                          </m:sSub>
                        </m:e>
                      </m:nary>
                    </m:e>
                    <m:e>
                      <m:r>
                        <m:t>≤</m:t>
                      </m:r>
                      <m:sSubSup>
                        <m:e>
                          <m:r>
                            <m:t>P</m:t>
                          </m:r>
                        </m:e>
                        <m:sub>
                          <m:r>
                            <m:t>f</m:t>
                          </m:r>
                          <m:r>
                            <m:t>,</m:t>
                          </m:r>
                          <m:r>
                            <m:t>ω</m:t>
                          </m:r>
                        </m:sub>
                        <m:sup>
                          <m:r>
                            <m:rPr>
                              <m:sty m:val="p"/>
                            </m:rPr>
                            <m:t>o</m:t>
                          </m:r>
                          <m:r>
                            <m:rPr>
                              <m:sty m:val="p"/>
                            </m:rPr>
                            <m:t>w</m:t>
                          </m:r>
                          <m:r>
                            <m:rPr>
                              <m:sty m:val="p"/>
                            </m:rPr>
                            <m:t>n</m:t>
                          </m:r>
                        </m:sup>
                      </m:sSubSup>
                      <m:r>
                        <m:t>,</m:t>
                      </m:r>
                    </m:e>
                  </m:mr>
                  <m:mr>
                    <m:e>
                      <m:nary>
                        <m:naryPr>
                          <m:chr m:val="∑"/>
                          <m:limLoc m:val="undOvr"/>
                          <m:subHide m:val="0"/>
                          <m:supHide m:val="1"/>
                        </m:naryPr>
                        <m:sub>
                          <m:r>
                            <m:t>e</m:t>
                          </m:r>
                          <m:r>
                            <m:t>∈</m:t>
                          </m:r>
                          <m:sSubSup>
                            <m:e>
                              <m:r>
                                <m:rPr>
                                  <m:sty m:val="p"/>
                                  <m:scr m:val="script"/>
                                </m:rPr>
                                <m:t>E</m:t>
                              </m:r>
                            </m:e>
                            <m:sub>
                              <m:r>
                                <m:t>f</m:t>
                              </m:r>
                            </m:sub>
                            <m:sup>
                              <m:r>
                                <m:rPr>
                                  <m:sty m:val="p"/>
                                </m:rPr>
                                <m:t>i</m:t>
                              </m:r>
                              <m:r>
                                <m:rPr>
                                  <m:sty m:val="p"/>
                                </m:rPr>
                                <m:t>n</m:t>
                              </m:r>
                            </m:sup>
                          </m:sSubSup>
                        </m:sub>
                        <m:sup>
                          <m:r>
                            <m:t>​</m:t>
                          </m:r>
                        </m:sup>
                        <m:e>
                          <m:sSub>
                            <m:e>
                              <m:r>
                                <m:t>q</m:t>
                              </m:r>
                            </m:e>
                            <m:sub>
                              <m:r>
                                <m:t>e</m:t>
                              </m:r>
                              <m:r>
                                <m:t>,</m:t>
                              </m:r>
                              <m:r>
                                <m:t>ω</m:t>
                              </m:r>
                            </m:sub>
                          </m:sSub>
                        </m:e>
                      </m:nary>
                    </m:e>
                    <m:e>
                      <m:r>
                        <m:t>≤</m:t>
                      </m:r>
                      <m:sSub>
                        <m:e>
                          <m:r>
                            <m:t>F</m:t>
                          </m:r>
                        </m:e>
                        <m:sub>
                          <m:r>
                            <m:t>f</m:t>
                          </m:r>
                        </m:sub>
                      </m:sSub>
                      <m:r>
                        <m:t>−</m:t>
                      </m:r>
                      <m:sSubSup>
                        <m:e>
                          <m:r>
                            <m:t>P</m:t>
                          </m:r>
                        </m:e>
                        <m:sub>
                          <m:r>
                            <m:t>f</m:t>
                          </m:r>
                          <m:r>
                            <m:t>,</m:t>
                          </m:r>
                          <m:r>
                            <m:t>y</m:t>
                          </m:r>
                        </m:sub>
                        <m:sup>
                          <m:r>
                            <m:rPr>
                              <m:sty m:val="p"/>
                            </m:rPr>
                            <m:t>r</m:t>
                          </m:r>
                          <m:r>
                            <m:rPr>
                              <m:sty m:val="p"/>
                            </m:rPr>
                            <m:t>e</m:t>
                          </m:r>
                          <m:r>
                            <m:rPr>
                              <m:sty m:val="p"/>
                            </m:rPr>
                            <m:t>f</m:t>
                          </m:r>
                        </m:sup>
                      </m:sSubSup>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q</m:t>
            </m:r>
          </m:e>
          <m:sub>
            <m:r>
              <m:t>e</m:t>
            </m:r>
            <m:r>
              <m:t>,</m:t>
            </m:r>
            <m:r>
              <m:t>ω</m:t>
            </m:r>
          </m:sub>
        </m:sSub>
      </m:oMath>
      <w:r>
        <w:rPr>
          <w:rFonts w:ascii="Times New Roman" w:hAnsi="Times New Roman" w:eastAsia="方正仿宋_GBK"/>
          <w:b w:val="0"/>
          <w:sz w:val="24"/>
        </w:rPr>
        <w:t xml:space="preserve">为工况</w:t>
      </w:r>
      <m:oMath>
        <m:r>
          <m:t>ω</m:t>
        </m:r>
      </m:oMath>
      <w:r>
        <w:rPr>
          <w:rFonts w:ascii="Times New Roman" w:hAnsi="Times New Roman" w:eastAsia="方正仿宋_GBK"/>
          <w:b w:val="0"/>
          <w:sz w:val="24"/>
        </w:rPr>
        <w:t xml:space="preserve">下线路</w:t>
      </w:r>
      <m:oMath>
        <m:r>
          <m:t>e</m:t>
        </m:r>
      </m:oMath>
      <w:r>
        <w:rPr>
          <w:rFonts w:ascii="Times New Roman" w:hAnsi="Times New Roman" w:eastAsia="方正仿宋_GBK"/>
          <w:b w:val="0"/>
          <w:sz w:val="24"/>
        </w:rPr>
        <w:t xml:space="preserve">的转供功率，</w:t>
      </w:r>
      <m:oMath>
        <m:sSub>
          <m:e>
            <m:r>
              <m:t>F</m:t>
            </m:r>
          </m:e>
          <m:sub>
            <m:r>
              <m:t>e</m:t>
            </m:r>
          </m:sub>
        </m:sSub>
      </m:oMath>
      <w:r>
        <w:rPr>
          <w:rFonts w:ascii="Times New Roman" w:hAnsi="Times New Roman" w:eastAsia="方正仿宋_GBK"/>
          <w:b w:val="0"/>
          <w:sz w:val="24"/>
        </w:rPr>
        <w:t xml:space="preserve">为线路有效容量，</w:t>
      </w:r>
      <m:oMath>
        <m:sSub>
          <m:e>
            <m:r>
              <m:t>x</m:t>
            </m:r>
          </m:e>
          <m:sub>
            <m:r>
              <m:t>e</m:t>
            </m:r>
            <m:r>
              <m:t>,</m:t>
            </m:r>
            <m:r>
              <m:t>y</m:t>
            </m:r>
          </m:sub>
        </m:sSub>
      </m:oMath>
      <w:r>
        <w:rPr>
          <w:rFonts w:ascii="Times New Roman" w:hAnsi="Times New Roman" w:eastAsia="方正仿宋_GBK"/>
          <w:b w:val="0"/>
          <w:sz w:val="24"/>
        </w:rPr>
        <w:t xml:space="preserve">为投运状态，既有边取1。</w:t>
      </w:r>
      <m:oMath>
        <m:sSubSup>
          <m:e>
            <m:r>
              <m:t>P</m:t>
            </m:r>
          </m:e>
          <m:sub>
            <m:r>
              <m:t>f</m:t>
            </m:r>
            <m:r>
              <m:t>,</m:t>
            </m:r>
            <m:r>
              <m:t>ω</m:t>
            </m:r>
          </m:sub>
          <m:sup>
            <m:r>
              <m:rPr>
                <m:sty m:val="p"/>
              </m:rPr>
              <m:t>o</m:t>
            </m:r>
            <m:r>
              <m:rPr>
                <m:sty m:val="p"/>
              </m:rPr>
              <m:t>w</m:t>
            </m:r>
            <m:r>
              <m:rPr>
                <m:sty m:val="p"/>
              </m:rPr>
              <m:t>n</m:t>
            </m:r>
          </m:sup>
        </m:sSubSup>
      </m:oMath>
      <w:r>
        <w:rPr>
          <w:rFonts w:ascii="Times New Roman" w:hAnsi="Times New Roman" w:eastAsia="方正仿宋_GBK"/>
          <w:b w:val="0"/>
          <w:sz w:val="24"/>
        </w:rPr>
        <w:t xml:space="preserve">为馈线</w:t>
      </w:r>
      <m:oMath>
        <m:r>
          <m:t>f</m:t>
        </m:r>
      </m:oMath>
      <w:r>
        <w:rPr>
          <w:rFonts w:ascii="Times New Roman" w:hAnsi="Times New Roman" w:eastAsia="方正仿宋_GBK"/>
          <w:b w:val="0"/>
          <w:sz w:val="24"/>
        </w:rPr>
        <w:t xml:space="preserve">自身可转负荷，</w:t>
      </w:r>
      <m:oMath>
        <m:sSub>
          <m:e>
            <m:r>
              <m:t>F</m:t>
            </m:r>
          </m:e>
          <m:sub>
            <m:r>
              <m:t>f</m:t>
            </m:r>
          </m:sub>
        </m:sSub>
      </m:oMath>
      <w:r>
        <w:rPr>
          <w:rFonts w:ascii="Times New Roman" w:hAnsi="Times New Roman" w:eastAsia="方正仿宋_GBK"/>
          <w:b w:val="0"/>
          <w:sz w:val="24"/>
        </w:rPr>
        <w:t xml:space="preserve">为热限，</w:t>
      </w:r>
      <m:oMath>
        <m:sSubSup>
          <m:e>
            <m:r>
              <m:t>P</m:t>
            </m:r>
          </m:e>
          <m:sub>
            <m:r>
              <m:t>f</m:t>
            </m:r>
            <m:r>
              <m:t>,</m:t>
            </m:r>
            <m:r>
              <m:t>y</m:t>
            </m:r>
          </m:sub>
          <m:sup>
            <m:r>
              <m:rPr>
                <m:sty m:val="p"/>
              </m:rPr>
              <m:t>r</m:t>
            </m:r>
            <m:r>
              <m:rPr>
                <m:sty m:val="p"/>
              </m:rPr>
              <m:t>e</m:t>
            </m:r>
            <m:r>
              <m:rPr>
                <m:sty m:val="p"/>
              </m:rPr>
              <m:t>f</m:t>
            </m:r>
          </m:sup>
        </m:sSubSup>
      </m:oMath>
      <w:r>
        <w:rPr>
          <w:rFonts w:ascii="Times New Roman" w:hAnsi="Times New Roman" w:eastAsia="方正仿宋_GBK"/>
          <w:b w:val="0"/>
          <w:sz w:val="24"/>
        </w:rPr>
        <w:t xml:space="preserve">为接收余量计算采用的馈线负荷。各量单位均为MW，负的接收余量按0处理。送端可转负荷不包括先从其他站转入的负荷，避免重复利用同一负荷块。</w:t>
      </w:r>
    </w:p>
    <w:p>
      <w:pPr>
        <w:pStyle w:val="2"/>
        <w:widowControl/>
        <w:spacing w:line="348" w:lineRule="exact" w:before="0" w:after="0"/>
        <w:ind w:firstLine="480"/>
        <w:jc w:val="both"/>
      </w:pPr>
      <w:r>
        <w:rPr>
          <w:rFonts w:ascii="Times New Roman" w:hAnsi="Times New Roman" w:eastAsia="方正仿宋_GBK"/>
          <w:b w:val="0"/>
          <w:sz w:val="24"/>
        </w:rPr>
        <w:t xml:space="preserve">邳州保留已知存量联络及原付费候选。市区按共同上级电源及间隔资料筛选候选，馈线分配和热限含研究假设。共同上级电源只表示规划筛查条件，不证明现实已存在10 kV联络。市区没有已核实存量边的部分按新增建设计费，其费用应结合后续存量网络核查解释。</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不把互不同时发生的故障需求相加。线路投运后持续在役，后续负荷增加不自动扩大线路热限。</w:t>
      </w:r>
    </w:p>
    <w:p>
      <w:pPr>
        <w:pStyle w:val="5"/>
        <w:keepNext/>
        <w:numPr>
          <w:numId w:val="0"/>
        </w:numPr>
        <w:spacing w:line="390" w:lineRule="exact"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i</m:t>
                          </m:r>
                          <m:r>
                            <m:t>,</m:t>
                          </m:r>
                          <m:r>
                            <m:t>ω</m:t>
                          </m:r>
                        </m:sub>
                      </m:sSub>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r>
                        <m:t>,</m:t>
                      </m:r>
                    </m:e>
                  </m:mr>
                  <m:mr>
                    <m:e>
                      <m:nary>
                        <m:naryPr>
                          <m:chr m:val="∑"/>
                          <m:limLoc m:val="undOvr"/>
                          <m:subHide m:val="0"/>
                          <m:supHide m:val="1"/>
                        </m:naryPr>
                        <m:sub>
                          <m:r>
                            <m:t>i</m:t>
                          </m:r>
                        </m:sub>
                        <m:sup>
                          <m:r>
                            <m:t>​</m:t>
                          </m:r>
                        </m:sup>
                        <m:e>
                          <m:sSubSup>
                            <m:e>
                              <m:r>
                                <m:t>Q</m:t>
                              </m:r>
                            </m:e>
                            <m:sub>
                              <m:r>
                                <m:t>i</m:t>
                              </m:r>
                              <m:r>
                                <m:t>,</m:t>
                              </m:r>
                              <m:r>
                                <m:t>ω</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ω</m:t>
                              </m:r>
                            </m:sub>
                            <m:sup>
                              <m:r>
                                <m:rPr>
                                  <m:sty m:val="p"/>
                                </m:rPr>
                                <m:t>i</m:t>
                              </m:r>
                              <m:r>
                                <m:rPr>
                                  <m:sty m:val="p"/>
                                </m:rPr>
                                <m:t>n</m:t>
                              </m:r>
                            </m:sup>
                          </m:sSubSup>
                        </m:e>
                      </m:nary>
                      <m:r>
                        <m:t>,</m:t>
                      </m:r>
                    </m:e>
                  </m:mr>
                  <m:mr>
                    <m:e>
                      <m:nary>
                        <m:naryPr>
                          <m:chr m:val="∑"/>
                          <m:limLoc m:val="undOvr"/>
                          <m:subHide m:val="0"/>
                          <m:supHide m:val="1"/>
                        </m:naryPr>
                        <m:sub>
                          <m:r>
                            <m:t>i</m:t>
                          </m:r>
                        </m:sub>
                        <m:sup>
                          <m:r>
                            <m:t>​</m:t>
                          </m:r>
                        </m:sup>
                        <m:e>
                          <m:r>
                            <m:t>P</m:t>
                          </m:r>
                        </m:e>
                      </m:nary>
                      <m:sSub>
                        <m:e>
                          <m:r>
                            <m:t>′</m:t>
                          </m:r>
                        </m:e>
                        <m:sub>
                          <m:r>
                            <m:t>i</m:t>
                          </m:r>
                          <m:r>
                            <m:t>,</m:t>
                          </m:r>
                          <m:r>
                            <m:t>ω</m:t>
                          </m:r>
                        </m:sub>
                      </m:sSub>
                    </m:e>
                    <m:e>
                      <m:r>
                        <m:t>=</m:t>
                      </m:r>
                      <m:nary>
                        <m:naryPr>
                          <m:chr m:val="∑"/>
                          <m:limLoc m:val="undOvr"/>
                          <m:subHide m:val="0"/>
                          <m:supHide m:val="1"/>
                        </m:naryPr>
                        <m:sub>
                          <m:r>
                            <m:t>i</m:t>
                          </m:r>
                        </m:sub>
                        <m:sup>
                          <m:r>
                            <m:t>​</m:t>
                          </m:r>
                        </m:sup>
                        <m:e>
                          <m:sSub>
                            <m:e>
                              <m:r>
                                <m:t>P</m:t>
                              </m:r>
                            </m:e>
                            <m:sub>
                              <m:r>
                                <m:t>i</m:t>
                              </m:r>
                              <m:r>
                                <m:t>,</m:t>
                              </m:r>
                              <m:r>
                                <m:t>ω</m:t>
                              </m:r>
                            </m:sub>
                          </m:sSub>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和</w:t>
      </w:r>
      <m:oMath>
        <m:r>
          <m:t>P</m:t>
        </m:r>
        <m:sSub>
          <m:e>
            <m:r>
              <m:t>′</m:t>
            </m:r>
          </m:e>
          <m:sub>
            <m:r>
              <m:t>i</m:t>
            </m:r>
            <m:r>
              <m:t>,</m:t>
            </m:r>
            <m:r>
              <m:t>ω</m:t>
            </m:r>
          </m:sub>
        </m:sSub>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在工况</w:t>
      </w:r>
      <m:oMath>
        <m:r>
          <m:t>ω</m:t>
        </m:r>
      </m:oMath>
      <w:r>
        <w:rPr>
          <w:rFonts w:ascii="Times New Roman" w:hAnsi="Times New Roman" w:eastAsia="方正仿宋_GBK"/>
          <w:b w:val="0"/>
          <w:sz w:val="24"/>
        </w:rPr>
        <w:t xml:space="preserve">下转接前后的净负荷，</w:t>
      </w:r>
      <m:oMath>
        <m:sSubSup>
          <m:e>
            <m:r>
              <m:t>Q</m:t>
            </m:r>
          </m:e>
          <m:sub>
            <m:r>
              <m:t>i</m:t>
            </m:r>
            <m:r>
              <m:t>,</m:t>
            </m:r>
            <m:r>
              <m:t>ω</m:t>
            </m:r>
          </m:sub>
          <m:sup>
            <m:r>
              <m:rPr>
                <m:sty m:val="p"/>
              </m:rPr>
              <m:t>o</m:t>
            </m:r>
            <m:r>
              <m:rPr>
                <m:sty m:val="p"/>
              </m:rPr>
              <m:t>u</m:t>
            </m:r>
            <m:r>
              <m:rPr>
                <m:sty m:val="p"/>
              </m:rPr>
              <m:t>t</m:t>
            </m:r>
          </m:sup>
        </m:sSubSup>
      </m:oMath>
      <w:r>
        <w:rPr>
          <w:rFonts w:ascii="Times New Roman" w:hAnsi="Times New Roman" w:eastAsia="方正仿宋_GBK"/>
          <w:b w:val="0"/>
          <w:sz w:val="24"/>
        </w:rPr>
        <w:t xml:space="preserve">和</w:t>
      </w:r>
      <m:oMath>
        <m:sSubSup>
          <m:e>
            <m:r>
              <m:t>Q</m:t>
            </m:r>
          </m:e>
          <m:sub>
            <m:r>
              <m:t>i</m:t>
            </m:r>
            <m:r>
              <m:t>,</m:t>
            </m:r>
            <m:r>
              <m:t>ω</m:t>
            </m:r>
          </m:sub>
          <m:sup>
            <m:r>
              <m:rPr>
                <m:sty m:val="p"/>
              </m:rPr>
              <m:t>i</m:t>
            </m:r>
            <m:r>
              <m:rPr>
                <m:sty m:val="p"/>
              </m: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MW。这一转接还必须经过已投运线路，并同时满足源端可转负荷、受端馈线余量和两站主变容量要求。算术守恒本身不能证明转接能够实施。</w:t>
      </w:r>
    </w:p>
    <w:p>
      <w:pPr>
        <w:pStyle w:val="5"/>
        <w:keepNext/>
        <w:numPr>
          <w:numId w:val="0"/>
        </w:numPr>
        <w:spacing w:line="390" w:lineRule="exact" w:before="160" w:after="120"/>
        <w:ind w:firstLine="0"/>
      </w:pPr>
      <w:bookmarkStart w:id="183" w:name="储能有效支撑功率"/>
      <w:r>
        <w:rPr>
          <w:rFonts w:ascii="Times New Roman" w:hAnsi="Times New Roman" w:eastAsia="方正仿宋_GBK"/>
          <w:b/>
          <w:sz w:val="26"/>
        </w:rPr>
        <w:t xml:space="preserve">5.2.5 储能有效支撑功率</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Sup>
                  <m:e>
                    <m:r>
                      <m:t>B</m:t>
                    </m:r>
                  </m:e>
                  <m:sub>
                    <m:r>
                      <m:t>i</m:t>
                    </m:r>
                  </m:sub>
                  <m:sup>
                    <m:r>
                      <m:t>±</m:t>
                    </m:r>
                  </m:sup>
                </m:sSubSup>
                <m:r>
                  <m:t>=</m:t>
                </m:r>
                <m:r>
                  <m:rPr>
                    <m:nor/>
                    <m:sty m:val="p"/>
                  </m:rPr>
                  <m:t>min</m:t>
                </m:r>
                <m:d>
                  <m:dPr>
                    <m:begChr m:val="{"/>
                    <m:endChr m:val="}"/>
                    <m:grow/>
                  </m:dPr>
                  <m:e>
                    <m:r>
                      <m:t>0.10</m:t>
                    </m:r>
                    <m:sSub>
                      <m:e>
                        <m:r>
                          <m:t>n</m:t>
                        </m:r>
                      </m:e>
                      <m:sub>
                        <m:r>
                          <m:t>i</m:t>
                        </m:r>
                      </m:sub>
                    </m:sSub>
                    <m:r>
                      <m:t>,</m:t>
                    </m:r>
                    <m:f>
                      <m:fPr>
                        <m:type m:val="bar"/>
                      </m:fPr>
                      <m:num>
                        <m:r>
                          <m:t>0.215</m:t>
                        </m:r>
                        <m:r>
                          <m:t>×</m:t>
                        </m:r>
                        <m:r>
                          <m:t>0.76</m:t>
                        </m:r>
                        <m:sSub>
                          <m:e>
                            <m:r>
                              <m:t>n</m:t>
                            </m:r>
                          </m:e>
                          <m:sub>
                            <m:r>
                              <m:t>i</m:t>
                            </m:r>
                          </m:sub>
                        </m:sSub>
                      </m:num>
                      <m:den>
                        <m:sSubSup>
                          <m:e>
                            <m:r>
                              <m:t>H</m:t>
                            </m:r>
                          </m:e>
                          <m:sub>
                            <m:r>
                              <m:t>i</m:t>
                            </m:r>
                          </m:sub>
                          <m:sup>
                            <m:r>
                              <m:t>±</m:t>
                            </m:r>
                          </m:sup>
                        </m:sSubSup>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Sup>
          <m:e>
            <m:r>
              <m:t>H</m:t>
            </m:r>
          </m:e>
          <m:sub>
            <m:r>
              <m:t>i</m:t>
            </m:r>
          </m:sub>
          <m:sup>
            <m:r>
              <m:t>±</m:t>
            </m:r>
          </m:sup>
        </m:sSubSup>
      </m:oMath>
      <w:r>
        <w:rPr>
          <w:rFonts w:ascii="Times New Roman" w:hAnsi="Times New Roman" w:eastAsia="方正仿宋_GBK"/>
          <w:b w:val="0"/>
          <w:sz w:val="24"/>
        </w:rPr>
        <w:t xml:space="preserve">为正向支撑或反向吸收持续时间，单位h；</w:t>
      </w:r>
      <m:oMath>
        <m:sSubSup>
          <m:e>
            <m:r>
              <m:t>B</m:t>
            </m:r>
          </m:e>
          <m:sub>
            <m:r>
              <m:t>i</m:t>
            </m:r>
          </m:sub>
          <m:sup>
            <m:r>
              <m:t>±</m:t>
            </m:r>
          </m:sup>
        </m:sSubSup>
      </m:oMath>
      <w:r>
        <w:rPr>
          <w:rFonts w:ascii="Times New Roman" w:hAnsi="Times New Roman" w:eastAsia="方正仿宋_GBK"/>
          <w:b w:val="0"/>
          <w:sz w:val="24"/>
        </w:rPr>
        <w:t xml:space="preserve">为相应有效功率，单位MW。4 h条件下每柜可提供0.04085 MW的静态支撑。该折算用于技术经济比选，不能替代工程阶段对充电条件、连续运行及保证可用电量的校核。</w:t>
      </w:r>
    </w:p>
    <w:p>
      <w:pPr>
        <w:pStyle w:val="4"/>
        <w:keepNext/>
        <w:numPr>
          <w:numId w:val="0"/>
        </w:numPr>
        <w:spacing w:line="480" w:lineRule="exact" w:before="160" w:after="120"/>
        <w:ind w:firstLine="0"/>
      </w:pPr>
      <w:bookmarkStart w:id="1549" w:name="h549"/>
      <w:bookmarkStart w:id="184" w:name="约束条件与求解流程"/>
      <w:r>
        <w:rPr>
          <w:rFonts w:ascii="Times New Roman" w:hAnsi="Times New Roman" w:eastAsia="方正仿宋_GBK"/>
          <w:b/>
          <w:sz w:val="32"/>
        </w:rPr>
        <w:t xml:space="preserve">5.3 约束条件与求解流程</w:t>
      </w:r>
      <w:bookmarkEnd w:id="184"/>
      <w:bookmarkEnd w:id="1549"/>
    </w:p>
    <w:p>
      <w:pPr>
        <w:pStyle w:val="5"/>
        <w:keepNext/>
        <w:numPr>
          <w:numId w:val="0"/>
        </w:numPr>
        <w:spacing w:line="390" w:lineRule="exact" w:before="160" w:after="120"/>
        <w:ind w:firstLine="0"/>
      </w:pPr>
      <w:bookmarkStart w:id="185" w:name="正常运行与主变n-1"/>
      <w:r>
        <w:rPr>
          <w:rFonts w:ascii="Times New Roman" w:hAnsi="Times New Roman" w:eastAsia="方正仿宋_GBK"/>
          <w:b/>
          <w:sz w:val="26"/>
        </w:rPr>
        <w:t xml:space="preserve">5.3.1 正常运行与主变N-1</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每个静态工况分别校核正常运行及各站主变N-1。故障站按剩余主变容量计算，健康邻站保留全部主变，允许通过已投运线路重新安排负荷。不同故障工况互不同时发生，不能把全区各站容量同时扣减一台主变。</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e>
                  </m:mr>
                  <m:mr>
                    <m:e/>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r>
                        <m:t>,</m:t>
                      </m:r>
                    </m:e>
                  </m:mr>
                  <m:mr>
                    <m:e>
                      <m:sSubSup>
                        <m:e>
                          <m:r>
                            <m:t>S</m:t>
                          </m:r>
                        </m:e>
                        <m:sub>
                          <m:r>
                            <m:t>i</m:t>
                          </m:r>
                          <m:r>
                            <m:t>,</m:t>
                          </m:r>
                          <m:r>
                            <m:t>ω</m:t>
                          </m:r>
                        </m:sub>
                        <m:sup>
                          <m:r>
                            <m:rPr>
                              <m:sty m:val="p"/>
                            </m:rPr>
                            <m:t>a</m:t>
                          </m:r>
                          <m:r>
                            <m:rPr>
                              <m:sty m:val="p"/>
                            </m:rPr>
                            <m:t>v</m:t>
                          </m:r>
                        </m:sup>
                      </m:sSubSup>
                    </m:e>
                    <m:e>
                      <m:r>
                        <m:t>=</m:t>
                      </m:r>
                      <m:sSub>
                        <m:e>
                          <m:r>
                            <m:t>S</m:t>
                          </m:r>
                        </m:e>
                        <m:sub>
                          <m:r>
                            <m:t>i</m:t>
                          </m:r>
                        </m:sub>
                      </m:sSub>
                      <m:r>
                        <m:t>−</m:t>
                      </m:r>
                      <m:sSub>
                        <m:e>
                          <m:r>
                            <m:rPr>
                              <m:sty m:val="b"/>
                            </m:rPr>
                            <m:t>1</m:t>
                          </m:r>
                        </m:e>
                        <m:sub>
                          <m:r>
                            <m:t>i</m:t>
                          </m:r>
                          <m:r>
                            <m:rPr>
                              <m:nor/>
                              <m:sty m:val="p"/>
                            </m:rPr>
                            <m:t>为故障站</m:t>
                          </m:r>
                        </m:sub>
                      </m:sSub>
                      <m:limLow>
                        <m:e>
                          <m:r>
                            <m:rPr>
                              <m:nor/>
                              <m:sty m:val="p"/>
                            </m:rPr>
                            <m:t>max</m:t>
                          </m:r>
                        </m:e>
                        <m:lim>
                          <m:r>
                            <m:t>j</m:t>
                          </m:r>
                        </m:lim>
                      </m:limLow>
                      <m:sSub>
                        <m:e>
                          <m:r>
                            <m:t>S</m:t>
                          </m:r>
                        </m:e>
                        <m:sub>
                          <m:r>
                            <m:t>i</m:t>
                          </m:r>
                          <m:r>
                            <m:t>,</m:t>
                          </m:r>
                          <m:r>
                            <m:t>j</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为带符号的站级净负荷，受入为正、反送为负；</w:t>
      </w:r>
      <m:oMath>
        <m:sSubSup>
          <m:e>
            <m:r>
              <m:t>S</m:t>
            </m:r>
          </m:e>
          <m:sub>
            <m:r>
              <m:t>i</m:t>
            </m:r>
            <m:r>
              <m:t>,</m:t>
            </m:r>
            <m:r>
              <m:t>ω</m:t>
            </m:r>
          </m:sub>
          <m:sup>
            <m:r>
              <m:rPr>
                <m:sty m:val="p"/>
              </m:rPr>
              <m:t>a</m:t>
            </m:r>
            <m:r>
              <m:rPr>
                <m:sty m:val="p"/>
              </m: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6" w:name="评价期费用目标"/>
      <w:r>
        <w:rPr>
          <w:rFonts w:ascii="Times New Roman" w:hAnsi="Times New Roman" w:eastAsia="方正仿宋_GBK"/>
          <w:b/>
          <w:sz w:val="26"/>
        </w:rPr>
        <w:t xml:space="preserve">5.3.2 评价期费用目标</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rPr>
                          <m:nor/>
                          <m:sty m:val="p"/>
                        </m:rPr>
                        <m:t>min</m:t>
                      </m:r>
                      <m:sSub>
                        <m:e>
                          <m:r>
                            <m:t>C</m:t>
                          </m:r>
                        </m:e>
                        <m:sub>
                          <m:r>
                            <m:rPr>
                              <m:sty m:val="p"/>
                            </m:rPr>
                            <m:t>p</m:t>
                          </m:r>
                          <m:r>
                            <m:rPr>
                              <m:sty m:val="p"/>
                            </m:rPr>
                            <m:t>l</m:t>
                          </m:r>
                          <m:r>
                            <m:rPr>
                              <m:sty m:val="p"/>
                            </m:rPr>
                            <m:t>a</m:t>
                          </m:r>
                          <m:r>
                            <m:rPr>
                              <m:sty m:val="p"/>
                            </m:rPr>
                            <m:t>n</m:t>
                          </m:r>
                        </m:sub>
                      </m:sSub>
                      <m:r>
                        <m:t>=</m:t>
                      </m:r>
                      <m:nary>
                        <m:naryPr>
                          <m:chr m:val="∑"/>
                          <m:limLoc m:val="undOvr"/>
                          <m:subHide m:val="0"/>
                          <m:supHide m:val="1"/>
                        </m:naryPr>
                        <m:sub>
                          <m:r>
                            <m:t>y</m:t>
                          </m:r>
                        </m:sub>
                        <m:sup>
                          <m:r>
                            <m:t>​</m:t>
                          </m:r>
                        </m:sup>
                        <m:e>
                          <m:r>
                            <m:t>[</m:t>
                          </m:r>
                        </m:e>
                      </m:nary>
                    </m:e>
                    <m:e>
                      <m:sSub>
                        <m:e>
                          <m:r>
                            <m:t>I</m:t>
                          </m:r>
                        </m:e>
                        <m:sub>
                          <m:r>
                            <m:t>T</m:t>
                          </m:r>
                          <m:r>
                            <m:t>,</m:t>
                          </m:r>
                          <m:r>
                            <m:t>y</m:t>
                          </m:r>
                        </m:sub>
                      </m:sSub>
                      <m:sSub>
                        <m:e>
                          <m:r>
                            <m:t>A</m:t>
                          </m:r>
                        </m:e>
                        <m:sub>
                          <m:r>
                            <m:t>T</m:t>
                          </m:r>
                        </m:sub>
                      </m:sSub>
                      <m:r>
                        <m:t>(</m:t>
                      </m:r>
                      <m:r>
                        <m:t>y</m:t>
                      </m:r>
                      <m:r>
                        <m:t>)</m:t>
                      </m:r>
                      <m:r>
                        <m:t>+</m:t>
                      </m:r>
                      <m:sSub>
                        <m:e>
                          <m:r>
                            <m:t>I</m:t>
                          </m:r>
                        </m:e>
                        <m:sub>
                          <m:r>
                            <m:t>B</m:t>
                          </m:r>
                          <m:r>
                            <m:t>,</m:t>
                          </m:r>
                          <m:r>
                            <m:t>y</m:t>
                          </m:r>
                        </m:sub>
                      </m:sSub>
                      <m:sSub>
                        <m:e>
                          <m:r>
                            <m:t>A</m:t>
                          </m:r>
                        </m:e>
                        <m:sub>
                          <m:r>
                            <m:t>B</m:t>
                          </m:r>
                        </m:sub>
                      </m:sSub>
                      <m:r>
                        <m:t>(</m:t>
                      </m:r>
                      <m:r>
                        <m:t>y</m:t>
                      </m:r>
                      <m:r>
                        <m:t>)</m:t>
                      </m:r>
                    </m:e>
                  </m:mr>
                  <m:mr>
                    <m:e/>
                    <m:e>
                      <m:r>
                        <m:t>+</m:t>
                      </m:r>
                      <m:sSub>
                        <m:e>
                          <m:r>
                            <m:t>I</m:t>
                          </m:r>
                        </m:e>
                        <m:sub>
                          <m:r>
                            <m:t>L</m:t>
                          </m:r>
                          <m:r>
                            <m:t>,</m:t>
                          </m:r>
                          <m:r>
                            <m:t>y</m:t>
                          </m:r>
                        </m:sub>
                      </m:sSub>
                      <m:sSub>
                        <m:e>
                          <m:r>
                            <m:t>A</m:t>
                          </m:r>
                        </m:e>
                        <m:sub>
                          <m:r>
                            <m:t>L</m:t>
                          </m:r>
                        </m:sub>
                      </m:sSub>
                      <m:r>
                        <m:t>(</m:t>
                      </m:r>
                      <m:r>
                        <m:t>y</m:t>
                      </m:r>
                      <m:r>
                        <m:t>)</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t>y</m:t>
            </m:r>
          </m:sub>
        </m:sSub>
      </m:oMath>
      <w:r>
        <w:rPr>
          <w:rFonts w:ascii="Times New Roman" w:hAnsi="Times New Roman" w:eastAsia="方正仿宋_GBK"/>
          <w:b w:val="0"/>
          <w:sz w:val="24"/>
        </w:rPr>
        <w:t xml:space="preserve">、</w:t>
      </w:r>
      <m:oMath>
        <m:sSub>
          <m:e>
            <m:r>
              <m:t>I</m:t>
            </m:r>
          </m:e>
          <m:sub>
            <m:r>
              <m:t>B</m:t>
            </m:r>
            <m:r>
              <m:t>,</m:t>
            </m:r>
            <m:r>
              <m:t>y</m:t>
            </m:r>
          </m:sub>
        </m:sSub>
      </m:oMath>
      <w:r>
        <w:rPr>
          <w:rFonts w:ascii="Times New Roman" w:hAnsi="Times New Roman" w:eastAsia="方正仿宋_GBK"/>
          <w:b w:val="0"/>
          <w:sz w:val="24"/>
        </w:rPr>
        <w:t xml:space="preserve">、</w:t>
      </w:r>
      <m:oMath>
        <m:sSub>
          <m:e>
            <m:r>
              <m:t>I</m:t>
            </m:r>
          </m:e>
          <m:sub>
            <m:r>
              <m:t>L</m:t>
            </m:r>
            <m:r>
              <m:t>,</m:t>
            </m:r>
            <m:r>
              <m:t>y</m:t>
            </m:r>
          </m:sub>
        </m:sSub>
      </m:oMath>
      <w:r>
        <w:rPr>
          <w:rFonts w:ascii="Times New Roman" w:hAnsi="Times New Roman" w:eastAsia="方正仿宋_GBK"/>
          <w:b w:val="0"/>
          <w:sz w:val="24"/>
        </w:rPr>
        <w:t xml:space="preserve">分别为当年新增主变、储能及联络建设投资，</w:t>
      </w:r>
      <m:oMath>
        <m:sSub>
          <m:e>
            <m:r>
              <m:t>A</m:t>
            </m:r>
          </m:e>
          <m:sub>
            <m:r>
              <m:t>T</m:t>
            </m:r>
          </m:sub>
        </m:sSub>
      </m:oMath>
      <w:r>
        <w:rPr>
          <w:rFonts w:ascii="Times New Roman" w:hAnsi="Times New Roman" w:eastAsia="方正仿宋_GBK"/>
          <w:b w:val="0"/>
          <w:sz w:val="24"/>
        </w:rPr>
        <w:t xml:space="preserve">、</w:t>
      </w:r>
      <m:oMath>
        <m:sSub>
          <m:e>
            <m:r>
              <m:t>A</m:t>
            </m:r>
          </m:e>
          <m:sub>
            <m:r>
              <m:t>B</m:t>
            </m:r>
          </m:sub>
        </m:sSub>
      </m:oMath>
      <w:r>
        <w:rPr>
          <w:rFonts w:ascii="Times New Roman" w:hAnsi="Times New Roman" w:eastAsia="方正仿宋_GBK"/>
          <w:b w:val="0"/>
          <w:sz w:val="24"/>
        </w:rPr>
        <w:t xml:space="preserve">、</w:t>
      </w:r>
      <m:oMath>
        <m:sSub>
          <m:e>
            <m:r>
              <m:t>A</m:t>
            </m:r>
          </m:e>
          <m:sub>
            <m:r>
              <m:t>L</m:t>
            </m:r>
          </m:sub>
        </m:sSub>
      </m:oMath>
      <w:r>
        <w:rPr>
          <w:rFonts w:ascii="Times New Roman" w:hAnsi="Times New Roman" w:eastAsia="方正仿宋_GBK"/>
          <w:b w:val="0"/>
          <w:sz w:val="24"/>
        </w:rPr>
        <w:t xml:space="preserve">为相应费用现值因子。供电裕度在技术约束中满足，不另设容量优先目标。相同费用附近可能存在多种离散设备组合，不能把求解器选出的单一组合表述为唯一工程方案。</w:t>
      </w:r>
    </w:p>
    <w:p>
      <w:pPr>
        <w:pStyle w:val="5"/>
        <w:keepNext/>
        <w:numPr>
          <w:numId w:val="0"/>
        </w:numPr>
        <w:spacing w:line="390" w:lineRule="exact" w:before="160" w:after="120"/>
        <w:ind w:firstLine="0"/>
      </w:pPr>
      <w:bookmarkStart w:id="187" w:name="三类措施的约束寻优流程"/>
      <w:r>
        <w:rPr>
          <w:rFonts w:ascii="Times New Roman" w:hAnsi="Times New Roman" w:eastAsia="方正仿宋_GBK"/>
          <w:b/>
          <w:sz w:val="26"/>
        </w:rPr>
        <w:t xml:space="preserve">5.3.3 三类措施的约束寻优流程</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允许储能的措施集合包含无储能方案；两组求解精度不同时，优先保留已通过核查的较低费用候选，避免将搜索差异解释为储能效益。</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正文比较通过设备与网络约束校核的可行方案，费用对应所列建设配置。求解精度及经济比较核验记录见配套资料。</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设备状态按年份衔接，避免将某年新增工程在下一年无费用拆回。</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不在费用相近时另行偏好较大容量。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61" w:name="h561"/>
      <w:bookmarkStart w:id="188" w:name="寻优结果"/>
      <w:r>
        <w:rPr>
          <w:rFonts w:ascii="Times New Roman" w:hAnsi="Times New Roman" w:eastAsia="方正仿宋_GBK"/>
          <w:b/>
          <w:sz w:val="32"/>
        </w:rPr>
        <w:t xml:space="preserve">5.4 寻优结果</w:t>
      </w:r>
      <w:bookmarkEnd w:id="188"/>
      <w:bookmarkEnd w:id="1561"/>
    </w:p>
    <w:p>
      <w:pPr>
        <w:pStyle w:val="5"/>
        <w:keepNext/>
        <w:numPr>
          <w:numId w:val="0"/>
        </w:numPr>
        <w:spacing w:line="390" w:lineRule="exact" w:before="160" w:after="120"/>
        <w:ind w:firstLine="0"/>
      </w:pPr>
      <w:bookmarkStart w:id="189" w:name="邳州逐年方案"/>
      <w:r>
        <w:rPr>
          <w:rFonts w:ascii="Times New Roman" w:hAnsi="Times New Roman" w:eastAsia="方正仿宋_GBK"/>
          <w:b/>
          <w:sz w:val="26"/>
        </w:rPr>
        <w:t xml:space="preserve">5.4.1 邳州逐年方案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邳州弹性方案2025年主变总容量为1955.50 MVA，容载比为2.04，累计建设联络30条，储能额定功率为0.00 MW。刚性方案同期容载比为1.86。逐年变化同时受实际负荷起伏与离散设备投运影响，不能按平滑增长趋势解释。</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459.50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22822.84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3847.56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469.00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23805.05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257.87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1903.06</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的年度表同时列出在役容量与当年新增工程。净增容量说明容量储备增加多少，新购容量说明更换和扩建所需采购多少设备。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90" w:name="市区逐年方案"/>
      <w:r>
        <w:rPr>
          <w:rFonts w:ascii="Times New Roman" w:hAnsi="Times New Roman" w:eastAsia="方正仿宋_GBK"/>
          <w:b/>
          <w:sz w:val="26"/>
        </w:rPr>
        <w:t xml:space="preserve">5.4.2 市区逐年方案</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市区弹性方案2025年主变总容量为3324.00 MVA，容载比为2.17，累计建设联络64条，储能额定功率为0.50 MW。刚性方案同期容载比为1.92。逐年变化同时受实际负荷起伏与离散设备投运影响，不能按平滑增长趋势解释。2022年、2024年刚性容载比超过2.00，均属于负荷回落时既有容量形成的被动超限；当年未据此新增主变容量。</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1"/>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76936.96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8813.51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52170.71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6175.38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实际年度负荷在2022年、2024年回落。刚性方案的被动超限由保留既有设备形成，与当年主动增加容量不同。年度建设安排应结合两者区分，不能用一条平均增长曲线代替实际年际变化，也不能只根据容载比升降判断是否实施了增容。</w:t>
      </w:r>
    </w:p>
    <w:p>
      <w:pPr>
        <w:pStyle w:val="5"/>
        <w:keepNext/>
        <w:numPr>
          <w:numId w:val="0"/>
        </w:numPr>
        <w:spacing w:line="390" w:lineRule="exact" w:before="160" w:after="120"/>
        <w:ind w:firstLine="0"/>
      </w:pPr>
      <w:bookmarkStart w:id="192" w:name="建设规模与费用比较"/>
      <w:r>
        <w:rPr>
          <w:rFonts w:ascii="Times New Roman" w:hAnsi="Times New Roman" w:eastAsia="方正仿宋_GBK"/>
          <w:b/>
          <w:sz w:val="26"/>
        </w:rPr>
        <w:t xml:space="preserve">5.4.3 建设规模与费用比较</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两地区刚性方案评价期费用现值合计120219.30万元，弹性方案为84449.61万元，减少35769.70万元，降幅约30%。</w:t>
      </w:r>
    </w:p>
    <w:p>
      <w:pPr>
        <w:pStyle w:val="2"/>
        <w:keepNext/>
        <w:spacing w:line="280" w:lineRule="exact" w:before="120" w:after="80"/>
        <w:ind w:firstLine="0"/>
        <w:jc w:val="center"/>
      </w:pPr>
      <w:r>
        <w:rPr>
          <w:rFonts w:ascii="Times New Roman" w:hAnsi="Times New Roman" w:eastAsia="宋体"/>
          <w:b w:val="0"/>
          <w:sz w:val="21"/>
        </w:rPr>
        <w:t xml:space="preserve">表5-8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keepNext/>
        <w:spacing w:line="280" w:lineRule="exact" w:before="120" w:after="80"/>
        <w:ind w:firstLine="0"/>
        <w:jc w:val="center"/>
      </w:pPr>
      <w:r>
        <w:rPr>
          <w:rFonts w:ascii="Times New Roman" w:hAnsi="Times New Roman" w:eastAsia="宋体"/>
          <w:b w:val="0"/>
          <w:sz w:val="21"/>
        </w:rPr>
        <w:t xml:space="preserve">表5-9 目标年措施规模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918.00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3"/>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4"/>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方案费用限于所设仿真起点、静态工况和工程价格。市区存量网络缺少已核实边的部分采用新增付费候选，不能将试算费用直接作为核定现状资产下的工程预算。地区间容载比关系可能随年度负荷和设备投运改变，应结合各站配置解释。</w:t>
      </w:r>
    </w:p>
    <w:p>
      <w:pPr>
        <w:pStyle w:val="2"/>
        <w:keepNext/>
        <w:spacing w:line="280" w:lineRule="exact" w:before="120" w:after="80"/>
        <w:ind w:firstLine="0"/>
        <w:jc w:val="center"/>
      </w:pPr>
      <w:r>
        <w:rPr>
          <w:rFonts w:ascii="Times New Roman" w:hAnsi="Times New Roman" w:eastAsia="宋体"/>
          <w:b w:val="0"/>
          <w:sz w:val="21"/>
        </w:rPr>
        <w:t xml:space="preserve">表5-10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17674.27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8161.84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8632.72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21903.74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4199.78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3862.44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1272.02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80616.00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21083.57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124.07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37138.45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邳州弹性方案的主变费用现值为21903.74万元，储能为0.00万元，联络为4199.78万元；对应刚性方案分别为17674.27、8161.84、8632.72万元。三项费用共同决定方案排序，不能将总费用变化全部归因于储能减少。</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市区弹性方案的主变费用现值为21083.57万元，储能为124.07万元，联络为37138.45万元；对应刚性方案分别为3862.44、1272.02、80616.00万元。三项费用共同决定方案排序，不能将总费用变化全部归因于储能减少。</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（5-10）</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表5-11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bl>
    <w:p>
      <w:pPr>
        <w:pStyle w:val="5"/>
        <w:keepNext/>
        <w:numPr>
          <w:numId w:val="0"/>
        </w:numPr>
        <w:spacing w:line="390" w:lineRule="exact" w:before="160" w:after="120"/>
        <w:ind w:firstLine="0"/>
      </w:pPr>
      <w:bookmarkStart w:id="195" w:name="邳州逐站规划方案"/>
      <w:r>
        <w:rPr>
          <w:rFonts w:ascii="Times New Roman" w:hAnsi="Times New Roman" w:eastAsia="方正仿宋_GBK"/>
          <w:b/>
          <w:sz w:val="26"/>
        </w:rPr>
        <w:t xml:space="preserve">5.4.4 邳州逐站规划方案</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逐站分析采用区域正向峰值和最低净负荷两个同步工况，各自安排转接并分别校核，不将转接量相加。所列功率对应这些同步时刻，不作为各站全年独立极值。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邳州20座站分别列示两类方案的四年设备状态及区域正向峰值正常转接，随后说明目标年两工况和本站主变N-1校核。表中储能均为在役额定功率，支撑能力另按4 h及可用电量折算。</w:t>
      </w:r>
    </w:p>
    <w:p>
      <w:pPr>
        <w:pStyle w:val="7"/>
        <w:keepNext/>
        <w:numPr>
          <w:numId w:val="0"/>
        </w:numPr>
        <w:spacing w:line="360" w:lineRule="exact" w:before="160" w:after="120"/>
        <w:ind w:firstLine="0"/>
      </w:pPr>
      <w:bookmarkStart w:id="196" w:name="千伏八义集变规划分析"/>
      <w:r>
        <w:rPr>
          <w:rFonts w:ascii="Times New Roman" w:hAnsi="Times New Roman" w:eastAsia="方正仿宋_GBK"/>
          <w:b/>
          <w:sz w:val="24"/>
        </w:rPr>
        <w:t xml:space="preserve">110千伏八义集变规划分析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MVA。2025年区域正向峰值工况下，本站转接前净负荷为30.29 MW；区域最低净负荷工况下为-6.39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MVA、储能额定功率0.80 MW；弹性方案分别为81.50 MVA和0.00 MW。两类方案本站总容量相同，仍需结合主变组合和邻站转接安排解释储能配置。弹性方案2022—2025年主变总容量依次为81.50、81.50、81.50、81.50 MVA。目标年站级负载率为39%。</w:t>
      </w:r>
    </w:p>
    <w:p>
      <w:pPr>
        <w:pStyle w:val="2"/>
        <w:keepNext/>
        <w:spacing w:line="280" w:lineRule="exact" w:before="120" w:after="80"/>
        <w:ind w:firstLine="0"/>
        <w:jc w:val="center"/>
      </w:pPr>
      <w:r>
        <w:rPr>
          <w:rFonts w:ascii="Times New Roman" w:hAnsi="Times New Roman" w:eastAsia="宋体"/>
          <w:b w:val="0"/>
          <w:sz w:val="21"/>
        </w:rPr>
        <w:t xml:space="preserve">表5-12 110千伏八义集变年度配置与正向峰值正常转接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MW，转接后净负荷为30.29 MW；区域最低净负荷工况下，转接后净负荷为-6.39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MVA。重新安排转供后，两工况本站净负荷分别为29.16 MW和-6.39 MW；两方向容量约束的最小余量为0.76 MW，正向储能有效支撑功率为0.00 MW。</w:t>
      </w:r>
    </w:p>
    <w:p>
      <w:pPr>
        <w:pStyle w:val="7"/>
        <w:keepNext/>
        <w:numPr>
          <w:numId w:val="0"/>
        </w:numPr>
        <w:spacing w:line="360" w:lineRule="exact" w:before="160" w:after="120"/>
        <w:ind w:firstLine="0"/>
      </w:pPr>
      <w:bookmarkStart w:id="197" w:name="大宋变规划分析"/>
      <w:r>
        <w:rPr>
          <w:rFonts w:ascii="Times New Roman" w:hAnsi="Times New Roman" w:eastAsia="方正仿宋_GBK"/>
          <w:b/>
          <w:sz w:val="24"/>
        </w:rPr>
        <w:t xml:space="preserve">大宋变规划分析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MVA。2025年区域正向峰值工况下，本站转接前净负荷为69.44 MW；区域最低净负荷工况下为-31.77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表5-13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66.94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MW、承接4.78 MW，转接后净负荷为74.22 MW；区域最低净负荷工况下，转接后净负荷为-31.77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MVA。重新安排转供后，两工况本站净负荷分别为59.85 MW和-31.77 MW；两方向容量约束的最小余量为0.00 MW，正向储能有效支撑功率为0.00 MW。</w:t>
      </w:r>
    </w:p>
    <w:p>
      <w:pPr>
        <w:pStyle w:val="7"/>
        <w:keepNext/>
        <w:numPr>
          <w:numId w:val="0"/>
        </w:numPr>
        <w:spacing w:line="360" w:lineRule="exact" w:before="160" w:after="120"/>
        <w:ind w:firstLine="0"/>
      </w:pPr>
      <w:bookmarkStart w:id="198" w:name="戴圩变规划分析"/>
      <w:r>
        <w:rPr>
          <w:rFonts w:ascii="Times New Roman" w:hAnsi="Times New Roman" w:eastAsia="方正仿宋_GBK"/>
          <w:b/>
          <w:sz w:val="24"/>
        </w:rPr>
        <w:t xml:space="preserve">戴圩变规划分析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MVA。2025年区域正向峰值工况下，本站转接前净负荷为27.34 MW；区域最低净负荷工况下为-24.10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MVA、储能额定功率0.20 MW；弹性方案分别为81.50 MVA和0.00 MW。弹性方案本站增加11.50 MVA容量，为本地需求及站间支援提供条件。弹性方案2022—2025年主变总容量依次为81.50、81.50、81.50、81.50 MVA。目标年站级负载率为35%。</w:t>
      </w:r>
    </w:p>
    <w:p>
      <w:pPr>
        <w:pStyle w:val="2"/>
        <w:keepNext/>
        <w:spacing w:line="280" w:lineRule="exact" w:before="120" w:after="80"/>
        <w:ind w:firstLine="0"/>
        <w:jc w:val="center"/>
      </w:pPr>
      <w:r>
        <w:rPr>
          <w:rFonts w:ascii="Times New Roman" w:hAnsi="Times New Roman" w:eastAsia="宋体"/>
          <w:b w:val="0"/>
          <w:sz w:val="21"/>
        </w:rPr>
        <w:t xml:space="preserve">表5-14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MW，转接后净负荷为27.34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MVA。重新安排转供后，两工况本站净负荷分别为27.34 MW和-24.10 MW；两方向容量约束的最小余量为2.59 MW，正向储能有效支撑功率为0.00 MW。</w:t>
      </w:r>
    </w:p>
    <w:p>
      <w:pPr>
        <w:pStyle w:val="7"/>
        <w:keepNext/>
        <w:numPr>
          <w:numId w:val="0"/>
        </w:numPr>
        <w:spacing w:line="360" w:lineRule="exact" w:before="160" w:after="120"/>
        <w:ind w:firstLine="0"/>
      </w:pPr>
      <w:bookmarkStart w:id="199" w:name="戴庄变规划分析"/>
      <w:r>
        <w:rPr>
          <w:rFonts w:ascii="Times New Roman" w:hAnsi="Times New Roman" w:eastAsia="方正仿宋_GBK"/>
          <w:b/>
          <w:sz w:val="24"/>
        </w:rPr>
        <w:t xml:space="preserve">戴庄变规划分析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MVA。2025年区域正向峰值工况下，本站转接前净负荷为30.59 MW；区域最低净负荷工况下为-46.10 MW，受入为正、反送为负。2022年更换既有主变，新购100.00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MVA、储能额定功率16.20 MW；弹性方案分别为100.00 MVA和0.00 MW。弹性方案本站增加37.00 MVA容量，为本地需求及站间支援提供条件。弹性方案2022—2025年主变总容量依次为100.00、100.00、100.00、100.00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表5-15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MW；区域最低净负荷工况下，转接后净负荷为-46.10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MVA。重新安排转供后，两工况本站净负荷分别为30.59 MW和-46.10 MW；两方向容量约束的最小余量为1.40 MW，正向储能有效支撑功率为0.00 MW。</w:t>
      </w:r>
    </w:p>
    <w:p>
      <w:pPr>
        <w:pStyle w:val="7"/>
        <w:keepNext/>
        <w:numPr>
          <w:numId w:val="0"/>
        </w:numPr>
        <w:spacing w:line="360" w:lineRule="exact" w:before="160" w:after="120"/>
        <w:ind w:firstLine="0"/>
      </w:pPr>
      <w:bookmarkStart w:id="200" w:name="杜村变规划分析"/>
      <w:r>
        <w:rPr>
          <w:rFonts w:ascii="Times New Roman" w:hAnsi="Times New Roman" w:eastAsia="方正仿宋_GBK"/>
          <w:b/>
          <w:sz w:val="24"/>
        </w:rPr>
        <w:t xml:space="preserve">杜村变规划分析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MVA。2025年区域正向峰值工况下，本站转接前净负荷为83.65 MW；区域最低净负荷工况下为1.66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表5-16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109.92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MW、承接26.27 MW，转接后净负荷为109.92 MW；区域最低净负荷工况下，转接后净负荷为1.66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MVA。重新安排转供后，两工况本站净负荷分别为63.77 MW和1.66 MW；两方向容量约束的最小余量为12.23 MW，正向储能有效支撑功率为0.00 MW。</w:t>
      </w:r>
    </w:p>
    <w:p>
      <w:pPr>
        <w:pStyle w:val="7"/>
        <w:keepNext/>
        <w:numPr>
          <w:numId w:val="0"/>
        </w:numPr>
        <w:spacing w:line="360" w:lineRule="exact" w:before="160" w:after="120"/>
        <w:ind w:firstLine="0"/>
      </w:pPr>
      <w:bookmarkStart w:id="201" w:name="墩集变规划分析"/>
      <w:r>
        <w:rPr>
          <w:rFonts w:ascii="Times New Roman" w:hAnsi="Times New Roman" w:eastAsia="方正仿宋_GBK"/>
          <w:b/>
          <w:sz w:val="24"/>
        </w:rPr>
        <w:t xml:space="preserve">墩集变规划分析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MVA。2025年区域正向峰值工况下，本站转接前净负荷为55.05 MW；区域最低净负荷工况下为-35.45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MVA、储能额定功率0.00 MW；弹性方案分别为100.00 MVA和0.00 MW。两类方案本站总容量相同，仍需结合主变组合和邻站转接安排解释储能配置。弹性方案2022—2025年主变总容量依次为100.00、100.00、100.00、100.00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表5-17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MW、承接1.61 MW，转接后净负荷为56.66 MW；区域最低净负荷工况下，转接后净负荷为-35.45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MW和-35.45 MW；两方向容量约束的最小余量为0.00 MW，正向储能有效支撑功率为0.00 MW。</w:t>
      </w:r>
    </w:p>
    <w:p>
      <w:pPr>
        <w:pStyle w:val="7"/>
        <w:keepNext/>
        <w:numPr>
          <w:numId w:val="0"/>
        </w:numPr>
        <w:spacing w:line="360" w:lineRule="exact" w:before="160" w:after="120"/>
        <w:ind w:firstLine="0"/>
      </w:pPr>
      <w:bookmarkStart w:id="202" w:name="二庙变规划分析"/>
      <w:r>
        <w:rPr>
          <w:rFonts w:ascii="Times New Roman" w:hAnsi="Times New Roman" w:eastAsia="方正仿宋_GBK"/>
          <w:b/>
          <w:sz w:val="24"/>
        </w:rPr>
        <w:t xml:space="preserve">二庙变规划分析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MVA。2025年区域正向峰值工况下，本站转接前净负荷为89.75 MW；区域最低净负荷工况下为31.86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目标年刚性方案主变容量为111.50 MVA、储能额定功率0.00 MW；弹性方案分别为160.00 MVA和0.00 MW。弹性方案本站增加48.50 MVA容量，为本地需求及站间支援提供条件。弹性方案2022—2025年主变总容量依次为160.00、160.00、160.00、160.00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表5-18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MW、承接14.78 MW，转接后净负荷为104.53 MW；区域最低净负荷工况下，转接后净负荷为31.86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MW和31.86 MW；两方向容量约束的最小余量为0.00 MW，正向储能有效支撑功率为0.00 MW。</w:t>
      </w:r>
    </w:p>
    <w:p>
      <w:pPr>
        <w:pStyle w:val="7"/>
        <w:keepNext/>
        <w:numPr>
          <w:numId w:val="0"/>
        </w:numPr>
        <w:spacing w:line="360" w:lineRule="exact" w:before="160" w:after="120"/>
        <w:ind w:firstLine="0"/>
      </w:pPr>
      <w:bookmarkStart w:id="203" w:name="坊上变规划分析"/>
      <w:r>
        <w:rPr>
          <w:rFonts w:ascii="Times New Roman" w:hAnsi="Times New Roman" w:eastAsia="方正仿宋_GBK"/>
          <w:b/>
          <w:sz w:val="24"/>
        </w:rPr>
        <w:t xml:space="preserve">坊上变规划分析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MVA。2025年区域正向峰值工况下，本站转接前净负荷为37.87 MW；区域最低净负荷工况下为-29.68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MVA。目标年站级负载率为56%。</w:t>
      </w:r>
    </w:p>
    <w:p>
      <w:pPr>
        <w:pStyle w:val="2"/>
        <w:keepNext/>
        <w:spacing w:line="280" w:lineRule="exact" w:before="120" w:after="80"/>
        <w:ind w:firstLine="0"/>
        <w:jc w:val="center"/>
      </w:pPr>
      <w:r>
        <w:rPr>
          <w:rFonts w:ascii="Times New Roman" w:hAnsi="Times New Roman" w:eastAsia="宋体"/>
          <w:b w:val="0"/>
          <w:sz w:val="21"/>
        </w:rPr>
        <w:t xml:space="preserve">表5-19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MW，转接后净负荷为37.87 MW；区域最低净负荷工况下，转接后净负荷为-29.68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MW和-29.68 MW；两方向容量约束的最小余量为0.00 MW，正向储能有效支撑功率为0.00 MW。</w:t>
      </w:r>
    </w:p>
    <w:p>
      <w:pPr>
        <w:pStyle w:val="7"/>
        <w:keepNext/>
        <w:numPr>
          <w:numId w:val="0"/>
        </w:numPr>
        <w:spacing w:line="360" w:lineRule="exact" w:before="160" w:after="120"/>
        <w:ind w:firstLine="0"/>
      </w:pPr>
      <w:bookmarkStart w:id="204" w:name="富山变规划分析"/>
      <w:r>
        <w:rPr>
          <w:rFonts w:ascii="Times New Roman" w:hAnsi="Times New Roman" w:eastAsia="方正仿宋_GBK"/>
          <w:b/>
          <w:sz w:val="24"/>
        </w:rPr>
        <w:t xml:space="preserve">富山变规划分析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MVA。2025年区域正向峰值工况下，本站转接前净负荷为26.59 MW；区域最低净负荷工况下为-19.32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MVA、储能额定功率0.60 MW；弹性方案分别为81.50 MVA和0.00 MW。弹性方案本站增加11.50 MVA容量，为本地需求及站间支援提供条件。弹性方案2022—2025年主变总容量依次为70.00、70.00、70.00、81.50 MVA。目标年站级负载率为34%。</w:t>
      </w:r>
    </w:p>
    <w:p>
      <w:pPr>
        <w:pStyle w:val="2"/>
        <w:keepNext/>
        <w:spacing w:line="280" w:lineRule="exact" w:before="120" w:after="80"/>
        <w:ind w:firstLine="0"/>
        <w:jc w:val="center"/>
      </w:pPr>
      <w:r>
        <w:rPr>
          <w:rFonts w:ascii="Times New Roman" w:hAnsi="Times New Roman" w:eastAsia="宋体"/>
          <w:b w:val="0"/>
          <w:sz w:val="21"/>
        </w:rPr>
        <w:t xml:space="preserve">表5-20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37.63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MW、承接11.04 MW，转接后净负荷为37.63 MW；区域最低净负荷工况下，转接后净负荷为-19.32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MVA。重新安排转供后，两工况本站净负荷分别为26.59 MW和-19.32 MW；两方向容量约束的最小余量为3.33 MW，正向储能有效支撑功率为0.00 MW。</w:t>
      </w:r>
    </w:p>
    <w:p>
      <w:pPr>
        <w:pStyle w:val="7"/>
        <w:keepNext/>
        <w:numPr>
          <w:numId w:val="0"/>
        </w:numPr>
        <w:spacing w:line="360" w:lineRule="exact" w:before="160" w:after="120"/>
        <w:ind w:firstLine="0"/>
      </w:pPr>
      <w:bookmarkStart w:id="205" w:name="河湾变规划分析"/>
      <w:r>
        <w:rPr>
          <w:rFonts w:ascii="Times New Roman" w:hAnsi="Times New Roman" w:eastAsia="方正仿宋_GBK"/>
          <w:b/>
          <w:sz w:val="24"/>
        </w:rPr>
        <w:t xml:space="preserve">河湾变规划分析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该站基期主变组合为20+80 MVA。2025年区域正向峰值工况下，本站转接前净负荷为71.29 MW；区域最低净负荷工况下为-3.50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MW；弹性方案分别为100.00 MVA和0.00 MW。弹性方案本站容量比刚性方案少60.00 MVA，区域容量增加并不要求每座站同步增容。弹性方案2022—2025年主变总容量依次为100.00、100.00、100.00、100.00 MVA。目标年站级负载率为75%。</w:t>
      </w:r>
    </w:p>
    <w:p>
      <w:pPr>
        <w:pStyle w:val="2"/>
        <w:keepNext/>
        <w:spacing w:line="280" w:lineRule="exact" w:before="120" w:after="80"/>
        <w:ind w:firstLine="0"/>
        <w:jc w:val="center"/>
      </w:pPr>
      <w:r>
        <w:rPr>
          <w:rFonts w:ascii="Times New Roman" w:hAnsi="Times New Roman" w:eastAsia="宋体"/>
          <w:b w:val="0"/>
          <w:sz w:val="21"/>
        </w:rPr>
        <w:t xml:space="preserve">表5-21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29.42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目标年正常方式下，区域正向峰值工况转出41.87 MW、承接0.00 MW，转接后净负荷为29.42 MW；区域最低净负荷工况下，转接后净负荷为-3.50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MW和-3.50 MW；两方向容量约束的最小余量为0.00 MW，正向储能有效支撑功率为0.00 MW。</w:t>
      </w:r>
    </w:p>
    <w:p>
      <w:pPr>
        <w:pStyle w:val="7"/>
        <w:keepNext/>
        <w:numPr>
          <w:numId w:val="0"/>
        </w:numPr>
        <w:spacing w:line="360" w:lineRule="exact" w:before="160" w:after="120"/>
        <w:ind w:firstLine="0"/>
      </w:pPr>
      <w:bookmarkStart w:id="206" w:name="邳城变规划分析"/>
      <w:r>
        <w:rPr>
          <w:rFonts w:ascii="Times New Roman" w:hAnsi="Times New Roman" w:eastAsia="方正仿宋_GBK"/>
          <w:b/>
          <w:sz w:val="24"/>
        </w:rPr>
        <w:t xml:space="preserve">邳城变规划分析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MVA。2025年区域正向峰值工况下，本站转接前净负荷为22.90 MW；区域最低净负荷工况下为-28.74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MVA、储能额定功率0.00 MW；弹性方案分别为81.50 MVA和0.00 MW。两类方案本站总容量相同，仍需结合主变组合和邻站转接安排解释储能配置。弹性方案2022—2025年主变总容量依次为81.50、81.50、81.50、81.50 MVA。目标年站级负载率为37%。</w:t>
      </w:r>
    </w:p>
    <w:p>
      <w:pPr>
        <w:pStyle w:val="2"/>
        <w:keepNext/>
        <w:spacing w:line="280" w:lineRule="exact" w:before="120" w:after="80"/>
        <w:ind w:firstLine="0"/>
        <w:jc w:val="center"/>
      </w:pPr>
      <w:r>
        <w:rPr>
          <w:rFonts w:ascii="Times New Roman" w:hAnsi="Times New Roman" w:eastAsia="宋体"/>
          <w:b w:val="0"/>
          <w:sz w:val="21"/>
        </w:rPr>
        <w:t xml:space="preserve">表5-22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MW，转接后净负荷为22.90 MW；区域最低净负荷工况下，转接后净负荷为-28.74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MVA。重新安排转供后，两工况本站净负荷分别为22.90 MW和-28.74 MW；两方向容量约束的最小余量为1.18 MW，正向储能有效支撑功率为0.00 MW。</w:t>
      </w:r>
    </w:p>
    <w:p>
      <w:pPr>
        <w:pStyle w:val="7"/>
        <w:keepNext/>
        <w:numPr>
          <w:numId w:val="0"/>
        </w:numPr>
        <w:spacing w:line="360" w:lineRule="exact" w:before="160" w:after="120"/>
        <w:ind w:firstLine="0"/>
      </w:pPr>
      <w:bookmarkStart w:id="207" w:name="邳州变规划分析"/>
      <w:r>
        <w:rPr>
          <w:rFonts w:ascii="Times New Roman" w:hAnsi="Times New Roman" w:eastAsia="方正仿宋_GBK"/>
          <w:b/>
          <w:sz w:val="24"/>
        </w:rPr>
        <w:t xml:space="preserve">邳州变规划分析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MVA。2025年区域正向峰值工况下，本站转接前净负荷为67.97 MW；区域最低净负荷工况下为11.99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MW；弹性方案分别为143.00 MVA和0.00 MW。弹性方案本站增加13.00 MVA容量，为本地需求及站间支援提供条件。弹性方案2022—2025年主变总容量依次为143.00、143.00、143.00、143.00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表5-23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MW、承接13.40 MW，转接后净负荷为81.37 MW；区域最低净负荷工况下，转接后净负荷为11.99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MVA。重新安排转供后，两工况本站净负荷分别为59.09 MW和11.99 MW；两方向容量约束的最小余量为0.76 MW，正向储能有效支撑功率为0.00 MW。</w:t>
      </w:r>
    </w:p>
    <w:p>
      <w:pPr>
        <w:pStyle w:val="7"/>
        <w:keepNext/>
        <w:numPr>
          <w:numId w:val="0"/>
        </w:numPr>
        <w:spacing w:line="360" w:lineRule="exact" w:before="160" w:after="120"/>
        <w:ind w:firstLine="0"/>
      </w:pPr>
      <w:bookmarkStart w:id="208" w:name="宿羊山变规划分析"/>
      <w:r>
        <w:rPr>
          <w:rFonts w:ascii="Times New Roman" w:hAnsi="Times New Roman" w:eastAsia="方正仿宋_GBK"/>
          <w:b/>
          <w:sz w:val="24"/>
        </w:rPr>
        <w:t xml:space="preserve">宿羊山变规划分析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MVA。2025年区域正向峰值工况下，本站转接前净负荷为61.43 MW；区域最低净负荷工况下为-22.13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MVA。目标年站级负载率为90%。</w:t>
      </w:r>
    </w:p>
    <w:p>
      <w:pPr>
        <w:pStyle w:val="2"/>
        <w:keepNext/>
        <w:spacing w:line="280" w:lineRule="exact" w:before="120" w:after="80"/>
        <w:ind w:firstLine="0"/>
        <w:jc w:val="center"/>
      </w:pPr>
      <w:r>
        <w:rPr>
          <w:rFonts w:ascii="Times New Roman" w:hAnsi="Times New Roman" w:eastAsia="宋体"/>
          <w:b w:val="0"/>
          <w:sz w:val="21"/>
        </w:rPr>
        <w:t xml:space="preserve">表5-24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40.17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目标年正常方式下，区域正向峰值工况转出15.82 MW、承接0.00 MW，转接后净负荷为45.61 MW；区域最低净负荷工况下，转接后净负荷为-22.13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MW和-22.13 MW；两方向容量约束的最小余量为0.00 MW，正向储能有效支撑功率为0.00 MW。</w:t>
      </w:r>
    </w:p>
    <w:p>
      <w:pPr>
        <w:pStyle w:val="7"/>
        <w:keepNext/>
        <w:numPr>
          <w:numId w:val="0"/>
        </w:numPr>
        <w:spacing w:line="360" w:lineRule="exact" w:before="160" w:after="120"/>
        <w:ind w:firstLine="0"/>
      </w:pPr>
      <w:bookmarkStart w:id="209" w:name="千伏铁富变规划分析"/>
      <w:r>
        <w:rPr>
          <w:rFonts w:ascii="Times New Roman" w:hAnsi="Times New Roman" w:eastAsia="方正仿宋_GBK"/>
          <w:b/>
          <w:sz w:val="24"/>
        </w:rPr>
        <w:t xml:space="preserve">110千伏铁富变规划分析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MVA。2025年区域正向峰值工况下，本站转接前净负荷为82.17 MW；区域最低净负荷工况下为-52.21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MVA。目标年站级负载率为54%。</w:t>
      </w:r>
    </w:p>
    <w:p>
      <w:pPr>
        <w:pStyle w:val="2"/>
        <w:keepNext/>
        <w:spacing w:line="280" w:lineRule="exact" w:before="120" w:after="80"/>
        <w:ind w:firstLine="0"/>
        <w:jc w:val="center"/>
      </w:pPr>
      <w:r>
        <w:rPr>
          <w:rFonts w:ascii="Times New Roman" w:hAnsi="Times New Roman" w:eastAsia="宋体"/>
          <w:b w:val="0"/>
          <w:sz w:val="21"/>
        </w:rPr>
        <w:t xml:space="preserve">表5-25 110千伏铁富变年度配置与正向峰值正常转接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MW，转接后净负荷为82.17 MW；区域最低净负荷工况下，转接后净负荷为-52.21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MW和-52.21 MW；两方向容量约束的最小余量为0.00 MW，正向储能有效支撑功率为0.00 MW。</w:t>
      </w:r>
    </w:p>
    <w:p>
      <w:pPr>
        <w:pStyle w:val="7"/>
        <w:keepNext/>
        <w:numPr>
          <w:numId w:val="0"/>
        </w:numPr>
        <w:spacing w:line="360" w:lineRule="exact" w:before="160" w:after="120"/>
        <w:ind w:firstLine="0"/>
      </w:pPr>
      <w:bookmarkStart w:id="210" w:name="土山变规划分析"/>
      <w:r>
        <w:rPr>
          <w:rFonts w:ascii="Times New Roman" w:hAnsi="Times New Roman" w:eastAsia="方正仿宋_GBK"/>
          <w:b/>
          <w:sz w:val="24"/>
        </w:rPr>
        <w:t xml:space="preserve">土山变规划分析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MVA。2025年区域正向峰值工况下，本站转接前净负荷为39.87 MW；区域最低净负荷工况下为-36.41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MVA、储能额定功率1.90 MW；弹性方案分别为100.00 MVA和0.00 MW。两类方案本站总容量相同，仍需结合主变组合和邻站转接安排解释储能配置。弹性方案2022—2025年主变总容量依次为100.00、100.00、100.00、100.00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表5-26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MW，转接后净负荷为39.87 MW；区域最低净负荷工况下，转接后净负荷为-36.41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MVA。重新安排转供后，两工况本站净负荷分别为39.87 MW和-36.41 MW；两方向容量约束的最小余量为7.63 MW，正向储能有效支撑功率为0.00 MW。</w:t>
      </w:r>
    </w:p>
    <w:p>
      <w:pPr>
        <w:pStyle w:val="7"/>
        <w:keepNext/>
        <w:numPr>
          <w:numId w:val="0"/>
        </w:numPr>
        <w:spacing w:line="360" w:lineRule="exact" w:before="160" w:after="120"/>
        <w:ind w:firstLine="0"/>
      </w:pPr>
      <w:bookmarkStart w:id="211" w:name="汶河变规划分析"/>
      <w:r>
        <w:rPr>
          <w:rFonts w:ascii="Times New Roman" w:hAnsi="Times New Roman" w:eastAsia="方正仿宋_GBK"/>
          <w:b/>
          <w:sz w:val="24"/>
        </w:rPr>
        <w:t xml:space="preserve">汶河变规划分析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MVA。2025年区域正向峰值工况下，本站转接前净负荷为22.81 MW；区域最低净负荷工况下为-27.24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表5-27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MW，转接后净负荷为22.81 MW；区域最低净负荷工况下，转接后净负荷为-27.24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MVA。重新安排转供后，两工况本站净负荷分别为22.81 MW和-27.24 MW；两方向容量约束的最小余量为2.69 MW，正向储能有效支撑功率为0.00 MW。</w:t>
      </w:r>
    </w:p>
    <w:p>
      <w:pPr>
        <w:pStyle w:val="7"/>
        <w:keepNext/>
        <w:numPr>
          <w:numId w:val="0"/>
        </w:numPr>
        <w:spacing w:line="360" w:lineRule="exact" w:before="160" w:after="120"/>
        <w:ind w:firstLine="0"/>
      </w:pPr>
      <w:bookmarkStart w:id="212" w:name="吴闸变规划分析"/>
      <w:r>
        <w:rPr>
          <w:rFonts w:ascii="Times New Roman" w:hAnsi="Times New Roman" w:eastAsia="方正仿宋_GBK"/>
          <w:b/>
          <w:sz w:val="24"/>
        </w:rPr>
        <w:t xml:space="preserve">吴闸变规划分析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MVA。2025年区域正向峰值工况下，本站转接前净负荷为48.18 MW；区域最低净负荷工况下为2.19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MVA、储能额定功率0.00 MW；弹性方案分别为70.00 MVA和0.00 MW。两类方案本站总容量相同，仍需结合主变组合和邻站转接安排解释储能配置。弹性方案2022—2025年主变总容量依次为70.00、70.00、70.00、70.00 MVA。目标年站级负载率为72%。</w:t>
      </w:r>
    </w:p>
    <w:p>
      <w:pPr>
        <w:pStyle w:val="2"/>
        <w:keepNext/>
        <w:spacing w:line="280" w:lineRule="exact" w:before="120" w:after="80"/>
        <w:ind w:firstLine="0"/>
        <w:jc w:val="center"/>
      </w:pPr>
      <w:r>
        <w:rPr>
          <w:rFonts w:ascii="Times New Roman" w:hAnsi="Times New Roman" w:eastAsia="宋体"/>
          <w:b w:val="0"/>
          <w:sz w:val="21"/>
        </w:rPr>
        <w:t xml:space="preserve">表5-28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26.57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目标年正常方式下，区域正向峰值工况转出21.61 MW、承接0.00 MW，转接后净负荷为26.57 MW；区域最低净负荷工况下，转接后净负荷为2.19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MW和2.19 MW；两方向容量约束的最小余量为0.00 MW，正向储能有效支撑功率为0.00 MW。</w:t>
      </w:r>
    </w:p>
    <w:p>
      <w:pPr>
        <w:pStyle w:val="7"/>
        <w:keepNext/>
        <w:numPr>
          <w:numId w:val="0"/>
        </w:numPr>
        <w:spacing w:line="360" w:lineRule="exact" w:before="160" w:after="120"/>
        <w:ind w:firstLine="0"/>
      </w:pPr>
      <w:bookmarkStart w:id="213" w:name="邢楼变规划分析"/>
      <w:r>
        <w:rPr>
          <w:rFonts w:ascii="Times New Roman" w:hAnsi="Times New Roman" w:eastAsia="方正仿宋_GBK"/>
          <w:b/>
          <w:sz w:val="24"/>
        </w:rPr>
        <w:t xml:space="preserve">邢楼变规划分析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MVA。2025年区域正向峰值工况下，本站转接前净负荷为15.68 MW；区域最低净负荷工况下为-29.65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表5-29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MW，转接后净负荷为15.68 MW；区域最低净负荷工况下，转接后净负荷为-29.65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MVA。重新安排转供后，两工况本站净负荷分别为15.68 MW和-29.65 MW；两方向容量约束的最小余量为0.28 MW，正向储能有效支撑功率为0.00 MW。</w:t>
      </w:r>
    </w:p>
    <w:p>
      <w:pPr>
        <w:pStyle w:val="7"/>
        <w:keepNext/>
        <w:numPr>
          <w:numId w:val="0"/>
        </w:numPr>
        <w:spacing w:line="360" w:lineRule="exact" w:before="160" w:after="120"/>
        <w:ind w:firstLine="0"/>
      </w:pPr>
      <w:bookmarkStart w:id="214" w:name="兴塘变规划分析"/>
      <w:r>
        <w:rPr>
          <w:rFonts w:ascii="Times New Roman" w:hAnsi="Times New Roman" w:eastAsia="方正仿宋_GBK"/>
          <w:b/>
          <w:sz w:val="24"/>
        </w:rPr>
        <w:t xml:space="preserve">兴塘变规划分析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MVA。2025年区域正向峰值工况下，本站转接前净负荷为39.15 MW；区域最低净负荷工况下为-30.66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目标年刚性方案主变容量为40.00 MVA、储能额定功率11.70 MW；弹性方案分别为90.00 MVA和0.00 MW。弹性方案本站增加50.00 MVA容量，为本地需求及站间支援提供条件。弹性方案2022—2025年主变总容量依次为90.00、90.00、90.00、90.00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表5-30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MW，转接后净负荷为39.15 MW；区域最低净负荷工况下，转接后净负荷为-30.66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MW和-30.66 MW；两方向容量约束的最小余量为0.00 MW，正向储能有效支撑功率为0.00 MW。</w:t>
      </w:r>
    </w:p>
    <w:p>
      <w:pPr>
        <w:pStyle w:val="7"/>
        <w:keepNext/>
        <w:numPr>
          <w:numId w:val="0"/>
        </w:numPr>
        <w:spacing w:line="360" w:lineRule="exact" w:before="160" w:after="120"/>
        <w:ind w:firstLine="0"/>
      </w:pPr>
      <w:bookmarkStart w:id="215" w:name="议堂变规划分析"/>
      <w:r>
        <w:rPr>
          <w:rFonts w:ascii="Times New Roman" w:hAnsi="Times New Roman" w:eastAsia="方正仿宋_GBK"/>
          <w:b/>
          <w:sz w:val="24"/>
        </w:rPr>
        <w:t xml:space="preserve">议堂变规划分析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MVA。2025年区域正向峰值工况下，本站转接前净负荷为34.43 MW；区域最低净负荷工况下为-21.58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MVA、储能额定功率1.50 MW；弹性方案分别为81.50 MVA和0.00 MW。弹性方案本站增加11.50 MVA容量，为本地需求及站间支援提供条件。弹性方案2022—2025年主变总容量依次为70.00、70.00、70.00、81.50 MVA。目标年站级负载率为44%。</w:t>
      </w:r>
    </w:p>
    <w:p>
      <w:pPr>
        <w:pStyle w:val="2"/>
        <w:keepNext/>
        <w:spacing w:line="280" w:lineRule="exact" w:before="120" w:after="80"/>
        <w:ind w:firstLine="0"/>
        <w:jc w:val="center"/>
      </w:pPr>
      <w:r>
        <w:rPr>
          <w:rFonts w:ascii="Times New Roman" w:hAnsi="Times New Roman" w:eastAsia="宋体"/>
          <w:b w:val="0"/>
          <w:sz w:val="21"/>
        </w:rPr>
        <w:t xml:space="preserve">表5-31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MW、承接7.42 MW，转接后净负荷为41.85 MW；区域最低净负荷工况下，转接后净负荷为-21.58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MVA。重新安排转供后，两工况本站净负荷分别为19.48 MW和-21.58 MW；两方向容量约束的最小余量为8.35 MW，正向储能有效支撑功率为0.00 MW。</w:t>
      </w:r>
    </w:p>
    <w:p>
      <w:pPr>
        <w:pStyle w:val="5"/>
        <w:keepNext/>
        <w:numPr>
          <w:numId w:val="0"/>
        </w:numPr>
        <w:spacing w:line="390" w:lineRule="exact" w:before="160" w:after="120"/>
        <w:ind w:firstLine="0"/>
      </w:pPr>
      <w:bookmarkStart w:id="216" w:name="市区逐站规划方案"/>
      <w:r>
        <w:rPr>
          <w:rFonts w:ascii="Times New Roman" w:hAnsi="Times New Roman" w:eastAsia="方正仿宋_GBK"/>
          <w:b/>
          <w:sz w:val="26"/>
        </w:rPr>
        <w:t xml:space="preserve">5.4.5 市区逐站规划方案</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7" w:name="大黄山变规划分析"/>
      <w:r>
        <w:rPr>
          <w:rFonts w:ascii="Times New Roman" w:hAnsi="Times New Roman" w:eastAsia="方正仿宋_GBK"/>
          <w:b/>
          <w:sz w:val="24"/>
        </w:rPr>
        <w:t xml:space="preserve">大黄山变规划分析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MVA。2025年区域正向峰值工况下，本站转接前净负荷为30.59 MW；区域最低净负荷工况下为-32.17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MW；弹性方案分别为103.00 MVA和0.00 MW。两类方案本站总容量相同，仍需结合主变组合和邻站转接安排解释储能配置。弹性方案2022—2025年主变总容量依次为103.00、103.00、103.00、103.00 MVA。目标年站级负载率为33%。</w:t>
      </w:r>
    </w:p>
    <w:p>
      <w:pPr>
        <w:pStyle w:val="2"/>
        <w:keepNext/>
        <w:spacing w:line="280" w:lineRule="exact" w:before="120" w:after="80"/>
        <w:ind w:firstLine="0"/>
        <w:jc w:val="center"/>
      </w:pPr>
      <w:r>
        <w:rPr>
          <w:rFonts w:ascii="Times New Roman" w:hAnsi="Times New Roman" w:eastAsia="宋体"/>
          <w:b w:val="0"/>
          <w:sz w:val="21"/>
        </w:rPr>
        <w:t xml:space="preserve">表5-32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MW；区域最低净负荷工况下，转接后净负荷为-32.17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MVA。重新安排转供后，两工况本站净负荷分别为30.59 MW和-32.17 MW；两方向容量约束的最小余量为5.83 MW，正向储能有效支撑功率为0.00 MW。</w:t>
      </w:r>
    </w:p>
    <w:p>
      <w:pPr>
        <w:pStyle w:val="7"/>
        <w:keepNext/>
        <w:numPr>
          <w:numId w:val="0"/>
        </w:numPr>
        <w:spacing w:line="360" w:lineRule="exact" w:before="160" w:after="120"/>
        <w:ind w:firstLine="0"/>
      </w:pPr>
      <w:bookmarkStart w:id="218" w:name="大庙变规划分析"/>
      <w:r>
        <w:rPr>
          <w:rFonts w:ascii="Times New Roman" w:hAnsi="Times New Roman" w:eastAsia="方正仿宋_GBK"/>
          <w:b/>
          <w:sz w:val="24"/>
        </w:rPr>
        <w:t xml:space="preserve">大庙变规划分析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MVA。2025年区域正向峰值工况下，本站转接前净负荷为69.73 MW；区域最低净负荷工况下为1.68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MW；弹性方案分别为140.00 MVA和0.00 MW。弹性方案本站增加50.00 MVA容量，为本地需求及站间支援提供条件。弹性方案2022—2025年主变总容量依次为140.00、140.00、140.00、140.00 MVA。目标年站级负载率为52%。</w:t>
      </w:r>
    </w:p>
    <w:p>
      <w:pPr>
        <w:pStyle w:val="2"/>
        <w:keepNext/>
        <w:spacing w:line="280" w:lineRule="exact" w:before="120" w:after="80"/>
        <w:ind w:firstLine="0"/>
        <w:jc w:val="center"/>
      </w:pPr>
      <w:r>
        <w:rPr>
          <w:rFonts w:ascii="Times New Roman" w:hAnsi="Times New Roman" w:eastAsia="宋体"/>
          <w:b w:val="0"/>
          <w:sz w:val="21"/>
        </w:rPr>
        <w:t xml:space="preserve">表5-33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MW，转接后净负荷为69.73 MW；区域最低净负荷工况下，转接后净负荷为1.68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MVA。重新安排转供后，两工况本站净负荷分别为69.73 MW和1.68 MW；两方向容量约束的最小余量为15.77 MW，正向储能有效支撑功率为0.00 MW。</w:t>
      </w:r>
    </w:p>
    <w:p>
      <w:pPr>
        <w:pStyle w:val="7"/>
        <w:keepNext/>
        <w:numPr>
          <w:numId w:val="0"/>
        </w:numPr>
        <w:spacing w:line="360" w:lineRule="exact" w:before="160" w:after="120"/>
        <w:ind w:firstLine="0"/>
      </w:pPr>
      <w:bookmarkStart w:id="219" w:name="堤北变规划分析"/>
      <w:r>
        <w:rPr>
          <w:rFonts w:ascii="Times New Roman" w:hAnsi="Times New Roman" w:eastAsia="方正仿宋_GBK"/>
          <w:b/>
          <w:sz w:val="24"/>
        </w:rPr>
        <w:t xml:space="preserve">堤北变规划分析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MVA。2025年区域正向峰值工况下，本站转接前净负荷为100.47 MW；区域最低净负荷工况下为32.89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表5-34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86.62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目标年正常方式下，区域正向峰值工况转出13.86 MW、承接0.00 MW，转接后净负荷为86.62 MW；区域最低净负荷工况下，转接后净负荷为32.89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MVA。重新安排转供后，两工况本站净负荷分别为58.90 MW和32.89 MW；两方向容量约束的最小余量为0.95 MW，正向储能有效支撑功率为0.00 MW。</w:t>
      </w:r>
    </w:p>
    <w:p>
      <w:pPr>
        <w:pStyle w:val="7"/>
        <w:keepNext/>
        <w:numPr>
          <w:numId w:val="0"/>
        </w:numPr>
        <w:spacing w:line="360" w:lineRule="exact" w:before="160" w:after="120"/>
        <w:ind w:firstLine="0"/>
      </w:pPr>
      <w:bookmarkStart w:id="220" w:name="翟山变规划分析"/>
      <w:r>
        <w:rPr>
          <w:rFonts w:ascii="Times New Roman" w:hAnsi="Times New Roman" w:eastAsia="方正仿宋_GBK"/>
          <w:b/>
          <w:sz w:val="24"/>
        </w:rPr>
        <w:t xml:space="preserve">翟山变规划分析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该站基期主变组合为40+80 MVA。2025年区域正向峰值工况下，本站转接前净负荷为87.01 MW；区域最低净负荷工况下为26.76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目标年刚性方案主变容量为120.00 MVA、储能额定功率0.00 MW；弹性方案分别为160.00 MVA和0.00 MW。弹性方案本站增加40.00 MVA容量，为本地需求及站间支援提供条件。弹性方案2022—2025年主变总容量依次为160.00、160.00、160.00、160.00 MVA。目标年站级负载率为57%。</w:t>
      </w:r>
    </w:p>
    <w:p>
      <w:pPr>
        <w:pStyle w:val="2"/>
        <w:keepNext/>
        <w:spacing w:line="280" w:lineRule="exact" w:before="120" w:after="80"/>
        <w:ind w:firstLine="0"/>
        <w:jc w:val="center"/>
      </w:pPr>
      <w:r>
        <w:rPr>
          <w:rFonts w:ascii="Times New Roman" w:hAnsi="Times New Roman" w:eastAsia="宋体"/>
          <w:b w:val="0"/>
          <w:sz w:val="21"/>
        </w:rPr>
        <w:t xml:space="preserve">表5-35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MW，转接后净负荷为87.01 MW；区域最低净负荷工况下，转接后净负荷为26.76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MVA。重新安排转供后，两工况本站净负荷分别为72.98 MW和26.76 MW；两方向容量约束的最小余量为3.02 MW，正向储能有效支撑功率为0.00 MW。</w:t>
      </w:r>
    </w:p>
    <w:p>
      <w:pPr>
        <w:pStyle w:val="7"/>
        <w:keepNext/>
        <w:numPr>
          <w:numId w:val="0"/>
        </w:numPr>
        <w:spacing w:line="360" w:lineRule="exact" w:before="160" w:after="120"/>
        <w:ind w:firstLine="0"/>
      </w:pPr>
      <w:bookmarkStart w:id="221" w:name="古彭变规划分析"/>
      <w:r>
        <w:rPr>
          <w:rFonts w:ascii="Times New Roman" w:hAnsi="Times New Roman" w:eastAsia="方正仿宋_GBK"/>
          <w:b/>
          <w:sz w:val="24"/>
        </w:rPr>
        <w:t xml:space="preserve">古彭变规划分析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MVA。2025年区域正向峰值工况下，本站转接前净负荷为60.03 MW；区域最低净负荷工况下为24.10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表5-36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MW，转接后净负荷为60.03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MVA。重新安排转供后，两工况本站净负荷分别为45.90 MW和24.10 MW；两方向容量约束的最小余量为1.60 MW，正向储能有效支撑功率为0.00 MW。</w:t>
      </w:r>
    </w:p>
    <w:p>
      <w:pPr>
        <w:pStyle w:val="7"/>
        <w:keepNext/>
        <w:numPr>
          <w:numId w:val="0"/>
        </w:numPr>
        <w:spacing w:line="360" w:lineRule="exact" w:before="160" w:after="120"/>
        <w:ind w:firstLine="0"/>
      </w:pPr>
      <w:bookmarkStart w:id="222" w:name="花园变规划分析"/>
      <w:r>
        <w:rPr>
          <w:rFonts w:ascii="Times New Roman" w:hAnsi="Times New Roman" w:eastAsia="方正仿宋_GBK"/>
          <w:b/>
          <w:sz w:val="24"/>
        </w:rPr>
        <w:t xml:space="preserve">花园变规划分析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MVA。2025年区域正向峰值工况下，本站转接前净负荷为49.60 MW；区域最低净负荷工况下为19.62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MVA。目标年站级负载率为65%。</w:t>
      </w:r>
    </w:p>
    <w:p>
      <w:pPr>
        <w:pStyle w:val="2"/>
        <w:keepNext/>
        <w:spacing w:line="280" w:lineRule="exact" w:before="120" w:after="80"/>
        <w:ind w:firstLine="0"/>
        <w:jc w:val="center"/>
      </w:pPr>
      <w:r>
        <w:rPr>
          <w:rFonts w:ascii="Times New Roman" w:hAnsi="Times New Roman" w:eastAsia="宋体"/>
          <w:b w:val="0"/>
          <w:sz w:val="21"/>
        </w:rPr>
        <w:t xml:space="preserve">表5-37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MW，转接后净负荷为49.60 MW；区域最低净负荷工况下，转接后净负荷为19.62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MVA。重新安排转供后，两工况本站净负荷分别为36.66 MW和19.62 MW；两方向容量约束的最小余量为1.34 MW，正向储能有效支撑功率为0.00 MW。</w:t>
      </w:r>
    </w:p>
    <w:p>
      <w:pPr>
        <w:pStyle w:val="7"/>
        <w:keepNext/>
        <w:numPr>
          <w:numId w:val="0"/>
        </w:numPr>
        <w:spacing w:line="360" w:lineRule="exact" w:before="160" w:after="120"/>
        <w:ind w:firstLine="0"/>
      </w:pPr>
      <w:bookmarkStart w:id="223" w:name="惠民变规划分析"/>
      <w:r>
        <w:rPr>
          <w:rFonts w:ascii="Times New Roman" w:hAnsi="Times New Roman" w:eastAsia="方正仿宋_GBK"/>
          <w:b/>
          <w:sz w:val="24"/>
        </w:rPr>
        <w:t xml:space="preserve">惠民变规划分析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MVA。2025年区域正向峰值工况下，本站转接前净负荷为74.38 MW；区域最低净负荷工况下为24.04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目标年刚性方案主变容量为113.00 MVA、储能额定功率1.80 MW；弹性方案分别为153.00 MVA和0.00 MW。弹性方案本站增加40.00 MVA容量，为本地需求及站间支援提供条件。弹性方案2022—2025年主变总容量依次为153.00、153.00、153.00、153.00 MVA。目标年站级负载率为51%。</w:t>
      </w:r>
    </w:p>
    <w:p>
      <w:pPr>
        <w:pStyle w:val="2"/>
        <w:keepNext/>
        <w:spacing w:line="280" w:lineRule="exact" w:before="120" w:after="80"/>
        <w:ind w:firstLine="0"/>
        <w:jc w:val="center"/>
      </w:pPr>
      <w:r>
        <w:rPr>
          <w:rFonts w:ascii="Times New Roman" w:hAnsi="Times New Roman" w:eastAsia="宋体"/>
          <w:b w:val="0"/>
          <w:sz w:val="21"/>
        </w:rPr>
        <w:t xml:space="preserve">表5-38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MW，转接后净负荷为74.38 MW；区域最低净负荷工况下，转接后净负荷为24.04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MVA。重新安排转供后，两工况本站净负荷分别为74.38 MW和24.04 MW；两方向容量约束的最小余量为11.12 MW，正向储能有效支撑功率为0.00 MW。</w:t>
      </w:r>
    </w:p>
    <w:p>
      <w:pPr>
        <w:pStyle w:val="7"/>
        <w:keepNext/>
        <w:numPr>
          <w:numId w:val="0"/>
        </w:numPr>
        <w:spacing w:line="360" w:lineRule="exact" w:before="160" w:after="120"/>
        <w:ind w:firstLine="0"/>
      </w:pPr>
      <w:bookmarkStart w:id="224" w:name="夹河变规划分析"/>
      <w:r>
        <w:rPr>
          <w:rFonts w:ascii="Times New Roman" w:hAnsi="Times New Roman" w:eastAsia="方正仿宋_GBK"/>
          <w:b/>
          <w:sz w:val="24"/>
        </w:rPr>
        <w:t xml:space="preserve">夹河变规划分析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MVA。2025年区域正向峰值工况下，本站转接前净负荷为46.06 MW；区域最低净负荷工况下为-6.81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MVA。目标年站级负载率为61%。</w:t>
      </w:r>
    </w:p>
    <w:p>
      <w:pPr>
        <w:pStyle w:val="2"/>
        <w:keepNext/>
        <w:spacing w:line="280" w:lineRule="exact" w:before="120" w:after="80"/>
        <w:ind w:firstLine="0"/>
        <w:jc w:val="center"/>
      </w:pPr>
      <w:r>
        <w:rPr>
          <w:rFonts w:ascii="Times New Roman" w:hAnsi="Times New Roman" w:eastAsia="宋体"/>
          <w:b w:val="0"/>
          <w:sz w:val="21"/>
        </w:rPr>
        <w:t xml:space="preserve">表5-39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MW，转接后净负荷为46.06 MW；区域最低净负荷工况下，转接后净负荷为-6.81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MVA。重新安排转供后，两工况本站净负荷分别为35.43 MW和-6.81 MW；两方向容量约束的最小余量为2.57 MW，正向储能有效支撑功率为0.00 MW。</w:t>
      </w:r>
    </w:p>
    <w:p>
      <w:pPr>
        <w:pStyle w:val="7"/>
        <w:keepNext/>
        <w:numPr>
          <w:numId w:val="0"/>
        </w:numPr>
        <w:spacing w:line="360" w:lineRule="exact" w:before="160" w:after="120"/>
        <w:ind w:firstLine="0"/>
      </w:pPr>
      <w:bookmarkStart w:id="225" w:name="开元变规划分析"/>
      <w:r>
        <w:rPr>
          <w:rFonts w:ascii="Times New Roman" w:hAnsi="Times New Roman" w:eastAsia="方正仿宋_GBK"/>
          <w:b/>
          <w:sz w:val="24"/>
        </w:rPr>
        <w:t xml:space="preserve">开元变规划分析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MVA。2025年区域正向峰值工况下，本站转接前净负荷为56.24 MW；区域最低净负荷工况下为13.51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MW；弹性方案分别为126.00 MVA和0.00 MW。弹性方案本站增加23.00 MVA容量，为本地需求及站间支援提供条件。弹性方案2022—2025年主变总容量依次为126.00、126.00、126.00、126.00 MVA。目标年站级负载率为47%。</w:t>
      </w:r>
    </w:p>
    <w:p>
      <w:pPr>
        <w:pStyle w:val="2"/>
        <w:keepNext/>
        <w:spacing w:line="280" w:lineRule="exact" w:before="120" w:after="80"/>
        <w:ind w:firstLine="0"/>
        <w:jc w:val="center"/>
      </w:pPr>
      <w:r>
        <w:rPr>
          <w:rFonts w:ascii="Times New Roman" w:hAnsi="Times New Roman" w:eastAsia="宋体"/>
          <w:b w:val="0"/>
          <w:sz w:val="21"/>
        </w:rPr>
        <w:t xml:space="preserve">表5-40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MW，转接后净负荷为56.24 MW；区域最低净负荷工况下，转接后净负荷为13.51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MVA。重新安排转供后，两工况本站净负荷分别为48.21 MW和13.51 MW；两方向容量约束的最小余量为11.64 MW，正向储能有效支撑功率为0.00 MW。</w:t>
      </w:r>
    </w:p>
    <w:p>
      <w:pPr>
        <w:pStyle w:val="7"/>
        <w:keepNext/>
        <w:numPr>
          <w:numId w:val="0"/>
        </w:numPr>
        <w:spacing w:line="360" w:lineRule="exact" w:before="160" w:after="120"/>
        <w:ind w:firstLine="0"/>
      </w:pPr>
      <w:bookmarkStart w:id="226" w:name="奎山变规划分析"/>
      <w:r>
        <w:rPr>
          <w:rFonts w:ascii="Times New Roman" w:hAnsi="Times New Roman" w:eastAsia="方正仿宋_GBK"/>
          <w:b/>
          <w:sz w:val="24"/>
        </w:rPr>
        <w:t xml:space="preserve">奎山变规划分析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MVA。2025年区域正向峰值工况下，本站转接前净负荷为71.44 MW；区域最低净负荷工况下为22.48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表5-41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14.27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71.44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MW，转接后净负荷为71.44 MW；区域最低净负荷工况下，转接后净负荷为22.48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MW和22.48 MW；两方向容量约束的最小余量为0.00 MW，正向储能有效支撑功率为0.00 MW。</w:t>
      </w:r>
    </w:p>
    <w:p>
      <w:pPr>
        <w:pStyle w:val="7"/>
        <w:keepNext/>
        <w:numPr>
          <w:numId w:val="0"/>
        </w:numPr>
        <w:spacing w:line="360" w:lineRule="exact" w:before="160" w:after="120"/>
        <w:ind w:firstLine="0"/>
      </w:pPr>
      <w:bookmarkStart w:id="227" w:name="刘湾变规划分析"/>
      <w:r>
        <w:rPr>
          <w:rFonts w:ascii="Times New Roman" w:hAnsi="Times New Roman" w:eastAsia="方正仿宋_GBK"/>
          <w:b/>
          <w:sz w:val="24"/>
        </w:rPr>
        <w:t xml:space="preserve">刘湾变规划分析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MVA。2025年区域正向峰值工况下，本站转接前净负荷为60.43 MW；区域最低净负荷工况下为2.04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MVA。目标年站级负载率为71%。</w:t>
      </w:r>
    </w:p>
    <w:p>
      <w:pPr>
        <w:pStyle w:val="2"/>
        <w:keepNext/>
        <w:spacing w:line="280" w:lineRule="exact" w:before="120" w:after="80"/>
        <w:ind w:firstLine="0"/>
        <w:jc w:val="center"/>
      </w:pPr>
      <w:r>
        <w:rPr>
          <w:rFonts w:ascii="Times New Roman" w:hAnsi="Times New Roman" w:eastAsia="宋体"/>
          <w:b w:val="0"/>
          <w:sz w:val="21"/>
        </w:rPr>
        <w:t xml:space="preserve">表5-42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目标年正常方式下，区域正向峰值工况转出7.25 MW、承接6.93 MW，转接后净负荷为60.11 MW；区域最低净负荷工况下，转接后净负荷为2.04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MVA。重新安排转供后，两工况本站净负荷分别为36.26 MW和2.04 MW；两方向容量约束的最小余量为1.74 MW，正向储能有效支撑功率为0.00 MW。</w:t>
      </w:r>
    </w:p>
    <w:p>
      <w:pPr>
        <w:pStyle w:val="7"/>
        <w:keepNext/>
        <w:numPr>
          <w:numId w:val="0"/>
        </w:numPr>
        <w:spacing w:line="360" w:lineRule="exact" w:before="160" w:after="120"/>
        <w:ind w:firstLine="0"/>
      </w:pPr>
      <w:bookmarkStart w:id="228" w:name="龙湖变规划分析"/>
      <w:r>
        <w:rPr>
          <w:rFonts w:ascii="Times New Roman" w:hAnsi="Times New Roman" w:eastAsia="方正仿宋_GBK"/>
          <w:b/>
          <w:sz w:val="24"/>
        </w:rPr>
        <w:t xml:space="preserve">龙湖变规划分析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MVA。2025年区域正向峰值工况下，本站转接前净负荷为28.53 MW；区域最低净负荷工况下为9.38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表5-43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MW，转接后净负荷为28.53 MW；区域最低净负荷工况下，转接后净负荷为9.38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MVA。重新安排转供后，两工况本站净负荷分别为28.53 MW和9.38 MW；两方向容量约束的最小余量为9.47 MW，正向储能有效支撑功率为0.00 MW。</w:t>
      </w:r>
    </w:p>
    <w:p>
      <w:pPr>
        <w:pStyle w:val="7"/>
        <w:keepNext/>
        <w:numPr>
          <w:numId w:val="0"/>
        </w:numPr>
        <w:spacing w:line="360" w:lineRule="exact" w:before="160" w:after="120"/>
        <w:ind w:firstLine="0"/>
      </w:pPr>
      <w:bookmarkStart w:id="229" w:name="千伏庞庄变规划分析"/>
      <w:r>
        <w:rPr>
          <w:rFonts w:ascii="Times New Roman" w:hAnsi="Times New Roman" w:eastAsia="方正仿宋_GBK"/>
          <w:b/>
          <w:sz w:val="24"/>
        </w:rPr>
        <w:t xml:space="preserve">110千伏庞庄变规划分析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MVA。2025年区域正向峰值工况下，本站转接前净负荷为9.50 MW；区域最低净负荷工况下为-6.87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MVA。目标年站级负载率为13%。</w:t>
      </w:r>
    </w:p>
    <w:p>
      <w:pPr>
        <w:pStyle w:val="2"/>
        <w:keepNext/>
        <w:spacing w:line="280" w:lineRule="exact" w:before="120" w:after="80"/>
        <w:ind w:firstLine="0"/>
        <w:jc w:val="center"/>
      </w:pPr>
      <w:r>
        <w:rPr>
          <w:rFonts w:ascii="Times New Roman" w:hAnsi="Times New Roman" w:eastAsia="宋体"/>
          <w:b w:val="0"/>
          <w:sz w:val="21"/>
        </w:rPr>
        <w:t xml:space="preserve">表5-44 110千伏庞庄变年度配置与正向峰值正常转接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MW，转接后净负荷为9.50 MW；区域最低净负荷工况下，转接后净负荷为-6.87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MVA。重新安排转供后，两工况本站净负荷分别为9.50 MW和-6.87 MW；两方向容量约束的最小余量为28.50 MW，正向储能有效支撑功率为0.00 MW。</w:t>
      </w:r>
    </w:p>
    <w:p>
      <w:pPr>
        <w:pStyle w:val="7"/>
        <w:keepNext/>
        <w:numPr>
          <w:numId w:val="0"/>
        </w:numPr>
        <w:spacing w:line="360" w:lineRule="exact" w:before="160" w:after="120"/>
        <w:ind w:firstLine="0"/>
      </w:pPr>
      <w:bookmarkStart w:id="230" w:name="彭场变规划分析"/>
      <w:r>
        <w:rPr>
          <w:rFonts w:ascii="Times New Roman" w:hAnsi="Times New Roman" w:eastAsia="方正仿宋_GBK"/>
          <w:b/>
          <w:sz w:val="24"/>
        </w:rPr>
        <w:t xml:space="preserve">彭场变规划分析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MVA。2025年区域正向峰值工况下，本站转接前净负荷为55.66 MW；区域最低净负荷工况下为7.76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MVA、储能额定功率0.40 MW；弹性方案分别为140.00 MVA和0.00 MW。弹性方案本站增加40.00 MVA容量，为本地需求及站间支援提供条件。弹性方案2022—2025年主变总容量依次为140.00、140.00、140.00、140.00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表5-45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MW，转接后净负荷为55.66 MW；区域最低净负荷工况下，转接后净负荷为7.76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MVA。重新安排转供后，两工况本站净负荷分别为55.66 MW和7.76 MW；两方向容量约束的最小余量为29.84 MW，正向储能有效支撑功率为0.00 MW。</w:t>
      </w:r>
    </w:p>
    <w:p>
      <w:pPr>
        <w:pStyle w:val="7"/>
        <w:keepNext/>
        <w:numPr>
          <w:numId w:val="0"/>
        </w:numPr>
        <w:spacing w:line="360" w:lineRule="exact" w:before="160" w:after="120"/>
        <w:ind w:firstLine="0"/>
      </w:pPr>
      <w:bookmarkStart w:id="231" w:name="庆云桥变规划分析"/>
      <w:r>
        <w:rPr>
          <w:rFonts w:ascii="Times New Roman" w:hAnsi="Times New Roman" w:eastAsia="方正仿宋_GBK"/>
          <w:b/>
          <w:sz w:val="24"/>
        </w:rPr>
        <w:t xml:space="preserve">庆云桥变规划分析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MVA。2025年区域正向峰值工况下，本站转接前净负荷为58.45 MW；区域最低净负荷工况下为17.85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MVA。目标年站级负载率为77%。</w:t>
      </w:r>
    </w:p>
    <w:p>
      <w:pPr>
        <w:pStyle w:val="2"/>
        <w:keepNext/>
        <w:spacing w:line="280" w:lineRule="exact" w:before="120" w:after="80"/>
        <w:ind w:firstLine="0"/>
        <w:jc w:val="center"/>
      </w:pPr>
      <w:r>
        <w:rPr>
          <w:rFonts w:ascii="Times New Roman" w:hAnsi="Times New Roman" w:eastAsia="宋体"/>
          <w:b w:val="0"/>
          <w:sz w:val="21"/>
        </w:rPr>
        <w:t xml:space="preserve">表5-46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61.25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47.85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62.72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目标年正常方式下，区域正向峰值工况转出2.66 MW、承接6.93 MW，转接后净负荷为62.72 MW；区域最低净负荷工况下，转接后净负荷为17.85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MVA。重新安排转供后，两工况本站净负荷分别为37.19 MW和17.85 MW；两方向容量约束的最小余量为0.81 MW，正向储能有效支撑功率为0.00 MW。</w:t>
      </w:r>
    </w:p>
    <w:p>
      <w:pPr>
        <w:pStyle w:val="7"/>
        <w:keepNext/>
        <w:numPr>
          <w:numId w:val="0"/>
        </w:numPr>
        <w:spacing w:line="360" w:lineRule="exact" w:before="160" w:after="120"/>
        <w:ind w:firstLine="0"/>
      </w:pPr>
      <w:bookmarkStart w:id="232" w:name="山南变规划分析"/>
      <w:r>
        <w:rPr>
          <w:rFonts w:ascii="Times New Roman" w:hAnsi="Times New Roman" w:eastAsia="方正仿宋_GBK"/>
          <w:b/>
          <w:sz w:val="24"/>
        </w:rPr>
        <w:t xml:space="preserve">山南变规划分析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MVA。2025年区域正向峰值工况下，本站转接前净负荷为5.80 MW；区域最低净负荷工况下为0.64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MVA。目标年站级负载率为8%。</w:t>
      </w:r>
    </w:p>
    <w:p>
      <w:pPr>
        <w:pStyle w:val="2"/>
        <w:keepNext/>
        <w:spacing w:line="280" w:lineRule="exact" w:before="120" w:after="80"/>
        <w:ind w:firstLine="0"/>
        <w:jc w:val="center"/>
      </w:pPr>
      <w:r>
        <w:rPr>
          <w:rFonts w:ascii="Times New Roman" w:hAnsi="Times New Roman" w:eastAsia="宋体"/>
          <w:b w:val="0"/>
          <w:sz w:val="21"/>
        </w:rPr>
        <w:t xml:space="preserve">表5-47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MW，转接后净负荷为5.80 MW；区域最低净负荷工况下，转接后净负荷为0.64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MVA。重新安排转供后，两工况本站净负荷分别为5.80 MW和0.64 MW；两方向容量约束的最小余量为32.20 MW，正向储能有效支撑功率为0.00 MW。</w:t>
      </w:r>
    </w:p>
    <w:p>
      <w:pPr>
        <w:pStyle w:val="7"/>
        <w:keepNext/>
        <w:numPr>
          <w:numId w:val="0"/>
        </w:numPr>
        <w:spacing w:line="360" w:lineRule="exact" w:before="160" w:after="120"/>
        <w:ind w:firstLine="0"/>
      </w:pPr>
      <w:bookmarkStart w:id="233" w:name="升辉变规划分析"/>
      <w:r>
        <w:rPr>
          <w:rFonts w:ascii="Times New Roman" w:hAnsi="Times New Roman" w:eastAsia="方正仿宋_GBK"/>
          <w:b/>
          <w:sz w:val="24"/>
        </w:rPr>
        <w:t xml:space="preserve">升辉变规划分析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该站基期主变组合为80+80 MVA。2025年区域正向峰值工况下，本站转接前净负荷为28.55 MW；区域最低净负荷工况下为11.59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MVA。目标年站级负载率为19%。</w:t>
      </w:r>
    </w:p>
    <w:p>
      <w:pPr>
        <w:pStyle w:val="2"/>
        <w:keepNext/>
        <w:spacing w:line="280" w:lineRule="exact" w:before="120" w:after="80"/>
        <w:ind w:firstLine="0"/>
        <w:jc w:val="center"/>
      </w:pPr>
      <w:r>
        <w:rPr>
          <w:rFonts w:ascii="Times New Roman" w:hAnsi="Times New Roman" w:eastAsia="宋体"/>
          <w:b w:val="0"/>
          <w:sz w:val="21"/>
        </w:rPr>
        <w:t xml:space="preserve">表5-48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MW，转接后净负荷为28.55 MW；区域最低净负荷工况下，转接后净负荷为11.59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MVA。重新安排转供后，两工况本站净负荷分别为28.55 MW和11.59 MW；两方向容量约束的最小余量为47.45 MW，正向储能有效支撑功率为0.00 MW。</w:t>
      </w:r>
    </w:p>
    <w:p>
      <w:pPr>
        <w:pStyle w:val="7"/>
        <w:keepNext/>
        <w:numPr>
          <w:numId w:val="0"/>
        </w:numPr>
        <w:spacing w:line="360" w:lineRule="exact" w:before="160" w:after="120"/>
        <w:ind w:firstLine="0"/>
      </w:pPr>
      <w:bookmarkStart w:id="234" w:name="石桥变规划分析"/>
      <w:r>
        <w:rPr>
          <w:rFonts w:ascii="Times New Roman" w:hAnsi="Times New Roman" w:eastAsia="方正仿宋_GBK"/>
          <w:b/>
          <w:sz w:val="24"/>
        </w:rPr>
        <w:t xml:space="preserve">石桥变规划分析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该站基期主变组合为63+80 MVA。2025年区域正向峰值工况下，本站转接前净负荷为103.71 MW；区域最低净负荷工况下为2.91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MVA、储能额定功率0.80 MW；弹性方案分别为160.00 MVA和0.00 MW。两类方案本站总容量相同，仍需结合主变组合和邻站转接安排解释储能配置。弹性方案2022—2025年主变总容量依次为160.00、160.00、160.00、160.00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表5-49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116.87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MW、承接13.15 MW，转接后净负荷为116.87 MW；区域最低净负荷工况下，转接后净负荷为2.91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MVA。重新安排转供后，两工况本站净负荷分别为74.08 MW和2.91 MW；两方向容量约束的最小余量为1.92 MW，正向储能有效支撑功率为0.00 MW。</w:t>
      </w:r>
    </w:p>
    <w:p>
      <w:pPr>
        <w:pStyle w:val="7"/>
        <w:keepNext/>
        <w:numPr>
          <w:numId w:val="0"/>
        </w:numPr>
        <w:spacing w:line="360" w:lineRule="exact" w:before="160" w:after="120"/>
        <w:ind w:firstLine="0"/>
      </w:pPr>
      <w:bookmarkStart w:id="235" w:name="拾屯变规划分析"/>
      <w:r>
        <w:rPr>
          <w:rFonts w:ascii="Times New Roman" w:hAnsi="Times New Roman" w:eastAsia="方正仿宋_GBK"/>
          <w:b/>
          <w:sz w:val="24"/>
        </w:rPr>
        <w:t xml:space="preserve">拾屯变规划分析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MVA。2025年区域正向峰值工况下，本站转接前净负荷为72.26 MW；区域最低净负荷工况下为4.74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表5-50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MW，转接后净负荷为72.26 MW；区域最低净负荷工况下，转接后净负荷为4.74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MVA。重新安排转供后，两工况本站净负荷分别为68.13 MW和4.74 MW；两方向容量约束的最小余量为7.87 MW，正向储能有效支撑功率为0.00 MW。</w:t>
      </w:r>
    </w:p>
    <w:p>
      <w:pPr>
        <w:pStyle w:val="7"/>
        <w:keepNext/>
        <w:numPr>
          <w:numId w:val="0"/>
        </w:numPr>
        <w:spacing w:line="360" w:lineRule="exact" w:before="160" w:after="120"/>
        <w:ind w:firstLine="0"/>
      </w:pPr>
      <w:bookmarkStart w:id="236" w:name="统一变规划分析"/>
      <w:r>
        <w:rPr>
          <w:rFonts w:ascii="Times New Roman" w:hAnsi="Times New Roman" w:eastAsia="方正仿宋_GBK"/>
          <w:b/>
          <w:sz w:val="24"/>
        </w:rPr>
        <w:t xml:space="preserve">统一变规划分析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MVA。2025年区域正向峰值工况下，本站转接前净负荷为91.55 MW；区域最低净负荷工况下为14.84 MW，受入为正、反送为负。2022年更换既有主变，新购160.00 MVA；2023年新增储能0.50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MW；弹性方案分别为160.00 MVA和0.50 MW。弹性方案本站增加80.00 MVA容量，为本地需求及站间支援提供条件。弹性方案2022—2025年主变总容量依次为160.00、160.00、160.00、160.00 MVA。目标年站级负载率为60%。</w:t>
      </w:r>
    </w:p>
    <w:p>
      <w:pPr>
        <w:pStyle w:val="2"/>
        <w:keepNext/>
        <w:spacing w:line="280" w:lineRule="exact" w:before="120" w:after="80"/>
        <w:ind w:firstLine="0"/>
        <w:jc w:val="center"/>
      </w:pPr>
      <w:r>
        <w:rPr>
          <w:rFonts w:ascii="Times New Roman" w:hAnsi="Times New Roman" w:eastAsia="宋体"/>
          <w:b w:val="0"/>
          <w:sz w:val="21"/>
        </w:rPr>
        <w:t xml:space="preserve">表5-51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MW，转接后净负荷为91.55 MW；区域最低净负荷工况下，转接后净负荷为14.84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MVA。重新安排转供后，两工况本站净负荷分别为75.53 MW和14.84 MW；两方向容量约束的最小余量为0.67 MW，正向储能有效支撑功率为0.20 MW。</w:t>
      </w:r>
    </w:p>
    <w:p>
      <w:pPr>
        <w:pStyle w:val="7"/>
        <w:keepNext/>
        <w:numPr>
          <w:numId w:val="0"/>
        </w:numPr>
        <w:spacing w:line="360" w:lineRule="exact" w:before="160" w:after="120"/>
        <w:ind w:firstLine="0"/>
      </w:pPr>
      <w:bookmarkStart w:id="237" w:name="吴庄变规划分析"/>
      <w:r>
        <w:rPr>
          <w:rFonts w:ascii="Times New Roman" w:hAnsi="Times New Roman" w:eastAsia="方正仿宋_GBK"/>
          <w:b/>
          <w:sz w:val="24"/>
        </w:rPr>
        <w:t xml:space="preserve">吴庄变规划分析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MVA。2025年区域正向峰值工况下，本站转接前净负荷为96.47 MW；区域最低净负荷工况下为31.10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MW；弹性方案分别为160.00 MVA和0.00 MW。弹性方案本站增加30.00 MVA容量，为本地需求及站间支援提供条件。弹性方案2022—2025年主变总容量依次为160.00、160.00、160.00、160.00 MVA。目标年站级负载率为63%。</w:t>
      </w:r>
    </w:p>
    <w:p>
      <w:pPr>
        <w:pStyle w:val="2"/>
        <w:keepNext/>
        <w:spacing w:line="280" w:lineRule="exact" w:before="120" w:after="80"/>
        <w:ind w:firstLine="0"/>
        <w:jc w:val="center"/>
      </w:pPr>
      <w:r>
        <w:rPr>
          <w:rFonts w:ascii="Times New Roman" w:hAnsi="Times New Roman" w:eastAsia="宋体"/>
          <w:b w:val="0"/>
          <w:sz w:val="21"/>
        </w:rPr>
        <w:t xml:space="preserve">表5-52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98.48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MW、承接7.40 MW，转接后净负荷为103.87 MW；区域最低净负荷工况下，转接后净负荷为31.10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MVA。重新安排转供后，两工况本站净负荷分别为74.77 MW和31.10 MW；两方向容量约束的最小余量为1.23 MW，正向储能有效支撑功率为0.00 MW。</w:t>
      </w:r>
    </w:p>
    <w:p>
      <w:pPr>
        <w:pStyle w:val="7"/>
        <w:keepNext/>
        <w:numPr>
          <w:numId w:val="0"/>
        </w:numPr>
        <w:spacing w:line="360" w:lineRule="exact" w:before="160" w:after="120"/>
        <w:ind w:firstLine="0"/>
      </w:pPr>
      <w:bookmarkStart w:id="238" w:name="西郊变规划分析"/>
      <w:r>
        <w:rPr>
          <w:rFonts w:ascii="Times New Roman" w:hAnsi="Times New Roman" w:eastAsia="方正仿宋_GBK"/>
          <w:b/>
          <w:sz w:val="24"/>
        </w:rPr>
        <w:t xml:space="preserve">西郊变规划分析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MVA。2025年区域正向峰值工况下，本站转接前净负荷为128.27 MW；区域最低净负荷工况下为32.04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MW；弹性方案分别为160.00 MVA和0.00 MW。弹性方案本站增加34.00 MVA容量，为本地需求及站间支援提供条件。弹性方案2022—2025年主变总容量依次为160.00、160.00、160.00、160.00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表5-53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34.67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132.26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122.15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123.53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目标年正常方式下，区域正向峰值工况转出7.40 MW、承接2.66 MW，转接后净负荷为123.53 MW；区域最低净负荷工况下，转接后净负荷为32.04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MVA。重新安排转供后，两工况本站净负荷分别为74.00 MW和32.04 MW；两方向容量约束的最小余量为2.00 MW，正向储能有效支撑功率为0.00 MW。</w:t>
      </w:r>
    </w:p>
    <w:p>
      <w:pPr>
        <w:pStyle w:val="7"/>
        <w:keepNext/>
        <w:numPr>
          <w:numId w:val="0"/>
        </w:numPr>
        <w:spacing w:line="360" w:lineRule="exact" w:before="160" w:after="120"/>
        <w:ind w:firstLine="0"/>
      </w:pPr>
      <w:bookmarkStart w:id="239" w:name="祥和变规划分析"/>
      <w:r>
        <w:rPr>
          <w:rFonts w:ascii="Times New Roman" w:hAnsi="Times New Roman" w:eastAsia="方正仿宋_GBK"/>
          <w:b/>
          <w:sz w:val="24"/>
        </w:rPr>
        <w:t xml:space="preserve">祥和变规划分析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MVA。2025年区域正向峰值工况下，本站转接前净负荷为19.35 MW；区域最低净负荷工况下为5.17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MVA。目标年站级负载率为23%。</w:t>
      </w:r>
    </w:p>
    <w:p>
      <w:pPr>
        <w:pStyle w:val="2"/>
        <w:keepNext/>
        <w:spacing w:line="280" w:lineRule="exact" w:before="120" w:after="80"/>
        <w:ind w:firstLine="0"/>
        <w:jc w:val="center"/>
      </w:pPr>
      <w:r>
        <w:rPr>
          <w:rFonts w:ascii="Times New Roman" w:hAnsi="Times New Roman" w:eastAsia="宋体"/>
          <w:b w:val="0"/>
          <w:sz w:val="21"/>
        </w:rPr>
        <w:t xml:space="preserve">表5-54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MW，转接后净负荷为19.35 MW；区域最低净负荷工况下，转接后净负荷为5.17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MVA。重新安排转供后，两工况本站净负荷分别为19.35 MW和5.17 MW；两方向容量约束的最小余量为18.65 MW，正向储能有效支撑功率为0.00 MW。</w:t>
      </w:r>
    </w:p>
    <w:p>
      <w:pPr>
        <w:pStyle w:val="7"/>
        <w:keepNext/>
        <w:numPr>
          <w:numId w:val="0"/>
        </w:numPr>
        <w:spacing w:line="360" w:lineRule="exact" w:before="160" w:after="120"/>
        <w:ind w:firstLine="0"/>
      </w:pPr>
      <w:bookmarkStart w:id="240" w:name="响山变规划分析"/>
      <w:r>
        <w:rPr>
          <w:rFonts w:ascii="Times New Roman" w:hAnsi="Times New Roman" w:eastAsia="方正仿宋_GBK"/>
          <w:b/>
          <w:sz w:val="24"/>
        </w:rPr>
        <w:t xml:space="preserve">响山变规划分析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MVA。2025年区域正向峰值工况下，本站转接前净负荷为53.11 MW；区域最低净负荷工况下为11.38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MVA、储能额定功率1.80 MW；弹性方案分别为80.00 MVA和0.00 MW。两类方案本站总容量相同，仍需结合主变组合和邻站转接安排解释储能配置。弹性方案2022—2025年主变总容量依次为80.00、80.00、80.00、80.00 MVA。目标年站级负载率为70%。</w:t>
      </w:r>
    </w:p>
    <w:p>
      <w:pPr>
        <w:pStyle w:val="2"/>
        <w:keepNext/>
        <w:spacing w:line="280" w:lineRule="exact" w:before="120" w:after="80"/>
        <w:ind w:firstLine="0"/>
        <w:jc w:val="center"/>
      </w:pPr>
      <w:r>
        <w:rPr>
          <w:rFonts w:ascii="Times New Roman" w:hAnsi="Times New Roman" w:eastAsia="宋体"/>
          <w:b w:val="0"/>
          <w:sz w:val="21"/>
        </w:rPr>
        <w:t xml:space="preserve">表5-55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目标年正常方式下，区域正向峰值工况转出5.90 MW、承接0.00 MW，转接后净负荷为47.21 MW；区域最低净负荷工况下，转接后净负荷为11.38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MW和11.38 MW；两方向容量约束的最小余量为0.00 MW，正向储能有效支撑功率为0.00 MW。</w:t>
      </w:r>
    </w:p>
    <w:p>
      <w:pPr>
        <w:pStyle w:val="7"/>
        <w:keepNext/>
        <w:numPr>
          <w:numId w:val="0"/>
        </w:numPr>
        <w:spacing w:line="360" w:lineRule="exact" w:before="160" w:after="120"/>
        <w:ind w:firstLine="0"/>
      </w:pPr>
      <w:bookmarkStart w:id="241" w:name="玉潭变规划分析"/>
      <w:r>
        <w:rPr>
          <w:rFonts w:ascii="Times New Roman" w:hAnsi="Times New Roman" w:eastAsia="方正仿宋_GBK"/>
          <w:b/>
          <w:sz w:val="24"/>
        </w:rPr>
        <w:t xml:space="preserve">玉潭变规划分析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MVA。2025年区域正向峰值工况下，本站转接前净负荷为45.03 MW；区域最低净负荷工况下为9.12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表5-56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MW，转接后净负荷为45.03 MW；区域最低净负荷工况下，转接后净负荷为9.12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MVA。重新安排转供后，两工况本站净负荷分别为45.03 MW和9.12 MW；两方向容量约束的最小余量为14.82 MW，正向储能有效支撑功率为0.00 MW。</w:t>
      </w:r>
    </w:p>
    <w:p>
      <w:pPr>
        <w:pStyle w:val="7"/>
        <w:keepNext/>
        <w:numPr>
          <w:numId w:val="0"/>
        </w:numPr>
        <w:spacing w:line="360" w:lineRule="exact" w:before="160" w:after="120"/>
        <w:ind w:firstLine="0"/>
      </w:pPr>
      <w:bookmarkStart w:id="242" w:name="茱萸变规划分析"/>
      <w:r>
        <w:rPr>
          <w:rFonts w:ascii="Times New Roman" w:hAnsi="Times New Roman" w:eastAsia="方正仿宋_GBK"/>
          <w:b/>
          <w:sz w:val="24"/>
        </w:rPr>
        <w:t xml:space="preserve">茱萸变规划分析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MVA。2025年区域正向峰值工况下，本站转接前净负荷为11.51 MW；区域最低净负荷工况下为-4.81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MVA。目标年站级负载率为15%。</w:t>
      </w:r>
    </w:p>
    <w:p>
      <w:pPr>
        <w:pStyle w:val="2"/>
        <w:keepNext/>
        <w:spacing w:line="280" w:lineRule="exact" w:before="120" w:after="80"/>
        <w:ind w:firstLine="0"/>
        <w:jc w:val="center"/>
      </w:pPr>
      <w:r>
        <w:rPr>
          <w:rFonts w:ascii="Times New Roman" w:hAnsi="Times New Roman" w:eastAsia="宋体"/>
          <w:b w:val="0"/>
          <w:sz w:val="21"/>
        </w:rPr>
        <w:t xml:space="preserve">表5-57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MW，转接后净负荷为11.51 MW；区域最低净负荷工况下，转接后净负荷为-4.81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MVA。重新安排转供后，两工况本站净负荷分别为11.51 MW和-4.81 MW；两方向容量约束的最小余量为26.49 MW，正向储能有效支撑功率为0.00 MW。</w:t>
      </w:r>
    </w:p>
    <w:p>
      <w:pPr>
        <w:pStyle w:val="5"/>
        <w:keepNext/>
        <w:numPr>
          <w:numId w:val="0"/>
        </w:numPr>
        <w:spacing w:line="390" w:lineRule="exact" w:before="160" w:after="120"/>
        <w:ind w:firstLine="0"/>
      </w:pPr>
      <w:bookmarkStart w:id="243" w:name="目标年设备配置的站间差异"/>
      <w:r>
        <w:rPr>
          <w:rFonts w:ascii="Times New Roman" w:hAnsi="Times New Roman" w:eastAsia="方正仿宋_GBK"/>
          <w:b/>
          <w:sz w:val="26"/>
        </w:rPr>
        <w:t xml:space="preserve">5.4.6 目标年设备配置的站间差异</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表5-58 站级展示范围内目标年主变台数与配储站数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邳州刚性方案的站级展示范围内，共20座站，其中0座配置三台主变、20座配置两台主变；配储站7座，储能额定功率合计32.90 MW。</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邳州弹性方案的站级展示范围内，共20座站，其中2座配置三台主变、18座配置两台主变；配储站0座，储能额定功率合计0.00 MW。</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市区刚性方案的站级展示范围内，共26座站，其中0座配置三台主变、26座配置两台主变；配储站4座，储能额定功率合计4.80 MW。</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市区弹性方案的站级展示范围内，共26座站，其中4座配置三台主变、22座配置两台主变；配储站1座，储能额定功率合计0.50 MW。</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不能由地区比值反推每座站采用相同配置。</w:t>
      </w:r>
    </w:p>
    <w:p>
      <w:pPr>
        <w:pStyle w:val="4"/>
        <w:keepNext/>
        <w:numPr>
          <w:numId w:val="0"/>
        </w:numPr>
        <w:spacing w:line="480" w:lineRule="exact" w:before="160" w:after="120"/>
        <w:ind w:firstLine="0"/>
      </w:pPr>
      <w:bookmarkStart w:id="1879" w:name="h879"/>
      <w:bookmarkStart w:id="244" w:name="措施作用与工程衔接"/>
      <w:r>
        <w:rPr>
          <w:rFonts w:ascii="Times New Roman" w:hAnsi="Times New Roman" w:eastAsia="方正仿宋_GBK"/>
          <w:b/>
          <w:sz w:val="32"/>
        </w:rPr>
        <w:t xml:space="preserve">5.5 措施作用与工程衔接</w:t>
      </w:r>
      <w:bookmarkEnd w:id="244"/>
      <w:bookmarkEnd w:id="1879"/>
    </w:p>
    <w:p>
      <w:pPr>
        <w:pStyle w:val="5"/>
        <w:keepNext/>
        <w:numPr>
          <w:numId w:val="0"/>
        </w:numPr>
        <w:spacing w:line="390" w:lineRule="exact" w:before="160" w:after="120"/>
        <w:ind w:firstLine="0"/>
      </w:pPr>
      <w:bookmarkStart w:id="245" w:name="逐年负荷转接与站间任务"/>
      <w:r>
        <w:rPr>
          <w:rFonts w:ascii="Times New Roman" w:hAnsi="Times New Roman" w:eastAsia="方正仿宋_GBK"/>
          <w:b/>
          <w:sz w:val="26"/>
        </w:rPr>
        <w:t xml:space="preserve">5.5.1 逐年负荷转接与站间任务</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不把不同工况的转接功率累加。</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18.63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19.48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邳州弹性方案在区域正向峰值、正常运行条件下，2022年转接合计0.00 MW，2025年为79.30 MW；目标年承担转出和承接任务的站数分别为3座、7座，单站最大转出、承接量分别为41.87 MW、26.27 MW。转接量同时受年度负荷和设备投运影响，不能仅由地区增长率判断。目标年正常转接中，经既有边和新增边的功率分别为0.00 MW、79.30 MW；N-1条件另按故障站逐一安排，不将不同故障的功率相加。</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36.46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23.26</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49.33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17.84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13.98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市区弹性方案在区域正向峰值、正常运行条件下，2022年转接合计24.87 MW，2025年为37.07 MW；目标年承担转出和承接任务的站数分别为5座、5座，单站最大转出、承接量分别为13.86 MW、13.15 MW。转接量同时受年度负荷和设备投运影响，不能仅由地区增长率判断。目标年正常转接中，经既有边和新增边的功率分别为0.00 MW、37.07 MW；N-1条件另按故障站逐一安排，不将不同故障的功率相加。</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费用目标没有要求正常转接量最小，因此同一设备布局下还可能存在其他可行的负荷分配。表中转接量用于说明当前候选的网络利用，不作为唯一调度指令。后续工程安排应结合开关位置、实际负荷块和操作条件确定具体转供方式。</w:t>
      </w:r>
    </w:p>
    <w:p>
      <w:pPr>
        <w:pStyle w:val="5"/>
        <w:keepNext/>
        <w:numPr>
          <w:numId w:val="0"/>
        </w:numPr>
        <w:spacing w:line="390" w:lineRule="exact" w:before="160" w:after="120"/>
        <w:ind w:firstLine="0"/>
      </w:pPr>
      <w:bookmarkStart w:id="246" w:name="主变储能与联络的共同作用"/>
      <w:r>
        <w:rPr>
          <w:rFonts w:ascii="Times New Roman" w:hAnsi="Times New Roman" w:eastAsia="方正仿宋_GBK"/>
          <w:b/>
          <w:sz w:val="26"/>
        </w:rPr>
        <w:t xml:space="preserve">5.5.2 主变、储能与联络的共同作用</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仅增加联络条数，不能保证按额定能力等比例增加地区可转负荷。</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不能只凭某个正常时刻的利用率认定冗余。</w:t>
      </w:r>
    </w:p>
    <w:p>
      <w:pPr>
        <w:pStyle w:val="5"/>
        <w:keepNext/>
        <w:numPr>
          <w:numId w:val="0"/>
        </w:numPr>
        <w:spacing w:line="390" w:lineRule="exact" w:before="160" w:after="120"/>
        <w:ind w:firstLine="0"/>
      </w:pPr>
      <w:bookmarkStart w:id="247" w:name="储能支撑持续时间与地区方案"/>
      <w:r>
        <w:rPr>
          <w:rFonts w:ascii="Times New Roman" w:hAnsi="Times New Roman" w:eastAsia="方正仿宋_GBK"/>
          <w:b/>
          <w:sz w:val="26"/>
        </w:rPr>
        <w:t xml:space="preserve">5.5.3 储能支撑持续时间与地区方案</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两地区规划方案采用4 h正向储能支撑持续时间，储能有效功率按额定功率及可用电量共同限制。邳州弹性方案未配置储能，其给定设备组合的可行性不直接受储能持续时间影响；市区弹性方案配置0.50 MW/1.075 MWh储能，4 h条件下对应正向有效支撑功率0.20425 MW。所需有效功率与铭牌功率分别统计。</w:t>
      </w:r>
    </w:p>
    <w:p>
      <w:pPr>
        <w:pStyle w:val="2"/>
        <w:widowControl/>
        <w:spacing w:line="348" w:lineRule="exact" w:before="0" w:after="0"/>
        <w:ind w:firstLine="480"/>
        <w:jc w:val="both"/>
      </w:pPr>
      <w:r>
        <w:rPr>
          <w:rFonts w:ascii="Times New Roman" w:hAnsi="Times New Roman" w:eastAsia="方正仿宋_GBK"/>
          <w:b w:val="0"/>
          <w:sz w:val="24"/>
        </w:rPr>
        <w:t xml:space="preserve">两地区2、4、6 h独立扰动结果见第3.5节。持续时间延长是否引起主变或联络方案调整，取决于本地缺口、邻站余量以及储能与其他措施的费用关系。区域95%峰值持续时间用于描述运行特征，正向与反向储能支撑条件分别核定。</w:t>
      </w:r>
    </w:p>
    <w:p>
      <w:pPr>
        <w:pStyle w:val="5"/>
        <w:keepNext/>
        <w:numPr>
          <w:numId w:val="0"/>
        </w:numPr>
        <w:spacing w:line="390" w:lineRule="exact" w:before="160" w:after="120"/>
        <w:ind w:firstLine="0"/>
      </w:pPr>
      <w:bookmarkStart w:id="248" w:name="刚性条件下无储能方案的可行性"/>
      <w:r>
        <w:rPr>
          <w:rFonts w:ascii="Times New Roman" w:hAnsi="Times New Roman" w:eastAsia="方正仿宋_GBK"/>
          <w:b/>
          <w:sz w:val="26"/>
        </w:rPr>
        <w:t xml:space="preserve">5.5.4 刚性条件下无储能方案的可行性</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无储能对照保留主变扩容与10 kV联络建设，并比较固定初始主变、固定刚性含储能候选主变布局等边界。两地区完整四年刚性无储能模型均未取得可行方案，已有独立必要容量下界用于解释限制来源。储能变量固定为零后，2/4/6 h的折算系数不影响这一无储能边界。</w:t>
      </w:r>
    </w:p>
    <w:p>
      <w:pPr>
        <w:pStyle w:val="2"/>
        <w:keepNext/>
        <w:spacing w:line="280" w:lineRule="exact" w:before="120" w:after="80"/>
        <w:ind w:firstLine="0"/>
        <w:jc w:val="center"/>
      </w:pPr>
      <w:r>
        <w:rPr>
          <w:rFonts w:ascii="Times New Roman" w:hAnsi="Times New Roman" w:eastAsia="宋体"/>
          <w:b w:val="0"/>
          <w:sz w:val="21"/>
        </w:rPr>
        <w:t xml:space="preserve">表5-61 无储能容量必要条件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刚性宽松容量上界/MVA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无储能必要容量下界/MVA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超出上界/MVA</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2927.00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1730.00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79.99</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下界在全部候选可用、放松接收站容量和部分实施限制的条件下计算，属于偏宽松的必要条件。必要容量仍超过刚性允许范围，说明当前候选集合内单靠联络无法弥补相关缺口。该结果不等于现实地区普遍必须配置储能；弹性方案可通过允许的主变增容和付费联络满足同一静态约束。</w:t>
      </w:r>
    </w:p>
    <w:p>
      <w:pPr>
        <w:pStyle w:val="4"/>
        <w:keepNext/>
        <w:numPr>
          <w:numId w:val="0"/>
        </w:numPr>
        <w:spacing w:line="480" w:lineRule="exact" w:before="160" w:after="120"/>
        <w:ind w:firstLine="0"/>
      </w:pPr>
      <w:bookmarkStart w:id="1900" w:name="h900"/>
      <w:bookmarkStart w:id="249" w:name="参数拓展与通用推荐矩阵"/>
      <w:r>
        <w:rPr>
          <w:rFonts w:ascii="Times New Roman" w:hAnsi="Times New Roman" w:eastAsia="方正仿宋_GBK"/>
          <w:b/>
          <w:sz w:val="32"/>
        </w:rPr>
        <w:t xml:space="preserve">5.6 参数拓展与通用推荐矩阵</w:t>
      </w:r>
      <w:bookmarkEnd w:id="249"/>
      <w:bookmarkEnd w:id="1900"/>
    </w:p>
    <w:p>
      <w:pPr>
        <w:pStyle w:val="5"/>
        <w:keepNext/>
        <w:numPr>
          <w:numId w:val="0"/>
        </w:numPr>
        <w:spacing w:line="390" w:lineRule="exact" w:before="160" w:after="120"/>
        <w:ind w:firstLine="0"/>
      </w:pPr>
      <w:bookmarkStart w:id="250" w:name="核心参数及区间设置"/>
      <w:r>
        <w:rPr>
          <w:rFonts w:ascii="Times New Roman" w:hAnsi="Times New Roman" w:eastAsia="方正仿宋_GBK"/>
          <w:b/>
          <w:sz w:val="26"/>
        </w:rPr>
        <w:t xml:space="preserve">5.6.1 核心参数及区间设置</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和负荷分散系数六项参数。储能价格单独分析。供电区域类别用于核对规划技术要求，线路造价差异由线路成本系数表示；具体设备及网络条件按片区资料确定。</w:t>
      </w:r>
    </w:p>
    <w:p>
      <w:pPr>
        <w:pStyle w:val="2"/>
        <w:keepNext/>
        <w:spacing w:line="280" w:lineRule="exact" w:before="120" w:after="80"/>
        <w:ind w:firstLine="0"/>
        <w:jc w:val="center"/>
      </w:pPr>
      <w:r>
        <w:rPr>
          <w:rFonts w:ascii="Times New Roman" w:hAnsi="Times New Roman" w:eastAsia="宋体"/>
          <w:b w:val="0"/>
          <w:sz w:val="21"/>
        </w:rPr>
        <w:t xml:space="preserve">表5-62 推广矩阵参数区间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取值依据</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≤1.00；(1.00, 2.00]；&gt;2.00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 4%]；(4%, 7%]；&gt;7%</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DL/T 5729—2023表6.3.4</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≤1.65；(1.65, 6.85]；&gt;6.85</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≤30%；(30%, 50%]；&gt;50%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h；(2 h, 4 h]；&gt;4 h</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≤1.10；&gt;1.10</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bl>
    <w:p>
      <w:pPr>
        <w:pStyle w:val="2"/>
        <w:widowControl/>
        <w:spacing w:line="348" w:lineRule="exact" w:before="0" w:after="0"/>
        <w:ind w:firstLine="480"/>
        <w:jc w:val="both"/>
      </w:pPr>
      <w:r>
        <w:rPr>
          <w:rFonts w:ascii="Times New Roman" w:hAnsi="Times New Roman" w:eastAsia="方正仿宋_GBK"/>
          <w:b w:val="0"/>
          <w:sz w:val="24"/>
        </w:rPr>
        <w:t xml:space="preserve">注：负荷分散系数按定义不小于1；分布式电源装机渗透率和线路成本系数非负；初始转供率在0～100%内；储能支撑持续时间为正。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增长率分档直接采用DL/T 5729—2023表6.3.4，其他参数采用同样的首尾开口形式，分界值为本研究设置。参数分类不以有限采样点的最小、最大值截断；负增长属于首档，超过10%的增长率仍属于末档。参数固有定义仍有效，如转供比例不超过100%、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容载比推荐区间取相应参数组合下可行配置的最小值与最大值。</w:t>
      </w:r>
    </w:p>
    <w:p>
      <w:pPr>
        <w:pStyle w:val="5"/>
        <w:keepNext/>
        <w:numPr>
          <w:numId w:val="0"/>
        </w:numPr>
        <w:spacing w:line="390" w:lineRule="exact" w:before="160" w:after="120"/>
        <w:ind w:firstLine="0"/>
      </w:pPr>
      <w:bookmarkStart w:id="251" w:name="五站模板及源荷构造"/>
      <w:r>
        <w:rPr>
          <w:rFonts w:ascii="Times New Roman" w:hAnsi="Times New Roman" w:eastAsia="方正仿宋_GBK"/>
          <w:b/>
          <w:sz w:val="26"/>
        </w:rPr>
        <w:t xml:space="preserve">5.6.2 五站模板及源荷构造</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模板含5座站，每站初始两台50 MVA主变，区域基期网供峰值250 MW。正常晚峰假设光伏不出力，用户最大负荷与正向网供峰值相等；日间负荷取峰值的30%，光伏出力系数取0.75，装机按独立空间权重分配。</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y</m:t>
                          </m:r>
                        </m:sub>
                      </m:sSub>
                    </m:e>
                    <m:e>
                      <m:r>
                        <m:t>=</m:t>
                      </m:r>
                      <m:r>
                        <m:t>250</m:t>
                      </m:r>
                      <m:r>
                        <m:t>(</m:t>
                      </m:r>
                      <m:r>
                        <m:t>1</m:t>
                      </m:r>
                      <m:r>
                        <m:t>+</m:t>
                      </m:r>
                      <m:r>
                        <m:t>g</m:t>
                      </m:r>
                      <m:sSup>
                        <m:e>
                          <m:r>
                            <m:t>)</m:t>
                          </m:r>
                        </m:e>
                        <m:sup>
                          <m:r>
                            <m:t>4</m:t>
                          </m:r>
                        </m:sup>
                      </m:sSup>
                      <m:r>
                        <m:t>,</m:t>
                      </m:r>
                    </m:e>
                  </m:mr>
                  <m:mr>
                    <m:e>
                      <m:sSub>
                        <m:e>
                          <m:r>
                            <m:t>P</m:t>
                          </m:r>
                        </m:e>
                        <m:sub>
                          <m:r>
                            <m:t>i</m:t>
                          </m:r>
                          <m:r>
                            <m:t>,</m:t>
                          </m:r>
                          <m:r>
                            <m:rPr>
                              <m:sty m:val="p"/>
                            </m:rPr>
                            <m:t>e</m:t>
                          </m:r>
                          <m:r>
                            <m:rPr>
                              <m:sty m:val="p"/>
                            </m:rPr>
                            <m:t>v</m:t>
                          </m:r>
                          <m:r>
                            <m:rPr>
                              <m:sty m:val="p"/>
                            </m:rPr>
                            <m:t>e</m:t>
                          </m:r>
                          <m:r>
                            <m:rPr>
                              <m:sty m:val="p"/>
                            </m:rPr>
                            <m:t>n</m:t>
                          </m:r>
                          <m:r>
                            <m:rPr>
                              <m:sty m:val="p"/>
                            </m:rPr>
                            <m:t>i</m:t>
                          </m:r>
                          <m:r>
                            <m:rPr>
                              <m:sty m:val="p"/>
                            </m:rPr>
                            <m:t>n</m:t>
                          </m:r>
                          <m:r>
                            <m:rPr>
                              <m:sty m:val="p"/>
                            </m:rPr>
                            <m:t>g</m:t>
                          </m:r>
                        </m:sub>
                      </m:sSub>
                    </m:e>
                    <m:e>
                      <m:r>
                        <m:t>=</m:t>
                      </m:r>
                      <m:sSubSup>
                        <m:e>
                          <m:r>
                            <m:t>w</m:t>
                          </m:r>
                        </m:e>
                        <m:sub>
                          <m:r>
                            <m:t>i</m:t>
                          </m:r>
                        </m:sub>
                        <m:sup>
                          <m:r>
                            <m:t>L</m:t>
                          </m:r>
                        </m:sup>
                      </m:sSubSup>
                      <m:sSub>
                        <m:e>
                          <m:r>
                            <m:t>P</m:t>
                          </m:r>
                        </m:e>
                        <m:sub>
                          <m:r>
                            <m:t>y</m:t>
                          </m:r>
                        </m:sub>
                      </m:sSub>
                      <m:r>
                        <m:t>,</m:t>
                      </m:r>
                    </m:e>
                  </m:mr>
                  <m:mr>
                    <m:e>
                      <m:sSub>
                        <m:e>
                          <m:r>
                            <m:t>P</m:t>
                          </m:r>
                        </m:e>
                        <m:sub>
                          <m:r>
                            <m:t>i</m:t>
                          </m:r>
                          <m:r>
                            <m:t>,</m:t>
                          </m:r>
                          <m:r>
                            <m:rPr>
                              <m:sty m:val="p"/>
                            </m:rPr>
                            <m:t>d</m:t>
                          </m:r>
                          <m:r>
                            <m:rPr>
                              <m:sty m:val="p"/>
                            </m:rPr>
                            <m:t>a</m:t>
                          </m:r>
                          <m:r>
                            <m:rPr>
                              <m:sty m:val="p"/>
                            </m:rPr>
                            <m:t>y</m:t>
                          </m:r>
                        </m:sub>
                      </m:sSub>
                    </m:e>
                    <m:e>
                      <m:r>
                        <m:t>=</m:t>
                      </m:r>
                      <m:r>
                        <m:t>0.30</m:t>
                      </m:r>
                      <m:sSubSup>
                        <m:e>
                          <m:r>
                            <m:t>w</m:t>
                          </m:r>
                        </m:e>
                        <m:sub>
                          <m:r>
                            <m:t>i</m:t>
                          </m:r>
                        </m:sub>
                        <m:sup>
                          <m:r>
                            <m:t>L</m:t>
                          </m:r>
                        </m:sup>
                      </m:sSubSup>
                      <m:sSub>
                        <m:e>
                          <m:r>
                            <m:t>P</m:t>
                          </m:r>
                        </m:e>
                        <m:sub>
                          <m:r>
                            <m:t>y</m:t>
                          </m:r>
                        </m:sub>
                      </m:sSub>
                      <m:r>
                        <m:t>−</m:t>
                      </m:r>
                      <m:r>
                        <m:t>0.75</m:t>
                      </m:r>
                      <m:r>
                        <m:t>η</m:t>
                      </m:r>
                      <m:sSubSup>
                        <m:e>
                          <m:r>
                            <m:t>w</m:t>
                          </m:r>
                        </m:e>
                        <m:sub>
                          <m:r>
                            <m:t>i</m:t>
                          </m:r>
                        </m:sub>
                        <m:sup>
                          <m:r>
                            <m:t>G</m:t>
                          </m:r>
                        </m:sup>
                      </m:sSubSup>
                      <m:sSub>
                        <m:e>
                          <m:r>
                            <m:t>P</m:t>
                          </m:r>
                        </m:e>
                        <m:sub>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η</m:t>
        </m:r>
      </m:oMath>
      <w:r>
        <w:rPr>
          <w:rFonts w:ascii="Times New Roman" w:hAnsi="Times New Roman" w:eastAsia="方正仿宋_GBK"/>
          <w:b w:val="0"/>
          <w:sz w:val="24"/>
        </w:rPr>
        <w:t xml:space="preserve">为分布式电源装机渗透率，</w:t>
      </w:r>
      <m:oMath>
        <m:sSubSup>
          <m:e>
            <m:r>
              <m:t>w</m:t>
            </m:r>
          </m:e>
          <m:sub>
            <m:r>
              <m:t>i</m:t>
            </m:r>
          </m:sub>
          <m:sup>
            <m:r>
              <m:t>L</m:t>
            </m:r>
          </m:sup>
        </m:sSubSup>
      </m:oMath>
      <w:r>
        <w:rPr>
          <w:rFonts w:ascii="Times New Roman" w:hAnsi="Times New Roman" w:eastAsia="方正仿宋_GBK"/>
          <w:b w:val="0"/>
          <w:sz w:val="24"/>
        </w:rPr>
        <w:t xml:space="preserve">和</w:t>
      </w:r>
      <m:oMath>
        <m:sSubSup>
          <m:e>
            <m:r>
              <m:t>w</m:t>
            </m:r>
          </m:e>
          <m:sub>
            <m:r>
              <m:t>i</m:t>
            </m:r>
          </m:sub>
          <m:sup>
            <m:r>
              <m:t>G</m:t>
            </m:r>
          </m:sup>
        </m:sSubSup>
      </m:oMath>
      <w:r>
        <w:rPr>
          <w:rFonts w:ascii="Times New Roman" w:hAnsi="Times New Roman" w:eastAsia="方正仿宋_GBK"/>
          <w:b w:val="0"/>
          <w:sz w:val="24"/>
        </w:rPr>
        <w:t xml:space="preserve">分别为负荷及光伏分配权重，两组权重各自合计为1。负荷分散系数取1.00、1.10、1.15，单参数详细切片采用1.10作为基准，各站非同时峰值通过额外静态场景表达，场景内区域负荷合计仍为</w:t>
      </w:r>
      <m:oMath>
        <m:sSub>
          <m:e>
            <m:r>
              <m:t>P</m:t>
            </m:r>
          </m:e>
          <m:sub>
            <m:r>
              <m:t>y</m:t>
            </m:r>
          </m:sub>
        </m:sSub>
      </m:oMath>
      <w:r>
        <w:rPr>
          <w:rFonts w:ascii="Times New Roman" w:hAnsi="Times New Roman" w:eastAsia="方正仿宋_GBK"/>
          <w:b w:val="0"/>
          <w:sz w:val="24"/>
        </w:rPr>
        <w:t xml:space="preserve">，不将站峰之和用作容载比分母。</w:t>
      </w:r>
    </w:p>
    <w:p>
      <w:pPr>
        <w:pStyle w:val="2"/>
        <w:widowControl/>
        <w:spacing w:line="348" w:lineRule="exact" w:before="0" w:after="0"/>
        <w:ind w:firstLine="480"/>
        <w:jc w:val="both"/>
      </w:pPr>
      <w:r>
        <w:rPr>
          <w:rFonts w:ascii="Times New Roman" w:hAnsi="Times New Roman" w:eastAsia="方正仿宋_GBK"/>
          <w:b w:val="0"/>
          <w:sz w:val="24"/>
        </w:rPr>
        <w:t xml:space="preserve">既有联络以相邻站网络表示，新增候选按具体馈线端点配置。初始转供预算按基期MW固定，线路热限不随年度负荷免费增长。初始转供率是网络设置参数，实际转供量由馈线、邻站容量和运行工况共同确定。另以增加邻接关系的模板检查结构影响。</w:t>
      </w:r>
    </w:p>
    <w:p>
      <w:pPr>
        <w:pStyle w:val="2"/>
        <w:keepNext/>
        <w:spacing w:line="280" w:lineRule="exact" w:before="120" w:after="80"/>
        <w:ind w:firstLine="0"/>
        <w:jc w:val="center"/>
      </w:pPr>
      <w:r>
        <w:rPr>
          <w:rFonts w:ascii="Times New Roman" w:hAnsi="Times New Roman" w:eastAsia="宋体"/>
          <w:b w:val="0"/>
          <w:sz w:val="21"/>
        </w:rPr>
        <w:t xml:space="preserve">表5-63 五站模板与有限采样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5站，每站2×50 MVA；允许第三台50 MVA</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基期网供峰值</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目标时点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1.00、1.10、1.15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0、0.50、1.00、1.50、2.00、2.50、3.00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年最大净负荷平均增长率计算节点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0～10%；含导则分界及区间内节点</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1.00、1.65、4.25、6.85、7.50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30%、40%、50%、60%、70%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 h</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线路长度/新增单边能力</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 km/7.49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候选结构</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相邻站联络为基准，增加邻接关系作对照</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线路成本按</w:t>
      </w:r>
      <m:oMath>
        <m:sSub>
          <m:e>
            <m:r>
              <m:t>I</m:t>
            </m:r>
          </m:e>
          <m:sub>
            <m:r>
              <m:t>L</m:t>
            </m:r>
          </m:sub>
        </m:sSub>
        <m:r>
          <m:t>=</m:t>
        </m:r>
        <m:r>
          <m:t>24</m:t>
        </m:r>
        <m:r>
          <m:t>L</m:t>
        </m:r>
        <m:sSub>
          <m:e>
            <m:r>
              <m:t>k</m:t>
            </m:r>
          </m:e>
          <m:sub>
            <m:r>
              <m:t>L</m:t>
            </m:r>
          </m:sub>
        </m:sSub>
        <m:r>
          <m:t>+</m:t>
        </m:r>
        <m:r>
          <m:t>6</m:t>
        </m:r>
      </m:oMath>
      <w:r>
        <w:rPr>
          <w:rFonts w:ascii="Times New Roman" w:hAnsi="Times New Roman" w:eastAsia="方正仿宋_GBK"/>
          <w:b w:val="0"/>
          <w:sz w:val="24"/>
        </w:rPr>
        <w:t xml:space="preserve">计算，单位万元。</w:t>
      </w:r>
      <m:oMath>
        <m:r>
          <m:t>L</m:t>
        </m:r>
      </m:oMath>
      <w:r>
        <w:rPr>
          <w:rFonts w:ascii="Times New Roman" w:hAnsi="Times New Roman" w:eastAsia="方正仿宋_GBK"/>
          <w:b w:val="0"/>
          <w:sz w:val="24"/>
        </w:rPr>
        <w:t xml:space="preserve">为线路长度，基准为3 km；</w:t>
      </w:r>
      <m:oMath>
        <m:sSub>
          <m:e>
            <m:r>
              <m:t>k</m:t>
            </m:r>
          </m:e>
          <m:sub>
            <m:r>
              <m:t>L</m:t>
            </m:r>
          </m:sub>
        </m:sSub>
      </m:oMath>
      <w:r>
        <w:rPr>
          <w:rFonts w:ascii="Times New Roman" w:hAnsi="Times New Roman" w:eastAsia="方正仿宋_GBK"/>
          <w:b w:val="0"/>
          <w:sz w:val="24"/>
        </w:rPr>
        <w:t xml:space="preserve">为相对架空基价的单位长度造价系数。固定接入费用6万元独立计取。系数1.65、6.85分别对应所用参考基价下10%、90%的电缆长度构成，作为线路成本系数的取值依据。</w:t>
      </w:r>
    </w:p>
    <w:p>
      <w:pPr>
        <w:pStyle w:val="5"/>
        <w:keepNext/>
        <w:numPr>
          <w:numId w:val="0"/>
        </w:numPr>
        <w:spacing w:line="390" w:lineRule="exact" w:before="160" w:after="120"/>
        <w:ind w:firstLine="0"/>
      </w:pPr>
      <w:bookmarkStart w:id="252" w:name="推荐矩阵及查表方法"/>
      <w:r>
        <w:rPr>
          <w:rFonts w:ascii="Times New Roman" w:hAnsi="Times New Roman" w:eastAsia="方正仿宋_GBK"/>
          <w:b/>
          <w:sz w:val="26"/>
        </w:rPr>
        <w:t xml:space="preserve">5.6.3 推荐矩阵及查表方法</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推广计算覆盖12600组参数组合，按负荷分散系数分为两组，共形成648个参数区间单元。负荷分散系数不大于1.10组包括1.00、1.10两个计算节点，大于1.10组采用1.15节点；储能支撑持续时间采用2、4、6 h节点。全部结果通过设备及网络约束核验。容载比计算值总体为2.01～3.28，区间形式覆盖参数定义域，数值结论限于已计算节点及所设模板。</w:t>
      </w:r>
    </w:p>
    <w:p>
      <w:pPr>
        <w:pStyle w:val="2"/>
        <w:keepNext/>
        <w:spacing w:line="280" w:lineRule="exact" w:before="120" w:after="80"/>
        <w:ind w:firstLine="0"/>
        <w:jc w:val="center"/>
      </w:pPr>
      <w:r>
        <w:rPr>
          <w:rFonts w:ascii="Times New Roman" w:hAnsi="Times New Roman" w:eastAsia="宋体"/>
          <w:b w:val="0"/>
          <w:sz w:val="21"/>
        </w:rPr>
        <w:t xml:space="preserve">表5-64 负荷分散系数≤1.10、分布式电源装机渗透率≤1.00、储能支撑持续时间≤2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表5-65 负荷分散系数≤1.10、分布式电源装机渗透率(1.00,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表5-66 负荷分散系数≤1.10、分布式电源装机渗透率&gt;2.00、储能支撑持续时间≤2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表5-67 负荷分散系数≤1.10、分布式电源装机渗透率≤1.00、储能支撑持续时间(2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表5-68 负荷分散系数≤1.10、分布式电源装机渗透率(1.00,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表5-69 负荷分散系数≤1.10、分布式电源装机渗透率&gt;2.00、储能支撑持续时间(2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表5-70 负荷分散系数≤1.10、分布式电源装机渗透率≤1.00、储能支撑持续时间&gt;4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表5-71 负荷分散系数≤1.10、分布式电源装机渗透率(1.00,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表5-72 负荷分散系数≤1.10、分布式电源装机渗透率&gt;2.00、储能支撑持续时间&gt;4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表5-73 负荷分散系数&gt;1.10、分布式电源装机渗透率≤1.00、储能支撑持续时间≤2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表5-74 负荷分散系数&gt;1.10、分布式电源装机渗透率(1.00,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表5-75 负荷分散系数&gt;1.10、分布式电源装机渗透率&gt;2.00、储能支撑持续时间≤2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表5-76 负荷分散系数&gt;1.10、分布式电源装机渗透率≤1.00、储能支撑持续时间(2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表5-77 负荷分散系数&gt;1.10、分布式电源装机渗透率(1.00,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表5-78 负荷分散系数&gt;1.10、分布式电源装机渗透率&gt;2.00、储能支撑持续时间(2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表5-79 负荷分散系数&gt;1.10、分布式电源装机渗透率≤1.00、储能支撑持续时间&gt;4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2.03～2.15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2.05～2.15</w:t>
            </w:r>
          </w:p>
        </w:tc>
      </w:tr>
    </w:tbl>
    <w:p>
      <w:pPr>
        <w:pStyle w:val="2"/>
        <w:keepNext/>
        <w:spacing w:line="280" w:lineRule="exact" w:before="120" w:after="80"/>
        <w:ind w:firstLine="0"/>
        <w:jc w:val="center"/>
      </w:pPr>
      <w:r>
        <w:rPr>
          <w:rFonts w:ascii="Times New Roman" w:hAnsi="Times New Roman" w:eastAsia="宋体"/>
          <w:b w:val="0"/>
          <w:sz w:val="21"/>
        </w:rPr>
        <w:t xml:space="preserve">表5-80 负荷分散系数&gt;1.10、分布式电源装机渗透率(1.00,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表5-81 负荷分散系数&gt;1.10、分布式电源装机渗透率&gt;2.00、储能支撑持续时间&gt;4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widowControl/>
        <w:spacing w:line="348" w:lineRule="exact" w:before="0" w:after="0"/>
        <w:ind w:firstLine="480"/>
        <w:jc w:val="both"/>
      </w:pPr>
      <w:r>
        <w:rPr>
          <w:rFonts w:ascii="Times New Roman" w:hAnsi="Times New Roman" w:eastAsia="方正仿宋_GBK"/>
          <w:b w:val="0"/>
          <w:sz w:val="24"/>
        </w:rPr>
        <w:t xml:space="preserve">查表先按负荷分散系数确定分组，再确定其余五项输入所在区间，再核对该单元的已计算参数和模板条件。表中范围用于给定条件下的初步方案比选，最终容量须按实际主变规格、站间网络和储能条件重新落实。首尾档的新增计算点仍归原区间；超出已验证条件时补充计算，不改变区间端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8036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3"/>
                    <a:stretch>
                      <a:fillRect/>
                    </a:stretch>
                  </pic:blipFill>
                  <pic:spPr bwMode="auto">
                    <a:xfrm>
                      <a:off x="0" y="0"/>
                      <a:ext cx="5120640" cy="288036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分布式电源装机渗透率与年最大净负荷平均增长率变化下的容载比（负荷分散系数1.10）</w:t>
      </w:r>
    </w:p>
    <w:p>
      <w:pPr>
        <w:pStyle w:val="2"/>
        <w:widowControl/>
        <w:spacing w:line="348" w:lineRule="exact" w:before="0" w:after="0"/>
        <w:ind w:firstLine="480"/>
        <w:jc w:val="both"/>
      </w:pPr>
      <w:r>
        <w:rPr>
          <w:rFonts w:ascii="Times New Roman" w:hAnsi="Times New Roman" w:eastAsia="方正仿宋_GBK"/>
          <w:b w:val="0"/>
          <w:sz w:val="24"/>
        </w:rPr>
        <w:t xml:space="preserve">图示固定线路成本系数4.25、初始转供率40%、储能支撑持续时间4 h和负荷分散系数1.10。颜色表示相应计算节点的容载比，完整分类结果以上述六参数矩阵为准。</w:t>
      </w:r>
    </w:p>
    <w:p>
      <w:pPr>
        <w:pStyle w:val="5"/>
        <w:keepNext/>
        <w:numPr>
          <w:numId w:val="0"/>
        </w:numPr>
        <w:spacing w:line="390" w:lineRule="exact" w:before="160" w:after="120"/>
        <w:ind w:firstLine="0"/>
      </w:pPr>
      <w:bookmarkStart w:id="254" w:name="主参数的受控变化"/>
      <w:r>
        <w:rPr>
          <w:rFonts w:ascii="Times New Roman" w:hAnsi="Times New Roman" w:eastAsia="方正仿宋_GBK"/>
          <w:b/>
          <w:sz w:val="26"/>
        </w:rPr>
        <w:t xml:space="preserve">5.6.4 主参数的受控变化</w:t>
      </w:r>
      <w:bookmarkEnd w:id="254"/>
    </w:p>
    <w:p>
      <w:pPr>
        <w:pStyle w:val="FirstParagraph"/>
        <w:keepNext/>
        <w:spacing w:line="280" w:lineRule="exact" w:before="120" w:after="80"/>
        <w:ind w:firstLine="0"/>
        <w:jc w:val="center"/>
      </w:pPr>
      <w:r>
        <w:rPr>
          <w:rFonts w:ascii="Times New Roman" w:hAnsi="Times New Roman" w:eastAsia="宋体"/>
          <w:b w:val="0"/>
          <w:sz w:val="21"/>
        </w:rPr>
        <w:t xml:space="preserve">表5-82 推广参数与容载比、评价期费用现值的相关性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容载比Spearman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费用Spearman</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w:t>
            </w:r>
          </w:p>
        </w:tc>
      </w:tr>
    </w:tbl>
    <w:p>
      <w:pPr>
        <w:pStyle w:val="2"/>
        <w:widowControl/>
        <w:spacing w:line="348" w:lineRule="exact" w:before="0" w:after="0"/>
        <w:ind w:firstLine="480"/>
        <w:jc w:val="both"/>
      </w:pPr>
      <w:r>
        <w:rPr>
          <w:rFonts w:ascii="Times New Roman" w:hAnsi="Times New Roman" w:eastAsia="方正仿宋_GBK"/>
          <w:b w:val="0"/>
          <w:sz w:val="24"/>
        </w:rPr>
        <w:t xml:space="preserve">推广计算中，Pearson相关系数描述参数与结果的线性共同变化，Spearman秩相关系数描述排序关系[94][95]。六项输入采用独立全因子组合。参数与容载比的总体相关受取值范围及其他参数组合影响，因此同时进行固定其他输入的配对比较。</w:t>
      </w:r>
    </w:p>
    <w:p>
      <w:pPr>
        <w:pStyle w:val="2"/>
        <w:keepNext/>
        <w:spacing w:line="280" w:lineRule="exact" w:before="120" w:after="80"/>
        <w:ind w:firstLine="0"/>
        <w:jc w:val="center"/>
      </w:pPr>
      <w:r>
        <w:rPr>
          <w:rFonts w:ascii="Times New Roman" w:hAnsi="Times New Roman" w:eastAsia="宋体"/>
          <w:b w:val="0"/>
          <w:sz w:val="21"/>
        </w:rPr>
        <w:t xml:space="preserve">表5-83 核心参数最低与最高计算节点的配对变化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容载比变化占比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70331.67</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26395.44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-893.18</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13945.02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587.64</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提高后，日间反向功率需求增加；年最大净负荷平均增长率同时改变容量需求和容载比分母。负荷分散系数在区域同时最大负荷不变的条件下改变各站独立峰值，从而影响局部主变N-1及站间支援要求。线路成本系数、初始转供率和储能支撑持续时间分别作用于工程费用、存量转供预算和储能有效支撑功率，需结合设备组合解释响应。</w:t>
      </w:r>
    </w:p>
    <w:p>
      <w:pPr>
        <w:pStyle w:val="2"/>
        <w:widowControl/>
        <w:spacing w:line="348" w:lineRule="exact" w:before="0" w:after="0"/>
        <w:ind w:firstLine="480"/>
        <w:jc w:val="both"/>
      </w:pPr>
      <w:r>
        <w:rPr>
          <w:rFonts w:ascii="Times New Roman" w:hAnsi="Times New Roman" w:eastAsia="方正仿宋_GBK"/>
          <w:b w:val="0"/>
          <w:sz w:val="24"/>
        </w:rPr>
        <w:t xml:space="preserve">比较按固定其余输入后的参数配对进行。平均变化反映总体方向，最大变化和发生变化的配对比例用于识别离散设备切换。增长率同时改变目标年容量需求及容载比分母，因此容载比降低不必然意味着主变容量减少。费用接近而设备组合不唯一时，小幅容载比变化仅作为候选配置差异分析。</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负荷分散系数用于反映各站独立峰值与区域同时峰值的差异。以下固定年最大净负荷平均增长率4%、线路成本系数4.25、初始转供率40%和储能支撑持续时间4 h，分别考察负荷分散系数1.00、1.10、1.15。各站非同时峰值通过额外工况计入，区域同时最大负荷保持一致。</w:t>
      </w:r>
    </w:p>
    <w:p>
      <w:pPr>
        <w:pStyle w:val="2"/>
        <w:keepNext/>
        <w:spacing w:line="280" w:lineRule="exact" w:before="120" w:after="80"/>
        <w:ind w:firstLine="0"/>
        <w:jc w:val="center"/>
      </w:pPr>
      <w:r>
        <w:rPr>
          <w:rFonts w:ascii="Times New Roman" w:hAnsi="Times New Roman" w:eastAsia="宋体"/>
          <w:b w:val="0"/>
          <w:sz w:val="21"/>
        </w:rPr>
        <w:t xml:space="preserve">表5-84 不同负荷分散系数下的设备组合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3363.97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分布式电源装机渗透率为0.50时，三种负荷分散系数下的公用主变总容量均为600.00 MVA、容载比均为2.05，新增联络项目数分别为0、1、2。容量比值相同仍存在网络建设差异，说明负荷分散系数不能因总体相关较弱而从分类条件中删除。分布式电源装机渗透率为2.50时，三组均采用820.00 MVA主变容量及103.10 MW储能额定功率，反向容量要求在这些节点中起主要作用，负荷分散系数变化未触发设备切换。</w:t>
      </w:r>
    </w:p>
    <w:p>
      <w:pPr>
        <w:pStyle w:val="2"/>
        <w:widowControl/>
        <w:spacing w:line="348" w:lineRule="exact" w:before="0" w:after="0"/>
        <w:ind w:firstLine="480"/>
        <w:jc w:val="both"/>
      </w:pPr>
      <w:r>
        <w:rPr>
          <w:rFonts w:ascii="Times New Roman" w:hAnsi="Times New Roman" w:eastAsia="方正仿宋_GBK"/>
          <w:b w:val="0"/>
          <w:sz w:val="24"/>
        </w:rPr>
        <w:t xml:space="preserve">以下在分布式电源装机渗透率0.50下分别比较线路成本系数和初始转供率。除变化参数外，增长率取4%、储能支撑持续时间取4 h；线路成本变化时初始转供率为40%，转供率变化时线路成本系数为4.25。</w:t>
      </w:r>
    </w:p>
    <w:p>
      <w:pPr>
        <w:pStyle w:val="2"/>
        <w:keepNext/>
        <w:spacing w:line="280" w:lineRule="exact" w:before="120" w:after="80"/>
        <w:ind w:firstLine="0"/>
        <w:jc w:val="center"/>
      </w:pPr>
      <w:r>
        <w:rPr>
          <w:rFonts w:ascii="Times New Roman" w:hAnsi="Times New Roman" w:eastAsia="宋体"/>
          <w:b w:val="0"/>
          <w:sz w:val="21"/>
        </w:rPr>
        <w:t xml:space="preserve">表5-85 线路成本系数变化（分布式电源装机渗透率0.50）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2880.64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3243.14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3288.45</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线路成本系数从1.00提高至7.50，方案始终采用600.00 MVA主变和1条新增联络，未配置储能。费用增加453.12万元，来自同一联络项目的造价上涨；在这组条件下，改用其他措施尚不具备费用优势。</w:t>
      </w:r>
    </w:p>
    <w:p>
      <w:pPr>
        <w:pStyle w:val="2"/>
        <w:widowControl/>
        <w:spacing w:line="348" w:lineRule="exact" w:before="0" w:after="0"/>
        <w:ind w:firstLine="480"/>
        <w:jc w:val="both"/>
      </w:pPr>
      <w:r>
        <w:rPr>
          <w:rFonts w:ascii="Times New Roman" w:hAnsi="Times New Roman" w:eastAsia="方正仿宋_GBK"/>
          <w:b w:val="0"/>
          <w:sz w:val="24"/>
        </w:rPr>
        <w:t xml:space="preserve">主网格的端点配对还包含设备替换情形，其发生比例与容量变化见核心参数配对表。</w:t>
      </w:r>
    </w:p>
    <w:p>
      <w:pPr>
        <w:pStyle w:val="2"/>
        <w:keepNext/>
        <w:spacing w:line="280" w:lineRule="exact" w:before="120" w:after="80"/>
        <w:ind w:firstLine="0"/>
        <w:jc w:val="center"/>
      </w:pPr>
      <w:r>
        <w:rPr>
          <w:rFonts w:ascii="Times New Roman" w:hAnsi="Times New Roman" w:eastAsia="宋体"/>
          <w:b w:val="0"/>
          <w:sz w:val="21"/>
        </w:rPr>
        <w:t xml:space="preserve">表5-86 初始转供率变化（分布式电源装机渗透率0.50）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初始转供率由30%提高至40%时，既有网络支援增强，主变容量从650.00 MVA降至600.00 MVA，并新增1条联络。提高至60%后，既有联络已能满足转接需求，新增联络取消，费用降至2759.81万元。主变容量与线路建设分别在不同取值处发生调整。</w:t>
      </w:r>
    </w:p>
    <w:p>
      <w:pPr>
        <w:pStyle w:val="2"/>
        <w:widowControl/>
        <w:spacing w:line="348" w:lineRule="exact" w:before="0" w:after="0"/>
        <w:ind w:firstLine="480"/>
        <w:jc w:val="both"/>
      </w:pPr>
      <w:r>
        <w:rPr>
          <w:rFonts w:ascii="Times New Roman" w:hAnsi="Times New Roman" w:eastAsia="方正仿宋_GBK"/>
          <w:b w:val="0"/>
          <w:sz w:val="24"/>
        </w:rPr>
        <w:t xml:space="preserve">既有转供能力可替代部分新增容量或联络工程，替代程度取决于邻站余量、馈线共享条件和网络结构。</w:t>
      </w:r>
    </w:p>
    <w:p>
      <w:pPr>
        <w:pStyle w:val="5"/>
        <w:keepNext/>
        <w:numPr>
          <w:numId w:val="0"/>
        </w:numPr>
        <w:spacing w:line="390" w:lineRule="exact" w:before="160" w:after="120"/>
        <w:ind w:firstLine="0"/>
      </w:pPr>
      <w:bookmarkStart w:id="255" w:name="分布式电源装机规模与双向容量需求"/>
      <w:r>
        <w:rPr>
          <w:rFonts w:ascii="Times New Roman" w:hAnsi="Times New Roman" w:eastAsia="方正仿宋_GBK"/>
          <w:b/>
          <w:sz w:val="26"/>
        </w:rPr>
        <w:t xml:space="preserve">5.6.5 分布式电源装机规模与双向容量需求</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分别观察初始转供率30%和70%的条件。其余参数固定为增长率4%、线路成本系数4.25、储能支撑持续时间4 h，负荷分散系数为1.10。</w:t>
      </w:r>
    </w:p>
    <w:p>
      <w:pPr>
        <w:pStyle w:val="7"/>
        <w:keepNext/>
        <w:numPr>
          <w:numId w:val="0"/>
        </w:numPr>
        <w:spacing w:line="360" w:lineRule="exact" w:before="160" w:after="120"/>
        <w:ind w:firstLine="0"/>
      </w:pPr>
      <w:bookmarkStart w:id="256" w:name="初始转供率30"/>
      <w:r>
        <w:rPr>
          <w:rFonts w:ascii="Times New Roman" w:hAnsi="Times New Roman" w:eastAsia="方正仿宋_GBK"/>
          <w:b/>
          <w:sz w:val="24"/>
        </w:rPr>
        <w:t xml:space="preserve">初始转供率30%</w:t>
      </w:r>
      <w:bookmarkEnd w:id="256"/>
    </w:p>
    <w:p>
      <w:pPr>
        <w:pStyle w:val="FirstParagraph"/>
        <w:keepNext/>
        <w:spacing w:line="280" w:lineRule="exact" w:before="120" w:after="80"/>
        <w:ind w:firstLine="0"/>
        <w:jc w:val="center"/>
      </w:pPr>
      <w:r>
        <w:rPr>
          <w:rFonts w:ascii="Times New Roman" w:hAnsi="Times New Roman" w:eastAsia="宋体"/>
          <w:b w:val="0"/>
          <w:sz w:val="21"/>
        </w:rPr>
        <w:t xml:space="preserve">表5-87 分布式电源装机渗透率变化（初始转供率30%）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装机渗透率不超过1.50的计算点采用650.00 MVA主变，未配置储能。提高至2.00后，日间反向输送需求推动主变和储能同时增加；达到3.00时，主变容量为846.00 MVA，储能额定功率为243.80 MW，费用升至66823.01万元。</w:t>
      </w:r>
    </w:p>
    <w:p>
      <w:pPr>
        <w:pStyle w:val="7"/>
        <w:keepNext/>
        <w:numPr>
          <w:numId w:val="0"/>
        </w:numPr>
        <w:spacing w:line="360" w:lineRule="exact" w:before="160" w:after="120"/>
        <w:ind w:firstLine="0"/>
      </w:pPr>
      <w:bookmarkStart w:id="257" w:name="初始转供率70"/>
      <w:r>
        <w:rPr>
          <w:rFonts w:ascii="Times New Roman" w:hAnsi="Times New Roman" w:eastAsia="方正仿宋_GBK"/>
          <w:b/>
          <w:sz w:val="24"/>
        </w:rPr>
        <w:t xml:space="preserve">初始转供率70%</w:t>
      </w:r>
      <w:bookmarkEnd w:id="257"/>
    </w:p>
    <w:p>
      <w:pPr>
        <w:pStyle w:val="FirstParagraph"/>
        <w:keepNext/>
        <w:spacing w:line="280" w:lineRule="exact" w:before="120" w:after="80"/>
        <w:ind w:firstLine="0"/>
        <w:jc w:val="center"/>
      </w:pPr>
      <w:r>
        <w:rPr>
          <w:rFonts w:ascii="Times New Roman" w:hAnsi="Times New Roman" w:eastAsia="宋体"/>
          <w:b w:val="0"/>
          <w:sz w:val="21"/>
        </w:rPr>
        <w:t xml:space="preserve">表5-88 分布式电源装机渗透率变化（初始转供率70%）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较强的既有转供能力使装机渗透率不超过1.50时的主变容量降至600.00 MVA。装机渗透率达到2.00及以上后，两组转供条件对应的配置相同，反向容量需求成为这些计算点的主要约束。</w:t>
      </w:r>
    </w:p>
    <w:p>
      <w:pPr>
        <w:pStyle w:val="2"/>
        <w:widowControl/>
        <w:spacing w:line="348" w:lineRule="exact" w:before="0" w:after="0"/>
        <w:ind w:firstLine="480"/>
        <w:jc w:val="both"/>
      </w:pPr>
      <w:r>
        <w:rPr>
          <w:rFonts w:ascii="Times New Roman" w:hAnsi="Times New Roman" w:eastAsia="方正仿宋_GBK"/>
          <w:b w:val="0"/>
          <w:sz w:val="24"/>
        </w:rPr>
        <w:t xml:space="preserve">装机规模增加时，日间光伏出力可能超过本地用电需求，主变和储能需要吸收或输送相应反向功率。站间转接只调整用电负荷归属，电源保留在原站，因此正向供电所需的负荷转出与日间反向容量不一定具有相同改善方向。模型对两方向分别校核，不能只按区域装机与总容量之比判断承载能力。</w:t>
      </w:r>
    </w:p>
    <w:p>
      <w:pPr>
        <w:pStyle w:val="2"/>
        <w:widowControl/>
        <w:spacing w:line="348" w:lineRule="exact" w:before="0" w:after="0"/>
        <w:ind w:firstLine="480"/>
        <w:jc w:val="both"/>
      </w:pPr>
      <w:r>
        <w:rPr>
          <w:rFonts w:ascii="Times New Roman" w:hAnsi="Times New Roman" w:eastAsia="方正仿宋_GBK"/>
          <w:b w:val="0"/>
          <w:sz w:val="24"/>
        </w:rPr>
        <w:t xml:space="preserve">两组转供条件下的逐点结果同时列出主变、储能和线路规模。主变候选受设备规格及扩建位置限制，当容量接近候选上限时，继续增加装机规模可能更多体现为储能需求和费用增加。高分布式电源装机渗透率档为首尾开口分类，表中有限节点只说明已计算条件，不能证明任意高装机规模均可由当前设备集合满足。</w:t>
      </w:r>
    </w:p>
    <w:p>
      <w:pPr>
        <w:pStyle w:val="5"/>
        <w:keepNext/>
        <w:numPr>
          <w:numId w:val="0"/>
        </w:numPr>
        <w:spacing w:line="390" w:lineRule="exact" w:before="160" w:after="120"/>
        <w:ind w:firstLine="0"/>
      </w:pPr>
      <w:bookmarkStart w:id="258" w:name="负荷增长与主变建设时序"/>
      <w:r>
        <w:rPr>
          <w:rFonts w:ascii="Times New Roman" w:hAnsi="Times New Roman" w:eastAsia="方正仿宋_GBK"/>
          <w:b/>
          <w:sz w:val="26"/>
        </w:rPr>
        <w:t xml:space="preserve">5.6.6 负荷增长与主变建设时序</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增长率按导则区间取代表节点，保留2%、4%、7%分界，并列示区间内及末档计算点。以下在分布式电源装机渗透率0.50、2.50下分别改变增长率，线路成本系数4.25、初始转供率40%、支撑持续时间4 h保持不变。</w:t>
      </w:r>
    </w:p>
    <w:p>
      <w:pPr>
        <w:pStyle w:val="7"/>
        <w:keepNext/>
        <w:numPr>
          <w:numId w:val="0"/>
        </w:numPr>
        <w:spacing w:line="360" w:lineRule="exact" w:before="160" w:after="120"/>
        <w:ind w:firstLine="0"/>
      </w:pPr>
      <w:bookmarkStart w:id="259" w:name="分布式电源装机渗透率0.50"/>
      <w:r>
        <w:rPr>
          <w:rFonts w:ascii="Times New Roman" w:hAnsi="Times New Roman" w:eastAsia="方正仿宋_GBK"/>
          <w:b/>
          <w:sz w:val="24"/>
        </w:rPr>
        <w:t xml:space="preserve">分布式电源装机渗透率0.50</w:t>
      </w:r>
      <w:bookmarkEnd w:id="259"/>
    </w:p>
    <w:p>
      <w:pPr>
        <w:pStyle w:val="FirstParagraph"/>
        <w:keepNext/>
        <w:spacing w:line="280" w:lineRule="exact" w:before="120" w:after="80"/>
        <w:ind w:firstLine="0"/>
        <w:jc w:val="center"/>
      </w:pPr>
      <w:r>
        <w:rPr>
          <w:rFonts w:ascii="Times New Roman" w:hAnsi="Times New Roman" w:eastAsia="宋体"/>
          <w:b w:val="0"/>
          <w:sz w:val="21"/>
        </w:rPr>
        <w:t xml:space="preserve">表5-89 负荷增长率变化（分布式电源装机渗透率0.50）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1747.16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4441.80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7875.78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8511.56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10867.72</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增长率提高后，主变容量随目标年负荷分档增加。0%与10%两个节点的容量分别为550.00 MVA、786.00 MVA，而容载比分别为2.20、2.15；负荷与容量不同步增长，使中间节点的容载比呈阶梯式波动。</w:t>
      </w:r>
    </w:p>
    <w:p>
      <w:pPr>
        <w:pStyle w:val="7"/>
        <w:keepNext/>
        <w:numPr>
          <w:numId w:val="0"/>
        </w:numPr>
        <w:spacing w:line="360" w:lineRule="exact" w:before="160" w:after="120"/>
        <w:ind w:firstLine="0"/>
      </w:pPr>
      <w:bookmarkStart w:id="260" w:name="分布式电源装机渗透率2.50"/>
      <w:r>
        <w:rPr>
          <w:rFonts w:ascii="Times New Roman" w:hAnsi="Times New Roman" w:eastAsia="方正仿宋_GBK"/>
          <w:b/>
          <w:sz w:val="24"/>
        </w:rPr>
        <w:t xml:space="preserve">分布式电源装机渗透率2.50</w:t>
      </w:r>
      <w:bookmarkEnd w:id="260"/>
    </w:p>
    <w:p>
      <w:pPr>
        <w:pStyle w:val="FirstParagraph"/>
        <w:keepNext/>
        <w:spacing w:line="280" w:lineRule="exact" w:before="120" w:after="80"/>
        <w:ind w:firstLine="0"/>
        <w:jc w:val="center"/>
      </w:pPr>
      <w:r>
        <w:rPr>
          <w:rFonts w:ascii="Times New Roman" w:hAnsi="Times New Roman" w:eastAsia="宋体"/>
          <w:b w:val="0"/>
          <w:sz w:val="21"/>
        </w:rPr>
        <w:t xml:space="preserve">表5-90 负荷增长率变化（分布式电源装机渗透率2.50）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19981.89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26682.86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188.77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30577.26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39093.11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356.04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47478.61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53822.05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255.60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549.54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69386.45</w:t>
            </w:r>
          </w:p>
        </w:tc>
      </w:tr>
    </w:tbl>
    <w:p>
      <w:pPr>
        <w:pStyle w:val="2"/>
        <w:widowControl/>
        <w:spacing w:line="348" w:lineRule="exact" w:before="0" w:after="0"/>
        <w:ind w:firstLine="480"/>
        <w:jc w:val="both"/>
      </w:pPr>
      <w:r>
        <w:rPr>
          <w:rFonts w:ascii="Times New Roman" w:hAnsi="Times New Roman" w:eastAsia="方正仿宋_GBK"/>
          <w:b w:val="0"/>
          <w:sz w:val="24"/>
        </w:rPr>
        <w:t xml:space="preserve">较高装机渗透率下，增长率提高同时放大正向与反向容量需求。主变容量由760.00 MVA增至846.00 MVA，储能额定功率由52.80 MW增至255.60 MW；费用随两类设备规模增加，容载比则因目标年负荷增长更快而降至2.31。</w:t>
      </w:r>
    </w:p>
    <w:p>
      <w:pPr>
        <w:pStyle w:val="2"/>
        <w:widowControl/>
        <w:spacing w:line="348" w:lineRule="exact" w:before="0" w:after="0"/>
        <w:ind w:firstLine="480"/>
        <w:jc w:val="both"/>
      </w:pPr>
      <w:r>
        <w:rPr>
          <w:rFonts w:ascii="Times New Roman" w:hAnsi="Times New Roman" w:eastAsia="方正仿宋_GBK"/>
          <w:b w:val="0"/>
          <w:sz w:val="24"/>
        </w:rPr>
        <w:t xml:space="preserve">容载比同时取决于分子容量和分母负荷。增长率提高后，目标年负荷增加，主变容量按离散规格投运，其增幅未必与负荷一致。因此较高增长情景下的容载比降低，不表示设备容量一定减少，也不直接表示发展储备不足。比较应同时读取目标年MW、主变MVA和相应建设措施。</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推广采用目标年配置，两者从不同角度反映负荷变化影响。前者判断何时建设，后者比较给定目标时点的容量规模。实际规划将推荐区间落实到项目时，还需结合近期已投产主变和中间年份供电需求，不能只按末年总容量平均分配年度投资。</w:t>
      </w:r>
    </w:p>
    <w:p>
      <w:pPr>
        <w:pStyle w:val="5"/>
        <w:keepNext/>
        <w:numPr>
          <w:numId w:val="0"/>
        </w:numPr>
        <w:spacing w:line="390" w:lineRule="exact" w:before="160" w:after="120"/>
        <w:ind w:firstLine="0"/>
      </w:pPr>
      <w:bookmarkStart w:id="261" w:name="储能支撑持续时间与配置变化"/>
      <w:r>
        <w:rPr>
          <w:rFonts w:ascii="Times New Roman" w:hAnsi="Times New Roman" w:eastAsia="方正仿宋_GBK"/>
          <w:b/>
          <w:sz w:val="26"/>
        </w:rPr>
        <w:t xml:space="preserve">5.6.7 储能支撑持续时间与配置变化</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储能同时受到额定功率和可用电量限制。单柜可用电量为0.215×0.76 MWh，在4 h支撑要求下折算0.04085 MW。持续时间延长改变的是设备有效功率；若本地功率缺口保持不变，所需柜数及费用可能增加，也可能促使方案改用主变增容或联络支援。</w:t>
      </w:r>
    </w:p>
    <w:p>
      <w:pPr>
        <w:pStyle w:val="2"/>
        <w:widowControl/>
        <w:spacing w:line="348" w:lineRule="exact" w:before="0" w:after="0"/>
        <w:ind w:firstLine="480"/>
        <w:jc w:val="both"/>
      </w:pPr>
      <w:r>
        <w:rPr>
          <w:rFonts w:ascii="Times New Roman" w:hAnsi="Times New Roman" w:eastAsia="方正仿宋_GBK"/>
          <w:b w:val="0"/>
          <w:sz w:val="24"/>
        </w:rPr>
        <w:t xml:space="preserve">以下固定增长率4%、线路成本系数4.25和初始转供率40%，在分布式电源装机渗透率2.50下比较2、4、6 h。持续时间为规划支撑条件，与运行曲线提取的95%近峰事件时长分别使用。</w:t>
      </w:r>
    </w:p>
    <w:p>
      <w:pPr>
        <w:pStyle w:val="2"/>
        <w:keepNext/>
        <w:spacing w:line="280" w:lineRule="exact" w:before="120" w:after="80"/>
        <w:ind w:firstLine="0"/>
        <w:jc w:val="center"/>
      </w:pPr>
      <w:r>
        <w:rPr>
          <w:rFonts w:ascii="Times New Roman" w:hAnsi="Times New Roman" w:eastAsia="宋体"/>
          <w:b w:val="0"/>
          <w:sz w:val="21"/>
        </w:rPr>
        <w:t xml:space="preserve">表5-91 储能支撑持续时间变化（分布式电源装机渗透率2.50）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支撑持续时间/h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45110.68</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支撑持续时间从2 h延长至6 h，主变容量保持820.00 MVA，储能额定功率从51.60 MW增至154.70 MW，额定能量相应增加。费用由22713.14万元增至45110.68万元，增加主要来自满足持续支撑要求所需的储能规模。</w:t>
      </w:r>
    </w:p>
    <w:p>
      <w:pPr>
        <w:pStyle w:val="2"/>
        <w:widowControl/>
        <w:spacing w:line="348" w:lineRule="exact" w:before="0" w:after="0"/>
        <w:ind w:firstLine="480"/>
        <w:jc w:val="both"/>
      </w:pPr>
      <w:r>
        <w:rPr>
          <w:rFonts w:ascii="Times New Roman" w:hAnsi="Times New Roman" w:eastAsia="方正仿宋_GBK"/>
          <w:b w:val="0"/>
          <w:sz w:val="24"/>
        </w:rPr>
        <w:t xml:space="preserve">主网格的其他参数组合还出现主变配置切换，发生比例与容量变化见核心参数配对表。</w:t>
      </w:r>
    </w:p>
    <w:p>
      <w:pPr>
        <w:pStyle w:val="5"/>
        <w:keepNext/>
        <w:numPr>
          <w:numId w:val="0"/>
        </w:numPr>
        <w:spacing w:line="390" w:lineRule="exact" w:before="160" w:after="120"/>
        <w:ind w:firstLine="0"/>
      </w:pPr>
      <w:bookmarkStart w:id="262" w:name="储能价格的专项比较"/>
      <w:r>
        <w:rPr>
          <w:rFonts w:ascii="Times New Roman" w:hAnsi="Times New Roman" w:eastAsia="方正仿宋_GBK"/>
          <w:b/>
          <w:sz w:val="26"/>
        </w:rPr>
        <w:t xml:space="preserve">5.6.8 储能价格的专项比较</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储能价格在给定储能支撑持续时间下独立变化。以下取分布式电源装机渗透率2.50，比较2、4、6 h支撑要求下的配置与费用变化，设备功率、能量与可用电量系数保持一致。其余参数为增长率4%、线路成本系数4.25和初始转供率40%。</w:t>
      </w:r>
    </w:p>
    <w:p>
      <w:pPr>
        <w:pStyle w:val="7"/>
        <w:keepNext/>
        <w:numPr>
          <w:numId w:val="0"/>
        </w:numPr>
        <w:spacing w:line="360" w:lineRule="exact" w:before="160" w:after="120"/>
        <w:ind w:firstLine="0"/>
      </w:pPr>
      <w:bookmarkStart w:id="263" w:name="h支撑条件下的设备替换"/>
      <w:r>
        <w:rPr>
          <w:rFonts w:ascii="Times New Roman" w:hAnsi="Times New Roman" w:eastAsia="方正仿宋_GBK"/>
          <w:b/>
          <w:sz w:val="24"/>
        </w:rPr>
        <w:t xml:space="preserve">2 h支撑条件下的设备替换</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表5-92 储能价格变化（分布式电源装机渗透率2.50、持续时间2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76.30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16799.31</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19910.73</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25515.55</w:t>
            </w:r>
          </w:p>
        </w:tc>
      </w:tr>
    </w:tbl>
    <w:p>
      <w:pPr>
        <w:pStyle w:val="2"/>
        <w:widowControl/>
        <w:spacing w:line="348" w:lineRule="exact" w:before="0" w:after="0"/>
        <w:ind w:firstLine="480"/>
        <w:jc w:val="both"/>
      </w:pPr>
      <w:r>
        <w:rPr>
          <w:rFonts w:ascii="Times New Roman" w:hAnsi="Times New Roman" w:eastAsia="方正仿宋_GBK"/>
          <w:b w:val="0"/>
          <w:sz w:val="24"/>
        </w:rPr>
        <w:t xml:space="preserve">价格为参考值的0.50倍时，方案采用760.00 MVA主变和76.30 MW储能。价格提高至0.75倍后，主变增至820.00 MVA，储能减少24.70 MW，容载比相应提高至2.80。此后价格继续上涨至1.25倍，设备组合保持不变，费用随储能单价增加。</w:t>
      </w:r>
    </w:p>
    <w:p>
      <w:pPr>
        <w:pStyle w:val="7"/>
        <w:keepNext/>
        <w:numPr>
          <w:numId w:val="0"/>
        </w:numPr>
        <w:spacing w:line="360" w:lineRule="exact" w:before="160" w:after="120"/>
        <w:ind w:firstLine="0"/>
      </w:pPr>
      <w:bookmarkStart w:id="264" w:name="h支撑条件下的费用变化"/>
      <w:r>
        <w:rPr>
          <w:rFonts w:ascii="Times New Roman" w:hAnsi="Times New Roman" w:eastAsia="方正仿宋_GBK"/>
          <w:b/>
          <w:sz w:val="24"/>
        </w:rPr>
        <w:t xml:space="preserve">4、6 h支撑条件下的费用变化</w:t>
      </w:r>
      <w:bookmarkEnd w:id="264"/>
    </w:p>
    <w:p>
      <w:pPr>
        <w:pStyle w:val="FirstParagraph"/>
        <w:widowControl/>
        <w:spacing w:line="348" w:lineRule="exact" w:before="0" w:after="0"/>
        <w:ind w:firstLine="480"/>
        <w:jc w:val="both"/>
      </w:pPr>
      <w:r>
        <w:rPr>
          <w:rFonts w:ascii="Times New Roman" w:hAnsi="Times New Roman" w:eastAsia="方正仿宋_GBK"/>
          <w:b w:val="0"/>
          <w:sz w:val="24"/>
        </w:rPr>
        <w:t xml:space="preserve">两种支撑条件下的主变容量均为820.00 MVA，容载比均为2.80；储能额定功率分别为103.10 MW、154.70 MW。价格变化未引起设备替换，较长支撑时间需要更多储能，其费用对单价更敏感。</w:t>
      </w:r>
    </w:p>
    <w:p>
      <w:pPr>
        <w:pStyle w:val="2"/>
        <w:keepNext/>
        <w:spacing w:line="280" w:lineRule="exact" w:before="120" w:after="80"/>
        <w:ind w:firstLine="0"/>
        <w:jc w:val="center"/>
      </w:pPr>
      <w:r>
        <w:rPr>
          <w:rFonts w:ascii="Times New Roman" w:hAnsi="Times New Roman" w:eastAsia="宋体"/>
          <w:b w:val="0"/>
          <w:sz w:val="21"/>
        </w:rPr>
        <w:t xml:space="preserve">表5-93 储能价格对4、6 h方案费用的影响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4 h费用现值/万元</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6 h费用现值/万元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22702.28</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28307.09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28301.66</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36708.89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45110.68</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39500.43</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53512.48</w:t>
            </w:r>
          </w:p>
        </w:tc>
      </w:tr>
    </w:tbl>
    <w:p>
      <w:pPr>
        <w:pStyle w:val="4"/>
        <w:keepNext/>
        <w:numPr>
          <w:numId w:val="0"/>
        </w:numPr>
        <w:spacing w:line="480" w:lineRule="exact" w:before="160" w:after="120"/>
        <w:ind w:firstLine="0"/>
      </w:pPr>
      <w:bookmarkStart w:id="1987" w:name="h987"/>
      <w:bookmarkStart w:id="265" w:name="规划建议"/>
      <w:r>
        <w:rPr>
          <w:rFonts w:ascii="Times New Roman" w:hAnsi="Times New Roman" w:eastAsia="方正仿宋_GBK"/>
          <w:b/>
          <w:sz w:val="32"/>
        </w:rPr>
        <w:t xml:space="preserve">5.7 规划建议</w:t>
      </w:r>
      <w:bookmarkEnd w:id="265"/>
      <w:bookmarkEnd w:id="1987"/>
    </w:p>
    <w:p>
      <w:pPr>
        <w:pStyle w:val="5"/>
        <w:keepNext/>
        <w:numPr>
          <w:numId w:val="0"/>
        </w:numPr>
        <w:spacing w:line="390" w:lineRule="exact" w:before="160" w:after="120"/>
        <w:ind w:firstLine="0"/>
      </w:pPr>
      <w:bookmarkStart w:id="266" w:name="按源荷条件和网络能力选取容量"/>
      <w:r>
        <w:rPr>
          <w:rFonts w:ascii="Times New Roman" w:hAnsi="Times New Roman" w:eastAsia="方正仿宋_GBK"/>
          <w:b/>
          <w:sz w:val="26"/>
        </w:rPr>
        <w:t xml:space="preserve">5.7.1 按源荷条件和网络能力选取容量</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邳州应同时校核晚间正向供电与日间反向输送，市区重点核实局部负荷、存量10 kV联络和邻站承接能力。市区A/B分区资料不足时，可采用40%作为B类主导的研究参考，比较30%—50%的网络条件；该比例不能直接生成无路径的免费转供能力。待取得分区负荷和存量网络后，再按一致的负荷基数核定区域参数。</w:t>
      </w:r>
    </w:p>
    <w:p>
      <w:pPr>
        <w:pStyle w:val="5"/>
        <w:keepNext/>
        <w:numPr>
          <w:numId w:val="0"/>
        </w:numPr>
        <w:spacing w:line="390" w:lineRule="exact" w:before="160" w:after="120"/>
        <w:ind w:firstLine="0"/>
      </w:pPr>
      <w:bookmarkStart w:id="267" w:name="统筹主变储能及联络建设"/>
      <w:r>
        <w:rPr>
          <w:rFonts w:ascii="Times New Roman" w:hAnsi="Times New Roman" w:eastAsia="方正仿宋_GBK"/>
          <w:b/>
          <w:sz w:val="26"/>
        </w:rPr>
        <w:t xml:space="preserve">5.7.2 统筹主变、储能及联络建设</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不直接按光伏装机比例配置。</w:t>
      </w:r>
    </w:p>
    <w:p>
      <w:pPr>
        <w:pStyle w:val="5"/>
        <w:keepNext/>
        <w:numPr>
          <w:numId w:val="0"/>
        </w:numPr>
        <w:spacing w:line="390" w:lineRule="exact" w:before="160" w:after="120"/>
        <w:ind w:firstLine="0"/>
      </w:pPr>
      <w:bookmarkStart w:id="268" w:name="保留参数区间滚动更新计算依据"/>
      <w:r>
        <w:rPr>
          <w:rFonts w:ascii="Times New Roman" w:hAnsi="Times New Roman" w:eastAsia="方正仿宋_GBK"/>
          <w:b/>
          <w:sz w:val="26"/>
        </w:rPr>
        <w:t xml:space="preserve">5.7.3 保留参数区间，滚动更新计算依据</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69" w:name="相同源荷条件下的推荐区间选择"/>
      <w:r>
        <w:rPr>
          <w:rFonts w:ascii="Times New Roman" w:hAnsi="Times New Roman" w:eastAsia="方正仿宋_GBK"/>
          <w:b/>
          <w:sz w:val="26"/>
        </w:rPr>
        <w:t xml:space="preserve">5.7.4 相同源荷条件下的推荐区间选择</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以分布式电源装机渗透率1.50、增长率4%、线路成本系数4.25和持续时间4 h为例，比较不同初始转供率。增长率4%归入大于2%且不大于4%的档，持续时间4 h归入大于2 h且不大于4 h的档，均按左开右闭原则确定。</w:t>
      </w:r>
    </w:p>
    <w:p>
      <w:pPr>
        <w:pStyle w:val="2"/>
        <w:keepNext/>
        <w:spacing w:line="280" w:lineRule="exact" w:before="120" w:after="80"/>
        <w:ind w:firstLine="0"/>
        <w:jc w:val="center"/>
      </w:pPr>
      <w:r>
        <w:rPr>
          <w:rFonts w:ascii="Times New Roman" w:hAnsi="Times New Roman" w:eastAsia="宋体"/>
          <w:b w:val="0"/>
          <w:sz w:val="21"/>
        </w:rPr>
        <w:t xml:space="preserve">表5-94 相同源荷和成本条件下不同初始转供率的配置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注：分布式电源装机渗透率1.50，增长率4%，线路成本系数4.25，持续时间4 h。</w:t>
      </w:r>
    </w:p>
    <w:p>
      <w:pPr>
        <w:pStyle w:val="2"/>
        <w:widowControl/>
        <w:spacing w:line="348" w:lineRule="exact" w:before="0" w:after="0"/>
        <w:ind w:firstLine="480"/>
        <w:jc w:val="both"/>
      </w:pPr>
      <w:r>
        <w:rPr>
          <w:rFonts w:ascii="Times New Roman" w:hAnsi="Times New Roman" w:eastAsia="方正仿宋_GBK"/>
          <w:b w:val="0"/>
          <w:sz w:val="24"/>
        </w:rPr>
        <w:t xml:space="preserve">查表使用输入区间，工程落实使用具体参数及设备组合。相同源荷和价格下的初始转供率变化，表示网络条件改变，需有对应存量路径和馈线能力支撑。若实际初始设备、负荷空间分布或扩建位置与模板不同，应重新计算设备配置，不能直接把模板容量按地区负荷等比例放大。</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MVA。这一数量关系说明，小幅比值差异在较大区域内也会对应明确的设备规模。容量分配仍应按各站正反向负荷和主变N-1条件安排，不能只按区域总量平均分配。</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70" w:name="邳州与市区建设措施的综合比较"/>
      <w:r>
        <w:rPr>
          <w:rFonts w:ascii="Times New Roman" w:hAnsi="Times New Roman" w:eastAsia="方正仿宋_GBK"/>
          <w:b/>
          <w:sz w:val="26"/>
        </w:rPr>
        <w:t xml:space="preserve">5.7.5 邳州与市区建设措施的综合比较</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但逐站建设方式并不一致。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邳州弹性方案目标年主变容量1955.50 MVA、容载比2.04，未配置储能，累计新增联络30条。市区为3324.00 MVA、容载比2.17，储能0.50 MW/1.075 MWh，累计新增联络64条。不同地区的容量和费用关系由实际年度负荷、仿真设备及候选网络共同形成，不预设排序。</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两地区刚性方案评价期费用现值合计120219.30万元，弹性方案为84449.61万元，减少约30%。后续若完善市区存量网络或调整工程价格，应同时更新技术约束和费用，重新核对具体建设组合。</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06" w:name="h1006"/>
      <w:bookmarkStart w:id="271" w:name="第六章-结论与建议"/>
      <w:r>
        <w:rPr>
          <w:rFonts w:ascii="Times New Roman" w:hAnsi="Times New Roman" w:eastAsia="方正仿宋_GBK"/>
          <w:b/>
          <w:sz w:val="36"/>
        </w:rPr>
        <w:t xml:space="preserve">第六章 结论与建议</w:t>
      </w:r>
      <w:bookmarkEnd w:id="271"/>
      <w:bookmarkEnd w:id="2006"/>
    </w:p>
    <w:p>
      <w:pPr>
        <w:pStyle w:val="FirstParagraph"/>
        <w:widowControl/>
        <w:spacing w:line="348" w:lineRule="exact"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kV联络的联合寻优。在两地区刚性与弹性方案对比基础上，进一步拓展源荷及经济参数，形成弹性容载比推荐区间及适用条件，供不同片区比选。</w:t>
      </w:r>
    </w:p>
    <w:p>
      <w:pPr>
        <w:pStyle w:val="4"/>
        <w:keepNext/>
        <w:numPr>
          <w:numId w:val="0"/>
        </w:numPr>
        <w:spacing w:line="480" w:lineRule="exact" w:before="160" w:after="120"/>
        <w:ind w:firstLine="0"/>
      </w:pPr>
      <w:bookmarkStart w:id="2008" w:name="h1008"/>
      <w:bookmarkStart w:id="272" w:name="主要研究结论"/>
      <w:r>
        <w:rPr>
          <w:rFonts w:ascii="Times New Roman" w:hAnsi="Times New Roman" w:eastAsia="方正仿宋_GBK"/>
          <w:b/>
          <w:sz w:val="32"/>
        </w:rPr>
        <w:t xml:space="preserve">6.1 主要研究结论</w:t>
      </w:r>
      <w:bookmarkEnd w:id="272"/>
      <w:bookmarkEnd w:id="2008"/>
    </w:p>
    <w:p>
      <w:pPr>
        <w:pStyle w:val="5"/>
        <w:keepNext/>
        <w:numPr>
          <w:numId w:val="0"/>
        </w:numPr>
        <w:spacing w:line="390" w:lineRule="exact" w:before="160" w:after="120"/>
        <w:ind w:firstLine="0"/>
      </w:pPr>
      <w:bookmarkStart w:id="273" w:name="容载比与局部容量压力应结合分析"/>
      <w:r>
        <w:rPr>
          <w:rFonts w:ascii="Times New Roman" w:hAnsi="Times New Roman" w:eastAsia="方正仿宋_GBK"/>
          <w:b/>
          <w:sz w:val="26"/>
        </w:rPr>
        <w:t xml:space="preserve">6.1.1 容载比与局部容量压力应结合分析</w:t>
      </w:r>
      <w:bookmarkEnd w:id="273"/>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2021—2025年年最大净负荷平均增长率按复合开根方式计算，邳州为7%、市区为1%。地区案例采用实际年度负荷，保留负荷回落及其引起的容载比变化，不以平均增长曲线替换已知数据。</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4" w:name="弹性容量配置降低了所设条件下的方案费用"/>
      <w:r>
        <w:rPr>
          <w:rFonts w:ascii="Times New Roman" w:hAnsi="Times New Roman" w:eastAsia="方正仿宋_GBK"/>
          <w:b/>
          <w:sz w:val="26"/>
        </w:rPr>
        <w:t xml:space="preserve">6.1.2 弹性容量配置降低了所设条件下的方案费用</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在相同初始设备、年度负荷、候选网络和4 h正向储能支撑条件下，邳州弹性方案2025年主变容量为1955.50 MVA、容载比2.04；市区为3324.00 MVA、2.17。两地区刚性可行方案费用合计120219.30万元，弹性合计84449.61万元，当前候选费用减少30%。</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邳州弹性方案未配置储能，市区配置0.50 MW/1.075 MWh。刚性方案中，两地区目标年储能额定功率分别为32.90 MW、4.80 MW。增容和联络能够减少储能需求，但是否完全替代储能取决于局部网络、设备候选和持续时间。当前刚性无储能四年模型不可行，2022年必要容量下界已超过刚性允许范围；该结论限于本研究候选集合。</w:t>
      </w:r>
    </w:p>
    <w:p>
      <w:pPr>
        <w:pStyle w:val="5"/>
        <w:keepNext/>
        <w:numPr>
          <w:numId w:val="0"/>
        </w:numPr>
        <w:spacing w:line="390" w:lineRule="exact" w:before="160" w:after="120"/>
        <w:ind w:firstLine="0"/>
      </w:pPr>
      <w:bookmarkStart w:id="275"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75"/>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市区40%为B类主导背景下的参数研究参考，尚不能作为已核实的地区实际转供率。</w:t>
      </w:r>
    </w:p>
    <w:p>
      <w:pPr>
        <w:pStyle w:val="5"/>
        <w:keepNext/>
        <w:numPr>
          <w:numId w:val="0"/>
        </w:numPr>
        <w:spacing w:line="390" w:lineRule="exact" w:before="160" w:after="120"/>
        <w:ind w:firstLine="0"/>
      </w:pPr>
      <w:bookmarkStart w:id="276" w:name="六参数矩阵给出有条件的容载比范围"/>
      <w:r>
        <w:rPr>
          <w:rFonts w:ascii="Times New Roman" w:hAnsi="Times New Roman" w:eastAsia="方正仿宋_GBK"/>
          <w:b/>
          <w:sz w:val="26"/>
        </w:rPr>
        <w:t xml:space="preserve">6.1.4 六参数矩阵给出有条件的容载比范围</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及负荷分散系数，储能价格另作专项分析。12600组推广计算形成648个参数区间单元，容载比计算值总体为2.01～3.28。该总体范围包含不同源荷和网络条件，不作为所有地区共用的推荐上下限。</w:t>
      </w:r>
    </w:p>
    <w:p>
      <w:pPr>
        <w:pStyle w:val="2"/>
        <w:widowControl/>
        <w:spacing w:line="348" w:lineRule="exact" w:before="0" w:after="0"/>
        <w:ind w:firstLine="480"/>
        <w:jc w:val="both"/>
      </w:pPr>
      <w:r>
        <w:rPr>
          <w:rFonts w:ascii="Times New Roman" w:hAnsi="Times New Roman" w:eastAsia="方正仿宋_GBK"/>
          <w:b w:val="0"/>
          <w:sz w:val="24"/>
        </w:rPr>
        <w:t xml:space="preserve">输入参数采用首尾开口区间，增长分界与DL/T 5729—2023表6.3.4一致；其他分界为研究设置。容载比输出仍取已验证样本的有限范围，不因输入区间开口而延伸。分布式电源装机渗透率与容载比在主网格中的Pearson系数为0.81，年最大净负荷平均增长率为-0.30；线路成本系数的总体相关较弱，但局部配对仍出现配置切换。相关分析与受控配对、交互差分结合解释，不能仅凭总体相关删除参数。</w:t>
      </w:r>
    </w:p>
    <w:p>
      <w:pPr>
        <w:pStyle w:val="4"/>
        <w:keepNext/>
        <w:numPr>
          <w:numId w:val="0"/>
        </w:numPr>
        <w:spacing w:line="480" w:lineRule="exact" w:before="160" w:after="120"/>
        <w:ind w:firstLine="0"/>
      </w:pPr>
      <w:bookmarkStart w:id="2022" w:name="h1022"/>
      <w:bookmarkStart w:id="277" w:name="规划应用建议"/>
      <w:r>
        <w:rPr>
          <w:rFonts w:ascii="Times New Roman" w:hAnsi="Times New Roman" w:eastAsia="方正仿宋_GBK"/>
          <w:b/>
          <w:sz w:val="32"/>
        </w:rPr>
        <w:t xml:space="preserve">6.2 规划应用建议</w:t>
      </w:r>
      <w:bookmarkEnd w:id="277"/>
      <w:bookmarkEnd w:id="2022"/>
    </w:p>
    <w:p>
      <w:pPr>
        <w:pStyle w:val="5"/>
        <w:keepNext/>
        <w:numPr>
          <w:numId w:val="0"/>
        </w:numPr>
        <w:spacing w:line="390" w:lineRule="exact" w:before="160" w:after="120"/>
        <w:ind w:firstLine="0"/>
      </w:pPr>
      <w:bookmarkStart w:id="278" w:name="按输入区间查表再落实设备方案"/>
      <w:r>
        <w:rPr>
          <w:rFonts w:ascii="Times New Roman" w:hAnsi="Times New Roman" w:eastAsia="方正仿宋_GBK"/>
          <w:b/>
          <w:sz w:val="26"/>
        </w:rPr>
        <w:t xml:space="preserve">6.2.1 按输入区间查表，再落实设备方案</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79" w:name="核实分区转供能力与储能支撑条件"/>
      <w:r>
        <w:rPr>
          <w:rFonts w:ascii="Times New Roman" w:hAnsi="Times New Roman" w:eastAsia="方正仿宋_GBK"/>
          <w:b/>
          <w:sz w:val="26"/>
        </w:rPr>
        <w:t xml:space="preserve">6.2.2 核实分区转供能力与储能支撑条件</w:t>
      </w:r>
      <w:bookmarkEnd w:id="279"/>
    </w:p>
    <w:p>
      <w:pPr>
        <w:pStyle w:val="FirstParagraph"/>
        <w:widowControl/>
        <w:spacing w:line="348" w:lineRule="exact" w:before="0" w:after="0"/>
        <w:ind w:firstLine="480"/>
        <w:jc w:val="both"/>
      </w:pPr>
      <w:r>
        <w:rPr>
          <w:rFonts w:ascii="Times New Roman" w:hAnsi="Times New Roman" w:eastAsia="方正仿宋_GBK"/>
          <w:b w:val="0"/>
          <w:sz w:val="24"/>
        </w:rPr>
        <w:t xml:space="preserve">市区按A类较少、B类较多的研究背景，以40%作为B类区间中值参考，比较30%～50%；待分区负荷及存量网络资料齐备后，核定实际转供率。现有联络须对应具体路径，新增联络按建设项目计费，并共同校核馈线接收余量和邻站主变能力。</w:t>
      </w:r>
    </w:p>
    <w:p>
      <w:pPr>
        <w:pStyle w:val="2"/>
        <w:widowControl/>
        <w:spacing w:line="348" w:lineRule="exact" w:before="0" w:after="0"/>
        <w:ind w:firstLine="480"/>
        <w:jc w:val="both"/>
      </w:pPr>
      <w:r>
        <w:rPr>
          <w:rFonts w:ascii="Times New Roman" w:hAnsi="Times New Roman" w:eastAsia="方正仿宋_GBK"/>
          <w:b w:val="0"/>
          <w:sz w:val="24"/>
        </w:rPr>
        <w:t xml:space="preserve">储能4 h用于本次统一比较，工程应用结合地区网供峰值曲线、容量缺口持续时间及故障恢复条件确定实际需求。可用电量与充电空间均需校核，不能把95%近峰事件时长直接等同于储能保证支撑时间。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80" w:name="随数据和工程条件更新结果"/>
      <w:r>
        <w:rPr>
          <w:rFonts w:ascii="Times New Roman" w:hAnsi="Times New Roman" w:eastAsia="方正仿宋_GBK"/>
          <w:b/>
          <w:sz w:val="26"/>
        </w:rPr>
        <w:t xml:space="preserve">6.2.3 随数据和工程条件更新结果</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保留输入参数的区间形式，新增年度资料用于更新区间内的计算节点和设备配置。线路造价、储能价格、负荷分布或可用间隔改变后，按统一费用范围重新比较，不仅调整表中比值。</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34" w:name="h1034"/>
      <w:bookmarkStart w:id="281" w:name="后续研究方向"/>
      <w:r>
        <w:rPr>
          <w:rFonts w:ascii="Times New Roman" w:hAnsi="Times New Roman" w:eastAsia="方正仿宋_GBK"/>
          <w:b/>
          <w:sz w:val="32"/>
        </w:rPr>
        <w:t xml:space="preserve">6.3 后续研究方向</w:t>
      </w:r>
      <w:bookmarkEnd w:id="281"/>
      <w:bookmarkEnd w:id="2034"/>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两类静态工况，未开展逐时荷电状态、电压或保护仿真；市区部分网络能力及设备条件采用研究假设。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82" w:name="深化储能运行与实际网络校核"/>
      <w:r>
        <w:rPr>
          <w:rFonts w:ascii="Times New Roman" w:hAnsi="Times New Roman" w:eastAsia="方正仿宋_GBK"/>
          <w:b/>
          <w:sz w:val="26"/>
        </w:rPr>
        <w:t xml:space="preserve">6.3.1 深化储能运行与实际网络校核</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83" w:name="拓展片区结构和经济参数"/>
      <w:r>
        <w:rPr>
          <w:rFonts w:ascii="Times New Roman" w:hAnsi="Times New Roman" w:eastAsia="方正仿宋_GBK"/>
          <w:b/>
          <w:sz w:val="26"/>
        </w:rPr>
        <w:t xml:space="preserve">6.3.2 拓展片区结构和经济参数</w:t>
      </w:r>
      <w:bookmarkEnd w:id="283"/>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40" w:name="h1040"/>
      <w:bookmarkStart w:id="284" w:name="参考文献"/>
      <w:r>
        <w:rPr>
          <w:rFonts w:ascii="Times New Roman" w:hAnsi="Times New Roman" w:eastAsia="方正仿宋_GBK"/>
          <w:b/>
          <w:sz w:val="36"/>
        </w:rPr>
        <w:t xml:space="preserve">参考文献</w:t>
      </w:r>
      <w:bookmarkEnd w:id="284"/>
      <w:bookmarkEnd w:id="2040"/>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[91]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[92]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[93] 李阳彤, 王主丁, 陈琳, 等. 基于变电站容量概率规划的分布式电源可信度和有源配电网容载比计算分析[J]. 电网技术, 2026, 50(2): 619-628. DOI: 10.13335/j.1000-3673.pst.2024.1440.</w:t>
      </w:r>
    </w:p>
    <w:p>
      <w:pPr>
        <w:pStyle w:val="2"/>
        <w:widowControl/>
        <w:spacing w:line="320" w:lineRule="exact" w:before="0" w:after="80"/>
        <w:ind w:firstLine="0"/>
        <w:jc w:val="left"/>
      </w:pPr>
      <w:r>
        <w:rPr>
          <w:rFonts w:ascii="Times New Roman" w:hAnsi="Times New Roman" w:eastAsia="方正仿宋_GBK"/>
          <w:b w:val="0"/>
          <w:sz w:val="21"/>
        </w:rPr>
        <w:t xml:space="preserve">[94]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[95] National Institute of Standards and Technology. Dataplot: Rank Correlation Independence Test[EB/OL]. [2026-10-07]. https://www.itl.nist.gov/div898/software/dataplot/refman1/auxillar/rankcorr.htm.</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1" Type="http://schemas.openxmlformats.org/officeDocument/2006/relationships/image" Target="media/rId191.png"/><Relationship Id="rId98" Type="http://schemas.openxmlformats.org/officeDocument/2006/relationships/image" Target="media/rId98.png"/><Relationship Id="rId111" Type="http://schemas.openxmlformats.org/officeDocument/2006/relationships/image" Target="media/rId111.png"/><Relationship Id="rId123" Type="http://schemas.openxmlformats.org/officeDocument/2006/relationships/image" Target="media/rId123.png"/><Relationship Id="rId132" Type="http://schemas.openxmlformats.org/officeDocument/2006/relationships/image" Target="media/rId132.png"/><Relationship Id="rId114" Type="http://schemas.openxmlformats.org/officeDocument/2006/relationships/image" Target="media/rId114.png"/><Relationship Id="rId193" Type="http://schemas.openxmlformats.org/officeDocument/2006/relationships/image" Target="media/rId193.png"/><Relationship Id="rId109" Type="http://schemas.openxmlformats.org/officeDocument/2006/relationships/image" Target="media/rId109.png"/><Relationship Id="rId194" Type="http://schemas.openxmlformats.org/officeDocument/2006/relationships/image" Target="media/rId194.png"/><Relationship Id="rId130" Type="http://schemas.openxmlformats.org/officeDocument/2006/relationships/image" Target="media/rId130.png"/><Relationship Id="rId113" Type="http://schemas.openxmlformats.org/officeDocument/2006/relationships/image" Target="media/rId113.png"/><Relationship Id="rId253" Type="http://schemas.openxmlformats.org/officeDocument/2006/relationships/image" Target="media/rId253.png"/><Relationship Id="rId103" Type="http://schemas.openxmlformats.org/officeDocument/2006/relationships/image" Target="media/rId103.png"/><Relationship Id="rId159" Type="http://schemas.openxmlformats.org/officeDocument/2006/relationships/image" Target="media/rId159.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141</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2026-10-11T04:50:58Z</dcterms:created>
  <dcterms:modified xsi:type="dcterms:W3CDTF">2026-10-11T04:50:58Z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