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300" w:lineRule="auto"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300" w:lineRule="auto"/>
        <w:ind w:firstLine="0"/>
        <w:jc w:val="center"/>
      </w:pPr>
      <w:r>
        <w:rPr>
          <w:rFonts w:ascii="Times New Roman" w:hAnsi="Times New Roman" w:eastAsia="方正仿宋_GBK"/>
          <w:b/>
          <w:sz w:val="40"/>
        </w:rPr>
        <w:t>研究报告</w:t>
      </w:r>
    </w:p>
    <w:p>
      <w:pPr>
        <w:spacing w:line="300" w:lineRule="auto" w:before="2400"/>
        <w:ind w:firstLine="0"/>
        <w:jc w:val="center"/>
      </w:pPr>
      <w:r>
        <w:rPr>
          <w:rFonts w:ascii="Times New Roman" w:hAnsi="Times New Roman" w:eastAsia="方正仿宋_GBK"/>
          <w:b w:val="0"/>
          <w:sz w:val="28"/>
        </w:rPr>
        <w:t>2026年10月</w:t>
      </w:r>
    </w:p>
    <w:p>
      <w:pPr>
        <w:pageBreakBefore/>
        <w:spacing w:line="300" w:lineRule="auto" w:after="400"/>
        <w:ind w:firstLine="0"/>
        <w:jc w:val="center"/>
      </w:pPr>
      <w:r>
        <w:rPr>
          <w:rFonts w:ascii="Times New Roman" w:hAnsi="Times New Roman" w:eastAsia="方正仿宋_GBK"/>
          <w:b/>
          <w:sz w:val="36"/>
        </w:rPr>
        <w:t>内容提要</w:t>
      </w:r>
    </w:p>
    <w:p>
      <w:pPr>
        <w:spacing w:line="300" w:lineRule="auto" w:after="200"/>
        <w:ind w:firstLine="480"/>
        <w:jc w:val="both"/>
      </w:pPr>
      <w:r>
        <w:rPr>
          <w:rFonts w:ascii="Times New Roman" w:hAnsi="Times New Roman" w:eastAsia="方正仿宋_GBK"/>
          <w:b w:val="0"/>
          <w:sz w:val="24"/>
        </w:rPr>
        <w:t>分布式光伏持续接入使110 kV电网同时承担正向供电和反向输送任务，区域容量储备与局部设备负载的关系随源荷条件变化。徐州邳州光伏规模较大，市区用电负荷较集中，两地区具有不同的容量配置需求。本研究利用2021—2025年负荷、光伏装机和设备运行资料，分析新能源渗透水平、净负荷及峰值持续时间，结合主变增容、储能配置和10 kV联络工程费用，研究适应片区运行特征的容载比取值。</w:t>
      </w:r>
    </w:p>
    <w:p>
      <w:pPr>
        <w:spacing w:line="300" w:lineRule="auto" w:after="200"/>
        <w:ind w:firstLine="480"/>
        <w:jc w:val="both"/>
      </w:pPr>
      <w:r>
        <w:rPr>
          <w:rFonts w:ascii="Times New Roman" w:hAnsi="Times New Roman" w:eastAsia="方正仿宋_GBK"/>
          <w:b w:val="0"/>
          <w:sz w:val="24"/>
        </w:rPr>
        <w:t>研究表明，2025年邳州和市区分布式电源装机渗透率估计值分别为1.63和0.32，分布式电源电量渗透率分别为40.28%和8.69%。邳州容量规划需要兼顾光伏集中出力时的反向输送与晚间供电，市区则主要受正向负荷和主变N-1供电要求影响。在共同起点下开展四年规划比选，规划第4年刚性方案容载比为1.95～1.97，弹性方案平均约为2.20。两地区新增措施评价期费用现值合计由159191.34万元降至47659.61万元，降低70.06%；相应储能总功率由503.10 MW降至6.20 MW。适当增加主变容量减少了持续峰段的储能配置需求，是本次费用下降的主要原因。</w:t>
      </w:r>
    </w:p>
    <w:p>
      <w:pPr>
        <w:spacing w:line="300" w:lineRule="auto" w:after="200"/>
        <w:ind w:firstLine="480"/>
        <w:jc w:val="both"/>
      </w:pPr>
      <w:r>
        <w:rPr>
          <w:rFonts w:ascii="Times New Roman" w:hAnsi="Times New Roman" w:eastAsia="方正仿宋_GBK"/>
          <w:b w:val="0"/>
          <w:sz w:val="24"/>
        </w:rPr>
        <w:t>进一步按供电区域类别、负荷分散系数和源荷条件归纳推荐区间，并比较主变与线路、主变与储能单位功率投资比的影响。分类后各组容量配置差异更加清楚，负荷增长、分布式电源装机规模和储能充放电持续时间共同决定推荐范围；线路价格在本次分析范围内主要影响费用。研究建议结合片区源荷特征确定容量储备，邳州重点校核双向容量，市区重点分析主变N-1及站间负荷分配，通过主变增容、储能配置和既有联络利用的技术经济比较，落实分年度建设规模。</w:t>
      </w:r>
    </w:p>
    <w:p>
      <w:pPr>
        <w:pageBreakBefore/>
        <w:spacing w:line="300" w:lineRule="auto" w:after="300"/>
        <w:ind w:firstLine="0"/>
        <w:jc w:val="center"/>
      </w:pPr>
      <w:r>
        <w:rPr>
          <w:rFonts w:ascii="Times New Roman" w:hAnsi="Times New Roman" w:eastAsia="方正仿宋_GBK"/>
          <w:b/>
          <w:sz w:val="36"/>
        </w:rPr>
        <w:t>目  录</w:t>
      </w:r>
    </w:p>
    <w:p>
      <w:pPr>
        <w:tabs>
          <w:tab w:pos="8220" w:val="right" w:leader="dot"/>
        </w:tabs>
        <w:spacing w:line="300" w:lineRule="auto" w:after="40"/>
        <w:ind w:firstLine="0" w:left="0"/>
        <w:jc w:val="left"/>
      </w:pPr>
      <w:r>
        <w:rPr>
          <w:rFonts w:ascii="Times New Roman" w:hAnsi="Times New Roman" w:eastAsia="方正仿宋_GBK"/>
          <w:b/>
          <w:sz w:val="24"/>
        </w:rPr>
        <w:t>第一章 绪论</w:t>
      </w:r>
      <w:r>
        <w:rPr>
          <w:rFonts w:ascii="Times New Roman" w:hAnsi="Times New Roman" w:eastAsia="方正仿宋_GBK"/>
          <w:b/>
          <w:sz w:val="24"/>
        </w:rPr>
        <w:tab/>
      </w:r>
      <w:fldSimple w:instr="PAGEREF h0 \h">
        <w:r>
          <w:t>5</w:t>
        </w:r>
      </w:fldSimple>
    </w:p>
    <w:p>
      <w:pPr>
        <w:tabs>
          <w:tab w:pos="8220" w:val="right" w:leader="dot"/>
        </w:tabs>
        <w:spacing w:line="300" w:lineRule="auto" w:after="40"/>
        <w:ind w:firstLine="0" w:left="240"/>
        <w:jc w:val="left"/>
      </w:pPr>
      <w:r>
        <w:rPr>
          <w:rFonts w:ascii="Times New Roman" w:hAnsi="Times New Roman" w:eastAsia="方正仿宋_GBK"/>
          <w:b w:val="0"/>
          <w:sz w:val="24"/>
        </w:rPr>
        <w:t>1.1 研究背景与意义</w:t>
      </w:r>
      <w:r>
        <w:rPr>
          <w:rFonts w:ascii="Times New Roman" w:hAnsi="Times New Roman" w:eastAsia="方正仿宋_GBK"/>
          <w:b w:val="0"/>
          <w:sz w:val="24"/>
        </w:rPr>
        <w:tab/>
      </w:r>
      <w:fldSimple w:instr="PAGEREF h1 \h">
        <w:r>
          <w:t>5</w:t>
        </w:r>
      </w:fldSimple>
    </w:p>
    <w:p>
      <w:pPr>
        <w:tabs>
          <w:tab w:pos="8220" w:val="right" w:leader="dot"/>
        </w:tabs>
        <w:spacing w:line="300" w:lineRule="auto" w:after="40"/>
        <w:ind w:firstLine="0" w:left="240"/>
        <w:jc w:val="left"/>
      </w:pPr>
      <w:r>
        <w:rPr>
          <w:rFonts w:ascii="Times New Roman" w:hAnsi="Times New Roman" w:eastAsia="方正仿宋_GBK"/>
          <w:b w:val="0"/>
          <w:sz w:val="24"/>
        </w:rPr>
        <w:t>1.2 主要概念与规范依据</w:t>
      </w:r>
      <w:r>
        <w:rPr>
          <w:rFonts w:ascii="Times New Roman" w:hAnsi="Times New Roman" w:eastAsia="方正仿宋_GBK"/>
          <w:b w:val="0"/>
          <w:sz w:val="24"/>
        </w:rPr>
        <w:tab/>
      </w:r>
      <w:fldSimple w:instr="PAGEREF h19 \h">
        <w:r>
          <w:t>7</w:t>
        </w:r>
      </w:fldSimple>
    </w:p>
    <w:p>
      <w:pPr>
        <w:tabs>
          <w:tab w:pos="8220" w:val="right" w:leader="dot"/>
        </w:tabs>
        <w:spacing w:line="300" w:lineRule="auto" w:after="40"/>
        <w:ind w:firstLine="0" w:left="240"/>
        <w:jc w:val="left"/>
      </w:pPr>
      <w:r>
        <w:rPr>
          <w:rFonts w:ascii="Times New Roman" w:hAnsi="Times New Roman" w:eastAsia="方正仿宋_GBK"/>
          <w:b w:val="0"/>
          <w:sz w:val="24"/>
        </w:rPr>
        <w:t>1.3 研究范围与对象</w:t>
      </w:r>
      <w:r>
        <w:rPr>
          <w:rFonts w:ascii="Times New Roman" w:hAnsi="Times New Roman" w:eastAsia="方正仿宋_GBK"/>
          <w:b w:val="0"/>
          <w:sz w:val="24"/>
        </w:rPr>
        <w:tab/>
      </w:r>
      <w:fldSimple w:instr="PAGEREF h33 \h">
        <w:r>
          <w:t>8</w:t>
        </w:r>
      </w:fldSimple>
    </w:p>
    <w:p>
      <w:pPr>
        <w:tabs>
          <w:tab w:pos="8220" w:val="right" w:leader="dot"/>
        </w:tabs>
        <w:spacing w:line="300" w:lineRule="auto" w:after="40"/>
        <w:ind w:firstLine="0" w:left="240"/>
        <w:jc w:val="left"/>
      </w:pPr>
      <w:r>
        <w:rPr>
          <w:rFonts w:ascii="Times New Roman" w:hAnsi="Times New Roman" w:eastAsia="方正仿宋_GBK"/>
          <w:b w:val="0"/>
          <w:sz w:val="24"/>
        </w:rPr>
        <w:t>1.4 研究目标与内容</w:t>
      </w:r>
      <w:r>
        <w:rPr>
          <w:rFonts w:ascii="Times New Roman" w:hAnsi="Times New Roman" w:eastAsia="方正仿宋_GBK"/>
          <w:b w:val="0"/>
          <w:sz w:val="24"/>
        </w:rPr>
        <w:tab/>
      </w:r>
      <w:fldSimple w:instr="PAGEREF h46 \h">
        <w:r>
          <w:t>9</w:t>
        </w:r>
      </w:fldSimple>
    </w:p>
    <w:p>
      <w:pPr>
        <w:tabs>
          <w:tab w:pos="8220" w:val="right" w:leader="dot"/>
        </w:tabs>
        <w:spacing w:line="300" w:lineRule="auto" w:after="40"/>
        <w:ind w:firstLine="0" w:left="240"/>
        <w:jc w:val="left"/>
      </w:pPr>
      <w:r>
        <w:rPr>
          <w:rFonts w:ascii="Times New Roman" w:hAnsi="Times New Roman" w:eastAsia="方正仿宋_GBK"/>
          <w:b w:val="0"/>
          <w:sz w:val="24"/>
        </w:rPr>
        <w:t>1.5 研究方法与技术路线</w:t>
      </w:r>
      <w:r>
        <w:rPr>
          <w:rFonts w:ascii="Times New Roman" w:hAnsi="Times New Roman" w:eastAsia="方正仿宋_GBK"/>
          <w:b w:val="0"/>
          <w:sz w:val="24"/>
        </w:rPr>
        <w:tab/>
      </w:r>
      <w:fldSimple w:instr="PAGEREF h58 \h">
        <w:r>
          <w:t>10</w:t>
        </w:r>
      </w:fldSimple>
    </w:p>
    <w:p>
      <w:pPr>
        <w:tabs>
          <w:tab w:pos="8220" w:val="right" w:leader="dot"/>
        </w:tabs>
        <w:spacing w:line="300" w:lineRule="auto" w:after="40"/>
        <w:ind w:firstLine="0" w:left="240"/>
        <w:jc w:val="left"/>
      </w:pPr>
      <w:r>
        <w:rPr>
          <w:rFonts w:ascii="Times New Roman" w:hAnsi="Times New Roman" w:eastAsia="方正仿宋_GBK"/>
          <w:b w:val="0"/>
          <w:sz w:val="24"/>
        </w:rPr>
        <w:t>1.6 研究成果及应用</w:t>
      </w:r>
      <w:r>
        <w:rPr>
          <w:rFonts w:ascii="Times New Roman" w:hAnsi="Times New Roman" w:eastAsia="方正仿宋_GBK"/>
          <w:b w:val="0"/>
          <w:sz w:val="24"/>
        </w:rPr>
        <w:tab/>
      </w:r>
      <w:fldSimple w:instr="PAGEREF h74 \h">
        <w:r>
          <w:t>12</w:t>
        </w:r>
      </w:fldSimple>
    </w:p>
    <w:p>
      <w:pPr>
        <w:tabs>
          <w:tab w:pos="8220" w:val="right" w:leader="dot"/>
        </w:tabs>
        <w:spacing w:line="300" w:lineRule="auto" w:after="40"/>
        <w:ind w:firstLine="0" w:left="0"/>
        <w:jc w:val="left"/>
      </w:pPr>
      <w:r>
        <w:rPr>
          <w:rFonts w:ascii="Times New Roman" w:hAnsi="Times New Roman" w:eastAsia="方正仿宋_GBK"/>
          <w:b/>
          <w:sz w:val="24"/>
        </w:rPr>
        <w:t>第二章 国内外研究现状</w:t>
      </w:r>
      <w:r>
        <w:rPr>
          <w:rFonts w:ascii="Times New Roman" w:hAnsi="Times New Roman" w:eastAsia="方正仿宋_GBK"/>
          <w:b/>
          <w:sz w:val="24"/>
        </w:rPr>
        <w:tab/>
      </w:r>
      <w:fldSimple w:instr="PAGEREF h77 \h">
        <w:r>
          <w:t>13</w:t>
        </w:r>
      </w:fldSimple>
    </w:p>
    <w:p>
      <w:pPr>
        <w:tabs>
          <w:tab w:pos="8220" w:val="right" w:leader="dot"/>
        </w:tabs>
        <w:spacing w:line="300" w:lineRule="auto" w:after="40"/>
        <w:ind w:firstLine="0" w:left="240"/>
        <w:jc w:val="left"/>
      </w:pPr>
      <w:r>
        <w:rPr>
          <w:rFonts w:ascii="Times New Roman" w:hAnsi="Times New Roman" w:eastAsia="方正仿宋_GBK"/>
          <w:b w:val="0"/>
          <w:sz w:val="24"/>
        </w:rPr>
        <w:t>2.1 国外研究现状</w:t>
      </w:r>
      <w:r>
        <w:rPr>
          <w:rFonts w:ascii="Times New Roman" w:hAnsi="Times New Roman" w:eastAsia="方正仿宋_GBK"/>
          <w:b w:val="0"/>
          <w:sz w:val="24"/>
        </w:rPr>
        <w:tab/>
      </w:r>
      <w:fldSimple w:instr="PAGEREF h80 \h">
        <w:r>
          <w:t>13</w:t>
        </w:r>
      </w:fldSimple>
    </w:p>
    <w:p>
      <w:pPr>
        <w:tabs>
          <w:tab w:pos="8220" w:val="right" w:leader="dot"/>
        </w:tabs>
        <w:spacing w:line="300" w:lineRule="auto" w:after="40"/>
        <w:ind w:firstLine="0" w:left="240"/>
        <w:jc w:val="left"/>
      </w:pPr>
      <w:r>
        <w:rPr>
          <w:rFonts w:ascii="Times New Roman" w:hAnsi="Times New Roman" w:eastAsia="方正仿宋_GBK"/>
          <w:b w:val="0"/>
          <w:sz w:val="24"/>
        </w:rPr>
        <w:t>2.2 国内研究现状</w:t>
      </w:r>
      <w:r>
        <w:rPr>
          <w:rFonts w:ascii="Times New Roman" w:hAnsi="Times New Roman" w:eastAsia="方正仿宋_GBK"/>
          <w:b w:val="0"/>
          <w:sz w:val="24"/>
        </w:rPr>
        <w:tab/>
      </w:r>
      <w:fldSimple w:instr="PAGEREF h102 \h">
        <w:r>
          <w:t>15</w:t>
        </w:r>
      </w:fldSimple>
    </w:p>
    <w:p>
      <w:pPr>
        <w:tabs>
          <w:tab w:pos="8220" w:val="right" w:leader="dot"/>
        </w:tabs>
        <w:spacing w:line="300" w:lineRule="auto" w:after="40"/>
        <w:ind w:firstLine="0" w:left="240"/>
        <w:jc w:val="left"/>
      </w:pPr>
      <w:r>
        <w:rPr>
          <w:rFonts w:ascii="Times New Roman" w:hAnsi="Times New Roman" w:eastAsia="方正仿宋_GBK"/>
          <w:b w:val="0"/>
          <w:sz w:val="24"/>
        </w:rPr>
        <w:t>2.3 国内外研究对比与述评</w:t>
      </w:r>
      <w:r>
        <w:rPr>
          <w:rFonts w:ascii="Times New Roman" w:hAnsi="Times New Roman" w:eastAsia="方正仿宋_GBK"/>
          <w:b w:val="0"/>
          <w:sz w:val="24"/>
        </w:rPr>
        <w:tab/>
      </w:r>
      <w:fldSimple w:instr="PAGEREF h140 \h">
        <w:r>
          <w:t>20</w:t>
        </w:r>
      </w:fldSimple>
    </w:p>
    <w:p>
      <w:pPr>
        <w:tabs>
          <w:tab w:pos="8220" w:val="right" w:leader="dot"/>
        </w:tabs>
        <w:spacing w:line="300" w:lineRule="auto" w:after="40"/>
        <w:ind w:firstLine="0" w:left="240"/>
        <w:jc w:val="left"/>
      </w:pPr>
      <w:r>
        <w:rPr>
          <w:rFonts w:ascii="Times New Roman" w:hAnsi="Times New Roman" w:eastAsia="方正仿宋_GBK"/>
          <w:b w:val="0"/>
          <w:sz w:val="24"/>
        </w:rPr>
        <w:t>2.4 容载比与供电能力的理论联系</w:t>
      </w:r>
      <w:r>
        <w:rPr>
          <w:rFonts w:ascii="Times New Roman" w:hAnsi="Times New Roman" w:eastAsia="方正仿宋_GBK"/>
          <w:b w:val="0"/>
          <w:sz w:val="24"/>
        </w:rPr>
        <w:tab/>
      </w:r>
      <w:fldSimple w:instr="PAGEREF h154 \h">
        <w:r>
          <w:t>21</w:t>
        </w:r>
      </w:fldSimple>
    </w:p>
    <w:p>
      <w:pPr>
        <w:tabs>
          <w:tab w:pos="8220" w:val="right" w:leader="dot"/>
        </w:tabs>
        <w:spacing w:line="300" w:lineRule="auto" w:after="40"/>
        <w:ind w:firstLine="0" w:left="240"/>
        <w:jc w:val="left"/>
      </w:pPr>
      <w:r>
        <w:rPr>
          <w:rFonts w:ascii="Times New Roman" w:hAnsi="Times New Roman" w:eastAsia="方正仿宋_GBK"/>
          <w:b w:val="0"/>
          <w:sz w:val="24"/>
        </w:rPr>
        <w:t>2.5 高渗透率下的源荷特征与容量压力</w:t>
      </w:r>
      <w:r>
        <w:rPr>
          <w:rFonts w:ascii="Times New Roman" w:hAnsi="Times New Roman" w:eastAsia="方正仿宋_GBK"/>
          <w:b w:val="0"/>
          <w:sz w:val="24"/>
        </w:rPr>
        <w:tab/>
      </w:r>
      <w:fldSimple w:instr="PAGEREF h168 \h">
        <w:r>
          <w:t>23</w:t>
        </w:r>
      </w:fldSimple>
    </w:p>
    <w:p>
      <w:pPr>
        <w:tabs>
          <w:tab w:pos="8220" w:val="right" w:leader="dot"/>
        </w:tabs>
        <w:spacing w:line="300" w:lineRule="auto" w:after="40"/>
        <w:ind w:firstLine="0" w:left="240"/>
        <w:jc w:val="left"/>
      </w:pPr>
      <w:r>
        <w:rPr>
          <w:rFonts w:ascii="Times New Roman" w:hAnsi="Times New Roman" w:eastAsia="方正仿宋_GBK"/>
          <w:b w:val="0"/>
          <w:sz w:val="24"/>
        </w:rPr>
        <w:t>2.6 主变、联络与储能的经济替代条件</w:t>
      </w:r>
      <w:r>
        <w:rPr>
          <w:rFonts w:ascii="Times New Roman" w:hAnsi="Times New Roman" w:eastAsia="方正仿宋_GBK"/>
          <w:b w:val="0"/>
          <w:sz w:val="24"/>
        </w:rPr>
        <w:tab/>
      </w:r>
      <w:fldSimple w:instr="PAGEREF h185 \h">
        <w:r>
          <w:t>24</w:t>
        </w:r>
      </w:fldSimple>
    </w:p>
    <w:p>
      <w:pPr>
        <w:tabs>
          <w:tab w:pos="8220" w:val="right" w:leader="dot"/>
        </w:tabs>
        <w:spacing w:line="300" w:lineRule="auto" w:after="40"/>
        <w:ind w:firstLine="0" w:left="240"/>
        <w:jc w:val="left"/>
      </w:pPr>
      <w:r>
        <w:rPr>
          <w:rFonts w:ascii="Times New Roman" w:hAnsi="Times New Roman" w:eastAsia="方正仿宋_GBK"/>
          <w:b w:val="0"/>
          <w:sz w:val="24"/>
        </w:rPr>
        <w:t>2.7 规划寻优方法与本项目选型</w:t>
      </w:r>
      <w:r>
        <w:rPr>
          <w:rFonts w:ascii="Times New Roman" w:hAnsi="Times New Roman" w:eastAsia="方正仿宋_GBK"/>
          <w:b w:val="0"/>
          <w:sz w:val="24"/>
        </w:rPr>
        <w:tab/>
      </w:r>
      <w:fldSimple w:instr="PAGEREF h199 \h">
        <w:r>
          <w:t>25</w:t>
        </w:r>
      </w:fldSimple>
    </w:p>
    <w:p>
      <w:pPr>
        <w:tabs>
          <w:tab w:pos="8220" w:val="right" w:leader="dot"/>
        </w:tabs>
        <w:spacing w:line="300" w:lineRule="auto" w:after="40"/>
        <w:ind w:firstLine="0" w:left="240"/>
        <w:jc w:val="left"/>
      </w:pPr>
      <w:r>
        <w:rPr>
          <w:rFonts w:ascii="Times New Roman" w:hAnsi="Times New Roman" w:eastAsia="方正仿宋_GBK"/>
          <w:b w:val="0"/>
          <w:sz w:val="24"/>
        </w:rPr>
        <w:t>2.8 本项目方法选择与工程衔接</w:t>
      </w:r>
      <w:r>
        <w:rPr>
          <w:rFonts w:ascii="Times New Roman" w:hAnsi="Times New Roman" w:eastAsia="方正仿宋_GBK"/>
          <w:b w:val="0"/>
          <w:sz w:val="24"/>
        </w:rPr>
        <w:tab/>
      </w:r>
      <w:fldSimple w:instr="PAGEREF h212 \h">
        <w:r>
          <w:t>26</w:t>
        </w:r>
      </w:fldSimple>
    </w:p>
    <w:p>
      <w:pPr>
        <w:tabs>
          <w:tab w:pos="8220" w:val="right" w:leader="dot"/>
        </w:tabs>
        <w:spacing w:line="300" w:lineRule="auto" w:after="40"/>
        <w:ind w:firstLine="0" w:left="240"/>
        <w:jc w:val="left"/>
      </w:pPr>
      <w:r>
        <w:rPr>
          <w:rFonts w:ascii="Times New Roman" w:hAnsi="Times New Roman" w:eastAsia="方正仿宋_GBK"/>
          <w:b w:val="0"/>
          <w:sz w:val="24"/>
        </w:rPr>
        <w:t>2.9 本章小结</w:t>
      </w:r>
      <w:r>
        <w:rPr>
          <w:rFonts w:ascii="Times New Roman" w:hAnsi="Times New Roman" w:eastAsia="方正仿宋_GBK"/>
          <w:b w:val="0"/>
          <w:sz w:val="24"/>
        </w:rPr>
        <w:tab/>
      </w:r>
      <w:fldSimple w:instr="PAGEREF h235 \h">
        <w:r>
          <w:t>29</w:t>
        </w:r>
      </w:fldSimple>
    </w:p>
    <w:p>
      <w:pPr>
        <w:tabs>
          <w:tab w:pos="8220" w:val="right" w:leader="dot"/>
        </w:tabs>
        <w:spacing w:line="300" w:lineRule="auto" w:after="40"/>
        <w:ind w:firstLine="0" w:left="0"/>
        <w:jc w:val="left"/>
      </w:pPr>
      <w:r>
        <w:rPr>
          <w:rFonts w:ascii="Times New Roman" w:hAnsi="Times New Roman" w:eastAsia="方正仿宋_GBK"/>
          <w:b/>
          <w:sz w:val="24"/>
        </w:rPr>
        <w:t>第三章 徐州典型地区运行特征分析</w:t>
      </w:r>
      <w:r>
        <w:rPr>
          <w:rFonts w:ascii="Times New Roman" w:hAnsi="Times New Roman" w:eastAsia="方正仿宋_GBK"/>
          <w:b/>
          <w:sz w:val="24"/>
        </w:rPr>
        <w:tab/>
      </w:r>
      <w:fldSimple w:instr="PAGEREF h237 \h">
        <w:r>
          <w:t>30</w:t>
        </w:r>
      </w:fldSimple>
    </w:p>
    <w:p>
      <w:pPr>
        <w:tabs>
          <w:tab w:pos="8220" w:val="right" w:leader="dot"/>
        </w:tabs>
        <w:spacing w:line="300" w:lineRule="auto" w:after="40"/>
        <w:ind w:firstLine="0" w:left="240"/>
        <w:jc w:val="left"/>
      </w:pPr>
      <w:r>
        <w:rPr>
          <w:rFonts w:ascii="Times New Roman" w:hAnsi="Times New Roman" w:eastAsia="方正仿宋_GBK"/>
          <w:b w:val="0"/>
          <w:sz w:val="24"/>
        </w:rPr>
        <w:t>3.1 研究地区与原始资料</w:t>
      </w:r>
      <w:r>
        <w:rPr>
          <w:rFonts w:ascii="Times New Roman" w:hAnsi="Times New Roman" w:eastAsia="方正仿宋_GBK"/>
          <w:b w:val="0"/>
          <w:sz w:val="24"/>
        </w:rPr>
        <w:tab/>
      </w:r>
      <w:fldSimple w:instr="PAGEREF h238 \h">
        <w:r>
          <w:t>30</w:t>
        </w:r>
      </w:fldSimple>
    </w:p>
    <w:p>
      <w:pPr>
        <w:tabs>
          <w:tab w:pos="8220" w:val="right" w:leader="dot"/>
        </w:tabs>
        <w:spacing w:line="300" w:lineRule="auto" w:after="40"/>
        <w:ind w:firstLine="0" w:left="240"/>
        <w:jc w:val="left"/>
      </w:pPr>
      <w:r>
        <w:rPr>
          <w:rFonts w:ascii="Times New Roman" w:hAnsi="Times New Roman" w:eastAsia="方正仿宋_GBK"/>
          <w:b w:val="0"/>
          <w:sz w:val="24"/>
        </w:rPr>
        <w:t>3.2 年度容量、负荷与增长特征</w:t>
      </w:r>
      <w:r>
        <w:rPr>
          <w:rFonts w:ascii="Times New Roman" w:hAnsi="Times New Roman" w:eastAsia="方正仿宋_GBK"/>
          <w:b w:val="0"/>
          <w:sz w:val="24"/>
        </w:rPr>
        <w:tab/>
      </w:r>
      <w:fldSimple w:instr="PAGEREF h248 \h">
        <w:r>
          <w:t>30</w:t>
        </w:r>
      </w:fldSimple>
    </w:p>
    <w:p>
      <w:pPr>
        <w:tabs>
          <w:tab w:pos="8220" w:val="right" w:leader="dot"/>
        </w:tabs>
        <w:spacing w:line="300" w:lineRule="auto" w:after="40"/>
        <w:ind w:firstLine="0" w:left="240"/>
        <w:jc w:val="left"/>
      </w:pPr>
      <w:r>
        <w:rPr>
          <w:rFonts w:ascii="Times New Roman" w:hAnsi="Times New Roman" w:eastAsia="方正仿宋_GBK"/>
          <w:b w:val="0"/>
          <w:sz w:val="24"/>
        </w:rPr>
        <w:t>3.3 分布式光伏装机与电量</w:t>
      </w:r>
      <w:r>
        <w:rPr>
          <w:rFonts w:ascii="Times New Roman" w:hAnsi="Times New Roman" w:eastAsia="方正仿宋_GBK"/>
          <w:b w:val="0"/>
          <w:sz w:val="24"/>
        </w:rPr>
        <w:tab/>
      </w:r>
      <w:fldSimple w:instr="PAGEREF h266 \h">
        <w:r>
          <w:t>33</w:t>
        </w:r>
      </w:fldSimple>
    </w:p>
    <w:p>
      <w:pPr>
        <w:tabs>
          <w:tab w:pos="8220" w:val="right" w:leader="dot"/>
        </w:tabs>
        <w:spacing w:line="300" w:lineRule="auto" w:after="40"/>
        <w:ind w:firstLine="0" w:left="240"/>
        <w:jc w:val="left"/>
      </w:pPr>
      <w:r>
        <w:rPr>
          <w:rFonts w:ascii="Times New Roman" w:hAnsi="Times New Roman" w:eastAsia="方正仿宋_GBK"/>
          <w:b w:val="0"/>
          <w:sz w:val="24"/>
        </w:rPr>
        <w:t>3.4 主变负载率与双向净负荷</w:t>
      </w:r>
      <w:r>
        <w:rPr>
          <w:rFonts w:ascii="Times New Roman" w:hAnsi="Times New Roman" w:eastAsia="方正仿宋_GBK"/>
          <w:b w:val="0"/>
          <w:sz w:val="24"/>
        </w:rPr>
        <w:tab/>
      </w:r>
      <w:fldSimple w:instr="PAGEREF h288 \h">
        <w:r>
          <w:t>35</w:t>
        </w:r>
      </w:fldSimple>
    </w:p>
    <w:p>
      <w:pPr>
        <w:tabs>
          <w:tab w:pos="8220" w:val="right" w:leader="dot"/>
        </w:tabs>
        <w:spacing w:line="300" w:lineRule="auto" w:after="40"/>
        <w:ind w:firstLine="0" w:left="240"/>
        <w:jc w:val="left"/>
      </w:pPr>
      <w:r>
        <w:rPr>
          <w:rFonts w:ascii="Times New Roman" w:hAnsi="Times New Roman" w:eastAsia="方正仿宋_GBK"/>
          <w:b w:val="0"/>
          <w:sz w:val="24"/>
        </w:rPr>
        <w:t>3.5 源荷与容量指标的关联分析</w:t>
      </w:r>
      <w:r>
        <w:rPr>
          <w:rFonts w:ascii="Times New Roman" w:hAnsi="Times New Roman" w:eastAsia="方正仿宋_GBK"/>
          <w:b w:val="0"/>
          <w:sz w:val="24"/>
        </w:rPr>
        <w:tab/>
      </w:r>
      <w:fldSimple w:instr="PAGEREF h313 \h">
        <w:r>
          <w:t>40</w:t>
        </w:r>
      </w:fldSimple>
    </w:p>
    <w:p>
      <w:pPr>
        <w:tabs>
          <w:tab w:pos="8220" w:val="right" w:leader="dot"/>
        </w:tabs>
        <w:spacing w:line="300" w:lineRule="auto" w:after="40"/>
        <w:ind w:firstLine="0" w:left="240"/>
        <w:jc w:val="left"/>
      </w:pPr>
      <w:r>
        <w:rPr>
          <w:rFonts w:ascii="Times New Roman" w:hAnsi="Times New Roman" w:eastAsia="方正仿宋_GBK"/>
          <w:b w:val="0"/>
          <w:sz w:val="24"/>
        </w:rPr>
        <w:t>3.6 10 kV负荷转接资料与仿真条件</w:t>
      </w:r>
      <w:r>
        <w:rPr>
          <w:rFonts w:ascii="Times New Roman" w:hAnsi="Times New Roman" w:eastAsia="方正仿宋_GBK"/>
          <w:b w:val="0"/>
          <w:sz w:val="24"/>
        </w:rPr>
        <w:tab/>
      </w:r>
      <w:fldSimple w:instr="PAGEREF h339 \h">
        <w:r>
          <w:t>45</w:t>
        </w:r>
      </w:fldSimple>
    </w:p>
    <w:p>
      <w:pPr>
        <w:tabs>
          <w:tab w:pos="8220" w:val="right" w:leader="dot"/>
        </w:tabs>
        <w:spacing w:line="300" w:lineRule="auto" w:after="40"/>
        <w:ind w:firstLine="0" w:left="240"/>
        <w:jc w:val="left"/>
      </w:pPr>
      <w:r>
        <w:rPr>
          <w:rFonts w:ascii="Times New Roman" w:hAnsi="Times New Roman" w:eastAsia="方正仿宋_GBK"/>
          <w:b w:val="0"/>
          <w:sz w:val="24"/>
        </w:rPr>
        <w:t>3.7 站级净负荷分布与配置需求</w:t>
      </w:r>
      <w:r>
        <w:rPr>
          <w:rFonts w:ascii="Times New Roman" w:hAnsi="Times New Roman" w:eastAsia="方正仿宋_GBK"/>
          <w:b w:val="0"/>
          <w:sz w:val="24"/>
        </w:rPr>
        <w:tab/>
      </w:r>
      <w:fldSimple w:instr="PAGEREF h349 \h">
        <w:r>
          <w:t>46</w:t>
        </w:r>
      </w:fldSimple>
    </w:p>
    <w:p>
      <w:pPr>
        <w:tabs>
          <w:tab w:pos="8220" w:val="right" w:leader="dot"/>
        </w:tabs>
        <w:spacing w:line="300" w:lineRule="auto" w:after="40"/>
        <w:ind w:firstLine="0" w:left="240"/>
        <w:jc w:val="left"/>
      </w:pPr>
      <w:r>
        <w:rPr>
          <w:rFonts w:ascii="Times New Roman" w:hAnsi="Times New Roman" w:eastAsia="方正仿宋_GBK"/>
          <w:b w:val="0"/>
          <w:sz w:val="24"/>
        </w:rPr>
        <w:t>3.8 运行特征的综合分析</w:t>
      </w:r>
      <w:r>
        <w:rPr>
          <w:rFonts w:ascii="Times New Roman" w:hAnsi="Times New Roman" w:eastAsia="方正仿宋_GBK"/>
          <w:b w:val="0"/>
          <w:sz w:val="24"/>
        </w:rPr>
        <w:tab/>
      </w:r>
      <w:fldSimple w:instr="PAGEREF h369 \h">
        <w:r>
          <w:t>48</w:t>
        </w:r>
      </w:fldSimple>
    </w:p>
    <w:p>
      <w:pPr>
        <w:tabs>
          <w:tab w:pos="8220" w:val="right" w:leader="dot"/>
        </w:tabs>
        <w:spacing w:line="300" w:lineRule="auto" w:after="40"/>
        <w:ind w:firstLine="0" w:left="0"/>
        <w:jc w:val="left"/>
      </w:pPr>
      <w:r>
        <w:rPr>
          <w:rFonts w:ascii="Times New Roman" w:hAnsi="Times New Roman" w:eastAsia="方正仿宋_GBK"/>
          <w:b/>
          <w:sz w:val="24"/>
        </w:rPr>
        <w:t>第四章 基于实际工程的建设成本模型</w:t>
      </w:r>
      <w:r>
        <w:rPr>
          <w:rFonts w:ascii="Times New Roman" w:hAnsi="Times New Roman" w:eastAsia="方正仿宋_GBK"/>
          <w:b/>
          <w:sz w:val="24"/>
        </w:rPr>
        <w:tab/>
      </w:r>
      <w:fldSimple w:instr="PAGEREF h391 \h">
        <w:r>
          <w:t>52</w:t>
        </w:r>
      </w:fldSimple>
    </w:p>
    <w:p>
      <w:pPr>
        <w:tabs>
          <w:tab w:pos="8220" w:val="right" w:leader="dot"/>
        </w:tabs>
        <w:spacing w:line="300" w:lineRule="auto" w:after="40"/>
        <w:ind w:firstLine="0" w:left="240"/>
        <w:jc w:val="left"/>
      </w:pPr>
      <w:r>
        <w:rPr>
          <w:rFonts w:ascii="Times New Roman" w:hAnsi="Times New Roman" w:eastAsia="方正仿宋_GBK"/>
          <w:b w:val="0"/>
          <w:sz w:val="24"/>
        </w:rPr>
        <w:t>4.1 成本模型的范围与建立原则</w:t>
      </w:r>
      <w:r>
        <w:rPr>
          <w:rFonts w:ascii="Times New Roman" w:hAnsi="Times New Roman" w:eastAsia="方正仿宋_GBK"/>
          <w:b w:val="0"/>
          <w:sz w:val="24"/>
        </w:rPr>
        <w:tab/>
      </w:r>
      <w:fldSimple w:instr="PAGEREF h392 \h">
        <w:r>
          <w:t>52</w:t>
        </w:r>
      </w:fldSimple>
    </w:p>
    <w:p>
      <w:pPr>
        <w:tabs>
          <w:tab w:pos="8220" w:val="right" w:leader="dot"/>
        </w:tabs>
        <w:spacing w:line="300" w:lineRule="auto" w:after="40"/>
        <w:ind w:firstLine="0" w:left="240"/>
        <w:jc w:val="left"/>
      </w:pPr>
      <w:r>
        <w:rPr>
          <w:rFonts w:ascii="Times New Roman" w:hAnsi="Times New Roman" w:eastAsia="方正仿宋_GBK"/>
          <w:b w:val="0"/>
          <w:sz w:val="24"/>
        </w:rPr>
        <w:t>4.2 主变工程成本系数</w:t>
      </w:r>
      <w:r>
        <w:rPr>
          <w:rFonts w:ascii="Times New Roman" w:hAnsi="Times New Roman" w:eastAsia="方正仿宋_GBK"/>
          <w:b w:val="0"/>
          <w:sz w:val="24"/>
        </w:rPr>
        <w:tab/>
      </w:r>
      <w:fldSimple w:instr="PAGEREF h404 \h">
        <w:r>
          <w:t>53</w:t>
        </w:r>
      </w:fldSimple>
    </w:p>
    <w:p>
      <w:pPr>
        <w:tabs>
          <w:tab w:pos="8220" w:val="right" w:leader="dot"/>
        </w:tabs>
        <w:spacing w:line="300" w:lineRule="auto" w:after="40"/>
        <w:ind w:firstLine="0" w:left="240"/>
        <w:jc w:val="left"/>
      </w:pPr>
      <w:r>
        <w:rPr>
          <w:rFonts w:ascii="Times New Roman" w:hAnsi="Times New Roman" w:eastAsia="方正仿宋_GBK"/>
          <w:b w:val="0"/>
          <w:sz w:val="24"/>
        </w:rPr>
        <w:t>4.3 10 kV联络工程费用</w:t>
      </w:r>
      <w:r>
        <w:rPr>
          <w:rFonts w:ascii="Times New Roman" w:hAnsi="Times New Roman" w:eastAsia="方正仿宋_GBK"/>
          <w:b w:val="0"/>
          <w:sz w:val="24"/>
        </w:rPr>
        <w:tab/>
      </w:r>
      <w:fldSimple w:instr="PAGEREF h423 \h">
        <w:r>
          <w:t>55</w:t>
        </w:r>
      </w:fldSimple>
    </w:p>
    <w:p>
      <w:pPr>
        <w:tabs>
          <w:tab w:pos="8220" w:val="right" w:leader="dot"/>
        </w:tabs>
        <w:spacing w:line="300" w:lineRule="auto" w:after="40"/>
        <w:ind w:firstLine="0" w:left="240"/>
        <w:jc w:val="left"/>
      </w:pPr>
      <w:r>
        <w:rPr>
          <w:rFonts w:ascii="Times New Roman" w:hAnsi="Times New Roman" w:eastAsia="方正仿宋_GBK"/>
          <w:b w:val="0"/>
          <w:sz w:val="24"/>
        </w:rPr>
        <w:t>4.4 储能投资模型</w:t>
      </w:r>
      <w:r>
        <w:rPr>
          <w:rFonts w:ascii="Times New Roman" w:hAnsi="Times New Roman" w:eastAsia="方正仿宋_GBK"/>
          <w:b w:val="0"/>
          <w:sz w:val="24"/>
        </w:rPr>
        <w:tab/>
      </w:r>
      <w:fldSimple w:instr="PAGEREF h434 \h">
        <w:r>
          <w:t>56</w:t>
        </w:r>
      </w:fldSimple>
    </w:p>
    <w:p>
      <w:pPr>
        <w:tabs>
          <w:tab w:pos="8220" w:val="right" w:leader="dot"/>
        </w:tabs>
        <w:spacing w:line="300" w:lineRule="auto" w:after="40"/>
        <w:ind w:firstLine="0" w:left="240"/>
        <w:jc w:val="left"/>
      </w:pPr>
      <w:r>
        <w:rPr>
          <w:rFonts w:ascii="Times New Roman" w:hAnsi="Times New Roman" w:eastAsia="方正仿宋_GBK"/>
          <w:b w:val="0"/>
          <w:sz w:val="24"/>
        </w:rPr>
        <w:t>4.5 单位功率投资比及价格影响分析</w:t>
      </w:r>
      <w:r>
        <w:rPr>
          <w:rFonts w:ascii="Times New Roman" w:hAnsi="Times New Roman" w:eastAsia="方正仿宋_GBK"/>
          <w:b w:val="0"/>
          <w:sz w:val="24"/>
        </w:rPr>
        <w:tab/>
      </w:r>
      <w:fldSimple w:instr="PAGEREF h451 \h">
        <w:r>
          <w:t>58</w:t>
        </w:r>
      </w:fldSimple>
    </w:p>
    <w:p>
      <w:pPr>
        <w:tabs>
          <w:tab w:pos="8220" w:val="right" w:leader="dot"/>
        </w:tabs>
        <w:spacing w:line="300" w:lineRule="auto" w:after="40"/>
        <w:ind w:firstLine="0" w:left="240"/>
        <w:jc w:val="left"/>
      </w:pPr>
      <w:r>
        <w:rPr>
          <w:rFonts w:ascii="Times New Roman" w:hAnsi="Times New Roman" w:eastAsia="方正仿宋_GBK"/>
          <w:b w:val="0"/>
          <w:sz w:val="24"/>
        </w:rPr>
        <w:t>4.6 现金流现值计算</w:t>
      </w:r>
      <w:r>
        <w:rPr>
          <w:rFonts w:ascii="Times New Roman" w:hAnsi="Times New Roman" w:eastAsia="方正仿宋_GBK"/>
          <w:b w:val="0"/>
          <w:sz w:val="24"/>
        </w:rPr>
        <w:tab/>
      </w:r>
      <w:fldSimple w:instr="PAGEREF h469 \h">
        <w:r>
          <w:t>59</w:t>
        </w:r>
      </w:fldSimple>
    </w:p>
    <w:p>
      <w:pPr>
        <w:tabs>
          <w:tab w:pos="8220" w:val="right" w:leader="dot"/>
        </w:tabs>
        <w:spacing w:line="300" w:lineRule="auto" w:after="40"/>
        <w:ind w:firstLine="0" w:left="0"/>
        <w:jc w:val="left"/>
      </w:pPr>
      <w:r>
        <w:rPr>
          <w:rFonts w:ascii="Times New Roman" w:hAnsi="Times New Roman" w:eastAsia="方正仿宋_GBK"/>
          <w:b/>
          <w:sz w:val="24"/>
        </w:rPr>
        <w:t>第五章 “一片一策”弹性容载比规划建议</w:t>
      </w:r>
      <w:r>
        <w:rPr>
          <w:rFonts w:ascii="Times New Roman" w:hAnsi="Times New Roman" w:eastAsia="方正仿宋_GBK"/>
          <w:b/>
          <w:sz w:val="24"/>
        </w:rPr>
        <w:tab/>
      </w:r>
      <w:fldSimple w:instr="PAGEREF h506 \h">
        <w:r>
          <w:t>64</w:t>
        </w:r>
      </w:fldSimple>
    </w:p>
    <w:p>
      <w:pPr>
        <w:tabs>
          <w:tab w:pos="8220" w:val="right" w:leader="dot"/>
        </w:tabs>
        <w:spacing w:line="300" w:lineRule="auto" w:after="40"/>
        <w:ind w:firstLine="0" w:left="240"/>
        <w:jc w:val="left"/>
      </w:pPr>
      <w:r>
        <w:rPr>
          <w:rFonts w:ascii="Times New Roman" w:hAnsi="Times New Roman" w:eastAsia="方正仿宋_GBK"/>
          <w:b w:val="0"/>
          <w:sz w:val="24"/>
        </w:rPr>
        <w:t>5.1 寻优问题与共同起点</w:t>
      </w:r>
      <w:r>
        <w:rPr>
          <w:rFonts w:ascii="Times New Roman" w:hAnsi="Times New Roman" w:eastAsia="方正仿宋_GBK"/>
          <w:b w:val="0"/>
          <w:sz w:val="24"/>
        </w:rPr>
        <w:tab/>
      </w:r>
      <w:fldSimple w:instr="PAGEREF h508 \h">
        <w:r>
          <w:t>64</w:t>
        </w:r>
      </w:fldSimple>
    </w:p>
    <w:p>
      <w:pPr>
        <w:tabs>
          <w:tab w:pos="8220" w:val="right" w:leader="dot"/>
        </w:tabs>
        <w:spacing w:line="300" w:lineRule="auto" w:after="40"/>
        <w:ind w:firstLine="0" w:left="240"/>
        <w:jc w:val="left"/>
      </w:pPr>
      <w:r>
        <w:rPr>
          <w:rFonts w:ascii="Times New Roman" w:hAnsi="Times New Roman" w:eastAsia="方正仿宋_GBK"/>
          <w:b w:val="0"/>
          <w:sz w:val="24"/>
        </w:rPr>
        <w:t>5.2 三类措施的选取与寻优方法</w:t>
      </w:r>
      <w:r>
        <w:rPr>
          <w:rFonts w:ascii="Times New Roman" w:hAnsi="Times New Roman" w:eastAsia="方正仿宋_GBK"/>
          <w:b w:val="0"/>
          <w:sz w:val="24"/>
        </w:rPr>
        <w:tab/>
      </w:r>
      <w:fldSimple w:instr="PAGEREF h537 \h">
        <w:r>
          <w:t>68</w:t>
        </w:r>
      </w:fldSimple>
    </w:p>
    <w:p>
      <w:pPr>
        <w:tabs>
          <w:tab w:pos="8220" w:val="right" w:leader="dot"/>
        </w:tabs>
        <w:spacing w:line="300" w:lineRule="auto" w:after="40"/>
        <w:ind w:firstLine="0" w:left="240"/>
        <w:jc w:val="left"/>
      </w:pPr>
      <w:r>
        <w:rPr>
          <w:rFonts w:ascii="Times New Roman" w:hAnsi="Times New Roman" w:eastAsia="方正仿宋_GBK"/>
          <w:b w:val="0"/>
          <w:sz w:val="24"/>
        </w:rPr>
        <w:t>5.3 约束条件与求解流程</w:t>
      </w:r>
      <w:r>
        <w:rPr>
          <w:rFonts w:ascii="Times New Roman" w:hAnsi="Times New Roman" w:eastAsia="方正仿宋_GBK"/>
          <w:b w:val="0"/>
          <w:sz w:val="24"/>
        </w:rPr>
        <w:tab/>
      </w:r>
      <w:fldSimple w:instr="PAGEREF h562 \h">
        <w:r>
          <w:t>71</w:t>
        </w:r>
      </w:fldSimple>
    </w:p>
    <w:p>
      <w:pPr>
        <w:tabs>
          <w:tab w:pos="8220" w:val="right" w:leader="dot"/>
        </w:tabs>
        <w:spacing w:line="300" w:lineRule="auto" w:after="40"/>
        <w:ind w:firstLine="0" w:left="240"/>
        <w:jc w:val="left"/>
      </w:pPr>
      <w:r>
        <w:rPr>
          <w:rFonts w:ascii="Times New Roman" w:hAnsi="Times New Roman" w:eastAsia="方正仿宋_GBK"/>
          <w:b w:val="0"/>
          <w:sz w:val="24"/>
        </w:rPr>
        <w:t>5.4 寻优结果</w:t>
      </w:r>
      <w:r>
        <w:rPr>
          <w:rFonts w:ascii="Times New Roman" w:hAnsi="Times New Roman" w:eastAsia="方正仿宋_GBK"/>
          <w:b w:val="0"/>
          <w:sz w:val="24"/>
        </w:rPr>
        <w:tab/>
      </w:r>
      <w:fldSimple w:instr="PAGEREF h579 \h">
        <w:r>
          <w:t>73</w:t>
        </w:r>
      </w:fldSimple>
    </w:p>
    <w:p>
      <w:pPr>
        <w:tabs>
          <w:tab w:pos="8220" w:val="right" w:leader="dot"/>
        </w:tabs>
        <w:spacing w:line="300" w:lineRule="auto" w:after="40"/>
        <w:ind w:firstLine="0" w:left="240"/>
        <w:jc w:val="left"/>
      </w:pPr>
      <w:r>
        <w:rPr>
          <w:rFonts w:ascii="Times New Roman" w:hAnsi="Times New Roman" w:eastAsia="方正仿宋_GBK"/>
          <w:b w:val="0"/>
          <w:sz w:val="24"/>
        </w:rPr>
        <w:t>5.5 措施作用与工程衔接</w:t>
      </w:r>
      <w:r>
        <w:rPr>
          <w:rFonts w:ascii="Times New Roman" w:hAnsi="Times New Roman" w:eastAsia="方正仿宋_GBK"/>
          <w:b w:val="0"/>
          <w:sz w:val="24"/>
        </w:rPr>
        <w:tab/>
      </w:r>
      <w:fldSimple w:instr="PAGEREF h865 \h">
        <w:r>
          <w:t>104</w:t>
        </w:r>
      </w:fldSimple>
    </w:p>
    <w:p>
      <w:pPr>
        <w:tabs>
          <w:tab w:pos="8220" w:val="right" w:leader="dot"/>
        </w:tabs>
        <w:spacing w:line="300" w:lineRule="auto" w:after="40"/>
        <w:ind w:firstLine="0" w:left="240"/>
        <w:jc w:val="left"/>
      </w:pPr>
      <w:r>
        <w:rPr>
          <w:rFonts w:ascii="Times New Roman" w:hAnsi="Times New Roman" w:eastAsia="方正仿宋_GBK"/>
          <w:b w:val="0"/>
          <w:sz w:val="24"/>
        </w:rPr>
        <w:t>5.6 参数拓展与通用推荐矩阵</w:t>
      </w:r>
      <w:r>
        <w:rPr>
          <w:rFonts w:ascii="Times New Roman" w:hAnsi="Times New Roman" w:eastAsia="方正仿宋_GBK"/>
          <w:b w:val="0"/>
          <w:sz w:val="24"/>
        </w:rPr>
        <w:tab/>
      </w:r>
      <w:fldSimple w:instr="PAGEREF h880 \h">
        <w:r>
          <w:t>106</w:t>
        </w:r>
      </w:fldSimple>
    </w:p>
    <w:p>
      <w:pPr>
        <w:tabs>
          <w:tab w:pos="8220" w:val="right" w:leader="dot"/>
        </w:tabs>
        <w:spacing w:line="300" w:lineRule="auto" w:after="40"/>
        <w:ind w:firstLine="0" w:left="240"/>
        <w:jc w:val="left"/>
      </w:pPr>
      <w:r>
        <w:rPr>
          <w:rFonts w:ascii="Times New Roman" w:hAnsi="Times New Roman" w:eastAsia="方正仿宋_GBK"/>
          <w:b w:val="0"/>
          <w:sz w:val="24"/>
        </w:rPr>
        <w:t>5.7 规划建议</w:t>
      </w:r>
      <w:r>
        <w:rPr>
          <w:rFonts w:ascii="Times New Roman" w:hAnsi="Times New Roman" w:eastAsia="方正仿宋_GBK"/>
          <w:b w:val="0"/>
          <w:sz w:val="24"/>
        </w:rPr>
        <w:tab/>
      </w:r>
      <w:fldSimple w:instr="PAGEREF h1074 \h">
        <w:r>
          <w:t>140</w:t>
        </w:r>
      </w:fldSimple>
    </w:p>
    <w:p>
      <w:pPr>
        <w:tabs>
          <w:tab w:pos="8220" w:val="right" w:leader="dot"/>
        </w:tabs>
        <w:spacing w:line="300" w:lineRule="auto" w:after="40"/>
        <w:ind w:firstLine="0" w:left="0"/>
        <w:jc w:val="left"/>
      </w:pPr>
      <w:r>
        <w:rPr>
          <w:rFonts w:ascii="Times New Roman" w:hAnsi="Times New Roman" w:eastAsia="方正仿宋_GBK"/>
          <w:b/>
          <w:sz w:val="24"/>
        </w:rPr>
        <w:t>第六章 结论与建议</w:t>
      </w:r>
      <w:r>
        <w:rPr>
          <w:rFonts w:ascii="Times New Roman" w:hAnsi="Times New Roman" w:eastAsia="方正仿宋_GBK"/>
          <w:b/>
          <w:sz w:val="24"/>
        </w:rPr>
        <w:tab/>
      </w:r>
      <w:fldSimple w:instr="PAGEREF h1097 \h">
        <w:r>
          <w:t>143</w:t>
        </w:r>
      </w:fldSimple>
    </w:p>
    <w:p>
      <w:pPr>
        <w:tabs>
          <w:tab w:pos="8220" w:val="right" w:leader="dot"/>
        </w:tabs>
        <w:spacing w:line="300" w:lineRule="auto" w:after="40"/>
        <w:ind w:firstLine="0" w:left="240"/>
        <w:jc w:val="left"/>
      </w:pPr>
      <w:r>
        <w:rPr>
          <w:rFonts w:ascii="Times New Roman" w:hAnsi="Times New Roman" w:eastAsia="方正仿宋_GBK"/>
          <w:b w:val="0"/>
          <w:sz w:val="24"/>
        </w:rPr>
        <w:t>6.1 主要研究结论</w:t>
      </w:r>
      <w:r>
        <w:rPr>
          <w:rFonts w:ascii="Times New Roman" w:hAnsi="Times New Roman" w:eastAsia="方正仿宋_GBK"/>
          <w:b w:val="0"/>
          <w:sz w:val="24"/>
        </w:rPr>
        <w:tab/>
      </w:r>
      <w:fldSimple w:instr="PAGEREF h1099 \h">
        <w:r>
          <w:t>143</w:t>
        </w:r>
      </w:fldSimple>
    </w:p>
    <w:p>
      <w:pPr>
        <w:tabs>
          <w:tab w:pos="8220" w:val="right" w:leader="dot"/>
        </w:tabs>
        <w:spacing w:line="300" w:lineRule="auto" w:after="40"/>
        <w:ind w:firstLine="0" w:left="240"/>
        <w:jc w:val="left"/>
      </w:pPr>
      <w:r>
        <w:rPr>
          <w:rFonts w:ascii="Times New Roman" w:hAnsi="Times New Roman" w:eastAsia="方正仿宋_GBK"/>
          <w:b w:val="0"/>
          <w:sz w:val="24"/>
        </w:rPr>
        <w:t>6.2 规划应用建议</w:t>
      </w:r>
      <w:r>
        <w:rPr>
          <w:rFonts w:ascii="Times New Roman" w:hAnsi="Times New Roman" w:eastAsia="方正仿宋_GBK"/>
          <w:b w:val="0"/>
          <w:sz w:val="24"/>
        </w:rPr>
        <w:tab/>
      </w:r>
      <w:fldSimple w:instr="PAGEREF h1112 \h">
        <w:r>
          <w:t>144</w:t>
        </w:r>
      </w:fldSimple>
    </w:p>
    <w:p>
      <w:pPr>
        <w:tabs>
          <w:tab w:pos="8220" w:val="right" w:leader="dot"/>
        </w:tabs>
        <w:spacing w:line="300" w:lineRule="auto" w:after="40"/>
        <w:ind w:firstLine="0" w:left="240"/>
        <w:jc w:val="left"/>
      </w:pPr>
      <w:r>
        <w:rPr>
          <w:rFonts w:ascii="Times New Roman" w:hAnsi="Times New Roman" w:eastAsia="方正仿宋_GBK"/>
          <w:b w:val="0"/>
          <w:sz w:val="24"/>
        </w:rPr>
        <w:t>6.3 后续研究方向</w:t>
      </w:r>
      <w:r>
        <w:rPr>
          <w:rFonts w:ascii="Times New Roman" w:hAnsi="Times New Roman" w:eastAsia="方正仿宋_GBK"/>
          <w:b w:val="0"/>
          <w:sz w:val="24"/>
        </w:rPr>
        <w:tab/>
      </w:r>
      <w:fldSimple w:instr="PAGEREF h1122 \h">
        <w:r>
          <w:t>145</w:t>
        </w:r>
      </w:fldSimple>
    </w:p>
    <w:p>
      <w:pPr>
        <w:tabs>
          <w:tab w:pos="8220" w:val="right" w:leader="dot"/>
        </w:tabs>
        <w:spacing w:line="300" w:lineRule="auto" w:after="40"/>
        <w:ind w:firstLine="0" w:left="0"/>
        <w:jc w:val="left"/>
      </w:pPr>
      <w:r>
        <w:rPr>
          <w:rFonts w:ascii="Times New Roman" w:hAnsi="Times New Roman" w:eastAsia="方正仿宋_GBK"/>
          <w:b/>
          <w:sz w:val="24"/>
        </w:rPr>
        <w:t>参考文献</w:t>
      </w:r>
      <w:r>
        <w:rPr>
          <w:rFonts w:ascii="Times New Roman" w:hAnsi="Times New Roman" w:eastAsia="方正仿宋_GBK"/>
          <w:b/>
          <w:sz w:val="24"/>
        </w:rPr>
        <w:tab/>
      </w:r>
      <w:fldSimple w:instr="PAGEREF h1127 \h">
        <w:r>
          <w:t>146</w:t>
        </w:r>
      </w:fldSimple>
    </w:p>
    <w:p>
      <w:bookmarkStart w:id="1000" w:name="h0"/>
      <w:pPr>
        <w:pStyle w:val="3"/>
        <w:keepNext/>
        <w:pageBreakBefore/>
        <w:numPr>
          <w:numId w:val="0"/>
        </w:numPr>
        <w:spacing w:line="360" w:lineRule="auto" w:before="0" w:after="120"/>
        <w:ind w:firstLine="0"/>
      </w:pPr>
      <w:bookmarkStart w:id="20" w:name="第一章-绪论"/>
      <w:r>
        <w:rPr>
          <w:rFonts w:ascii="Times New Roman" w:hAnsi="Times New Roman" w:eastAsia="方正仿宋_GBK"/>
          <w:b/>
          <w:sz w:val="36"/>
        </w:rPr>
        <w:t xml:space="preserve">第一章 绪论</w:t>
      </w:r>
      <w:bookmarkEnd w:id="20"/>
      <w:bookmarkEnd w:id="1000"/>
    </w:p>
    <w:p>
      <w:bookmarkStart w:id="1001" w:name="h1"/>
      <w:pPr>
        <w:pStyle w:val="4"/>
        <w:keepNext/>
        <w:numPr>
          <w:numId w:val="0"/>
        </w:numPr>
        <w:spacing w:line="360" w:lineRule="auto" w:before="160" w:after="120"/>
        <w:ind w:firstLine="0"/>
      </w:pPr>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60" w:lineRule="auto"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00" w:lineRule="auto"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设备退出后的供电需求。</w:t>
      </w:r>
    </w:p>
    <w:p>
      <w:pPr>
        <w:pStyle w:val="2"/>
        <w:widowControl/>
        <w:spacing w:line="300" w:lineRule="auto"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徐州地区的邳州市和徐州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00" w:lineRule="auto"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00" w:lineRule="auto"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避免仅凭一个年度比值安排投资。对于光伏集中发展的县域，正午反送与晚间受电可能分别决定不同设备的运行边界；对于负荷密集的市区，用户连续供电要求和局部重载站的供电安全容量可能更早成为制约。</w:t>
      </w:r>
    </w:p>
    <w:p>
      <w:pPr>
        <w:pStyle w:val="2"/>
        <w:widowControl/>
        <w:spacing w:line="300" w:lineRule="auto"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00" w:lineRule="auto"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光伏电量占比、装机与用户峰值之比以及主变年最大负载率，分别描述电量、装机规模和设备压力。报告因此将分布式电源装机渗透率与分布式电源电量渗透率作为区域源荷背景，将净负荷最大绝对值及峰段持续时间用于设备容量压力分析。</w:t>
      </w:r>
    </w:p>
    <w:p>
      <w:pPr>
        <w:pStyle w:val="5"/>
        <w:keepNext/>
        <w:numPr>
          <w:numId w:val="0"/>
        </w:numPr>
        <w:spacing w:line="360" w:lineRule="auto"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00" w:lineRule="auto" w:before="0" w:after="0"/>
        <w:ind w:firstLine="480"/>
        <w:jc w:val="both"/>
      </w:pPr>
      <w:r>
        <w:rPr>
          <w:rFonts w:ascii="Times New Roman" w:hAnsi="Times New Roman" w:eastAsia="方正仿宋_GBK"/>
          <w:b w:val="0"/>
          <w:sz w:val="24"/>
        </w:rPr>
        <w:t xml:space="preserve">《配电网规划设计技术导则（修订稿，2025年4月）》引入分布式电源装机渗透率（源荷比）和分布式电源电量渗透率，提出源荷比超过2.00，或分布式电源电量渗透率超过40.00%～50.00%时，以110～35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00" w:lineRule="auto"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40.28%和8.69%。按上述电量估计，邳州已达到开展反向容量校核的参考水平。市区样本容量配置更多受正向供电及主变N-1条件影响。两地区适合用于分析新能源渗透指标与传统容载比之间的联系。</w:t>
      </w:r>
    </w:p>
    <w:p>
      <w:pPr>
        <w:pStyle w:val="2"/>
        <w:widowControl/>
        <w:spacing w:line="300" w:lineRule="auto" w:before="0" w:after="0"/>
        <w:ind w:firstLine="480"/>
        <w:jc w:val="both"/>
      </w:pPr>
      <w:r>
        <w:rPr>
          <w:rFonts w:ascii="Times New Roman" w:hAnsi="Times New Roman" w:eastAsia="方正仿宋_GBK"/>
          <w:b w:val="0"/>
          <w:sz w:val="24"/>
        </w:rPr>
        <w:t xml:space="preserve">本课题围绕这些规划问题开展研究。在相同负荷预测、设备初态和技术约束下，比较容载比按2.00上限控制与允许适度提高时的容量配置及评价期费用，分析源荷水平、负荷增长和峰段特征对结果的影响，提出分片区的弹性指标及其适用条件，为110 kV电网规划和工程比选提供依据。</w:t>
      </w:r>
    </w:p>
    <w:p>
      <w:pPr>
        <w:pStyle w:val="5"/>
        <w:keepNext/>
        <w:numPr>
          <w:numId w:val="0"/>
        </w:numPr>
        <w:spacing w:line="360" w:lineRule="auto"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00" w:lineRule="auto"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00" w:lineRule="auto"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00" w:lineRule="auto"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峰段持续时间和负荷空间分布。研究以同措施集合、同价格和同初态比较方案，通过费用结果评价两类方案的经济性。</w:t>
      </w:r>
    </w:p>
    <w:p>
      <w:pPr>
        <w:pStyle w:val="2"/>
        <w:widowControl/>
        <w:spacing w:line="300" w:lineRule="auto"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这并不意味着当年新增了容量。反之，负荷增长快于容量增长时，新增主变后容载比仍可能降低。逐年方案需同时列出主变在役容量、采购容量和年度负荷，才能把指标变化与建设行为对应起来。</w:t>
      </w:r>
    </w:p>
    <w:p>
      <w:pPr>
        <w:pStyle w:val="2"/>
        <w:widowControl/>
        <w:spacing w:line="300" w:lineRule="auto"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bookmarkStart w:id="1019" w:name="h19"/>
      <w:pPr>
        <w:pStyle w:val="4"/>
        <w:keepNext/>
        <w:numPr>
          <w:numId w:val="0"/>
        </w:numPr>
        <w:spacing w:line="360" w:lineRule="auto" w:before="160" w:after="120"/>
        <w:ind w:firstLine="0"/>
      </w:pPr>
      <w:bookmarkStart w:id="25" w:name="主要概念与规范依据"/>
      <w:r>
        <w:rPr>
          <w:rFonts w:ascii="Times New Roman" w:hAnsi="Times New Roman" w:eastAsia="方正仿宋_GBK"/>
          <w:b/>
          <w:sz w:val="32"/>
        </w:rPr>
        <w:t xml:space="preserve">1.2 主要概念与规范依据</w:t>
      </w:r>
      <w:bookmarkEnd w:id="25"/>
      <w:bookmarkEnd w:id="1019"/>
    </w:p>
    <w:p>
      <w:pPr>
        <w:pStyle w:val="5"/>
        <w:keepNext/>
        <w:numPr>
          <w:numId w:val="0"/>
        </w:numPr>
        <w:spacing w:line="360" w:lineRule="auto"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00" w:lineRule="auto"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00" w:lineRule="auto"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60" w:lineRule="auto"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00" w:lineRule="auto"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00" w:lineRule="auto"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导则修订稿第6.2.2.1条进一步提出，建议范围内不能满足供电安全准则时，可结合实际情况适当提高[7]。本课题结合高渗透率地区运行特征，分析适度提高容载比后的容量配置与费用变化。两类方案共用容载比2.00仿真起点，刚性方案后续各年按2.00上限控制，弹性方案在相同站级技术条件下开展高于2.00的容量配置比选，研究上限为2.60。</w:t>
      </w:r>
    </w:p>
    <w:p>
      <w:pPr>
        <w:pStyle w:val="2"/>
        <w:widowControl/>
        <w:spacing w:line="300" w:lineRule="auto" w:before="0" w:after="0"/>
        <w:ind w:firstLine="480"/>
        <w:jc w:val="both"/>
      </w:pPr>
      <w:r>
        <w:rPr>
          <w:rFonts w:ascii="Times New Roman" w:hAnsi="Times New Roman" w:eastAsia="方正仿宋_GBK"/>
          <w:b w:val="0"/>
          <w:sz w:val="24"/>
        </w:rPr>
        <w:t xml:space="preserve">两类方案采用相同的负荷预测、候选设备与工程价格，逐年比较主变容量、储能规模、站间负荷转接及评价期费用。推荐值与相应设备配置共同列示，供片区规划采用。</w:t>
      </w:r>
    </w:p>
    <w:p>
      <w:pPr>
        <w:pStyle w:val="5"/>
        <w:keepNext/>
        <w:numPr>
          <w:numId w:val="0"/>
        </w:numPr>
        <w:spacing w:line="360" w:lineRule="auto"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00" w:lineRule="auto"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00" w:lineRule="auto"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60" w:lineRule="auto"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00" w:lineRule="auto"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修订稿，2025年4月）》的指标定义[7]，用于描述片区源荷条件。</w:t>
      </w:r>
    </w:p>
    <w:p>
      <w:bookmarkStart w:id="1033" w:name="h33"/>
      <w:pPr>
        <w:pStyle w:val="4"/>
        <w:keepNext/>
        <w:numPr>
          <w:numId w:val="0"/>
        </w:numPr>
        <w:spacing w:line="360" w:lineRule="auto" w:before="160" w:after="120"/>
        <w:ind w:firstLine="0"/>
      </w:pPr>
      <w:bookmarkStart w:id="30" w:name="研究范围与对象"/>
      <w:r>
        <w:rPr>
          <w:rFonts w:ascii="Times New Roman" w:hAnsi="Times New Roman" w:eastAsia="方正仿宋_GBK"/>
          <w:b/>
          <w:sz w:val="32"/>
        </w:rPr>
        <w:t xml:space="preserve">1.3 研究范围与对象</w:t>
      </w:r>
      <w:bookmarkEnd w:id="30"/>
      <w:bookmarkEnd w:id="1033"/>
    </w:p>
    <w:p>
      <w:pPr>
        <w:pStyle w:val="5"/>
        <w:keepNext/>
        <w:numPr>
          <w:numId w:val="0"/>
        </w:numPr>
        <w:spacing w:line="360" w:lineRule="auto"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00" w:lineRule="auto"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00" w:lineRule="auto" w:before="0" w:after="0"/>
        <w:ind w:firstLine="480"/>
        <w:jc w:val="both"/>
      </w:pPr>
      <w:r>
        <w:rPr>
          <w:rFonts w:ascii="Times New Roman" w:hAnsi="Times New Roman" w:eastAsia="方正仿宋_GBK"/>
          <w:b w:val="0"/>
          <w:sz w:val="24"/>
        </w:rPr>
        <w:t xml:space="preserve">邳州站级模型含20座110 kV变电站，市区含29座已映射或补充的仿真站。年网供最大负荷采用区县同电压等级年度降压负荷估计，站级空间分布由样本时序标定。区域年度负荷用于容载比计算，各站最大净负荷用于局部容量校核。</w:t>
      </w:r>
    </w:p>
    <w:p>
      <w:pPr>
        <w:pStyle w:val="2"/>
        <w:widowControl/>
        <w:spacing w:line="300" w:lineRule="auto" w:before="0" w:after="0"/>
        <w:ind w:firstLine="480"/>
        <w:jc w:val="both"/>
      </w:pPr>
      <w:r>
        <w:rPr>
          <w:rFonts w:ascii="Times New Roman" w:hAnsi="Times New Roman" w:eastAsia="方正仿宋_GBK"/>
          <w:b w:val="0"/>
          <w:sz w:val="24"/>
        </w:rPr>
        <w:t xml:space="preserve">供电区域分类按DL/T 5729—2023《配电网规划设计技术导则》表4.1.2核定，以饱和负荷密度为主要依据，并参考行政级别及发展水平[5]。A类对应饱和负荷密度15.00至低于30.00 MW/km²，B类为6.00至低于15.00 MW/km²，C类为1.00至低于6.00 MW/km²；主要分布地区作为参考，实际划分还需结合当地条件。邳州保留样本类别，市区统一按A类进行规划仿真，通用外推设置A类与B/C类站群，采用相应设备规格和转供能力范围。</w:t>
      </w:r>
    </w:p>
    <w:p>
      <w:pPr>
        <w:pStyle w:val="5"/>
        <w:keepNext/>
        <w:numPr>
          <w:numId w:val="0"/>
        </w:numPr>
        <w:spacing w:line="360" w:lineRule="auto"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00" w:lineRule="auto" w:before="0" w:after="0"/>
        <w:ind w:firstLine="480"/>
        <w:jc w:val="both"/>
      </w:pPr>
      <w:r>
        <w:rPr>
          <w:rFonts w:ascii="Times New Roman" w:hAnsi="Times New Roman" w:eastAsia="方正仿宋_GBK"/>
          <w:b w:val="0"/>
          <w:sz w:val="24"/>
        </w:rPr>
        <w:t xml:space="preserve">2021—2025年资料用于分析负荷发展、光伏装机和设备运行特征。规划仿真采用共同的容载比2.00起点，以历史资料形成的年最大净负荷平均增长率构造后续四年负荷。现状统计与仿真规划分别列示，年度建设规模由满足约束的优化结果确定。</w:t>
      </w:r>
    </w:p>
    <w:p>
      <w:pPr>
        <w:pStyle w:val="2"/>
        <w:widowControl/>
        <w:spacing w:line="300" w:lineRule="auto" w:before="0" w:after="0"/>
        <w:ind w:firstLine="480"/>
        <w:jc w:val="both"/>
      </w:pPr>
      <w:r>
        <w:rPr>
          <w:rFonts w:ascii="Times New Roman" w:hAnsi="Times New Roman" w:eastAsia="方正仿宋_GBK"/>
          <w:b w:val="0"/>
          <w:sz w:val="24"/>
        </w:rPr>
        <w:t xml:space="preserve">基期主变按离散规格配置，基期年网供最大负荷取主变总容量的二分之一。站级负荷沿用实际样本的空间分布，再按年度区域负荷标定。邳州和市区的刚性、弹性方案分别共用本地区的起点、负荷和价格。</w:t>
      </w:r>
    </w:p>
    <w:p>
      <w:pPr>
        <w:pStyle w:val="2"/>
        <w:widowControl/>
        <w:spacing w:line="300" w:lineRule="auto"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60" w:lineRule="auto"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00" w:lineRule="auto" w:before="0" w:after="0"/>
        <w:ind w:firstLine="480"/>
        <w:jc w:val="both"/>
      </w:pPr>
      <w:r>
        <w:rPr>
          <w:rFonts w:ascii="Times New Roman" w:hAnsi="Times New Roman" w:eastAsia="方正仿宋_GBK"/>
          <w:b w:val="0"/>
          <w:sz w:val="24"/>
        </w:rPr>
        <w:t xml:space="preserve">技术模型包括正向供电、反向功率压力、主变N-1后的静态供电安全容量以及正常负荷转接约束。储能按峰段持续时间折算充放电功率，联络通道按送受两端成对计量。模型采用峰段静态支撑进行规划比选。</w:t>
      </w:r>
    </w:p>
    <w:p>
      <w:pPr>
        <w:pStyle w:val="2"/>
        <w:widowControl/>
        <w:spacing w:line="300" w:lineRule="auto"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00" w:lineRule="auto" w:before="0" w:after="0"/>
        <w:ind w:firstLine="480"/>
        <w:jc w:val="both"/>
      </w:pPr>
      <w:r>
        <w:rPr>
          <w:rFonts w:ascii="Times New Roman" w:hAnsi="Times New Roman" w:eastAsia="方正仿宋_GBK"/>
          <w:b w:val="0"/>
          <w:sz w:val="24"/>
        </w:rPr>
        <w:t xml:space="preserve">两类方案均可选主变替换、扩建主变、配置储能、利用既有仿真通道转接负荷及新建联络线。市区初始站间转供率假定为50%；邳州采用六馈线样本测算的28.29%，在区县内部统一应用。新建10 kV联络线提供新增转供能力。各年容量配置与建设时点通过技术经济比选确定。</w:t>
      </w:r>
    </w:p>
    <w:p>
      <w:bookmarkStart w:id="1046" w:name="h46"/>
      <w:pPr>
        <w:pStyle w:val="4"/>
        <w:keepNext/>
        <w:numPr>
          <w:numId w:val="0"/>
        </w:numPr>
        <w:spacing w:line="360" w:lineRule="auto" w:before="160" w:after="120"/>
        <w:ind w:firstLine="0"/>
      </w:pPr>
      <w:bookmarkStart w:id="34" w:name="研究目标与内容"/>
      <w:r>
        <w:rPr>
          <w:rFonts w:ascii="Times New Roman" w:hAnsi="Times New Roman" w:eastAsia="方正仿宋_GBK"/>
          <w:b/>
          <w:sz w:val="32"/>
        </w:rPr>
        <w:t xml:space="preserve">1.4 研究目标与内容</w:t>
      </w:r>
      <w:bookmarkEnd w:id="34"/>
      <w:bookmarkEnd w:id="1046"/>
    </w:p>
    <w:p>
      <w:pPr>
        <w:pStyle w:val="5"/>
        <w:keepNext/>
        <w:numPr>
          <w:numId w:val="0"/>
        </w:numPr>
        <w:spacing w:line="360" w:lineRule="auto"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00" w:lineRule="auto"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00" w:lineRule="auto"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避免仅凭单次投资比值决定规划方案。</w:t>
      </w:r>
    </w:p>
    <w:p>
      <w:pPr>
        <w:pStyle w:val="2"/>
        <w:widowControl/>
        <w:spacing w:line="300" w:lineRule="auto"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00" w:lineRule="auto" w:before="0" w:after="0"/>
        <w:ind w:firstLine="480"/>
        <w:jc w:val="both"/>
      </w:pPr>
      <w:r>
        <w:rPr>
          <w:rFonts w:ascii="Times New Roman" w:hAnsi="Times New Roman" w:eastAsia="方正仿宋_GBK"/>
          <w:b w:val="0"/>
          <w:sz w:val="24"/>
        </w:rPr>
        <w:t xml:space="preserve">最后，围绕主变与线路、主变与储能两个单位功率投资比例开展敏感性分析，结合源荷水平、峰段持续时间和年最大净负荷平均增长率构造条件矩阵。通用矩阵按参数分档给出按供电区域类别与负荷分散系数细分的容载比推荐区间，具体工程措施在方案结果和配套工作簿中列示。</w:t>
      </w:r>
    </w:p>
    <w:p>
      <w:pPr>
        <w:pStyle w:val="5"/>
        <w:keepNext/>
        <w:numPr>
          <w:numId w:val="0"/>
        </w:numPr>
        <w:spacing w:line="360" w:lineRule="auto"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00" w:lineRule="auto"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峰段持续时间和主变负载率。分布式光伏月度装机与典型出力曲线用于估计发电量，并分别估计用户最大负荷和用户电量，明确相应分母的统计范围。</w:t>
      </w:r>
    </w:p>
    <w:p>
      <w:pPr>
        <w:pStyle w:val="2"/>
        <w:widowControl/>
        <w:spacing w:line="300" w:lineRule="auto" w:before="0" w:after="0"/>
        <w:ind w:firstLine="480"/>
        <w:jc w:val="both"/>
      </w:pPr>
      <w:r>
        <w:rPr>
          <w:rFonts w:ascii="Times New Roman" w:hAnsi="Times New Roman" w:eastAsia="方正仿宋_GBK"/>
          <w:b w:val="0"/>
          <w:sz w:val="24"/>
        </w:rPr>
        <w:t xml:space="preserve">工程费用研究以徐州主变扩建和替换工程为主要价格依据，采用采购案例标定储能，采用公开规划造价形成线路参考情景。研究明确案例规模、包含工程内容与价格适用范围，给出成本系数的计算式。成本比例按各措施单位功率投资构造，并分别说明新购主变容量、可转负荷和储能充放电功率的计量依据。</w:t>
      </w:r>
    </w:p>
    <w:p>
      <w:pPr>
        <w:pStyle w:val="2"/>
        <w:widowControl/>
        <w:spacing w:line="300" w:lineRule="auto" w:before="0" w:after="0"/>
        <w:ind w:firstLine="480"/>
        <w:jc w:val="both"/>
      </w:pPr>
      <w:r>
        <w:rPr>
          <w:rFonts w:ascii="Times New Roman" w:hAnsi="Times New Roman" w:eastAsia="方正仿宋_GBK"/>
          <w:b w:val="0"/>
          <w:sz w:val="24"/>
        </w:rPr>
        <w:t xml:space="preserve">规划采用混合整数线性优化。主变按20.00、31.50、40.00、50.00、63.00 MVA等允许容量选择，扩建主变及联络线投运状态、储能柜数为整数决策；站间正常转接功率为连续决策。以新增措施评价期费用现值最小为主要目标，在共同技术约束下确定设备配置、建设时点和站间负荷转接量。</w:t>
      </w:r>
    </w:p>
    <w:p>
      <w:pPr>
        <w:pStyle w:val="2"/>
        <w:widowControl/>
        <w:spacing w:line="300" w:lineRule="auto"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00" w:lineRule="auto" w:before="0" w:after="0"/>
        <w:ind w:firstLine="480"/>
        <w:jc w:val="both"/>
      </w:pPr>
      <w:r>
        <w:rPr>
          <w:rFonts w:ascii="Times New Roman" w:hAnsi="Times New Roman" w:eastAsia="方正仿宋_GBK"/>
          <w:b w:val="0"/>
          <w:sz w:val="24"/>
        </w:rPr>
        <w:t xml:space="preserve">参数研究在按A类和B/C类供电区域分别构造的五站仿真模板中拓展分布式电源装机渗透率、年最大净负荷平均增长率、峰段持续时间及两个单位功率投资比，求解25200组目标年静态方案，按参数分类形成通用容载比推荐区间。</w:t>
      </w:r>
    </w:p>
    <w:p>
      <w:bookmarkStart w:id="1058" w:name="h58"/>
      <w:pPr>
        <w:pStyle w:val="4"/>
        <w:keepNext/>
        <w:numPr>
          <w:numId w:val="0"/>
        </w:numPr>
        <w:spacing w:line="360" w:lineRule="auto" w:before="160" w:after="120"/>
        <w:ind w:firstLine="0"/>
      </w:pPr>
      <w:bookmarkStart w:id="37" w:name="研究方法与技术路线"/>
      <w:r>
        <w:rPr>
          <w:rFonts w:ascii="Times New Roman" w:hAnsi="Times New Roman" w:eastAsia="方正仿宋_GBK"/>
          <w:b/>
          <w:sz w:val="32"/>
        </w:rPr>
        <w:t xml:space="preserve">1.5 研究方法与技术路线</w:t>
      </w:r>
      <w:bookmarkEnd w:id="37"/>
      <w:bookmarkEnd w:id="1058"/>
    </w:p>
    <w:p>
      <w:pPr>
        <w:pStyle w:val="5"/>
        <w:keepNext/>
        <w:numPr>
          <w:numId w:val="0"/>
        </w:numPr>
        <w:spacing w:line="360" w:lineRule="auto"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00" w:lineRule="auto"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候选指标先按资料完整性和统计口径筛查，再计算同口径指标之间及其与容载比的相关系数；将存在共同分母或直接换算关系的指标合并使用，结合容量约束确定核心参数。</w:t>
      </w:r>
    </w:p>
    <w:p>
      <w:pPr>
        <w:pStyle w:val="2"/>
        <w:widowControl/>
        <w:spacing w:line="300" w:lineRule="auto" w:before="0" w:after="0"/>
        <w:ind w:firstLine="480"/>
        <w:jc w:val="both"/>
      </w:pPr>
      <w:r>
        <w:rPr>
          <w:rFonts w:ascii="Times New Roman" w:hAnsi="Times New Roman" w:eastAsia="方正仿宋_GBK"/>
          <w:b w:val="0"/>
          <w:sz w:val="24"/>
        </w:rPr>
        <w:t xml:space="preserve">负荷增长估计采用2022—2025年四个同比增长率，权重依次为1∶2∶3∶4。递增权重使较近年份对规划负荷的影响更大，同时保留前期变化，减少单一年份波动的影响。这是本研究的统计设定，第三章同时列出等权平均和复合年增长率，说明不同估计方法对增长分档的影响。</w:t>
      </w:r>
    </w:p>
    <w:p>
      <w:pPr>
        <w:pStyle w:val="5"/>
        <w:keepNext/>
        <w:numPr>
          <w:numId w:val="0"/>
        </w:numPr>
        <w:spacing w:line="360" w:lineRule="auto"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00" w:lineRule="auto"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00" w:lineRule="auto"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00" w:lineRule="auto"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60" w:lineRule="auto"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00" w:lineRule="auto" w:before="0" w:after="0"/>
        <w:ind w:firstLine="480"/>
        <w:jc w:val="both"/>
      </w:pPr>
      <w:r>
        <w:rPr>
          <w:rFonts w:ascii="Times New Roman" w:hAnsi="Times New Roman" w:eastAsia="方正仿宋_GBK"/>
          <w:b w:val="0"/>
          <w:sz w:val="24"/>
        </w:rPr>
        <w:t xml:space="preserve">推荐矩阵依据案例中的参数与配置关系建立五站仿真模板，再进行目标年参数外推。源荷水平和分布式电源电量渗透率用于说明片区能源条件，峰值持续时间和增长率用于组织容量需求，两个单位功率投资比例用于改变措施经济关系。每个推荐区间由对应分类条件下的容量配置结果归纳，配套结果列示各计算点的容量、费用与约束校核。</w:t>
      </w:r>
    </w:p>
    <w:p>
      <w:pPr>
        <w:pStyle w:val="2"/>
        <w:widowControl/>
        <w:spacing w:line="300" w:lineRule="auto"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00" w:lineRule="auto"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60" w:lineRule="auto"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00" w:lineRule="auto"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避免图表分析与规划计算使用不同数据。</w:t>
      </w:r>
    </w:p>
    <w:p>
      <w:pPr>
        <w:pStyle w:val="2"/>
        <w:keepNext/>
        <w:spacing w:line="240" w:lineRule="auto" w:before="120" w:after="0"/>
        <w:ind w:firstLine="0"/>
        <w:jc w:val="center"/>
      </w:pPr>
      <w:r>
        <w:drawing>
          <wp:inline>
            <wp:extent cx="5120640" cy="4138946"/>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4138946"/>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图1-1 逐年规划计算与推荐矩阵形成过程</w:t>
      </w:r>
    </w:p>
    <w:p>
      <w:bookmarkStart w:id="1074" w:name="h74"/>
      <w:pPr>
        <w:pStyle w:val="4"/>
        <w:keepNext/>
        <w:numPr>
          <w:numId w:val="0"/>
        </w:numPr>
        <w:spacing w:line="360" w:lineRule="auto" w:before="160" w:after="120"/>
        <w:ind w:firstLine="0"/>
      </w:pPr>
      <w:bookmarkStart w:id="43" w:name="研究成果及应用"/>
      <w:r>
        <w:rPr>
          <w:rFonts w:ascii="Times New Roman" w:hAnsi="Times New Roman" w:eastAsia="方正仿宋_GBK"/>
          <w:b/>
          <w:sz w:val="32"/>
        </w:rPr>
        <w:t xml:space="preserve">1.6 研究成果及应用</w:t>
      </w:r>
      <w:bookmarkEnd w:id="43"/>
      <w:bookmarkEnd w:id="1074"/>
    </w:p>
    <w:p>
      <w:pPr>
        <w:pStyle w:val="FirstParagraph"/>
        <w:widowControl/>
        <w:spacing w:line="300" w:lineRule="auto"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列出供电区域类别、负荷分散系数、技术经济条件和容载比推荐区间，逐点设备配置和计算记录保存在配套工作簿中。</w:t>
      </w:r>
    </w:p>
    <w:p>
      <w:pPr>
        <w:pStyle w:val="2"/>
        <w:widowControl/>
        <w:spacing w:line="300" w:lineRule="auto"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规划应用先核定实际在役资产、年网供最大负荷和站间转供能力，依据源荷水平、负荷增长与峰段持续时间选择比选范围，再以本地工程价格开展增容、配储和10 kV联络联合寻优。工程设计阶段继续校核实际线路、电压、保护及储能连续运行条件。</w:t>
      </w:r>
    </w:p>
    <w:p>
      <w:bookmarkStart w:id="1077" w:name="h77"/>
      <w:pPr>
        <w:pStyle w:val="3"/>
        <w:keepNext/>
        <w:pageBreakBefore/>
        <w:numPr>
          <w:numId w:val="0"/>
        </w:numPr>
        <w:spacing w:line="360" w:lineRule="auto" w:before="0" w:after="120"/>
        <w:ind w:firstLine="0"/>
      </w:pPr>
      <w:bookmarkStart w:id="44" w:name="第二章-国内外研究现状"/>
      <w:r>
        <w:rPr>
          <w:rFonts w:ascii="Times New Roman" w:hAnsi="Times New Roman" w:eastAsia="方正仿宋_GBK"/>
          <w:b/>
          <w:sz w:val="36"/>
        </w:rPr>
        <w:t xml:space="preserve">第二章 国内外研究现状</w:t>
      </w:r>
      <w:bookmarkEnd w:id="44"/>
      <w:bookmarkEnd w:id="1077"/>
    </w:p>
    <w:p>
      <w:pPr>
        <w:pStyle w:val="FirstParagraph"/>
        <w:widowControl/>
        <w:spacing w:line="300" w:lineRule="auto"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00" w:lineRule="auto"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bookmarkStart w:id="1080" w:name="h80"/>
      <w:pPr>
        <w:pStyle w:val="4"/>
        <w:keepNext/>
        <w:numPr>
          <w:numId w:val="0"/>
        </w:numPr>
        <w:spacing w:line="360" w:lineRule="auto" w:before="160" w:after="120"/>
        <w:ind w:firstLine="0"/>
      </w:pPr>
      <w:bookmarkStart w:id="45" w:name="国外研究现状"/>
      <w:r>
        <w:rPr>
          <w:rFonts w:ascii="Times New Roman" w:hAnsi="Times New Roman" w:eastAsia="方正仿宋_GBK"/>
          <w:b/>
          <w:sz w:val="32"/>
        </w:rPr>
        <w:t xml:space="preserve">2.1 国外研究现状</w:t>
      </w:r>
      <w:bookmarkEnd w:id="45"/>
      <w:bookmarkEnd w:id="1080"/>
    </w:p>
    <w:p>
      <w:pPr>
        <w:pStyle w:val="5"/>
        <w:keepNext/>
        <w:numPr>
          <w:numId w:val="0"/>
        </w:numPr>
        <w:spacing w:line="360" w:lineRule="auto"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00" w:lineRule="auto"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00" w:lineRule="auto"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00" w:lineRule="auto"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33.36%，超过 175% 渗透率后边际收益递减、风险非线性上升[20]。</w:t>
      </w:r>
    </w:p>
    <w:p>
      <w:pPr>
        <w:pStyle w:val="2"/>
        <w:widowControl/>
        <w:spacing w:line="300" w:lineRule="auto"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00" w:lineRule="auto"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60" w:lineRule="auto"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00" w:lineRule="auto"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00" w:lineRule="auto"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00" w:lineRule="auto"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1.50%[23]；Ghorbansarvi 等以模型预测控制（MPC）联合管理母线电压与配变温度、最小化弃光，通过协调控制推迟配变过载的发生[24]。</w:t>
      </w:r>
    </w:p>
    <w:p>
      <w:pPr>
        <w:pStyle w:val="2"/>
        <w:widowControl/>
        <w:spacing w:line="300" w:lineRule="auto"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60" w:lineRule="auto"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00" w:lineRule="auto"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6.70%～55.00%[27]。</w:t>
      </w:r>
    </w:p>
    <w:p>
      <w:pPr>
        <w:pStyle w:val="2"/>
        <w:widowControl/>
        <w:spacing w:line="300" w:lineRule="auto"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 0.16% 时净现值为正，移动式储能仅在不超过 0.25% 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00" w:lineRule="auto"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16.70%，且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00" w:lineRule="auto" w:before="0" w:after="0"/>
        <w:ind w:firstLine="480"/>
        <w:jc w:val="both"/>
      </w:pPr>
      <w:r>
        <w:rPr>
          <w:rFonts w:ascii="Times New Roman" w:hAnsi="Times New Roman" w:eastAsia="方正仿宋_GBK"/>
          <w:b w:val="0"/>
          <w:sz w:val="24"/>
        </w:rPr>
        <w:t xml:space="preserve">Zhang 等还表明随 PV 渗透由 9% 升至 99%，配电系统供电恢复量较基准提升 26.85%～45.21%，但 99% 相对 81% 的边际收益已不显著（拐点约 81% 渗透率），且其孤岛恢复方案采用构网型光伏与储能[32]。</w:t>
      </w:r>
    </w:p>
    <w:p>
      <w:pPr>
        <w:pStyle w:val="2"/>
        <w:widowControl/>
        <w:spacing w:line="300" w:lineRule="auto"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00" w:lineRule="auto"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14.90%、电压不平衡全部降至 2% 以内[36]，SOP+储能联合规划使供电能力提升 31.25%[37]，源—网—储协同随机规划以仅增成本 2.23% 换取大幅消纳提升[38]，Shi等通过源网荷储多主体演化博弈，分析收益分配对储能配置及主体协同的影响[39]。</w:t>
      </w:r>
    </w:p>
    <w:p>
      <w:pPr>
        <w:pStyle w:val="5"/>
        <w:keepNext/>
        <w:numPr>
          <w:numId w:val="0"/>
        </w:numPr>
        <w:spacing w:line="360" w:lineRule="auto"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00" w:lineRule="auto"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00" w:lineRule="auto"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bookmarkStart w:id="1102" w:name="h102"/>
      <w:pPr>
        <w:pStyle w:val="4"/>
        <w:keepNext/>
        <w:numPr>
          <w:numId w:val="0"/>
        </w:numPr>
        <w:spacing w:line="360" w:lineRule="auto" w:before="160" w:after="120"/>
        <w:ind w:firstLine="0"/>
      </w:pPr>
      <w:bookmarkStart w:id="50" w:name="国内研究现状"/>
      <w:r>
        <w:rPr>
          <w:rFonts w:ascii="Times New Roman" w:hAnsi="Times New Roman" w:eastAsia="方正仿宋_GBK"/>
          <w:b/>
          <w:sz w:val="32"/>
        </w:rPr>
        <w:t xml:space="preserve">2.2 国内研究现状</w:t>
      </w:r>
      <w:bookmarkEnd w:id="50"/>
      <w:bookmarkEnd w:id="1102"/>
    </w:p>
    <w:p>
      <w:pPr>
        <w:pStyle w:val="5"/>
        <w:keepNext/>
        <w:numPr>
          <w:numId w:val="0"/>
        </w:numPr>
        <w:spacing w:line="360" w:lineRule="auto"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00" w:lineRule="auto"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7.60%，并给出按负荷密度（以 10 MW·km⁻² 为界）与负荷增长率分档的差异化容载比推荐表[44]。</w:t>
      </w:r>
    </w:p>
    <w:p>
      <w:pPr>
        <w:pStyle w:val="2"/>
        <w:widowControl/>
        <w:spacing w:line="300" w:lineRule="auto"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00" w:lineRule="auto"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60" w:lineRule="auto"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00" w:lineRule="auto"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00" w:lineRule="auto"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00" w:lineRule="auto"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00" w:lineRule="auto"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60" w:lineRule="auto"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00" w:lineRule="auto"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00" w:lineRule="auto"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00" w:lineRule="auto"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60" w:lineRule="auto"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00" w:lineRule="auto"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渗透率最高（57.10%）[65]；乐健等以 Frank-Copula 刻画源荷时空相关、蒙特卡洛生成并削减典型场景，比较基准与差异化源网储方案的全寿命费用（25 节点方案 4 综合成本较方案 2 降约 44.90%）[66]。</w:t>
      </w:r>
    </w:p>
    <w:p>
      <w:pPr>
        <w:pStyle w:val="5"/>
        <w:keepNext/>
        <w:numPr>
          <w:numId w:val="0"/>
        </w:numPr>
        <w:spacing w:line="360" w:lineRule="auto"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00" w:lineRule="auto"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00" w:lineRule="auto"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97.87%、RMSE 7.38 元/(kV·A)，为工程造价的参数化分析提供参考[69]。</w:t>
      </w:r>
    </w:p>
    <w:p>
      <w:pPr>
        <w:pStyle w:val="2"/>
        <w:widowControl/>
        <w:spacing w:line="300" w:lineRule="auto"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60" w:lineRule="auto"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00" w:lineRule="auto"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00" w:lineRule="auto"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60" w:lineRule="auto"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00" w:lineRule="auto"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00" w:lineRule="auto"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00" w:lineRule="auto"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00" w:lineRule="auto"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60" w:lineRule="auto"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00" w:lineRule="auto"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主变总容量由660 MVA降至610 MVA，容载比由1.86降至1.72[73]。在该网格的负荷与供电条件下，分层分析减少了所需设备规模，为按网格负荷特征确定容量储备提供了案例依据。</w:t>
      </w:r>
    </w:p>
    <w:p>
      <w:pPr>
        <w:pStyle w:val="2"/>
        <w:widowControl/>
        <w:spacing w:line="300" w:lineRule="auto"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00" w:lineRule="auto"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60" w:lineRule="auto"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修订稿，2025年4月）》提出分布式电源装机渗透率和分布式电源电量渗透率指标，用于判断源荷发展水平及反向容量校核需求[7]。</w:t>
      </w:r>
    </w:p>
    <w:p>
      <w:pPr>
        <w:pStyle w:val="2"/>
        <w:widowControl/>
        <w:spacing w:line="300" w:lineRule="auto"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00" w:lineRule="auto"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60" w:lineRule="auto"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00" w:lineRule="auto"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bookmarkStart w:id="1140" w:name="h140"/>
      <w:pPr>
        <w:pStyle w:val="4"/>
        <w:keepNext/>
        <w:numPr>
          <w:numId w:val="0"/>
        </w:numPr>
        <w:spacing w:line="360" w:lineRule="auto" w:before="160" w:after="120"/>
        <w:ind w:firstLine="0"/>
      </w:pPr>
      <w:bookmarkStart w:id="61" w:name="国内外研究对比与述评"/>
      <w:r>
        <w:rPr>
          <w:rFonts w:ascii="Times New Roman" w:hAnsi="Times New Roman" w:eastAsia="方正仿宋_GBK"/>
          <w:b/>
          <w:sz w:val="32"/>
        </w:rPr>
        <w:t xml:space="preserve">2.3 国内外研究对比与述评</w:t>
      </w:r>
      <w:bookmarkEnd w:id="61"/>
      <w:bookmarkEnd w:id="1140"/>
    </w:p>
    <w:p>
      <w:pPr>
        <w:pStyle w:val="FirstParagraph"/>
        <w:widowControl/>
        <w:spacing w:line="300" w:lineRule="auto"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00" w:lineRule="auto"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300" w:lineRule="auto"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研究主题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2.1.1、2.2.2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2.1.2、2.2.3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2.1.3、2.2.4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分析邳州20站及市区29站的配置差异</w:t>
            </w:r>
          </w:p>
        </w:tc>
      </w:tr>
    </w:tbl>
    <w:p>
      <w:pPr>
        <w:pStyle w:val="2"/>
        <w:widowControl/>
        <w:spacing w:line="300" w:lineRule="auto"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60" w:lineRule="auto"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00" w:lineRule="auto"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00" w:lineRule="auto"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60" w:lineRule="auto"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00" w:lineRule="auto"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00" w:lineRule="auto"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退出后的供电需求，费用结果因而能够对应明确的设备配置。</w:t>
      </w:r>
    </w:p>
    <w:p>
      <w:pPr>
        <w:pStyle w:val="5"/>
        <w:keepNext/>
        <w:numPr>
          <w:numId w:val="0"/>
        </w:numPr>
        <w:spacing w:line="360" w:lineRule="auto"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00" w:lineRule="auto"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从邳州与市区案例出发，将地区名称和规模转换为五站仿真模板结构，保留分布式电源装机渗透率、负荷增长、持续时间及相对工程费用作为可比较参数。</w:t>
      </w:r>
    </w:p>
    <w:p>
      <w:pPr>
        <w:pStyle w:val="2"/>
        <w:widowControl/>
        <w:spacing w:line="300" w:lineRule="auto" w:before="0" w:after="0"/>
        <w:ind w:firstLine="480"/>
        <w:jc w:val="both"/>
      </w:pPr>
      <w:r>
        <w:rPr>
          <w:rFonts w:ascii="Times New Roman" w:hAnsi="Times New Roman" w:eastAsia="方正仿宋_GBK"/>
          <w:b w:val="0"/>
          <w:sz w:val="24"/>
        </w:rPr>
        <w:t xml:space="preserve">推荐矩阵按供电区域类别与负荷分散系数细分，归纳不同源荷及经济条件下的容载比区间；逐站方案说明容量取值与建设措施的联系。片区源荷条件或费用发生变化时，可以先调整对应参数档，再通过实际设备和网络条件重新确定主变、储能与联络组合。</w:t>
      </w:r>
    </w:p>
    <w:p>
      <w:bookmarkStart w:id="1154" w:name="h154"/>
      <w:pPr>
        <w:pStyle w:val="4"/>
        <w:keepNext/>
        <w:numPr>
          <w:numId w:val="0"/>
        </w:numPr>
        <w:spacing w:line="360" w:lineRule="auto" w:before="160" w:after="120"/>
        <w:ind w:firstLine="0"/>
      </w:pPr>
      <w:bookmarkStart w:id="65" w:name="容载比与供电能力的理论联系"/>
      <w:r>
        <w:rPr>
          <w:rFonts w:ascii="Times New Roman" w:hAnsi="Times New Roman" w:eastAsia="方正仿宋_GBK"/>
          <w:b/>
          <w:sz w:val="32"/>
        </w:rPr>
        <w:t xml:space="preserve">2.4 容载比与供电能力的理论联系</w:t>
      </w:r>
      <w:bookmarkEnd w:id="65"/>
      <w:bookmarkEnd w:id="1154"/>
    </w:p>
    <w:p>
      <w:pPr>
        <w:pStyle w:val="5"/>
        <w:keepNext/>
        <w:numPr>
          <w:numId w:val="0"/>
        </w:numPr>
        <w:spacing w:line="360" w:lineRule="auto"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00" w:lineRule="auto"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设备退出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00" w:lineRule="auto" w:before="0" w:after="0"/>
        <w:ind w:firstLine="480"/>
        <w:jc w:val="both"/>
      </w:pPr>
      <w:r>
        <w:rPr>
          <w:rFonts w:ascii="Times New Roman" w:hAnsi="Times New Roman" w:eastAsia="方正仿宋_GBK"/>
          <w:b w:val="0"/>
          <w:sz w:val="24"/>
        </w:rPr>
        <w:t xml:space="preserve">在多主变站中，容量总和不能直接替代主变N-1后的剩余容量。两台容量相同的主变退出其中一台，站内剩余容量为原总容量的一半；三台同规格主变退出一台，剩余比例为三分之二。扩建主变可以同时改变总容量和退出后的剩余容量，其作用需要结合主变规格和供电需求分析。本研究将主变扩建作为独立建设变量，根据预留位置确定扩建条件，并计入相应工程费用。</w:t>
      </w:r>
    </w:p>
    <w:p>
      <w:pPr>
        <w:pStyle w:val="2"/>
        <w:widowControl/>
        <w:spacing w:line="300" w:lineRule="auto"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若直接求解连续容量再按最邻近规格取整，取整后的供电安全或费用最优性可能不成立。本项目将可选规格直接纳入整数模型，年度指标从实际规格合计得到。</w:t>
      </w:r>
    </w:p>
    <w:p>
      <w:pPr>
        <w:pStyle w:val="5"/>
        <w:keepNext/>
        <w:numPr>
          <w:numId w:val="0"/>
        </w:numPr>
        <w:spacing w:line="360" w:lineRule="auto"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00" w:lineRule="auto"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00" w:lineRule="auto"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联络容量也不属于主变铭牌容量。本研究在模型中保留两端约束，使联络收益表现为设备配置变化，而非容载比分母的人为下降。</w:t>
      </w:r>
    </w:p>
    <w:p>
      <w:pPr>
        <w:pStyle w:val="2"/>
        <w:widowControl/>
        <w:spacing w:line="300" w:lineRule="auto"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站间转移比例处于相关故障或检修语境[5]。本报告采用市区50%、邳州28.29%的初始能力参数，用于区县内部负荷配置。负荷经正常转接后，主变N-1容量按调整后的站级任务校核，校核中采用相应剩余主变容量和储能支撑能力。</w:t>
      </w:r>
    </w:p>
    <w:p>
      <w:pPr>
        <w:pStyle w:val="2"/>
        <w:widowControl/>
        <w:spacing w:line="300" w:lineRule="auto"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60" w:lineRule="auto"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00" w:lineRule="auto" w:before="0" w:after="0"/>
        <w:ind w:firstLine="480"/>
        <w:jc w:val="both"/>
      </w:pPr>
      <w:r>
        <w:rPr>
          <w:rFonts w:ascii="Times New Roman" w:hAnsi="Times New Roman" w:eastAsia="方正仿宋_GBK"/>
          <w:b w:val="0"/>
          <w:sz w:val="24"/>
        </w:rPr>
        <w:t xml:space="preserve">负荷发展储备与规划年份直接相关。建设一台主变通常不能按年度自由缩减，负荷则可能在不同年份上升或下降。年度规划路径因此需要处理资产持续在役和负荷波动的共同影响。用一个规划末年容量倒推全部年度，会遗漏提前建设费用与中间年份的容量约束。</w:t>
      </w:r>
    </w:p>
    <w:p>
      <w:pPr>
        <w:pStyle w:val="2"/>
        <w:widowControl/>
        <w:spacing w:line="300" w:lineRule="auto" w:before="0" w:after="0"/>
        <w:ind w:firstLine="480"/>
        <w:jc w:val="both"/>
      </w:pPr>
      <w:r>
        <w:rPr>
          <w:rFonts w:ascii="Times New Roman" w:hAnsi="Times New Roman" w:eastAsia="方正仿宋_GBK"/>
          <w:b w:val="0"/>
          <w:sz w:val="24"/>
        </w:rPr>
        <w:t xml:space="preserve">DL/T 5729—2023按年负荷平均增长水平给出容载比建议档位[5]。对本项目四个同比增长率采用近年权重较高的平均值，可以减弱单一年度作为判断依据的影响，规划预测结合统计范围、气象条件、新增用户、产业计划及负荷兑现情况确定。本研究将年最大净负荷平均增长率用于容载比2.00起点后的四年需求推演，历史年度数据用于现状分析。</w:t>
      </w:r>
    </w:p>
    <w:p>
      <w:pPr>
        <w:pStyle w:val="2"/>
        <w:widowControl/>
        <w:spacing w:line="300" w:lineRule="auto"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bookmarkStart w:id="1168" w:name="h168"/>
      <w:pPr>
        <w:pStyle w:val="4"/>
        <w:keepNext/>
        <w:numPr>
          <w:numId w:val="0"/>
        </w:numPr>
        <w:spacing w:line="360" w:lineRule="auto" w:before="160" w:after="120"/>
        <w:ind w:firstLine="0"/>
      </w:pPr>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8"/>
    </w:p>
    <w:p>
      <w:pPr>
        <w:pStyle w:val="5"/>
        <w:keepNext/>
        <w:numPr>
          <w:numId w:val="0"/>
        </w:numPr>
        <w:spacing w:line="360" w:lineRule="auto"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00" w:lineRule="auto"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如果把降压负荷直接作为用户最大负荷，可能将电网承担的剩余负荷误作用户全部用电需求，从而高估源荷比，影响地区间比较。</w:t>
      </w:r>
    </w:p>
    <w:p>
      <w:pPr>
        <w:pStyle w:val="2"/>
        <w:widowControl/>
        <w:spacing w:line="300" w:lineRule="auto"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60" w:lineRule="auto"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00" w:lineRule="auto"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00" w:lineRule="auto"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00" w:lineRule="auto" w:before="0" w:after="0"/>
        <w:ind w:firstLine="480"/>
        <w:jc w:val="both"/>
      </w:pPr>
      <w:r>
        <w:rPr>
          <w:rFonts w:ascii="Times New Roman" w:hAnsi="Times New Roman" w:eastAsia="方正仿宋_GBK"/>
          <w:b w:val="0"/>
          <w:sz w:val="24"/>
        </w:rPr>
        <w:t xml:space="preserve">站级各自最大反送功率相加，一般不等于区域同步反送峰值。各站非同时反向峰值之和仅用于反向容量压力的上界分析；形成区域峰值时，应先在同一时间轴上逐时汇总，再取极值。本项目站级技术约束和区县容载比分母分开设置，避免将各站独立最大值之和写作区域年最大负荷。</w:t>
      </w:r>
    </w:p>
    <w:p>
      <w:pPr>
        <w:pStyle w:val="5"/>
        <w:keepNext/>
        <w:numPr>
          <w:numId w:val="0"/>
        </w:numPr>
        <w:spacing w:line="360" w:lineRule="auto"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00" w:lineRule="auto" w:before="0" w:after="0"/>
        <w:ind w:firstLine="480"/>
        <w:jc w:val="both"/>
      </w:pPr>
      <w:r>
        <w:rPr>
          <w:rFonts w:ascii="Times New Roman" w:hAnsi="Times New Roman" w:eastAsia="方正仿宋_GBK"/>
          <w:b w:val="0"/>
          <w:sz w:val="24"/>
        </w:rPr>
        <w:t xml:space="preserve">95%峰值持续时间在本项目中指功率达到相应方向峰值95%以上的连续时段长度。95%是相对幅值门槛，不表示全年功率样本的第95百分位，也不表示95%的保障概率。采用最长连续峰段，可以表达单次尖峰对持续支撑能力的要求；全年达到门槛的累计小时则反映出现频度，两者用途不同。</w:t>
      </w:r>
    </w:p>
    <w:p>
      <w:pPr>
        <w:pStyle w:val="2"/>
        <w:widowControl/>
        <w:spacing w:line="300" w:lineRule="auto"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00" w:lineRule="auto" w:before="0" w:after="0"/>
        <w:ind w:firstLine="480"/>
        <w:jc w:val="both"/>
      </w:pPr>
      <w:r>
        <w:rPr>
          <w:rFonts w:ascii="Times New Roman" w:hAnsi="Times New Roman" w:eastAsia="方正仿宋_GBK"/>
          <w:b w:val="0"/>
          <w:sz w:val="24"/>
        </w:rPr>
        <w:t xml:space="preserve">峰值持续时间对缺测处理较敏感。缺失小时落在尖峰区间内，可能把同一连续事件拆成两段，也可能因插值而人为连接两个事件。年度时序存在较长缺口时，应保留缺测状态，报告统计的是已观测峰段或有明确补值规则的估计峰段。持续时间分析采用同一缺测处理规则。</w:t>
      </w:r>
    </w:p>
    <w:p>
      <w:pPr>
        <w:pStyle w:val="5"/>
        <w:keepNext/>
        <w:numPr>
          <w:numId w:val="0"/>
        </w:numPr>
        <w:spacing w:line="360" w:lineRule="auto"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00" w:lineRule="auto"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分布式电源电量渗透率提高与最大负载率下降因此不存在无条件对应关系[3][4][58]。容量配置、负荷时段和统计边界都会影响两者的相关方向。</w:t>
      </w:r>
    </w:p>
    <w:p>
      <w:pPr>
        <w:pStyle w:val="2"/>
        <w:widowControl/>
        <w:spacing w:line="300" w:lineRule="auto" w:before="0" w:after="0"/>
        <w:ind w:firstLine="480"/>
        <w:jc w:val="both"/>
      </w:pPr>
      <w:r>
        <w:rPr>
          <w:rFonts w:ascii="Times New Roman" w:hAnsi="Times New Roman" w:eastAsia="方正仿宋_GBK"/>
          <w:b w:val="0"/>
          <w:sz w:val="24"/>
        </w:rPr>
        <w:t xml:space="preserve">容量／负荷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00" w:lineRule="auto"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bookmarkStart w:id="1185" w:name="h185"/>
      <w:pPr>
        <w:pStyle w:val="4"/>
        <w:keepNext/>
        <w:numPr>
          <w:numId w:val="0"/>
        </w:numPr>
        <w:spacing w:line="360" w:lineRule="auto" w:before="160" w:after="120"/>
        <w:ind w:firstLine="0"/>
      </w:pPr>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5"/>
    </w:p>
    <w:p>
      <w:pPr>
        <w:pStyle w:val="5"/>
        <w:keepNext/>
        <w:numPr>
          <w:numId w:val="0"/>
        </w:numPr>
        <w:spacing w:line="360" w:lineRule="auto"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00" w:lineRule="auto"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00" w:lineRule="auto" w:before="0" w:after="0"/>
        <w:ind w:firstLine="480"/>
        <w:jc w:val="both"/>
      </w:pPr>
      <w:r>
        <w:rPr>
          <w:rFonts w:ascii="Times New Roman" w:hAnsi="Times New Roman" w:eastAsia="方正仿宋_GBK"/>
          <w:b w:val="0"/>
          <w:sz w:val="24"/>
        </w:rPr>
        <w:t xml:space="preserve">主变替换工程采购50 MVA、退出20 MVA时，新增容量为30 MVA。如果目标函数按新购容量计价，价格比应与新购主变折算有功功率对应；若说明工程每净增MW的投资，则需另按30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00" w:lineRule="auto" w:before="0" w:after="0"/>
        <w:ind w:firstLine="480"/>
        <w:jc w:val="both"/>
      </w:pPr>
      <w:r>
        <w:rPr>
          <w:rFonts w:ascii="Times New Roman" w:hAnsi="Times New Roman" w:eastAsia="方正仿宋_GBK"/>
          <w:b w:val="0"/>
          <w:sz w:val="24"/>
        </w:rPr>
        <w:t xml:space="preserve">新增联络线的可转负荷还取决于受端剩余容量。线路热限充足而受端没有容量，通道无法完成所设负荷任务；受端空余充足而负荷不能分段，同样不能按整条线路额定能力计收益。公开线路单位造价能够提供价格参考，实际可转任务需要网络资料支撑[8]。</w:t>
      </w:r>
    </w:p>
    <w:p>
      <w:pPr>
        <w:pStyle w:val="2"/>
        <w:widowControl/>
        <w:spacing w:line="300" w:lineRule="auto" w:before="0" w:after="0"/>
        <w:ind w:firstLine="480"/>
        <w:jc w:val="both"/>
      </w:pPr>
      <w:r>
        <w:rPr>
          <w:rFonts w:ascii="Times New Roman" w:hAnsi="Times New Roman" w:eastAsia="方正仿宋_GBK"/>
          <w:b w:val="0"/>
          <w:sz w:val="24"/>
        </w:rPr>
        <w:t xml:space="preserve">储能单位充放电功率费用随峰段持续时间增加。将10柜组合的投资除以1 MW，只适用于允许额定功率持续输出的时段条件。持续时间为3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时，2.15 MWh能量对应的理想持续功率仅为0.72 MW，单位充放电功率费用相应提高。单位功率投资比按各场景持续时间计算[10][86]。</w:t>
      </w:r>
    </w:p>
    <w:p>
      <w:pPr>
        <w:pStyle w:val="5"/>
        <w:keepNext/>
        <w:numPr>
          <w:numId w:val="0"/>
        </w:numPr>
        <w:spacing w:line="360" w:lineRule="auto"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00" w:lineRule="auto"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只比较初始造价会遗漏这一差异，并高估储能替代长期容量建设的经济性。相反，延后投运减少早期资金占用，也可能影响费用现值。</w:t>
      </w:r>
    </w:p>
    <w:p>
      <w:pPr>
        <w:pStyle w:val="2"/>
        <w:widowControl/>
        <w:spacing w:line="300" w:lineRule="auto"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00" w:lineRule="auto" w:before="0" w:after="0"/>
        <w:ind w:firstLine="480"/>
        <w:jc w:val="both"/>
      </w:pPr>
      <w:r>
        <w:rPr>
          <w:rFonts w:ascii="Times New Roman" w:hAnsi="Times New Roman" w:eastAsia="方正仿宋_GBK"/>
          <w:b w:val="0"/>
          <w:sz w:val="24"/>
        </w:rPr>
        <w:t xml:space="preserve">本项目采用固定实价和固定运维比例，未另设价格通胀。折现率与实价口径相匹配，储能更新按相同实价计算。为简化参数分析，价格变化集中于主变／线路和主变／储能两个比例。未来储能价格下降通过储能初始及更新价格共同降低的情景表达，价格情景用于比较措施的相对费用。</w:t>
      </w:r>
    </w:p>
    <w:p>
      <w:pPr>
        <w:pStyle w:val="5"/>
        <w:keepNext/>
        <w:numPr>
          <w:numId w:val="0"/>
        </w:numPr>
        <w:spacing w:line="360" w:lineRule="auto"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00" w:lineRule="auto" w:before="0" w:after="0"/>
        <w:ind w:firstLine="480"/>
        <w:jc w:val="both"/>
      </w:pPr>
      <w:r>
        <w:rPr>
          <w:rFonts w:ascii="Times New Roman" w:hAnsi="Times New Roman" w:eastAsia="方正仿宋_GBK"/>
          <w:b w:val="0"/>
          <w:sz w:val="24"/>
        </w:rPr>
        <w:t xml:space="preserve">经济模型只在技术可行集合内选择措施。供电安全容量不足的方案即使费用较低，也不能与可行方案并列推荐。因而，首先要明确正反向供电能力及主变N-1后剩余供电能力的计算方法，再比较设备采购和投运年份。</w:t>
      </w:r>
    </w:p>
    <w:p>
      <w:pPr>
        <w:pStyle w:val="2"/>
        <w:widowControl/>
        <w:spacing w:line="300" w:lineRule="auto"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00" w:lineRule="auto" w:before="0" w:after="0"/>
        <w:ind w:firstLine="480"/>
        <w:jc w:val="both"/>
      </w:pPr>
      <w:r>
        <w:rPr>
          <w:rFonts w:ascii="Times New Roman" w:hAnsi="Times New Roman" w:eastAsia="方正仿宋_GBK"/>
          <w:b w:val="0"/>
          <w:sz w:val="24"/>
        </w:rPr>
        <w:t xml:space="preserve">在矩阵中，推荐值应与价格比、峰段时间和负荷条件一起给出。同一推荐容载比可对应不同设备布局，费用相同也可能出现多组可行配置。推荐区间结合主变与储能配置、建设时序和站间负荷转接结果确定，相应方案在第五章逐站列示。</w:t>
      </w:r>
    </w:p>
    <w:p>
      <w:bookmarkStart w:id="1199" w:name="h199"/>
      <w:pPr>
        <w:pStyle w:val="4"/>
        <w:keepNext/>
        <w:numPr>
          <w:numId w:val="0"/>
        </w:numPr>
        <w:spacing w:line="360" w:lineRule="auto" w:before="160" w:after="120"/>
        <w:ind w:firstLine="0"/>
      </w:pPr>
      <w:bookmarkStart w:id="78" w:name="规划寻优方法与本项目选型"/>
      <w:r>
        <w:rPr>
          <w:rFonts w:ascii="Times New Roman" w:hAnsi="Times New Roman" w:eastAsia="方正仿宋_GBK"/>
          <w:b/>
          <w:sz w:val="32"/>
        </w:rPr>
        <w:t xml:space="preserve">2.7 规划寻优方法与本项目选型</w:t>
      </w:r>
      <w:bookmarkEnd w:id="78"/>
      <w:bookmarkEnd w:id="1199"/>
    </w:p>
    <w:p>
      <w:pPr>
        <w:pStyle w:val="5"/>
        <w:keepNext/>
        <w:numPr>
          <w:numId w:val="0"/>
        </w:numPr>
        <w:spacing w:line="360" w:lineRule="auto"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00" w:lineRule="auto"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00" w:lineRule="auto"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00" w:lineRule="auto"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整数规划将设备规格与工程数量直接作为决策变量，在正常运行和供电安全约束下比较措施费用。年度设备状态连续衔接，避免容量连续求解后取整造成的配置偏差。</w:t>
      </w:r>
    </w:p>
    <w:p>
      <w:pPr>
        <w:pStyle w:val="5"/>
        <w:keepNext/>
        <w:numPr>
          <w:numId w:val="0"/>
        </w:numPr>
        <w:spacing w:line="360" w:lineRule="auto"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00" w:lineRule="auto"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00" w:lineRule="auto"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00" w:lineRule="auto" w:before="0" w:after="0"/>
        <w:ind w:firstLine="480"/>
        <w:jc w:val="both"/>
      </w:pPr>
      <w:r>
        <w:rPr>
          <w:rFonts w:ascii="Times New Roman" w:hAnsi="Times New Roman" w:eastAsia="方正仿宋_GBK"/>
          <w:b w:val="0"/>
          <w:sz w:val="24"/>
        </w:rPr>
        <w:t xml:space="preserve">费用相近时可以出现多组可行配置。代表方案的确定兼顾弹性容量储备与负荷转接需求，逐年设备和站级转接记录作为相应规划结果的计算依据。</w:t>
      </w:r>
    </w:p>
    <w:p>
      <w:pPr>
        <w:pStyle w:val="5"/>
        <w:keepNext/>
        <w:numPr>
          <w:numId w:val="0"/>
        </w:numPr>
        <w:spacing w:line="360" w:lineRule="auto"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00" w:lineRule="auto"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00" w:lineRule="auto" w:before="0" w:after="0"/>
        <w:ind w:firstLine="480"/>
        <w:jc w:val="both"/>
      </w:pPr>
      <w:r>
        <w:rPr>
          <w:rFonts w:ascii="Times New Roman" w:hAnsi="Times New Roman" w:eastAsia="方正仿宋_GBK"/>
          <w:b w:val="0"/>
          <w:sz w:val="24"/>
        </w:rPr>
        <w:t xml:space="preserve">本项目先以两地区资料分析运行与配置关系，再以两类五站仿真模板在合理参数范围内构造情景。推荐矩阵表达在这些结构和假定下的计算范围。应用于其他片区时，需要核对主变初态、供电类别及负荷分散系数等关键条件，再以矩阵作为扫描和比选依据。</w:t>
      </w:r>
    </w:p>
    <w:p>
      <w:pPr>
        <w:pStyle w:val="2"/>
        <w:widowControl/>
        <w:spacing w:line="300" w:lineRule="auto"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适于压力敏感性，尚不等同于完整年度光伏与负荷共同预测。分布式电源电量渗透率在此类情景中只作为条件标签，不宣称模型已经优化全年消纳电量。</w:t>
      </w:r>
    </w:p>
    <w:p>
      <w:bookmarkStart w:id="1212" w:name="h212"/>
      <w:pPr>
        <w:pStyle w:val="4"/>
        <w:keepNext/>
        <w:numPr>
          <w:numId w:val="0"/>
        </w:numPr>
        <w:spacing w:line="360" w:lineRule="auto" w:before="160" w:after="120"/>
        <w:ind w:firstLine="0"/>
      </w:pPr>
      <w:bookmarkStart w:id="82" w:name="本项目方法选择与工程衔接"/>
      <w:r>
        <w:rPr>
          <w:rFonts w:ascii="Times New Roman" w:hAnsi="Times New Roman" w:eastAsia="方正仿宋_GBK"/>
          <w:b/>
          <w:sz w:val="32"/>
        </w:rPr>
        <w:t xml:space="preserve">2.8 本项目方法选择与工程衔接</w:t>
      </w:r>
      <w:bookmarkEnd w:id="82"/>
      <w:bookmarkEnd w:id="1212"/>
    </w:p>
    <w:p>
      <w:pPr>
        <w:pStyle w:val="5"/>
        <w:keepNext/>
        <w:numPr>
          <w:numId w:val="0"/>
        </w:numPr>
        <w:spacing w:line="360" w:lineRule="auto"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00" w:lineRule="auto"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60" w:lineRule="auto"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00" w:lineRule="auto"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60" w:lineRule="auto"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00" w:lineRule="auto" w:before="0" w:after="0"/>
        <w:ind w:firstLine="480"/>
        <w:jc w:val="both"/>
      </w:pPr>
      <w:r>
        <w:rPr>
          <w:rFonts w:ascii="Times New Roman" w:hAnsi="Times New Roman" w:eastAsia="方正仿宋_GBK"/>
          <w:b w:val="0"/>
          <w:sz w:val="24"/>
        </w:rPr>
        <w:t xml:space="preserve">案例按四年设备状态连续寻优，说明负荷增长、离散增容、峰段支撑及转供能力对容载比和费用的影响。通用矩阵依据这些计算关系设置两类五站仿真模板，在合理参数范围内进行25200组目标年静态比选。矩阵按源荷特征及工程单位功率投资比分档汇总推荐区间。</w:t>
      </w:r>
    </w:p>
    <w:p>
      <w:pPr>
        <w:pStyle w:val="5"/>
        <w:keepNext/>
        <w:numPr>
          <w:numId w:val="0"/>
        </w:numPr>
        <w:spacing w:line="360" w:lineRule="auto"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00" w:lineRule="auto"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00" w:lineRule="auto"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但不能直接互换。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00" w:lineRule="auto" w:before="0" w:after="0"/>
        <w:ind w:firstLine="480"/>
        <w:jc w:val="both"/>
      </w:pPr>
      <w:r>
        <w:rPr>
          <w:rFonts w:ascii="Times New Roman" w:hAnsi="Times New Roman" w:eastAsia="方正仿宋_GBK"/>
          <w:b w:val="0"/>
          <w:sz w:val="24"/>
        </w:rPr>
        <w:t xml:space="preserve">装机渗透率和电量渗透率的分子、分母分别对应容量和电量。前者将分布式电源装机与用户最大负荷比较，后者将发电量与用户用电量比较[7]。相同装机渗透率在光伏利用小时、用户年负荷率不同的地区，会形成不同电量渗透率。对年度电量较高但峰值相对平缓的用户，电量渗透率可能较低；对全年用电量较少、峰值短时集中的用户，相同光伏装机可能形成较高电量渗透率。两项指标结合使用，可以区分电源规模与全年能源供给关系。</w:t>
      </w:r>
    </w:p>
    <w:p>
      <w:pPr>
        <w:pStyle w:val="2"/>
        <w:widowControl/>
        <w:spacing w:line="300" w:lineRule="auto"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将反向功率直接取绝对值后计算全年受电量，会把反送电量误计为用电，改变电量平衡关系。</w:t>
      </w:r>
    </w:p>
    <w:p>
      <w:pPr>
        <w:pStyle w:val="2"/>
        <w:widowControl/>
        <w:spacing w:line="300" w:lineRule="auto"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00" w:lineRule="auto"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MW额定功率也对应不同持续时间。研究通过功率与能量共同约束进行比较，避免仅按一种容量指标确定投资。</w:t>
      </w:r>
    </w:p>
    <w:p>
      <w:pPr>
        <w:pStyle w:val="5"/>
        <w:keepNext/>
        <w:numPr>
          <w:numId w:val="0"/>
        </w:numPr>
        <w:spacing w:line="360" w:lineRule="auto" w:before="160" w:after="120"/>
        <w:ind w:firstLine="0"/>
      </w:pPr>
      <w:bookmarkStart w:id="87" w:name="分类推荐与文献方法的衔接"/>
      <w:r>
        <w:rPr>
          <w:rFonts w:ascii="Times New Roman" w:hAnsi="Times New Roman" w:eastAsia="方正仿宋_GBK"/>
          <w:b/>
          <w:sz w:val="26"/>
        </w:rPr>
        <w:t xml:space="preserve">2.8.5 分类推荐与文献方法的衔接</w:t>
      </w:r>
      <w:bookmarkEnd w:id="87"/>
    </w:p>
    <w:p>
      <w:pPr>
        <w:pStyle w:val="FirstParagraph"/>
        <w:widowControl/>
        <w:spacing w:line="300" w:lineRule="auto"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方法共同强调区域条件与容量储备的对应关系。本报告在相应研究基础上，将供电区域类别和负荷分散系数作为分类条件，结合装机渗透率、增长水平、持续时间及相对投资形成推荐区间。</w:t>
      </w:r>
    </w:p>
    <w:p>
      <w:pPr>
        <w:pStyle w:val="2"/>
        <w:widowControl/>
        <w:spacing w:line="300" w:lineRule="auto" w:before="0" w:after="0"/>
        <w:ind w:firstLine="480"/>
        <w:jc w:val="both"/>
      </w:pPr>
      <w:r>
        <w:rPr>
          <w:rFonts w:ascii="Times New Roman" w:hAnsi="Times New Roman" w:eastAsia="方正仿宋_GBK"/>
          <w:b w:val="0"/>
          <w:sz w:val="24"/>
        </w:rPr>
        <w:t xml:space="preserve">分类的作用是把具有不同容量配置条件的计算结果分别归纳。例如同一装机渗透率范围内，A类与B/C类站群的初始主变规格和转供条件不同；相同区域同时峰值下，负荷分散系数不同又会改变各站独立峰值之和。把这些结果合并为一个区间，会同时包含多种设备结构的端点。按类别分别列示后，使用者能够选择与片区更接近的范围。</w:t>
      </w:r>
    </w:p>
    <w:p>
      <w:pPr>
        <w:pStyle w:val="2"/>
        <w:widowControl/>
        <w:spacing w:line="300" w:lineRule="auto" w:before="0" w:after="0"/>
        <w:ind w:firstLine="480"/>
        <w:jc w:val="both"/>
      </w:pPr>
      <w:r>
        <w:rPr>
          <w:rFonts w:ascii="Times New Roman" w:hAnsi="Times New Roman" w:eastAsia="方正仿宋_GBK"/>
          <w:b w:val="0"/>
          <w:sz w:val="24"/>
        </w:rPr>
        <w:t xml:space="preserve">推荐区间的宽度还与参数分组有关。源荷、增长及价格范围较宽时，同一分类内可能包含多种主变规格和储能规模；细分站群条件后，仍可能保留一定区间宽度。端点来自已计算配置，不能为了缩小范围而删去合理结果。分类表的目的在于解释哪些条件对应哪些容量水平，并为具体设备比选提供有依据的范围。</w:t>
      </w:r>
    </w:p>
    <w:p>
      <w:pPr>
        <w:pStyle w:val="2"/>
        <w:widowControl/>
        <w:spacing w:line="300" w:lineRule="auto" w:before="0" w:after="0"/>
        <w:ind w:firstLine="480"/>
        <w:jc w:val="both"/>
      </w:pPr>
      <w:r>
        <w:rPr>
          <w:rFonts w:ascii="Times New Roman" w:hAnsi="Times New Roman" w:eastAsia="方正仿宋_GBK"/>
          <w:b w:val="0"/>
          <w:sz w:val="24"/>
        </w:rPr>
        <w:t xml:space="preserve">工程比选最终需要落实到设备规格。主变只能按允许容量和台数建设，容载比因此呈离散变化；相邻两组计算点可以跨越某一规格切换位置。推荐区间内并非每一个小数值都对应独立的最优配置。规划采用区间时，可先按年网供最大负荷估算容量规模，再结合主变规格、站间转供和储能条件选出实际方案[43][44]。</w:t>
      </w:r>
    </w:p>
    <w:p>
      <w:pPr>
        <w:pStyle w:val="5"/>
        <w:keepNext/>
        <w:numPr>
          <w:numId w:val="0"/>
        </w:numPr>
        <w:spacing w:line="360" w:lineRule="auto"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00" w:lineRule="auto"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00" w:lineRule="auto"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价格比本身不决定技术可替代性，站级容量和转供条件决定各措施能够承担的负荷，费用目标再比较相应建设组合。</w:t>
      </w:r>
    </w:p>
    <w:p>
      <w:pPr>
        <w:pStyle w:val="2"/>
        <w:widowControl/>
        <w:spacing w:line="300" w:lineRule="auto"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对新增线路，价格下降可能只降低既定建设规模的费用；对储能，价格下降则可能使部分容量缺口由储能承担，从而减少主变建设。两种响应均有工程意义。将</w:t>
      </w:r>
      <w:r>
        <w:rPr>
          <w:rFonts w:ascii="Times New Roman" w:hAnsi="Times New Roman" w:eastAsia="方正仿宋_GBK"/>
          <w:b w:val="0"/>
          <w:sz w:val="24"/>
        </w:rPr>
        <w:t xml:space="preserve">“</w:t>
      </w:r>
      <w:r>
        <w:rPr>
          <w:rFonts w:ascii="Times New Roman" w:hAnsi="Times New Roman" w:eastAsia="方正仿宋_GBK"/>
          <w:b w:val="0"/>
          <w:sz w:val="24"/>
        </w:rPr>
        <w:t xml:space="preserve">未改变容载比</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该参数不需要分析</w:t>
      </w:r>
      <w:r>
        <w:rPr>
          <w:rFonts w:ascii="Times New Roman" w:hAnsi="Times New Roman" w:eastAsia="方正仿宋_GBK"/>
          <w:b w:val="0"/>
          <w:sz w:val="24"/>
        </w:rPr>
        <w:t xml:space="preserve">”</w:t>
      </w:r>
      <w:r>
        <w:rPr>
          <w:rFonts w:ascii="Times New Roman" w:hAnsi="Times New Roman" w:eastAsia="方正仿宋_GBK"/>
          <w:b w:val="0"/>
          <w:sz w:val="24"/>
        </w:rPr>
        <w:t xml:space="preserve">会遗漏费用作用；将</w:t>
      </w:r>
      <w:r>
        <w:rPr>
          <w:rFonts w:ascii="Times New Roman" w:hAnsi="Times New Roman" w:eastAsia="方正仿宋_GBK"/>
          <w:b w:val="0"/>
          <w:sz w:val="24"/>
        </w:rPr>
        <w:t xml:space="preserve">“</w:t>
      </w:r>
      <w:r>
        <w:rPr>
          <w:rFonts w:ascii="Times New Roman" w:hAnsi="Times New Roman" w:eastAsia="方正仿宋_GBK"/>
          <w:b w:val="0"/>
          <w:sz w:val="24"/>
        </w:rPr>
        <w:t xml:space="preserve">费用发生变化</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容载比必然变化</w:t>
      </w:r>
      <w:r>
        <w:rPr>
          <w:rFonts w:ascii="Times New Roman" w:hAnsi="Times New Roman" w:eastAsia="方正仿宋_GBK"/>
          <w:b w:val="0"/>
          <w:sz w:val="24"/>
        </w:rPr>
        <w:t xml:space="preserve">”</w:t>
      </w:r>
      <w:r>
        <w:rPr>
          <w:rFonts w:ascii="Times New Roman" w:hAnsi="Times New Roman" w:eastAsia="方正仿宋_GBK"/>
          <w:b w:val="0"/>
          <w:sz w:val="24"/>
        </w:rPr>
        <w:t xml:space="preserve">则会混淆价格与容量两个结果。本报告在第五章分别列示容载比、设备规模和费用变化。</w:t>
      </w:r>
    </w:p>
    <w:p>
      <w:bookmarkStart w:id="1235" w:name="h235"/>
      <w:pPr>
        <w:pStyle w:val="4"/>
        <w:keepNext/>
        <w:numPr>
          <w:numId w:val="0"/>
        </w:numPr>
        <w:spacing w:line="360" w:lineRule="auto" w:before="160" w:after="120"/>
        <w:ind w:firstLine="0"/>
      </w:pPr>
      <w:bookmarkStart w:id="89" w:name="本章小结"/>
      <w:r>
        <w:rPr>
          <w:rFonts w:ascii="Times New Roman" w:hAnsi="Times New Roman" w:eastAsia="方正仿宋_GBK"/>
          <w:b/>
          <w:sz w:val="32"/>
        </w:rPr>
        <w:t xml:space="preserve">2.9 本章小结</w:t>
      </w:r>
      <w:bookmarkEnd w:id="89"/>
      <w:bookmarkEnd w:id="1235"/>
    </w:p>
    <w:p>
      <w:pPr>
        <w:pStyle w:val="FirstParagraph"/>
        <w:widowControl/>
        <w:spacing w:line="300" w:lineRule="auto"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kV联络方案，并通过五站仿真模板的参数外推形成通用推荐矩阵。</w:t>
      </w:r>
    </w:p>
    <w:p>
      <w:bookmarkStart w:id="1237" w:name="h237"/>
      <w:pPr>
        <w:pStyle w:val="3"/>
        <w:keepNext/>
        <w:pageBreakBefore/>
        <w:numPr>
          <w:numId w:val="0"/>
        </w:numPr>
        <w:spacing w:line="360" w:lineRule="auto" w:before="0" w:after="120"/>
        <w:ind w:firstLine="0"/>
      </w:pPr>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7"/>
    </w:p>
    <w:p>
      <w:bookmarkStart w:id="1238" w:name="h238"/>
      <w:pPr>
        <w:pStyle w:val="4"/>
        <w:keepNext/>
        <w:numPr>
          <w:numId w:val="0"/>
        </w:numPr>
        <w:spacing w:line="360" w:lineRule="auto" w:before="160" w:after="120"/>
        <w:ind w:firstLine="0"/>
      </w:pPr>
      <w:bookmarkStart w:id="91" w:name="研究地区与原始资料"/>
      <w:r>
        <w:rPr>
          <w:rFonts w:ascii="Times New Roman" w:hAnsi="Times New Roman" w:eastAsia="方正仿宋_GBK"/>
          <w:b/>
          <w:sz w:val="32"/>
        </w:rPr>
        <w:t xml:space="preserve">3.1 研究地区与原始资料</w:t>
      </w:r>
      <w:bookmarkEnd w:id="91"/>
      <w:bookmarkEnd w:id="1238"/>
    </w:p>
    <w:p>
      <w:pPr>
        <w:pStyle w:val="5"/>
        <w:keepNext/>
        <w:numPr>
          <w:numId w:val="0"/>
        </w:numPr>
        <w:spacing w:line="360" w:lineRule="auto"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00" w:lineRule="auto"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00" w:lineRule="auto" w:before="0" w:after="0"/>
        <w:ind w:firstLine="480"/>
        <w:jc w:val="both"/>
      </w:pPr>
      <w:r>
        <w:rPr>
          <w:rFonts w:ascii="Times New Roman" w:hAnsi="Times New Roman" w:eastAsia="方正仿宋_GBK"/>
          <w:b w:val="0"/>
          <w:sz w:val="24"/>
        </w:rPr>
        <w:t xml:space="preserve">站级研究样本包括邳州20座和市区29座110 kV变电站，覆盖主变配置、负荷水平及正反向运行特征。市区年度负荷采用同一行政范围的110 kV降压负荷统计，站级资料用于分析负荷在各站之间的分布。区域容载比采用同电压等级区县口径，各站独立峰值用于局部容量校核[5]。</w:t>
      </w:r>
    </w:p>
    <w:p>
      <w:pPr>
        <w:pStyle w:val="5"/>
        <w:keepNext/>
        <w:numPr>
          <w:numId w:val="0"/>
        </w:numPr>
        <w:spacing w:line="360" w:lineRule="auto"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00" w:lineRule="auto"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00" w:lineRule="auto"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资料来源与统计范围见配套数据说明。</w:t>
      </w:r>
    </w:p>
    <w:p>
      <w:pPr>
        <w:pStyle w:val="5"/>
        <w:keepNext/>
        <w:numPr>
          <w:numId w:val="0"/>
        </w:numPr>
        <w:spacing w:line="360" w:lineRule="auto"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00" w:lineRule="auto"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容量、功率、电量分别使用MVA、MW、MWh，净功率受入为正、反送为负。年度电量统一在2025年非闰年8760小时轴上估计。邳州缺失1 h以邻近均值补值，市区代表时序421个补值小时按同周类型处理，二者均保留估计性质。</w:t>
      </w:r>
    </w:p>
    <w:p>
      <w:pPr>
        <w:pStyle w:val="2"/>
        <w:widowControl/>
        <w:spacing w:line="300" w:lineRule="auto" w:before="0" w:after="0"/>
        <w:ind w:firstLine="480"/>
        <w:jc w:val="both"/>
      </w:pPr>
      <w:r>
        <w:rPr>
          <w:rFonts w:ascii="Times New Roman" w:hAnsi="Times New Roman" w:eastAsia="方正仿宋_GBK"/>
          <w:b w:val="0"/>
          <w:sz w:val="24"/>
        </w:rPr>
        <w:t xml:space="preserve">峰段分析采用2025年最长连续峰段模板，用于储能静态容量折算；年度电量估计用于源荷背景分析。各站独立峰值用于局部校核，区域同期负荷用于容载比计算。</w:t>
      </w:r>
    </w:p>
    <w:p>
      <w:bookmarkStart w:id="1248" w:name="h248"/>
      <w:pPr>
        <w:pStyle w:val="4"/>
        <w:keepNext/>
        <w:numPr>
          <w:numId w:val="0"/>
        </w:numPr>
        <w:spacing w:line="360" w:lineRule="auto" w:before="160" w:after="120"/>
        <w:ind w:firstLine="0"/>
      </w:pPr>
      <w:bookmarkStart w:id="95" w:name="年度容量负荷与增长特征"/>
      <w:r>
        <w:rPr>
          <w:rFonts w:ascii="Times New Roman" w:hAnsi="Times New Roman" w:eastAsia="方正仿宋_GBK"/>
          <w:b/>
          <w:sz w:val="32"/>
        </w:rPr>
        <w:t xml:space="preserve">3.2 年度容量、负荷与增长特征</w:t>
      </w:r>
      <w:bookmarkEnd w:id="95"/>
      <w:bookmarkEnd w:id="1248"/>
    </w:p>
    <w:p>
      <w:pPr>
        <w:pStyle w:val="5"/>
        <w:keepNext/>
        <w:numPr>
          <w:numId w:val="0"/>
        </w:numPr>
        <w:spacing w:line="360" w:lineRule="auto"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00" w:lineRule="auto"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00" w:lineRule="auto"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300" w:lineRule="auto"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年份</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r>
    </w:tbl>
    <w:p>
      <w:pPr>
        <w:pStyle w:val="5"/>
        <w:keepNext/>
        <w:numPr>
          <w:numId w:val="0"/>
        </w:numPr>
        <w:spacing w:line="360" w:lineRule="auto"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00" w:lineRule="auto"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00" w:lineRule="auto" w:before="0" w:after="0"/>
        <w:ind w:firstLine="480"/>
        <w:jc w:val="both"/>
      </w:pPr>
      <w:r>
        <w:rPr>
          <w:rFonts w:ascii="Times New Roman" w:hAnsi="Times New Roman" w:eastAsia="方正仿宋_GBK"/>
          <w:b w:val="0"/>
          <w:sz w:val="24"/>
        </w:rPr>
        <w:t xml:space="preserve">市区29座仿真站保留样本负荷的空间分布，供电区域按A类规划。第五章以统一起点和平均增长情景进行方案比较。</w:t>
      </w:r>
    </w:p>
    <w:p>
      <w:pPr>
        <w:pStyle w:val="2"/>
        <w:keepNext/>
        <w:spacing w:line="240" w:lineRule="auto" w:before="120" w:after="0"/>
        <w:ind w:firstLine="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图3-1 邳州和市区年网供最大负荷</w:t>
      </w:r>
    </w:p>
    <w:p>
      <w:pPr>
        <w:pStyle w:val="5"/>
        <w:keepNext/>
        <w:numPr>
          <w:numId w:val="0"/>
        </w:numPr>
        <w:spacing w:line="360" w:lineRule="auto"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00" w:lineRule="auto" w:before="0" w:after="0"/>
        <w:ind w:firstLine="480"/>
        <w:jc w:val="both"/>
      </w:pPr>
      <w:r>
        <w:rPr>
          <w:rFonts w:ascii="Times New Roman" w:hAnsi="Times New Roman" w:eastAsia="方正仿宋_GBK"/>
          <w:b w:val="0"/>
          <w:sz w:val="24"/>
        </w:rPr>
        <w:t xml:space="preserve">年度增长率按相邻年度负荷统计计算。对2022—2025年赋予1、2、3、4的权重，得到本研究平滑参数。式（3-1）为项目采用的统计方法；DL/T 5729—2023表6.3.4按负荷增长水平给出容载比范围[5]；本报告的增长指标名称采用导则修订稿表2的</w:t>
      </w:r>
      <w:r>
        <w:rPr>
          <w:rFonts w:ascii="Times New Roman" w:hAnsi="Times New Roman" w:eastAsia="方正仿宋_GBK"/>
          <w:b w:val="0"/>
          <w:sz w:val="24"/>
        </w:rPr>
        <w:t xml:space="preserve">“</w:t>
      </w:r>
      <w:r>
        <w:rPr>
          <w:rFonts w:ascii="Times New Roman" w:hAnsi="Times New Roman" w:eastAsia="方正仿宋_GBK"/>
          <w:b w:val="0"/>
          <w:sz w:val="24"/>
        </w:rPr>
        <w:t xml:space="preserve">年最大净负荷平均增长率</w:t>
      </w:r>
      <w:r>
        <w:rPr>
          <w:rFonts w:ascii="Times New Roman" w:hAnsi="Times New Roman" w:eastAsia="方正仿宋_GBK"/>
          <w:b w:val="0"/>
          <w:sz w:val="24"/>
        </w:rPr>
        <w:t xml:space="preserve">”</w:t>
      </w:r>
      <w:r>
        <w:rPr>
          <w:rFonts w:ascii="Times New Roman" w:hAnsi="Times New Roman" w:eastAsia="方正仿宋_GBK"/>
          <w:b w:val="0"/>
          <w:sz w:val="24"/>
        </w:rPr>
        <w:t xml:space="preserve">，加权方法为本研究统计处理[7]。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g</m:t>
                    </m:r>
                  </m:e>
                  <m:sub>
                    <m:r>
                      <m:t>y</m:t>
                    </m:r>
                  </m:sub>
                </m:sSub>
                <m:r>
                  <m:t>=</m:t>
                </m:r>
                <m:sSub>
                  <m:e>
                    <m:r>
                      <m:t>P</m:t>
                    </m:r>
                  </m:e>
                  <m:sub>
                    <m:r>
                      <m:t>y</m:t>
                    </m:r>
                  </m:sub>
                </m:sSub>
                <m:r>
                  <m:t>/</m:t>
                </m:r>
                <m:sSub>
                  <m:e>
                    <m:r>
                      <m:t>P</m:t>
                    </m:r>
                  </m:e>
                  <m:sub>
                    <m:r>
                      <m:t>y</m:t>
                    </m:r>
                    <m:r>
                      <m:t>−</m:t>
                    </m:r>
                    <m:r>
                      <m:t>1</m:t>
                    </m:r>
                  </m:sub>
                </m:sSub>
                <m:r>
                  <m:t>−</m:t>
                </m:r>
                <m:r>
                  <m:t>1</m:t>
                </m:r>
                <m:r>
                  <m:t>,</m:t>
                </m:r>
                <m:r>
                  <m:t>  </m:t>
                </m:r>
                <m:acc>
                  <m:accPr>
                    <m:chr m:val="‾"/>
                  </m:accPr>
                  <m:e>
                    <m:r>
                      <m:t>g</m:t>
                    </m:r>
                  </m:e>
                </m:acc>
                <m:r>
                  <m:t>=</m:t>
                </m:r>
                <m:f>
                  <m:fPr>
                    <m:type m:val="bar"/>
                  </m:fPr>
                  <m:num>
                    <m:sSub>
                      <m:e>
                        <m:r>
                          <m:t>g</m:t>
                        </m:r>
                      </m:e>
                      <m:sub>
                        <m:r>
                          <m:t>2022</m:t>
                        </m:r>
                      </m:sub>
                    </m:sSub>
                    <m:r>
                      <m:t>+</m:t>
                    </m:r>
                    <m:r>
                      <m:t>2</m:t>
                    </m:r>
                    <m:sSub>
                      <m:e>
                        <m:r>
                          <m:t>g</m:t>
                        </m:r>
                      </m:e>
                      <m:sub>
                        <m:r>
                          <m:t>2023</m:t>
                        </m:r>
                      </m:sub>
                    </m:sSub>
                    <m:r>
                      <m:t>+</m:t>
                    </m:r>
                    <m:r>
                      <m:t>3</m:t>
                    </m:r>
                    <m:sSub>
                      <m:e>
                        <m:r>
                          <m:t>g</m:t>
                        </m:r>
                      </m:e>
                      <m:sub>
                        <m:r>
                          <m:t>2024</m:t>
                        </m:r>
                      </m:sub>
                    </m:sSub>
                    <m:r>
                      <m:t>+</m:t>
                    </m:r>
                    <m:r>
                      <m:t>4</m:t>
                    </m:r>
                    <m:sSub>
                      <m:e>
                        <m:r>
                          <m:t>g</m:t>
                        </m:r>
                      </m:e>
                      <m:sub>
                        <m:r>
                          <m:t>2025</m:t>
                        </m:r>
                      </m:sub>
                    </m:sSub>
                  </m:num>
                  <m:den>
                    <m:r>
                      <m:t>10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年网供最大负荷，单位MW，采用降压负荷估计；</w:t>
      </w:r>
      <m:oMath>
        <m:sSub>
          <m:e>
            <m:r>
              <m:t>g</m:t>
            </m:r>
          </m:e>
          <m:sub>
            <m:r>
              <m:t>y</m:t>
            </m:r>
          </m:sub>
        </m:sSub>
      </m:oMath>
      <w:r>
        <w:rPr>
          <w:rFonts w:ascii="Times New Roman" w:hAnsi="Times New Roman" w:eastAsia="方正仿宋_GBK"/>
          <w:b w:val="0"/>
          <w:sz w:val="24"/>
        </w:rPr>
        <w:t xml:space="preserve">为该年同比增长率，</w:t>
      </w:r>
      <m:oMath>
        <m:acc>
          <m:accPr>
            <m:chr m:val="‾"/>
          </m:accPr>
          <m:e>
            <m:r>
              <m:t>g</m:t>
            </m:r>
          </m:e>
        </m:acc>
      </m:oMath>
      <w:r>
        <w:rPr>
          <w:rFonts w:ascii="Times New Roman" w:hAnsi="Times New Roman" w:eastAsia="方正仿宋_GBK"/>
          <w:b w:val="0"/>
          <w:sz w:val="24"/>
        </w:rPr>
        <w:t xml:space="preserve">为年最大净负荷平均增长率，均为无量纲量。本研究采用递增权重估计该参数。邳州加权平均为8.07%，市区为1.80%。按加权增长率对应导则建议分档，邳州为1.80～2.00，市区为1.50～1.70。邳州复合增长率为6.92%，与加权值8.07%跨越7.00%分档节点，因此工程应用时可补充比较两种增长情景；本次正式方案仍采用加权增长率。市区三种方法均处于较低增长档。该分档用于解释一般规划参考值，本研究刚性统一上限2.00仍为项目方案设定。</w:t>
      </w:r>
    </w:p>
    <w:p>
      <w:pPr>
        <w:pStyle w:val="2"/>
        <w:keepNext/>
        <w:spacing w:line="300" w:lineRule="auto" w:before="120" w:after="80"/>
        <w:ind w:firstLine="0"/>
        <w:jc w:val="center"/>
      </w:pPr>
      <w:r>
        <w:rPr>
          <w:rFonts w:ascii="Times New Roman" w:hAnsi="Times New Roman" w:eastAsia="宋体"/>
          <w:b w:val="0"/>
          <w:sz w:val="21"/>
        </w:rPr>
        <w:t xml:space="preserve">表3-2 年最大净负荷平均增长率计算（式3-1）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年份</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年最大净负荷同比增长率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权重</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bl>
    <w:p>
      <w:pPr>
        <w:pStyle w:val="2"/>
        <w:widowControl/>
        <w:spacing w:line="300" w:lineRule="auto" w:before="0" w:after="0"/>
        <w:ind w:firstLine="480"/>
        <w:jc w:val="both"/>
      </w:pPr>
      <w:r>
        <w:rPr>
          <w:rFonts w:ascii="Times New Roman" w:hAnsi="Times New Roman" w:eastAsia="方正仿宋_GBK"/>
          <w:b w:val="0"/>
          <w:sz w:val="24"/>
        </w:rPr>
        <w:t xml:space="preserve">本次规划将上述加权增长率作为未来四年的统一增长假定。滚动规划时，使用最近五年的同范围负荷，重新计算四个同比增长率，并沿用1∶2∶3∶4权重。若区县或电压等级统计范围发生变化，应先调整为同一范围。</w:t>
      </w:r>
    </w:p>
    <w:p>
      <w:pPr>
        <w:pStyle w:val="2"/>
        <w:keepNext/>
        <w:spacing w:line="300" w:lineRule="auto" w:before="120" w:after="80"/>
        <w:ind w:firstLine="0"/>
        <w:jc w:val="center"/>
      </w:pPr>
      <w:r>
        <w:rPr>
          <w:rFonts w:ascii="Times New Roman" w:hAnsi="Times New Roman" w:eastAsia="宋体"/>
          <w:b w:val="0"/>
          <w:sz w:val="21"/>
        </w:rPr>
        <w:t xml:space="preserve">表3-3 三种年增长率估计方法</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递增加权平均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四年等权平均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四年复合增长率</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1.34%</w:t>
            </w:r>
          </w:p>
        </w:tc>
      </w:tr>
    </w:tbl>
    <w:p>
      <w:pPr>
        <w:pStyle w:val="5"/>
        <w:keepNext/>
        <w:numPr>
          <w:numId w:val="0"/>
        </w:numPr>
        <w:spacing w:line="360" w:lineRule="auto"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00" w:lineRule="auto" w:before="0" w:after="0"/>
        <w:ind w:firstLine="480"/>
        <w:jc w:val="both"/>
      </w:pPr>
      <w:r>
        <w:rPr>
          <w:rFonts w:ascii="Times New Roman" w:hAnsi="Times New Roman" w:eastAsia="方正仿宋_GBK"/>
          <w:b w:val="0"/>
          <w:sz w:val="24"/>
        </w:rPr>
        <w:t xml:space="preserve">2021—2025年实际容量和负荷用于描述年度变化、估计年最大净负荷平均增长率。规划仿真保留两地区各自的离散设备结构，将基期年网供最大负荷标定为主变总容量的二分之一，再按平均增长率推演后续四年需求。站级正向、反向净负荷采用2025年空间分布同步缩放，峰段持续时间采用2025年模板。第五章列出仿真起点及年度负荷，便于将历史分析与规划结果对应。</w:t>
      </w:r>
    </w:p>
    <w:p>
      <w:bookmarkStart w:id="1266" w:name="h266"/>
      <w:pPr>
        <w:pStyle w:val="4"/>
        <w:keepNext/>
        <w:numPr>
          <w:numId w:val="0"/>
        </w:numPr>
        <w:spacing w:line="360" w:lineRule="auto" w:before="160" w:after="120"/>
        <w:ind w:firstLine="0"/>
      </w:pPr>
      <w:bookmarkStart w:id="101" w:name="分布式光伏装机与电量"/>
      <w:r>
        <w:rPr>
          <w:rFonts w:ascii="Times New Roman" w:hAnsi="Times New Roman" w:eastAsia="方正仿宋_GBK"/>
          <w:b/>
          <w:sz w:val="32"/>
        </w:rPr>
        <w:t xml:space="preserve">3.3 分布式光伏装机与电量</w:t>
      </w:r>
      <w:bookmarkEnd w:id="101"/>
      <w:bookmarkEnd w:id="1266"/>
    </w:p>
    <w:p>
      <w:pPr>
        <w:pStyle w:val="5"/>
        <w:keepNext/>
        <w:numPr>
          <w:numId w:val="0"/>
        </w:numPr>
        <w:spacing w:line="360" w:lineRule="auto"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00" w:lineRule="auto"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00" w:lineRule="auto"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00" w:lineRule="auto" w:before="0" w:after="0"/>
        <w:ind w:firstLine="480"/>
        <w:jc w:val="both"/>
      </w:pPr>
      <w:r>
        <w:rPr>
          <w:rFonts w:ascii="Times New Roman" w:hAnsi="Times New Roman" w:eastAsia="方正仿宋_GBK"/>
          <w:b w:val="0"/>
          <w:sz w:val="24"/>
        </w:rPr>
        <w:t xml:space="preserve">2021—2022年没有同口径月末装机记录，模型按同月2023、2024年的规模关系几何回推。先固定月份，再沿年份回推，可以保留年内季节性投运差异。月末装机回推按式（3-2）计算，结果用于分析装机发展条件。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300" w:lineRule="auto" w:before="120" w:after="80"/>
        <w:ind w:firstLine="0"/>
        <w:jc w:val="center"/>
      </w:pPr>
      <w:r>
        <w:rPr>
          <w:rFonts w:ascii="Times New Roman" w:hAnsi="Times New Roman" w:eastAsia="宋体"/>
          <w:b w:val="0"/>
          <w:sz w:val="21"/>
        </w:rPr>
        <w:t xml:space="preserve">表3-4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2021年/MW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2022年/MW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2023年/MW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2024年/MW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141.89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564.70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1126.58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491.18</w:t>
            </w:r>
          </w:p>
        </w:tc>
      </w:tr>
    </w:tbl>
    <w:p>
      <w:pPr>
        <w:pStyle w:val="2"/>
        <w:widowControl/>
        <w:spacing w:line="300" w:lineRule="auto"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图3-2 2021—2025年月末分布式光伏装机容量</w:t>
      </w:r>
    </w:p>
    <w:p>
      <w:pPr>
        <w:pStyle w:val="5"/>
        <w:keepNext/>
        <w:numPr>
          <w:numId w:val="0"/>
        </w:numPr>
        <w:spacing w:line="360" w:lineRule="auto"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00" w:lineRule="auto"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00" w:lineRule="auto"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MWh。不同地区的年内投运速度和月末装机差异均进入计算，未把年末规模直接应用于全年。</w:t>
      </w:r>
    </w:p>
    <w:p>
      <w:pPr>
        <w:pStyle w:val="5"/>
        <w:keepNext/>
        <w:numPr>
          <w:numId w:val="0"/>
        </w:numPr>
        <w:spacing w:line="360" w:lineRule="auto"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00" w:lineRule="auto" w:before="0" w:after="0"/>
        <w:ind w:firstLine="480"/>
        <w:jc w:val="both"/>
      </w:pPr>
      <w:r>
        <w:rPr>
          <w:rFonts w:ascii="Times New Roman" w:hAnsi="Times New Roman" w:eastAsia="方正仿宋_GBK"/>
          <w:b w:val="0"/>
          <w:sz w:val="24"/>
        </w:rPr>
        <w:t xml:space="preserve">分布式电源装机渗透率采用《配电网规划设计技术导则（修订稿，2025年4月）》的指标定义，作为描述源荷条件的研究参数[7]。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2"/>
        <w:widowControl/>
        <w:spacing w:line="300" w:lineRule="auto"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60" w:lineRule="auto"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00" w:lineRule="auto"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00" w:lineRule="auto" w:before="0" w:after="0"/>
        <w:ind w:firstLine="480"/>
        <w:jc w:val="both"/>
      </w:pPr>
      <w:r>
        <w:rPr>
          <w:rFonts w:ascii="Times New Roman" w:hAnsi="Times New Roman" w:eastAsia="方正仿宋_GBK"/>
          <w:b w:val="0"/>
          <w:sz w:val="24"/>
        </w:rPr>
        <w:t xml:space="preserve">邳州估计用户年电量为4216392.40 MWh，分布式电源电量渗透率为40.28%；市区为6791485.10 MWh和8.69%。上述估计值用于源荷背景分析，费用目标采用第四章规定的新增措施支出。</w:t>
      </w:r>
    </w:p>
    <w:p>
      <w:bookmarkStart w:id="1288" w:name="h288"/>
      <w:pPr>
        <w:pStyle w:val="4"/>
        <w:keepNext/>
        <w:numPr>
          <w:numId w:val="0"/>
        </w:numPr>
        <w:spacing w:line="360" w:lineRule="auto" w:before="160" w:after="120"/>
        <w:ind w:firstLine="0"/>
      </w:pPr>
      <w:bookmarkStart w:id="107" w:name="主变负载率与双向净负荷"/>
      <w:r>
        <w:rPr>
          <w:rFonts w:ascii="Times New Roman" w:hAnsi="Times New Roman" w:eastAsia="方正仿宋_GBK"/>
          <w:b/>
          <w:sz w:val="32"/>
        </w:rPr>
        <w:t xml:space="preserve">3.4 主变负载率与双向净负荷</w:t>
      </w:r>
      <w:bookmarkEnd w:id="107"/>
      <w:bookmarkEnd w:id="1288"/>
    </w:p>
    <w:p>
      <w:pPr>
        <w:pStyle w:val="5"/>
        <w:keepNext/>
        <w:numPr>
          <w:numId w:val="0"/>
        </w:numPr>
        <w:spacing w:line="360" w:lineRule="auto"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00" w:lineRule="auto"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300" w:lineRule="auto" w:before="120" w:after="80"/>
        <w:ind w:firstLine="0"/>
        <w:jc w:val="center"/>
      </w:pPr>
      <w:r>
        <w:rPr>
          <w:rFonts w:ascii="Times New Roman" w:hAnsi="Times New Roman" w:eastAsia="宋体"/>
          <w:b w:val="0"/>
          <w:sz w:val="21"/>
        </w:rPr>
        <w:t xml:space="preserve">表3-5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样本台数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均值/%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中位数/%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≥80%台数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97.44</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邳州逐台主变年最大负载率中位数为52.55%，市区为54.62%。均值与中位数的差异说明设备分布需要单独观察。区域比值较高仍可能同时存在个别设备较高负载，建设措施应落实到站级。</w:t>
      </w:r>
    </w:p>
    <w:p>
      <w:pPr>
        <w:pStyle w:val="2"/>
        <w:keepNext/>
        <w:spacing w:line="240" w:lineRule="auto" w:before="120" w:after="0"/>
        <w:ind w:firstLine="0"/>
        <w:jc w:val="center"/>
      </w:pPr>
      <w:r>
        <w:drawing>
          <wp:inline>
            <wp:extent cx="5120640" cy="3022398"/>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3022398"/>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图3-3 邳州和市区逐台主变最大负载率分布</w:t>
      </w:r>
    </w:p>
    <w:p>
      <w:pPr>
        <w:pStyle w:val="5"/>
        <w:keepNext/>
        <w:numPr>
          <w:numId w:val="0"/>
        </w:numPr>
        <w:spacing w:line="360" w:lineRule="auto"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00" w:lineRule="auto"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p>
                  <m:e>
                    <m:r>
                      <m:t>P</m:t>
                    </m:r>
                  </m:e>
                  <m:sup>
                    <m:r>
                      <m:t>+</m:t>
                    </m:r>
                  </m:sup>
                </m:sSup>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r>
                  <m:t> </m:t>
                </m:r>
                <m:sSup>
                  <m:e>
                    <m:r>
                      <m:t>P</m:t>
                    </m:r>
                  </m:e>
                  <m:sup>
                    <m:r>
                      <m:rPr>
                        <m:sty m:val="p"/>
                      </m:rPr>
                      <m:t>a</m:t>
                    </m:r>
                    <m:r>
                      <m:rPr>
                        <m:sty m:val="p"/>
                      </m:rPr>
                      <m:t>b</m:t>
                    </m:r>
                    <m:r>
                      <m:rPr>
                        <m:sty m:val="p"/>
                      </m:rPr>
                      <m:t>s</m:t>
                    </m:r>
                  </m:sup>
                </m:sSup>
                <m:r>
                  <m:t>=</m:t>
                </m:r>
                <m:r>
                  <m:rPr>
                    <m:nor/>
                    <m:sty m:val="p"/>
                  </m:rPr>
                  <m:t>max</m:t>
                </m:r>
                <m:r>
                  <m:t>(</m:t>
                </m:r>
                <m:sSup>
                  <m:e>
                    <m:r>
                      <m:t>P</m:t>
                    </m:r>
                  </m:e>
                  <m:sup>
                    <m:r>
                      <m:t>+</m:t>
                    </m:r>
                  </m:sup>
                </m:sSup>
                <m:r>
                  <m:t>,</m:t>
                </m:r>
                <m:sSup>
                  <m:e>
                    <m:r>
                      <m:t>P</m:t>
                    </m:r>
                  </m:e>
                  <m:sup>
                    <m:r>
                      <m:t>−</m:t>
                    </m:r>
                  </m:sup>
                </m:sSup>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净负荷最大绝对值反映有功压力量级。与主变MVA比较时按功率因数折算，若要得到实际设备负载率，应使用同一时刻无功或电流资料。在相同功率因数下，同幅值正反向有功功率对应相同的视在容量占用；两种方向的网络接入、电压和保护条件仍分别校核[4][5]。</w:t>
      </w:r>
    </w:p>
    <w:p>
      <w:pPr>
        <w:pStyle w:val="2"/>
        <w:keepNext/>
        <w:spacing w:line="300" w:lineRule="auto" w:before="120" w:after="80"/>
        <w:ind w:firstLine="0"/>
        <w:jc w:val="center"/>
      </w:pPr>
      <w:r>
        <w:rPr>
          <w:rFonts w:ascii="Times New Roman" w:hAnsi="Times New Roman" w:eastAsia="宋体"/>
          <w:b w:val="0"/>
          <w:sz w:val="21"/>
        </w:rPr>
        <w:t xml:space="preserve">表3-6 2025年站级正反向净负荷与持续时间（含估计及补充仿真站）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变电站编号</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净负荷最大绝对值/MW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正向95%峰值持续时间/h</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反向95%峰值持续时间/h</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SIM-CITY-KL</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SIM-CITY-XSZ</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SIM-CITY-YQ</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keepNext/>
        <w:spacing w:line="300" w:lineRule="auto" w:before="120" w:after="80"/>
        <w:ind w:firstLine="0"/>
        <w:jc w:val="center"/>
      </w:pPr>
      <w:r>
        <w:rPr>
          <w:rFonts w:ascii="Times New Roman" w:hAnsi="Times New Roman" w:eastAsia="宋体"/>
          <w:b w:val="0"/>
          <w:sz w:val="21"/>
        </w:rPr>
        <w:t xml:space="preserve">表3-7 仿真各年站级正反向净负荷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规划年序</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各站最大正向净负荷合计/MW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各站最大反向净负荷合计/MW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反向站数</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站级最大绝对值/MW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变电站数量</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835.57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421.35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903.04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455.37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975.95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492.14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1054.76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531.88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1394.82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1419.92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1445.48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81.80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108.96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1471.50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bl>
    <w:p>
      <w:pPr>
        <w:pStyle w:val="2"/>
        <w:keepNext/>
        <w:spacing w:line="240" w:lineRule="auto" w:before="120" w:after="0"/>
        <w:ind w:firstLine="0"/>
        <w:jc w:val="center"/>
      </w:pPr>
      <w:r>
        <w:drawing>
          <wp:inline>
            <wp:extent cx="5120640" cy="2508169"/>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08169"/>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图3-4 两地区仿真年度站级正反向净负荷</w:t>
      </w:r>
    </w:p>
    <w:p>
      <w:pPr>
        <w:pStyle w:val="5"/>
        <w:keepNext/>
        <w:numPr>
          <w:numId w:val="0"/>
        </w:numPr>
        <w:spacing w:line="360" w:lineRule="auto" w:before="160" w:after="120"/>
        <w:ind w:firstLine="0"/>
      </w:pPr>
      <w:bookmarkStart w:id="112" w:name="同步区域峰与独立站峰"/>
      <w:r>
        <w:rPr>
          <w:rFonts w:ascii="Times New Roman" w:hAnsi="Times New Roman" w:eastAsia="方正仿宋_GBK"/>
          <w:b/>
          <w:sz w:val="26"/>
        </w:rPr>
        <w:t xml:space="preserve">3.4.3 同步区域峰与独立站峰</w:t>
      </w:r>
      <w:bookmarkEnd w:id="112"/>
    </w:p>
    <w:p>
      <w:pPr>
        <w:pStyle w:val="FirstParagraph"/>
        <w:widowControl/>
        <w:spacing w:line="300" w:lineRule="auto" w:before="0" w:after="0"/>
        <w:ind w:firstLine="480"/>
        <w:jc w:val="both"/>
      </w:pPr>
      <w:r>
        <w:rPr>
          <w:rFonts w:ascii="Times New Roman" w:hAnsi="Times New Roman" w:eastAsia="方正仿宋_GBK"/>
          <w:b w:val="0"/>
          <w:sz w:val="24"/>
        </w:rPr>
        <w:t xml:space="preserve">形成区域峰值时，应先在同一时间轴汇总各站功率，再取年度最大值。各站最大负荷可能发生在不同时间，直接相加通常高于区域同时最大负荷。本项目年网供最大负荷采用年度降压负荷估计，站级容量校核使用站级独立峰值，两类量按各自统计范围使用。</w:t>
      </w:r>
    </w:p>
    <w:p>
      <w:pPr>
        <w:pStyle w:val="2"/>
        <w:widowControl/>
        <w:spacing w:line="300" w:lineRule="auto" w:before="0" w:after="0"/>
        <w:ind w:firstLine="480"/>
        <w:jc w:val="both"/>
      </w:pPr>
      <w:r>
        <w:rPr>
          <w:rFonts w:ascii="Times New Roman" w:hAnsi="Times New Roman" w:eastAsia="方正仿宋_GBK"/>
          <w:b w:val="0"/>
          <w:sz w:val="24"/>
        </w:rPr>
        <w:t xml:space="preserve">各站最大负荷分别用于本站容量校核，区县年网供最大负荷用于容载比计算。模型以各站最大负荷为规划负荷：一个站转出多少负荷，其他站合计就承接多少，转接前后区县规划负荷总量保持不变。该处理用于比较站间负荷配置，区县容载比分母仍采用同范围年网供最大负荷。</w:t>
      </w:r>
    </w:p>
    <w:p>
      <w:pPr>
        <w:pStyle w:val="5"/>
        <w:keepNext/>
        <w:numPr>
          <w:numId w:val="0"/>
        </w:numPr>
        <w:spacing w:line="360" w:lineRule="auto" w:before="160" w:after="120"/>
        <w:ind w:firstLine="0"/>
      </w:pPr>
      <w:bookmarkStart w:id="113" w:name="峰值持续时间"/>
      <w:r>
        <w:rPr>
          <w:rFonts w:ascii="Times New Roman" w:hAnsi="Times New Roman" w:eastAsia="方正仿宋_GBK"/>
          <w:b/>
          <w:sz w:val="26"/>
        </w:rPr>
        <w:t xml:space="preserve">3.4.4 95%峰值持续时间</w:t>
      </w:r>
      <w:bookmarkEnd w:id="113"/>
    </w:p>
    <w:p>
      <w:pPr>
        <w:pStyle w:val="FirstParagraph"/>
        <w:widowControl/>
        <w:spacing w:line="300" w:lineRule="auto" w:before="0" w:after="0"/>
        <w:ind w:firstLine="480"/>
        <w:jc w:val="both"/>
      </w:pPr>
      <w:r>
        <w:rPr>
          <w:rFonts w:ascii="Times New Roman" w:hAnsi="Times New Roman" w:eastAsia="方正仿宋_GBK"/>
          <w:b w:val="0"/>
          <w:sz w:val="24"/>
        </w:rPr>
        <w:t xml:space="preserve">对每个方向，以对应峰值的95%构造幅值门槛，统计连续达到门槛的最长时段和全年累计时数。用于储能静态定容的是最长连续段，单位h；全年累计时数用于描述发生频度。</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H</m:t>
                          </m:r>
                        </m:e>
                        <m:sub>
                          <m:r>
                            <m:t>95</m:t>
                          </m:r>
                        </m:sub>
                        <m:sup>
                          <m:r>
                            <m:t>+</m:t>
                          </m:r>
                        </m:sup>
                      </m:sSubSup>
                    </m:e>
                    <m:e>
                      <m:r>
                        <m:t>=</m:t>
                      </m:r>
                      <m:r>
                        <m:rPr>
                          <m:nor/>
                          <m:sty m:val="p"/>
                        </m:rPr>
                        <m:t>max</m:t>
                      </m:r>
                      <m:r>
                        <m:t>{</m:t>
                      </m:r>
                      <m:r>
                        <m:rPr>
                          <m:nor/>
                          <m:sty m:val="p"/>
                        </m:rPr>
                        <m:t>连续时段长度</m:t>
                      </m:r>
                      <m:r>
                        <m:t>:</m:t>
                      </m:r>
                      <m:sSub>
                        <m:e>
                          <m:r>
                            <m:t>P</m:t>
                          </m:r>
                        </m:e>
                        <m:sub>
                          <m:r>
                            <m:t>t</m:t>
                          </m:r>
                        </m:sub>
                      </m:sSub>
                      <m:r>
                        <m:t>≥</m:t>
                      </m:r>
                      <m:r>
                        <m:t>0.95</m:t>
                      </m:r>
                      <m:sSup>
                        <m:e>
                          <m:r>
                            <m:t>P</m:t>
                          </m:r>
                        </m:e>
                        <m:sup>
                          <m:r>
                            <m:t>+</m:t>
                          </m:r>
                        </m:sup>
                      </m:sSup>
                      <m:r>
                        <m:t>}</m:t>
                      </m:r>
                      <m:r>
                        <m:t>,</m:t>
                      </m:r>
                    </m:e>
                  </m:mr>
                  <m:mr>
                    <m:e>
                      <m:sSubSup>
                        <m:e>
                          <m:r>
                            <m:t>H</m:t>
                          </m:r>
                        </m:e>
                        <m:sub>
                          <m:r>
                            <m:t>95</m:t>
                          </m:r>
                        </m:sub>
                        <m:sup>
                          <m:r>
                            <m:t>−</m:t>
                          </m:r>
                        </m:sup>
                      </m:sSubSup>
                    </m:e>
                    <m:e>
                      <m:r>
                        <m:t>=</m:t>
                      </m:r>
                      <m:r>
                        <m:rPr>
                          <m:nor/>
                          <m:sty m:val="p"/>
                        </m:rPr>
                        <m:t>max</m:t>
                      </m:r>
                      <m:r>
                        <m:t>{</m:t>
                      </m:r>
                      <m:r>
                        <m:rPr>
                          <m:nor/>
                          <m:sty m:val="p"/>
                        </m:rPr>
                        <m:t>连续时段长度</m:t>
                      </m:r>
                      <m:r>
                        <m:t>:</m:t>
                      </m:r>
                      <m:r>
                        <m:t>−</m:t>
                      </m:r>
                      <m:sSub>
                        <m:e>
                          <m:r>
                            <m:t>P</m:t>
                          </m:r>
                        </m:e>
                        <m:sub>
                          <m:r>
                            <m:t>t</m:t>
                          </m:r>
                        </m:sub>
                      </m:sSub>
                      <m:r>
                        <m:t>≥</m:t>
                      </m:r>
                      <m:r>
                        <m:t>0.95</m:t>
                      </m:r>
                      <m:sSup>
                        <m:e>
                          <m:r>
                            <m:t>P</m:t>
                          </m:r>
                        </m:e>
                        <m:sup>
                          <m:r>
                            <m:t>−</m:t>
                          </m:r>
                        </m:sup>
                      </m:s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H</m:t>
            </m:r>
          </m:e>
          <m:sub>
            <m:r>
              <m:t>95</m:t>
            </m:r>
          </m:sub>
          <m:sup>
            <m:r>
              <m:t>+</m:t>
            </m:r>
          </m:sup>
        </m:sSubSup>
      </m:oMath>
      <w:r>
        <w:rPr>
          <w:rFonts w:ascii="Times New Roman" w:hAnsi="Times New Roman" w:eastAsia="方正仿宋_GBK"/>
          <w:b w:val="0"/>
          <w:sz w:val="24"/>
        </w:rPr>
        <w:t xml:space="preserve">和</w:t>
      </w:r>
      <m:oMath>
        <m:sSubSup>
          <m:e>
            <m:r>
              <m:t>H</m:t>
            </m:r>
          </m:e>
          <m:sub>
            <m:r>
              <m:t>95</m:t>
            </m:r>
          </m:sub>
          <m:sup>
            <m:r>
              <m:t>−</m:t>
            </m:r>
          </m:sup>
        </m:sSubSup>
      </m:oMath>
      <w:r>
        <w:rPr>
          <w:rFonts w:ascii="Times New Roman" w:hAnsi="Times New Roman" w:eastAsia="方正仿宋_GBK"/>
          <w:b w:val="0"/>
          <w:sz w:val="24"/>
        </w:rPr>
        <w:t xml:space="preserve">分别为正向、反向95%峰值持续时间，</w:t>
      </w:r>
      <m:oMath>
        <m:r>
          <m:t>t</m:t>
        </m:r>
      </m:oMath>
      <w:r>
        <w:rPr>
          <w:rFonts w:ascii="Times New Roman" w:hAnsi="Times New Roman" w:eastAsia="方正仿宋_GBK"/>
          <w:b w:val="0"/>
          <w:sz w:val="24"/>
        </w:rPr>
        <w:t xml:space="preserve">为小时序号，</w:t>
      </w:r>
      <m:oMath>
        <m:sSub>
          <m:e>
            <m:r>
              <m:t>P</m:t>
            </m:r>
          </m:e>
          <m:sub>
            <m:r>
              <m:t>t</m:t>
            </m:r>
          </m:sub>
        </m:sSub>
      </m:oMath>
      <w:r>
        <w:rPr>
          <w:rFonts w:ascii="Times New Roman" w:hAnsi="Times New Roman" w:eastAsia="方正仿宋_GBK"/>
          <w:b w:val="0"/>
          <w:sz w:val="24"/>
        </w:rPr>
        <w:t xml:space="preserve">为对应净负荷；持续时间单位为h。仅对本方向峰值大于零的序列提取连续事件；峰值为零时，该方向持续时间记为0。参数情景采用至少1 h的数值下限，储能最终折算分母不小于2.15 h。缺失小时打断连续事件，补值序列的事件须保留估计状态。后续四个仿真年均使用2025年模板持续时间。</w:t>
      </w:r>
    </w:p>
    <w:p>
      <w:pPr>
        <w:pStyle w:val="2"/>
        <w:keepNext/>
        <w:spacing w:line="240" w:lineRule="auto" w:before="120" w:after="0"/>
        <w:ind w:firstLine="0"/>
        <w:jc w:val="center"/>
      </w:pPr>
      <w:r>
        <w:drawing>
          <wp:inline>
            <wp:extent cx="5120640" cy="2947516"/>
            <wp:effectExtent b="0" l="0" r="0" t="0"/>
            <wp:docPr descr="" title="" id="1" name="Picture"/>
            <a:graphic>
              <a:graphicData uri="http://schemas.openxmlformats.org/drawingml/2006/picture">
                <pic:pic>
                  <pic:nvPicPr>
                    <pic:cNvPr descr="研究报告/02图表/当前版/duration_distribution.png" id="0" name="Picture"/>
                    <pic:cNvPicPr>
                      <a:picLocks noChangeArrowheads="1" noChangeAspect="1"/>
                    </pic:cNvPicPr>
                  </pic:nvPicPr>
                  <pic:blipFill>
                    <a:blip r:embed="rId114"/>
                    <a:stretch>
                      <a:fillRect/>
                    </a:stretch>
                  </pic:blipFill>
                  <pic:spPr bwMode="auto">
                    <a:xfrm>
                      <a:off x="0" y="0"/>
                      <a:ext cx="5120640" cy="2947516"/>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图3-5 两地区站级正反向95%峰值持续时间</w:t>
      </w:r>
    </w:p>
    <w:p>
      <w:pPr>
        <w:pStyle w:val="5"/>
        <w:keepNext/>
        <w:numPr>
          <w:numId w:val="0"/>
        </w:numPr>
        <w:spacing w:line="360" w:lineRule="auto" w:before="160" w:after="120"/>
        <w:ind w:firstLine="0"/>
      </w:pPr>
      <w:bookmarkStart w:id="115" w:name="峰段与储能容量的联系"/>
      <w:r>
        <w:rPr>
          <w:rFonts w:ascii="Times New Roman" w:hAnsi="Times New Roman" w:eastAsia="方正仿宋_GBK"/>
          <w:b/>
          <w:sz w:val="26"/>
        </w:rPr>
        <w:t xml:space="preserve">3.4.5 峰段与储能容量的联系</w:t>
      </w:r>
      <w:bookmarkEnd w:id="115"/>
    </w:p>
    <w:p>
      <w:pPr>
        <w:pStyle w:val="FirstParagraph"/>
        <w:widowControl/>
        <w:spacing w:line="300" w:lineRule="auto" w:before="0" w:after="0"/>
        <w:ind w:firstLine="480"/>
        <w:jc w:val="both"/>
      </w:pPr>
      <w:r>
        <w:rPr>
          <w:rFonts w:ascii="Times New Roman" w:hAnsi="Times New Roman" w:eastAsia="方正仿宋_GBK"/>
          <w:b w:val="0"/>
          <w:sz w:val="24"/>
        </w:rPr>
        <w:t xml:space="preserve">峰值幅度和持续时间共同决定静态支撑需求。储能额定功率充足而可用能量不足时，不能覆盖整个连续尖峰；额定能量充足而变流器功率不足时，也不能提供所需瞬时支撑。模型使用铭牌功率与峰段可持续能量的较小值确定充放电功率。</w:t>
      </w:r>
    </w:p>
    <w:p>
      <w:pPr>
        <w:pStyle w:val="2"/>
        <w:widowControl/>
        <w:spacing w:line="300" w:lineRule="auto" w:before="0" w:after="0"/>
        <w:ind w:firstLine="480"/>
        <w:jc w:val="both"/>
      </w:pPr>
      <w:r>
        <w:rPr>
          <w:rFonts w:ascii="Times New Roman" w:hAnsi="Times New Roman" w:eastAsia="方正仿宋_GBK"/>
          <w:b w:val="0"/>
          <w:sz w:val="24"/>
        </w:rPr>
        <w:t xml:space="preserve">95%近峰段的最长连续时间描述已观测尖峰，不能直接替代主变故障持续时间或全部容量缺口的持续时间。退出后缺口可能从负荷尚未达到峰值95%时就开始，实际能量需求应按退出期间负荷超过剩余供电能力的功率差积分确定。本模型以峰值和近峰时长作静态比选，工程阶段还应核对故障恢复时间、连续多日运行、充电条件、充放电效率及荷电状态，核定储能保证可用能力[28][10]。</w:t>
      </w:r>
    </w:p>
    <w:p>
      <w:bookmarkStart w:id="1313" w:name="h313"/>
      <w:pPr>
        <w:pStyle w:val="4"/>
        <w:keepNext/>
        <w:numPr>
          <w:numId w:val="0"/>
        </w:numPr>
        <w:spacing w:line="360" w:lineRule="auto" w:before="160" w:after="120"/>
        <w:ind w:firstLine="0"/>
      </w:pPr>
      <w:bookmarkStart w:id="116" w:name="源荷与容量指标的关联分析"/>
      <w:r>
        <w:rPr>
          <w:rFonts w:ascii="Times New Roman" w:hAnsi="Times New Roman" w:eastAsia="方正仿宋_GBK"/>
          <w:b/>
          <w:sz w:val="32"/>
        </w:rPr>
        <w:t xml:space="preserve">3.5 源荷与容量指标的关联分析</w:t>
      </w:r>
      <w:bookmarkEnd w:id="116"/>
      <w:bookmarkEnd w:id="1313"/>
    </w:p>
    <w:p>
      <w:pPr>
        <w:pStyle w:val="5"/>
        <w:keepNext/>
        <w:numPr>
          <w:numId w:val="0"/>
        </w:numPr>
        <w:spacing w:line="360" w:lineRule="auto" w:before="160" w:after="120"/>
        <w:ind w:firstLine="0"/>
      </w:pPr>
      <w:bookmarkStart w:id="117" w:name="邳州和市区的横向对照"/>
      <w:r>
        <w:rPr>
          <w:rFonts w:ascii="Times New Roman" w:hAnsi="Times New Roman" w:eastAsia="方正仿宋_GBK"/>
          <w:b/>
          <w:sz w:val="26"/>
        </w:rPr>
        <w:t xml:space="preserve">3.5.1 邳州和市区的横向对照</w:t>
      </w:r>
      <w:bookmarkEnd w:id="117"/>
    </w:p>
    <w:p>
      <w:pPr>
        <w:pStyle w:val="FirstParagraph"/>
        <w:widowControl/>
        <w:spacing w:line="300" w:lineRule="auto" w:before="0" w:after="0"/>
        <w:ind w:firstLine="480"/>
        <w:jc w:val="both"/>
      </w:pPr>
      <w:r>
        <w:rPr>
          <w:rFonts w:ascii="Times New Roman" w:hAnsi="Times New Roman" w:eastAsia="方正仿宋_GBK"/>
          <w:b w:val="0"/>
          <w:sz w:val="24"/>
        </w:rPr>
        <w:t xml:space="preserve">邳州分布式电源装机渗透率估计为1.63，分布式电源电量渗透率为40.28%；市区分别为0.32和8.69%。两地区2025年主变总容量分别为2139.50和3701.00 MVA，年网供最大负荷分别为956.45和1528.82 MW，对应容载比约2.24和2.42。</w:t>
      </w:r>
    </w:p>
    <w:p>
      <w:pPr>
        <w:pStyle w:val="2"/>
        <w:widowControl/>
        <w:spacing w:line="300" w:lineRule="auto" w:before="0" w:after="0"/>
        <w:ind w:firstLine="480"/>
        <w:jc w:val="both"/>
      </w:pPr>
      <w:r>
        <w:rPr>
          <w:rFonts w:ascii="Times New Roman" w:hAnsi="Times New Roman" w:eastAsia="方正仿宋_GBK"/>
          <w:b w:val="0"/>
          <w:sz w:val="24"/>
        </w:rPr>
        <w:t xml:space="preserve">邳州光伏规模相对较大，设备容量分析需要同时关注正向供电和日间反向净负荷；市区侧重负荷分布及供电安全条件。上述对照为后续选择源荷情景提供依据。这里的历史容载比由现状容量和负荷形成；第五章采用两地区容载比均为2.00的共同仿真起点，用于比较相同起点下的容量配置与费用。</w:t>
      </w:r>
    </w:p>
    <w:p>
      <w:pPr>
        <w:pStyle w:val="2"/>
        <w:keepNext/>
        <w:spacing w:line="300" w:lineRule="auto"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分布式电源装机渗透率估计值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分布式电源电量渗透率估计值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主变年最大负载率中位数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典型场景及样本外推</w:t>
            </w:r>
          </w:p>
        </w:tc>
      </w:tr>
    </w:tbl>
    <w:p>
      <w:pPr>
        <w:pStyle w:val="5"/>
        <w:keepNext/>
        <w:numPr>
          <w:numId w:val="0"/>
        </w:numPr>
        <w:spacing w:line="360" w:lineRule="auto" w:before="160" w:after="120"/>
        <w:ind w:firstLine="0"/>
      </w:pPr>
      <w:bookmarkStart w:id="118" w:name="邳州月度同样本关联"/>
      <w:r>
        <w:rPr>
          <w:rFonts w:ascii="Times New Roman" w:hAnsi="Times New Roman" w:eastAsia="方正仿宋_GBK"/>
          <w:b/>
          <w:sz w:val="26"/>
        </w:rPr>
        <w:t xml:space="preserve">3.5.2 邳州月度同样本关联</w:t>
      </w:r>
      <w:bookmarkEnd w:id="118"/>
    </w:p>
    <w:p>
      <w:pPr>
        <w:pStyle w:val="FirstParagraph"/>
        <w:widowControl/>
        <w:spacing w:line="300" w:lineRule="auto" w:before="0" w:after="0"/>
        <w:ind w:firstLine="480"/>
        <w:jc w:val="both"/>
      </w:pPr>
      <w:r>
        <w:rPr>
          <w:rFonts w:ascii="Times New Roman" w:hAnsi="Times New Roman" w:eastAsia="方正仿宋_GBK"/>
          <w:b w:val="0"/>
          <w:sz w:val="24"/>
        </w:rPr>
        <w:t xml:space="preserve">利用邳州2025年110 kV样本时序和月度光伏装机，可以构造12个月的同样本净电量、光伏电量及月度峰值。以2025年末主变容量为固定分子、各月最大正向负荷为分母，构造固定年末容量下的月度容量负荷比，简称月度容量负荷比。该分析量用于比较月度负荷变化，与按当年容量和年网供最大负荷计算的年度容载比分别使用。</w:t>
      </w:r>
    </w:p>
    <w:p>
      <w:pPr>
        <w:pStyle w:val="2"/>
        <w:widowControl/>
        <w:spacing w:line="300" w:lineRule="auto" w:before="0" w:after="0"/>
        <w:ind w:firstLine="480"/>
        <w:jc w:val="both"/>
      </w:pPr>
      <w:r>
        <w:rPr>
          <w:rFonts w:ascii="Times New Roman" w:hAnsi="Times New Roman" w:eastAsia="方正仿宋_GBK"/>
          <w:b w:val="0"/>
          <w:sz w:val="24"/>
        </w:rPr>
        <w:t xml:space="preserve">月度分布式电源电量渗透率由该月估计光伏发电量除以重建用户电量得到；月度容量负荷比和站群估计负载率由同期净负荷序列得到。站群估计负载率按净负荷最大绝对值除以0.95倍同范围主变容量估计，0.95为功率因数假定。相关系数采用12个月的样本计算，原式及用途见式（3-8）。季节共同变化及指标共享分母可能形成相关，系数不作因果解释。</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X</m:t>
                    </m:r>
                    <m:r>
                      <m:t>Y</m:t>
                    </m:r>
                  </m:sub>
                </m:sSub>
                <m:r>
                  <m:t>=</m:t>
                </m:r>
                <m:f>
                  <m:fPr>
                    <m:type m:val="bar"/>
                  </m:fPr>
                  <m:num>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r>
                      <m:t>)</m:t>
                    </m:r>
                    <m:r>
                      <m:t>(</m:t>
                    </m:r>
                    <m:sSub>
                      <m:e>
                        <m:r>
                          <m:t>Y</m:t>
                        </m:r>
                      </m:e>
                      <m:sub>
                        <m:r>
                          <m:t>m</m:t>
                        </m:r>
                      </m:sub>
                    </m:sSub>
                    <m:r>
                      <m:t>−</m:t>
                    </m:r>
                    <m:acc>
                      <m:accPr>
                        <m:chr m:val="‾"/>
                      </m:accPr>
                      <m:e>
                        <m:r>
                          <m:t>Y</m:t>
                        </m:r>
                      </m:e>
                    </m:acc>
                    <m:r>
                      <m:t>)</m:t>
                    </m:r>
                  </m:num>
                  <m:den>
                    <m:rad>
                      <m:radPr>
                        <m:degHide m:val="1"/>
                      </m:radPr>
                      <m:deg/>
                      <m:e>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sSup>
                          <m:e>
                            <m:r>
                              <m:t>)</m:t>
                            </m:r>
                          </m:e>
                          <m:sup>
                            <m:r>
                              <m:t>2</m:t>
                            </m:r>
                          </m:sup>
                        </m:sSup>
                        <m:nary>
                          <m:naryPr>
                            <m:chr m:val="∑"/>
                            <m:limLoc m:val="undOvr"/>
                            <m:subHide m:val="0"/>
                            <m:supHide m:val="0"/>
                          </m:naryPr>
                          <m:sub>
                            <m:r>
                              <m:t>m</m:t>
                            </m:r>
                            <m:r>
                              <m:t>=</m:t>
                            </m:r>
                            <m:r>
                              <m:t>1</m:t>
                            </m:r>
                          </m:sub>
                          <m:sup>
                            <m:r>
                              <m:t>12</m:t>
                            </m:r>
                          </m:sup>
                          <m:e>
                            <m:r>
                              <m:t>(</m:t>
                            </m:r>
                          </m:e>
                        </m:nary>
                        <m:sSub>
                          <m:e>
                            <m:r>
                              <m:t>Y</m:t>
                            </m:r>
                          </m:e>
                          <m:sub>
                            <m:r>
                              <m:t>m</m:t>
                            </m:r>
                          </m:sub>
                        </m:sSub>
                        <m:r>
                          <m:t>−</m:t>
                        </m:r>
                        <m:acc>
                          <m:accPr>
                            <m:chr m:val="‾"/>
                          </m:accPr>
                          <m:e>
                            <m:r>
                              <m:t>Y</m:t>
                            </m:r>
                          </m:e>
                        </m:acc>
                        <m:sSup>
                          <m:e>
                            <m:r>
                              <m:t>)</m:t>
                            </m:r>
                          </m:e>
                          <m:sup>
                            <m:r>
                              <m:t>2</m:t>
                            </m:r>
                          </m:sup>
                        </m:sSup>
                      </m:e>
                    </m:rad>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X</m:t>
            </m:r>
          </m:e>
          <m:sub>
            <m:r>
              <m:t>m</m:t>
            </m:r>
          </m:sub>
        </m:sSub>
      </m:oMath>
      <w:r>
        <w:rPr>
          <w:rFonts w:ascii="Times New Roman" w:hAnsi="Times New Roman" w:eastAsia="方正仿宋_GBK"/>
          <w:b w:val="0"/>
          <w:sz w:val="24"/>
        </w:rPr>
        <w:t xml:space="preserve">和</w:t>
      </w:r>
      <m:oMath>
        <m:sSub>
          <m:e>
            <m:r>
              <m:t>Y</m:t>
            </m:r>
          </m:e>
          <m:sub>
            <m:r>
              <m:t>m</m:t>
            </m:r>
          </m:sub>
        </m:sSub>
      </m:oMath>
      <w:r>
        <w:rPr>
          <w:rFonts w:ascii="Times New Roman" w:hAnsi="Times New Roman" w:eastAsia="方正仿宋_GBK"/>
          <w:b w:val="0"/>
          <w:sz w:val="24"/>
        </w:rPr>
        <w:t xml:space="preserve">为第</w:t>
      </w:r>
      <m:oMath>
        <m:r>
          <m:t>m</m:t>
        </m:r>
      </m:oMath>
      <w:r>
        <w:rPr>
          <w:rFonts w:ascii="Times New Roman" w:hAnsi="Times New Roman" w:eastAsia="方正仿宋_GBK"/>
          <w:b w:val="0"/>
          <w:sz w:val="24"/>
        </w:rPr>
        <w:t xml:space="preserve">月的两个分析指标，</w:t>
      </w:r>
      <m:oMath>
        <m:acc>
          <m:accPr>
            <m:chr m:val="‾"/>
          </m:accPr>
          <m:e>
            <m:r>
              <m:t>X</m:t>
            </m:r>
          </m:e>
        </m:acc>
      </m:oMath>
      <w:r>
        <w:rPr>
          <w:rFonts w:ascii="Times New Roman" w:hAnsi="Times New Roman" w:eastAsia="方正仿宋_GBK"/>
          <w:b w:val="0"/>
          <w:sz w:val="24"/>
        </w:rPr>
        <w:t xml:space="preserve">和</w:t>
      </w:r>
      <m:oMath>
        <m:acc>
          <m:accPr>
            <m:chr m:val="‾"/>
          </m:accPr>
          <m:e>
            <m:r>
              <m:t>Y</m:t>
            </m:r>
          </m:e>
        </m:acc>
      </m:oMath>
      <w:r>
        <w:rPr>
          <w:rFonts w:ascii="Times New Roman" w:hAnsi="Times New Roman" w:eastAsia="方正仿宋_GBK"/>
          <w:b w:val="0"/>
          <w:sz w:val="24"/>
        </w:rPr>
        <w:t xml:space="preserve">分别为12个月指标的算术平均值，</w:t>
      </w:r>
      <m:oMath>
        <m:sSub>
          <m:e>
            <m:r>
              <m:t>r</m:t>
            </m:r>
          </m:e>
          <m:sub>
            <m:r>
              <m:t>X</m:t>
            </m:r>
            <m:r>
              <m:t>Y</m:t>
            </m:r>
          </m:sub>
        </m:sSub>
      </m:oMath>
      <w:r>
        <w:rPr>
          <w:rFonts w:ascii="Times New Roman" w:hAnsi="Times New Roman" w:eastAsia="方正仿宋_GBK"/>
          <w:b w:val="0"/>
          <w:sz w:val="24"/>
        </w:rPr>
        <w:t xml:space="preserve">为Pearson相关系数；</w:t>
      </w:r>
      <m:oMath>
        <m:r>
          <m:t>m</m:t>
        </m:r>
      </m:oMath>
      <w:r>
        <w:rPr>
          <w:rFonts w:ascii="Times New Roman" w:hAnsi="Times New Roman" w:eastAsia="方正仿宋_GBK"/>
          <w:b w:val="0"/>
          <w:sz w:val="24"/>
        </w:rPr>
        <w:t xml:space="preserve">为月份序号。</w:t>
      </w:r>
    </w:p>
    <w:p>
      <w:pPr>
        <w:pStyle w:val="2"/>
        <w:keepNext/>
        <w:spacing w:line="300" w:lineRule="auto" w:before="120" w:after="80"/>
        <w:ind w:firstLine="0"/>
        <w:jc w:val="center"/>
      </w:pPr>
      <w:r>
        <w:rPr>
          <w:rFonts w:ascii="Times New Roman" w:hAnsi="Times New Roman" w:eastAsia="宋体"/>
          <w:b w:val="0"/>
          <w:sz w:val="21"/>
        </w:rPr>
        <w:t xml:space="preserve">表3-9 邳州12个月的描述性相关系数（式3-8）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关联对象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Pearson相关系数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解释范围</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分布式电源电量渗透率—月度容量负荷比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固定容量、月度估计、样本内</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分布式电源电量渗透率—站群估计负载率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功率因数假定、非逐台实测</w:t>
            </w:r>
          </w:p>
        </w:tc>
      </w:tr>
    </w:tbl>
    <w:p>
      <w:pPr>
        <w:pStyle w:val="2"/>
        <w:keepNext/>
        <w:spacing w:line="300" w:lineRule="auto" w:before="120" w:after="80"/>
        <w:ind w:firstLine="0"/>
        <w:jc w:val="center"/>
      </w:pPr>
      <w:r>
        <w:rPr>
          <w:rFonts w:ascii="Times New Roman" w:hAnsi="Times New Roman" w:eastAsia="宋体"/>
          <w:b w:val="0"/>
          <w:sz w:val="21"/>
        </w:rPr>
        <w:t xml:space="preserve">表3-10 邳州月度指标计算明细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月份</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分布式电源电量渗透率/%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月度容量负荷比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站群估计负载率/%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月度光伏发电量/MWh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月度用户用电量/MWh</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104963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375895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37.19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96779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314368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119612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285414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57.57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226436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163852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271920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50.13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191575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382125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37.85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212845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562355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109046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440252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113324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308070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43.36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131956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304320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22.34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162290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334722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28.99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161660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410515</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邳州12个月的分布式电源电量渗透率与月度容量负荷比呈正相关，与站群估计负载率呈负相关。该方向与两个区县年度对照并不相同，月度关系包含季节性与固定容量条件，用于同片区季节分析。</w:t>
      </w:r>
    </w:p>
    <w:p>
      <w:pPr>
        <w:pStyle w:val="2"/>
        <w:keepNext/>
        <w:spacing w:line="240" w:lineRule="auto" w:before="120" w:after="0"/>
        <w:ind w:firstLine="0"/>
        <w:jc w:val="center"/>
      </w:pPr>
      <w:r>
        <w:drawing>
          <wp:inline>
            <wp:extent cx="5120640" cy="2363945"/>
            <wp:effectExtent b="0" l="0" r="0" t="0"/>
            <wp:docPr descr="" title="" id="1" name="Picture"/>
            <a:graphic>
              <a:graphicData uri="http://schemas.openxmlformats.org/drawingml/2006/picture">
                <pic:pic>
                  <pic:nvPicPr>
                    <pic:cNvPr descr="研究报告/02图表/当前版/monthly_correlation.png" id="0" name="Picture"/>
                    <pic:cNvPicPr>
                      <a:picLocks noChangeArrowheads="1" noChangeAspect="1"/>
                    </pic:cNvPicPr>
                  </pic:nvPicPr>
                  <pic:blipFill>
                    <a:blip r:embed="rId119"/>
                    <a:stretch>
                      <a:fillRect/>
                    </a:stretch>
                  </pic:blipFill>
                  <pic:spPr bwMode="auto">
                    <a:xfrm>
                      <a:off x="0" y="0"/>
                      <a:ext cx="5120640" cy="2363945"/>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图3-6 邳州月度分布式电源电量渗透率与容量压力关联</w:t>
      </w:r>
    </w:p>
    <w:p>
      <w:pPr>
        <w:pStyle w:val="5"/>
        <w:keepNext/>
        <w:numPr>
          <w:numId w:val="0"/>
        </w:numPr>
        <w:spacing w:line="360" w:lineRule="auto" w:before="160" w:after="120"/>
        <w:ind w:firstLine="0"/>
      </w:pPr>
      <w:bookmarkStart w:id="120" w:name="相关性结果的使用"/>
      <w:r>
        <w:rPr>
          <w:rFonts w:ascii="Times New Roman" w:hAnsi="Times New Roman" w:eastAsia="方正仿宋_GBK"/>
          <w:b/>
          <w:sz w:val="26"/>
        </w:rPr>
        <w:t xml:space="preserve">3.5.3 相关性结果的使用</w:t>
      </w:r>
      <w:bookmarkEnd w:id="120"/>
    </w:p>
    <w:p>
      <w:pPr>
        <w:pStyle w:val="FirstParagraph"/>
        <w:widowControl/>
        <w:spacing w:line="300" w:lineRule="auto" w:before="0" w:after="0"/>
        <w:ind w:firstLine="480"/>
        <w:jc w:val="both"/>
      </w:pPr>
      <w:r>
        <w:rPr>
          <w:rFonts w:ascii="Times New Roman" w:hAnsi="Times New Roman" w:eastAsia="方正仿宋_GBK"/>
          <w:b w:val="0"/>
          <w:sz w:val="24"/>
        </w:rPr>
        <w:t xml:space="preserve">月度统计用于识别光伏高发月份与容量压力的共同变化，为峰段情景选择提供参考。月度结果解释邳州同样本的季节变化，跨地区推荐采用五站仿真模板的多参数计算。</w:t>
      </w:r>
    </w:p>
    <w:p>
      <w:pPr>
        <w:pStyle w:val="2"/>
        <w:widowControl/>
        <w:spacing w:line="300" w:lineRule="auto" w:before="0" w:after="0"/>
        <w:ind w:firstLine="480"/>
        <w:jc w:val="both"/>
      </w:pPr>
      <w:r>
        <w:rPr>
          <w:rFonts w:ascii="Times New Roman" w:hAnsi="Times New Roman" w:eastAsia="方正仿宋_GBK"/>
          <w:b w:val="0"/>
          <w:sz w:val="24"/>
        </w:rPr>
        <w:t xml:space="preserve">通用矩阵以分布式电源装机渗透率划分源荷条件，分布式电源电量渗透率按统一利用小时和用户年负荷率换算。当前静态技术模型约束的是峰值和持续时间，未求解全年发电消纳目标。电量指标通过源荷条件与容量需求衔接，设备选择由相应峰值和持续时间约束确定。</w:t>
      </w:r>
    </w:p>
    <w:p>
      <w:pPr>
        <w:pStyle w:val="5"/>
        <w:keepNext/>
        <w:numPr>
          <w:numId w:val="0"/>
        </w:numPr>
        <w:spacing w:line="360" w:lineRule="auto" w:before="160" w:after="120"/>
        <w:ind w:firstLine="0"/>
      </w:pPr>
      <w:bookmarkStart w:id="121" w:name="候选指标筛选与驱动因子识别"/>
      <w:r>
        <w:rPr>
          <w:rFonts w:ascii="Times New Roman" w:hAnsi="Times New Roman" w:eastAsia="方正仿宋_GBK"/>
          <w:b/>
          <w:sz w:val="26"/>
        </w:rPr>
        <w:t xml:space="preserve">3.5.4 候选指标筛选与驱动因子识别</w:t>
      </w:r>
      <w:bookmarkEnd w:id="121"/>
    </w:p>
    <w:p>
      <w:pPr>
        <w:pStyle w:val="FirstParagraph"/>
        <w:widowControl/>
        <w:spacing w:line="300" w:lineRule="auto" w:before="0" w:after="0"/>
        <w:ind w:firstLine="480"/>
        <w:jc w:val="both"/>
      </w:pPr>
      <w:r>
        <w:rPr>
          <w:rFonts w:ascii="Times New Roman" w:hAnsi="Times New Roman" w:eastAsia="方正仿宋_GBK"/>
          <w:b w:val="0"/>
          <w:sz w:val="24"/>
        </w:rPr>
        <w:t xml:space="preserve">先从容量需求及工程措施的作用环节列出候选指标，再检查资料是否足以计算、指标是否与容载比共享分母，以及是否能独立改变约束或费用。资料完整性筛查后，分别用实际年度指标和固定容量下的月度分析量描述关联，再以控制其他输入的模型配对检验参数作用。候选指标及处理结果见下表。</w:t>
      </w:r>
    </w:p>
    <w:p>
      <w:pPr>
        <w:pStyle w:val="2"/>
        <w:keepNext/>
        <w:spacing w:line="300" w:lineRule="auto" w:before="120" w:after="80"/>
        <w:ind w:firstLine="0"/>
        <w:jc w:val="center"/>
      </w:pPr>
      <w:r>
        <w:rPr>
          <w:rFonts w:ascii="Times New Roman" w:hAnsi="Times New Roman" w:eastAsia="宋体"/>
          <w:b w:val="0"/>
          <w:sz w:val="21"/>
        </w:rPr>
        <w:t xml:space="preserve">表3-11 候选指标及筛选处理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候选指标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计算或作用方式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资料条件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处理结果</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饱和负荷密度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饱和最大负荷/供电面积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缺同范围面积记录</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用于供电区域类别核定</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供电区域类别</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导则分类及设备台账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案例类别；市区按A类假定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结构条件，按类别校核</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分布式电源装机渗透率（源荷比）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同范围装机/用户最大负荷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案例典型场景估计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核心源荷参数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发电量/用户电量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月度装机与样本电量估计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与装机指标换算，辅助校核</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主变年最大负载率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设备极值/额定容量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2025年负载率；缺多年同台记录</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设备运行现状分析</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最大正向、反向净负荷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逐时功率方向极值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样本时序及典型场景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直接进入容量约束</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年度同比率加权</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五年同范围年度负荷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核心需求参数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连续近峰段最长时长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2025年方向峰段模板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核心支撑参数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各站最大负荷之和/站群同时最大负荷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导则影响因素；案例样本及研究情景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结构条件，保留差异</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初始站间转供率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可转负荷/源端负荷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邳州样本；市区假定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技术能力条件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主变台数、规格及扩建条件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设备台账及预留位置</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案例设备；模板规格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设备候选及实施约束</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线路类型、长度与敷设比例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架空/电缆及工程长度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案例参考；两类敷设假定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分类成本条件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主变与线路单位功率投资比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主变单位功率投资/线路单位可转负荷投资</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工程造价及三档线路价格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线路费用条件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主变与储能单位功率投资比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主变单位功率投资/储能单位充放电功率投资</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成套采购价及三档储能价格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储能配置与费用条件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储能可用能量与效率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保证出力及荷电状态</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本次采用铭牌静态折算</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工程阶段连续时序校核</w:t>
            </w:r>
          </w:p>
        </w:tc>
      </w:tr>
    </w:tbl>
    <w:p>
      <w:pPr>
        <w:pStyle w:val="2"/>
        <w:widowControl/>
        <w:spacing w:line="300" w:lineRule="auto" w:before="0" w:after="0"/>
        <w:ind w:firstLine="480"/>
        <w:jc w:val="both"/>
      </w:pPr>
      <w:r>
        <w:rPr>
          <w:rFonts w:ascii="Times New Roman" w:hAnsi="Times New Roman" w:eastAsia="方正仿宋_GBK"/>
          <w:b w:val="0"/>
          <w:sz w:val="24"/>
        </w:rPr>
        <w:t xml:space="preserve">相关性分析使用邳州2025年12个月同范围指标和两地区2021—2025年年度容量、负荷，分别计算。月度容量负荷比固定采用年末容量和当月峰值，是季节分析量；实际年度容载比采用当年容量和年网供最大负荷，两者不混合作为同一被解释指标。年度容量与负荷又是容载比的计算组成量，其相关系数包含代数关系。年度水平仅有5个样本、同比率仅有4个样本，月度样本含季节共同变化，现有系数可描述关联，尚不足以按显著性或相关强度完成独立驱动因子的统计筛选。</w:t>
      </w:r>
    </w:p>
    <w:p>
      <w:pPr>
        <w:pStyle w:val="2"/>
        <w:keepNext/>
        <w:spacing w:line="300" w:lineRule="auto" w:before="120" w:after="80"/>
        <w:ind w:firstLine="0"/>
        <w:jc w:val="center"/>
      </w:pPr>
      <w:r>
        <w:rPr>
          <w:rFonts w:ascii="Times New Roman" w:hAnsi="Times New Roman" w:eastAsia="宋体"/>
          <w:b w:val="0"/>
          <w:sz w:val="21"/>
        </w:rPr>
        <w:t xml:space="preserve">表3-12 候选指标与容量负荷比的样本相关性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样本范围</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被解释指标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候选指标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Pearson相关系数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Spearman秩相关系数</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月度容量负荷比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月度容量负荷比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站群估计负载率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月度容量负荷比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月度光伏发电量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月度容量负荷比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月度用户用电量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月度容量负荷比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月最大正向净负荷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年网供最大负荷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公用主变总容量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年最大净负荷同比增长率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年网供最大负荷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公用主变总容量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年最大净负荷同比增长率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bl>
    <w:p>
      <w:pPr>
        <w:pStyle w:val="2"/>
        <w:keepNext/>
        <w:spacing w:line="300" w:lineRule="auto" w:before="120" w:after="80"/>
        <w:ind w:firstLine="0"/>
        <w:jc w:val="center"/>
      </w:pPr>
      <w:r>
        <w:rPr>
          <w:rFonts w:ascii="Times New Roman" w:hAnsi="Times New Roman" w:eastAsia="宋体"/>
          <w:b w:val="0"/>
          <w:sz w:val="21"/>
        </w:rPr>
        <w:t xml:space="preserve">表3-13 候选指标之间的相关性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指标一</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指标二</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Pearson相关系数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处理依据</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站群估计负载率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月度光伏发电量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月度用户用电量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月最大正向净负荷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站群估计负载率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月最大正向净负荷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直接换算，合并使用</w:t>
            </w:r>
          </w:p>
        </w:tc>
      </w:tr>
    </w:tbl>
    <w:p>
      <w:pPr>
        <w:pStyle w:val="2"/>
        <w:widowControl/>
        <w:spacing w:line="300" w:lineRule="auto" w:before="0" w:after="0"/>
        <w:ind w:firstLine="480"/>
        <w:jc w:val="both"/>
      </w:pPr>
      <w:r>
        <w:rPr>
          <w:rFonts w:ascii="Times New Roman" w:hAnsi="Times New Roman" w:eastAsia="方正仿宋_GBK"/>
          <w:b w:val="0"/>
          <w:sz w:val="24"/>
        </w:rPr>
        <w:t xml:space="preserve">月度分布式电源电量渗透率与月度容量负荷比的相关系数为0.66，与站群估计负载率为－0.66，反映该样本的季节变化。月正向峰值与负载率估计值完全对应，二者在固定容量和功率因数下互为换算，故不同时作为独立驱动因子。分布式电源电量渗透率与光伏电量、用户电量的相关系数分别为0.48和－0.51，其变化同时受发电和用电影响。外推中分布式电源装机渗透率与分布式电源电量渗透率按统一利用小时换算，二者相关系数为1.00，因此矩阵保留分布式电源装机渗透率作为独立维度，分布式电源电量渗透率用于解释和校核源荷条件。</w:t>
      </w:r>
    </w:p>
    <w:p>
      <w:pPr>
        <w:pStyle w:val="2"/>
        <w:widowControl/>
        <w:spacing w:line="300" w:lineRule="auto" w:before="0" w:after="0"/>
        <w:ind w:firstLine="480"/>
        <w:jc w:val="both"/>
      </w:pPr>
      <w:r>
        <w:rPr>
          <w:rFonts w:ascii="Times New Roman" w:hAnsi="Times New Roman" w:eastAsia="方正仿宋_GBK"/>
          <w:b w:val="0"/>
          <w:sz w:val="24"/>
        </w:rPr>
        <w:t xml:space="preserve">综合机理分析、样本关联与条件敏感性结果，保留分布式电源装机渗透率、负荷增长、峰段持续时间和主变与储能单位功率投资比作为分别设定的外推参数，依据分别为反向容量需求、负荷预测、储能功率能量关系及措施经济替代。分布式电源电量渗透率与装机指标在模板中存在固定换算关系，作为源荷背景和校核参考保留；主变与线路单位功率投资比在现有模板中尚未引起容量变化，列为工程费用条件。供电区域类别、转供率及负荷分散系数作为结构条件。负荷密度缺少同范围面积资料，主变负载率缺少连续多年同台设备记录，暂用于类别判断和现状诊断。各参数的证据与使用范围见下表；模型配对的具体结果在第5.6.4节列示。</w:t>
      </w:r>
    </w:p>
    <w:p>
      <w:pPr>
        <w:pStyle w:val="2"/>
        <w:keepNext/>
        <w:spacing w:line="300" w:lineRule="auto" w:before="120" w:after="80"/>
        <w:ind w:firstLine="0"/>
        <w:jc w:val="center"/>
      </w:pPr>
      <w:r>
        <w:rPr>
          <w:rFonts w:ascii="Times New Roman" w:hAnsi="Times New Roman" w:eastAsia="宋体"/>
          <w:b w:val="0"/>
          <w:sz w:val="21"/>
        </w:rPr>
        <w:t xml:space="preserve">表3-14 入选参数的证据与使用范围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参数或条件</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筛选依据</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在本研究中的使用</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反向容量约束；模型端点比值均变化</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分别设定的源荷参数，结论限于所设日间场景</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月度关联；外推中由装机指标换算</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源荷背景及反向校核参考，非独立维度</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导则容量储备分档；年度预测及模型配对</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分别设定的需求参数；历史小样本关联仅作描述</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功率能量关系；19.17%的端点配对比值变化</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分别设定的支撑参数，用于充放电功率与能量折算</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投资资料；17.93%的端点配对比值变化</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分别设定的费用参数，按实际持续时间计费</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线路类型及主变与线路单位功率投资比</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分类造价；模型配对未出现容量变化</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三档线路价格单独比较费用</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供电区域类别、初始站间转供率及负荷分散系数</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设备及网络作用；按模板共同设置</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结构条件，查表时保留对应结构</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主变年最大负载率、饱和负荷密度</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缺多年同台负载率或同范围面积</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用于设备现状与区域类别分析</w:t>
            </w:r>
          </w:p>
        </w:tc>
      </w:tr>
    </w:tbl>
    <w:p>
      <w:bookmarkStart w:id="1339" w:name="h339"/>
      <w:pPr>
        <w:pStyle w:val="4"/>
        <w:keepNext/>
        <w:numPr>
          <w:numId w:val="0"/>
        </w:numPr>
        <w:spacing w:line="360" w:lineRule="auto" w:before="160" w:after="120"/>
        <w:ind w:firstLine="0"/>
      </w:pPr>
      <w:bookmarkStart w:id="122" w:name="kv负荷转接资料与仿真条件"/>
      <w:r>
        <w:rPr>
          <w:rFonts w:ascii="Times New Roman" w:hAnsi="Times New Roman" w:eastAsia="方正仿宋_GBK"/>
          <w:b/>
          <w:sz w:val="32"/>
        </w:rPr>
        <w:t xml:space="preserve">3.6 10 kV负荷转接资料与仿真条件</w:t>
      </w:r>
      <w:bookmarkEnd w:id="122"/>
      <w:bookmarkEnd w:id="1339"/>
    </w:p>
    <w:p>
      <w:pPr>
        <w:pStyle w:val="5"/>
        <w:keepNext/>
        <w:numPr>
          <w:numId w:val="0"/>
        </w:numPr>
        <w:spacing w:line="360" w:lineRule="auto" w:before="160" w:after="120"/>
        <w:ind w:firstLine="0"/>
      </w:pPr>
      <w:bookmarkStart w:id="123" w:name="现有馈线资料"/>
      <w:r>
        <w:rPr>
          <w:rFonts w:ascii="Times New Roman" w:hAnsi="Times New Roman" w:eastAsia="方正仿宋_GBK"/>
          <w:b/>
          <w:sz w:val="26"/>
        </w:rPr>
        <w:t xml:space="preserve">3.6.1 现有馈线资料</w:t>
      </w:r>
      <w:bookmarkEnd w:id="123"/>
    </w:p>
    <w:p>
      <w:pPr>
        <w:pStyle w:val="FirstParagraph"/>
        <w:widowControl/>
        <w:spacing w:line="300" w:lineRule="auto" w:before="0" w:after="0"/>
        <w:ind w:firstLine="480"/>
        <w:jc w:val="both"/>
      </w:pPr>
      <w:r>
        <w:rPr>
          <w:rFonts w:ascii="Times New Roman" w:hAnsi="Times New Roman" w:eastAsia="方正仿宋_GBK"/>
          <w:b w:val="0"/>
          <w:sz w:val="24"/>
        </w:rPr>
        <w:t xml:space="preserve">邳州局部样本包含六条馈线及跨站联络关系。根据源端负荷、分段位置和接收余量，原样本静态可转移上界为9.98 MW，六馈线源端负荷为35.29 MW，比值28.29%。本研究将该局部样本比例作为邳州各仿真站的初始转供率。</w:t>
      </w:r>
    </w:p>
    <w:p>
      <w:pPr>
        <w:pStyle w:val="2"/>
        <w:widowControl/>
        <w:spacing w:line="300" w:lineRule="auto" w:before="0" w:after="0"/>
        <w:ind w:firstLine="480"/>
        <w:jc w:val="both"/>
      </w:pPr>
      <w:r>
        <w:rPr>
          <w:rFonts w:ascii="Times New Roman" w:hAnsi="Times New Roman" w:eastAsia="方正仿宋_GBK"/>
          <w:b w:val="0"/>
          <w:sz w:val="24"/>
        </w:rPr>
        <w:t xml:space="preserve">具体新线候选区段的原重建负荷为7.49 MW，规划筛查取7.49 MW；按允许电流折算的线路有功容量为9.05 MW。候选有效转供负荷取区段负荷与线路允许容量较小值。线路参考长度为3 km，架空与电缆比例为90%与10%。</w:t>
      </w:r>
    </w:p>
    <w:p>
      <w:pPr>
        <w:pStyle w:val="5"/>
        <w:keepNext/>
        <w:numPr>
          <w:numId w:val="0"/>
        </w:numPr>
        <w:spacing w:line="360" w:lineRule="auto" w:before="160" w:after="120"/>
        <w:ind w:firstLine="0"/>
      </w:pPr>
      <w:bookmarkStart w:id="124" w:name="区县站间转供率的设定"/>
      <w:r>
        <w:rPr>
          <w:rFonts w:ascii="Times New Roman" w:hAnsi="Times New Roman" w:eastAsia="方正仿宋_GBK"/>
          <w:b/>
          <w:sz w:val="26"/>
        </w:rPr>
        <w:t xml:space="preserve">3.6.2 区县站间转供率的设定</w:t>
      </w:r>
      <w:bookmarkEnd w:id="124"/>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提出，A+、A类供电区域变电站通过中压配电网转移负荷的比例宜为50.00%～70.00%，B、C类宜为30.00%～50.00%[5]。市区按A类供电区域设定初始站间转供率为50.00%。邳州依据六条馈线负荷和跨站联络资料计算得到28.29%，将该样本比例作为县域各站统一的初始转供率。</w:t>
      </w:r>
    </w:p>
    <w:p>
      <w:pPr>
        <w:pStyle w:val="2"/>
        <w:widowControl/>
        <w:spacing w:line="300" w:lineRule="auto" w:before="0" w:after="0"/>
        <w:ind w:firstLine="480"/>
        <w:jc w:val="both"/>
      </w:pPr>
      <w:r>
        <w:rPr>
          <w:rFonts w:ascii="Times New Roman" w:hAnsi="Times New Roman" w:eastAsia="方正仿宋_GBK"/>
          <w:b w:val="0"/>
          <w:sz w:val="24"/>
        </w:rPr>
        <w:t xml:space="preserve">邳州以30%、市区以50%作为转供能力规划目标，分别以50%和70%作为研究上限。利用既有能力进行负荷转接的新增建设投资为零；能力不足时，通过新建10 kV联络线补充。两区县均允许内部任意两个不同站之间设置新增等效联络项目。第五章列明能力预算、项目计费和送受端校核方法[5]。</w:t>
      </w:r>
    </w:p>
    <w:p>
      <w:pPr>
        <w:pStyle w:val="5"/>
        <w:keepNext/>
        <w:numPr>
          <w:numId w:val="0"/>
        </w:numPr>
        <w:spacing w:line="360" w:lineRule="auto" w:before="160" w:after="120"/>
        <w:ind w:firstLine="0"/>
      </w:pPr>
      <w:bookmarkStart w:id="125" w:name="电源归属及反送处理"/>
      <w:r>
        <w:rPr>
          <w:rFonts w:ascii="Times New Roman" w:hAnsi="Times New Roman" w:eastAsia="方正仿宋_GBK"/>
          <w:b/>
          <w:sz w:val="26"/>
        </w:rPr>
        <w:t xml:space="preserve">3.6.3 电源归属及反送处理</w:t>
      </w:r>
      <w:bookmarkEnd w:id="125"/>
    </w:p>
    <w:p>
      <w:pPr>
        <w:pStyle w:val="FirstParagraph"/>
        <w:widowControl/>
        <w:spacing w:line="300" w:lineRule="auto" w:before="0" w:after="0"/>
        <w:ind w:firstLine="480"/>
        <w:jc w:val="both"/>
      </w:pPr>
      <w:r>
        <w:rPr>
          <w:rFonts w:ascii="Times New Roman" w:hAnsi="Times New Roman" w:eastAsia="方正仿宋_GBK"/>
          <w:b w:val="0"/>
          <w:sz w:val="24"/>
        </w:rPr>
        <w:t xml:space="preserve">正常转接的是用电负荷，电源仍保留在原站。转出负荷后，本地消纳减少，原站反送压力可能增加。缺少转接块逐时曲线时，模型以原反送峰值加转出峰值作为保守上界，不抵扣受端增加消纳的收益。该规则使正向减压与潜在反向增压同步进入筛查。</w:t>
      </w:r>
    </w:p>
    <w:p>
      <w:pPr>
        <w:pStyle w:val="2"/>
        <w:widowControl/>
        <w:spacing w:line="300" w:lineRule="auto" w:before="0" w:after="0"/>
        <w:ind w:firstLine="480"/>
        <w:jc w:val="both"/>
      </w:pPr>
      <w:r>
        <w:rPr>
          <w:rFonts w:ascii="Times New Roman" w:hAnsi="Times New Roman" w:eastAsia="方正仿宋_GBK"/>
          <w:b w:val="0"/>
          <w:sz w:val="24"/>
        </w:rPr>
        <w:t xml:space="preserve">该上界按峰值包络处理反向容量需求。取得转接负荷块的同步负荷与光伏时序后，可按同一时刻重新计算两端净负荷，并同步修正正向与反向约束。</w:t>
      </w:r>
    </w:p>
    <w:p>
      <w:bookmarkStart w:id="1349" w:name="h349"/>
      <w:pPr>
        <w:pStyle w:val="4"/>
        <w:keepNext/>
        <w:numPr>
          <w:numId w:val="0"/>
        </w:numPr>
        <w:spacing w:line="360" w:lineRule="auto" w:before="160" w:after="120"/>
        <w:ind w:firstLine="0"/>
      </w:pPr>
      <w:bookmarkStart w:id="126" w:name="站级净负荷分布与配置需求"/>
      <w:r>
        <w:rPr>
          <w:rFonts w:ascii="Times New Roman" w:hAnsi="Times New Roman" w:eastAsia="方正仿宋_GBK"/>
          <w:b/>
          <w:sz w:val="32"/>
        </w:rPr>
        <w:t xml:space="preserve">3.7 站级净负荷分布与配置需求</w:t>
      </w:r>
      <w:bookmarkEnd w:id="126"/>
      <w:bookmarkEnd w:id="1349"/>
    </w:p>
    <w:p>
      <w:pPr>
        <w:pStyle w:val="5"/>
        <w:keepNext/>
        <w:numPr>
          <w:numId w:val="0"/>
        </w:numPr>
        <w:spacing w:line="360" w:lineRule="auto" w:before="160" w:after="120"/>
        <w:ind w:firstLine="0"/>
      </w:pPr>
      <w:bookmarkStart w:id="127" w:name="邳州仿真净负荷"/>
      <w:r>
        <w:rPr>
          <w:rFonts w:ascii="Times New Roman" w:hAnsi="Times New Roman" w:eastAsia="方正仿宋_GBK"/>
          <w:b/>
          <w:sz w:val="26"/>
        </w:rPr>
        <w:t xml:space="preserve">3.7.1 邳州仿真净负荷</w:t>
      </w:r>
      <w:bookmarkEnd w:id="127"/>
    </w:p>
    <w:p>
      <w:pPr>
        <w:pStyle w:val="FirstParagraph"/>
        <w:widowControl/>
        <w:spacing w:line="300" w:lineRule="auto" w:before="0" w:after="0"/>
        <w:ind w:firstLine="480"/>
        <w:jc w:val="both"/>
      </w:pPr>
      <w:r>
        <w:rPr>
          <w:rFonts w:ascii="Times New Roman" w:hAnsi="Times New Roman" w:eastAsia="方正仿宋_GBK"/>
          <w:b w:val="0"/>
          <w:sz w:val="24"/>
        </w:rPr>
        <w:t xml:space="preserve">邳州将2025年站级正向、反向净负荷分布标定到容载比2.00的基期，后续按年最大净负荷平均增长率推演。各站采用相同年度规模系数，保留站级源荷结构和峰段持续时间。</w:t>
      </w:r>
    </w:p>
    <w:p>
      <w:pPr>
        <w:pStyle w:val="2"/>
        <w:keepNext/>
        <w:spacing w:line="240" w:lineRule="auto" w:before="120" w:after="0"/>
        <w:ind w:firstLine="0"/>
        <w:jc w:val="center"/>
      </w:pPr>
      <w:r>
        <w:drawing>
          <wp:inline>
            <wp:extent cx="5120640" cy="4631147"/>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28"/>
                    <a:stretch>
                      <a:fillRect/>
                    </a:stretch>
                  </pic:blipFill>
                  <pic:spPr bwMode="auto">
                    <a:xfrm>
                      <a:off x="0" y="0"/>
                      <a:ext cx="5120640" cy="4631147"/>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图3-7 邳州逐站仿真年度净负荷最大绝对值</w:t>
      </w:r>
    </w:p>
    <w:p>
      <w:pPr>
        <w:pStyle w:val="2"/>
        <w:widowControl/>
        <w:spacing w:line="300" w:lineRule="auto" w:before="0" w:after="0"/>
        <w:ind w:firstLine="480"/>
        <w:jc w:val="both"/>
      </w:pPr>
      <w:r>
        <w:rPr>
          <w:rFonts w:ascii="Times New Roman" w:hAnsi="Times New Roman" w:eastAsia="方正仿宋_GBK"/>
          <w:b w:val="0"/>
          <w:sz w:val="24"/>
        </w:rPr>
        <w:t xml:space="preserve">图中每行对应一座变电站，每列对应一个仿真年，单元格颜色按该站正向与反向净负荷峰值中的较大值映射，颜色越深表示容量压力越大。该图用于定位需要重点校核的站点，并观察负荷增长对站级需求的影响；同一站四年的变化来自相同空间分布下的年度增长假定。峰值方向及持续时间在表中分别列示。</w:t>
      </w:r>
    </w:p>
    <w:p>
      <w:pPr>
        <w:pStyle w:val="5"/>
        <w:keepNext/>
        <w:numPr>
          <w:numId w:val="0"/>
        </w:numPr>
        <w:spacing w:line="360" w:lineRule="auto" w:before="160" w:after="120"/>
        <w:ind w:firstLine="0"/>
      </w:pPr>
      <w:bookmarkStart w:id="129" w:name="市区仿真净负荷"/>
      <w:r>
        <w:rPr>
          <w:rFonts w:ascii="Times New Roman" w:hAnsi="Times New Roman" w:eastAsia="方正仿宋_GBK"/>
          <w:b/>
          <w:sz w:val="26"/>
        </w:rPr>
        <w:t xml:space="preserve">3.7.2 市区仿真净负荷</w:t>
      </w:r>
      <w:bookmarkEnd w:id="129"/>
    </w:p>
    <w:p>
      <w:pPr>
        <w:pStyle w:val="FirstParagraph"/>
        <w:widowControl/>
        <w:spacing w:line="300" w:lineRule="auto" w:before="0" w:after="0"/>
        <w:ind w:firstLine="480"/>
        <w:jc w:val="both"/>
      </w:pPr>
      <w:r>
        <w:rPr>
          <w:rFonts w:ascii="Times New Roman" w:hAnsi="Times New Roman" w:eastAsia="方正仿宋_GBK"/>
          <w:b w:val="0"/>
          <w:sz w:val="24"/>
        </w:rPr>
        <w:t xml:space="preserve">市区29站同样按2025年空间分布与仿真年度规模标定。初始转供率50%用于内部负荷调整，A类供电区域的设备选择与转供能力范围进入规划条件。</w:t>
      </w:r>
    </w:p>
    <w:p>
      <w:pPr>
        <w:pStyle w:val="2"/>
        <w:keepNext/>
        <w:spacing w:line="240" w:lineRule="auto" w:before="120" w:after="0"/>
        <w:ind w:firstLine="0"/>
        <w:jc w:val="center"/>
      </w:pPr>
      <w:r>
        <w:drawing>
          <wp:inline>
            <wp:extent cx="5120640" cy="6032350"/>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0"/>
                    <a:stretch>
                      <a:fillRect/>
                    </a:stretch>
                  </pic:blipFill>
                  <pic:spPr bwMode="auto">
                    <a:xfrm>
                      <a:off x="0" y="0"/>
                      <a:ext cx="5120640" cy="6032350"/>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图3-8 市区逐站仿真年度净负荷最大绝对值</w:t>
      </w:r>
    </w:p>
    <w:p>
      <w:pPr>
        <w:pStyle w:val="2"/>
        <w:widowControl/>
        <w:spacing w:line="300" w:lineRule="auto" w:before="0" w:after="0"/>
        <w:ind w:firstLine="480"/>
        <w:jc w:val="both"/>
      </w:pPr>
      <w:r>
        <w:rPr>
          <w:rFonts w:ascii="Times New Roman" w:hAnsi="Times New Roman" w:eastAsia="方正仿宋_GBK"/>
          <w:b w:val="0"/>
          <w:sz w:val="24"/>
        </w:rPr>
        <w:t xml:space="preserve">市区最大反向净负荷相对较小，主要容量需求来自正向负荷及主变N-1后的供电缺口。局部负荷分布、设备台数和承接站余量共同影响增容、配储和联络选择。</w:t>
      </w:r>
    </w:p>
    <w:p>
      <w:pPr>
        <w:pStyle w:val="5"/>
        <w:keepNext/>
        <w:numPr>
          <w:numId w:val="0"/>
        </w:numPr>
        <w:spacing w:line="360" w:lineRule="auto" w:before="160" w:after="120"/>
        <w:ind w:firstLine="0"/>
      </w:pPr>
      <w:bookmarkStart w:id="131" w:name="较高净负荷站的方向与时间"/>
      <w:r>
        <w:rPr>
          <w:rFonts w:ascii="Times New Roman" w:hAnsi="Times New Roman" w:eastAsia="方正仿宋_GBK"/>
          <w:b/>
          <w:sz w:val="26"/>
        </w:rPr>
        <w:t xml:space="preserve">3.7.3 较高净负荷站的方向与时间</w:t>
      </w:r>
      <w:bookmarkEnd w:id="131"/>
    </w:p>
    <w:p>
      <w:pPr>
        <w:pStyle w:val="FirstParagraph"/>
        <w:keepNext/>
        <w:spacing w:line="300" w:lineRule="auto" w:before="120" w:after="80"/>
        <w:ind w:firstLine="0"/>
        <w:jc w:val="center"/>
      </w:pPr>
      <w:r>
        <w:rPr>
          <w:rFonts w:ascii="Times New Roman" w:hAnsi="Times New Roman" w:eastAsia="宋体"/>
          <w:b w:val="0"/>
          <w:sz w:val="21"/>
        </w:rPr>
        <w:t xml:space="preserve">表3-15 第4年净负荷较大站的运行特征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41"/>
        <w:gridCol w:w="1609"/>
        <w:gridCol w:w="1341"/>
        <w:gridCol w:w="1341"/>
        <w:gridCol w:w="1341"/>
        <w:gridCol w:w="1341"/>
      </w:tblGrid>
      <w:tr>
        <w:trPr>
          <w:cantSplit/>
          <w:tblHeader/>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站号</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最大正向净负荷/MW</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最大反向净负荷/MW</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正向95%峰值持续时间/h</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反向95%峰值持续时间/h</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59.41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76.30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82.69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widowControl/>
        <w:spacing w:line="300" w:lineRule="auto" w:before="0" w:after="0"/>
        <w:ind w:firstLine="480"/>
        <w:jc w:val="both"/>
      </w:pPr>
      <w:r>
        <w:rPr>
          <w:rFonts w:ascii="Times New Roman" w:hAnsi="Times New Roman" w:eastAsia="方正仿宋_GBK"/>
          <w:b w:val="0"/>
          <w:sz w:val="24"/>
        </w:rPr>
        <w:t xml:space="preserve">表中分别选取两地区仿真第4年净负荷最大绝对值较大的5座站。方向峰值与持续时间成对使用，用于识别主变有功容量和储能能量需求。</w:t>
      </w:r>
    </w:p>
    <w:p>
      <w:pPr>
        <w:pStyle w:val="5"/>
        <w:keepNext/>
        <w:numPr>
          <w:numId w:val="0"/>
        </w:numPr>
        <w:spacing w:line="360" w:lineRule="auto" w:before="160" w:after="120"/>
        <w:ind w:firstLine="0"/>
      </w:pPr>
      <w:bookmarkStart w:id="132" w:name="运行分析与寻优输入的衔接"/>
      <w:r>
        <w:rPr>
          <w:rFonts w:ascii="Times New Roman" w:hAnsi="Times New Roman" w:eastAsia="方正仿宋_GBK"/>
          <w:b/>
          <w:sz w:val="26"/>
        </w:rPr>
        <w:t xml:space="preserve">3.7.4 运行分析与寻优输入的衔接</w:t>
      </w:r>
      <w:bookmarkEnd w:id="132"/>
    </w:p>
    <w:p>
      <w:pPr>
        <w:pStyle w:val="FirstParagraph"/>
        <w:widowControl/>
        <w:spacing w:line="300" w:lineRule="auto" w:before="0" w:after="0"/>
        <w:ind w:firstLine="480"/>
        <w:jc w:val="both"/>
      </w:pPr>
      <w:r>
        <w:rPr>
          <w:rFonts w:ascii="Times New Roman" w:hAnsi="Times New Roman" w:eastAsia="方正仿宋_GBK"/>
          <w:b w:val="0"/>
          <w:sz w:val="24"/>
        </w:rPr>
        <w:t xml:space="preserve">两地区采用相同三类措施，负荷和设备结构不同，各约束的作用也不同。站级正向负荷转出后，原站电源保持归属，反向校核上界相应增加；承接站按转接后的正向负荷校核正常运行与主变N-1容量。</w:t>
      </w:r>
    </w:p>
    <w:p>
      <w:pPr>
        <w:pStyle w:val="2"/>
        <w:widowControl/>
        <w:spacing w:line="300" w:lineRule="auto" w:before="0" w:after="0"/>
        <w:ind w:firstLine="480"/>
        <w:jc w:val="both"/>
      </w:pPr>
      <w:r>
        <w:rPr>
          <w:rFonts w:ascii="Times New Roman" w:hAnsi="Times New Roman" w:eastAsia="方正仿宋_GBK"/>
          <w:b w:val="0"/>
          <w:sz w:val="24"/>
        </w:rPr>
        <w:t xml:space="preserve">区域年网供最大负荷按仿真增长条件确定，区县内部转接保持站级负荷总量。第五章按逐站约束求得设备容量，再计算年度容载比。</w:t>
      </w:r>
    </w:p>
    <w:p>
      <w:pPr>
        <w:pStyle w:val="5"/>
        <w:keepNext/>
        <w:numPr>
          <w:numId w:val="0"/>
        </w:numPr>
        <w:spacing w:line="360" w:lineRule="auto" w:before="160" w:after="120"/>
        <w:ind w:firstLine="0"/>
      </w:pPr>
      <w:bookmarkStart w:id="133" w:name="站级净负荷的主导方向"/>
      <w:r>
        <w:rPr>
          <w:rFonts w:ascii="Times New Roman" w:hAnsi="Times New Roman" w:eastAsia="方正仿宋_GBK"/>
          <w:b/>
          <w:sz w:val="26"/>
        </w:rPr>
        <w:t xml:space="preserve">3.7.5 站级净负荷的主导方向</w:t>
      </w:r>
      <w:bookmarkEnd w:id="133"/>
    </w:p>
    <w:p>
      <w:pPr>
        <w:pStyle w:val="FirstParagraph"/>
        <w:keepNext/>
        <w:spacing w:line="300" w:lineRule="auto" w:before="120" w:after="80"/>
        <w:ind w:firstLine="0"/>
        <w:jc w:val="center"/>
      </w:pPr>
      <w:r>
        <w:rPr>
          <w:rFonts w:ascii="Times New Roman" w:hAnsi="Times New Roman" w:eastAsia="宋体"/>
          <w:b w:val="0"/>
          <w:sz w:val="21"/>
        </w:rPr>
        <w:t xml:space="preserve">表3-16 第4年站级净负荷方向统计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变电站数量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反向较大站数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存在反向净负荷站数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r>
    </w:tbl>
    <w:p>
      <w:pPr>
        <w:pStyle w:val="2"/>
        <w:widowControl/>
        <w:spacing w:line="300" w:lineRule="auto" w:before="0" w:after="0"/>
        <w:ind w:firstLine="480"/>
        <w:jc w:val="both"/>
      </w:pPr>
      <w:r>
        <w:rPr>
          <w:rFonts w:ascii="Times New Roman" w:hAnsi="Times New Roman" w:eastAsia="方正仿宋_GBK"/>
          <w:b w:val="0"/>
          <w:sz w:val="24"/>
        </w:rPr>
        <w:t xml:space="preserve">方向统计以转接前最大正向、反向净负荷比较得到。存在反向净负荷的站点中，部分站仍以正向峰值为主；最大绝对值所在站与反向较大的站也可能不同。规划中分别保留两个方向，正向供电和反向输送分别使用对应容量约束。</w:t>
      </w:r>
    </w:p>
    <w:p>
      <w:bookmarkStart w:id="1369" w:name="h369"/>
      <w:pPr>
        <w:pStyle w:val="4"/>
        <w:keepNext/>
        <w:numPr>
          <w:numId w:val="0"/>
        </w:numPr>
        <w:spacing w:line="360" w:lineRule="auto" w:before="160" w:after="120"/>
        <w:ind w:firstLine="0"/>
      </w:pPr>
      <w:bookmarkStart w:id="134" w:name="运行特征的综合分析"/>
      <w:r>
        <w:rPr>
          <w:rFonts w:ascii="Times New Roman" w:hAnsi="Times New Roman" w:eastAsia="方正仿宋_GBK"/>
          <w:b/>
          <w:sz w:val="32"/>
        </w:rPr>
        <w:t xml:space="preserve">3.8 运行特征的综合分析</w:t>
      </w:r>
      <w:bookmarkEnd w:id="134"/>
      <w:bookmarkEnd w:id="1369"/>
    </w:p>
    <w:p>
      <w:pPr>
        <w:pStyle w:val="5"/>
        <w:keepNext/>
        <w:numPr>
          <w:numId w:val="0"/>
        </w:numPr>
        <w:spacing w:line="360" w:lineRule="auto" w:before="160" w:after="120"/>
        <w:ind w:firstLine="0"/>
      </w:pPr>
      <w:bookmarkStart w:id="135" w:name="容量建设与负荷变化的不同作用"/>
      <w:r>
        <w:rPr>
          <w:rFonts w:ascii="Times New Roman" w:hAnsi="Times New Roman" w:eastAsia="方正仿宋_GBK"/>
          <w:b/>
          <w:sz w:val="26"/>
        </w:rPr>
        <w:t xml:space="preserve">3.8.1 容量建设与负荷变化的不同作用</w:t>
      </w:r>
      <w:bookmarkEnd w:id="135"/>
    </w:p>
    <w:p>
      <w:pPr>
        <w:pStyle w:val="FirstParagraph"/>
        <w:widowControl/>
        <w:spacing w:line="300" w:lineRule="auto"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00" w:lineRule="auto" w:before="0" w:after="0"/>
        <w:ind w:firstLine="480"/>
        <w:jc w:val="both"/>
      </w:pPr>
      <w:r>
        <w:rPr>
          <w:rFonts w:ascii="Times New Roman" w:hAnsi="Times New Roman" w:eastAsia="方正仿宋_GBK"/>
          <w:b w:val="0"/>
          <w:sz w:val="24"/>
        </w:rPr>
        <w:t xml:space="preserve">年度比值可按容量和负荷两部分分解。先保持上年负荷并观察容量变化，再考虑分母变化，可以解释容载比增减的来源。下表采用与第五章相同的代数分解关系，将新增容量除以本年负荷作为容量变化贡献，将上年容量乘以两年负荷倒数之差作为负荷变化贡献，两项之和等于相邻年度容载比差值。</w:t>
      </w:r>
    </w:p>
    <w:p>
      <w:pPr>
        <w:pStyle w:val="2"/>
        <w:keepNext/>
        <w:spacing w:line="300" w:lineRule="auto" w:before="120" w:after="80"/>
        <w:ind w:firstLine="0"/>
        <w:jc w:val="center"/>
      </w:pPr>
      <w:r>
        <w:rPr>
          <w:rFonts w:ascii="Times New Roman" w:hAnsi="Times New Roman" w:eastAsia="宋体"/>
          <w:b w:val="0"/>
          <w:sz w:val="21"/>
        </w:rPr>
        <w:t xml:space="preserve">表3-17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年份</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主变容量变化/MVA</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-63.77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231.50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109.85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-92.82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-0.11</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由此，年度容载比偏高需要结合投产进度和当年负荷判断，不能直接等同于设备新增过多；容载比下降也需要联系存量调整和负荷兑现情况分析。</w:t>
      </w:r>
    </w:p>
    <w:p>
      <w:pPr>
        <w:pStyle w:val="2"/>
        <w:widowControl/>
        <w:spacing w:line="300" w:lineRule="auto"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避免用单一年份的高低值替代对完整发展过程的判断。第五章采用逐年方案，正是为了将这些变化落实到建设规模和投运时点。</w:t>
      </w:r>
    </w:p>
    <w:p>
      <w:pPr>
        <w:pStyle w:val="5"/>
        <w:keepNext/>
        <w:numPr>
          <w:numId w:val="0"/>
        </w:numPr>
        <w:spacing w:line="360" w:lineRule="auto" w:before="160" w:after="120"/>
        <w:ind w:firstLine="0"/>
      </w:pPr>
      <w:bookmarkStart w:id="136" w:name="光伏发电与用电高峰的季节关系"/>
      <w:r>
        <w:rPr>
          <w:rFonts w:ascii="Times New Roman" w:hAnsi="Times New Roman" w:eastAsia="方正仿宋_GBK"/>
          <w:b/>
          <w:sz w:val="26"/>
        </w:rPr>
        <w:t xml:space="preserve">3.8.2 光伏发电与用电高峰的季节关系</w:t>
      </w:r>
      <w:bookmarkEnd w:id="136"/>
    </w:p>
    <w:p>
      <w:pPr>
        <w:pStyle w:val="FirstParagraph"/>
        <w:widowControl/>
        <w:spacing w:line="300" w:lineRule="auto"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光伏发电量与用户用电量共同决定分布式电源电量渗透率。邳州2025年月度估计中，5月分布式电源电量渗透率约60.26%，高于7月的37.85%；但7月光伏发电量约212845.47 MWh，高于5月的163851.67 MWh。其原因是7月用户用电量同步升高到562354.97 MWh，而5月为271920.09 MWh。电量渗透率下降并不表示当月光伏发电量减少。</w:t>
      </w:r>
    </w:p>
    <w:p>
      <w:pPr>
        <w:pStyle w:val="2"/>
        <w:keepNext/>
        <w:spacing w:line="300" w:lineRule="auto" w:before="120" w:after="80"/>
        <w:ind w:firstLine="0"/>
        <w:jc w:val="center"/>
      </w:pPr>
      <w:r>
        <w:rPr>
          <w:rFonts w:ascii="Times New Roman" w:hAnsi="Times New Roman" w:eastAsia="宋体"/>
          <w:b w:val="0"/>
          <w:sz w:val="21"/>
        </w:rPr>
        <w:t xml:space="preserve">表3-18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季度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55.17%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43.44%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589.21</w:t>
            </w:r>
          </w:p>
        </w:tc>
      </w:tr>
    </w:tbl>
    <w:p>
      <w:pPr>
        <w:pStyle w:val="2"/>
        <w:widowControl/>
        <w:spacing w:line="300" w:lineRule="auto"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直接对月度电量渗透率作算术平均，会给用电量不同的月份相同权重，所得结果与季度电量之比不一定相同。区域年度指标同样采用全年电量合计，月度指标则用于分析季节变化。</w:t>
      </w:r>
    </w:p>
    <w:p>
      <w:pPr>
        <w:pStyle w:val="2"/>
        <w:widowControl/>
        <w:spacing w:line="300" w:lineRule="auto"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00" w:lineRule="auto" w:before="0" w:after="0"/>
        <w:ind w:firstLine="480"/>
        <w:jc w:val="both"/>
      </w:pPr>
      <w:r>
        <w:rPr>
          <w:rFonts w:ascii="Times New Roman" w:hAnsi="Times New Roman" w:eastAsia="方正仿宋_GBK"/>
          <w:b w:val="0"/>
          <w:sz w:val="24"/>
        </w:rPr>
        <w:t xml:space="preserve">从储能配置看，较高电量渗透率能够说明本地电源对年度用电的贡献，却不能直接确定储能额定功率和能量。储能定容还要识别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60" w:lineRule="auto" w:before="160" w:after="120"/>
        <w:ind w:firstLine="0"/>
      </w:pPr>
      <w:bookmarkStart w:id="137" w:name="区域容量储备与重载设备并存"/>
      <w:r>
        <w:rPr>
          <w:rFonts w:ascii="Times New Roman" w:hAnsi="Times New Roman" w:eastAsia="方正仿宋_GBK"/>
          <w:b/>
          <w:sz w:val="26"/>
        </w:rPr>
        <w:t xml:space="preserve">3.8.3 区域容量储备与重载设备并存</w:t>
      </w:r>
      <w:bookmarkEnd w:id="137"/>
    </w:p>
    <w:p>
      <w:pPr>
        <w:pStyle w:val="FirstParagraph"/>
        <w:widowControl/>
        <w:spacing w:line="300" w:lineRule="auto" w:before="0" w:after="0"/>
        <w:ind w:firstLine="480"/>
        <w:jc w:val="both"/>
      </w:pPr>
      <w:r>
        <w:rPr>
          <w:rFonts w:ascii="Times New Roman" w:hAnsi="Times New Roman" w:eastAsia="方正仿宋_GBK"/>
          <w:b w:val="0"/>
          <w:sz w:val="24"/>
        </w:rPr>
        <w:t xml:space="preserve">邳州40台主变样本中，年最大负载率达到80.00%及以上的有7台，占17.50%；市区61台样本中有7台，占11.48%。两地区最大值分别为92.40%和97.44%，高于各自约50.00%的中位水平。设备负载分布存在差异，区域总容量较充足时，部分站点仍可能承担较大的供电任务。</w:t>
      </w:r>
    </w:p>
    <w:p>
      <w:pPr>
        <w:pStyle w:val="2"/>
        <w:widowControl/>
        <w:spacing w:line="300" w:lineRule="auto" w:before="0" w:after="0"/>
        <w:ind w:firstLine="480"/>
        <w:jc w:val="both"/>
      </w:pPr>
      <w:r>
        <w:rPr>
          <w:rFonts w:ascii="Times New Roman" w:hAnsi="Times New Roman" w:eastAsia="方正仿宋_GBK"/>
          <w:b w:val="0"/>
          <w:sz w:val="24"/>
        </w:rPr>
        <w:t xml:space="preserve">区域容载比分子是主变总容量，不能反映容量具体分布在哪一座站。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00" w:lineRule="auto" w:before="0" w:after="0"/>
        <w:ind w:firstLine="480"/>
        <w:jc w:val="both"/>
      </w:pPr>
      <w:r>
        <w:rPr>
          <w:rFonts w:ascii="Times New Roman" w:hAnsi="Times New Roman" w:eastAsia="方正仿宋_GBK"/>
          <w:b w:val="0"/>
          <w:sz w:val="24"/>
        </w:rPr>
        <w:t xml:space="preserve">主变台数也会改变停运后的剩余容量。两台等容量主变在一台退出后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00" w:lineRule="auto"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该指标不能替代站级负载率，也不能单独说明负荷在地理空间上是否集中。本报告据此按负荷分散系数分组，并结合各组站级负荷分配讨论容量配置。</w:t>
      </w:r>
    </w:p>
    <w:p>
      <w:pPr>
        <w:pStyle w:val="5"/>
        <w:keepNext/>
        <w:numPr>
          <w:numId w:val="0"/>
        </w:numPr>
        <w:spacing w:line="360" w:lineRule="auto" w:before="160" w:after="120"/>
        <w:ind w:firstLine="0"/>
      </w:pPr>
      <w:bookmarkStart w:id="138" w:name="两地区的容量规划重点"/>
      <w:r>
        <w:rPr>
          <w:rFonts w:ascii="Times New Roman" w:hAnsi="Times New Roman" w:eastAsia="方正仿宋_GBK"/>
          <w:b/>
          <w:sz w:val="26"/>
        </w:rPr>
        <w:t xml:space="preserve">3.8.4 两地区的容量规划重点</w:t>
      </w:r>
      <w:bookmarkEnd w:id="138"/>
    </w:p>
    <w:p>
      <w:pPr>
        <w:pStyle w:val="FirstParagraph"/>
        <w:widowControl/>
        <w:spacing w:line="300" w:lineRule="auto"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MW。光伏规模和供电负荷同时发展，意味着规划不能只按照单向用电增长推算主变需求。日间反送较大的站点应结合本地负荷和电源位置安排容量，晚间正向高峰及主变N-1条件则继续决定供电储备。</w:t>
      </w:r>
    </w:p>
    <w:p>
      <w:pPr>
        <w:pStyle w:val="2"/>
        <w:widowControl/>
        <w:spacing w:line="300" w:lineRule="auto"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00" w:lineRule="auto"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不能脱离设备组合单独确定。</w:t>
      </w:r>
    </w:p>
    <w:p>
      <w:bookmarkStart w:id="1391" w:name="h391"/>
      <w:pPr>
        <w:pStyle w:val="3"/>
        <w:keepNext/>
        <w:pageBreakBefore/>
        <w:numPr>
          <w:numId w:val="0"/>
        </w:numPr>
        <w:spacing w:line="360" w:lineRule="auto" w:before="0" w:after="120"/>
        <w:ind w:firstLine="0"/>
      </w:pPr>
      <w:bookmarkStart w:id="139" w:name="第四章-基于实际工程的建设成本模型"/>
      <w:r>
        <w:rPr>
          <w:rFonts w:ascii="Times New Roman" w:hAnsi="Times New Roman" w:eastAsia="方正仿宋_GBK"/>
          <w:b/>
          <w:sz w:val="36"/>
        </w:rPr>
        <w:t xml:space="preserve">第四章 基于实际工程的建设成本模型</w:t>
      </w:r>
      <w:bookmarkEnd w:id="139"/>
      <w:bookmarkEnd w:id="1391"/>
    </w:p>
    <w:p>
      <w:bookmarkStart w:id="1392" w:name="h392"/>
      <w:pPr>
        <w:pStyle w:val="4"/>
        <w:keepNext/>
        <w:numPr>
          <w:numId w:val="0"/>
        </w:numPr>
        <w:spacing w:line="360" w:lineRule="auto" w:before="160" w:after="120"/>
        <w:ind w:firstLine="0"/>
      </w:pPr>
      <w:bookmarkStart w:id="140" w:name="成本模型的范围与建立原则"/>
      <w:r>
        <w:rPr>
          <w:rFonts w:ascii="Times New Roman" w:hAnsi="Times New Roman" w:eastAsia="方正仿宋_GBK"/>
          <w:b/>
          <w:sz w:val="32"/>
        </w:rPr>
        <w:t xml:space="preserve">4.1 成本模型的范围与建立原则</w:t>
      </w:r>
      <w:bookmarkEnd w:id="140"/>
      <w:bookmarkEnd w:id="1392"/>
    </w:p>
    <w:p>
      <w:pPr>
        <w:pStyle w:val="5"/>
        <w:keepNext/>
        <w:numPr>
          <w:numId w:val="0"/>
        </w:numPr>
        <w:spacing w:line="360" w:lineRule="auto" w:before="160" w:after="120"/>
        <w:ind w:firstLine="0"/>
      </w:pPr>
      <w:bookmarkStart w:id="141" w:name="建设改造措施与投资估算依据"/>
      <w:r>
        <w:rPr>
          <w:rFonts w:ascii="Times New Roman" w:hAnsi="Times New Roman" w:eastAsia="方正仿宋_GBK"/>
          <w:b/>
          <w:sz w:val="26"/>
        </w:rPr>
        <w:t xml:space="preserve">4.1.1 建设改造措施与投资估算依据</w:t>
      </w:r>
      <w:bookmarkEnd w:id="141"/>
    </w:p>
    <w:p>
      <w:pPr>
        <w:pStyle w:val="FirstParagraph"/>
        <w:widowControl/>
        <w:spacing w:line="300" w:lineRule="auto" w:before="0" w:after="0"/>
        <w:ind w:firstLine="480"/>
        <w:jc w:val="both"/>
      </w:pPr>
      <w:r>
        <w:rPr>
          <w:rFonts w:ascii="Times New Roman" w:hAnsi="Times New Roman" w:eastAsia="方正仿宋_GBK"/>
          <w:b w:val="0"/>
          <w:sz w:val="24"/>
        </w:rPr>
        <w:t xml:space="preserve">本研究比较新增主变、储能与10 kV联络措施的增量费用。根据分年度建设改造规模，按对应工程造价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00" w:lineRule="auto" w:before="0" w:after="0"/>
        <w:ind w:firstLine="480"/>
        <w:jc w:val="both"/>
      </w:pPr>
      <w:r>
        <w:rPr>
          <w:rFonts w:ascii="Times New Roman" w:hAnsi="Times New Roman" w:eastAsia="方正仿宋_GBK"/>
          <w:b w:val="0"/>
          <w:sz w:val="24"/>
        </w:rPr>
        <w:t xml:space="preserve">主变、储能与线路均按项目范围使用价格。徐州110 kV主变增容与扩建工程的投资估算包括主变购置及配套出线等建设内容；储能成交公告包括设备采购及安装等范围；线路参考价来自公开规划造价。参考价格按各案例工程范围折算，通过主变与线路、主变与储能两个单位功率投资比检查价格变化对措施选择的影响[85][87][86]。</w:t>
      </w:r>
    </w:p>
    <w:p>
      <w:pPr>
        <w:pStyle w:val="5"/>
        <w:keepNext/>
        <w:numPr>
          <w:numId w:val="0"/>
        </w:numPr>
        <w:spacing w:line="360" w:lineRule="auto" w:before="160" w:after="120"/>
        <w:ind w:firstLine="0"/>
      </w:pPr>
      <w:bookmarkStart w:id="142" w:name="投资运维与更新"/>
      <w:r>
        <w:rPr>
          <w:rFonts w:ascii="Times New Roman" w:hAnsi="Times New Roman" w:eastAsia="方正仿宋_GBK"/>
          <w:b/>
          <w:sz w:val="26"/>
        </w:rPr>
        <w:t xml:space="preserve">4.1.2 投资、运维与更新</w:t>
      </w:r>
      <w:bookmarkEnd w:id="142"/>
    </w:p>
    <w:p>
      <w:pPr>
        <w:pStyle w:val="FirstParagraph"/>
        <w:widowControl/>
        <w:spacing w:line="300" w:lineRule="auto"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00" w:lineRule="auto" w:before="0" w:after="0"/>
        <w:ind w:firstLine="480"/>
        <w:jc w:val="both"/>
      </w:pPr>
      <w:r>
        <w:rPr>
          <w:rFonts w:ascii="Times New Roman" w:hAnsi="Times New Roman" w:eastAsia="方正仿宋_GBK"/>
          <w:b w:val="0"/>
          <w:sz w:val="24"/>
        </w:rPr>
        <w:t xml:space="preserve">按项目经济评价边界，主变和线路寿命均取40年，储能取25年；变电工程固定运维率为初始投资的4.20%/年，线路为2.20%/年。储能固定运维率取3.00%/年，折现率取6.00%。费用采用初始投资、年度运维和设备更新分项折现的方法[10,11,12]，各项取值作为两类方案的统一经济比较参数。评价截止年为2041年，两类方案采用相同参数。</w:t>
      </w:r>
    </w:p>
    <w:p>
      <w:pPr>
        <w:pStyle w:val="2"/>
        <w:keepNext/>
        <w:spacing w:line="300" w:lineRule="auto"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23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取值</w:t>
            </w:r>
          </w:p>
        </w:tc>
        <w:tc>
          <w:tcPr>
            <w:tcW w:type="dxa" w:w="382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c>
          <w:tcPr>
            <w:tcW w:type="dxa" w:w="382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25年</w:t>
            </w:r>
          </w:p>
        </w:tc>
        <w:tc>
          <w:tcPr>
            <w:tcW w:type="dxa" w:w="382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初始投资4.20%/年</w:t>
            </w:r>
          </w:p>
        </w:tc>
        <w:tc>
          <w:tcPr>
            <w:tcW w:type="dxa" w:w="382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初始投资2.20%/年</w:t>
            </w:r>
          </w:p>
        </w:tc>
        <w:tc>
          <w:tcPr>
            <w:tcW w:type="dxa" w:w="382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初始投资3.00%/年</w:t>
            </w:r>
          </w:p>
        </w:tc>
        <w:tc>
          <w:tcPr>
            <w:tcW w:type="dxa" w:w="382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按初始投资比例估算年度运维[10]</w:t>
            </w:r>
          </w:p>
        </w:tc>
      </w:tr>
    </w:tbl>
    <w:p>
      <w:pPr>
        <w:pStyle w:val="2"/>
        <w:widowControl/>
        <w:spacing w:line="300" w:lineRule="auto"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60" w:lineRule="auto" w:before="160" w:after="120"/>
        <w:ind w:firstLine="0"/>
      </w:pPr>
      <w:bookmarkStart w:id="143" w:name="增量比较的适用范围"/>
      <w:r>
        <w:rPr>
          <w:rFonts w:ascii="Times New Roman" w:hAnsi="Times New Roman" w:eastAsia="方正仿宋_GBK"/>
          <w:b/>
          <w:sz w:val="26"/>
        </w:rPr>
        <w:t xml:space="preserve">4.1.3 增量比较的适用范围</w:t>
      </w:r>
      <w:bookmarkEnd w:id="143"/>
    </w:p>
    <w:p>
      <w:pPr>
        <w:pStyle w:val="FirstParagraph"/>
        <w:widowControl/>
        <w:spacing w:line="300" w:lineRule="auto"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按各年在役状态计算运维费用，费用差来自新增措施规模及其投运时点。</w:t>
      </w:r>
    </w:p>
    <w:p>
      <w:pPr>
        <w:pStyle w:val="2"/>
        <w:widowControl/>
        <w:spacing w:line="300" w:lineRule="auto"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bookmarkStart w:id="1404" w:name="h404"/>
      <w:pPr>
        <w:pStyle w:val="4"/>
        <w:keepNext/>
        <w:numPr>
          <w:numId w:val="0"/>
        </w:numPr>
        <w:spacing w:line="360" w:lineRule="auto" w:before="160" w:after="120"/>
        <w:ind w:firstLine="0"/>
      </w:pPr>
      <w:bookmarkStart w:id="144" w:name="主变工程成本系数"/>
      <w:r>
        <w:rPr>
          <w:rFonts w:ascii="Times New Roman" w:hAnsi="Times New Roman" w:eastAsia="方正仿宋_GBK"/>
          <w:b/>
          <w:sz w:val="32"/>
        </w:rPr>
        <w:t xml:space="preserve">4.2 主变工程成本系数</w:t>
      </w:r>
      <w:bookmarkEnd w:id="144"/>
      <w:bookmarkEnd w:id="1404"/>
    </w:p>
    <w:p>
      <w:pPr>
        <w:pStyle w:val="5"/>
        <w:keepNext/>
        <w:numPr>
          <w:numId w:val="0"/>
        </w:numPr>
        <w:spacing w:line="360" w:lineRule="auto" w:before="160" w:after="120"/>
        <w:ind w:firstLine="0"/>
      </w:pPr>
      <w:bookmarkStart w:id="145" w:name="替换工程案例"/>
      <w:r>
        <w:rPr>
          <w:rFonts w:ascii="Times New Roman" w:hAnsi="Times New Roman" w:eastAsia="方正仿宋_GBK"/>
          <w:b/>
          <w:sz w:val="26"/>
        </w:rPr>
        <w:t xml:space="preserve">4.2.1 替换工程案例</w:t>
      </w:r>
      <w:bookmarkEnd w:id="145"/>
    </w:p>
    <w:p>
      <w:pPr>
        <w:pStyle w:val="FirstParagraph"/>
        <w:widowControl/>
        <w:spacing w:line="300" w:lineRule="auto"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00" w:lineRule="auto"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300" w:lineRule="auto"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主变退出容量/MVA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1335</w:t>
            </w:r>
          </w:p>
        </w:tc>
      </w:tr>
    </w:tbl>
    <w:p>
      <w:pPr>
        <w:pStyle w:val="5"/>
        <w:keepNext/>
        <w:numPr>
          <w:numId w:val="0"/>
        </w:numPr>
        <w:spacing w:line="360" w:lineRule="auto" w:before="160" w:after="120"/>
        <w:ind w:firstLine="0"/>
      </w:pPr>
      <w:bookmarkStart w:id="146" w:name="采购容量加权系数"/>
      <w:r>
        <w:rPr>
          <w:rFonts w:ascii="Times New Roman" w:hAnsi="Times New Roman" w:eastAsia="方正仿宋_GBK"/>
          <w:b/>
          <w:sz w:val="26"/>
        </w:rPr>
        <w:t xml:space="preserve">4.2.2 采购容量加权系数</w:t>
      </w:r>
      <w:bookmarkEnd w:id="146"/>
    </w:p>
    <w:p>
      <w:pPr>
        <w:pStyle w:val="FirstParagraph"/>
        <w:widowControl/>
        <w:spacing w:line="300" w:lineRule="auto"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00" w:lineRule="auto"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00" w:lineRule="auto"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60" w:lineRule="auto" w:before="160" w:after="120"/>
        <w:ind w:firstLine="0"/>
      </w:pPr>
      <w:bookmarkStart w:id="147" w:name="净增容量与工程费用"/>
      <w:r>
        <w:rPr>
          <w:rFonts w:ascii="Times New Roman" w:hAnsi="Times New Roman" w:eastAsia="方正仿宋_GBK"/>
          <w:b/>
          <w:sz w:val="26"/>
        </w:rPr>
        <w:t xml:space="preserve">4.2.3 净增容量与工程费用</w:t>
      </w:r>
      <w:bookmarkEnd w:id="147"/>
    </w:p>
    <w:p>
      <w:pPr>
        <w:pStyle w:val="FirstParagraph"/>
        <w:widowControl/>
        <w:spacing w:line="300" w:lineRule="auto"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00" w:lineRule="auto"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分别为更换后、更换前容量，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60" w:lineRule="auto" w:before="160" w:after="120"/>
        <w:ind w:firstLine="0"/>
      </w:pPr>
      <w:bookmarkStart w:id="148" w:name="主变扩建"/>
      <w:r>
        <w:rPr>
          <w:rFonts w:ascii="Times New Roman" w:hAnsi="Times New Roman" w:eastAsia="方正仿宋_GBK"/>
          <w:b/>
          <w:sz w:val="26"/>
        </w:rPr>
        <w:t xml:space="preserve">4.2.4 主变扩建</w:t>
      </w:r>
      <w:bookmarkEnd w:id="148"/>
    </w:p>
    <w:p>
      <w:pPr>
        <w:pStyle w:val="FirstParagraph"/>
        <w:widowControl/>
        <w:spacing w:line="300" w:lineRule="auto"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00" w:lineRule="auto"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00" w:lineRule="auto" w:before="0" w:after="0"/>
        <w:ind w:firstLine="480"/>
        <w:jc w:val="both"/>
      </w:pPr>
      <w:r>
        <w:rPr>
          <w:rFonts w:ascii="Times New Roman" w:hAnsi="Times New Roman" w:eastAsia="方正仿宋_GBK"/>
          <w:b w:val="0"/>
          <w:sz w:val="24"/>
        </w:rPr>
        <w:t xml:space="preserve">主变扩建提高主变总容量与主变N-1后剩余容量，按第五章的容量约束和费用目标评价。既有两台规格、正向需求及供电安全任务不同，会使同样的扩建费用对应不同替代储能规模。</w:t>
      </w:r>
    </w:p>
    <w:p>
      <w:bookmarkStart w:id="1423" w:name="h423"/>
      <w:pPr>
        <w:pStyle w:val="4"/>
        <w:keepNext/>
        <w:numPr>
          <w:numId w:val="0"/>
        </w:numPr>
        <w:spacing w:line="360" w:lineRule="auto" w:before="160" w:after="120"/>
        <w:ind w:firstLine="0"/>
      </w:pPr>
      <w:bookmarkStart w:id="149" w:name="kv联络工程费用"/>
      <w:r>
        <w:rPr>
          <w:rFonts w:ascii="Times New Roman" w:hAnsi="Times New Roman" w:eastAsia="方正仿宋_GBK"/>
          <w:b/>
          <w:sz w:val="32"/>
        </w:rPr>
        <w:t xml:space="preserve">4.3 10 kV联络工程费用</w:t>
      </w:r>
      <w:bookmarkEnd w:id="149"/>
      <w:bookmarkEnd w:id="1423"/>
    </w:p>
    <w:p>
      <w:pPr>
        <w:pStyle w:val="5"/>
        <w:keepNext/>
        <w:numPr>
          <w:numId w:val="0"/>
        </w:numPr>
        <w:spacing w:line="360" w:lineRule="auto" w:before="160" w:after="120"/>
        <w:ind w:firstLine="0"/>
      </w:pPr>
      <w:bookmarkStart w:id="150" w:name="参考工程及单位造价"/>
      <w:r>
        <w:rPr>
          <w:rFonts w:ascii="Times New Roman" w:hAnsi="Times New Roman" w:eastAsia="方正仿宋_GBK"/>
          <w:b/>
          <w:sz w:val="26"/>
        </w:rPr>
        <w:t xml:space="preserve">4.3.1 参考工程及单位造价</w:t>
      </w:r>
      <w:bookmarkEnd w:id="150"/>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kV线路迁改工程公开建设内容亦包括相应电缆及通道工程[88]。</w:t>
      </w:r>
    </w:p>
    <w:p>
      <w:pPr>
        <w:pStyle w:val="5"/>
        <w:keepNext/>
        <w:numPr>
          <w:numId w:val="0"/>
        </w:numPr>
        <w:spacing w:line="360" w:lineRule="auto" w:before="160" w:after="120"/>
        <w:ind w:firstLine="0"/>
      </w:pPr>
      <w:bookmarkStart w:id="151" w:name="长度与敷设比例"/>
      <w:r>
        <w:rPr>
          <w:rFonts w:ascii="Times New Roman" w:hAnsi="Times New Roman" w:eastAsia="方正仿宋_GBK"/>
          <w:b/>
          <w:sz w:val="26"/>
        </w:rPr>
        <w:t xml:space="preserve">4.3.2 长度与敷设比例</w:t>
      </w:r>
      <w:bookmarkEnd w:id="151"/>
    </w:p>
    <w:p>
      <w:pPr>
        <w:pStyle w:val="FirstParagraph"/>
        <w:widowControl/>
        <w:spacing w:line="300" w:lineRule="auto" w:before="0" w:after="0"/>
        <w:ind w:firstLine="480"/>
        <w:jc w:val="both"/>
      </w:pPr>
      <w:r>
        <w:rPr>
          <w:rFonts w:ascii="Times New Roman" w:hAnsi="Times New Roman" w:eastAsia="方正仿宋_GBK"/>
          <w:b w:val="0"/>
          <w:sz w:val="24"/>
        </w:rPr>
        <w:t xml:space="preserve">本研究等效候选新线长3 km。架空为主情景按90.00%架空和10.00%电缆，电缆为主情景按10.00%架空和90.00%电缆；各配置两台等效联络开关。两类工程的联络开关均按相同参考单价计取。邳州案例采用架空为主情景，市区采用电缆为主情景；通用外推将线路类型与供电区域类别交叉计算。架空为主的初始投资按式（4-4）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L</m:t>
                    </m:r>
                  </m:sub>
                </m:sSub>
                <m:r>
                  <m:t>=</m:t>
                </m:r>
                <m:r>
                  <m:t>3</m:t>
                </m:r>
                <m:d>
                  <m:dPr>
                    <m:begChr m:val="("/>
                    <m:endChr m:val=")"/>
                    <m:grow/>
                  </m:dPr>
                  <m:e>
                    <m:r>
                      <m:t>0.90</m:t>
                    </m:r>
                    <m:r>
                      <m:t>×</m:t>
                    </m:r>
                    <m:r>
                      <m:t>24</m:t>
                    </m:r>
                    <m:r>
                      <m:t>+</m:t>
                    </m:r>
                    <m:r>
                      <m:t>0.10</m:t>
                    </m:r>
                    <m:r>
                      <m:t>×</m:t>
                    </m:r>
                    <m:r>
                      <m:t>180</m:t>
                    </m:r>
                  </m:e>
                </m:d>
                <m:r>
                  <m:t>+</m:t>
                </m:r>
                <m:r>
                  <m:t>2</m:t>
                </m:r>
                <m:r>
                  <m:t>×</m:t>
                </m:r>
                <m:r>
                  <m:t>3</m:t>
                </m:r>
                <m:r>
                  <m:t>=</m:t>
                </m:r>
                <m:r>
                  <m:t>124.80</m:t>
                </m:r>
                <m:r>
                  <m:t> </m:t>
                </m:r>
                <m:r>
                  <m:rPr>
                    <m:nor/>
                    <m:sty m:val="p"/>
                  </m:rPr>
                  <m:t>万元/项</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为单项目初始投资，单位万元；3为线路长度，单位km；0.90和0.10分别为架空与电缆长度占比；24和180为相应单位造价，单位万元/km；末项按2台开关、3万元/台计算。</w:t>
      </w:r>
    </w:p>
    <w:p>
      <w:pPr>
        <w:pStyle w:val="2"/>
        <w:widowControl/>
        <w:spacing w:line="300" w:lineRule="auto" w:before="0" w:after="0"/>
        <w:ind w:firstLine="480"/>
        <w:jc w:val="both"/>
      </w:pPr>
      <w:r>
        <w:rPr>
          <w:rFonts w:ascii="Times New Roman" w:hAnsi="Times New Roman" w:eastAsia="方正仿宋_GBK"/>
          <w:b w:val="0"/>
          <w:sz w:val="24"/>
        </w:rPr>
        <w:t xml:space="preserve">架空为主项目投资124.80万元，电缆为主为499.20万元；电缆综合单价已包括土建。矩阵改变线路价格倍数时，统一作用于该工程投资和后续固定运维。新增联络按连接站点及所需转移负荷配置。</w:t>
      </w:r>
    </w:p>
    <w:p>
      <w:pPr>
        <w:pStyle w:val="2"/>
        <w:keepNext/>
        <w:spacing w:line="300" w:lineRule="auto" w:before="120" w:after="80"/>
        <w:ind w:firstLine="0"/>
        <w:jc w:val="center"/>
      </w:pPr>
      <w:r>
        <w:rPr>
          <w:rFonts w:ascii="Times New Roman" w:hAnsi="Times New Roman" w:eastAsia="宋体"/>
          <w:b w:val="0"/>
          <w:sz w:val="21"/>
        </w:rPr>
        <w:t xml:space="preserve">表4-3 两类等效联络线投资构成</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架空为主工程量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电缆为主工程量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费用/万元</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64.80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电缆电气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324.00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电缆土建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162.00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等效开关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2台</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2台</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合计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124.80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499.20</w:t>
            </w:r>
          </w:p>
        </w:tc>
      </w:tr>
    </w:tbl>
    <w:p>
      <w:pPr>
        <w:pStyle w:val="5"/>
        <w:keepNext/>
        <w:numPr>
          <w:numId w:val="0"/>
        </w:numPr>
        <w:spacing w:line="360" w:lineRule="auto" w:before="160" w:after="120"/>
        <w:ind w:firstLine="0"/>
      </w:pPr>
      <w:bookmarkStart w:id="152" w:name="有效转接任务及价格比"/>
      <w:r>
        <w:rPr>
          <w:rFonts w:ascii="Times New Roman" w:hAnsi="Times New Roman" w:eastAsia="方正仿宋_GBK"/>
          <w:b/>
          <w:sz w:val="26"/>
        </w:rPr>
        <w:t xml:space="preserve">4.3.3 有效转接任务及价格比</w:t>
      </w:r>
      <w:bookmarkEnd w:id="152"/>
    </w:p>
    <w:p>
      <w:pPr>
        <w:pStyle w:val="FirstParagraph"/>
        <w:widowControl/>
        <w:spacing w:line="300" w:lineRule="auto" w:before="0" w:after="0"/>
        <w:ind w:firstLine="480"/>
        <w:jc w:val="both"/>
      </w:pPr>
      <w:r>
        <w:rPr>
          <w:rFonts w:ascii="Times New Roman" w:hAnsi="Times New Roman" w:eastAsia="方正仿宋_GBK"/>
          <w:b w:val="0"/>
          <w:sz w:val="24"/>
        </w:rPr>
        <w:t xml:space="preserve">候选线2025年区段负荷筛查取7.49 MW，低于按允许电流折算的线路有功容量9.05 MW，因此架空为主、电缆为主的单位可转负荷投资分别为16.66、66.64万元/MW。实际线路的有效可转负荷依据区段负荷、热限及受端余量核定。</w:t>
      </w:r>
    </w:p>
    <w:p>
      <w:pPr>
        <w:pStyle w:val="2"/>
        <w:widowControl/>
        <w:spacing w:line="300" w:lineRule="auto" w:before="0" w:after="0"/>
        <w:ind w:firstLine="480"/>
        <w:jc w:val="both"/>
      </w:pPr>
      <w:r>
        <w:rPr>
          <w:rFonts w:ascii="Times New Roman" w:hAnsi="Times New Roman" w:eastAsia="方正仿宋_GBK"/>
          <w:b w:val="0"/>
          <w:sz w:val="24"/>
        </w:rPr>
        <w:t xml:space="preserve">新增等效联络项目按邳州局部可切换负荷区段提供7.49 MW的能力增量，作用于站级转供能力预算。既有能力利用与新建工程分别进入寻优，项目投资按一次建设计取。</w:t>
      </w:r>
    </w:p>
    <w:p>
      <w:bookmarkStart w:id="1434" w:name="h434"/>
      <w:pPr>
        <w:pStyle w:val="4"/>
        <w:keepNext/>
        <w:numPr>
          <w:numId w:val="0"/>
        </w:numPr>
        <w:spacing w:line="360" w:lineRule="auto" w:before="160" w:after="120"/>
        <w:ind w:firstLine="0"/>
      </w:pPr>
      <w:bookmarkStart w:id="153" w:name="储能投资模型"/>
      <w:r>
        <w:rPr>
          <w:rFonts w:ascii="Times New Roman" w:hAnsi="Times New Roman" w:eastAsia="方正仿宋_GBK"/>
          <w:b/>
          <w:sz w:val="32"/>
        </w:rPr>
        <w:t xml:space="preserve">4.4 储能投资模型</w:t>
      </w:r>
      <w:bookmarkEnd w:id="153"/>
      <w:bookmarkEnd w:id="1434"/>
    </w:p>
    <w:p>
      <w:pPr>
        <w:pStyle w:val="5"/>
        <w:keepNext/>
        <w:numPr>
          <w:numId w:val="0"/>
        </w:numPr>
        <w:spacing w:line="360" w:lineRule="auto" w:before="160" w:after="120"/>
        <w:ind w:firstLine="0"/>
      </w:pPr>
      <w:bookmarkStart w:id="154" w:name="储能规格与采购价格依据"/>
      <w:r>
        <w:rPr>
          <w:rFonts w:ascii="Times New Roman" w:hAnsi="Times New Roman" w:eastAsia="方正仿宋_GBK"/>
          <w:b/>
          <w:sz w:val="26"/>
        </w:rPr>
        <w:t xml:space="preserve">4.4.1 储能规格与采购价格依据</w:t>
      </w:r>
      <w:bookmarkEnd w:id="154"/>
    </w:p>
    <w:p>
      <w:pPr>
        <w:pStyle w:val="FirstParagraph"/>
        <w:widowControl/>
        <w:spacing w:line="300" w:lineRule="auto"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MWh，折合10柜[86]。</w:t>
      </w:r>
    </w:p>
    <w:p>
      <w:pPr>
        <w:pStyle w:val="2"/>
        <w:widowControl/>
        <w:spacing w:line="300" w:lineRule="auto"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300" w:lineRule="auto" w:before="120" w:after="80"/>
        <w:ind w:firstLine="0"/>
        <w:jc w:val="center"/>
      </w:pPr>
      <w:r>
        <w:rPr>
          <w:rFonts w:ascii="Times New Roman" w:hAnsi="Times New Roman" w:eastAsia="宋体"/>
          <w:b w:val="0"/>
          <w:sz w:val="21"/>
        </w:rPr>
        <w:t xml:space="preserve">表4-4 储能采购价格依据[89][86]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案例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公告规模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保证规模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价格/万元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苏州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储能项目中标总价</w:t>
            </w:r>
          </w:p>
        </w:tc>
      </w:tr>
    </w:tbl>
    <w:p>
      <w:pPr>
        <w:pStyle w:val="5"/>
        <w:keepNext/>
        <w:numPr>
          <w:numId w:val="0"/>
        </w:numPr>
        <w:spacing w:line="360" w:lineRule="auto" w:before="160" w:after="120"/>
        <w:ind w:firstLine="0"/>
      </w:pPr>
      <w:bookmarkStart w:id="155" w:name="成套柜单位价格"/>
      <w:r>
        <w:rPr>
          <w:rFonts w:ascii="Times New Roman" w:hAnsi="Times New Roman" w:eastAsia="方正仿宋_GBK"/>
          <w:b/>
          <w:sz w:val="26"/>
        </w:rPr>
        <w:t xml:space="preserve">4.4.2 成套柜单位价格</w:t>
      </w:r>
      <w:bookmarkEnd w:id="155"/>
    </w:p>
    <w:p>
      <w:pPr>
        <w:pStyle w:val="FirstParagraph"/>
        <w:widowControl/>
        <w:spacing w:line="300" w:lineRule="auto"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60" w:lineRule="auto" w:before="160" w:after="120"/>
        <w:ind w:firstLine="0"/>
      </w:pPr>
      <w:bookmarkStart w:id="156" w:name="峰段持续功率"/>
      <w:r>
        <w:rPr>
          <w:rFonts w:ascii="Times New Roman" w:hAnsi="Times New Roman" w:eastAsia="方正仿宋_GBK"/>
          <w:b/>
          <w:sz w:val="26"/>
        </w:rPr>
        <w:t xml:space="preserve">4.4.3 峰段持续功率</w:t>
      </w:r>
      <w:bookmarkEnd w:id="156"/>
    </w:p>
    <w:p>
      <w:pPr>
        <w:pStyle w:val="FirstParagraph"/>
        <w:widowControl/>
        <w:spacing w:line="300" w:lineRule="auto" w:before="0" w:after="0"/>
        <w:ind w:firstLine="480"/>
        <w:jc w:val="both"/>
      </w:pPr>
      <w:r>
        <w:rPr>
          <w:rFonts w:ascii="Times New Roman" w:hAnsi="Times New Roman" w:eastAsia="方正仿宋_GBK"/>
          <w:b w:val="0"/>
          <w:sz w:val="24"/>
        </w:rPr>
        <w:t xml:space="preserve">对持续</w:t>
      </w:r>
      <m:oMath>
        <m:r>
          <m:t>d</m:t>
        </m:r>
      </m:oMath>
      <w:r>
        <w:rPr>
          <w:rFonts w:ascii="Times New Roman" w:hAnsi="Times New Roman" w:eastAsia="方正仿宋_GBK"/>
          <w:b w:val="0"/>
          <w:sz w:val="24"/>
        </w:rPr>
        <w:t xml:space="preserve">小时的峰段，</w:t>
      </w:r>
      <m:oMath>
        <m:r>
          <m:t>n</m:t>
        </m:r>
      </m:oMath>
      <w:r>
        <w:rPr>
          <w:rFonts w:ascii="Times New Roman" w:hAnsi="Times New Roman" w:eastAsia="方正仿宋_GBK"/>
          <w:b w:val="0"/>
          <w:sz w:val="24"/>
        </w:rPr>
        <w:t xml:space="preserve">柜储能的理想有效功率取铭牌功率与能量持续功率较小者。式（4-6）将额定功率限制与峰段能量限制合并表示。</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t>B</m:t>
                </m:r>
                <m:r>
                  <m:t>(</m:t>
                </m:r>
                <m:r>
                  <m:t>n</m:t>
                </m:r>
                <m:r>
                  <m:t>,</m:t>
                </m:r>
                <m:r>
                  <m:t>d</m:t>
                </m:r>
                <m:r>
                  <m:t>)</m:t>
                </m:r>
                <m:r>
                  <m:t>=</m:t>
                </m:r>
                <m:f>
                  <m:fPr>
                    <m:type m:val="bar"/>
                  </m:fPr>
                  <m:num>
                    <m:r>
                      <m:t>215</m:t>
                    </m:r>
                    <m:r>
                      <m:t>n</m:t>
                    </m:r>
                  </m:num>
                  <m:den>
                    <m:r>
                      <m:t>1000</m:t>
                    </m:r>
                    <m:r>
                      <m:rPr>
                        <m:nor/>
                        <m:sty m:val="p"/>
                      </m:rPr>
                      <m:t>max</m:t>
                    </m:r>
                    <m:r>
                      <m:t>(</m:t>
                    </m:r>
                    <m:r>
                      <m:t>2.15</m:t>
                    </m:r>
                    <m:r>
                      <m:t>,</m:t>
                    </m:r>
                    <m:r>
                      <m:t>d</m:t>
                    </m:r>
                    <m:r>
                      <m:t>)</m:t>
                    </m:r>
                  </m:den>
                </m:f>
                <m:r>
                  <m:t>,</m:t>
                </m:r>
                <m:r>
                  <m:t>  </m:t>
                </m:r>
                <m:r>
                  <m:t>d</m:t>
                </m:r>
                <m:r>
                  <m:t>≥</m:t>
                </m:r>
                <m:r>
                  <m:t>0</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B</m:t>
        </m:r>
        <m:r>
          <m:t>(</m:t>
        </m:r>
        <m:r>
          <m:t>n</m:t>
        </m:r>
        <m:r>
          <m:t>,</m:t>
        </m:r>
        <m:r>
          <m:t>d</m:t>
        </m:r>
        <m:r>
          <m:t>)</m:t>
        </m:r>
      </m:oMath>
      <w:r>
        <w:rPr>
          <w:rFonts w:ascii="Times New Roman" w:hAnsi="Times New Roman" w:eastAsia="方正仿宋_GBK"/>
          <w:b w:val="0"/>
          <w:sz w:val="24"/>
        </w:rPr>
        <w:t xml:space="preserve">为</w:t>
      </w:r>
      <m:oMath>
        <m:r>
          <m:t>n</m:t>
        </m:r>
      </m:oMath>
      <w:r>
        <w:rPr>
          <w:rFonts w:ascii="Times New Roman" w:hAnsi="Times New Roman" w:eastAsia="方正仿宋_GBK"/>
          <w:b w:val="0"/>
          <w:sz w:val="24"/>
        </w:rPr>
        <w:t xml:space="preserve">柜储能在持续</w:t>
      </w:r>
      <m:oMath>
        <m:r>
          <m:t>d</m:t>
        </m:r>
      </m:oMath>
      <w:r>
        <w:rPr>
          <w:rFonts w:ascii="Times New Roman" w:hAnsi="Times New Roman" w:eastAsia="方正仿宋_GBK"/>
          <w:b w:val="0"/>
          <w:sz w:val="24"/>
        </w:rPr>
        <w:t xml:space="preserve">小时峰段中的充放电功率，单位MW；</w:t>
      </w:r>
      <m:oMath>
        <m:r>
          <m:t>n</m:t>
        </m:r>
      </m:oMath>
      <w:r>
        <w:rPr>
          <w:rFonts w:ascii="Times New Roman" w:hAnsi="Times New Roman" w:eastAsia="方正仿宋_GBK"/>
          <w:b w:val="0"/>
          <w:sz w:val="24"/>
        </w:rPr>
        <w:t xml:space="preserve">为非负整数柜数，</w:t>
      </w:r>
      <m:oMath>
        <m:r>
          <m:t>d</m:t>
        </m:r>
      </m:oMath>
      <w:r>
        <w:rPr>
          <w:rFonts w:ascii="Times New Roman" w:hAnsi="Times New Roman" w:eastAsia="方正仿宋_GBK"/>
          <w:b w:val="0"/>
          <w:sz w:val="24"/>
        </w:rPr>
        <w:t xml:space="preserve">为峰段持续时间，单位h；215为单柜能量，单位kWh，2.15 h为额定能量与功率之比。</w:t>
      </w:r>
    </w:p>
    <w:p>
      <w:pPr>
        <w:pStyle w:val="2"/>
        <w:widowControl/>
        <w:spacing w:line="300" w:lineRule="auto" w:before="0" w:after="0"/>
        <w:ind w:firstLine="480"/>
        <w:jc w:val="both"/>
      </w:pPr>
      <w:r>
        <w:rPr>
          <w:rFonts w:ascii="Times New Roman" w:hAnsi="Times New Roman" w:eastAsia="方正仿宋_GBK"/>
          <w:b w:val="0"/>
          <w:sz w:val="24"/>
        </w:rPr>
        <w:t xml:space="preserve">10柜组合在1 h和2 h场景可以提供1 MW，3 h时为0.72 MW，4 h时为0.54 MW。单位充放电功率费用按对应持续时间分别计算。</w:t>
      </w:r>
    </w:p>
    <w:p>
      <w:pPr>
        <w:pStyle w:val="2"/>
        <w:keepNext/>
        <w:spacing w:line="300" w:lineRule="auto" w:before="120" w:after="80"/>
        <w:ind w:firstLine="0"/>
        <w:jc w:val="center"/>
      </w:pPr>
      <w:r>
        <w:rPr>
          <w:rFonts w:ascii="Times New Roman" w:hAnsi="Times New Roman" w:eastAsia="宋体"/>
          <w:b w:val="0"/>
          <w:sz w:val="21"/>
        </w:rPr>
        <w:t xml:space="preserve">表4-5 10柜组合理想持续支撑与初始费用（式4-6）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储能充放电功率/MW</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储能单位充放电功率投资/（万元/MW）</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主变与储能单位功率投资比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293.66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0.06</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587.32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783.09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1174.64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0.01</w:t>
            </w:r>
          </w:p>
        </w:tc>
      </w:tr>
    </w:tbl>
    <w:p>
      <w:pPr>
        <w:pStyle w:val="2"/>
        <w:keepNext/>
        <w:spacing w:line="240" w:lineRule="auto" w:before="120" w:after="0"/>
        <w:ind w:firstLine="0"/>
        <w:jc w:val="center"/>
      </w:pPr>
      <w:r>
        <w:drawing>
          <wp:inline>
            <wp:extent cx="5120640" cy="270494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7"/>
                    <a:stretch>
                      <a:fillRect/>
                    </a:stretch>
                  </pic:blipFill>
                  <pic:spPr bwMode="auto">
                    <a:xfrm>
                      <a:off x="0" y="0"/>
                      <a:ext cx="5120640" cy="2704940"/>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图4-1 储能单位充放电功率费用与持续时间</w:t>
      </w:r>
    </w:p>
    <w:p>
      <w:pPr>
        <w:pStyle w:val="5"/>
        <w:keepNext/>
        <w:numPr>
          <w:numId w:val="0"/>
        </w:numPr>
        <w:spacing w:line="360" w:lineRule="auto" w:before="160" w:after="120"/>
        <w:ind w:firstLine="0"/>
      </w:pPr>
      <w:bookmarkStart w:id="158" w:name="可用能力与工程适用性"/>
      <w:r>
        <w:rPr>
          <w:rFonts w:ascii="Times New Roman" w:hAnsi="Times New Roman" w:eastAsia="方正仿宋_GBK"/>
          <w:b/>
          <w:sz w:val="26"/>
        </w:rPr>
        <w:t xml:space="preserve">4.4.4 可用能力与工程适用性</w:t>
      </w:r>
      <w:bookmarkEnd w:id="158"/>
    </w:p>
    <w:p>
      <w:pPr>
        <w:pStyle w:val="FirstParagraph"/>
        <w:widowControl/>
        <w:spacing w:line="300" w:lineRule="auto" w:before="0" w:after="0"/>
        <w:ind w:firstLine="480"/>
        <w:jc w:val="both"/>
      </w:pPr>
      <w:r>
        <w:rPr>
          <w:rFonts w:ascii="Times New Roman" w:hAnsi="Times New Roman" w:eastAsia="方正仿宋_GBK"/>
          <w:b w:val="0"/>
          <w:sz w:val="24"/>
        </w:rPr>
        <w:t xml:space="preserve">本研究按铭牌功率与能量进行峰段静态折算。正向支撑对应储能放电，反向支撑对应储能充电吸收功率；两者分别需要可放电能量和可充电空间。当前模型未追踪荷电状态，不能保证同一储能配置在各次正反向事件中始终具备所计能力。工程设计采用保证可用功率、能量和充放电效率，并通过连续时序核对充放电状态及充电条件，核定实际可持续支撑能力。</w:t>
      </w:r>
    </w:p>
    <w:p>
      <w:bookmarkStart w:id="1451" w:name="h451"/>
      <w:pPr>
        <w:pStyle w:val="4"/>
        <w:keepNext/>
        <w:numPr>
          <w:numId w:val="0"/>
        </w:numPr>
        <w:spacing w:line="360" w:lineRule="auto" w:before="160" w:after="120"/>
        <w:ind w:firstLine="0"/>
      </w:pPr>
      <w:bookmarkStart w:id="159" w:name="单位功率投资比及价格影响分析"/>
      <w:r>
        <w:rPr>
          <w:rFonts w:ascii="Times New Roman" w:hAnsi="Times New Roman" w:eastAsia="方正仿宋_GBK"/>
          <w:b/>
          <w:sz w:val="32"/>
        </w:rPr>
        <w:t xml:space="preserve">4.5 单位功率投资比及价格影响分析</w:t>
      </w:r>
      <w:bookmarkEnd w:id="159"/>
      <w:bookmarkEnd w:id="1451"/>
    </w:p>
    <w:p>
      <w:pPr>
        <w:pStyle w:val="5"/>
        <w:keepNext/>
        <w:numPr>
          <w:numId w:val="0"/>
        </w:numPr>
        <w:spacing w:line="360" w:lineRule="auto" w:before="160" w:after="120"/>
        <w:ind w:firstLine="0"/>
      </w:pPr>
      <w:bookmarkStart w:id="160" w:name="主变与线路单位功率投资比"/>
      <w:r>
        <w:rPr>
          <w:rFonts w:ascii="Times New Roman" w:hAnsi="Times New Roman" w:eastAsia="方正仿宋_GBK"/>
          <w:b/>
          <w:sz w:val="26"/>
        </w:rPr>
        <w:t xml:space="preserve">4.5.1 主变与线路单位功率投资比</w:t>
      </w:r>
      <w:bookmarkEnd w:id="160"/>
    </w:p>
    <w:p>
      <w:pPr>
        <w:pStyle w:val="FirstParagraph"/>
        <w:widowControl/>
        <w:spacing w:line="300" w:lineRule="auto" w:before="0" w:after="0"/>
        <w:ind w:firstLine="480"/>
        <w:jc w:val="both"/>
      </w:pPr>
      <w:r>
        <w:rPr>
          <w:rFonts w:ascii="Times New Roman" w:hAnsi="Times New Roman" w:eastAsia="方正仿宋_GBK"/>
          <w:b w:val="0"/>
          <w:sz w:val="24"/>
        </w:rPr>
        <w:t xml:space="preserve">采用相同单位的初始投资尺度，主变单位新购有功功率投资与线路单位可转负荷投资之比记为</w:t>
      </w:r>
      <m:oMath>
        <m:sSub>
          <m:e>
            <m:r>
              <m:t>k</m:t>
            </m:r>
          </m:e>
          <m:sub>
            <m:r>
              <m:t>T</m:t>
            </m:r>
            <m:r>
              <m:t>L</m:t>
            </m:r>
          </m:sub>
        </m:sSub>
      </m:oMath>
      <w:r>
        <w:rPr>
          <w:rFonts w:ascii="Times New Roman" w:hAnsi="Times New Roman" w:eastAsia="方正仿宋_GBK"/>
          <w:b w:val="0"/>
          <w:sz w:val="24"/>
        </w:rPr>
        <w:t xml:space="preserve">。式（4-7）对应本研究参考规模，主变系数来自实际替换工程，线路价格及有效任务取前述情景[85][87]。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L</m:t>
                    </m:r>
                  </m:sub>
                </m:sSub>
                <m:r>
                  <m:t>=</m:t>
                </m:r>
                <m:f>
                  <m:fPr>
                    <m:type m:val="bar"/>
                  </m:fPr>
                  <m:num>
                    <m:sSub>
                      <m:e>
                        <m:r>
                          <m:t>c</m:t>
                        </m:r>
                      </m:e>
                      <m:sub>
                        <m:r>
                          <m:t>T</m:t>
                        </m:r>
                      </m:sub>
                    </m:sSub>
                    <m:r>
                      <m:t>/</m:t>
                    </m:r>
                    <m:r>
                      <m:t>0.95</m:t>
                    </m:r>
                  </m:num>
                  <m:den>
                    <m:sSub>
                      <m:e>
                        <m:r>
                          <m:t>I</m:t>
                        </m:r>
                      </m:e>
                      <m:sub>
                        <m:r>
                          <m:t>L</m:t>
                        </m:r>
                      </m:sub>
                    </m:sSub>
                    <m:r>
                      <m:t>/</m:t>
                    </m:r>
                    <m:sSub>
                      <m:e>
                        <m:r>
                          <m:t>F</m:t>
                        </m:r>
                      </m:e>
                      <m:sub>
                        <m:r>
                          <m:t>L</m:t>
                        </m:r>
                      </m:sub>
                    </m:sSub>
                  </m:den>
                </m:f>
                <m:r>
                  <m:t>=</m:t>
                </m:r>
                <m:f>
                  <m:fPr>
                    <m:type m:val="bar"/>
                  </m:fPr>
                  <m:num>
                    <m:r>
                      <m:t>16.57</m:t>
                    </m:r>
                    <m:r>
                      <m:t>/</m:t>
                    </m:r>
                    <m:r>
                      <m:t>0.95</m:t>
                    </m:r>
                  </m:num>
                  <m:den>
                    <m:r>
                      <m:t>124.80</m:t>
                    </m:r>
                    <m:r>
                      <m:t>/</m:t>
                    </m:r>
                    <m:r>
                      <m:t>7.49</m:t>
                    </m:r>
                  </m:den>
                </m:f>
                <m:r>
                  <m:t>≈</m:t>
                </m:r>
                <m:r>
                  <m:t>1.05</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k</m:t>
            </m:r>
          </m:e>
          <m:sub>
            <m:r>
              <m:t>T</m:t>
            </m:r>
            <m:r>
              <m:t>L</m:t>
            </m:r>
          </m:sub>
        </m:sSub>
      </m:oMath>
      <w:r>
        <w:rPr>
          <w:rFonts w:ascii="Times New Roman" w:hAnsi="Times New Roman" w:eastAsia="方正仿宋_GBK"/>
          <w:b w:val="0"/>
          <w:sz w:val="24"/>
        </w:rPr>
        <w:t xml:space="preserve">为主变与线路单位功率投资比，无量纲；</w:t>
      </w:r>
      <m:oMath>
        <m:sSub>
          <m:e>
            <m:r>
              <m:t>F</m:t>
            </m:r>
          </m:e>
          <m:sub>
            <m:r>
              <m:t>L</m:t>
            </m:r>
          </m:sub>
        </m:sSub>
      </m:oMath>
      <w:r>
        <w:rPr>
          <w:rFonts w:ascii="Times New Roman" w:hAnsi="Times New Roman" w:eastAsia="方正仿宋_GBK"/>
          <w:b w:val="0"/>
          <w:sz w:val="24"/>
        </w:rPr>
        <w:t xml:space="preserve">为单项目可转负荷，取7.49 MW；</w:t>
      </w:r>
      <m:oMath>
        <m:sSub>
          <m:e>
            <m:r>
              <m:t>I</m:t>
            </m:r>
          </m:e>
          <m:sub>
            <m:r>
              <m:t>L</m:t>
            </m:r>
          </m:sub>
        </m:sSub>
      </m:oMath>
      <w:r>
        <w:rPr>
          <w:rFonts w:ascii="Times New Roman" w:hAnsi="Times New Roman" w:eastAsia="方正仿宋_GBK"/>
          <w:b w:val="0"/>
          <w:sz w:val="24"/>
        </w:rPr>
        <w:t xml:space="preserve">为单项目投资，单位万元；</w:t>
      </w:r>
      <m:oMath>
        <m:sSub>
          <m:e>
            <m:r>
              <m:t>c</m:t>
            </m:r>
          </m:e>
          <m:sub>
            <m:r>
              <m:t>T</m:t>
            </m:r>
          </m:sub>
        </m:sSub>
      </m:oMath>
      <w:r>
        <w:rPr>
          <w:rFonts w:ascii="Times New Roman" w:hAnsi="Times New Roman" w:eastAsia="方正仿宋_GBK"/>
          <w:b w:val="0"/>
          <w:sz w:val="24"/>
        </w:rPr>
        <w:t xml:space="preserve">为主变采购容量投资系数，0.95为功率因数。</w:t>
      </w:r>
    </w:p>
    <w:p>
      <w:pPr>
        <w:pStyle w:val="2"/>
        <w:widowControl/>
        <w:spacing w:line="300" w:lineRule="auto" w:before="0" w:after="0"/>
        <w:ind w:firstLine="480"/>
        <w:jc w:val="both"/>
      </w:pPr>
      <w:r>
        <w:rPr>
          <w:rFonts w:ascii="Times New Roman" w:hAnsi="Times New Roman" w:eastAsia="方正仿宋_GBK"/>
          <w:b w:val="0"/>
          <w:sz w:val="24"/>
        </w:rPr>
        <w:t xml:space="preserve">主变增容增加本站容量，联络建设利用相邻站容量承接负荷。两者的经济替代取决于送受端容量和线路可转负荷，单位功率投资比用于比较相对投资水平。</w:t>
      </w:r>
    </w:p>
    <w:p>
      <w:pPr>
        <w:pStyle w:val="2"/>
        <w:widowControl/>
        <w:spacing w:line="300" w:lineRule="auto" w:before="0" w:after="0"/>
        <w:ind w:firstLine="480"/>
        <w:jc w:val="both"/>
      </w:pPr>
      <w:r>
        <w:rPr>
          <w:rFonts w:ascii="Times New Roman" w:hAnsi="Times New Roman" w:eastAsia="方正仿宋_GBK"/>
          <w:b w:val="0"/>
          <w:sz w:val="24"/>
        </w:rPr>
        <w:t xml:space="preserve">电缆为主情景的初始投资比约为0.26。主变参考价不变时，线路越贵，该投资比越小；较小的比值表示增加主变容量相对于新建联络更便宜。线路类型通过敷设比例改变费用，价格倍数用于检查同类工程的价格波动。</w:t>
      </w:r>
    </w:p>
    <w:p>
      <w:pPr>
        <w:pStyle w:val="2"/>
        <w:widowControl/>
        <w:spacing w:line="300" w:lineRule="auto" w:before="0" w:after="0"/>
        <w:ind w:firstLine="480"/>
        <w:jc w:val="both"/>
      </w:pPr>
      <w:r>
        <w:rPr>
          <w:rFonts w:ascii="Times New Roman" w:hAnsi="Times New Roman" w:eastAsia="方正仿宋_GBK"/>
          <w:b w:val="0"/>
          <w:sz w:val="24"/>
        </w:rPr>
        <w:t xml:space="preserve">线路价格乘以0.75或1.25时，主变价格保持，比例相对于基准分别变为1/0.75与1/1.25。联络容量、负荷和候选集合不因改变价格而变化。这样可以将价格影响与技术能力影响分开观察。</w:t>
      </w:r>
    </w:p>
    <w:p>
      <w:pPr>
        <w:pStyle w:val="5"/>
        <w:keepNext/>
        <w:numPr>
          <w:numId w:val="0"/>
        </w:numPr>
        <w:spacing w:line="360" w:lineRule="auto" w:before="160" w:after="120"/>
        <w:ind w:firstLine="0"/>
      </w:pPr>
      <w:bookmarkStart w:id="161" w:name="主变与储能单位功率投资比"/>
      <w:r>
        <w:rPr>
          <w:rFonts w:ascii="Times New Roman" w:hAnsi="Times New Roman" w:eastAsia="方正仿宋_GBK"/>
          <w:b/>
          <w:sz w:val="26"/>
        </w:rPr>
        <w:t xml:space="preserve">4.5.2 主变与储能单位功率投资比</w:t>
      </w:r>
      <w:bookmarkEnd w:id="161"/>
    </w:p>
    <w:p>
      <w:pPr>
        <w:pStyle w:val="FirstParagraph"/>
        <w:widowControl/>
        <w:spacing w:line="300" w:lineRule="auto" w:before="0" w:after="0"/>
        <w:ind w:firstLine="480"/>
        <w:jc w:val="both"/>
      </w:pPr>
      <w:r>
        <w:rPr>
          <w:rFonts w:ascii="Times New Roman" w:hAnsi="Times New Roman" w:eastAsia="方正仿宋_GBK"/>
          <w:b w:val="0"/>
          <w:sz w:val="24"/>
        </w:rPr>
        <w:t xml:space="preserve">主变单位新购有功功率投资与</w:t>
      </w:r>
      <m:oMath>
        <m:r>
          <m:t>d</m:t>
        </m:r>
      </m:oMath>
      <w:r>
        <w:rPr>
          <w:rFonts w:ascii="Times New Roman" w:hAnsi="Times New Roman" w:eastAsia="方正仿宋_GBK"/>
          <w:b w:val="0"/>
          <w:sz w:val="24"/>
        </w:rPr>
        <w:t xml:space="preserve">小时储能单位充放电功率投资之比记为</w:t>
      </w:r>
      <m:oMath>
        <m:sSub>
          <m:e>
            <m:r>
              <m:t>k</m:t>
            </m:r>
          </m:e>
          <m:sub>
            <m:r>
              <m:t>T</m:t>
            </m:r>
            <m:r>
              <m:t>B</m:t>
            </m:r>
          </m:sub>
        </m:sSub>
        <m:r>
          <m:t>(</m:t>
        </m:r>
        <m:r>
          <m:t>d</m:t>
        </m:r>
        <m:r>
          <m:t>)</m:t>
        </m:r>
      </m:oMath>
      <w:r>
        <w:rPr>
          <w:rFonts w:ascii="Times New Roman" w:hAnsi="Times New Roman" w:eastAsia="方正仿宋_GBK"/>
          <w:b w:val="0"/>
          <w:sz w:val="24"/>
        </w:rPr>
        <w:t xml:space="preserve">。式（4-8）以10柜组合为尺度，使持续时间明确进入比例。</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B</m:t>
                    </m:r>
                  </m:sub>
                </m:sSub>
                <m:r>
                  <m:t>(</m:t>
                </m:r>
                <m:r>
                  <m:t>d</m:t>
                </m:r>
                <m:r>
                  <m:t>)</m:t>
                </m:r>
                <m:r>
                  <m:t>=</m:t>
                </m:r>
                <m:f>
                  <m:fPr>
                    <m:type m:val="bar"/>
                  </m:fPr>
                  <m:num>
                    <m:sSub>
                      <m:e>
                        <m:r>
                          <m:t>c</m:t>
                        </m:r>
                      </m:e>
                      <m:sub>
                        <m:r>
                          <m:t>T</m:t>
                        </m:r>
                      </m:sub>
                    </m:sSub>
                    <m:r>
                      <m:t>/</m:t>
                    </m:r>
                    <m:r>
                      <m:t>0.95</m:t>
                    </m:r>
                  </m:num>
                  <m:den>
                    <m:r>
                      <m:t>210.46</m:t>
                    </m:r>
                    <m:r>
                      <m:t>/</m:t>
                    </m:r>
                    <m:r>
                      <m:t>B</m:t>
                    </m:r>
                    <m:r>
                      <m:t>(</m:t>
                    </m:r>
                    <m:r>
                      <m:t>10</m:t>
                    </m:r>
                    <m:r>
                      <m:t>,</m:t>
                    </m:r>
                    <m:r>
                      <m:t>d</m:t>
                    </m:r>
                    <m:r>
                      <m:t>)</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k</m:t>
            </m:r>
          </m:e>
          <m:sub>
            <m:r>
              <m:t>T</m:t>
            </m:r>
            <m:r>
              <m:t>B</m:t>
            </m:r>
          </m:sub>
        </m:sSub>
        <m:r>
          <m:t>(</m:t>
        </m:r>
        <m:r>
          <m:t>d</m:t>
        </m:r>
        <m:r>
          <m:t>)</m:t>
        </m:r>
      </m:oMath>
      <w:r>
        <w:rPr>
          <w:rFonts w:ascii="Times New Roman" w:hAnsi="Times New Roman" w:eastAsia="方正仿宋_GBK"/>
          <w:b w:val="0"/>
          <w:sz w:val="24"/>
        </w:rPr>
        <w:t xml:space="preserve">为持续</w:t>
      </w:r>
      <m:oMath>
        <m:r>
          <m:t>d</m:t>
        </m:r>
      </m:oMath>
      <w:r>
        <w:rPr>
          <w:rFonts w:ascii="Times New Roman" w:hAnsi="Times New Roman" w:eastAsia="方正仿宋_GBK"/>
          <w:b w:val="0"/>
          <w:sz w:val="24"/>
        </w:rPr>
        <w:t xml:space="preserve">小时的主变与储能单位功率投资比，无量纲；</w:t>
      </w:r>
      <m:oMath>
        <m:r>
          <m:t>B</m:t>
        </m:r>
        <m:r>
          <m:t>(</m:t>
        </m:r>
        <m:r>
          <m:t>10</m:t>
        </m:r>
        <m:r>
          <m:t>,</m:t>
        </m:r>
        <m:r>
          <m:t>d</m:t>
        </m:r>
        <m:r>
          <m:t>)</m:t>
        </m:r>
      </m:oMath>
      <w:r>
        <w:rPr>
          <w:rFonts w:ascii="Times New Roman" w:hAnsi="Times New Roman" w:eastAsia="方正仿宋_GBK"/>
          <w:b w:val="0"/>
          <w:sz w:val="24"/>
        </w:rPr>
        <w:t xml:space="preserve">为10柜组合充放电功率，单位MW；210.46为该包参考投资，单位万元。</w:t>
      </w:r>
    </w:p>
    <w:p>
      <w:pPr>
        <w:pStyle w:val="2"/>
        <w:widowControl/>
        <w:spacing w:line="300" w:lineRule="auto" w:before="0" w:after="0"/>
        <w:ind w:firstLine="480"/>
        <w:jc w:val="both"/>
      </w:pPr>
      <w:r>
        <w:rPr>
          <w:rFonts w:ascii="Times New Roman" w:hAnsi="Times New Roman" w:eastAsia="方正仿宋_GBK"/>
          <w:b w:val="0"/>
          <w:sz w:val="24"/>
        </w:rPr>
        <w:t xml:space="preserve">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时，主变与储能单位功率投资比</w:t>
      </w:r>
      <m:oMath>
        <m:sSub>
          <m:e>
            <m:r>
              <m:t>k</m:t>
            </m:r>
          </m:e>
          <m:sub>
            <m:r>
              <m:t>T</m:t>
            </m:r>
            <m:r>
              <m:t>B</m:t>
            </m:r>
          </m:sub>
        </m:sSub>
      </m:oMath>
      <w:r>
        <w:rPr>
          <w:rFonts w:ascii="Times New Roman" w:hAnsi="Times New Roman" w:eastAsia="方正仿宋_GBK"/>
          <w:b w:val="0"/>
          <w:sz w:val="24"/>
        </w:rPr>
        <w:t xml:space="preserve">约0.06；2 h及以内约0.08，4</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时约0.04。报告用3 h参考比例展示价格条件，实际寻优仍对每站正反向持续时间分别计算支撑系数。各站能量约束按本方向持续时间计算。</w:t>
      </w:r>
    </w:p>
    <w:p>
      <w:pPr>
        <w:pStyle w:val="2"/>
        <w:widowControl/>
        <w:spacing w:line="300" w:lineRule="auto" w:before="0" w:after="0"/>
        <w:ind w:firstLine="480"/>
        <w:jc w:val="both"/>
      </w:pPr>
      <w:r>
        <w:rPr>
          <w:rFonts w:ascii="Times New Roman" w:hAnsi="Times New Roman" w:eastAsia="方正仿宋_GBK"/>
          <w:b w:val="0"/>
          <w:sz w:val="24"/>
        </w:rPr>
        <w:t xml:space="preserve">储能价格降低25%或50%时，主变与储能单位功率投资比</w:t>
      </w:r>
      <m:oMath>
        <m:sSub>
          <m:e>
            <m:r>
              <m:t>k</m:t>
            </m:r>
          </m:e>
          <m:sub>
            <m:r>
              <m:t>T</m:t>
            </m:r>
            <m:r>
              <m:t>B</m:t>
            </m:r>
          </m:sub>
        </m:sSub>
      </m:oMath>
      <w:r>
        <w:rPr>
          <w:rFonts w:ascii="Times New Roman" w:hAnsi="Times New Roman" w:eastAsia="方正仿宋_GBK"/>
          <w:b w:val="0"/>
          <w:sz w:val="24"/>
        </w:rPr>
        <w:t xml:space="preserve">相对于同持续时间基准分别增加到1.33倍或2倍；提高25%时降为0.80倍。初始投资与未来更新投资共同采用相同价格倍数；本评价期内更新支出为零。</w:t>
      </w:r>
    </w:p>
    <w:p>
      <w:pPr>
        <w:pStyle w:val="5"/>
        <w:keepNext/>
        <w:numPr>
          <w:numId w:val="0"/>
        </w:numPr>
        <w:spacing w:line="360" w:lineRule="auto" w:before="160" w:after="120"/>
        <w:ind w:firstLine="0"/>
      </w:pPr>
      <w:bookmarkStart w:id="162" w:name="初始投资比与评价期费用比"/>
      <w:r>
        <w:rPr>
          <w:rFonts w:ascii="Times New Roman" w:hAnsi="Times New Roman" w:eastAsia="方正仿宋_GBK"/>
          <w:b/>
          <w:sz w:val="26"/>
        </w:rPr>
        <w:t xml:space="preserve">4.5.3 初始投资比与评价期费用比</w:t>
      </w:r>
      <w:bookmarkEnd w:id="162"/>
    </w:p>
    <w:p>
      <w:pPr>
        <w:pStyle w:val="FirstParagraph"/>
        <w:widowControl/>
        <w:spacing w:line="300" w:lineRule="auto" w:before="0" w:after="0"/>
        <w:ind w:firstLine="480"/>
        <w:jc w:val="both"/>
      </w:pPr>
      <w:r>
        <w:rPr>
          <w:rFonts w:ascii="Times New Roman" w:hAnsi="Times New Roman" w:eastAsia="方正仿宋_GBK"/>
          <w:b w:val="0"/>
          <w:sz w:val="24"/>
        </w:rPr>
        <w:t xml:space="preserve">初始投资比适于说明工程规模和价格出处，评价期费用比还受投运年份、运维及更新影响。对同一年投入的措施，可将各初始费用分别乘以相应现值因子，形成评价期单位功率费用比。本研究评价期内无需寿命更新，评价期比例与初始比例的差异来自固定运维费率及投运年份。</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k</m:t>
                          </m:r>
                        </m:e>
                        <m:sub>
                          <m:r>
                            <m:t>T</m:t>
                          </m:r>
                          <m:r>
                            <m:t>B</m:t>
                          </m:r>
                        </m:sub>
                        <m:sup>
                          <m:r>
                            <m:rPr>
                              <m:sty m:val="p"/>
                            </m:rPr>
                            <m:t>l</m:t>
                          </m:r>
                          <m:r>
                            <m:rPr>
                              <m:sty m:val="p"/>
                            </m:rPr>
                            <m:t>i</m:t>
                          </m:r>
                          <m:r>
                            <m:rPr>
                              <m:sty m:val="p"/>
                            </m:rPr>
                            <m:t>f</m:t>
                          </m:r>
                          <m:r>
                            <m:rPr>
                              <m:sty m:val="p"/>
                            </m:rPr>
                            <m:t>e</m:t>
                          </m:r>
                        </m:sup>
                      </m:sSubSup>
                      <m:r>
                        <m:t>(</m:t>
                      </m:r>
                      <m:r>
                        <m:t>y</m:t>
                      </m:r>
                      <m:r>
                        <m:t>,</m:t>
                      </m:r>
                      <m:r>
                        <m:t>d</m:t>
                      </m:r>
                      <m:r>
                        <m:t>)</m:t>
                      </m:r>
                    </m:e>
                    <m:e>
                      <m:r>
                        <m:t>=</m:t>
                      </m:r>
                      <m:sSub>
                        <m:e>
                          <m:r>
                            <m:t>k</m:t>
                          </m:r>
                        </m:e>
                        <m:sub>
                          <m:r>
                            <m:t>T</m:t>
                          </m:r>
                          <m:r>
                            <m:t>B</m:t>
                          </m:r>
                        </m:sub>
                      </m:sSub>
                      <m:r>
                        <m:t>(</m:t>
                      </m:r>
                      <m:r>
                        <m:t>d</m:t>
                      </m:r>
                      <m:r>
                        <m:t>)</m:t>
                      </m:r>
                      <m:f>
                        <m:fPr>
                          <m:type m:val="bar"/>
                        </m:fPr>
                        <m:num>
                          <m:sSub>
                            <m:e>
                              <m:r>
                                <m:t>A</m:t>
                              </m:r>
                            </m:e>
                            <m:sub>
                              <m:r>
                                <m:t>T</m:t>
                              </m:r>
                            </m:sub>
                          </m:sSub>
                          <m:r>
                            <m:t>(</m:t>
                          </m:r>
                          <m:r>
                            <m:t>y</m:t>
                          </m:r>
                          <m:r>
                            <m:t>)</m:t>
                          </m:r>
                        </m:num>
                        <m:den>
                          <m:sSub>
                            <m:e>
                              <m:r>
                                <m:t>A</m:t>
                              </m:r>
                            </m:e>
                            <m:sub>
                              <m:r>
                                <m:t>B</m:t>
                              </m:r>
                            </m:sub>
                          </m:sSub>
                          <m:r>
                            <m:t>(</m:t>
                          </m:r>
                          <m:r>
                            <m:t>y</m:t>
                          </m:r>
                          <m:r>
                            <m:t>)</m:t>
                          </m:r>
                        </m:den>
                      </m:f>
                    </m:e>
                  </m:mr>
                  <m:mr>
                    <m:e>
                      <m:sSubSup>
                        <m:e>
                          <m:r>
                            <m:t>k</m:t>
                          </m:r>
                        </m:e>
                        <m:sub>
                          <m:r>
                            <m:t>T</m:t>
                          </m:r>
                          <m:r>
                            <m:t>L</m:t>
                          </m:r>
                        </m:sub>
                        <m:sup>
                          <m:r>
                            <m:rPr>
                              <m:sty m:val="p"/>
                            </m:rPr>
                            <m:t>l</m:t>
                          </m:r>
                          <m:r>
                            <m:rPr>
                              <m:sty m:val="p"/>
                            </m:rPr>
                            <m:t>i</m:t>
                          </m:r>
                          <m:r>
                            <m:rPr>
                              <m:sty m:val="p"/>
                            </m:rPr>
                            <m:t>f</m:t>
                          </m:r>
                          <m:r>
                            <m:rPr>
                              <m:sty m:val="p"/>
                            </m:rPr>
                            <m:t>e</m:t>
                          </m:r>
                        </m:sup>
                      </m:sSubSup>
                      <m:r>
                        <m:t>(</m:t>
                      </m:r>
                      <m:r>
                        <m:t>y</m:t>
                      </m:r>
                      <m:r>
                        <m:t>)</m:t>
                      </m:r>
                    </m:e>
                    <m:e>
                      <m:r>
                        <m:t>=</m:t>
                      </m:r>
                      <m:sSub>
                        <m:e>
                          <m:r>
                            <m:t>k</m:t>
                          </m:r>
                        </m:e>
                        <m:sub>
                          <m:r>
                            <m:t>T</m:t>
                          </m:r>
                          <m:r>
                            <m:t>L</m:t>
                          </m:r>
                        </m:sub>
                      </m:sSub>
                      <m:f>
                        <m:fPr>
                          <m:type m:val="bar"/>
                        </m:fPr>
                        <m:num>
                          <m:sSub>
                            <m:e>
                              <m:r>
                                <m:t>A</m:t>
                              </m:r>
                            </m:e>
                            <m:sub>
                              <m:r>
                                <m:t>T</m:t>
                              </m:r>
                            </m:sub>
                          </m:sSub>
                          <m:r>
                            <m:t>(</m:t>
                          </m:r>
                          <m:r>
                            <m:t>y</m:t>
                          </m:r>
                          <m:r>
                            <m:t>)</m:t>
                          </m:r>
                        </m:num>
                        <m:den>
                          <m:sSub>
                            <m:e>
                              <m:r>
                                <m:t>A</m:t>
                              </m:r>
                            </m:e>
                            <m:sub>
                              <m:r>
                                <m:t>L</m:t>
                              </m:r>
                            </m:sub>
                          </m:sSub>
                          <m:r>
                            <m:t>(</m:t>
                          </m:r>
                          <m:r>
                            <m:t>y</m:t>
                          </m:r>
                          <m:r>
                            <m:t>)</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（4-9）</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k</m:t>
            </m:r>
          </m:e>
          <m:sub>
            <m:r>
              <m:t>T</m:t>
            </m:r>
            <m:r>
              <m:t>B</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w:t>
      </w:r>
      <m:oMath>
        <m:sSubSup>
          <m:e>
            <m:r>
              <m:t>k</m:t>
            </m:r>
          </m:e>
          <m:sub>
            <m:r>
              <m:t>T</m:t>
            </m:r>
            <m:r>
              <m:t>L</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分别为评价期主变与储能、主变与线路单位功率费用比，无量纲；</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分别为主变、储能和线路的现金流现值因子，按下一节计算。矩阵以两个价格倍数作为敏感性输入，费用目标由评价期现金流决定；初始比例用于列示参数。</w:t>
      </w:r>
    </w:p>
    <w:p>
      <w:pPr>
        <w:pStyle w:val="5"/>
        <w:keepNext/>
        <w:numPr>
          <w:numId w:val="0"/>
        </w:numPr>
        <w:spacing w:line="360" w:lineRule="auto" w:before="160" w:after="120"/>
        <w:ind w:firstLine="0"/>
      </w:pPr>
      <w:bookmarkStart w:id="163" w:name="参数范围与控制方式"/>
      <w:r>
        <w:rPr>
          <w:rFonts w:ascii="Times New Roman" w:hAnsi="Times New Roman" w:eastAsia="方正仿宋_GBK"/>
          <w:b/>
          <w:sz w:val="26"/>
        </w:rPr>
        <w:t xml:space="preserve">4.5.4 参数范围与控制方式</w:t>
      </w:r>
      <w:bookmarkEnd w:id="163"/>
    </w:p>
    <w:p>
      <w:pPr>
        <w:pStyle w:val="FirstParagraph"/>
        <w:widowControl/>
        <w:spacing w:line="300" w:lineRule="auto" w:before="0" w:after="0"/>
        <w:ind w:firstLine="480"/>
        <w:jc w:val="both"/>
      </w:pPr>
      <w:r>
        <w:rPr>
          <w:rFonts w:ascii="Times New Roman" w:hAnsi="Times New Roman" w:eastAsia="方正仿宋_GBK"/>
          <w:b w:val="0"/>
          <w:sz w:val="24"/>
        </w:rPr>
        <w:t xml:space="preserve">成本敏感性改变主变与线路、主变与储能两个比例。主变价格保持基准，线路采用0.75～1.25倍，储能采用0.50～1.25倍。通用外推取三档线路与三档储能价格的九组交叉组合，与分布式电源装机渗透率、年最大净负荷平均增长率和峰段持续时间共同形成计算组合。</w:t>
      </w:r>
    </w:p>
    <w:p>
      <w:pPr>
        <w:pStyle w:val="2"/>
        <w:widowControl/>
        <w:spacing w:line="300" w:lineRule="auto" w:before="0" w:after="0"/>
        <w:ind w:firstLine="480"/>
        <w:jc w:val="both"/>
      </w:pPr>
      <w:r>
        <w:rPr>
          <w:rFonts w:ascii="Times New Roman" w:hAnsi="Times New Roman" w:eastAsia="方正仿宋_GBK"/>
          <w:b w:val="0"/>
          <w:sz w:val="24"/>
        </w:rPr>
        <w:t xml:space="preserve">价格范围用于检验相对费用变化对配置的影响。新增线路提高站级转供能力，线路价格变化据此参与主变、储能和联络的费用比较。</w:t>
      </w:r>
    </w:p>
    <w:p>
      <w:bookmarkStart w:id="1469" w:name="h469"/>
      <w:pPr>
        <w:pStyle w:val="4"/>
        <w:keepNext/>
        <w:numPr>
          <w:numId w:val="0"/>
        </w:numPr>
        <w:spacing w:line="360" w:lineRule="auto" w:before="160" w:after="120"/>
        <w:ind w:firstLine="0"/>
      </w:pPr>
      <w:bookmarkStart w:id="164" w:name="现金流现值计算"/>
      <w:r>
        <w:rPr>
          <w:rFonts w:ascii="Times New Roman" w:hAnsi="Times New Roman" w:eastAsia="方正仿宋_GBK"/>
          <w:b/>
          <w:sz w:val="32"/>
        </w:rPr>
        <w:t xml:space="preserve">4.6 现金流现值计算</w:t>
      </w:r>
      <w:bookmarkEnd w:id="164"/>
      <w:bookmarkEnd w:id="1469"/>
    </w:p>
    <w:p>
      <w:pPr>
        <w:pStyle w:val="5"/>
        <w:keepNext/>
        <w:numPr>
          <w:numId w:val="0"/>
        </w:numPr>
        <w:spacing w:line="360" w:lineRule="auto" w:before="160" w:after="120"/>
        <w:ind w:firstLine="0"/>
      </w:pPr>
      <w:bookmarkStart w:id="165" w:name="单项工程现值因子"/>
      <w:r>
        <w:rPr>
          <w:rFonts w:ascii="Times New Roman" w:hAnsi="Times New Roman" w:eastAsia="方正仿宋_GBK"/>
          <w:b/>
          <w:sz w:val="26"/>
        </w:rPr>
        <w:t xml:space="preserve">4.6.1 单项工程现值因子</w:t>
      </w:r>
      <w:bookmarkEnd w:id="165"/>
    </w:p>
    <w:p>
      <w:pPr>
        <w:pStyle w:val="FirstParagraph"/>
        <w:widowControl/>
        <w:spacing w:line="300" w:lineRule="auto"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（4-10）</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00" w:lineRule="auto"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严格小于2041时，截止年达到寿命不另购一套设备。固定运维一直计至2041年。</w:t>
      </w:r>
    </w:p>
    <w:p>
      <w:pPr>
        <w:pStyle w:val="2"/>
        <w:widowControl/>
        <w:spacing w:line="300" w:lineRule="auto"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。主变按40年、4.20%/年，线路按40年、2.20%/年，储能按25年、3.00%/年计算。2022—2025年投运的三类设备均未在2041年评价截止前达到设定寿命，因此本评价期内的更新支出为零。</w:t>
      </w:r>
    </w:p>
    <w:p>
      <w:pPr>
        <w:pStyle w:val="2"/>
        <w:keepNext/>
        <w:spacing w:line="300" w:lineRule="auto" w:before="120" w:after="80"/>
        <w:ind w:firstLine="0"/>
        <w:jc w:val="center"/>
      </w:pPr>
      <w:r>
        <w:rPr>
          <w:rFonts w:ascii="Times New Roman" w:hAnsi="Times New Roman" w:eastAsia="宋体"/>
          <w:b w:val="0"/>
          <w:sz w:val="21"/>
        </w:rPr>
        <w:t xml:space="preserve">表4-6 单位初始投资的2021年末现值因子（式4-10）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投运年</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w:t>
            </w:r>
          </w:p>
        </w:tc>
      </w:tr>
    </w:tbl>
    <w:p>
      <w:pPr>
        <w:pStyle w:val="5"/>
        <w:keepNext/>
        <w:numPr>
          <w:numId w:val="0"/>
        </w:numPr>
        <w:spacing w:line="360" w:lineRule="auto" w:before="160" w:after="120"/>
        <w:ind w:firstLine="0"/>
      </w:pPr>
      <w:bookmarkStart w:id="166" w:name="年度投运对现值的影响"/>
      <w:r>
        <w:rPr>
          <w:rFonts w:ascii="Times New Roman" w:hAnsi="Times New Roman" w:eastAsia="方正仿宋_GBK"/>
          <w:b/>
          <w:sz w:val="26"/>
        </w:rPr>
        <w:t xml:space="preserve">4.6.2 年度投运对现值的影响</w:t>
      </w:r>
      <w:bookmarkEnd w:id="166"/>
    </w:p>
    <w:p>
      <w:pPr>
        <w:pStyle w:val="FirstParagraph"/>
        <w:widowControl/>
        <w:spacing w:line="300" w:lineRule="auto"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00" w:lineRule="auto" w:before="0" w:after="0"/>
        <w:ind w:firstLine="480"/>
        <w:jc w:val="both"/>
      </w:pPr>
      <w:r>
        <w:rPr>
          <w:rFonts w:ascii="Times New Roman" w:hAnsi="Times New Roman" w:eastAsia="方正仿宋_GBK"/>
          <w:b w:val="0"/>
          <w:sz w:val="24"/>
        </w:rPr>
        <w:t xml:space="preserve">对于2022年已投运储能，后续新增柜按各自投运批次计算，不对全部2025年在役柜再次计首次投资。主变安装位置在不同年份先后升档，每一次更换分别计当年新购整台容量；采购批次合计用于费用，容量净增用于设备状态及容载比。</w:t>
      </w:r>
    </w:p>
    <w:p>
      <w:pPr>
        <w:pStyle w:val="5"/>
        <w:keepNext/>
        <w:numPr>
          <w:numId w:val="0"/>
        </w:numPr>
        <w:spacing w:line="360" w:lineRule="auto" w:before="160" w:after="120"/>
        <w:ind w:firstLine="0"/>
      </w:pPr>
      <w:bookmarkStart w:id="167" w:name="费用构成与结果复算"/>
      <w:r>
        <w:rPr>
          <w:rFonts w:ascii="Times New Roman" w:hAnsi="Times New Roman" w:eastAsia="方正仿宋_GBK"/>
          <w:b/>
          <w:sz w:val="26"/>
        </w:rPr>
        <w:t xml:space="preserve">4.6.3 费用构成与结果复算</w:t>
      </w:r>
      <w:bookmarkEnd w:id="167"/>
    </w:p>
    <w:p>
      <w:pPr>
        <w:pStyle w:val="FirstParagraph"/>
        <w:widowControl/>
        <w:spacing w:line="300" w:lineRule="auto"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为建设改造项目</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60" w:lineRule="auto" w:before="160" w:after="120"/>
        <w:ind w:firstLine="0"/>
      </w:pPr>
      <w:bookmarkStart w:id="168" w:name="评价期边界与费用解释"/>
      <w:r>
        <w:rPr>
          <w:rFonts w:ascii="Times New Roman" w:hAnsi="Times New Roman" w:eastAsia="方正仿宋_GBK"/>
          <w:b/>
          <w:sz w:val="26"/>
        </w:rPr>
        <w:t xml:space="preserve">4.6.4 评价期边界与费用解释</w:t>
      </w:r>
      <w:bookmarkEnd w:id="168"/>
    </w:p>
    <w:p>
      <w:pPr>
        <w:pStyle w:val="FirstParagraph"/>
        <w:widowControl/>
        <w:spacing w:line="300" w:lineRule="auto" w:before="0" w:after="0"/>
        <w:ind w:firstLine="480"/>
        <w:jc w:val="both"/>
      </w:pPr>
      <w:r>
        <w:rPr>
          <w:rFonts w:ascii="Times New Roman" w:hAnsi="Times New Roman" w:eastAsia="方正仿宋_GBK"/>
          <w:b w:val="0"/>
          <w:sz w:val="24"/>
        </w:rPr>
        <w:t xml:space="preserve">折现率6.00%，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不能据此比较设备完整使用寿命的总支出。</w:t>
      </w:r>
    </w:p>
    <w:p>
      <w:pPr>
        <w:pStyle w:val="2"/>
        <w:widowControl/>
        <w:spacing w:line="300" w:lineRule="auto"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60" w:lineRule="auto" w:before="160" w:after="120"/>
        <w:ind w:firstLine="0"/>
      </w:pPr>
      <w:bookmarkStart w:id="169" w:name="主变更换与扩建的投资差异"/>
      <w:r>
        <w:rPr>
          <w:rFonts w:ascii="Times New Roman" w:hAnsi="Times New Roman" w:eastAsia="方正仿宋_GBK"/>
          <w:b/>
          <w:sz w:val="26"/>
        </w:rPr>
        <w:t xml:space="preserve">4.6.5 主变更换与扩建的投资差异</w:t>
      </w:r>
      <w:bookmarkEnd w:id="169"/>
    </w:p>
    <w:p>
      <w:pPr>
        <w:pStyle w:val="FirstParagraph"/>
        <w:widowControl/>
        <w:spacing w:line="300" w:lineRule="auto"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主变更换与扩建均能增加变电容量，但工程内容和新增供电能力不同。更换工程需要购置整台新主变，同时退出原设备；扩建工程增加主变台数，并建设相应间隔、出线及配套设施。因此，同为50 MVA新购容量，净增容量和N-1后剩余容量可能不同，工程经济比较应联系建设方式。</w:t>
      </w:r>
    </w:p>
    <w:p>
      <w:pPr>
        <w:pStyle w:val="2"/>
        <w:widowControl/>
        <w:spacing w:line="300" w:lineRule="auto"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00" w:lineRule="auto" w:before="0" w:after="0"/>
        <w:ind w:firstLine="480"/>
        <w:jc w:val="both"/>
      </w:pPr>
      <w:r>
        <w:rPr>
          <w:rFonts w:ascii="Times New Roman" w:hAnsi="Times New Roman" w:eastAsia="方正仿宋_GBK"/>
          <w:b w:val="0"/>
          <w:sz w:val="24"/>
        </w:rPr>
        <w:t xml:space="preserve">鲁庙工程由两台31.50 MVA更换为两台50 MVA，新购100 MVA、退出63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00" w:lineRule="auto"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00" w:lineRule="auto" w:before="0" w:after="0"/>
        <w:ind w:firstLine="480"/>
        <w:jc w:val="both"/>
      </w:pPr>
      <w:r>
        <w:rPr>
          <w:rFonts w:ascii="Times New Roman" w:hAnsi="Times New Roman" w:eastAsia="方正仿宋_GBK"/>
          <w:b w:val="0"/>
          <w:sz w:val="24"/>
        </w:rPr>
        <w:t xml:space="preserve">主变更换投资较低或扩建投资较高，均不能直接决定方案优先次序。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60" w:lineRule="auto" w:before="160" w:after="120"/>
        <w:ind w:firstLine="0"/>
      </w:pPr>
      <w:bookmarkStart w:id="170" w:name="线路建设的规模价格与费用作用"/>
      <w:r>
        <w:rPr>
          <w:rFonts w:ascii="Times New Roman" w:hAnsi="Times New Roman" w:eastAsia="方正仿宋_GBK"/>
          <w:b/>
          <w:sz w:val="26"/>
        </w:rPr>
        <w:t xml:space="preserve">4.6.6 线路建设的规模、价格与费用作用</w:t>
      </w:r>
      <w:bookmarkEnd w:id="170"/>
    </w:p>
    <w:p>
      <w:pPr>
        <w:pStyle w:val="FirstParagraph"/>
        <w:widowControl/>
        <w:spacing w:line="300" w:lineRule="auto" w:before="0" w:after="0"/>
        <w:ind w:firstLine="480"/>
        <w:jc w:val="both"/>
      </w:pPr>
      <w:r>
        <w:rPr>
          <w:rFonts w:ascii="Times New Roman" w:hAnsi="Times New Roman" w:eastAsia="方正仿宋_GBK"/>
          <w:b w:val="0"/>
          <w:sz w:val="24"/>
        </w:rPr>
        <w:t xml:space="preserve">架空为主和电缆为主的联络项目均按3 km线路和两台开关计算，可转负荷均为7.49 MW，区别在于敷设比例。基准投资分别为124.80万元和499.20万元，后者为前者的4倍。该差异来自线路建设方式，联络在两种情景下提供的负荷转移能力保持一致。因而，本节比较可以说明相同转供任务下不同敷设方式的费用影响。</w:t>
      </w:r>
    </w:p>
    <w:p>
      <w:pPr>
        <w:pStyle w:val="2"/>
        <w:widowControl/>
        <w:spacing w:line="300" w:lineRule="auto" w:before="0" w:after="0"/>
        <w:ind w:firstLine="480"/>
        <w:jc w:val="both"/>
      </w:pPr>
      <w:r>
        <w:rPr>
          <w:rFonts w:ascii="Times New Roman" w:hAnsi="Times New Roman" w:eastAsia="方正仿宋_GBK"/>
          <w:b w:val="0"/>
          <w:sz w:val="24"/>
        </w:rPr>
        <w:t xml:space="preserve">架空为主工程在0.75、1.00和1.25倍价格情景下，单项初始投资分别为93.60、124.80和156.00万元；电缆为主分别为374.40、499.20和624.00万元。线路价格提高后，单位可转负荷投资相应增加，主变与线路单位功率投资比随之减小。费用比较还计入线路投运后的固定运维支出，因此价格变化同时作用于建设和运维两部分。</w:t>
      </w:r>
    </w:p>
    <w:p>
      <w:pPr>
        <w:pStyle w:val="2"/>
        <w:widowControl/>
        <w:spacing w:line="300" w:lineRule="auto" w:before="0" w:after="0"/>
        <w:ind w:firstLine="480"/>
        <w:jc w:val="both"/>
      </w:pPr>
      <w:r>
        <w:rPr>
          <w:rFonts w:ascii="Times New Roman" w:hAnsi="Times New Roman" w:eastAsia="方正仿宋_GBK"/>
          <w:b w:val="0"/>
          <w:sz w:val="24"/>
        </w:rPr>
        <w:t xml:space="preserve">新建联络能够发挥作用，需要送端具有可转负荷、线路具备承载余量且受端能够接纳。若这些条件已由既有网络满足，线路价格变化不会带来新增支出；若新增联络是满足转供能力要求所需的工程，其价格变化首先体现为相同数量项目的费用变化。只有当主变、储能与联络之间存在可替代的配置时，价格变化才可能改变所选工程规模。</w:t>
      </w:r>
    </w:p>
    <w:p>
      <w:pPr>
        <w:pStyle w:val="2"/>
        <w:widowControl/>
        <w:spacing w:line="300" w:lineRule="auto" w:before="0" w:after="0"/>
        <w:ind w:firstLine="480"/>
        <w:jc w:val="both"/>
      </w:pPr>
      <w:r>
        <w:rPr>
          <w:rFonts w:ascii="Times New Roman" w:hAnsi="Times New Roman" w:eastAsia="方正仿宋_GBK"/>
          <w:b w:val="0"/>
          <w:sz w:val="24"/>
        </w:rPr>
        <w:t xml:space="preserve">通用分析中A类站群在所列条件下未新建联络，B/C类站群均新建3项。因此，第五章将主变与线路单位功率投资比单独列为费用影响分析，并在分类推荐表中注明对应范围。该处理使线路价格得到完整考虑，也保留了计算结果显示的容量稳定性。对具有不同既有网络或可转负荷的片区，仍需结合相应工程能力重新比较。</w:t>
      </w:r>
    </w:p>
    <w:p>
      <w:pPr>
        <w:pStyle w:val="5"/>
        <w:keepNext/>
        <w:numPr>
          <w:numId w:val="0"/>
        </w:numPr>
        <w:spacing w:line="360" w:lineRule="auto" w:before="160" w:after="120"/>
        <w:ind w:firstLine="0"/>
      </w:pPr>
      <w:bookmarkStart w:id="171" w:name="储能额定功率与持续充放电费用"/>
      <w:r>
        <w:rPr>
          <w:rFonts w:ascii="Times New Roman" w:hAnsi="Times New Roman" w:eastAsia="方正仿宋_GBK"/>
          <w:b/>
          <w:sz w:val="26"/>
        </w:rPr>
        <w:t xml:space="preserve">4.6.7 储能额定功率与持续充放电费用</w:t>
      </w:r>
      <w:bookmarkEnd w:id="171"/>
    </w:p>
    <w:p>
      <w:pPr>
        <w:pStyle w:val="FirstParagraph"/>
        <w:widowControl/>
        <w:spacing w:line="300" w:lineRule="auto" w:before="0" w:after="0"/>
        <w:ind w:firstLine="480"/>
        <w:jc w:val="both"/>
      </w:pPr>
      <w:r>
        <w:rPr>
          <w:rFonts w:ascii="Times New Roman" w:hAnsi="Times New Roman" w:eastAsia="方正仿宋_GBK"/>
          <w:b w:val="0"/>
          <w:sz w:val="24"/>
        </w:rPr>
        <w:t xml:space="preserve">储能成套采购同时给出功率和能量。浏阳项目保证交付1 MW/2.15 MWh，对应10柜设备和210.46万元参考投资[86]。在1 h和2 h连续运行条件下，额定功率是主要限制；持续到3 h时，按能量折算的充放电功率约为0.72 MW；持续到6 h时约为0.36 MW。相同设备投资对应的持续功率随时长变化，单位功率投资也随之改变。</w:t>
      </w:r>
    </w:p>
    <w:p>
      <w:pPr>
        <w:pStyle w:val="2"/>
        <w:widowControl/>
        <w:spacing w:line="300" w:lineRule="auto" w:before="0" w:after="0"/>
        <w:ind w:firstLine="480"/>
        <w:jc w:val="both"/>
      </w:pPr>
      <w:r>
        <w:rPr>
          <w:rFonts w:ascii="Times New Roman" w:hAnsi="Times New Roman" w:eastAsia="方正仿宋_GBK"/>
          <w:b w:val="0"/>
          <w:sz w:val="24"/>
        </w:rPr>
        <w:t xml:space="preserve">这一关系解释了储能在不同负荷特征下的经济性差异。较短尖峰需要的能量较少，储能可充分利用额定功率；较长的供电缺口则需要更多柜数提供能量。主变扩建增加持续供电容量，储能配置增加受能量约束的充放电能力，两者的比较必须对应同一功率任务和持续时间。单独引用元/Wh或万元/MW价格，均不足以确定最终配置。</w:t>
      </w:r>
    </w:p>
    <w:p>
      <w:pPr>
        <w:pStyle w:val="2"/>
        <w:widowControl/>
        <w:spacing w:line="300" w:lineRule="auto" w:before="0" w:after="0"/>
        <w:ind w:firstLine="480"/>
        <w:jc w:val="both"/>
      </w:pPr>
      <w:r>
        <w:rPr>
          <w:rFonts w:ascii="Times New Roman" w:hAnsi="Times New Roman" w:eastAsia="方正仿宋_GBK"/>
          <w:b w:val="0"/>
          <w:sz w:val="24"/>
        </w:rPr>
        <w:t xml:space="preserve">本报告以3 h为主变与储能单位功率投资比的共同展示条件，分类表同时列出95%峰值持续时间。相同3 h参考投资比对应不同实际时长时，设备约束使用相应时长重新折算。由此，价格和时间作为两个不同因素参与分析，既能比较采购价格变化，也能说明负荷持续特征改变后的储能需求。</w:t>
      </w:r>
    </w:p>
    <w:p>
      <w:pPr>
        <w:pStyle w:val="2"/>
        <w:widowControl/>
        <w:spacing w:line="300" w:lineRule="auto" w:before="0" w:after="0"/>
        <w:ind w:firstLine="480"/>
        <w:jc w:val="both"/>
      </w:pPr>
      <w:r>
        <w:rPr>
          <w:rFonts w:ascii="Times New Roman" w:hAnsi="Times New Roman" w:eastAsia="方正仿宋_GBK"/>
          <w:b w:val="0"/>
          <w:sz w:val="24"/>
        </w:rPr>
        <w:t xml:space="preserve">储能承担正向缺口时放电，承担反向功率时充电。两个方向分别需要可释放能量和可吸收空间，工程运行时还需与荷电状态及充放电安排相衔接。本报告容量比选采用功率和能量限制进行估算，所列费用反映相应设备规模。技术定义保持功率、能量和持续时间的关系，避免将额定功率直接当作任意时长下均可持续的出力。</w:t>
      </w:r>
    </w:p>
    <w:p>
      <w:pPr>
        <w:pStyle w:val="5"/>
        <w:keepNext/>
        <w:numPr>
          <w:numId w:val="0"/>
        </w:numPr>
        <w:spacing w:line="360" w:lineRule="auto" w:before="160" w:after="120"/>
        <w:ind w:firstLine="0"/>
      </w:pPr>
      <w:bookmarkStart w:id="172" w:name="建设时序与共同评价期比较"/>
      <w:r>
        <w:rPr>
          <w:rFonts w:ascii="Times New Roman" w:hAnsi="Times New Roman" w:eastAsia="方正仿宋_GBK"/>
          <w:b/>
          <w:sz w:val="26"/>
        </w:rPr>
        <w:t xml:space="preserve">4.6.8 建设时序与共同评价期比较</w:t>
      </w:r>
      <w:bookmarkEnd w:id="172"/>
    </w:p>
    <w:p>
      <w:pPr>
        <w:pStyle w:val="FirstParagraph"/>
        <w:widowControl/>
        <w:spacing w:line="300" w:lineRule="auto" w:before="0" w:after="0"/>
        <w:ind w:firstLine="480"/>
        <w:jc w:val="both"/>
      </w:pPr>
      <w:r>
        <w:rPr>
          <w:rFonts w:ascii="Times New Roman" w:hAnsi="Times New Roman" w:eastAsia="方正仿宋_GBK"/>
          <w:b w:val="0"/>
          <w:sz w:val="24"/>
        </w:rPr>
        <w:t xml:space="preserve">主变、线路和储能的费用都由建设投资和投运后的运维支出形成。采用相同评价基准，可以比较工程提前或延后投运对资金占用的影响。较早建设计入较长时间的运维，较晚建设的初始投资折现后较低；但建设时间首先需要满足当年容量需求，不能单纯为减少现值而推迟必要项目。</w:t>
      </w:r>
    </w:p>
    <w:p>
      <w:pPr>
        <w:pStyle w:val="2"/>
        <w:widowControl/>
        <w:spacing w:line="300" w:lineRule="auto" w:before="0" w:after="0"/>
        <w:ind w:firstLine="480"/>
        <w:jc w:val="both"/>
      </w:pPr>
      <w:r>
        <w:rPr>
          <w:rFonts w:ascii="Times New Roman" w:hAnsi="Times New Roman" w:eastAsia="方正仿宋_GBK"/>
          <w:b w:val="0"/>
          <w:sz w:val="24"/>
        </w:rPr>
        <w:t xml:space="preserve">逐年方案中，储能新增柜数按当年采购量计费，在役柜数用于当年技术约束；主变更换按当年新购容量计费，后续年份保留其在役状态。这样可以区分资产规模与新增支出，避免将目标年全部在役设备重复作为当年投资。费用构成表和年度措施表分别给出两类信息，便于解释设备增加与费用变化的对应关系。</w:t>
      </w:r>
    </w:p>
    <w:p>
      <w:pPr>
        <w:pStyle w:val="2"/>
        <w:widowControl/>
        <w:spacing w:line="300" w:lineRule="auto" w:before="0" w:after="0"/>
        <w:ind w:firstLine="480"/>
        <w:jc w:val="both"/>
      </w:pPr>
      <w:r>
        <w:rPr>
          <w:rFonts w:ascii="Times New Roman" w:hAnsi="Times New Roman" w:eastAsia="方正仿宋_GBK"/>
          <w:b w:val="0"/>
          <w:sz w:val="24"/>
        </w:rPr>
        <w:t xml:space="preserve">两地区刚性、弹性方案采用相同基期设备、需求预测和工程价格，费用差主要来自主变与储能规模以及建设时点的差异。弹性方案提高主变容量后，部分N-1条件下的供电缺口由主变承担，储能需求下降。主变费用增加与储能费用减少共同决定总费用结果，因此比较应以完整方案为单位，不能只看某一类设备单价。</w:t>
      </w:r>
    </w:p>
    <w:p>
      <w:pPr>
        <w:pStyle w:val="2"/>
        <w:widowControl/>
        <w:spacing w:line="300" w:lineRule="auto" w:before="0" w:after="0"/>
        <w:ind w:firstLine="480"/>
        <w:jc w:val="both"/>
      </w:pPr>
      <w:r>
        <w:rPr>
          <w:rFonts w:ascii="Times New Roman" w:hAnsi="Times New Roman" w:eastAsia="方正仿宋_GBK"/>
          <w:b w:val="0"/>
          <w:sz w:val="24"/>
        </w:rPr>
        <w:t xml:space="preserve">共同评价期统一至2041年，便于在相同时间范围内比较新增措施。固定运维按初始投资比例计算，价格情景同步改变建设支出与相应运维支出。所列设备使用年限均长于投运后剩余评价年数，本评价期内没有设备更新费用。使用年限决定更新是否发生，折现率则影响不同年份现金流的现值，两项参数的作用应分别解释。</w:t>
      </w:r>
    </w:p>
    <w:p>
      <w:bookmarkStart w:id="1506" w:name="h506"/>
      <w:pPr>
        <w:pStyle w:val="3"/>
        <w:keepNext/>
        <w:pageBreakBefore/>
        <w:numPr>
          <w:numId w:val="0"/>
        </w:numPr>
        <w:spacing w:line="360" w:lineRule="auto" w:before="0" w:after="120"/>
        <w:ind w:firstLine="0"/>
      </w:pPr>
      <w:bookmarkStart w:id="173"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3"/>
      <w:bookmarkEnd w:id="1506"/>
    </w:p>
    <w:p>
      <w:pPr>
        <w:pStyle w:val="FirstParagraph"/>
        <w:widowControl/>
        <w:spacing w:line="300" w:lineRule="auto" w:before="0" w:after="0"/>
        <w:ind w:firstLine="480"/>
        <w:jc w:val="both"/>
      </w:pPr>
      <w:r>
        <w:rPr>
          <w:rFonts w:ascii="Times New Roman" w:hAnsi="Times New Roman" w:eastAsia="方正仿宋_GBK"/>
          <w:b w:val="0"/>
          <w:sz w:val="24"/>
        </w:rPr>
        <w:t xml:space="preserve">邳州光伏接入规模较大，市区负荷较为集中，两地区的容量配置需求各有侧重。本章结合第三章运行统计与第四章工程费用，比较刚性、弹性方案的主变容量、储能配置及站间负荷转接，分析费用差异的形成原因，并归纳不同源荷和经济条件下的容载比取值特征。</w:t>
      </w:r>
    </w:p>
    <w:p>
      <w:bookmarkStart w:id="1508" w:name="h508"/>
      <w:pPr>
        <w:pStyle w:val="4"/>
        <w:keepNext/>
        <w:numPr>
          <w:numId w:val="0"/>
        </w:numPr>
        <w:spacing w:line="360" w:lineRule="auto" w:before="160" w:after="120"/>
        <w:ind w:firstLine="0"/>
      </w:pPr>
      <w:bookmarkStart w:id="174" w:name="寻优问题与共同起点"/>
      <w:r>
        <w:rPr>
          <w:rFonts w:ascii="Times New Roman" w:hAnsi="Times New Roman" w:eastAsia="方正仿宋_GBK"/>
          <w:b/>
          <w:sz w:val="32"/>
        </w:rPr>
        <w:t xml:space="preserve">5.1 寻优问题与共同起点</w:t>
      </w:r>
      <w:bookmarkEnd w:id="174"/>
      <w:bookmarkEnd w:id="1508"/>
    </w:p>
    <w:p>
      <w:pPr>
        <w:pStyle w:val="5"/>
        <w:keepNext/>
        <w:numPr>
          <w:numId w:val="0"/>
        </w:numPr>
        <w:spacing w:line="360" w:lineRule="auto" w:before="160" w:after="120"/>
        <w:ind w:firstLine="0"/>
      </w:pPr>
      <w:bookmarkStart w:id="175" w:name="容载比2.0的仿真起点"/>
      <w:r>
        <w:rPr>
          <w:rFonts w:ascii="Times New Roman" w:hAnsi="Times New Roman" w:eastAsia="方正仿宋_GBK"/>
          <w:b/>
          <w:sz w:val="26"/>
        </w:rPr>
        <w:t xml:space="preserve">5.1.1 容载比2.0的仿真起点</w:t>
      </w:r>
      <w:bookmarkEnd w:id="175"/>
    </w:p>
    <w:p>
      <w:pPr>
        <w:pStyle w:val="FirstParagraph"/>
        <w:widowControl/>
        <w:spacing w:line="300" w:lineRule="auto" w:before="0" w:after="0"/>
        <w:ind w:firstLine="480"/>
        <w:jc w:val="both"/>
      </w:pPr>
      <w:r>
        <w:rPr>
          <w:rFonts w:ascii="Times New Roman" w:hAnsi="Times New Roman" w:eastAsia="方正仿宋_GBK"/>
          <w:b w:val="0"/>
          <w:sz w:val="24"/>
        </w:rPr>
        <w:t xml:space="preserve">刚性、弹性方案在同一区县共用初始设备、负荷和工程价格。为比较后续措施的作用，将基期容载比统一设为2.00，基期年网供最大负荷取离散主变总容量的二分之一。该起点用于规划仿真，现状容量与历史负荷仍按第三章列示。</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P</m:t>
                    </m:r>
                  </m:e>
                  <m:sub>
                    <m:r>
                      <m:t>c</m:t>
                    </m:r>
                    <m:r>
                      <m:t>,</m:t>
                    </m:r>
                    <m:r>
                      <m:t>0</m:t>
                    </m:r>
                  </m:sub>
                </m:sSub>
                <m:r>
                  <m:t>=</m:t>
                </m:r>
                <m:f>
                  <m:fPr>
                    <m:type m:val="bar"/>
                  </m:fPr>
                  <m:num>
                    <m:sSub>
                      <m:e>
                        <m:r>
                          <m:t>S</m:t>
                        </m:r>
                      </m:e>
                      <m:sub>
                        <m:r>
                          <m:t>c</m:t>
                        </m:r>
                        <m:r>
                          <m:t>,</m:t>
                        </m:r>
                        <m:r>
                          <m:t>0</m:t>
                        </m:r>
                      </m:sub>
                    </m:sSub>
                  </m:num>
                  <m:den>
                    <m:r>
                      <m:t>2</m:t>
                    </m:r>
                  </m:den>
                </m:f>
                <m:r>
                  <m:t>,</m:t>
                </m:r>
                <m:r>
                  <m:t>  </m:t>
                </m:r>
                <m:sSub>
                  <m:e>
                    <m:r>
                      <m:t>P</m:t>
                    </m:r>
                  </m:e>
                  <m:sub>
                    <m:r>
                      <m:t>c</m:t>
                    </m:r>
                    <m:r>
                      <m:t>,</m:t>
                    </m:r>
                    <m:r>
                      <m:t>y</m:t>
                    </m:r>
                  </m:sub>
                </m:sSub>
                <m:r>
                  <m:t>=</m:t>
                </m:r>
                <m:sSub>
                  <m:e>
                    <m:r>
                      <m:t>P</m:t>
                    </m:r>
                  </m:e>
                  <m:sub>
                    <m:r>
                      <m:t>c</m:t>
                    </m:r>
                    <m:r>
                      <m:t>,</m:t>
                    </m:r>
                    <m:r>
                      <m:t>0</m:t>
                    </m:r>
                  </m:sub>
                </m:sSub>
                <m:r>
                  <m:t>(</m:t>
                </m:r>
                <m:r>
                  <m:t>1</m:t>
                </m:r>
                <m:r>
                  <m:t>+</m:t>
                </m:r>
                <m:sSub>
                  <m:e>
                    <m:acc>
                      <m:accPr>
                        <m:chr m:val="‾"/>
                      </m:accPr>
                      <m:e>
                        <m:r>
                          <m:t>g</m:t>
                        </m:r>
                      </m:e>
                    </m:acc>
                  </m:e>
                  <m:sub>
                    <m:r>
                      <m:t>c</m:t>
                    </m:r>
                  </m:sub>
                </m:sSub>
                <m:sSup>
                  <m:e>
                    <m:r>
                      <m:t>)</m:t>
                    </m:r>
                  </m:e>
                  <m:sup>
                    <m:r>
                      <m:t>y</m:t>
                    </m:r>
                  </m:sup>
                </m:sSup>
                <m:r>
                  <m:t>,</m:t>
                </m:r>
                <m:r>
                  <m:t> </m:t>
                </m:r>
                <m:r>
                  <m:t>y</m:t>
                </m:r>
                <m:r>
                  <m:t>=</m:t>
                </m:r>
                <m:r>
                  <m:t>1</m:t>
                </m:r>
                <m:r>
                  <m:t>,</m:t>
                </m:r>
                <m:r>
                  <m:t>2</m:t>
                </m:r>
                <m:r>
                  <m:t>,</m:t>
                </m:r>
                <m:r>
                  <m:t>3</m:t>
                </m:r>
                <m:r>
                  <m:t>,</m:t>
                </m:r>
                <m:r>
                  <m:t>4</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为区县标识，</w:t>
      </w:r>
      <m:oMath>
        <m:sSub>
          <m:e>
            <m:r>
              <m:t>S</m:t>
            </m:r>
          </m:e>
          <m:sub>
            <m:r>
              <m:t>c</m:t>
            </m:r>
            <m:r>
              <m:t>,</m:t>
            </m:r>
            <m:r>
              <m:t>0</m:t>
            </m:r>
          </m:sub>
        </m:sSub>
      </m:oMath>
      <w:r>
        <w:rPr>
          <w:rFonts w:ascii="Times New Roman" w:hAnsi="Times New Roman" w:eastAsia="方正仿宋_GBK"/>
          <w:b w:val="0"/>
          <w:sz w:val="24"/>
        </w:rPr>
        <w:t xml:space="preserve">为基期公用主变总容量，单位MVA；</w:t>
      </w:r>
      <m:oMath>
        <m:sSub>
          <m:e>
            <m:r>
              <m:t>P</m:t>
            </m:r>
          </m:e>
          <m:sub>
            <m:r>
              <m:t>c</m:t>
            </m:r>
            <m:r>
              <m:t>,</m:t>
            </m:r>
            <m:r>
              <m:t>0</m:t>
            </m:r>
          </m:sub>
        </m:sSub>
      </m:oMath>
      <w:r>
        <w:rPr>
          <w:rFonts w:ascii="Times New Roman" w:hAnsi="Times New Roman" w:eastAsia="方正仿宋_GBK"/>
          <w:b w:val="0"/>
          <w:sz w:val="24"/>
        </w:rPr>
        <w:t xml:space="preserve">和</w:t>
      </w:r>
      <m:oMath>
        <m:sSub>
          <m:e>
            <m:r>
              <m:t>P</m:t>
            </m:r>
          </m:e>
          <m:sub>
            <m:r>
              <m:t>c</m:t>
            </m:r>
            <m:r>
              <m:t>,</m:t>
            </m:r>
            <m:r>
              <m:t>y</m:t>
            </m:r>
          </m:sub>
        </m:sSub>
      </m:oMath>
      <w:r>
        <w:rPr>
          <w:rFonts w:ascii="Times New Roman" w:hAnsi="Times New Roman" w:eastAsia="方正仿宋_GBK"/>
          <w:b w:val="0"/>
          <w:sz w:val="24"/>
        </w:rPr>
        <w:t xml:space="preserve">分别为基期及第</w:t>
      </w:r>
      <m:oMath>
        <m:r>
          <m:t>y</m:t>
        </m:r>
      </m:oMath>
      <w:r>
        <w:rPr>
          <w:rFonts w:ascii="Times New Roman" w:hAnsi="Times New Roman" w:eastAsia="方正仿宋_GBK"/>
          <w:b w:val="0"/>
          <w:sz w:val="24"/>
        </w:rPr>
        <w:t xml:space="preserve">年网供最大负荷，单位MW；</w:t>
      </w:r>
      <m:oMath>
        <m:sSub>
          <m:e>
            <m:acc>
              <m:accPr>
                <m:chr m:val="‾"/>
              </m:accPr>
              <m:e>
                <m:r>
                  <m:t>g</m:t>
                </m:r>
              </m:e>
            </m:acc>
          </m:e>
          <m:sub>
            <m:r>
              <m:t>c</m:t>
            </m:r>
          </m:sub>
        </m:sSub>
      </m:oMath>
      <w:r>
        <w:rPr>
          <w:rFonts w:ascii="Times New Roman" w:hAnsi="Times New Roman" w:eastAsia="方正仿宋_GBK"/>
          <w:b w:val="0"/>
          <w:sz w:val="24"/>
        </w:rPr>
        <w:t xml:space="preserve">为该区县年最大净负荷平均增长率，按第三章所列递增权重方法估计。</w:t>
      </w:r>
      <m:oMath>
        <m:r>
          <m:t>y</m:t>
        </m:r>
      </m:oMath>
      <w:r>
        <w:rPr>
          <w:rFonts w:ascii="Times New Roman" w:hAnsi="Times New Roman" w:eastAsia="方正仿宋_GBK"/>
          <w:b w:val="0"/>
          <w:sz w:val="24"/>
        </w:rPr>
        <w:t xml:space="preserve">为仿真年序号。计算文件采用2022—2025年作为第1—4年的折现时点。</w:t>
      </w:r>
    </w:p>
    <w:p>
      <w:pPr>
        <w:pStyle w:val="2"/>
        <w:widowControl/>
        <w:spacing w:line="300" w:lineRule="auto" w:before="0" w:after="0"/>
        <w:ind w:firstLine="480"/>
        <w:jc w:val="both"/>
      </w:pPr>
      <w:r>
        <w:rPr>
          <w:rFonts w:ascii="Times New Roman" w:hAnsi="Times New Roman" w:eastAsia="方正仿宋_GBK"/>
          <w:b w:val="0"/>
          <w:sz w:val="24"/>
        </w:rPr>
        <w:t xml:space="preserve">站级最大正向、反向净负荷按2025年样本的空间分布标定到仿真年度规模。邳州保留样本供电区域类别，市区按A类规划。样本设备规格、供电区域类别和主变扩建预留位置进入候选集合，后续投运的主变、储能和联络项目持续在役。</w:t>
      </w:r>
    </w:p>
    <w:p>
      <w:pPr>
        <w:pStyle w:val="2"/>
        <w:keepNext/>
        <w:spacing w:line="300" w:lineRule="auto" w:before="120" w:after="80"/>
        <w:ind w:firstLine="0"/>
        <w:jc w:val="center"/>
      </w:pPr>
      <w:r>
        <w:rPr>
          <w:rFonts w:ascii="Times New Roman" w:hAnsi="Times New Roman" w:eastAsia="宋体"/>
          <w:b w:val="0"/>
          <w:sz w:val="21"/>
        </w:rPr>
        <w:t xml:space="preserve">表5-1 统一容载比2.00的仿真起点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基期主变容量/MVA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基期年网供最大负荷/MW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初始站间转供率</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1463.50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2462.00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r>
    </w:tbl>
    <w:p>
      <w:pPr>
        <w:pStyle w:val="5"/>
        <w:keepNext/>
        <w:numPr>
          <w:numId w:val="0"/>
        </w:numPr>
        <w:spacing w:line="360" w:lineRule="auto" w:before="160" w:after="120"/>
        <w:ind w:firstLine="0"/>
      </w:pPr>
      <w:bookmarkStart w:id="176" w:name="刚性与弹性规划条件"/>
      <w:r>
        <w:rPr>
          <w:rFonts w:ascii="Times New Roman" w:hAnsi="Times New Roman" w:eastAsia="方正仿宋_GBK"/>
          <w:b/>
          <w:sz w:val="26"/>
        </w:rPr>
        <w:t xml:space="preserve">5.1.2 刚性与弹性规划条件</w:t>
      </w:r>
      <w:bookmarkEnd w:id="176"/>
    </w:p>
    <w:p>
      <w:pPr>
        <w:pStyle w:val="FirstParagraph"/>
        <w:widowControl/>
        <w:spacing w:line="300" w:lineRule="auto" w:before="0" w:after="0"/>
        <w:ind w:firstLine="480"/>
        <w:jc w:val="both"/>
      </w:pPr>
      <w:r>
        <w:rPr>
          <w:rFonts w:ascii="Times New Roman" w:hAnsi="Times New Roman" w:eastAsia="方正仿宋_GBK"/>
          <w:b w:val="0"/>
          <w:sz w:val="24"/>
        </w:rPr>
        <w:t xml:space="preserve">刚性方案按容载比2.00上限控制，弹性方案比较2.00～2.60范围的容量配置，容载比计算式及两类方案的上限如下。两类方案采用相同负荷预测、设备规格和工程价格，分别校核正常供电、反向输送及主变N-1条件。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f>
                        <m:fPr>
                          <m:type m:val="bar"/>
                        </m:fPr>
                        <m:num>
                          <m:sSub>
                            <m:e>
                              <m:r>
                                <m:t>S</m:t>
                              </m:r>
                            </m:e>
                            <m:sub>
                              <m:r>
                                <m:t>c</m:t>
                              </m:r>
                              <m:r>
                                <m:t>,</m:t>
                              </m:r>
                              <m:r>
                                <m:t>s</m:t>
                              </m:r>
                              <m:r>
                                <m:t>,</m:t>
                              </m:r>
                              <m:r>
                                <m:t>y</m:t>
                              </m:r>
                            </m:sub>
                          </m:sSub>
                        </m:num>
                        <m:den>
                          <m:sSub>
                            <m:e>
                              <m:r>
                                <m:t>P</m:t>
                              </m:r>
                            </m:e>
                            <m:sub>
                              <m:r>
                                <m:t>c</m:t>
                              </m:r>
                              <m:r>
                                <m:t>,</m:t>
                              </m:r>
                              <m:r>
                                <m:t>y</m:t>
                              </m:r>
                            </m:sub>
                          </m:sSub>
                        </m:den>
                      </m:f>
                    </m:e>
                  </m:mr>
                  <m:mr>
                    <m:e/>
                    <m:e>
                      <m:sSub>
                        <m:e>
                          <m:r>
                            <m:t>R</m:t>
                          </m:r>
                        </m:e>
                        <m:sub>
                          <m:r>
                            <m:t>c</m:t>
                          </m:r>
                          <m:r>
                            <m:t>,</m:t>
                          </m:r>
                          <m:r>
                            <m:rPr>
                              <m:sty m:val="p"/>
                            </m:rPr>
                            <m:t>r</m:t>
                          </m:r>
                          <m:r>
                            <m:rPr>
                              <m:sty m:val="p"/>
                            </m:rPr>
                            <m:t>i</m:t>
                          </m:r>
                          <m:r>
                            <m:rPr>
                              <m:sty m:val="p"/>
                            </m:rPr>
                            <m:t>g</m:t>
                          </m:r>
                          <m:r>
                            <m:rPr>
                              <m:sty m:val="p"/>
                            </m:rPr>
                            <m:t>i</m:t>
                          </m:r>
                          <m:r>
                            <m:rPr>
                              <m:sty m:val="p"/>
                            </m:rPr>
                            <m:t>d</m:t>
                          </m:r>
                          <m:r>
                            <m:t>,</m:t>
                          </m:r>
                          <m:r>
                            <m:t>y</m:t>
                          </m:r>
                        </m:sub>
                      </m:sSub>
                      <m:r>
                        <m:t>≤</m:t>
                      </m:r>
                      <m:r>
                        <m:t>2.00</m:t>
                      </m:r>
                    </m:e>
                  </m:mr>
                  <m:mr>
                    <m:e/>
                    <m:e>
                      <m:sSub>
                        <m:e>
                          <m:r>
                            <m:t>R</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r>
                        <m:t>≤</m:t>
                      </m:r>
                      <m:r>
                        <m:t>2.60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R</m:t>
            </m:r>
          </m:e>
          <m:sub>
            <m:r>
              <m:t>c</m:t>
            </m:r>
            <m:r>
              <m:t>,</m:t>
            </m:r>
            <m:r>
              <m:t>s</m:t>
            </m:r>
            <m:r>
              <m:t>,</m:t>
            </m:r>
            <m:r>
              <m:t>y</m:t>
            </m:r>
          </m:sub>
        </m:sSub>
      </m:oMath>
      <w:r>
        <w:rPr>
          <w:rFonts w:ascii="Times New Roman" w:hAnsi="Times New Roman" w:eastAsia="方正仿宋_GBK"/>
          <w:b w:val="0"/>
          <w:sz w:val="24"/>
        </w:rPr>
        <w:t xml:space="preserve">为容载比，</w:t>
      </w:r>
      <m:oMath>
        <m:r>
          <m:t>s</m:t>
        </m:r>
      </m:oMath>
      <w:r>
        <w:rPr>
          <w:rFonts w:ascii="Times New Roman" w:hAnsi="Times New Roman" w:eastAsia="方正仿宋_GBK"/>
          <w:b w:val="0"/>
          <w:sz w:val="24"/>
        </w:rPr>
        <w:t xml:space="preserve">为刚性或弹性方案标识，</w:t>
      </w:r>
      <m:oMath>
        <m:sSub>
          <m:e>
            <m:r>
              <m:t>S</m:t>
            </m:r>
          </m:e>
          <m:sub>
            <m:r>
              <m:t>c</m:t>
            </m:r>
            <m:r>
              <m:t>,</m:t>
            </m:r>
            <m:r>
              <m:t>s</m:t>
            </m:r>
            <m:r>
              <m:t>,</m:t>
            </m:r>
            <m:r>
              <m:t>y</m:t>
            </m:r>
          </m:sub>
        </m:sSub>
      </m:oMath>
      <w:r>
        <w:rPr>
          <w:rFonts w:ascii="Times New Roman" w:hAnsi="Times New Roman" w:eastAsia="方正仿宋_GBK"/>
          <w:b w:val="0"/>
          <w:sz w:val="24"/>
        </w:rPr>
        <w:t xml:space="preserve">为该年公用主变总容量。主变容量计入分子，储能和联络能力用于局部容量校核。</w:t>
      </w:r>
      <m:oMath>
        <m:sSub>
          <m:e>
            <m:r>
              <m:t>P</m:t>
            </m:r>
          </m:e>
          <m:sub>
            <m:r>
              <m:t>c</m:t>
            </m:r>
            <m:r>
              <m:t>,</m:t>
            </m:r>
            <m:r>
              <m:t>y</m:t>
            </m:r>
          </m:sub>
        </m:sSub>
      </m:oMath>
      <w:r>
        <w:rPr>
          <w:rFonts w:ascii="Times New Roman" w:hAnsi="Times New Roman" w:eastAsia="方正仿宋_GBK"/>
          <w:b w:val="0"/>
          <w:sz w:val="24"/>
        </w:rPr>
        <w:t xml:space="preserve">在同一区县、同一年两种方案中保持一致。弹性方案的容量取值结合现状容载比、屋顶光伏资源及源荷发展趋势确定。</w:t>
      </w:r>
    </w:p>
    <w:p>
      <w:pPr>
        <w:pStyle w:val="2"/>
        <w:widowControl/>
        <w:spacing w:line="300" w:lineRule="auto"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00" w:lineRule="auto" w:before="0" w:after="0"/>
        <w:ind w:firstLine="480"/>
        <w:jc w:val="both"/>
      </w:pPr>
      <w:r>
        <w:rPr>
          <w:rFonts w:ascii="Times New Roman" w:hAnsi="Times New Roman" w:eastAsia="方正仿宋_GBK"/>
          <w:b w:val="0"/>
          <w:sz w:val="24"/>
        </w:rPr>
        <w:t xml:space="preserve">屋顶光伏装机容量按</w:t>
      </w:r>
      <m:oMath>
        <m:sSub>
          <m:e>
            <m:r>
              <m:t>P</m:t>
            </m:r>
          </m:e>
          <m:sub>
            <m:r>
              <m:rPr>
                <m:sty m:val="p"/>
              </m:rPr>
              <m:t>r</m:t>
            </m:r>
            <m:r>
              <m:rPr>
                <m:sty m:val="p"/>
              </m:rPr>
              <m:t>o</m:t>
            </m:r>
            <m:r>
              <m:rPr>
                <m:sty m:val="p"/>
              </m:rPr>
              <m:t>o</m:t>
            </m:r>
            <m:r>
              <m:rPr>
                <m:sty m:val="p"/>
              </m:rPr>
              <m:t>f</m:t>
            </m:r>
          </m:sub>
        </m:sSub>
        <m:r>
          <m:t>=</m:t>
        </m:r>
        <m:r>
          <m:t>A</m:t>
        </m:r>
        <m:r>
          <m:t>f</m:t>
        </m:r>
        <m:r>
          <m:t>d</m:t>
        </m:r>
        <m:r>
          <m:t>/</m:t>
        </m:r>
        <m:r>
          <m:t>1000</m:t>
        </m:r>
      </m:oMath>
      <w:r>
        <w:rPr>
          <w:rFonts w:ascii="Times New Roman" w:hAnsi="Times New Roman" w:eastAsia="方正仿宋_GBK"/>
          <w:b w:val="0"/>
          <w:sz w:val="24"/>
        </w:rPr>
        <w:t xml:space="preserve">估算。其中，</w:t>
      </w:r>
      <m:oMath>
        <m:r>
          <m:t>A</m:t>
        </m:r>
      </m:oMath>
      <w:r>
        <w:rPr>
          <w:rFonts w:ascii="Times New Roman" w:hAnsi="Times New Roman" w:eastAsia="方正仿宋_GBK"/>
          <w:b w:val="0"/>
          <w:sz w:val="24"/>
        </w:rPr>
        <w:t xml:space="preserve">为调查屋顶面积，单位m²；</w:t>
      </w:r>
      <m:oMath>
        <m:r>
          <m:t>f</m:t>
        </m:r>
      </m:oMath>
      <w:r>
        <w:rPr>
          <w:rFonts w:ascii="Times New Roman" w:hAnsi="Times New Roman" w:eastAsia="方正仿宋_GBK"/>
          <w:b w:val="0"/>
          <w:sz w:val="24"/>
        </w:rPr>
        <w:t xml:space="preserve">为屋顶可利用比例；</w:t>
      </w:r>
      <m:oMath>
        <m:r>
          <m:t>d</m:t>
        </m:r>
      </m:oMath>
      <w:r>
        <w:rPr>
          <w:rFonts w:ascii="Times New Roman" w:hAnsi="Times New Roman" w:eastAsia="方正仿宋_GBK"/>
          <w:b w:val="0"/>
          <w:sz w:val="24"/>
        </w:rPr>
        <w:t xml:space="preserve">为单位可用面积装机密度，单位kWp/m²；</w:t>
      </w:r>
      <m:oMath>
        <m:sSub>
          <m:e>
            <m:r>
              <m:t>P</m:t>
            </m:r>
          </m:e>
          <m:sub>
            <m:r>
              <m:rPr>
                <m:sty m:val="p"/>
              </m:rPr>
              <m:t>r</m:t>
            </m:r>
            <m:r>
              <m:rPr>
                <m:sty m:val="p"/>
              </m:rPr>
              <m:t>o</m:t>
            </m:r>
            <m:r>
              <m:rPr>
                <m:sty m:val="p"/>
              </m:rPr>
              <m:t>o</m:t>
            </m:r>
            <m:r>
              <m:rPr>
                <m:sty m:val="p"/>
              </m:rPr>
              <m:t>f</m:t>
            </m:r>
          </m:sub>
        </m:sSub>
      </m:oMath>
      <w:r>
        <w:rPr>
          <w:rFonts w:ascii="Times New Roman" w:hAnsi="Times New Roman" w:eastAsia="方正仿宋_GBK"/>
          <w:b w:val="0"/>
          <w:sz w:val="24"/>
        </w:rPr>
        <w:t xml:space="preserve">为估算装机容量，单位MWp。江苏省2009年光伏发电推进意见采用20.00%的屋顶可利用比例估算全省资源规模[90]，本研究以此为历史参照，并列出40.00%、60.00%两种开发程度下的估算值。徐州地铁分布式光伏项目公开资料列出可用建筑面积94900 m²、规划装机9.49 MWp，据此取装机密度0.10 kWp/m²[91]。</w:t>
      </w:r>
    </w:p>
    <w:p>
      <w:pPr>
        <w:pStyle w:val="2"/>
        <w:keepNext/>
        <w:spacing w:line="300" w:lineRule="auto"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行政范围</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可利用比例20.00%/MWp</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可利用比例40.00%/MWp</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可利用比例60.00%/MWp</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8939.19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1787.84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3575.67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2449.42</w:t>
            </w:r>
          </w:p>
        </w:tc>
      </w:tr>
    </w:tbl>
    <w:p>
      <w:pPr>
        <w:pStyle w:val="2"/>
        <w:widowControl/>
        <w:spacing w:line="300" w:lineRule="auto"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00" w:lineRule="auto"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《江苏省分布式光伏发展实施方案（2026—2030年）》提出，2030年全省分布式光伏累计装机较2025年翻一番，达到1.20亿千瓦[92]。以装机翻倍作为地区发展情景，邳州和市区装机规模分别约为3119.28 MW和982.36 MW。邳州屋顶可利用比例20.00%～40.00%的估算规模为1787.84～3575.67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00" w:lineRule="auto"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00" w:lineRule="auto"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[93]。</w:t>
      </w:r>
    </w:p>
    <w:p>
      <w:pPr>
        <w:pStyle w:val="2"/>
        <w:widowControl/>
        <w:spacing w:line="300" w:lineRule="auto" w:before="0" w:after="0"/>
        <w:ind w:firstLine="480"/>
        <w:jc w:val="both"/>
      </w:pPr>
      <w:r>
        <w:rPr>
          <w:rFonts w:ascii="Times New Roman" w:hAnsi="Times New Roman" w:eastAsia="方正仿宋_GBK"/>
          <w:b w:val="0"/>
          <w:sz w:val="24"/>
        </w:rPr>
        <w:t xml:space="preserve">综合两地区2.24～2.42的现状容量水平和上述源荷发展情景，本研究取2.60作为弹性容量配置的参考上限。按相同年网供最大负荷折算，2.60较现状较高值2.42增加约7.44%的主变容量空间，用于比较光伏发展及供电安全需求下的增容、储能和联络组合。两地区四年弹性方案容载比约为2.20～2.41，均处于该范围内。2.60是结合本地资料确定的工程比选取值，具体推荐值由逐站容量校核和评价期费用比较确定。</w:t>
      </w:r>
    </w:p>
    <w:p>
      <w:pPr>
        <w:pStyle w:val="2"/>
        <w:widowControl/>
        <w:spacing w:line="300" w:lineRule="auto" w:before="0" w:after="0"/>
        <w:ind w:firstLine="480"/>
        <w:jc w:val="both"/>
      </w:pPr>
      <w:r>
        <w:rPr>
          <w:rFonts w:ascii="Times New Roman" w:hAnsi="Times New Roman" w:eastAsia="方正仿宋_GBK"/>
          <w:b w:val="0"/>
          <w:sz w:val="24"/>
        </w:rPr>
        <w:t xml:space="preserve">区县内转接保持负荷总量。储能参与站级峰段支撑时，区域容载比仍按预先确定的年网供最大负荷计算，保证两方案在同一负荷口径下比较。</w:t>
      </w:r>
    </w:p>
    <w:p>
      <w:pPr>
        <w:pStyle w:val="5"/>
        <w:keepNext/>
        <w:numPr>
          <w:numId w:val="0"/>
        </w:numPr>
        <w:spacing w:line="360" w:lineRule="auto" w:before="160" w:after="120"/>
        <w:ind w:firstLine="0"/>
      </w:pPr>
      <w:bookmarkStart w:id="177" w:name="指标参数的选取依据"/>
      <w:r>
        <w:rPr>
          <w:rFonts w:ascii="Times New Roman" w:hAnsi="Times New Roman" w:eastAsia="方正仿宋_GBK"/>
          <w:b/>
          <w:sz w:val="26"/>
        </w:rPr>
        <w:t xml:space="preserve">5.1.3 指标参数的选取依据</w:t>
      </w:r>
      <w:bookmarkEnd w:id="177"/>
    </w:p>
    <w:p>
      <w:pPr>
        <w:pStyle w:val="FirstParagraph"/>
        <w:widowControl/>
        <w:spacing w:line="300" w:lineRule="auto"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规划需要同时描述片区负荷发展、分布式电源规模、峰段支撑需求和工程经济条件。容载比作为规划输出，以公用主变总容量和年网供最大负荷计算；源荷指标确定需要校核的运行场景，持续时间确定储能的功率与能量配置，单位功率投资比反映措施之间的相对投资水平。第三章第3.5.4节列出了候选指标、样本相关性和相关指标的合并处理。本节据此说明各入选参数与容量约束或工程费用的对应关系。</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即源荷比，以同一供电范围内分布式电源装机容量除以用户最大负荷，采用《配电网规划设计技术导则（修订稿，2025年4月）》第3.1.18条和第6.5.4条的定义[7]。该指标反映电源与负荷的规模关系；第7.4.2.2条提出源荷比超过2.00时，应以反向净负荷极值校核主变容量[7]。邳州、市区分别约为1.63、0.32，外推据此取0.00～3.00，在1.00和2.00附近设置计算点，覆盖负荷主导、源荷规模接近及电源规模较大的情景。各情景再结合日间出力和用户负荷形成反向净负荷。</w:t>
      </w:r>
    </w:p>
    <w:p>
      <w:pPr>
        <w:pStyle w:val="2"/>
        <w:widowControl/>
        <w:spacing w:line="300" w:lineRule="auto" w:before="0" w:after="0"/>
        <w:ind w:firstLine="480"/>
        <w:jc w:val="both"/>
      </w:pPr>
      <w:r>
        <w:rPr>
          <w:rFonts w:ascii="Times New Roman" w:hAnsi="Times New Roman" w:eastAsia="方正仿宋_GBK"/>
          <w:b w:val="0"/>
          <w:sz w:val="24"/>
        </w:rPr>
        <w:t xml:space="preserve">分布式电源电量渗透率以同范围分布式电源年发电量除以用户年用电量，采用上述导则修订稿第3.1.19条的定义。第7.4.2.2条将分布式电源电量渗透率超过40.00%～50.00%列为开展反向容量校核的条件[7]；Holweger等也按光伏年发电量占年用电量的比例分析灵活性服务与网架建设费用[29]。选取该指标，可将年度源荷电量关系与装机规模对应。外推在光伏利用小时1200 h、用户年负荷率0.50的统一假定下换算，范围为0.00%～82.19%；案例按月度装机及典型出力估计。容量配置由正反向峰值及其持续时间共同确定。</w:t>
      </w:r>
    </w:p>
    <w:p>
      <w:pPr>
        <w:pStyle w:val="2"/>
        <w:widowControl/>
        <w:spacing w:line="300" w:lineRule="auto" w:before="0" w:after="0"/>
        <w:ind w:firstLine="480"/>
        <w:jc w:val="both"/>
      </w:pPr>
      <w:r>
        <w:rPr>
          <w:rFonts w:ascii="Times New Roman" w:hAnsi="Times New Roman" w:eastAsia="方正仿宋_GBK"/>
          <w:b w:val="0"/>
          <w:sz w:val="24"/>
        </w:rPr>
        <w:t xml:space="preserve">年最大净负荷平均增长率在本研究中按年最大正向净负荷的增长计算，用于表征规划期净负荷年增长及容量储备需求。DL/T 5729—2023《配电网规划设计技术导则》表6.3.4按负荷增长水平给出容载比范围[5]，上述导则修订稿表2进一步采用年最大净负荷平均增长率分档[7]。刘炜彬等将负荷发展储备纳入容载比精细化配置，Martínez等分析了持续负荷增长对储能延缓扩网经济性的影响[46][28]。外推取0.00%～10.00%，包含2.00%、4.00%、7.00%的导则分档节点，并以8.00%、10.00%覆盖较快增长情景。案例按第三章的历史同比率递增权重方法取8.07%、1.80%，在设定源荷结构下同步缩放站级正反向净负荷。</w:t>
      </w:r>
    </w:p>
    <w:p>
      <w:pPr>
        <w:pStyle w:val="2"/>
        <w:widowControl/>
        <w:spacing w:line="300" w:lineRule="auto" w:before="0" w:after="0"/>
        <w:ind w:firstLine="480"/>
        <w:jc w:val="both"/>
      </w:pPr>
      <w:r>
        <w:rPr>
          <w:rFonts w:ascii="Times New Roman" w:hAnsi="Times New Roman" w:eastAsia="方正仿宋_GBK"/>
          <w:b w:val="0"/>
          <w:sz w:val="24"/>
        </w:rPr>
        <w:t xml:space="preserve">净负荷峰值取绝对值，用于比较正向供电与反向输送的容量压力。导则修订稿第3.1.13条按输送方向规定净负荷正负号，第7.4.1条和第7.4.2条要求分别分析正向、反向净负荷并校核容量[7]。本研究据此分别提取两方向峰值，再取较大幅值作为净负荷最大绝对值，同时保留方向进行容量校核。容载比按公用主变总容量与区域年最大正向净负荷计算；站级绝对峰值用于局部设备校核，两者分别承担区域规划和站级定容的作用。</w:t>
      </w:r>
    </w:p>
    <w:p>
      <w:pPr>
        <w:pStyle w:val="2"/>
        <w:widowControl/>
        <w:spacing w:line="300" w:lineRule="auto" w:before="0" w:after="0"/>
        <w:ind w:firstLine="480"/>
        <w:jc w:val="both"/>
      </w:pPr>
      <w:r>
        <w:rPr>
          <w:rFonts w:ascii="Times New Roman" w:hAnsi="Times New Roman" w:eastAsia="方正仿宋_GBK"/>
          <w:b w:val="0"/>
          <w:sz w:val="24"/>
        </w:rPr>
        <w:t xml:space="preserve">95%峰值持续时间用于将近峰运行特征转化为储能能量需求。Xu等的全寿命储能规划及Martínez等的峰段削减研究均将功率、能量和负荷时段纳入配置分析[10][28]。同一功率缺口持续越久，所需储能能量越大。本研究以方向峰值的95%作为近峰幅值门槛，识别相邻高负荷时段，并以最长连续段确定一次峰段的支撑时长。95%为依据小时曲线设置的研究参数。外推取1、2、3、4、6 h，覆盖短时尖峰与较长连续峰段；其中2～3 h跨越单柜额定能量与功率之比2.15 h，可反映储能由功率约束转为能量约束的配置差异。</w:t>
      </w:r>
    </w:p>
    <w:p>
      <w:pPr>
        <w:pStyle w:val="2"/>
        <w:widowControl/>
        <w:spacing w:line="300" w:lineRule="auto" w:before="0" w:after="0"/>
        <w:ind w:firstLine="480"/>
        <w:jc w:val="both"/>
      </w:pPr>
      <w:r>
        <w:rPr>
          <w:rFonts w:ascii="Times New Roman" w:hAnsi="Times New Roman" w:eastAsia="方正仿宋_GBK"/>
          <w:b w:val="0"/>
          <w:sz w:val="24"/>
        </w:rPr>
        <w:t xml:space="preserve">主变与线路单位功率投资比用于比较增加变电容量和新建10 kV联络的经济条件。肖峻等量化了中压网络联络能力与上级变电容量的关系，金勇等研究了高压配电网负荷转供的分层优化[8][76]。两类措施均可改善站级容量约束，本研究分别将主变投资按新购容量折算的有功功率、联络投资按可转负荷归一化，再计算两种单位功率投资的比值。主变价格依据徐州110 kV输变电建设改造工程投资估算资料，线路价格依据华容县规划造价并按本研究联络工程规模折算[85][87]。围绕线路基价设置0.75、1.00、1.25倍的敏感性情景；含土建费用后，架空为主情景对应投资比约0.84～1.40，电缆为主约0.21～0.35。两类范围由第4.5.1节投资比除以相应线路价格倍数得到，价格倍数是研究情景，范围不作为容载比变化的经验阈值。线路越贵，主变与线路单位功率投资比越小；其能否改变容量配置取决于联络与增容的可替代条件。三档线路价格均进入方案比选，分类表将容量相同的价格条件合并列示，并另表比较其费用影响。</w:t>
      </w:r>
    </w:p>
    <w:p>
      <w:pPr>
        <w:pStyle w:val="2"/>
        <w:widowControl/>
        <w:spacing w:line="300" w:lineRule="auto" w:before="0" w:after="0"/>
        <w:ind w:firstLine="480"/>
        <w:jc w:val="both"/>
      </w:pPr>
      <w:r>
        <w:rPr>
          <w:rFonts w:ascii="Times New Roman" w:hAnsi="Times New Roman" w:eastAsia="方正仿宋_GBK"/>
          <w:b w:val="0"/>
          <w:sz w:val="24"/>
        </w:rPr>
        <w:t xml:space="preserve">主变与储能单位功率投资比用于比较变电容量建设和峰段储能支撑的经济条件。Matthiss等比较储能配置与网架加强投资，Martínez等进一步分析投资、寿命和负荷条件对储能替代扩网的影响[30][28]。本研究以主变单位有功功率投资除以储能单位充放电功率投资，储能基价采用浏阳项目成交资料并按215 kWh柜折算[86]。选取3 h参考峰段，使投资比同时体现功率和能量配置条件，并与1～6 h持续时间情景衔接。储能基价设置0.50、1.00、1.25倍的敏感性情景，考察价格下降及费用提高的影响；对应投资比约0.04～0.12，归纳为0.04～0.05、大于0.05至0.08、大于0.08至0.12三档。实际寻优按各场景持续时间及评价期费用比较。</w:t>
      </w:r>
    </w:p>
    <w:p>
      <w:pPr>
        <w:pStyle w:val="2"/>
        <w:keepNext/>
        <w:spacing w:line="300" w:lineRule="auto" w:before="120" w:after="80"/>
        <w:ind w:firstLine="0"/>
        <w:jc w:val="center"/>
      </w:pPr>
      <w:r>
        <w:rPr>
          <w:rFonts w:ascii="Times New Roman" w:hAnsi="Times New Roman" w:eastAsia="宋体"/>
          <w:b w:val="0"/>
          <w:sz w:val="21"/>
        </w:rPr>
        <w:t xml:space="preserve">表5-3 参数定义及寻优作用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采用口径</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模型作用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公用主变总容量/年网供最大负荷[5]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规划结果</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装机容量/用户最大负荷[7]</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构造源荷情景</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发电量/用户用电量[7]</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源荷背景</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最大正向、反向净负荷</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站级方向极值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正常运行与主变N-1容量校核</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最长连续达到本方向峰值95%的时段</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储能能量折算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历史同比率递增权重平均值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后续负荷推演</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主变与线路单位功率投资比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单位新购有功功率投资/单位可转负荷投资</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联络费用敏感性</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主变与储能单位功率投资比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单位新购有功功率投资/3 h储能单位充放电功率投资</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储能费用敏感性</w:t>
            </w:r>
          </w:p>
        </w:tc>
      </w:tr>
    </w:tbl>
    <w:p>
      <w:pPr>
        <w:pStyle w:val="2"/>
        <w:widowControl/>
        <w:spacing w:line="300" w:lineRule="auto" w:before="0" w:after="0"/>
        <w:ind w:firstLine="480"/>
        <w:jc w:val="both"/>
      </w:pPr>
      <w:r>
        <w:rPr>
          <w:rFonts w:ascii="Times New Roman" w:hAnsi="Times New Roman" w:eastAsia="方正仿宋_GBK"/>
          <w:b w:val="0"/>
          <w:sz w:val="24"/>
        </w:rPr>
        <w:t xml:space="preserve">站间转供率、供电区域类别及主变规格作为规划条件保留。市区50.00%的初始转供率对应A类研究情景，邳州28.29%由馈线样本计算后应用于县域站群。主变增容、储能配置与联络建设均在这些条件下寻优，推荐容载比由最终在役容量形成。</w:t>
      </w:r>
    </w:p>
    <w:p>
      <w:bookmarkStart w:id="1537" w:name="h537"/>
      <w:pPr>
        <w:pStyle w:val="4"/>
        <w:keepNext/>
        <w:numPr>
          <w:numId w:val="0"/>
        </w:numPr>
        <w:spacing w:line="360" w:lineRule="auto" w:before="160" w:after="120"/>
        <w:ind w:firstLine="0"/>
      </w:pPr>
      <w:bookmarkStart w:id="178" w:name="三类措施的选取与寻优方法"/>
      <w:r>
        <w:rPr>
          <w:rFonts w:ascii="Times New Roman" w:hAnsi="Times New Roman" w:eastAsia="方正仿宋_GBK"/>
          <w:b/>
          <w:sz w:val="32"/>
        </w:rPr>
        <w:t xml:space="preserve">5.2 三类措施的选取与寻优方法</w:t>
      </w:r>
      <w:bookmarkEnd w:id="178"/>
      <w:bookmarkEnd w:id="1537"/>
    </w:p>
    <w:p>
      <w:pPr>
        <w:pStyle w:val="5"/>
        <w:keepNext/>
        <w:numPr>
          <w:numId w:val="0"/>
        </w:numPr>
        <w:spacing w:line="360" w:lineRule="auto" w:before="160" w:after="120"/>
        <w:ind w:firstLine="0"/>
      </w:pPr>
      <w:bookmarkStart w:id="179" w:name="主变增容及扩建方案"/>
      <w:r>
        <w:rPr>
          <w:rFonts w:ascii="Times New Roman" w:hAnsi="Times New Roman" w:eastAsia="方正仿宋_GBK"/>
          <w:b/>
          <w:sz w:val="26"/>
        </w:rPr>
        <w:t xml:space="preserve">5.2.1 主变增容及扩建方案</w:t>
      </w:r>
      <w:bookmarkEnd w:id="179"/>
    </w:p>
    <w:p>
      <w:pPr>
        <w:pStyle w:val="FirstParagraph"/>
        <w:widowControl/>
        <w:spacing w:line="300" w:lineRule="auto" w:before="0" w:after="0"/>
        <w:ind w:firstLine="480"/>
        <w:jc w:val="both"/>
      </w:pPr>
      <w:r>
        <w:rPr>
          <w:rFonts w:ascii="Times New Roman" w:hAnsi="Times New Roman" w:eastAsia="方正仿宋_GBK"/>
          <w:b w:val="0"/>
          <w:sz w:val="24"/>
        </w:rPr>
        <w:t xml:space="preserve">主变建设包括既有主变增容和增加主变台数的扩建。每台既有主变在每年选择一种允许容量规格，容量逐年非减。既有规格可以继续使用，新购规格按供电区域类别和候选目录确定；主变扩建须具备可用预留位置。</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a</m:t>
                          </m:r>
                          <m:r>
                            <m:t>∈</m:t>
                          </m:r>
                          <m:sSub>
                            <m:e>
                              <m:r>
                                <m:rPr>
                                  <m:sty m:val="p"/>
                                  <m:scr m:val="script"/>
                                </m:rPr>
                                <m:t>A</m:t>
                              </m:r>
                            </m:e>
                            <m:sub>
                              <m:r>
                                <m:t>i</m:t>
                              </m:r>
                              <m:r>
                                <m:t>k</m:t>
                              </m:r>
                            </m:sub>
                          </m:sSub>
                        </m:sub>
                        <m:sup>
                          <m:r>
                            <m:t>​</m:t>
                          </m:r>
                        </m:sup>
                        <m:e>
                          <m:sSub>
                            <m:e>
                              <m:r>
                                <m:t>x</m:t>
                              </m:r>
                            </m:e>
                            <m:sub>
                              <m:r>
                                <m:t>i</m:t>
                              </m:r>
                              <m:r>
                                <m:t>,</m:t>
                              </m:r>
                              <m:r>
                                <m:t>k</m:t>
                              </m:r>
                              <m:r>
                                <m:t>,</m:t>
                              </m:r>
                              <m:r>
                                <m:t>y</m:t>
                              </m:r>
                              <m:r>
                                <m:t>,</m:t>
                              </m:r>
                              <m:r>
                                <m:t>a</m:t>
                              </m:r>
                            </m:sub>
                          </m:sSub>
                        </m:e>
                      </m:nary>
                    </m:e>
                    <m:e>
                      <m:r>
                        <m:t>=</m:t>
                      </m:r>
                      <m:r>
                        <m:t>1</m:t>
                      </m:r>
                    </m:e>
                  </m:mr>
                  <m:mr>
                    <m:e>
                      <m:sSub>
                        <m:e>
                          <m:r>
                            <m:t>S</m:t>
                          </m:r>
                        </m:e>
                        <m:sub>
                          <m:r>
                            <m:t>i</m:t>
                          </m:r>
                          <m:r>
                            <m:t>,</m:t>
                          </m:r>
                          <m:r>
                            <m:t>k</m:t>
                          </m:r>
                          <m:r>
                            <m:t>,</m:t>
                          </m:r>
                          <m:r>
                            <m:t>y</m:t>
                          </m:r>
                        </m:sub>
                      </m:sSub>
                    </m:e>
                    <m:e>
                      <m:r>
                        <m:t>=</m:t>
                      </m:r>
                      <m:nary>
                        <m:naryPr>
                          <m:chr m:val="∑"/>
                          <m:limLoc m:val="undOvr"/>
                          <m:subHide m:val="0"/>
                          <m:supHide m:val="1"/>
                        </m:naryPr>
                        <m:sub>
                          <m:r>
                            <m:t>a</m:t>
                          </m:r>
                          <m:r>
                            <m:t>∈</m:t>
                          </m:r>
                          <m:sSub>
                            <m:e>
                              <m:r>
                                <m:rPr>
                                  <m:sty m:val="p"/>
                                  <m:scr m:val="script"/>
                                </m:rPr>
                                <m:t>A</m:t>
                              </m:r>
                            </m:e>
                            <m:sub>
                              <m:r>
                                <m:t>i</m:t>
                              </m:r>
                              <m:r>
                                <m:t>k</m:t>
                              </m:r>
                            </m:sub>
                          </m:sSub>
                        </m:sub>
                        <m:sup>
                          <m:r>
                            <m:t>​</m:t>
                          </m:r>
                        </m:sup>
                        <m:e>
                          <m:r>
                            <m:t>a</m:t>
                          </m:r>
                        </m:e>
                      </m:nary>
                      <m:r>
                        <m:t> </m:t>
                      </m:r>
                      <m:sSub>
                        <m:e>
                          <m:r>
                            <m:t>x</m:t>
                          </m:r>
                        </m:e>
                        <m:sub>
                          <m:r>
                            <m:t>i</m:t>
                          </m:r>
                          <m:r>
                            <m:t>,</m:t>
                          </m:r>
                          <m:r>
                            <m:t>k</m:t>
                          </m:r>
                          <m:r>
                            <m:t>,</m:t>
                          </m:r>
                          <m:r>
                            <m:t>y</m:t>
                          </m:r>
                          <m:r>
                            <m:t>,</m:t>
                          </m:r>
                          <m:r>
                            <m:t>a</m:t>
                          </m:r>
                        </m:sub>
                      </m:sSub>
                    </m:e>
                  </m:mr>
                  <m:mr>
                    <m:e>
                      <m:sSub>
                        <m:e>
                          <m:r>
                            <m:t>S</m:t>
                          </m:r>
                        </m:e>
                        <m:sub>
                          <m:r>
                            <m:t>i</m:t>
                          </m:r>
                          <m:r>
                            <m:t>,</m:t>
                          </m:r>
                          <m:r>
                            <m:t>y</m:t>
                          </m:r>
                        </m:sub>
                      </m:sSub>
                    </m:e>
                    <m:e>
                      <m:r>
                        <m:t>=</m:t>
                      </m:r>
                      <m:sSub>
                        <m:e>
                          <m:r>
                            <m:t>S</m:t>
                          </m:r>
                        </m:e>
                        <m:sub>
                          <m:r>
                            <m:t>i</m:t>
                          </m:r>
                          <m:r>
                            <m:t>,</m:t>
                          </m:r>
                          <m:r>
                            <m:t>1</m:t>
                          </m:r>
                          <m:r>
                            <m:t>,</m:t>
                          </m:r>
                          <m:r>
                            <m:t>y</m:t>
                          </m:r>
                        </m:sub>
                      </m:sSub>
                      <m:r>
                        <m:t>+</m:t>
                      </m:r>
                      <m:sSub>
                        <m:e>
                          <m:r>
                            <m:t>S</m:t>
                          </m:r>
                        </m:e>
                        <m:sub>
                          <m:r>
                            <m:t>i</m:t>
                          </m:r>
                          <m:r>
                            <m:t>,</m:t>
                          </m:r>
                          <m:r>
                            <m:t>2</m:t>
                          </m:r>
                          <m:r>
                            <m:t>,</m:t>
                          </m:r>
                          <m:r>
                            <m:t>y</m:t>
                          </m:r>
                        </m:sub>
                      </m:sSub>
                      <m:r>
                        <m:t>+</m:t>
                      </m:r>
                      <m:r>
                        <m:t>50</m:t>
                      </m:r>
                      <m:sSub>
                        <m:e>
                          <m:r>
                            <m:t>u</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为变电站，</w:t>
      </w:r>
      <m:oMath>
        <m:r>
          <m:t>k</m:t>
        </m:r>
      </m:oMath>
      <w:r>
        <w:rPr>
          <w:rFonts w:ascii="Times New Roman" w:hAnsi="Times New Roman" w:eastAsia="方正仿宋_GBK"/>
          <w:b w:val="0"/>
          <w:sz w:val="24"/>
        </w:rPr>
        <w:t xml:space="preserve">为既有主变安装位置，</w:t>
      </w:r>
      <m:oMath>
        <m:sSub>
          <m:e>
            <m:r>
              <m:rPr>
                <m:sty m:val="p"/>
                <m:scr m:val="script"/>
              </m:rPr>
              <m:t>A</m:t>
            </m:r>
          </m:e>
          <m:sub>
            <m:r>
              <m:t>i</m:t>
            </m:r>
            <m:r>
              <m:t>k</m:t>
            </m:r>
          </m:sub>
        </m:sSub>
      </m:oMath>
      <w:r>
        <w:rPr>
          <w:rFonts w:ascii="Times New Roman" w:hAnsi="Times New Roman" w:eastAsia="方正仿宋_GBK"/>
          <w:b w:val="0"/>
          <w:sz w:val="24"/>
        </w:rPr>
        <w:t xml:space="preserve">为允许容量规格集合，</w:t>
      </w:r>
      <m:oMath>
        <m:r>
          <m:t>a</m:t>
        </m:r>
      </m:oMath>
      <w:r>
        <w:rPr>
          <w:rFonts w:ascii="Times New Roman" w:hAnsi="Times New Roman" w:eastAsia="方正仿宋_GBK"/>
          <w:b w:val="0"/>
          <w:sz w:val="24"/>
        </w:rPr>
        <w:t xml:space="preserve">为其中一种规格，单位MVA；</w:t>
      </w:r>
      <m:oMath>
        <m:sSub>
          <m:e>
            <m:r>
              <m:t>x</m:t>
            </m:r>
          </m:e>
          <m:sub>
            <m:r>
              <m:t>i</m:t>
            </m:r>
            <m:r>
              <m:t>,</m:t>
            </m:r>
            <m:r>
              <m:t>k</m:t>
            </m:r>
            <m:r>
              <m:t>,</m:t>
            </m:r>
            <m:r>
              <m:t>y</m:t>
            </m:r>
            <m:r>
              <m:t>,</m:t>
            </m:r>
            <m:r>
              <m:t>a</m:t>
            </m:r>
          </m:sub>
        </m:sSub>
      </m:oMath>
      <w:r>
        <w:rPr>
          <w:rFonts w:ascii="Times New Roman" w:hAnsi="Times New Roman" w:eastAsia="方正仿宋_GBK"/>
          <w:b w:val="0"/>
          <w:sz w:val="24"/>
        </w:rPr>
        <w:t xml:space="preserve">为0或1的规格选择变量，</w:t>
      </w:r>
      <m:oMath>
        <m:sSub>
          <m:e>
            <m:r>
              <m:t>S</m:t>
            </m:r>
          </m:e>
          <m:sub>
            <m:r>
              <m:t>i</m:t>
            </m:r>
            <m:r>
              <m:t>,</m:t>
            </m:r>
            <m:r>
              <m:t>k</m:t>
            </m:r>
            <m:r>
              <m:t>,</m:t>
            </m:r>
            <m:r>
              <m:t>y</m:t>
            </m:r>
          </m:sub>
        </m:sSub>
      </m:oMath>
      <w:r>
        <w:rPr>
          <w:rFonts w:ascii="Times New Roman" w:hAnsi="Times New Roman" w:eastAsia="方正仿宋_GBK"/>
          <w:b w:val="0"/>
          <w:sz w:val="24"/>
        </w:rPr>
        <w:t xml:space="preserve">为该位置主变在役容量，</w:t>
      </w:r>
      <m:oMath>
        <m:sSub>
          <m:e>
            <m:r>
              <m:t>S</m:t>
            </m:r>
          </m:e>
          <m:sub>
            <m:r>
              <m:t>i</m:t>
            </m:r>
            <m:r>
              <m:t>,</m:t>
            </m:r>
            <m:r>
              <m:t>y</m:t>
            </m:r>
          </m:sub>
        </m:sSub>
      </m:oMath>
      <w:r>
        <w:rPr>
          <w:rFonts w:ascii="Times New Roman" w:hAnsi="Times New Roman" w:eastAsia="方正仿宋_GBK"/>
          <w:b w:val="0"/>
          <w:sz w:val="24"/>
        </w:rPr>
        <w:t xml:space="preserve">为站内主变总容量；</w:t>
      </w:r>
      <m:oMath>
        <m:sSub>
          <m:e>
            <m:r>
              <m:t>u</m:t>
            </m:r>
          </m:e>
          <m:sub>
            <m:r>
              <m:t>i</m:t>
            </m:r>
            <m:r>
              <m:t>,</m:t>
            </m:r>
            <m:r>
              <m:t>y</m:t>
            </m:r>
          </m:sub>
        </m:sSub>
      </m:oMath>
      <w:r>
        <w:rPr>
          <w:rFonts w:ascii="Times New Roman" w:hAnsi="Times New Roman" w:eastAsia="方正仿宋_GBK"/>
          <w:b w:val="0"/>
          <w:sz w:val="24"/>
        </w:rPr>
        <w:t xml:space="preserve">为扩建50 MVA主变的在役状态。该式省略区县和方案下标，各区县、各方案分别应用。</w:t>
      </w:r>
    </w:p>
    <w:p>
      <w:pPr>
        <w:pStyle w:val="2"/>
        <w:widowControl/>
        <w:spacing w:line="300" w:lineRule="auto" w:before="0" w:after="0"/>
        <w:ind w:firstLine="480"/>
        <w:jc w:val="both"/>
      </w:pPr>
      <w:r>
        <w:rPr>
          <w:rFonts w:ascii="Times New Roman" w:hAnsi="Times New Roman" w:eastAsia="方正仿宋_GBK"/>
          <w:b w:val="0"/>
          <w:sz w:val="24"/>
        </w:rPr>
        <w:t xml:space="preserve">模型先计算候选增容对正常供电、反向输送及主变N-1后剩余容量的改善，再按新购整台容量计算替换费用。主变扩建采用1223万元/项的扩建费用。新增容量和采购容量同时列示，用于分别解释容载比变化与工程投资[85]。</w:t>
      </w:r>
    </w:p>
    <w:p>
      <w:pPr>
        <w:pStyle w:val="5"/>
        <w:keepNext/>
        <w:numPr>
          <w:numId w:val="0"/>
        </w:numPr>
        <w:spacing w:line="360" w:lineRule="auto" w:before="160" w:after="120"/>
        <w:ind w:firstLine="0"/>
      </w:pPr>
      <w:bookmarkStart w:id="180" w:name="利用既有10-kv联络能力"/>
      <w:r>
        <w:rPr>
          <w:rFonts w:ascii="Times New Roman" w:hAnsi="Times New Roman" w:eastAsia="方正仿宋_GBK"/>
          <w:b/>
          <w:sz w:val="26"/>
        </w:rPr>
        <w:t xml:space="preserve">5.2.2 利用既有10 kV联络能力</w:t>
      </w:r>
      <w:bookmarkEnd w:id="180"/>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kV联络在区县内部调整用电负荷的供电归属。首先确定初始转供率，再将其乘以转接前站级负荷，得到可使用的既有转供能力。市区按A类研究情景设定初始转供率50%；邳州依据六馈线与跨站联络数据具体测算[5]。</w:t>
      </w:r>
    </w:p>
    <w:p>
      <w:pPr>
        <w:pStyle w:val="2"/>
        <w:widowControl/>
        <w:spacing w:line="300" w:lineRule="auto" w:before="0" w:after="0"/>
        <w:ind w:firstLine="480"/>
        <w:jc w:val="both"/>
      </w:pPr>
      <w:r>
        <w:rPr>
          <w:rFonts w:ascii="Times New Roman" w:hAnsi="Times New Roman" w:eastAsia="方正仿宋_GBK"/>
          <w:b w:val="0"/>
          <w:sz w:val="24"/>
        </w:rPr>
        <w:t xml:space="preserve">邳州样本将最大电流折算为有功负荷，并以允许电流与已用电流之差估计受端余量。</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00" w:lineRule="auto" w:before="0" w:after="0"/>
        <w:ind w:firstLine="480"/>
        <w:jc w:val="both"/>
      </w:pPr>
      <w:r>
        <w:rPr>
          <w:rFonts w:ascii="Times New Roman" w:hAnsi="Times New Roman" w:eastAsia="方正仿宋_GBK"/>
          <w:b w:val="0"/>
          <w:sz w:val="24"/>
        </w:rPr>
        <w:t xml:space="preserve">对跨站联络分别枚举不使用、正向及反向转接，求各方向组合的最大可转负荷。每条馈线转出量不超过其负荷，转入量不超过受端余量。共享同一馈线的联络共同使用该端能力预算。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Q</m:t>
                          </m:r>
                        </m:e>
                        <m:sub>
                          <m:r>
                            <m:rPr>
                              <m:sty m:val="p"/>
                            </m:rPr>
                            <m:t>s</m:t>
                          </m:r>
                          <m:r>
                            <m:rPr>
                              <m:sty m:val="p"/>
                            </m:rPr>
                            <m:t>a</m:t>
                          </m:r>
                          <m:r>
                            <m:rPr>
                              <m:sty m:val="p"/>
                            </m:rPr>
                            <m:t>m</m:t>
                          </m:r>
                          <m:r>
                            <m:rPr>
                              <m:sty m:val="p"/>
                            </m:rPr>
                            <m:t>p</m:t>
                          </m:r>
                          <m:r>
                            <m:rPr>
                              <m:sty m:val="p"/>
                            </m:rPr>
                            <m:t>l</m:t>
                          </m:r>
                          <m:r>
                            <m:rPr>
                              <m:sty m:val="p"/>
                            </m:rPr>
                            <m:t>e</m:t>
                          </m:r>
                        </m:sub>
                      </m:sSub>
                    </m:e>
                    <m:e>
                      <m:r>
                        <m:t>=</m:t>
                      </m:r>
                      <m:r>
                        <m:rPr>
                          <m:nor/>
                          <m:sty m:val="p"/>
                        </m:rPr>
                        <m:t>max</m:t>
                      </m:r>
                      <m:nary>
                        <m:naryPr>
                          <m:chr m:val="∑"/>
                          <m:limLoc m:val="undOvr"/>
                          <m:subHide m:val="0"/>
                          <m:supHide m:val="1"/>
                        </m:naryPr>
                        <m:sub>
                          <m:r>
                            <m:t>(</m:t>
                          </m:r>
                          <m:r>
                            <m:t>f</m:t>
                          </m:r>
                          <m:r>
                            <m:t>,</m:t>
                          </m:r>
                          <m:r>
                            <m:t>h</m:t>
                          </m:r>
                          <m:r>
                            <m:t>)</m:t>
                          </m:r>
                          <m:r>
                            <m:t>∈</m:t>
                          </m:r>
                          <m:r>
                            <m:rPr>
                              <m:sty m:val="p"/>
                              <m:scr m:val="script"/>
                            </m:rPr>
                            <m:t>E</m:t>
                          </m:r>
                        </m:sub>
                        <m:sup>
                          <m:r>
                            <m:t>​</m:t>
                          </m:r>
                        </m:sup>
                        <m:e>
                          <m:sSub>
                            <m:e>
                              <m:r>
                                <m:t>q</m:t>
                              </m:r>
                            </m:e>
                            <m:sub>
                              <m:r>
                                <m:t>f</m:t>
                              </m:r>
                              <m:r>
                                <m:t>h</m:t>
                              </m:r>
                            </m:sub>
                          </m:sSub>
                        </m:e>
                      </m:nary>
                    </m:e>
                  </m:mr>
                  <m:mr>
                    <m:e/>
                    <m:e>
                      <m:nary>
                        <m:naryPr>
                          <m:chr m:val="∑"/>
                          <m:limLoc m:val="undOvr"/>
                          <m:subHide m:val="0"/>
                          <m:supHide m:val="1"/>
                        </m:naryPr>
                        <m:sub>
                          <m:r>
                            <m:t>h</m:t>
                          </m:r>
                        </m:sub>
                        <m:sup>
                          <m:r>
                            <m:t>​</m:t>
                          </m:r>
                        </m:sup>
                        <m:e>
                          <m:sSub>
                            <m:e>
                              <m:r>
                                <m:t>q</m:t>
                              </m:r>
                            </m:e>
                            <m:sub>
                              <m:r>
                                <m:t>f</m:t>
                              </m:r>
                              <m:r>
                                <m:t>h</m:t>
                              </m:r>
                            </m:sub>
                          </m:sSub>
                        </m:e>
                      </m:nary>
                      <m:r>
                        <m:t>≤</m:t>
                      </m:r>
                      <m:sSub>
                        <m:e>
                          <m:r>
                            <m:t>P</m:t>
                          </m:r>
                        </m:e>
                        <m:sub>
                          <m:r>
                            <m:t>f</m:t>
                          </m:r>
                        </m:sub>
                      </m:sSub>
                    </m:e>
                  </m:mr>
                  <m:mr>
                    <m:e/>
                    <m:e>
                      <m:nary>
                        <m:naryPr>
                          <m:chr m:val="∑"/>
                          <m:limLoc m:val="undOvr"/>
                          <m:subHide m:val="0"/>
                          <m:supHide m:val="1"/>
                        </m:naryPr>
                        <m:sub>
                          <m:r>
                            <m:t>f</m:t>
                          </m:r>
                        </m:sub>
                        <m:sup>
                          <m:r>
                            <m:t>​</m:t>
                          </m:r>
                        </m:sup>
                        <m:e>
                          <m:sSub>
                            <m:e>
                              <m:r>
                                <m:t>q</m:t>
                              </m:r>
                            </m:e>
                            <m:sub>
                              <m:r>
                                <m:t>f</m:t>
                              </m:r>
                              <m:r>
                                <m:t>h</m:t>
                              </m:r>
                            </m:sub>
                          </m:sSub>
                        </m:e>
                      </m:nary>
                      <m:r>
                        <m:t>≤</m:t>
                      </m:r>
                      <m:sSub>
                        <m:e>
                          <m:r>
                            <m:t>H</m:t>
                          </m:r>
                        </m:e>
                        <m:sub>
                          <m:r>
                            <m:t>h</m:t>
                          </m:r>
                        </m:sub>
                      </m:sSub>
                    </m:e>
                  </m:mr>
                  <m:mr>
                    <m:e/>
                    <m:e>
                      <m:sSub>
                        <m:e>
                          <m:r>
                            <m:t>q</m:t>
                          </m:r>
                        </m:e>
                        <m:sub>
                          <m:r>
                            <m:t>f</m:t>
                          </m:r>
                          <m:r>
                            <m:t>h</m:t>
                          </m:r>
                        </m:sub>
                      </m:sSub>
                      <m:r>
                        <m:t>≥</m:t>
                      </m:r>
                      <m:r>
                        <m:t>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rPr>
            <m:sty m:val="p"/>
            <m:scr m:val="script"/>
          </m:rPr>
          <m:t>E</m:t>
        </m:r>
      </m:oMath>
      <w:r>
        <w:rPr>
          <w:rFonts w:ascii="Times New Roman" w:hAnsi="Times New Roman" w:eastAsia="方正仿宋_GBK"/>
          <w:b w:val="0"/>
          <w:sz w:val="24"/>
        </w:rPr>
        <w:t xml:space="preserve">为当前方向组合下的跨站联络集合，</w:t>
      </w:r>
      <m:oMath>
        <m:sSub>
          <m:e>
            <m:r>
              <m:t>q</m:t>
            </m:r>
          </m:e>
          <m:sub>
            <m:r>
              <m:t>f</m:t>
            </m:r>
            <m:r>
              <m:t>h</m:t>
            </m:r>
          </m:sub>
        </m:sSub>
      </m:oMath>
      <w:r>
        <w:rPr>
          <w:rFonts w:ascii="Times New Roman" w:hAnsi="Times New Roman" w:eastAsia="方正仿宋_GBK"/>
          <w:b w:val="0"/>
          <w:sz w:val="24"/>
        </w:rPr>
        <w:t xml:space="preserve">为由馈线</w:t>
      </w:r>
      <m:oMath>
        <m:r>
          <m:t>f</m:t>
        </m:r>
      </m:oMath>
      <w:r>
        <w:rPr>
          <w:rFonts w:ascii="Times New Roman" w:hAnsi="Times New Roman" w:eastAsia="方正仿宋_GBK"/>
          <w:b w:val="0"/>
          <w:sz w:val="24"/>
        </w:rPr>
        <w:t xml:space="preserve">向馈线</w:t>
      </w:r>
      <m:oMath>
        <m:r>
          <m:t>h</m:t>
        </m:r>
      </m:oMath>
      <w:r>
        <w:rPr>
          <w:rFonts w:ascii="Times New Roman" w:hAnsi="Times New Roman" w:eastAsia="方正仿宋_GBK"/>
          <w:b w:val="0"/>
          <w:sz w:val="24"/>
        </w:rPr>
        <w:t xml:space="preserve">转接的负荷，单位MW；</w:t>
      </w:r>
      <m:oMath>
        <m:sSub>
          <m:e>
            <m:r>
              <m:t>Q</m:t>
            </m:r>
          </m:e>
          <m:sub>
            <m:r>
              <m:rPr>
                <m:sty m:val="p"/>
              </m:rPr>
              <m:t>s</m:t>
            </m:r>
            <m:r>
              <m:rPr>
                <m:sty m:val="p"/>
              </m:rPr>
              <m:t>a</m:t>
            </m:r>
            <m:r>
              <m:rPr>
                <m:sty m:val="p"/>
              </m:rPr>
              <m:t>m</m:t>
            </m:r>
            <m:r>
              <m:rPr>
                <m:sty m:val="p"/>
              </m:rPr>
              <m:t>p</m:t>
            </m:r>
            <m:r>
              <m:rPr>
                <m:sty m:val="p"/>
              </m:rPr>
              <m:t>l</m:t>
            </m:r>
            <m:r>
              <m:rPr>
                <m:sty m:val="p"/>
              </m:rPr>
              <m:t>e</m:t>
            </m:r>
          </m:sub>
        </m:sSub>
      </m:oMath>
      <w:r>
        <w:rPr>
          <w:rFonts w:ascii="Times New Roman" w:hAnsi="Times New Roman" w:eastAsia="方正仿宋_GBK"/>
          <w:b w:val="0"/>
          <w:sz w:val="24"/>
        </w:rPr>
        <w:t xml:space="preserve">为在共享预算内的样本最大可转负荷。该筛查得到9.98 MW，六馈线负荷合计35.29 MW。</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ρ</m:t>
                    </m:r>
                  </m:e>
                  <m:sub>
                    <m:r>
                      <m:rPr>
                        <m:sty m:val="p"/>
                      </m:rPr>
                      <m:t>P</m:t>
                    </m:r>
                    <m:r>
                      <m:rPr>
                        <m:sty m:val="p"/>
                      </m:rPr>
                      <m:t>i</m:t>
                    </m:r>
                    <m:r>
                      <m:rPr>
                        <m:sty m:val="p"/>
                      </m:rPr>
                      <m:t>z</m:t>
                    </m:r>
                    <m:r>
                      <m:rPr>
                        <m:sty m:val="p"/>
                      </m:rPr>
                      <m:t>h</m:t>
                    </m:r>
                    <m:r>
                      <m:rPr>
                        <m:sty m:val="p"/>
                      </m:rPr>
                      <m:t>o</m:t>
                    </m:r>
                    <m:r>
                      <m:rPr>
                        <m:sty m:val="p"/>
                      </m:rPr>
                      <m:t>u</m:t>
                    </m:r>
                    <m:r>
                      <m:t>,</m:t>
                    </m:r>
                    <m:r>
                      <m:t>0</m:t>
                    </m:r>
                  </m:sub>
                </m:sSub>
                <m:r>
                  <m:t>=</m:t>
                </m:r>
                <m:f>
                  <m:fPr>
                    <m:type m:val="bar"/>
                  </m:fPr>
                  <m:num>
                    <m:sSub>
                      <m:e>
                        <m:r>
                          <m:t>Q</m:t>
                        </m:r>
                      </m:e>
                      <m:sub>
                        <m:r>
                          <m:rPr>
                            <m:sty m:val="p"/>
                          </m:rPr>
                          <m:t>s</m:t>
                        </m:r>
                        <m:r>
                          <m:rPr>
                            <m:sty m:val="p"/>
                          </m:rPr>
                          <m:t>a</m:t>
                        </m:r>
                        <m:r>
                          <m:rPr>
                            <m:sty m:val="p"/>
                          </m:rPr>
                          <m:t>m</m:t>
                        </m:r>
                        <m:r>
                          <m:rPr>
                            <m:sty m:val="p"/>
                          </m:rPr>
                          <m:t>p</m:t>
                        </m:r>
                        <m:r>
                          <m:rPr>
                            <m:sty m:val="p"/>
                          </m:rPr>
                          <m:t>l</m:t>
                        </m:r>
                        <m:r>
                          <m:rPr>
                            <m:sty m:val="p"/>
                          </m:rPr>
                          <m:t>e</m:t>
                        </m:r>
                      </m:sub>
                    </m:sSub>
                  </m:num>
                  <m:den>
                    <m:nary>
                      <m:naryPr>
                        <m:chr m:val="∑"/>
                        <m:limLoc m:val="undOvr"/>
                        <m:subHide m:val="0"/>
                        <m:supHide m:val="1"/>
                      </m:naryPr>
                      <m:sub>
                        <m:r>
                          <m:t>f</m:t>
                        </m:r>
                      </m:sub>
                      <m:sup>
                        <m:r>
                          <m:t>​</m:t>
                        </m:r>
                      </m:sup>
                      <m:e>
                        <m:sSub>
                          <m:e>
                            <m:r>
                              <m:t>P</m:t>
                            </m:r>
                          </m:e>
                          <m:sub>
                            <m:r>
                              <m:t>f</m:t>
                            </m:r>
                          </m:sub>
                        </m:sSub>
                      </m:e>
                    </m:nary>
                  </m:den>
                </m:f>
                <m:r>
                  <m:t>≈</m:t>
                </m:r>
                <m:r>
                  <m:t>28.29</m:t>
                </m:r>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（5-6）</w:t>
            </w:r>
          </w:p>
        </w:tc>
      </w:tr>
    </w:tbl>
    <w:p>
      <w:pPr>
        <w:pStyle w:val="FirstParagraph"/>
        <w:widowControl/>
        <w:spacing w:line="300" w:lineRule="auto" w:before="0" w:after="0"/>
        <w:ind w:firstLine="480"/>
        <w:jc w:val="both"/>
      </w:pPr>
      <m:oMath>
        <m:sSub>
          <m:e>
            <m:r>
              <m:t>ρ</m:t>
            </m:r>
          </m:e>
          <m:sub>
            <m:r>
              <m:rPr>
                <m:sty m:val="p"/>
              </m:rPr>
              <m:t>P</m:t>
            </m:r>
            <m:r>
              <m:rPr>
                <m:sty m:val="p"/>
              </m:rPr>
              <m:t>i</m:t>
            </m:r>
            <m:r>
              <m:rPr>
                <m:sty m:val="p"/>
              </m:rPr>
              <m:t>z</m:t>
            </m:r>
            <m:r>
              <m:rPr>
                <m:sty m:val="p"/>
              </m:rPr>
              <m:t>h</m:t>
            </m:r>
            <m:r>
              <m:rPr>
                <m:sty m:val="p"/>
              </m:rPr>
              <m:t>o</m:t>
            </m:r>
            <m:r>
              <m:rPr>
                <m:sty m:val="p"/>
              </m:rPr>
              <m:t>u</m:t>
            </m:r>
            <m:r>
              <m:t>,</m:t>
            </m:r>
            <m:r>
              <m:t>0</m:t>
            </m:r>
          </m:sub>
        </m:sSub>
      </m:oMath>
      <w:r>
        <w:rPr>
          <w:rFonts w:ascii="Times New Roman" w:hAnsi="Times New Roman" w:eastAsia="方正仿宋_GBK"/>
          <w:b w:val="0"/>
          <w:sz w:val="24"/>
        </w:rPr>
        <w:t xml:space="preserve">为邳州初始站间转供率。本研究将局部测算比例统一外推到邳州各仿真站，形成县域内部能力配置参数。市区50%为研究假定。既有能力利用的新增建设投资计为零，送端可转负荷及受端主变、储能能力共同决定实际使用量。</w:t>
      </w:r>
    </w:p>
    <w:p>
      <w:pPr>
        <w:pStyle w:val="5"/>
        <w:keepNext/>
        <w:numPr>
          <w:numId w:val="0"/>
        </w:numPr>
        <w:spacing w:line="360" w:lineRule="auto" w:before="160" w:after="120"/>
        <w:ind w:firstLine="0"/>
      </w:pPr>
      <w:bookmarkStart w:id="181" w:name="新建10-kv联络提升转供率"/>
      <w:r>
        <w:rPr>
          <w:rFonts w:ascii="Times New Roman" w:hAnsi="Times New Roman" w:eastAsia="方正仿宋_GBK"/>
          <w:b/>
          <w:sz w:val="26"/>
        </w:rPr>
        <w:t xml:space="preserve">5.2.3 新建10 kV联络提升转供率</w:t>
      </w:r>
      <w:bookmarkEnd w:id="181"/>
    </w:p>
    <w:p>
      <w:pPr>
        <w:pStyle w:val="FirstParagraph"/>
        <w:widowControl/>
        <w:spacing w:line="300" w:lineRule="auto" w:before="0" w:after="0"/>
        <w:ind w:firstLine="480"/>
        <w:jc w:val="both"/>
      </w:pPr>
      <w:r>
        <w:rPr>
          <w:rFonts w:ascii="Times New Roman" w:hAnsi="Times New Roman" w:eastAsia="方正仿宋_GBK"/>
          <w:b w:val="0"/>
          <w:sz w:val="24"/>
        </w:rPr>
        <w:t xml:space="preserve">既有能力不足时，新增独立联络项目提高可转负荷预算。每个项目采用邳州局部可切换负荷区段标定的7.49 MW能力增量，参考投资按线路类型分别为124.80万元和499.20万元。区县内任意两个不同站均可作为新增等效项目端点，项目在两端关联、建设投资计一次[87]。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Q</m:t>
                    </m:r>
                  </m:e>
                  <m:sub>
                    <m:r>
                      <m:t>i</m:t>
                    </m:r>
                    <m:r>
                      <m:t>,</m:t>
                    </m:r>
                    <m:r>
                      <m:t>y</m:t>
                    </m:r>
                  </m:sub>
                  <m:sup>
                    <m:r>
                      <m:rPr>
                        <m:sty m:val="p"/>
                      </m:rPr>
                      <m:t>c</m:t>
                    </m:r>
                    <m:r>
                      <m:rPr>
                        <m:sty m:val="p"/>
                      </m:rPr>
                      <m:t>a</m:t>
                    </m:r>
                    <m:r>
                      <m:rPr>
                        <m:sty m:val="p"/>
                      </m:rPr>
                      <m:t>p</m:t>
                    </m:r>
                  </m:sup>
                </m:sSubSup>
                <m:r>
                  <m:t>=</m:t>
                </m:r>
                <m:r>
                  <m:rPr>
                    <m:nor/>
                    <m:sty m:val="p"/>
                  </m:rPr>
                  <m:t>min</m:t>
                </m:r>
                <m:d>
                  <m:dPr>
                    <m:begChr m:val="("/>
                    <m:endChr m:val=")"/>
                    <m:grow/>
                  </m:dPr>
                  <m:e>
                    <m:sSubSup>
                      <m:e>
                        <m:r>
                          <m:t>ρ</m:t>
                        </m:r>
                      </m:e>
                      <m:sub>
                        <m:r>
                          <m:t>c</m:t>
                        </m:r>
                      </m:sub>
                      <m:sup>
                        <m:r>
                          <m:rPr>
                            <m:nor/>
                            <m:sty m:val="p"/>
                          </m:rPr>
                          <m:t>max</m:t>
                        </m:r>
                      </m:sup>
                    </m:sSubSup>
                    <m:sSubSup>
                      <m:e>
                        <m:r>
                          <m:t>L</m:t>
                        </m:r>
                      </m:e>
                      <m:sub>
                        <m:r>
                          <m:t>i</m:t>
                        </m:r>
                        <m:r>
                          <m:t>,</m:t>
                        </m:r>
                        <m:r>
                          <m:t>y</m:t>
                        </m:r>
                      </m:sub>
                      <m:sup>
                        <m:r>
                          <m:t>+</m:t>
                        </m:r>
                      </m:sup>
                    </m:sSubSup>
                    <m:r>
                      <m:t>,</m:t>
                    </m:r>
                    <m:sSub>
                      <m:e>
                        <m:r>
                          <m:t>ρ</m:t>
                        </m:r>
                      </m:e>
                      <m:sub>
                        <m:r>
                          <m:t>c</m:t>
                        </m:r>
                        <m:r>
                          <m:t>,</m:t>
                        </m:r>
                        <m:r>
                          <m:t>0</m:t>
                        </m:r>
                      </m:sub>
                    </m:sSub>
                    <m:sSubSup>
                      <m:e>
                        <m:r>
                          <m:t>L</m:t>
                        </m:r>
                      </m:e>
                      <m:sub>
                        <m:r>
                          <m:t>i</m:t>
                        </m:r>
                        <m:r>
                          <m:t>,</m:t>
                        </m:r>
                        <m:r>
                          <m:t>y</m:t>
                        </m:r>
                      </m:sub>
                      <m:sup>
                        <m:r>
                          <m:t>+</m:t>
                        </m:r>
                      </m:sup>
                    </m:sSubSup>
                    <m:r>
                      <m:t>+</m:t>
                    </m:r>
                    <m:sSub>
                      <m:e>
                        <m:r>
                          <m:t>m</m:t>
                        </m:r>
                      </m:e>
                      <m:sub>
                        <m:r>
                          <m:t>i</m:t>
                        </m:r>
                        <m:r>
                          <m:t>,</m:t>
                        </m:r>
                        <m:r>
                          <m:t>y</m:t>
                        </m:r>
                      </m:sub>
                    </m:sSub>
                    <m:r>
                      <m:t>Δ</m:t>
                    </m:r>
                    <m:r>
                      <m:t>Q</m:t>
                    </m:r>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Q</m:t>
            </m:r>
          </m:e>
          <m:sub>
            <m:r>
              <m:t>i</m:t>
            </m:r>
            <m:r>
              <m:t>,</m:t>
            </m:r>
            <m:r>
              <m:t>y</m:t>
            </m:r>
          </m:sub>
          <m:sup>
            <m:r>
              <m:rPr>
                <m:sty m:val="p"/>
              </m:rPr>
              <m:t>c</m:t>
            </m:r>
            <m:r>
              <m:rPr>
                <m:sty m:val="p"/>
              </m:rPr>
              <m:t>a</m:t>
            </m:r>
            <m:r>
              <m:rPr>
                <m:sty m:val="p"/>
              </m:rPr>
              <m:t>p</m:t>
            </m:r>
          </m:sup>
        </m:sSubSup>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可用转供能力，单位MW；</w:t>
      </w:r>
      <m:oMath>
        <m:sSub>
          <m:e>
            <m:r>
              <m:t>ρ</m:t>
            </m:r>
          </m:e>
          <m:sub>
            <m:r>
              <m:t>c</m:t>
            </m:r>
            <m:r>
              <m:t>,</m:t>
            </m:r>
            <m:r>
              <m:t>0</m:t>
            </m:r>
          </m:sub>
        </m:sSub>
      </m:oMath>
      <w:r>
        <w:rPr>
          <w:rFonts w:ascii="Times New Roman" w:hAnsi="Times New Roman" w:eastAsia="方正仿宋_GBK"/>
          <w:b w:val="0"/>
          <w:sz w:val="24"/>
        </w:rPr>
        <w:t xml:space="preserve">为区县初始转供率，</w:t>
      </w:r>
      <m:oMath>
        <m:sSubSup>
          <m:e>
            <m:r>
              <m:t>ρ</m:t>
            </m:r>
          </m:e>
          <m:sub>
            <m:r>
              <m:t>c</m:t>
            </m:r>
          </m:sub>
          <m:sup>
            <m:r>
              <m:rPr>
                <m:nor/>
                <m:sty m:val="p"/>
              </m:rPr>
              <m:t>max</m:t>
            </m:r>
          </m:sup>
        </m:sSubSup>
      </m:oMath>
      <w:r>
        <w:rPr>
          <w:rFonts w:ascii="Times New Roman" w:hAnsi="Times New Roman" w:eastAsia="方正仿宋_GBK"/>
          <w:b w:val="0"/>
          <w:sz w:val="24"/>
        </w:rPr>
        <w:t xml:space="preserve">为研究上限；</w:t>
      </w:r>
      <m:oMath>
        <m:sSubSup>
          <m:e>
            <m:r>
              <m:t>L</m:t>
            </m:r>
          </m:e>
          <m:sub>
            <m:r>
              <m:t>i</m:t>
            </m:r>
            <m:r>
              <m:t>,</m:t>
            </m:r>
            <m:r>
              <m:t>y</m:t>
            </m:r>
          </m:sub>
          <m:sup>
            <m:r>
              <m:t>+</m:t>
            </m:r>
          </m:sup>
        </m:sSubSup>
      </m:oMath>
      <w:r>
        <w:rPr>
          <w:rFonts w:ascii="Times New Roman" w:hAnsi="Times New Roman" w:eastAsia="方正仿宋_GBK"/>
          <w:b w:val="0"/>
          <w:sz w:val="24"/>
        </w:rPr>
        <w:t xml:space="preserve">为转接前最大正向净负荷；</w:t>
      </w:r>
      <m:oMath>
        <m:sSub>
          <m:e>
            <m:r>
              <m:t>m</m:t>
            </m:r>
          </m:e>
          <m:sub>
            <m:r>
              <m:t>i</m:t>
            </m:r>
            <m:r>
              <m:t>,</m:t>
            </m:r>
            <m:r>
              <m:t>y</m:t>
            </m:r>
          </m:sub>
        </m:sSub>
      </m:oMath>
      <w:r>
        <w:rPr>
          <w:rFonts w:ascii="Times New Roman" w:hAnsi="Times New Roman" w:eastAsia="方正仿宋_GBK"/>
          <w:b w:val="0"/>
          <w:sz w:val="24"/>
        </w:rPr>
        <w:t xml:space="preserve">为该站关联的在役新增项目数，非负整数；</w:t>
      </w:r>
      <m:oMath>
        <m:r>
          <m:t>Δ</m:t>
        </m:r>
        <m:r>
          <m:t>Q</m:t>
        </m:r>
      </m:oMath>
      <w:r>
        <w:rPr>
          <w:rFonts w:ascii="Times New Roman" w:hAnsi="Times New Roman" w:eastAsia="方正仿宋_GBK"/>
          <w:b w:val="0"/>
          <w:sz w:val="24"/>
        </w:rPr>
        <w:t xml:space="preserve">为单项目固定能力增量，取7.49 MW。邳州转供率规划目标与上限分别为30%和50%，市区分别为50%和70%。</w:t>
      </w:r>
    </w:p>
    <w:p>
      <w:pPr>
        <w:pStyle w:val="2"/>
        <w:widowControl/>
        <w:spacing w:line="300" w:lineRule="auto" w:before="0" w:after="0"/>
        <w:ind w:firstLine="480"/>
        <w:jc w:val="both"/>
      </w:pPr>
      <w:r>
        <w:rPr>
          <w:rFonts w:ascii="Times New Roman" w:hAnsi="Times New Roman" w:eastAsia="方正仿宋_GBK"/>
          <w:b w:val="0"/>
          <w:sz w:val="24"/>
        </w:rPr>
        <w:t xml:space="preserve">新增项目数量同时满足双端计数和区县新增能力的共享预算。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i</m:t>
                          </m:r>
                        </m:sub>
                        <m:sup>
                          <m:r>
                            <m:t>​</m:t>
                          </m:r>
                        </m:sup>
                        <m:e>
                          <m:sSub>
                            <m:e>
                              <m:r>
                                <m:t>m</m:t>
                              </m:r>
                            </m:e>
                            <m:sub>
                              <m:r>
                                <m:t>i</m:t>
                              </m:r>
                              <m:r>
                                <m:t>,</m:t>
                              </m:r>
                              <m:r>
                                <m:t>y</m:t>
                              </m:r>
                            </m:sub>
                          </m:sSub>
                        </m:e>
                      </m:nary>
                    </m:e>
                    <m:e>
                      <m:r>
                        <m:t>=</m:t>
                      </m:r>
                      <m:r>
                        <m:t>2</m:t>
                      </m:r>
                      <m:sSub>
                        <m:e>
                          <m:r>
                            <m:t>M</m:t>
                          </m:r>
                        </m:e>
                        <m:sub>
                          <m:r>
                            <m:t>c</m:t>
                          </m:r>
                          <m:r>
                            <m:t>,</m:t>
                          </m:r>
                          <m:r>
                            <m:t>y</m:t>
                          </m:r>
                        </m:sub>
                      </m:sSub>
                    </m:e>
                  </m:mr>
                  <m:mr>
                    <m:e/>
                    <m:e>
                      <m:r>
                        <m:t>0</m:t>
                      </m:r>
                      <m:r>
                        <m:t>≤</m:t>
                      </m:r>
                      <m:sSub>
                        <m:e>
                          <m:r>
                            <m:t>m</m:t>
                          </m:r>
                        </m:e>
                        <m:sub>
                          <m:r>
                            <m:t>i</m:t>
                          </m:r>
                          <m:r>
                            <m:t>,</m:t>
                          </m:r>
                          <m:r>
                            <m:t>y</m:t>
                          </m:r>
                        </m:sub>
                      </m:sSub>
                      <m:r>
                        <m:t>≤</m:t>
                      </m:r>
                      <m:sSub>
                        <m:e>
                          <m:r>
                            <m:t>M</m:t>
                          </m:r>
                        </m:e>
                        <m:sub>
                          <m:r>
                            <m:t>c</m:t>
                          </m:r>
                          <m:r>
                            <m:t>,</m:t>
                          </m:r>
                          <m:r>
                            <m:t>y</m:t>
                          </m:r>
                        </m:sub>
                      </m:sSub>
                    </m:e>
                  </m:mr>
                  <m:mr>
                    <m:e/>
                    <m:e>
                      <m:nary>
                        <m:naryPr>
                          <m:chr m:val="∑"/>
                          <m:limLoc m:val="undOvr"/>
                          <m:subHide m:val="0"/>
                          <m:supHide m:val="1"/>
                        </m:naryPr>
                        <m:sub>
                          <m:r>
                            <m:t>i</m:t>
                          </m:r>
                        </m:sub>
                        <m:sup>
                          <m:r>
                            <m:t>​</m:t>
                          </m:r>
                        </m:sup>
                        <m:e>
                          <m:sSub>
                            <m:e>
                              <m:r>
                                <m:t>e</m:t>
                              </m:r>
                            </m:e>
                            <m:sub>
                              <m:r>
                                <m:t>i</m:t>
                              </m:r>
                              <m:r>
                                <m:t>,</m:t>
                              </m:r>
                              <m:r>
                                <m:t>y</m:t>
                              </m:r>
                            </m:sub>
                          </m:sSub>
                        </m:e>
                      </m:nary>
                      <m:r>
                        <m:t>≤</m:t>
                      </m:r>
                      <m:sSub>
                        <m:e>
                          <m:r>
                            <m:t>M</m:t>
                          </m:r>
                        </m:e>
                        <m:sub>
                          <m:r>
                            <m:t>c</m:t>
                          </m:r>
                          <m:r>
                            <m:t>,</m:t>
                          </m:r>
                          <m:r>
                            <m:t>y</m:t>
                          </m:r>
                        </m:sub>
                      </m:sSub>
                      <m:r>
                        <m:t>Δ</m:t>
                      </m:r>
                      <m:r>
                        <m:t>Q</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M</m:t>
            </m:r>
          </m:e>
          <m:sub>
            <m:r>
              <m:t>c</m:t>
            </m:r>
            <m:r>
              <m:t>,</m:t>
            </m:r>
            <m:r>
              <m:t>y</m:t>
            </m:r>
          </m:sub>
        </m:sSub>
      </m:oMath>
      <w:r>
        <w:rPr>
          <w:rFonts w:ascii="Times New Roman" w:hAnsi="Times New Roman" w:eastAsia="方正仿宋_GBK"/>
          <w:b w:val="0"/>
          <w:sz w:val="24"/>
        </w:rPr>
        <w:t xml:space="preserve">为区县在役新增项目数，</w:t>
      </w:r>
      <m:oMath>
        <m:sSub>
          <m:e>
            <m:r>
              <m:t>e</m:t>
            </m:r>
          </m:e>
          <m:sub>
            <m:r>
              <m:t>i</m:t>
            </m:r>
            <m:r>
              <m:t>,</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实际使用的新增转供能力，单位MW。单项目关联两个不同站；全区县实际使用的新增能力按每个项目一份计取。既有能力与新增能力共同满足转出需求：</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e>
                      <m:sSubSup>
                        <m:e>
                          <m:r>
                            <m:t>Q</m:t>
                          </m:r>
                        </m:e>
                        <m:sub>
                          <m:r>
                            <m:t>i</m:t>
                          </m:r>
                          <m:r>
                            <m:t>,</m:t>
                          </m:r>
                          <m:r>
                            <m:t>y</m:t>
                          </m:r>
                        </m:sub>
                        <m:sup>
                          <m:r>
                            <m:rPr>
                              <m:sty m:val="p"/>
                            </m:rPr>
                            <m:t>o</m:t>
                          </m:r>
                          <m:r>
                            <m:rPr>
                              <m:sty m:val="p"/>
                            </m:rPr>
                            <m:t>u</m:t>
                          </m:r>
                          <m:r>
                            <m:rPr>
                              <m:sty m:val="p"/>
                            </m:rPr>
                            <m:t>t</m:t>
                          </m:r>
                        </m:sup>
                      </m:sSubSup>
                      <m:r>
                        <m:t>≤</m:t>
                      </m:r>
                      <m:sSub>
                        <m:e>
                          <m:r>
                            <m:t>ρ</m:t>
                          </m:r>
                        </m:e>
                        <m:sub>
                          <m:r>
                            <m:t>c</m:t>
                          </m:r>
                          <m:r>
                            <m:t>,</m:t>
                          </m:r>
                          <m:r>
                            <m:t>0</m:t>
                          </m:r>
                        </m:sub>
                      </m:sSub>
                      <m:sSubSup>
                        <m:e>
                          <m:r>
                            <m:t>L</m:t>
                          </m:r>
                        </m:e>
                        <m:sub>
                          <m:r>
                            <m:t>i</m:t>
                          </m:r>
                          <m:r>
                            <m:t>,</m:t>
                          </m:r>
                          <m:r>
                            <m:t>y</m:t>
                          </m:r>
                        </m:sub>
                        <m:sup>
                          <m:r>
                            <m:t>+</m:t>
                          </m:r>
                        </m:sup>
                      </m:sSubSup>
                      <m:r>
                        <m:t>+</m:t>
                      </m:r>
                      <m:sSub>
                        <m:e>
                          <m:r>
                            <m:t>e</m:t>
                          </m:r>
                        </m:e>
                        <m:sub>
                          <m:r>
                            <m:t>i</m:t>
                          </m:r>
                          <m:r>
                            <m:t>,</m:t>
                          </m:r>
                          <m:r>
                            <m:t>y</m:t>
                          </m:r>
                        </m:sub>
                      </m:sSub>
                    </m:e>
                  </m:mr>
                  <m:mr>
                    <m:e/>
                    <m:e>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c</m:t>
                          </m:r>
                          <m:r>
                            <m:rPr>
                              <m:sty m:val="p"/>
                            </m:rPr>
                            <m:t>a</m:t>
                          </m:r>
                          <m:r>
                            <m:rPr>
                              <m:sty m:val="p"/>
                            </m:rPr>
                            <m:t>p</m:t>
                          </m:r>
                        </m:sup>
                      </m:sSubSup>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（5-9）</w:t>
            </w:r>
          </w:p>
        </w:tc>
      </w:tr>
    </w:tbl>
    <w:p>
      <w:pPr>
        <w:pStyle w:val="FirstParagraph"/>
        <w:widowControl/>
        <w:spacing w:line="300" w:lineRule="auto" w:before="0" w:after="0"/>
        <w:ind w:firstLine="480"/>
        <w:jc w:val="both"/>
      </w:pPr>
      <m:oMath>
        <m:sSubSup>
          <m:e>
            <m:r>
              <m:t>Q</m:t>
            </m:r>
          </m:e>
          <m:sub>
            <m:r>
              <m:t>i</m:t>
            </m:r>
            <m:r>
              <m:t>,</m:t>
            </m:r>
            <m:r>
              <m:t>y</m:t>
            </m:r>
          </m:sub>
          <m:sup>
            <m:r>
              <m:rPr>
                <m:sty m:val="p"/>
              </m:rPr>
              <m:t>o</m:t>
            </m:r>
            <m:r>
              <m:rPr>
                <m:sty m:val="p"/>
              </m:rPr>
              <m:t>u</m:t>
            </m:r>
            <m:r>
              <m:rPr>
                <m:sty m:val="p"/>
              </m:rPr>
              <m:t>t</m:t>
            </m:r>
          </m:sup>
        </m:sSubSup>
      </m:oMath>
      <w:r>
        <w:rPr>
          <w:rFonts w:ascii="Times New Roman" w:hAnsi="Times New Roman" w:eastAsia="方正仿宋_GBK"/>
          <w:b w:val="0"/>
          <w:sz w:val="24"/>
        </w:rPr>
        <w:t xml:space="preserve">为站级转出负荷，单位MW。能力目标用于保证规划转供能力达到相应比例，实际转出量由负荷分布和费用优化确定。新增项目每区县最多30项，为本研究候选规模设定。</w:t>
      </w:r>
    </w:p>
    <w:p>
      <w:pPr>
        <w:pStyle w:val="2"/>
        <w:widowControl/>
        <w:spacing w:line="300" w:lineRule="auto" w:before="0" w:after="0"/>
        <w:ind w:firstLine="480"/>
        <w:jc w:val="both"/>
      </w:pPr>
      <w:r>
        <w:rPr>
          <w:rFonts w:ascii="Times New Roman" w:hAnsi="Times New Roman" w:eastAsia="方正仿宋_GBK"/>
          <w:b w:val="0"/>
          <w:sz w:val="24"/>
        </w:rPr>
        <w:t xml:space="preserve">等效项目先参与县域容量与负荷优化，再按站级端点数量生成项目配对。双端计数与共享预算约束项目总量，尚未将各站实际转接量绑定到逐条联络路径，因而只能得到区域等效能力方案。实际建设须依据转供需求落实可实现的站对、线路走向、分段位置及可切换负荷区段，按实际通道重算送受端能力和费用。</w:t>
      </w:r>
    </w:p>
    <w:p>
      <w:pPr>
        <w:pStyle w:val="5"/>
        <w:keepNext/>
        <w:numPr>
          <w:numId w:val="0"/>
        </w:numPr>
        <w:spacing w:line="360" w:lineRule="auto" w:before="160" w:after="120"/>
        <w:ind w:firstLine="0"/>
      </w:pPr>
      <w:bookmarkStart w:id="182" w:name="负荷转接与容量衔接"/>
      <w:r>
        <w:rPr>
          <w:rFonts w:ascii="Times New Roman" w:hAnsi="Times New Roman" w:eastAsia="方正仿宋_GBK"/>
          <w:b/>
          <w:sz w:val="26"/>
        </w:rPr>
        <w:t xml:space="preserve">5.2.4 负荷转接与容量衔接</w:t>
      </w:r>
      <w:bookmarkEnd w:id="182"/>
    </w:p>
    <w:p>
      <w:pPr>
        <w:pStyle w:val="FirstParagraph"/>
        <w:widowControl/>
        <w:spacing w:line="300" w:lineRule="auto" w:before="0" w:after="0"/>
        <w:ind w:firstLine="480"/>
        <w:jc w:val="both"/>
      </w:pPr>
      <w:r>
        <w:rPr>
          <w:rFonts w:ascii="Times New Roman" w:hAnsi="Times New Roman" w:eastAsia="方正仿宋_GBK"/>
          <w:b w:val="0"/>
          <w:sz w:val="24"/>
        </w:rPr>
        <w:t xml:space="preserve">转接后正向负荷由原站负荷减转出、加承接得到，区县内部转出与承接总量相等。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L</m:t>
                      </m:r>
                      <m:sSub>
                        <m:e>
                          <m:r>
                            <m:t>′</m:t>
                          </m:r>
                        </m:e>
                        <m:sub>
                          <m:r>
                            <m:t>i</m:t>
                          </m:r>
                          <m:r>
                            <m:t>,</m:t>
                          </m:r>
                          <m:r>
                            <m:t>y</m:t>
                          </m:r>
                        </m:sub>
                      </m:sSub>
                    </m:e>
                    <m:e>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i</m:t>
                          </m:r>
                          <m:r>
                            <m:rPr>
                              <m:sty m:val="p"/>
                            </m:rPr>
                            <m:t>n</m:t>
                          </m:r>
                        </m:sup>
                      </m:sSubSup>
                    </m:e>
                  </m:mr>
                  <m:mr>
                    <m:e>
                      <m:nary>
                        <m:naryPr>
                          <m:chr m:val="∑"/>
                          <m:limLoc m:val="undOvr"/>
                          <m:subHide m:val="0"/>
                          <m:supHide m:val="1"/>
                        </m:naryPr>
                        <m:sub>
                          <m:r>
                            <m:t>i</m:t>
                          </m:r>
                        </m:sub>
                        <m:sup>
                          <m:r>
                            <m:t>​</m:t>
                          </m:r>
                        </m:sup>
                        <m:e>
                          <m:sSubSup>
                            <m:e>
                              <m:r>
                                <m:t>Q</m:t>
                              </m:r>
                            </m:e>
                            <m:sub>
                              <m:r>
                                <m:t>i</m:t>
                              </m:r>
                              <m:r>
                                <m:t>,</m:t>
                              </m:r>
                              <m:r>
                                <m:t>y</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y</m:t>
                              </m:r>
                            </m:sub>
                            <m:sup>
                              <m:r>
                                <m:rPr>
                                  <m:sty m:val="p"/>
                                </m:rPr>
                                <m:t>i</m:t>
                              </m:r>
                              <m:r>
                                <m:rPr>
                                  <m:sty m:val="p"/>
                                </m:rPr>
                                <m:t>n</m:t>
                              </m:r>
                            </m:sup>
                          </m:sSubSup>
                        </m:e>
                      </m:nary>
                    </m:e>
                  </m:mr>
                  <m:mr>
                    <m:e>
                      <m:nary>
                        <m:naryPr>
                          <m:chr m:val="∑"/>
                          <m:limLoc m:val="undOvr"/>
                          <m:subHide m:val="0"/>
                          <m:supHide m:val="1"/>
                        </m:naryPr>
                        <m:sub>
                          <m:r>
                            <m:t>i</m:t>
                          </m:r>
                        </m:sub>
                        <m:sup>
                          <m:r>
                            <m:t>​</m:t>
                          </m:r>
                        </m:sup>
                        <m:e>
                          <m:r>
                            <m:t>L</m:t>
                          </m:r>
                        </m:e>
                      </m:nary>
                      <m:sSub>
                        <m:e>
                          <m:r>
                            <m:t>′</m:t>
                          </m:r>
                        </m:e>
                        <m:sub>
                          <m:r>
                            <m:t>i</m:t>
                          </m:r>
                          <m:r>
                            <m:t>,</m:t>
                          </m:r>
                          <m:r>
                            <m:t>y</m:t>
                          </m:r>
                        </m:sub>
                      </m:sSub>
                    </m:e>
                    <m:e>
                      <m:r>
                        <m:t>=</m:t>
                      </m:r>
                      <m:nary>
                        <m:naryPr>
                          <m:chr m:val="∑"/>
                          <m:limLoc m:val="undOvr"/>
                          <m:subHide m:val="0"/>
                          <m:supHide m:val="1"/>
                        </m:naryPr>
                        <m:sub>
                          <m:r>
                            <m:t>i</m:t>
                          </m:r>
                        </m:sub>
                        <m:sup>
                          <m:r>
                            <m:t>​</m:t>
                          </m:r>
                        </m:sup>
                        <m:e>
                          <m:sSubSup>
                            <m:e>
                              <m:r>
                                <m:t>L</m:t>
                              </m:r>
                            </m:e>
                            <m:sub>
                              <m:r>
                                <m:t>i</m:t>
                              </m:r>
                              <m:r>
                                <m:t>,</m:t>
                              </m:r>
                              <m:r>
                                <m:t>y</m:t>
                              </m:r>
                            </m:sub>
                            <m:sup>
                              <m:r>
                                <m:t>+</m:t>
                              </m:r>
                            </m:sup>
                          </m:sSubSup>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（5-10）</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L</m:t>
        </m:r>
        <m:sSub>
          <m:e>
            <m:r>
              <m:t>′</m:t>
            </m:r>
          </m:e>
          <m:sub>
            <m:r>
              <m:t>i</m:t>
            </m:r>
            <m:r>
              <m:t>,</m:t>
            </m:r>
            <m:r>
              <m:t>y</m:t>
            </m:r>
          </m:sub>
        </m:sSub>
      </m:oMath>
      <w:r>
        <w:rPr>
          <w:rFonts w:ascii="Times New Roman" w:hAnsi="Times New Roman" w:eastAsia="方正仿宋_GBK"/>
          <w:b w:val="0"/>
          <w:sz w:val="24"/>
        </w:rPr>
        <w:t xml:space="preserve">为转接后的站级正向负荷，</w:t>
      </w:r>
      <m:oMath>
        <m:sSubSup>
          <m:e>
            <m:r>
              <m:t>Q</m:t>
            </m:r>
          </m:e>
          <m:sub>
            <m:r>
              <m:t>i</m:t>
            </m:r>
            <m:r>
              <m:t>,</m:t>
            </m:r>
            <m:r>
              <m:t>y</m:t>
            </m:r>
          </m:sub>
          <m:sup>
            <m:r>
              <m:rPr>
                <m:sty m:val="p"/>
              </m:rPr>
              <m:t>i</m:t>
            </m:r>
            <m:r>
              <m:rPr>
                <m:sty m:val="p"/>
              </m:rPr>
              <m:t>n</m:t>
            </m:r>
          </m:sup>
        </m:sSubSup>
      </m:oMath>
      <w:r>
        <w:rPr>
          <w:rFonts w:ascii="Times New Roman" w:hAnsi="Times New Roman" w:eastAsia="方正仿宋_GBK"/>
          <w:b w:val="0"/>
          <w:sz w:val="24"/>
        </w:rPr>
        <w:t xml:space="preserve">为该站承接负荷，单位MW。模型先求站级转出与承接量，再生成守恒的站间分配表。联络由此改善容量与负荷的空间匹配。</w:t>
      </w:r>
    </w:p>
    <w:p>
      <w:pPr>
        <w:pStyle w:val="2"/>
        <w:widowControl/>
        <w:spacing w:line="300" w:lineRule="auto" w:before="0" w:after="0"/>
        <w:ind w:firstLine="480"/>
        <w:jc w:val="both"/>
      </w:pPr>
      <w:r>
        <w:rPr>
          <w:rFonts w:ascii="Times New Roman" w:hAnsi="Times New Roman" w:eastAsia="方正仿宋_GBK"/>
          <w:b w:val="0"/>
          <w:sz w:val="24"/>
        </w:rPr>
        <w:t xml:space="preserve">本地电源保留在原站。用电负荷转出后，原站潜在反送压力增加，反向净负荷上界取原站最大反向净负荷加转出量。各站采用同一规则：</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（5-11）</w:t>
            </w:r>
          </w:p>
        </w:tc>
      </w:tr>
    </w:tbl>
    <w:p>
      <w:pPr>
        <w:pStyle w:val="FirstParagraph"/>
        <w:widowControl/>
        <w:spacing w:line="300" w:lineRule="auto" w:before="0" w:after="0"/>
        <w:ind w:firstLine="480"/>
        <w:jc w:val="both"/>
      </w:pPr>
      <m:oMath>
        <m:sSubSup>
          <m:e>
            <m:r>
              <m:t>L</m:t>
            </m:r>
          </m:e>
          <m:sub>
            <m:r>
              <m:t>i</m:t>
            </m:r>
            <m:r>
              <m:t>,</m:t>
            </m:r>
            <m:r>
              <m:t>y</m:t>
            </m:r>
          </m:sub>
          <m:sup>
            <m:r>
              <m:t>−</m:t>
            </m:r>
          </m:sup>
        </m:sSubSup>
      </m:oMath>
      <w:r>
        <w:rPr>
          <w:rFonts w:ascii="Times New Roman" w:hAnsi="Times New Roman" w:eastAsia="方正仿宋_GBK"/>
          <w:b w:val="0"/>
          <w:sz w:val="24"/>
        </w:rPr>
        <w:t xml:space="preserve">为原站最大反向净负荷，</w:t>
      </w: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oMath>
      <w:r>
        <w:rPr>
          <w:rFonts w:ascii="Times New Roman" w:hAnsi="Times New Roman" w:eastAsia="方正仿宋_GBK"/>
          <w:b w:val="0"/>
          <w:sz w:val="24"/>
        </w:rPr>
        <w:t xml:space="preserve">为用于校核的反向净负荷上界，单位MW。该式在缺少转接负荷同步曲线的情况下按峰值上界处理，受端增加用电仍按其正向容量约束校核。</w:t>
      </w:r>
    </w:p>
    <w:p>
      <w:pPr>
        <w:pStyle w:val="2"/>
        <w:widowControl/>
        <w:spacing w:line="300" w:lineRule="auto" w:before="0" w:after="0"/>
        <w:ind w:firstLine="480"/>
        <w:jc w:val="both"/>
      </w:pPr>
      <w:r>
        <w:rPr>
          <w:rFonts w:ascii="Times New Roman" w:hAnsi="Times New Roman" w:eastAsia="方正仿宋_GBK"/>
          <w:b w:val="0"/>
          <w:sz w:val="24"/>
        </w:rPr>
        <w:t xml:space="preserve">以两站负荷转接说明计算关系。送端原正向负荷80 MW，初始转供率28.29%，既有能力为22.63 MW；新建一个项目后，能力增至30.12 MW。若转出25 MW，新增能力实际使用2.37 MW，原站正向负荷降至55 MW；原反向净负荷10 MW时，校核上界增至35 MW。受端原负荷40 MW，承接后为65 MW，按65 MW校核正常和主变N-1容量。两站负荷合计仍为120 MW，架空为主情景的新建项目投资124.80万元，计取一次。</w:t>
      </w:r>
    </w:p>
    <w:p>
      <w:bookmarkStart w:id="1562" w:name="h562"/>
      <w:pPr>
        <w:pStyle w:val="4"/>
        <w:keepNext/>
        <w:numPr>
          <w:numId w:val="0"/>
        </w:numPr>
        <w:spacing w:line="360" w:lineRule="auto" w:before="160" w:after="120"/>
        <w:ind w:firstLine="0"/>
      </w:pPr>
      <w:bookmarkStart w:id="183" w:name="约束条件与求解流程"/>
      <w:r>
        <w:rPr>
          <w:rFonts w:ascii="Times New Roman" w:hAnsi="Times New Roman" w:eastAsia="方正仿宋_GBK"/>
          <w:b/>
          <w:sz w:val="32"/>
        </w:rPr>
        <w:t xml:space="preserve">5.3 约束条件与求解流程</w:t>
      </w:r>
      <w:bookmarkEnd w:id="183"/>
      <w:bookmarkEnd w:id="1562"/>
    </w:p>
    <w:p>
      <w:pPr>
        <w:pStyle w:val="5"/>
        <w:keepNext/>
        <w:numPr>
          <w:numId w:val="0"/>
        </w:numPr>
        <w:spacing w:line="360" w:lineRule="auto" w:before="160" w:after="120"/>
        <w:ind w:firstLine="0"/>
      </w:pPr>
      <w:bookmarkStart w:id="184" w:name="正常运行和主变n-1"/>
      <w:r>
        <w:rPr>
          <w:rFonts w:ascii="Times New Roman" w:hAnsi="Times New Roman" w:eastAsia="方正仿宋_GBK"/>
          <w:b/>
          <w:sz w:val="26"/>
        </w:rPr>
        <w:t xml:space="preserve">5.3.1 正常运行和主变N-1</w:t>
      </w:r>
      <w:bookmarkEnd w:id="184"/>
    </w:p>
    <w:p>
      <w:pPr>
        <w:pStyle w:val="FirstParagraph"/>
        <w:widowControl/>
        <w:spacing w:line="300" w:lineRule="auto" w:before="0" w:after="0"/>
        <w:ind w:firstLine="480"/>
        <w:jc w:val="both"/>
      </w:pPr>
      <w:r>
        <w:rPr>
          <w:rFonts w:ascii="Times New Roman" w:hAnsi="Times New Roman" w:eastAsia="方正仿宋_GBK"/>
          <w:b w:val="0"/>
          <w:sz w:val="24"/>
        </w:rPr>
        <w:t xml:space="preserve">主变容量按0.95功率因数折算为有功供电能力。正常运行分别校核正向和反向需求；主变N-1时，以剩余主变和储能支撑满足全部转接后负荷。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0.95</m:t>
                      </m:r>
                      <m:sSub>
                        <m:e>
                          <m:r>
                            <m:t>S</m:t>
                          </m:r>
                        </m:e>
                        <m:sub>
                          <m:r>
                            <m:t>i</m:t>
                          </m:r>
                          <m:r>
                            <m:t>,</m:t>
                          </m:r>
                          <m:r>
                            <m:t>y</m:t>
                          </m:r>
                        </m:sub>
                      </m:sSub>
                      <m:r>
                        <m:t>+</m:t>
                      </m:r>
                      <m:sSubSup>
                        <m:e>
                          <m:r>
                            <m:t>P</m:t>
                          </m:r>
                        </m:e>
                        <m:sub>
                          <m:r>
                            <m:t>B</m:t>
                          </m:r>
                          <m:r>
                            <m:t>,</m:t>
                          </m:r>
                          <m:r>
                            <m:t>i</m:t>
                          </m:r>
                          <m:r>
                            <m:t>,</m:t>
                          </m:r>
                          <m:r>
                            <m:t>y</m:t>
                          </m:r>
                        </m:sub>
                        <m:sup>
                          <m:r>
                            <m:t>+</m:t>
                          </m:r>
                        </m:sup>
                      </m:sSubSup>
                    </m:e>
                    <m:e>
                      <m:r>
                        <m:t>≥</m:t>
                      </m:r>
                      <m:r>
                        <m:t>L</m:t>
                      </m:r>
                      <m:sSub>
                        <m:e>
                          <m:r>
                            <m:t>′</m:t>
                          </m:r>
                        </m:e>
                        <m:sub>
                          <m:r>
                            <m:t>i</m:t>
                          </m:r>
                          <m:r>
                            <m:t>,</m:t>
                          </m:r>
                          <m:r>
                            <m:t>y</m:t>
                          </m:r>
                        </m:sub>
                      </m:sSub>
                      <m:r>
                        <m:t>,</m:t>
                      </m:r>
                    </m:e>
                  </m:mr>
                  <m:mr>
                    <m:e>
                      <m:r>
                        <m:t>0.95</m:t>
                      </m:r>
                      <m:sSub>
                        <m:e>
                          <m:r>
                            <m:t>S</m:t>
                          </m:r>
                        </m:e>
                        <m:sub>
                          <m:r>
                            <m:t>i</m:t>
                          </m:r>
                          <m:r>
                            <m:t>,</m:t>
                          </m:r>
                          <m:r>
                            <m:t>y</m:t>
                          </m:r>
                        </m:sub>
                      </m:sSub>
                      <m:r>
                        <m:t>+</m:t>
                      </m:r>
                      <m:sSubSup>
                        <m:e>
                          <m:r>
                            <m:t>P</m:t>
                          </m:r>
                        </m:e>
                        <m:sub>
                          <m:r>
                            <m:t>B</m:t>
                          </m:r>
                          <m:r>
                            <m:t>,</m:t>
                          </m:r>
                          <m:r>
                            <m:t>i</m:t>
                          </m:r>
                          <m:r>
                            <m:t>,</m:t>
                          </m:r>
                          <m:r>
                            <m:t>y</m:t>
                          </m:r>
                        </m:sub>
                        <m:sup>
                          <m:r>
                            <m:t>−</m:t>
                          </m:r>
                        </m:sup>
                      </m:sSubSup>
                    </m:e>
                    <m:e>
                      <m:r>
                        <m:t>≥</m:t>
                      </m:r>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e>
                  </m:mr>
                  <m:mr>
                    <m:e>
                      <m:r>
                        <m:t>0.95</m:t>
                      </m:r>
                      <m:r>
                        <m:t>(</m:t>
                      </m:r>
                      <m:sSub>
                        <m:e>
                          <m:r>
                            <m:t>S</m:t>
                          </m:r>
                        </m:e>
                        <m:sub>
                          <m:r>
                            <m:t>i</m:t>
                          </m:r>
                          <m:r>
                            <m:t>,</m:t>
                          </m:r>
                          <m:r>
                            <m:t>y</m:t>
                          </m:r>
                        </m:sub>
                      </m:sSub>
                      <m:r>
                        <m:t>−</m:t>
                      </m:r>
                      <m:sSub>
                        <m:e>
                          <m:r>
                            <m:t>S</m:t>
                          </m:r>
                        </m:e>
                        <m:sub>
                          <m:r>
                            <m:t>i</m:t>
                          </m:r>
                          <m:r>
                            <m:t>,</m:t>
                          </m:r>
                          <m:r>
                            <m:t>k</m:t>
                          </m:r>
                          <m:r>
                            <m:t>,</m:t>
                          </m:r>
                          <m:r>
                            <m:t>y</m:t>
                          </m:r>
                        </m:sub>
                      </m:sSub>
                      <m:r>
                        <m:t>)</m:t>
                      </m:r>
                      <m:r>
                        <m:t>+</m:t>
                      </m:r>
                      <m:sSubSup>
                        <m:e>
                          <m:r>
                            <m:t>P</m:t>
                          </m:r>
                        </m:e>
                        <m:sub>
                          <m:r>
                            <m:t>B</m:t>
                          </m:r>
                          <m:r>
                            <m:t>,</m:t>
                          </m:r>
                          <m:r>
                            <m:t>i</m:t>
                          </m:r>
                          <m:r>
                            <m:t>,</m:t>
                          </m:r>
                          <m:r>
                            <m:t>y</m:t>
                          </m:r>
                        </m:sub>
                        <m:sup>
                          <m:r>
                            <m:t>+</m:t>
                          </m:r>
                        </m:sup>
                      </m:sSubSup>
                    </m:e>
                    <m:e>
                      <m:r>
                        <m:t>≥</m:t>
                      </m:r>
                      <m:r>
                        <m:t>L</m:t>
                      </m:r>
                      <m:sSub>
                        <m:e>
                          <m:r>
                            <m:t>′</m:t>
                          </m:r>
                        </m:e>
                        <m:sub>
                          <m:r>
                            <m:t>i</m:t>
                          </m:r>
                          <m:r>
                            <m:t>,</m:t>
                          </m:r>
                          <m:r>
                            <m:t>y</m:t>
                          </m:r>
                        </m:sub>
                      </m:sSub>
                      <m:r>
                        <m:t>,</m:t>
                      </m:r>
                      <m:r>
                        <m:t> </m:t>
                      </m:r>
                      <m:r>
                        <m:t>k</m:t>
                      </m:r>
                      <m:r>
                        <m:t>∈</m:t>
                      </m:r>
                      <m:sSub>
                        <m:e>
                          <m:r>
                            <m:rPr>
                              <m:sty m:val="p"/>
                              <m:scr m:val="script"/>
                            </m:rPr>
                            <m:t>K</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rPr>
                <m:sty m:val="p"/>
                <m:scr m:val="script"/>
              </m:rPr>
              <m:t>K</m:t>
            </m:r>
          </m:e>
          <m:sub>
            <m:r>
              <m:t>i</m:t>
            </m:r>
            <m:r>
              <m:t>,</m:t>
            </m:r>
            <m:r>
              <m:t>y</m:t>
            </m:r>
          </m:sub>
        </m:sSub>
      </m:oMath>
      <w:r>
        <w:rPr>
          <w:rFonts w:ascii="Times New Roman" w:hAnsi="Times New Roman" w:eastAsia="方正仿宋_GBK"/>
          <w:b w:val="0"/>
          <w:sz w:val="24"/>
        </w:rPr>
        <w:t xml:space="preserve">为该年在役主变集合，</w:t>
      </w:r>
      <m:oMath>
        <m:sSub>
          <m:e>
            <m:r>
              <m:t>S</m:t>
            </m:r>
          </m:e>
          <m:sub>
            <m:r>
              <m:t>i</m:t>
            </m:r>
            <m:r>
              <m:t>,</m:t>
            </m:r>
            <m:r>
              <m:t>k</m:t>
            </m:r>
            <m:r>
              <m:t>,</m:t>
            </m:r>
            <m:r>
              <m:t>y</m:t>
            </m:r>
          </m:sub>
        </m:sSub>
      </m:oMath>
      <w:r>
        <w:rPr>
          <w:rFonts w:ascii="Times New Roman" w:hAnsi="Times New Roman" w:eastAsia="方正仿宋_GBK"/>
          <w:b w:val="0"/>
          <w:sz w:val="24"/>
        </w:rPr>
        <w:t xml:space="preserve">为退出主变的铭牌容量。扩建主变投运后，也进入退出校核。邳州各类别采用同一全负荷静态研究条件，市区按A类供电区域规划。导则的分类供电安全要求与本项目统一的研究校核条件分别说明[5]。正向、反向储能充放电功率分别按对应峰段计算，取在役储能额定功率与储能能量在该方向95%峰值持续时间内可提供功率的较小值。</w:t>
      </w:r>
    </w:p>
    <w:p>
      <w:pPr>
        <w:pStyle w:val="2"/>
        <w:widowControl/>
        <w:spacing w:line="300" w:lineRule="auto" w:before="0" w:after="0"/>
        <w:ind w:firstLine="480"/>
        <w:jc w:val="both"/>
      </w:pPr>
      <w:r>
        <w:rPr>
          <w:rFonts w:ascii="Times New Roman" w:hAnsi="Times New Roman" w:eastAsia="方正仿宋_GBK"/>
          <w:b w:val="0"/>
          <w:sz w:val="24"/>
        </w:rPr>
        <w:t xml:space="preserve">从基期向后，各台主变容量、扩建主变在役状态、储能柜数和新增联络项目数逐年非减。每年的转接功率可以随负荷与设备状态调整。所有容量选择同时满足该年容载比控制范围、转供能力预算和技术约束。</w:t>
      </w:r>
    </w:p>
    <w:p>
      <w:pPr>
        <w:pStyle w:val="5"/>
        <w:keepNext/>
        <w:numPr>
          <w:numId w:val="0"/>
        </w:numPr>
        <w:spacing w:line="360" w:lineRule="auto" w:before="160" w:after="120"/>
        <w:ind w:firstLine="0"/>
      </w:pPr>
      <w:bookmarkStart w:id="185" w:name="评价期费用目标"/>
      <w:r>
        <w:rPr>
          <w:rFonts w:ascii="Times New Roman" w:hAnsi="Times New Roman" w:eastAsia="方正仿宋_GBK"/>
          <w:b/>
          <w:sz w:val="26"/>
        </w:rPr>
        <w:t xml:space="preserve">5.3.2 评价期费用目标</w:t>
      </w:r>
      <w:bookmarkEnd w:id="185"/>
    </w:p>
    <w:p>
      <w:pPr>
        <w:pStyle w:val="FirstParagraph"/>
        <w:widowControl/>
        <w:spacing w:line="300" w:lineRule="auto" w:before="0" w:after="0"/>
        <w:ind w:firstLine="480"/>
        <w:jc w:val="both"/>
      </w:pPr>
      <w:r>
        <w:rPr>
          <w:rFonts w:ascii="Times New Roman" w:hAnsi="Times New Roman" w:eastAsia="方正仿宋_GBK"/>
          <w:b w:val="0"/>
          <w:sz w:val="24"/>
        </w:rPr>
        <w:t xml:space="preserve">以新增措施评价期费用现值最小为主目标。主变替换、主变扩建、新增储能与联络项目按第四章规定的投运年份和评价期折算。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rPr>
                    <m:nor/>
                    <m:sty m:val="p"/>
                  </m:rPr>
                  <m:t>min</m:t>
                </m:r>
                <m:r>
                  <m:t>C</m:t>
                </m:r>
                <m:r>
                  <m:t>=</m:t>
                </m:r>
                <m:nary>
                  <m:naryPr>
                    <m:chr m:val="∑"/>
                    <m:limLoc m:val="undOvr"/>
                    <m:subHide m:val="0"/>
                    <m:supHide m:val="1"/>
                  </m:naryPr>
                  <m:sub>
                    <m:r>
                      <m:t>c</m:t>
                    </m:r>
                  </m:sub>
                  <m:sup>
                    <m:r>
                      <m:t>​</m:t>
                    </m:r>
                  </m:sup>
                  <m:e>
                    <m:nary>
                      <m:naryPr>
                        <m:chr m:val="∑"/>
                        <m:limLoc m:val="undOvr"/>
                        <m:subHide m:val="0"/>
                        <m:supHide m:val="1"/>
                      </m:naryPr>
                      <m:sub>
                        <m:r>
                          <m:t>s</m:t>
                        </m:r>
                      </m:sub>
                      <m:sup>
                        <m:r>
                          <m:t>​</m:t>
                        </m:r>
                      </m:sup>
                      <m:e>
                        <m:nary>
                          <m:naryPr>
                            <m:chr m:val="∑"/>
                            <m:limLoc m:val="undOvr"/>
                            <m:subHide m:val="0"/>
                            <m:supHide m:val="1"/>
                          </m:naryPr>
                          <m:sub>
                            <m:r>
                              <m:t>y</m:t>
                            </m:r>
                          </m:sub>
                          <m:sup>
                            <m:r>
                              <m:t>​</m:t>
                            </m:r>
                          </m:sup>
                          <m:e>
                            <m:d>
                              <m:dPr>
                                <m:begChr m:val="["/>
                                <m:endChr m:val="]"/>
                                <m:grow/>
                              </m:dPr>
                              <m:e>
                                <m:sSub>
                                  <m:e>
                                    <m:r>
                                      <m:t>A</m:t>
                                    </m:r>
                                  </m:e>
                                  <m:sub>
                                    <m:r>
                                      <m:t>T</m:t>
                                    </m:r>
                                  </m:sub>
                                </m:sSub>
                                <m:r>
                                  <m:t>(</m:t>
                                </m:r>
                                <m:r>
                                  <m:t>y</m:t>
                                </m:r>
                                <m:r>
                                  <m:t>)</m:t>
                                </m:r>
                                <m:sSub>
                                  <m:e>
                                    <m:r>
                                      <m:t>I</m:t>
                                    </m:r>
                                  </m:e>
                                  <m:sub>
                                    <m:r>
                                      <m:t>T</m:t>
                                    </m:r>
                                    <m:r>
                                      <m:t>,</m:t>
                                    </m:r>
                                    <m:r>
                                      <m:t>c</m:t>
                                    </m:r>
                                    <m:r>
                                      <m:t>,</m:t>
                                    </m:r>
                                    <m:r>
                                      <m:t>s</m:t>
                                    </m:r>
                                    <m:r>
                                      <m:t>,</m:t>
                                    </m:r>
                                    <m:r>
                                      <m:t>y</m:t>
                                    </m:r>
                                  </m:sub>
                                </m:sSub>
                                <m:r>
                                  <m:t>+</m:t>
                                </m:r>
                                <m:sSub>
                                  <m:e>
                                    <m:r>
                                      <m:t>A</m:t>
                                    </m:r>
                                  </m:e>
                                  <m:sub>
                                    <m:r>
                                      <m:t>B</m:t>
                                    </m:r>
                                  </m:sub>
                                </m:sSub>
                                <m:r>
                                  <m:t>(</m:t>
                                </m:r>
                                <m:r>
                                  <m:t>y</m:t>
                                </m:r>
                                <m:r>
                                  <m:t>)</m:t>
                                </m:r>
                                <m:sSub>
                                  <m:e>
                                    <m:r>
                                      <m:t>I</m:t>
                                    </m:r>
                                  </m:e>
                                  <m:sub>
                                    <m:r>
                                      <m:t>B</m:t>
                                    </m:r>
                                    <m:r>
                                      <m:t>,</m:t>
                                    </m:r>
                                    <m:r>
                                      <m:t>c</m:t>
                                    </m:r>
                                    <m:r>
                                      <m:t>,</m:t>
                                    </m:r>
                                    <m:r>
                                      <m:t>s</m:t>
                                    </m:r>
                                    <m:r>
                                      <m:t>,</m:t>
                                    </m:r>
                                    <m:r>
                                      <m:t>y</m:t>
                                    </m:r>
                                  </m:sub>
                                </m:sSub>
                                <m:r>
                                  <m:t>+</m:t>
                                </m:r>
                                <m:sSub>
                                  <m:e>
                                    <m:r>
                                      <m:t>A</m:t>
                                    </m:r>
                                  </m:e>
                                  <m:sub>
                                    <m:r>
                                      <m:t>L</m:t>
                                    </m:r>
                                  </m:sub>
                                </m:sSub>
                                <m:r>
                                  <m:t>(</m:t>
                                </m:r>
                                <m:r>
                                  <m:t>y</m:t>
                                </m:r>
                                <m:r>
                                  <m:t>)</m:t>
                                </m:r>
                                <m:sSub>
                                  <m:e>
                                    <m:r>
                                      <m:t>I</m:t>
                                    </m:r>
                                  </m:e>
                                  <m:sub>
                                    <m:r>
                                      <m:t>L</m:t>
                                    </m:r>
                                    <m:r>
                                      <m:t>,</m:t>
                                    </m:r>
                                    <m:r>
                                      <m:t>c</m:t>
                                    </m:r>
                                    <m:r>
                                      <m:t>,</m:t>
                                    </m:r>
                                    <m:r>
                                      <m:t>s</m:t>
                                    </m:r>
                                    <m:r>
                                      <m:t>,</m:t>
                                    </m:r>
                                    <m:r>
                                      <m:t>y</m:t>
                                    </m:r>
                                  </m:sub>
                                </m:sSub>
                              </m:e>
                            </m:d>
                          </m:e>
                        </m:nary>
                      </m:e>
                    </m:nary>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为评价期费用现值，单位万元；</w:t>
      </w:r>
      <m:oMath>
        <m:sSub>
          <m:e>
            <m:r>
              <m:t>I</m:t>
            </m:r>
          </m:e>
          <m:sub>
            <m:r>
              <m:t>T</m:t>
            </m:r>
            <m:r>
              <m:t>,</m:t>
            </m:r>
            <m:r>
              <m:t>c</m:t>
            </m:r>
            <m:r>
              <m:t>,</m:t>
            </m:r>
            <m:r>
              <m:t>s</m:t>
            </m:r>
            <m:r>
              <m:t>,</m:t>
            </m:r>
            <m:r>
              <m:t>y</m:t>
            </m:r>
          </m:sub>
        </m:sSub>
      </m:oMath>
      <w:r>
        <w:rPr>
          <w:rFonts w:ascii="Times New Roman" w:hAnsi="Times New Roman" w:eastAsia="方正仿宋_GBK"/>
          <w:b w:val="0"/>
          <w:sz w:val="24"/>
        </w:rPr>
        <w:t xml:space="preserve">、</w:t>
      </w:r>
      <m:oMath>
        <m:sSub>
          <m:e>
            <m:r>
              <m:t>I</m:t>
            </m:r>
          </m:e>
          <m:sub>
            <m:r>
              <m:t>B</m:t>
            </m:r>
            <m:r>
              <m:t>,</m:t>
            </m:r>
            <m:r>
              <m:t>c</m:t>
            </m:r>
            <m:r>
              <m:t>,</m:t>
            </m:r>
            <m:r>
              <m:t>s</m:t>
            </m:r>
            <m:r>
              <m:t>,</m:t>
            </m:r>
            <m:r>
              <m:t>y</m:t>
            </m:r>
          </m:sub>
        </m:sSub>
      </m:oMath>
      <w:r>
        <w:rPr>
          <w:rFonts w:ascii="Times New Roman" w:hAnsi="Times New Roman" w:eastAsia="方正仿宋_GBK"/>
          <w:b w:val="0"/>
          <w:sz w:val="24"/>
        </w:rPr>
        <w:t xml:space="preserve">、</w:t>
      </w:r>
      <m:oMath>
        <m:sSub>
          <m:e>
            <m:r>
              <m:t>I</m:t>
            </m:r>
          </m:e>
          <m:sub>
            <m:r>
              <m:t>L</m:t>
            </m:r>
            <m:r>
              <m:t>,</m:t>
            </m:r>
            <m:r>
              <m:t>c</m:t>
            </m:r>
            <m:r>
              <m:t>,</m:t>
            </m:r>
            <m:r>
              <m:t>s</m:t>
            </m:r>
            <m:r>
              <m:t>,</m:t>
            </m:r>
            <m:r>
              <m:t>y</m:t>
            </m:r>
          </m:sub>
        </m:sSub>
      </m:oMath>
      <w:r>
        <w:rPr>
          <w:rFonts w:ascii="Times New Roman" w:hAnsi="Times New Roman" w:eastAsia="方正仿宋_GBK"/>
          <w:b w:val="0"/>
          <w:sz w:val="24"/>
        </w:rPr>
        <w:t xml:space="preserve">分别为当年主变、储能及新增联络初始投资；</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为对应现值因子。替换费用按新购整台容量，扩建主变按独立扩建项目，储能按新增柜数，联络按当年新增项目数计取。</w:t>
      </w:r>
    </w:p>
    <w:p>
      <w:pPr>
        <w:pStyle w:val="2"/>
        <w:widowControl/>
        <w:spacing w:line="300" w:lineRule="auto" w:before="0" w:after="0"/>
        <w:ind w:firstLine="480"/>
        <w:jc w:val="both"/>
      </w:pPr>
      <w:r>
        <w:rPr>
          <w:rFonts w:ascii="Times New Roman" w:hAnsi="Times New Roman" w:eastAsia="方正仿宋_GBK"/>
          <w:b w:val="0"/>
          <w:sz w:val="24"/>
        </w:rPr>
        <w:t xml:space="preserve">既有联络利用产生的新增建设投资为零。新建线路的正投资通过费用目标与扩容、储能共同比较。配置更多主变可能减少储能柜数和持续支撑需求；增加联络能力可能使负荷转至有余量的站点。优化据此选择满足共同约束的组合。</w:t>
      </w:r>
    </w:p>
    <w:p>
      <w:pPr>
        <w:pStyle w:val="5"/>
        <w:keepNext/>
        <w:numPr>
          <w:numId w:val="0"/>
        </w:numPr>
        <w:spacing w:line="360" w:lineRule="auto" w:before="160" w:after="120"/>
        <w:ind w:firstLine="0"/>
      </w:pPr>
      <w:bookmarkStart w:id="186" w:name="三类措施的约束寻优流程"/>
      <w:r>
        <w:rPr>
          <w:rFonts w:ascii="Times New Roman" w:hAnsi="Times New Roman" w:eastAsia="方正仿宋_GBK"/>
          <w:b/>
          <w:sz w:val="26"/>
        </w:rPr>
        <w:t xml:space="preserve">5.3.3 三类措施的约束寻优流程</w:t>
      </w:r>
      <w:bookmarkEnd w:id="186"/>
    </w:p>
    <w:p>
      <w:pPr>
        <w:pStyle w:val="FirstParagraph"/>
        <w:widowControl/>
        <w:spacing w:line="300" w:lineRule="auto" w:before="0" w:after="0"/>
        <w:ind w:firstLine="480"/>
        <w:jc w:val="both"/>
      </w:pPr>
      <w:r>
        <w:rPr>
          <w:rFonts w:ascii="Times New Roman" w:hAnsi="Times New Roman" w:eastAsia="方正仿宋_GBK"/>
          <w:b w:val="0"/>
          <w:sz w:val="24"/>
        </w:rPr>
        <w:t xml:space="preserve">分别建立邳州、市区的刚性和弹性规划方案，同一区县两种方案采用相同的容载比2.00仿真起点、负荷预测和工程价格。刚性方案按2.00上限控制容载比，弹性方案按第5.1.2节的范围寻优。两种方案均可选择主变增容、储能配置和10 kV联络，站间负荷转接限定在各区县内部。</w:t>
      </w:r>
    </w:p>
    <w:p>
      <w:pPr>
        <w:pStyle w:val="2"/>
        <w:widowControl/>
        <w:spacing w:line="300" w:lineRule="auto" w:before="0" w:after="0"/>
        <w:ind w:firstLine="480"/>
        <w:jc w:val="both"/>
      </w:pPr>
      <w:r>
        <w:rPr>
          <w:rFonts w:ascii="Times New Roman" w:hAnsi="Times New Roman" w:eastAsia="方正仿宋_GBK"/>
          <w:b w:val="0"/>
          <w:sz w:val="24"/>
        </w:rPr>
        <w:t xml:space="preserve">根据在役主变规格、扩建预留位置和后续负荷需求，设置各站允许的主变增容及扩建候选；储能按整数柜配置，结合正向、反向95%峰值持续时间计算其充放电功率。设备规模和投运年份共同作为规划变量，使新增容量与各年容量需求相衔接。</w:t>
      </w:r>
    </w:p>
    <w:p>
      <w:pPr>
        <w:pStyle w:val="2"/>
        <w:widowControl/>
        <w:spacing w:line="300" w:lineRule="auto" w:before="0" w:after="0"/>
        <w:ind w:firstLine="480"/>
        <w:jc w:val="both"/>
      </w:pPr>
      <w:r>
        <w:rPr>
          <w:rFonts w:ascii="Times New Roman" w:hAnsi="Times New Roman" w:eastAsia="方正仿宋_GBK"/>
          <w:b w:val="0"/>
          <w:sz w:val="24"/>
        </w:rPr>
        <w:t xml:space="preserve">10 kV联络方案同时考虑既有能力利用与新建联络。市区初始转供率按50.00%设定，邳州按馈线样本测算的28.29%设定，并应用于各自区县站群。既有能力利用按零新增建设投资计取；新增联络以区县内不同站点之间的连接为候选，通过增加项目数提升可转供能力，并计入建设费用。实际转接量由送端可转负荷、受端承接能力及联络能力共同约束。</w:t>
      </w:r>
    </w:p>
    <w:p>
      <w:pPr>
        <w:pStyle w:val="2"/>
        <w:widowControl/>
        <w:spacing w:line="300" w:lineRule="auto" w:before="0" w:after="0"/>
        <w:ind w:firstLine="480"/>
        <w:jc w:val="both"/>
      </w:pPr>
      <w:r>
        <w:rPr>
          <w:rFonts w:ascii="Times New Roman" w:hAnsi="Times New Roman" w:eastAsia="方正仿宋_GBK"/>
          <w:b w:val="0"/>
          <w:sz w:val="24"/>
        </w:rPr>
        <w:t xml:space="preserve">将主变配置、储能柜数、联络项目数与站间转接量共同纳入规划期寻优。每年均校核正常运行的正向供电、反向输送以及主变N-1后的容量需求。转出与转入负荷保持区县总量守恒，转出负荷后的原站反向压力同步校核；设备容量和在役项目逐年衔接，并满足各方案的容载比控制范围。</w:t>
      </w:r>
    </w:p>
    <w:p>
      <w:pPr>
        <w:pStyle w:val="2"/>
        <w:widowControl/>
        <w:spacing w:line="300" w:lineRule="auto" w:before="0" w:after="0"/>
        <w:ind w:firstLine="480"/>
        <w:jc w:val="both"/>
      </w:pPr>
      <w:r>
        <w:rPr>
          <w:rFonts w:ascii="Times New Roman" w:hAnsi="Times New Roman" w:eastAsia="方正仿宋_GBK"/>
          <w:b w:val="0"/>
          <w:sz w:val="24"/>
        </w:rPr>
        <w:t xml:space="preserve">对满足上述约束的配置，按第5.3.2节计算主变、储能与新建联络的评价期费用现值，将两地区的刚性和弹性方案一并求解，以费用最小为主要目标确定规划期建设组合。主变新增容量、储能峰段支撑和站间负荷转接可以相互补充，其配置与建设时点由共同的技术约束和费用比较确定。</w:t>
      </w:r>
    </w:p>
    <w:p>
      <w:pPr>
        <w:pStyle w:val="2"/>
        <w:widowControl/>
        <w:spacing w:line="300" w:lineRule="auto" w:before="0" w:after="0"/>
        <w:ind w:firstLine="480"/>
        <w:jc w:val="both"/>
      </w:pPr>
      <w:r>
        <w:rPr>
          <w:rFonts w:ascii="Times New Roman" w:hAnsi="Times New Roman" w:eastAsia="方正仿宋_GBK"/>
          <w:b w:val="0"/>
          <w:sz w:val="24"/>
        </w:rPr>
        <w:t xml:space="preserve">设备配置采用混合整数线性规划求解：主变按允许规格选取，储能和联络按整数工程数量计取，站间转接功率连续取值。年度容载比由主变总容量与该年网供最大负荷计算，设备规格决定可行容量的离散变化。</w:t>
      </w:r>
    </w:p>
    <w:p>
      <w:pPr>
        <w:pStyle w:val="2"/>
        <w:widowControl/>
        <w:spacing w:line="300" w:lineRule="auto" w:before="0" w:after="0"/>
        <w:ind w:firstLine="480"/>
        <w:jc w:val="both"/>
      </w:pPr>
      <w:r>
        <w:rPr>
          <w:rFonts w:ascii="Times New Roman" w:hAnsi="Times New Roman" w:eastAsia="方正仿宋_GBK"/>
          <w:b w:val="0"/>
          <w:sz w:val="24"/>
        </w:rPr>
        <w:t xml:space="preserve">以费用最小为主要目标取得方案后，在费用预算内优先保留较多弹性容量储备，再在选定设备布局下减少连续负荷转接。费用相近时可存在不同设备布局，报告列示所选代表方案，其容载比不必是唯一经济取值。按年度汇总主变在役容量、新增储能、联络建设及负荷转接量，计算相应容载比和评价期费用，再比较刚性与弹性方案，形成分区县的规划建议。</w:t>
      </w:r>
    </w:p>
    <w:p>
      <w:bookmarkStart w:id="1579" w:name="h579"/>
      <w:pPr>
        <w:pStyle w:val="4"/>
        <w:keepNext/>
        <w:numPr>
          <w:numId w:val="0"/>
        </w:numPr>
        <w:spacing w:line="360" w:lineRule="auto" w:before="160" w:after="120"/>
        <w:ind w:firstLine="0"/>
      </w:pPr>
      <w:bookmarkStart w:id="187" w:name="寻优结果"/>
      <w:r>
        <w:rPr>
          <w:rFonts w:ascii="Times New Roman" w:hAnsi="Times New Roman" w:eastAsia="方正仿宋_GBK"/>
          <w:b/>
          <w:sz w:val="32"/>
        </w:rPr>
        <w:t xml:space="preserve">5.4 寻优结果</w:t>
      </w:r>
      <w:bookmarkEnd w:id="187"/>
      <w:bookmarkEnd w:id="1579"/>
    </w:p>
    <w:p>
      <w:pPr>
        <w:pStyle w:val="5"/>
        <w:keepNext/>
        <w:numPr>
          <w:numId w:val="0"/>
        </w:numPr>
        <w:spacing w:line="360" w:lineRule="auto" w:before="160" w:after="120"/>
        <w:ind w:firstLine="0"/>
      </w:pPr>
      <w:bookmarkStart w:id="188" w:name="邳州逐年方案"/>
      <w:r>
        <w:rPr>
          <w:rFonts w:ascii="Times New Roman" w:hAnsi="Times New Roman" w:eastAsia="方正仿宋_GBK"/>
          <w:b/>
          <w:sz w:val="26"/>
        </w:rPr>
        <w:t xml:space="preserve">5.4.1 邳州逐年方案</w:t>
      </w:r>
      <w:bookmarkEnd w:id="188"/>
    </w:p>
    <w:p>
      <w:pPr>
        <w:pStyle w:val="FirstParagraph"/>
        <w:widowControl/>
        <w:spacing w:line="300" w:lineRule="auto" w:before="0" w:after="0"/>
        <w:ind w:firstLine="480"/>
        <w:jc w:val="both"/>
      </w:pPr>
      <w:r>
        <w:rPr>
          <w:rFonts w:ascii="Times New Roman" w:hAnsi="Times New Roman" w:eastAsia="方正仿宋_GBK"/>
          <w:b w:val="0"/>
          <w:sz w:val="24"/>
        </w:rPr>
        <w:t xml:space="preserve">邳州采用20站结构，初始转供率为28.29%，后续负荷按年最大净负荷平均增长率8.07%推演。增容、储能与联络在同一约束条件下选取，年度表分别列出主变在役容量、当年采购容量、新增储能和转接量。</w:t>
      </w:r>
    </w:p>
    <w:p>
      <w:pPr>
        <w:pStyle w:val="2"/>
        <w:widowControl/>
        <w:spacing w:line="300" w:lineRule="auto" w:before="0" w:after="0"/>
        <w:ind w:firstLine="480"/>
        <w:jc w:val="both"/>
      </w:pPr>
      <w:r>
        <w:rPr>
          <w:rFonts w:ascii="Times New Roman" w:hAnsi="Times New Roman" w:eastAsia="方正仿宋_GBK"/>
          <w:b w:val="0"/>
          <w:sz w:val="24"/>
        </w:rPr>
        <w:t xml:space="preserve">邳州刚性方案第1—4年容载比分别为2.00、1.99、1.99、1.97，弹性方案分别为2.41、2.35、2.26、2.20。刚性新增措施评价期费用现值为86143.38万元，弹性为29227.32万元。各年主变容量、储能和联络建设列于下表。</w:t>
      </w:r>
    </w:p>
    <w:p>
      <w:pPr>
        <w:pStyle w:val="2"/>
        <w:keepNext/>
        <w:spacing w:line="300" w:lineRule="auto" w:before="120" w:after="80"/>
        <w:ind w:firstLine="0"/>
        <w:jc w:val="center"/>
      </w:pPr>
      <w:r>
        <w:rPr>
          <w:rFonts w:ascii="Times New Roman" w:hAnsi="Times New Roman" w:eastAsia="宋体"/>
          <w:b w:val="0"/>
          <w:sz w:val="21"/>
        </w:rPr>
        <w:t xml:space="preserve">表5-4 邳州刚性方案逐年措施及容载比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253.00/543.95</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135.49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149.30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1962.50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0.10/0.21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197.61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r>
    </w:tbl>
    <w:p>
      <w:pPr>
        <w:pStyle w:val="2"/>
        <w:keepNext/>
        <w:spacing w:line="300" w:lineRule="auto" w:before="120" w:after="80"/>
        <w:ind w:firstLine="0"/>
        <w:jc w:val="center"/>
      </w:pPr>
      <w:r>
        <w:rPr>
          <w:rFonts w:ascii="Times New Roman" w:hAnsi="Times New Roman" w:eastAsia="宋体"/>
          <w:b w:val="0"/>
          <w:sz w:val="21"/>
        </w:rPr>
        <w:t xml:space="preserve">表5-5 邳州弹性方案逐年措施及容载比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441.50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576.00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130.12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2.41</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2009.50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0.20/0.43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142.04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2089.50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160.12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2198.00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3.10/6.67</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r>
    </w:tbl>
    <w:p>
      <w:pPr>
        <w:pStyle w:val="5"/>
        <w:keepNext/>
        <w:numPr>
          <w:numId w:val="0"/>
        </w:numPr>
        <w:spacing w:line="360" w:lineRule="auto" w:before="160" w:after="120"/>
        <w:ind w:firstLine="0"/>
      </w:pPr>
      <w:bookmarkStart w:id="189" w:name="市区逐年方案"/>
      <w:r>
        <w:rPr>
          <w:rFonts w:ascii="Times New Roman" w:hAnsi="Times New Roman" w:eastAsia="方正仿宋_GBK"/>
          <w:b/>
          <w:sz w:val="26"/>
        </w:rPr>
        <w:t xml:space="preserve">5.4.2 市区逐年方案</w:t>
      </w:r>
      <w:bookmarkEnd w:id="189"/>
    </w:p>
    <w:p>
      <w:pPr>
        <w:pStyle w:val="FirstParagraph"/>
        <w:widowControl/>
        <w:spacing w:line="300" w:lineRule="auto" w:before="0" w:after="0"/>
        <w:ind w:firstLine="480"/>
        <w:jc w:val="both"/>
      </w:pPr>
      <w:r>
        <w:rPr>
          <w:rFonts w:ascii="Times New Roman" w:hAnsi="Times New Roman" w:eastAsia="方正仿宋_GBK"/>
          <w:b w:val="0"/>
          <w:sz w:val="24"/>
        </w:rPr>
        <w:t xml:space="preserve">市区采用29站结构，供电区域统一按A类规划，初始转供率假定为50%，后续负荷按年最大净负荷平均增长率1.80%推演。主变N-1工况校核全部转接后负荷，新增联络可使站级能力提高至研究上限。</w:t>
      </w:r>
    </w:p>
    <w:p>
      <w:pPr>
        <w:pStyle w:val="2"/>
        <w:widowControl/>
        <w:spacing w:line="300" w:lineRule="auto" w:before="0" w:after="0"/>
        <w:ind w:firstLine="480"/>
        <w:jc w:val="both"/>
      </w:pPr>
      <w:r>
        <w:rPr>
          <w:rFonts w:ascii="Times New Roman" w:hAnsi="Times New Roman" w:eastAsia="方正仿宋_GBK"/>
          <w:b w:val="0"/>
          <w:sz w:val="24"/>
        </w:rPr>
        <w:t xml:space="preserve">市区刚性方案第1—4年容载比分别为1.99、1.98、1.99、1.95，弹性方案分别为2.26、2.26、2.22、2.20。刚性新增措施评价期费用现值为73047.96万元，弹性为18432.29万元。各年主变容量、储能和联络建设列于下表。</w:t>
      </w:r>
    </w:p>
    <w:p>
      <w:pPr>
        <w:pStyle w:val="2"/>
        <w:keepNext/>
        <w:spacing w:line="300" w:lineRule="auto" w:before="120" w:after="80"/>
        <w:ind w:firstLine="0"/>
        <w:jc w:val="center"/>
      </w:pPr>
      <w:r>
        <w:rPr>
          <w:rFonts w:ascii="Times New Roman" w:hAnsi="Times New Roman" w:eastAsia="宋体"/>
          <w:b w:val="0"/>
          <w:sz w:val="21"/>
        </w:rPr>
        <w:t xml:space="preserve">表5-6 市区刚性方案逐年措施及容载比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2498.00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250.00/537.50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r>
    </w:tbl>
    <w:p>
      <w:pPr>
        <w:pStyle w:val="2"/>
        <w:keepNext/>
        <w:spacing w:line="300" w:lineRule="auto" w:before="120" w:after="80"/>
        <w:ind w:firstLine="0"/>
        <w:jc w:val="center"/>
      </w:pPr>
      <w:r>
        <w:rPr>
          <w:rFonts w:ascii="Times New Roman" w:hAnsi="Times New Roman" w:eastAsia="宋体"/>
          <w:b w:val="0"/>
          <w:sz w:val="21"/>
        </w:rPr>
        <w:t xml:space="preserve">表5-7 市区弹性方案逐年措施及容载比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规划年序</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主变净增容量/MVA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主变新购容量/MVA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新增储能额定功率/能量（MW/MWh）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0.20/0.43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364.43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396.75</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2.70/5.80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r>
    </w:tbl>
    <w:p>
      <w:pPr>
        <w:pStyle w:val="2"/>
        <w:keepNext/>
        <w:spacing w:line="240" w:lineRule="auto" w:before="120" w:after="0"/>
        <w:ind w:firstLine="0"/>
        <w:jc w:val="center"/>
      </w:pPr>
      <w:r>
        <w:drawing>
          <wp:inline>
            <wp:extent cx="5120640" cy="2901959"/>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0"/>
                    <a:stretch>
                      <a:fillRect/>
                    </a:stretch>
                  </pic:blipFill>
                  <pic:spPr bwMode="auto">
                    <a:xfrm>
                      <a:off x="0" y="0"/>
                      <a:ext cx="5120640" cy="2901959"/>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图5-1 邳州和市区逐年容载比</w:t>
      </w:r>
    </w:p>
    <w:p>
      <w:pPr>
        <w:pStyle w:val="5"/>
        <w:keepNext/>
        <w:numPr>
          <w:numId w:val="0"/>
        </w:numPr>
        <w:spacing w:line="360" w:lineRule="auto" w:before="160" w:after="120"/>
        <w:ind w:firstLine="0"/>
      </w:pPr>
      <w:bookmarkStart w:id="191" w:name="刚性与弹性方案的对比"/>
      <w:r>
        <w:rPr>
          <w:rFonts w:ascii="Times New Roman" w:hAnsi="Times New Roman" w:eastAsia="方正仿宋_GBK"/>
          <w:b/>
          <w:sz w:val="26"/>
        </w:rPr>
        <w:t xml:space="preserve">5.4.3 刚性与弹性方案的对比</w:t>
      </w:r>
      <w:bookmarkEnd w:id="191"/>
    </w:p>
    <w:p>
      <w:pPr>
        <w:pStyle w:val="FirstParagraph"/>
        <w:widowControl/>
        <w:spacing w:line="300" w:lineRule="auto" w:before="0" w:after="0"/>
        <w:ind w:firstLine="480"/>
        <w:jc w:val="both"/>
      </w:pPr>
      <w:r>
        <w:rPr>
          <w:rFonts w:ascii="Times New Roman" w:hAnsi="Times New Roman" w:eastAsia="方正仿宋_GBK"/>
          <w:b w:val="0"/>
          <w:sz w:val="24"/>
        </w:rPr>
        <w:t xml:space="preserve">费用比较按相同起点、价格和评价期进行。主变采购容量反映整台购置，主变净增容量反映在役规模变化，储能MW/MWh分别反映功率与能量配置。转接功率与联络项目数量分别用于说明负荷调整和新增建设。</w:t>
      </w:r>
    </w:p>
    <w:p>
      <w:pPr>
        <w:pStyle w:val="2"/>
        <w:widowControl/>
        <w:spacing w:line="300" w:lineRule="auto" w:before="0" w:after="0"/>
        <w:ind w:firstLine="480"/>
        <w:jc w:val="both"/>
      </w:pPr>
      <w:r>
        <w:rPr>
          <w:rFonts w:ascii="Times New Roman" w:hAnsi="Times New Roman" w:eastAsia="方正仿宋_GBK"/>
          <w:b w:val="0"/>
          <w:sz w:val="24"/>
        </w:rPr>
        <w:t xml:space="preserve">规划第4年，两地区刚性方案容载比为1.95～1.97，弹性方案平均约为2.20。逐年配置显示，弹性方案在规划初期形成较多容量储备，随着负荷增长，容载比逐步下降。</w:t>
      </w:r>
    </w:p>
    <w:p>
      <w:pPr>
        <w:pStyle w:val="2"/>
        <w:keepNext/>
        <w:spacing w:line="300" w:lineRule="auto" w:before="120" w:after="80"/>
        <w:ind w:firstLine="0"/>
        <w:jc w:val="center"/>
      </w:pPr>
      <w:r>
        <w:rPr>
          <w:rFonts w:ascii="Times New Roman" w:hAnsi="Times New Roman" w:eastAsia="宋体"/>
          <w:b w:val="0"/>
          <w:sz w:val="21"/>
        </w:rPr>
        <w:t xml:space="preserve">表5-8 刚性与弹性容载比逐年对照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规划年序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刚性容载比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弹性容载比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差值</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r>
    </w:tbl>
    <w:p>
      <w:pPr>
        <w:pStyle w:val="2"/>
        <w:widowControl/>
        <w:spacing w:line="300" w:lineRule="auto" w:before="0" w:after="0"/>
        <w:ind w:firstLine="480"/>
        <w:jc w:val="both"/>
      </w:pPr>
      <w:r>
        <w:rPr>
          <w:rFonts w:ascii="Times New Roman" w:hAnsi="Times New Roman" w:eastAsia="方正仿宋_GBK"/>
          <w:b w:val="0"/>
          <w:sz w:val="24"/>
        </w:rPr>
        <w:t xml:space="preserve">两地区刚性方案新增措施评价期费用现值合计159191.34万元，弹性合计47659.61万元，弹性费用降低70.06%。本评价期内三类设备均无寿命更新支出，费用差来自新增投资、固定维护费用及投运时点。</w:t>
      </w:r>
    </w:p>
    <w:p>
      <w:pPr>
        <w:pStyle w:val="2"/>
        <w:keepNext/>
        <w:spacing w:line="300" w:lineRule="auto" w:before="120" w:after="80"/>
        <w:ind w:firstLine="0"/>
        <w:jc w:val="center"/>
      </w:pPr>
      <w:r>
        <w:rPr>
          <w:rFonts w:ascii="Times New Roman" w:hAnsi="Times New Roman" w:eastAsia="宋体"/>
          <w:b w:val="0"/>
          <w:sz w:val="21"/>
        </w:rPr>
        <w:t xml:space="preserve">表5-9 刚性与弹性方案评价期费用现值比较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差额/万元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弹性费用降幅</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86143.38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29227.32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56916.07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66.07%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73047.96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18432.29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54615.66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74.77%</w:t>
            </w:r>
          </w:p>
        </w:tc>
      </w:tr>
    </w:tbl>
    <w:p>
      <w:pPr>
        <w:pStyle w:val="2"/>
        <w:keepNext/>
        <w:spacing w:line="300" w:lineRule="auto" w:before="120" w:after="80"/>
        <w:ind w:firstLine="0"/>
        <w:jc w:val="center"/>
      </w:pPr>
      <w:r>
        <w:rPr>
          <w:rFonts w:ascii="Times New Roman" w:hAnsi="Times New Roman" w:eastAsia="宋体"/>
          <w:b w:val="0"/>
          <w:sz w:val="21"/>
        </w:rPr>
        <w:t xml:space="preserve">表5-10 评价期费用按工程类型分解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17186.85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67067.95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1888.59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86143.38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26650.57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1853.67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29227.32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6796.75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66251.21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73047.96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16069.52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639.55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1723.22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18432.29</w:t>
            </w:r>
          </w:p>
        </w:tc>
      </w:tr>
    </w:tbl>
    <w:p>
      <w:pPr>
        <w:pStyle w:val="2"/>
        <w:keepNext/>
        <w:spacing w:line="300" w:lineRule="auto" w:before="120" w:after="80"/>
        <w:ind w:firstLine="0"/>
        <w:jc w:val="center"/>
      </w:pPr>
      <w:r>
        <w:rPr>
          <w:rFonts w:ascii="Times New Roman" w:hAnsi="Times New Roman" w:eastAsia="宋体"/>
          <w:b w:val="0"/>
          <w:sz w:val="21"/>
        </w:rPr>
        <w:t xml:space="preserve">表5-11 全期新购主变及第4年在役状态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289"/>
        <w:gridCol w:w="1289"/>
        <w:gridCol w:w="1868"/>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主变新购容量/MVA</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扩建主变/项</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新增联络/项</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682.00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253.10/544.16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960.50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3.30/7.09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289.00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250.00/537.50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2.90/6.23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bl>
    <w:p>
      <w:pPr>
        <w:pStyle w:val="2"/>
        <w:keepNext/>
        <w:spacing w:line="300" w:lineRule="auto" w:before="120" w:after="80"/>
        <w:ind w:firstLine="0"/>
        <w:jc w:val="center"/>
      </w:pPr>
      <w:r>
        <w:rPr>
          <w:rFonts w:ascii="Times New Roman" w:hAnsi="Times New Roman" w:eastAsia="宋体"/>
          <w:b w:val="0"/>
          <w:sz w:val="21"/>
        </w:rPr>
        <w:t xml:space="preserve">表5-12 刚性与弹性方案的技术经济比较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比较内容</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刚性方案</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弹性方案</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仿真起点</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同区县容载比2.00</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同区县容载比2.00</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容载比范围</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不超过2.00</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技术条件</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正常、反向、全负荷主变N-1、持续在役及负荷守恒</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与刚性相同</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增容、储能及联络</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三类措施共同寻优</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三类措施共同寻优</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第4年两地区在役储能</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503.10 MW/1081.66 MWh</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6.20 MW/13.33 MWh</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新增措施费用现值</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159191.34万元</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47659.61万元</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规划比较</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作为比较基准</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费用降低70.06%，优先比选</w:t>
            </w:r>
          </w:p>
        </w:tc>
      </w:tr>
    </w:tbl>
    <w:p>
      <w:pPr>
        <w:pStyle w:val="2"/>
        <w:widowControl/>
        <w:spacing w:line="300" w:lineRule="auto" w:before="0" w:after="0"/>
        <w:ind w:firstLine="480"/>
        <w:jc w:val="both"/>
      </w:pPr>
      <w:r>
        <w:rPr>
          <w:rFonts w:ascii="Times New Roman" w:hAnsi="Times New Roman" w:eastAsia="方正仿宋_GBK"/>
          <w:b w:val="0"/>
          <w:sz w:val="24"/>
        </w:rPr>
        <w:t xml:space="preserve">弹性方案增加主变容量后，主变N-1工况下由储能承担的供电缺口减小。规划第4年，两地区储能总功率由刚性方案的503.10 MW降至6.20 MW，额定能量由1081.66 MWh降至13.33 MWh。按第四章现金流方法汇总新增投资和固定运维费用，评价期费用现值由159191.34万元降至47659.61万元，降低70.06%。该案例的费用优势主要来自增加主变容量后减少的储能配置。</w:t>
      </w:r>
    </w:p>
    <w:p>
      <w:pPr>
        <w:pStyle w:val="2"/>
        <w:keepNext/>
        <w:spacing w:line="240" w:lineRule="auto" w:before="120" w:after="0"/>
        <w:ind w:firstLine="0"/>
        <w:jc w:val="center"/>
      </w:pPr>
      <w:r>
        <w:drawing>
          <wp:inline>
            <wp:extent cx="5120640" cy="2854893"/>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2"/>
                    <a:stretch>
                      <a:fillRect/>
                    </a:stretch>
                  </pic:blipFill>
                  <pic:spPr bwMode="auto">
                    <a:xfrm>
                      <a:off x="0" y="0"/>
                      <a:ext cx="5120640" cy="2854893"/>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图5-2 各规划方案评价期费用构成</w:t>
      </w:r>
    </w:p>
    <w:p>
      <w:pPr>
        <w:pStyle w:val="2"/>
        <w:keepNext/>
        <w:spacing w:line="240" w:lineRule="auto" w:before="120" w:after="0"/>
        <w:ind w:firstLine="0"/>
        <w:jc w:val="center"/>
      </w:pPr>
      <w:r>
        <w:drawing>
          <wp:inline>
            <wp:extent cx="5120640" cy="273167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3"/>
                    <a:stretch>
                      <a:fillRect/>
                    </a:stretch>
                  </pic:blipFill>
                  <pic:spPr bwMode="auto">
                    <a:xfrm>
                      <a:off x="0" y="0"/>
                      <a:ext cx="5120640" cy="2731670"/>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图5-3 主变采购与储能配置对照</w:t>
      </w:r>
    </w:p>
    <w:p>
      <w:pPr>
        <w:pStyle w:val="2"/>
        <w:widowControl/>
        <w:spacing w:line="300" w:lineRule="auto"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5"/>
        <w:keepNext/>
        <w:numPr>
          <w:numId w:val="0"/>
        </w:numPr>
        <w:spacing w:line="360" w:lineRule="auto" w:before="160" w:after="120"/>
        <w:ind w:firstLine="0"/>
      </w:pPr>
      <w:bookmarkStart w:id="194" w:name="邳州逐站规划方案"/>
      <w:r>
        <w:rPr>
          <w:rFonts w:ascii="Times New Roman" w:hAnsi="Times New Roman" w:eastAsia="方正仿宋_GBK"/>
          <w:b/>
          <w:sz w:val="26"/>
        </w:rPr>
        <w:t xml:space="preserve">5.4.4 邳州逐站规划方案</w:t>
      </w:r>
      <w:bookmarkEnd w:id="194"/>
    </w:p>
    <w:p>
      <w:pPr>
        <w:pStyle w:val="FirstParagraph"/>
        <w:widowControl/>
        <w:spacing w:line="300" w:lineRule="auto" w:before="0" w:after="0"/>
        <w:ind w:firstLine="480"/>
        <w:jc w:val="both"/>
      </w:pPr>
      <w:r>
        <w:rPr>
          <w:rFonts w:ascii="Times New Roman" w:hAnsi="Times New Roman" w:eastAsia="方正仿宋_GBK"/>
          <w:b w:val="0"/>
          <w:sz w:val="24"/>
        </w:rPr>
        <w:t xml:space="preserve">邳州各站同时考虑正向供电与反向净负荷。以下按站列示设备结构、负荷转接及储能规模。逐站结果反映主变容量、储能与负荷转接的共同作用。</w:t>
      </w:r>
    </w:p>
    <w:p>
      <w:pPr>
        <w:pStyle w:val="7"/>
        <w:keepNext/>
        <w:numPr>
          <w:numId w:val="0"/>
        </w:numPr>
        <w:spacing w:line="360" w:lineRule="auto" w:before="160" w:after="120"/>
        <w:ind w:firstLine="0"/>
      </w:pPr>
      <w:bookmarkStart w:id="195" w:name="bdz-00005站规划分析"/>
      <w:r>
        <w:rPr>
          <w:rFonts w:ascii="Times New Roman" w:hAnsi="Times New Roman" w:eastAsia="方正仿宋_GBK"/>
          <w:b/>
          <w:sz w:val="24"/>
        </w:rPr>
        <w:t xml:space="preserve">BDZ-00005站规划分析</w:t>
      </w:r>
      <w:bookmarkEnd w:id="19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MVA，规划第4年转接前最大正向、反向净负荷分别为38.85 MW和19.85 MW，正向95%峰值持续时间为2.00 h。弹性方案第4年新增储能0.50 MW/1.07 MWh。</w:t>
      </w:r>
    </w:p>
    <w:p>
      <w:pPr>
        <w:pStyle w:val="2"/>
        <w:widowControl/>
        <w:spacing w:line="300" w:lineRule="auto" w:before="0" w:after="0"/>
        <w:ind w:firstLine="480"/>
        <w:jc w:val="both"/>
      </w:pPr>
      <w:r>
        <w:rPr>
          <w:rFonts w:ascii="Times New Roman" w:hAnsi="Times New Roman" w:eastAsia="方正仿宋_GBK"/>
          <w:b w:val="0"/>
          <w:sz w:val="24"/>
        </w:rPr>
        <w:t xml:space="preserve">第4年转出19.35 MW、承接0.00 MW后，正向校核负荷为19.50 MW。负荷转出降低正向需求，同时将反向校核上界提高至39.21 MW，配置按两个方向共同确定。刚性方案第4年主变总容量为70.00 MVA，储能为38.90 MW；弹性方案相应为70.00 MVA和0.50 MW。弹性方案储能功率减少38.40 MW。</w:t>
      </w:r>
    </w:p>
    <w:p>
      <w:pPr>
        <w:pStyle w:val="2"/>
        <w:keepNext/>
        <w:spacing w:line="300" w:lineRule="auto" w:before="120" w:after="80"/>
        <w:ind w:firstLine="0"/>
        <w:jc w:val="center"/>
      </w:pPr>
      <w:r>
        <w:rPr>
          <w:rFonts w:ascii="Times New Roman" w:hAnsi="Times New Roman" w:eastAsia="宋体"/>
          <w:b w:val="0"/>
          <w:sz w:val="21"/>
        </w:rPr>
        <w:t xml:space="preserve">表5-13 BDZ-00005站第4年配置与负荷转接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38.90/83.64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0.50/1.07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从建设时序看，第1—4年主变总容量依次为70.00、70.00、70.00、70.00 MVA；转接后正向负荷由第1年的19.00 MW变为第4年的19.50 MW。四年均以转出负荷为主，第1年和第4年分别转出11.78 MW和19.35 MW，邻站承接是本站供电安排的重要组成。第4年退出最大一台主变后，剩余主变容量为20.00 MVA，按功率因数折算并计入相应持续时间的储能放电功率，正向容量余量为0.00 MW。</w:t>
      </w:r>
    </w:p>
    <w:p>
      <w:pPr>
        <w:pStyle w:val="7"/>
        <w:keepNext/>
        <w:numPr>
          <w:numId w:val="0"/>
        </w:numPr>
        <w:spacing w:line="360" w:lineRule="auto" w:before="160" w:after="120"/>
        <w:ind w:firstLine="0"/>
      </w:pPr>
      <w:bookmarkStart w:id="196" w:name="bdz-00016站规划分析"/>
      <w:r>
        <w:rPr>
          <w:rFonts w:ascii="Times New Roman" w:hAnsi="Times New Roman" w:eastAsia="方正仿宋_GBK"/>
          <w:b/>
          <w:sz w:val="24"/>
        </w:rPr>
        <w:t xml:space="preserve">BDZ-00016站规划分析</w:t>
      </w:r>
      <w:bookmarkEnd w:id="19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MVA，规划第4年转接前最大正向、反向净负荷分别为72.47 MW和32.99 MW，正向95%峰值持续时间为3.00 h。弹性方案第2年扩建50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第4年承接13.03 MW，正向校核负荷增至85.50 MW。该站利用相应主变容量承担片区内部负荷，接收能力按承接后的负荷进行正常运行及主变N-1校核。刚性方案第4年主变总容量为153.00 MVA，储能为0.00 MW；弹性方案相应为153.00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表5-14 BDZ-00016站第4年配置与负荷转接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从建设时序看，第1—4年主变总容量依次为103.00、153.00、153.00、153.00 MVA；转接后正向负荷由第1年的38.00 MW变为第4年的85.50 MW。该站在规划期内同时承担过负荷转出和承接任务，站间安排随各年容量需求调整。第4年退出最大一台主变后，剩余主变容量为90.00 MVA，按功率因数折算并计入相应持续时间的储能放电功率，正向容量余量为0.00 MW。</w:t>
      </w:r>
    </w:p>
    <w:p>
      <w:pPr>
        <w:pStyle w:val="7"/>
        <w:keepNext/>
        <w:numPr>
          <w:numId w:val="0"/>
        </w:numPr>
        <w:spacing w:line="360" w:lineRule="auto" w:before="160" w:after="120"/>
        <w:ind w:firstLine="0"/>
      </w:pPr>
      <w:bookmarkStart w:id="197" w:name="bdz-00021站规划分析"/>
      <w:r>
        <w:rPr>
          <w:rFonts w:ascii="Times New Roman" w:hAnsi="Times New Roman" w:eastAsia="方正仿宋_GBK"/>
          <w:b/>
          <w:sz w:val="24"/>
        </w:rPr>
        <w:t xml:space="preserve">BDZ-00021站规划分析</w:t>
      </w:r>
      <w:bookmarkEnd w:id="19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MVA，规划第4年转接前最大正向、反向净负荷分别为31.63 MW和25.40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第4年承接19.00 MW，正向校核负荷增至50.63 MW。该站利用相应主变容量承担片区内部负荷，接收能力按承接后的负荷进行正常运行及主变N-1校核。刚性方案第4年主变总容量为70.00 MVA，储能为0.00 MW；弹性方案相应为120.00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表5-15 BDZ-00021站第4年配置与负荷转接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50.63</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从建设时序看，第1—4年主变总容量依次为120.00、120.00、120.00、120.00 MVA；转接后正向负荷由第1年的66.50 MW变为第4年的50.63 MW。四年均以承接负荷为主，第1年和第4年净承接分别为41.45 MW和19.00 MW，主变配置同时服务于本站及片区转入负荷。第4年退出最大一台主变后，剩余主变容量为70.00 MVA，按功率因数折算并计入相应持续时间的储能放电功率，正向容量余量为15.87 MW。</w:t>
      </w:r>
    </w:p>
    <w:p>
      <w:pPr>
        <w:pStyle w:val="7"/>
        <w:keepNext/>
        <w:numPr>
          <w:numId w:val="0"/>
        </w:numPr>
        <w:spacing w:line="360" w:lineRule="auto" w:before="160" w:after="120"/>
        <w:ind w:firstLine="0"/>
      </w:pPr>
      <w:bookmarkStart w:id="198" w:name="bdz-00022站规划分析"/>
      <w:r>
        <w:rPr>
          <w:rFonts w:ascii="Times New Roman" w:hAnsi="Times New Roman" w:eastAsia="方正仿宋_GBK"/>
          <w:b/>
          <w:sz w:val="24"/>
        </w:rPr>
        <w:t xml:space="preserve">BDZ-00022站规划分析</w:t>
      </w:r>
      <w:bookmarkEnd w:id="19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MVA，规划第4年转接前最大正向、反向净负荷分别为31.93 MW和49.30 MW，正向95%峰值持续时间为2.00 h。弹性方案第2年实施主变增容，新购容量31.50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第4年转出2.01 MW、承接0.00 MW后，正向校核负荷为29.92 MW。负荷转出降低正向需求，同时将反向校核上界提高至51.30 MW，配置按两个方向共同确定。刚性方案第4年主变总容量为63.00 MVA，储能为49.30 MW；弹性方案相应为63.00 MVA和0.00 MW。弹性方案储能功率减少49.30 MW。</w:t>
      </w:r>
    </w:p>
    <w:p>
      <w:pPr>
        <w:pStyle w:val="2"/>
        <w:keepNext/>
        <w:spacing w:line="300" w:lineRule="auto" w:before="120" w:after="80"/>
        <w:ind w:firstLine="0"/>
        <w:jc w:val="center"/>
      </w:pPr>
      <w:r>
        <w:rPr>
          <w:rFonts w:ascii="Times New Roman" w:hAnsi="Times New Roman" w:eastAsia="宋体"/>
          <w:b w:val="0"/>
          <w:sz w:val="21"/>
        </w:rPr>
        <w:t xml:space="preserve">表5-16 BDZ-00022站第4年配置与负荷转接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31.50+31.50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49.30/106.00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69.02</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31.50+31.50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从建设时序看，第1—4年主变总容量依次为51.50、63.00、63.00、63.00 MVA；转接后正向负荷由第1年的19.00 MW变为第4年的29.92 MW。该站在规划期内同时承担过负荷转出和承接任务，站间安排随各年容量需求调整。第4年退出最大一台主变后，剩余主变容量为31.50 MVA，按功率因数折算并计入相应持续时间的储能放电功率，正向容量余量为0.00 MW。</w:t>
      </w:r>
    </w:p>
    <w:p>
      <w:pPr>
        <w:pStyle w:val="7"/>
        <w:keepNext/>
        <w:numPr>
          <w:numId w:val="0"/>
        </w:numPr>
        <w:spacing w:line="360" w:lineRule="auto" w:before="160" w:after="120"/>
        <w:ind w:firstLine="0"/>
      </w:pPr>
      <w:bookmarkStart w:id="199" w:name="bdz-00026站规划分析"/>
      <w:r>
        <w:rPr>
          <w:rFonts w:ascii="Times New Roman" w:hAnsi="Times New Roman" w:eastAsia="方正仿宋_GBK"/>
          <w:b/>
          <w:sz w:val="24"/>
        </w:rPr>
        <w:t xml:space="preserve">BDZ-00026站规划分析</w:t>
      </w:r>
      <w:bookmarkEnd w:id="19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MVA，规划第4年转接前最大正向、反向净负荷分别为96.09 MW和18.83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第4年转出20.09 MW、承接0.00 MW后，正向校核负荷为76.00 MW。负荷转出降低正向需求，同时将反向校核上界提高至38.92 MW，配置按两个方向共同确定。刚性方案第4年主变总容量为130.00 MVA，储能为0.10 MW；弹性方案相应为130.00 MVA和0.00 MW。弹性方案储能功率减少0.10 MW。</w:t>
      </w:r>
    </w:p>
    <w:p>
      <w:pPr>
        <w:pStyle w:val="2"/>
        <w:keepNext/>
        <w:spacing w:line="300" w:lineRule="auto" w:before="120" w:after="80"/>
        <w:ind w:firstLine="0"/>
        <w:jc w:val="center"/>
      </w:pPr>
      <w:r>
        <w:rPr>
          <w:rFonts w:ascii="Times New Roman" w:hAnsi="Times New Roman" w:eastAsia="宋体"/>
          <w:b w:val="0"/>
          <w:sz w:val="21"/>
        </w:rPr>
        <w:t xml:space="preserve">表5-17 BDZ-00026站第4年配置与负荷转接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0.10/0.21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76.07</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从建设时序看，第1—4年主变总容量依次为130.00、130.00、130.00、130.00 MVA；转接后正向负荷由第1年的76.00 MW变为第4年的76.00 MW。四年均以转出负荷为主，第1年和第4年分别转出0.12 MW和20.09 MW，邻站承接是本站供电安排的重要组成。第4年退出最大一台主变后，剩余主变容量为80.00 MVA，按功率因数折算并计入相应持续时间的储能放电功率，正向容量余量为0.00 MW。</w:t>
      </w:r>
    </w:p>
    <w:p>
      <w:pPr>
        <w:pStyle w:val="7"/>
        <w:keepNext/>
        <w:numPr>
          <w:numId w:val="0"/>
        </w:numPr>
        <w:spacing w:line="360" w:lineRule="auto" w:before="160" w:after="120"/>
        <w:ind w:firstLine="0"/>
      </w:pPr>
      <w:bookmarkStart w:id="200" w:name="bdz-00027站规划分析"/>
      <w:r>
        <w:rPr>
          <w:rFonts w:ascii="Times New Roman" w:hAnsi="Times New Roman" w:eastAsia="方正仿宋_GBK"/>
          <w:b/>
          <w:sz w:val="24"/>
        </w:rPr>
        <w:t xml:space="preserve">BDZ-00027站规划分析</w:t>
      </w:r>
      <w:bookmarkEnd w:id="20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MVA，规划第4年转接前最大正向、反向净负荷分别为62.12 MW和36.81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第4年承接4.38 MW，正向校核负荷增至66.50 MW。该站利用相应主变容量承担片区内部负荷，接收能力按承接后的负荷进行正常运行及主变N-1校核。刚性方案第4年主变总容量为70.00 MVA，储能为18.10 MW；弹性方案相应为120.00 MVA和0.00 MW。弹性方案储能功率减少18.10 MW。</w:t>
      </w:r>
    </w:p>
    <w:p>
      <w:pPr>
        <w:pStyle w:val="2"/>
        <w:keepNext/>
        <w:spacing w:line="300" w:lineRule="auto" w:before="120" w:after="80"/>
        <w:ind w:firstLine="0"/>
        <w:jc w:val="center"/>
      </w:pPr>
      <w:r>
        <w:rPr>
          <w:rFonts w:ascii="Times New Roman" w:hAnsi="Times New Roman" w:eastAsia="宋体"/>
          <w:b w:val="0"/>
          <w:sz w:val="21"/>
        </w:rPr>
        <w:t xml:space="preserve">表5-18 BDZ-00027站第4年配置与负荷转接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18.10/38.91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37.10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从建设时序看，第1—4年主变总容量依次为120.00、120.00、120.00、120.00 MVA；转接后正向负荷由第1年的57.52 MW变为第4年的66.50 MW。四年均以承接负荷为主，第1年和第4年净承接分别为8.31 MW和4.38 MW，主变配置同时服务于本站及片区转入负荷。第4年退出最大一台主变后，剩余主变容量为70.00 MVA，按功率因数折算并计入相应持续时间的储能放电功率，正向容量余量为0.00 MW。</w:t>
      </w:r>
    </w:p>
    <w:p>
      <w:pPr>
        <w:pStyle w:val="7"/>
        <w:keepNext/>
        <w:numPr>
          <w:numId w:val="0"/>
        </w:numPr>
        <w:spacing w:line="360" w:lineRule="auto" w:before="160" w:after="120"/>
        <w:ind w:firstLine="0"/>
      </w:pPr>
      <w:bookmarkStart w:id="201" w:name="bdz-00028站规划分析"/>
      <w:r>
        <w:rPr>
          <w:rFonts w:ascii="Times New Roman" w:hAnsi="Times New Roman" w:eastAsia="方正仿宋_GBK"/>
          <w:b/>
          <w:sz w:val="24"/>
        </w:rPr>
        <w:t xml:space="preserve">BDZ-00028站规划分析</w:t>
      </w:r>
      <w:bookmarkEnd w:id="20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MVA，规划第4年转接前最大正向、反向净负荷分别为108.09 MW和0.00 MW，正向95%峰值持续时间为3.00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第4年转出48.24 MW、承接0.00 MW后，正向校核负荷为59.85 MW。负荷转出降低正向需求，同时将反向校核上界提高至48.24 MW，配置按两个方向共同确定。刚性方案第4年主变总容量为143.00 MVA，储能为0.00 MW；弹性方案相应为143.00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表5-19 BDZ-00028站第4年配置与负荷转接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从建设时序看，第1—4年主变总容量依次为143.00、143.00、143.00、143.00 MVA；转接后正向负荷由第1年的59.85 MW变为第4年的59.85 MW。四年均以转出负荷为主，第1年和第4年分别转出25.78 MW和48.24 MW，邻站承接是本站供电安排的重要组成。第4年退出最大一台主变后，剩余主变容量为63.00 MVA，按功率因数折算并计入相应持续时间的储能放电功率，正向容量余量为0.00 MW。</w:t>
      </w:r>
    </w:p>
    <w:p>
      <w:pPr>
        <w:pStyle w:val="7"/>
        <w:keepNext/>
        <w:numPr>
          <w:numId w:val="0"/>
        </w:numPr>
        <w:spacing w:line="360" w:lineRule="auto" w:before="160" w:after="120"/>
        <w:ind w:firstLine="0"/>
      </w:pPr>
      <w:bookmarkStart w:id="202" w:name="bdz-00031站规划分析"/>
      <w:r>
        <w:rPr>
          <w:rFonts w:ascii="Times New Roman" w:hAnsi="Times New Roman" w:eastAsia="方正仿宋_GBK"/>
          <w:b/>
          <w:sz w:val="24"/>
        </w:rPr>
        <w:t xml:space="preserve">BDZ-00031站规划分析</w:t>
      </w:r>
      <w:bookmarkEnd w:id="20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MVA，规划第4年转接前最大正向、反向净负荷分别为41.63 MW和30.82 MW，正向95%峰值持续时间为3.00 h。弹性方案第4年扩建50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第4年承接26.29 MW，正向校核负荷增至67.93 MW。该站利用相应主变容量承担片区内部负荷，接收能力按承接后的负荷进行正常运行及主变N-1校核。刚性方案第4年主变总容量为71.50 MVA，储能为0.00 MW；弹性方案相应为121.50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表5-20 BDZ-00031站第4年配置与负荷转接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67.93</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从建设时序看，第1—4年主变总容量依次为71.50、71.50、71.50、121.50 MVA；转接后正向负荷由第1年的29.92 MW变为第4年的67.93 MW。该站在规划期内同时承担过负荷转出和承接任务，站间安排随各年容量需求调整。第4年退出最大一台主变后，剩余主变容量为71.50 MVA，按功率因数折算并计入相应持续时间的储能放电功率，正向容量余量为0.00 MW。</w:t>
      </w:r>
    </w:p>
    <w:p>
      <w:pPr>
        <w:pStyle w:val="7"/>
        <w:keepNext/>
        <w:numPr>
          <w:numId w:val="0"/>
        </w:numPr>
        <w:spacing w:line="360" w:lineRule="auto" w:before="160" w:after="120"/>
        <w:ind w:firstLine="0"/>
      </w:pPr>
      <w:bookmarkStart w:id="203" w:name="bdz-00037站规划分析"/>
      <w:r>
        <w:rPr>
          <w:rFonts w:ascii="Times New Roman" w:hAnsi="Times New Roman" w:eastAsia="方正仿宋_GBK"/>
          <w:b/>
          <w:sz w:val="24"/>
        </w:rPr>
        <w:t xml:space="preserve">BDZ-00037站规划分析</w:t>
      </w:r>
      <w:bookmarkEnd w:id="20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MVA，规划第4年转接前最大正向、反向净负荷分别为28.74 MW和28.03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第4年转出9.74 MW、承接0.00 MW后，正向校核负荷为19.00 MW。负荷转出降低正向需求，同时将反向校核上界提高至37.78 MW，配置按两个方向共同确定。刚性方案第4年主变总容量为100.00 MVA，储能为0.00 MW；弹性方案相应为70.00 MVA和0.00 MW。弹性方案本站主变总容量比刚性减少30.00 MVA；区域总容量提高并不要求每座站均增加容量，本站按所列转接后负荷及主变N-1条件校核。</w:t>
      </w:r>
    </w:p>
    <w:p>
      <w:pPr>
        <w:pStyle w:val="2"/>
        <w:keepNext/>
        <w:spacing w:line="300" w:lineRule="auto" w:before="120" w:after="80"/>
        <w:ind w:firstLine="0"/>
        <w:jc w:val="center"/>
      </w:pPr>
      <w:r>
        <w:rPr>
          <w:rFonts w:ascii="Times New Roman" w:hAnsi="Times New Roman" w:eastAsia="宋体"/>
          <w:b w:val="0"/>
          <w:sz w:val="21"/>
        </w:rPr>
        <w:t xml:space="preserve">表5-21 BDZ-00037站第4年配置与负荷转接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18.76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从建设时序看，第1—4年主变总容量依次为70.00、70.00、70.00、70.00 MVA；转接后正向负荷由第1年的19.00 MW变为第4年的19.00 MW。四年均以转出负荷为主，第1年和第4年分别转出3.77 MW和9.74 MW，邻站承接是本站供电安排的重要组成。第4年退出最大一台主变后，剩余主变容量为20.00 MVA，按功率因数折算并计入相应持续时间的储能放电功率，正向容量余量为0.00 MW。</w:t>
      </w:r>
    </w:p>
    <w:p>
      <w:pPr>
        <w:pStyle w:val="7"/>
        <w:keepNext/>
        <w:numPr>
          <w:numId w:val="0"/>
        </w:numPr>
        <w:spacing w:line="360" w:lineRule="auto" w:before="160" w:after="120"/>
        <w:ind w:firstLine="0"/>
      </w:pPr>
      <w:bookmarkStart w:id="204" w:name="bdz-00048站规划分析"/>
      <w:r>
        <w:rPr>
          <w:rFonts w:ascii="Times New Roman" w:hAnsi="Times New Roman" w:eastAsia="方正仿宋_GBK"/>
          <w:b/>
          <w:sz w:val="24"/>
        </w:rPr>
        <w:t xml:space="preserve">BDZ-00048站规划分析</w:t>
      </w:r>
      <w:bookmarkEnd w:id="20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该站基期主变配置为20.00+80.00 MVA，规划第4年转接前最大正向、反向净负荷分别为76.30 MW和4.76 MW，正向95%峰值持续时间为3.00 h。弹性方案第1年扩建50 MVA主变；第2年实施主变增容，新购容量63.00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第4年承接31.05 MW，正向校核负荷增至107.35 MW。该站利用相应主变容量承担片区内部负荷，接收能力按承接后的负荷进行正常运行及主变N-1校核。刚性方案第4年主变总容量为143.00 MVA，储能为0.00 MW；弹性方案相应为193.00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表5-22 BDZ-00048站第4年配置与负荷转接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31.05</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107.35</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从建设时序看，第1—4年主变总容量依次为150.00、193.00、193.00、193.00 MVA；转接后正向负荷由第1年的66.50 MW变为第4年的107.35 MW。四年均以承接负荷为主，第1年和第4年净承接分别为6.05 MW和31.05 MW，主变配置同时服务于本站及片区转入负荷。第4年退出最大一台主变后，剩余主变容量为113.00 MVA，按功率因数折算并计入相应持续时间的储能放电功率，正向容量余量为0.00 MW。</w:t>
      </w:r>
    </w:p>
    <w:p>
      <w:pPr>
        <w:pStyle w:val="7"/>
        <w:keepNext/>
        <w:numPr>
          <w:numId w:val="0"/>
        </w:numPr>
        <w:spacing w:line="360" w:lineRule="auto" w:before="160" w:after="120"/>
        <w:ind w:firstLine="0"/>
      </w:pPr>
      <w:bookmarkStart w:id="205" w:name="bdz-00095站规划分析"/>
      <w:r>
        <w:rPr>
          <w:rFonts w:ascii="Times New Roman" w:hAnsi="Times New Roman" w:eastAsia="方正仿宋_GBK"/>
          <w:b/>
          <w:sz w:val="24"/>
        </w:rPr>
        <w:t xml:space="preserve">BDZ-00095站规划分析</w:t>
      </w:r>
      <w:bookmarkEnd w:id="20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MVA，规划第4年转接前最大正向、反向净负荷分别为23.91 MW和32.16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第4年转出4.91 MW、承接0.00 MW后，正向校核负荷为19.00 MW。负荷转出降低正向需求，同时将反向校核上界提高至37.06 MW，配置按两个方向共同确定。刚性方案第4年主变总容量为70.00 MVA，储能为0.00 MW；弹性方案相应为70.00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表5-23 BDZ-00095站第4年配置与负荷转接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从建设时序看，第1—4年主变总容量依次为70.00、70.00、70.00、70.00 MVA；转接后正向负荷由第1年的19.00 MW变为第4年的19.00 MW。该站在规划期内同时承担过负荷转出和承接任务，站间安排随各年容量需求调整。第4年退出最大一台主变后，剩余主变容量为20.00 MVA，按功率因数折算并计入相应持续时间的储能放电功率，正向容量余量为0.00 MW。</w:t>
      </w:r>
    </w:p>
    <w:p>
      <w:pPr>
        <w:pStyle w:val="7"/>
        <w:keepNext/>
        <w:numPr>
          <w:numId w:val="0"/>
        </w:numPr>
        <w:spacing w:line="360" w:lineRule="auto" w:before="160" w:after="120"/>
        <w:ind w:firstLine="0"/>
      </w:pPr>
      <w:bookmarkStart w:id="206" w:name="bdz-00096站规划分析"/>
      <w:r>
        <w:rPr>
          <w:rFonts w:ascii="Times New Roman" w:hAnsi="Times New Roman" w:eastAsia="方正仿宋_GBK"/>
          <w:b/>
          <w:sz w:val="24"/>
        </w:rPr>
        <w:t xml:space="preserve">BDZ-00096站规划分析</w:t>
      </w:r>
      <w:bookmarkEnd w:id="20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MVA，规划第4年转接前最大正向、反向净负荷分别为72.42 MW和0.00 MW，正向95%峰值持续时间为3.00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第4年转出12.57 MW、承接0.00 MW后，正向校核负荷为59.85 MW。负荷转出降低正向需求，同时将反向校核上界提高至12.57 MW，配置按两个方向共同确定。刚性方案第4年主变总容量为143.00 MVA，储能为0.00 MW；弹性方案相应为143.00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表5-24 BDZ-00096站第4年配置与负荷转接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从建设时序看，第1—4年主变总容量依次为143.00、143.00、143.00、143.00 MVA；转接后正向负荷由第1年的59.85 MW变为第4年的59.85 MW。该站在规划期内同时承担过负荷转出和承接任务，站间安排随各年容量需求调整。第4年退出最大一台主变后，剩余主变容量为63.00 MVA，按功率因数折算并计入相应持续时间的储能放电功率，正向容量余量为0.00 MW。</w:t>
      </w:r>
    </w:p>
    <w:p>
      <w:pPr>
        <w:pStyle w:val="7"/>
        <w:keepNext/>
        <w:numPr>
          <w:numId w:val="0"/>
        </w:numPr>
        <w:spacing w:line="360" w:lineRule="auto" w:before="160" w:after="120"/>
        <w:ind w:firstLine="0"/>
      </w:pPr>
      <w:bookmarkStart w:id="207" w:name="bdz-00124站规划分析"/>
      <w:r>
        <w:rPr>
          <w:rFonts w:ascii="Times New Roman" w:hAnsi="Times New Roman" w:eastAsia="方正仿宋_GBK"/>
          <w:b/>
          <w:sz w:val="24"/>
        </w:rPr>
        <w:t xml:space="preserve">BDZ-00124站规划分析</w:t>
      </w:r>
      <w:bookmarkEnd w:id="20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MVA，规划第4年转接前最大正向、反向净负荷分别为64.11 MW和31.99 MW，正向95%峰值持续时间为3.00 h。弹性方案第4年实施主变增容，新购容量40.00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第4年转出26.11 MW、承接0.00 MW后，正向校核负荷为38.00 MW。负荷转出降低正向需求，同时将反向校核上界提高至58.10 MW，配置按两个方向共同确定。刚性方案第4年主变总容量为71.50 MVA，储能为3.00 MW；弹性方案相应为80.00 MVA和0.00 MW。弹性方案储能功率减少3.00 MW。</w:t>
      </w:r>
    </w:p>
    <w:p>
      <w:pPr>
        <w:pStyle w:val="2"/>
        <w:keepNext/>
        <w:spacing w:line="300" w:lineRule="auto" w:before="120" w:after="80"/>
        <w:ind w:firstLine="0"/>
        <w:jc w:val="center"/>
      </w:pPr>
      <w:r>
        <w:rPr>
          <w:rFonts w:ascii="Times New Roman" w:hAnsi="Times New Roman" w:eastAsia="宋体"/>
          <w:b w:val="0"/>
          <w:sz w:val="21"/>
        </w:rPr>
        <w:t xml:space="preserve">表5-25 BDZ-00124站第4年配置与负荷转接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3.00/6.45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32.04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32.07</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26.11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从建设时序看，第1—4年主变总容量依次为71.50、71.50、71.50、80.00 MVA；转接后正向负荷由第1年的29.92 MW变为第4年的38.00 MW。四年均以转出负荷为主，第1年和第4年分别转出20.87 MW和26.11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08" w:name="bdz-00135站规划分析"/>
      <w:r>
        <w:rPr>
          <w:rFonts w:ascii="Times New Roman" w:hAnsi="Times New Roman" w:eastAsia="方正仿宋_GBK"/>
          <w:b/>
          <w:sz w:val="24"/>
        </w:rPr>
        <w:t xml:space="preserve">BDZ-00135站规划分析</w:t>
      </w:r>
      <w:bookmarkEnd w:id="20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MVA，规划第4年转接前最大正向、反向净负荷分别为88.53 MW和59.41 MW，正向95%峰值持续时间为1.00 h。弹性方案第1年实施主变增容，新购容量100.00 MVA；第2年新增储能0.20 MW/0.43 MWh；第4年新增储能2.60 MW/5.59 MWh。</w:t>
      </w:r>
    </w:p>
    <w:p>
      <w:pPr>
        <w:pStyle w:val="2"/>
        <w:widowControl/>
        <w:spacing w:line="300" w:lineRule="auto" w:before="0" w:after="0"/>
        <w:ind w:firstLine="480"/>
        <w:jc w:val="both"/>
      </w:pPr>
      <w:r>
        <w:rPr>
          <w:rFonts w:ascii="Times New Roman" w:hAnsi="Times New Roman" w:eastAsia="方正仿宋_GBK"/>
          <w:b w:val="0"/>
          <w:sz w:val="24"/>
        </w:rPr>
        <w:t xml:space="preserve">第4年转出38.23 MW、承接0.00 MW后，正向校核负荷为50.30 MW。负荷转出降低正向需求，同时将反向校核上界提高至97.64 MW，配置按两个方向共同确定。刚性方案第4年主变总容量为71.50 MVA，储能为88.60 MW；弹性方案相应为100.00 MVA和2.80 MW。弹性方案储能功率减少85.80 MW。</w:t>
      </w:r>
    </w:p>
    <w:p>
      <w:pPr>
        <w:pStyle w:val="2"/>
        <w:keepNext/>
        <w:spacing w:line="300" w:lineRule="auto" w:before="120" w:after="80"/>
        <w:ind w:firstLine="0"/>
        <w:jc w:val="center"/>
      </w:pPr>
      <w:r>
        <w:rPr>
          <w:rFonts w:ascii="Times New Roman" w:hAnsi="Times New Roman" w:eastAsia="宋体"/>
          <w:b w:val="0"/>
          <w:sz w:val="21"/>
        </w:rPr>
        <w:t xml:space="preserve">表5-26 BDZ-00135站第4年配置与负荷转接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88.60/190.49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2.80/6.02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50.30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从建设时序看，第1—4年主变总容量依次为100.00、100.00、100.00、100.00 MVA；转接后正向负荷由第1年的47.50 MW变为第4年的50.30 MW。四年均以转出负荷为主，第1年和第4年分别转出22.64 MW和38.23 MW，邻站承接是本站供电安排的重要组成。第4年退出最大一台主变后，剩余主变容量为50.00 MVA，按功率因数折算并计入相应持续时间的储能放电功率，正向容量余量为0.00 MW。</w:t>
      </w:r>
    </w:p>
    <w:p>
      <w:pPr>
        <w:pStyle w:val="7"/>
        <w:keepNext/>
        <w:numPr>
          <w:numId w:val="0"/>
        </w:numPr>
        <w:spacing w:line="360" w:lineRule="auto" w:before="160" w:after="120"/>
        <w:ind w:firstLine="0"/>
      </w:pPr>
      <w:bookmarkStart w:id="209" w:name="bdz-00141站规划分析"/>
      <w:r>
        <w:rPr>
          <w:rFonts w:ascii="Times New Roman" w:hAnsi="Times New Roman" w:eastAsia="方正仿宋_GBK"/>
          <w:b/>
          <w:sz w:val="24"/>
        </w:rPr>
        <w:t xml:space="preserve">BDZ-00141站规划分析</w:t>
      </w:r>
      <w:bookmarkEnd w:id="20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MVA，规划第4年转接前最大正向、反向净负荷分别为41.61 MW和39.10 MW，正向95%峰值持续时间为2.00 h。弹性方案第3年实施主变增容，新购容量50.00 MVA。</w:t>
      </w:r>
    </w:p>
    <w:p>
      <w:pPr>
        <w:pStyle w:val="2"/>
        <w:widowControl/>
        <w:spacing w:line="300" w:lineRule="auto" w:before="0" w:after="0"/>
        <w:ind w:firstLine="480"/>
        <w:jc w:val="both"/>
      </w:pPr>
      <w:r>
        <w:rPr>
          <w:rFonts w:ascii="Times New Roman" w:hAnsi="Times New Roman" w:eastAsia="方正仿宋_GBK"/>
          <w:b w:val="0"/>
          <w:sz w:val="24"/>
        </w:rPr>
        <w:t xml:space="preserve">第4年承接5.89 MW，正向校核负荷增至47.50 MW。该站利用相应主变容量承担片区内部负荷，接收能力按承接后的负荷进行正常运行及主变N-1校核。刚性方案第4年主变总容量为70.00 MVA，储能为21.20 MW；弹性方案相应为100.00 MVA和0.00 MW。弹性方案储能功率减少21.20 MW。</w:t>
      </w:r>
    </w:p>
    <w:p>
      <w:pPr>
        <w:pStyle w:val="2"/>
        <w:keepNext/>
        <w:spacing w:line="300" w:lineRule="auto" w:before="120" w:after="80"/>
        <w:ind w:firstLine="0"/>
        <w:jc w:val="center"/>
      </w:pPr>
      <w:r>
        <w:rPr>
          <w:rFonts w:ascii="Times New Roman" w:hAnsi="Times New Roman" w:eastAsia="宋体"/>
          <w:b w:val="0"/>
          <w:sz w:val="21"/>
        </w:rPr>
        <w:t xml:space="preserve">表5-27 BDZ-00141站第4年配置与负荷转接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21.20/45.58</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从建设时序看，第1—4年主变总容量依次为70.00、70.00、100.00、100.00 MVA；转接后正向负荷由第1年的19.00 MW变为第4年的47.50 MW。站间负荷调整与本站容量配置共同满足各年度供电需求。第4年退出最大一台主变后，剩余主变容量为50.00 MVA，按功率因数折算并计入相应持续时间的储能放电功率，正向容量余量为0.00 MW。</w:t>
      </w:r>
    </w:p>
    <w:p>
      <w:pPr>
        <w:pStyle w:val="7"/>
        <w:keepNext/>
        <w:numPr>
          <w:numId w:val="0"/>
        </w:numPr>
        <w:spacing w:line="360" w:lineRule="auto" w:before="160" w:after="120"/>
        <w:ind w:firstLine="0"/>
      </w:pPr>
      <w:bookmarkStart w:id="210" w:name="bdz-00146站规划分析"/>
      <w:r>
        <w:rPr>
          <w:rFonts w:ascii="Times New Roman" w:hAnsi="Times New Roman" w:eastAsia="方正仿宋_GBK"/>
          <w:b/>
          <w:sz w:val="24"/>
        </w:rPr>
        <w:t xml:space="preserve">BDZ-00146站规划分析</w:t>
      </w:r>
      <w:bookmarkEnd w:id="21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MVA，规划第4年转接前最大正向、反向净负荷分别为27.06 MW和30.06 MW，正向95%峰值持续时间为2.00 h。弹性方案第3年扩建50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第4年承接21.86 MW，正向校核负荷增至48.93 MW。该站利用相应主变容量承担片区内部负荷，接收能力按承接后的负荷进行正常运行及主变N-1校核。刚性方案第4年主变总容量为101.50 MVA，储能为30.10 MW；弹性方案相应为101.50 MVA和0.00 MW。弹性方案储能功率减少30.10 MW。</w:t>
      </w:r>
    </w:p>
    <w:p>
      <w:pPr>
        <w:pStyle w:val="2"/>
        <w:keepNext/>
        <w:spacing w:line="300" w:lineRule="auto" w:before="120" w:after="80"/>
        <w:ind w:firstLine="0"/>
        <w:jc w:val="center"/>
      </w:pPr>
      <w:r>
        <w:rPr>
          <w:rFonts w:ascii="Times New Roman" w:hAnsi="Times New Roman" w:eastAsia="宋体"/>
          <w:b w:val="0"/>
          <w:sz w:val="21"/>
        </w:rPr>
        <w:t xml:space="preserve">表5-28 BDZ-00146站第4年配置与负荷转接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30.10/64.72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51.96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48.93</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从建设时序看，第1—4年主变总容量依次为51.50、51.50、101.50、101.50 MVA；转接后正向负荷由第1年的19.00 MW变为第4年的48.93 MW。该站在规划期内同时承担过负荷转出和承接任务，站间安排随各年容量需求调整。第4年退出最大一台主变后，剩余主变容量为51.50 MVA，按功率因数折算并计入相应持续时间的储能放电功率，正向容量余量为0.00 MW。</w:t>
      </w:r>
    </w:p>
    <w:p>
      <w:pPr>
        <w:pStyle w:val="7"/>
        <w:keepNext/>
        <w:numPr>
          <w:numId w:val="0"/>
        </w:numPr>
        <w:spacing w:line="360" w:lineRule="auto" w:before="160" w:after="120"/>
        <w:ind w:firstLine="0"/>
      </w:pPr>
      <w:bookmarkStart w:id="211" w:name="bdz-00147站规划分析"/>
      <w:r>
        <w:rPr>
          <w:rFonts w:ascii="Times New Roman" w:hAnsi="Times New Roman" w:eastAsia="方正仿宋_GBK"/>
          <w:b/>
          <w:sz w:val="24"/>
        </w:rPr>
        <w:t xml:space="preserve">BDZ-00147站规划分析</w:t>
      </w:r>
      <w:bookmarkEnd w:id="21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MVA，规划第4年转接前最大正向、反向净负荷分别为52.41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第4年承接14.09 MW，正向校核负荷增至66.50 MW。该站利用相应主变容量承担片区内部负荷，接收能力按承接后的负荷进行正常运行及主变N-1校核。刚性方案第4年主变总容量为90.00 MVA，储能为2.50 MW；弹性方案相应为120.00 MVA和0.00 MW。弹性方案储能功率减少2.50 MW。</w:t>
      </w:r>
    </w:p>
    <w:p>
      <w:pPr>
        <w:pStyle w:val="2"/>
        <w:keepNext/>
        <w:spacing w:line="300" w:lineRule="auto" w:before="120" w:after="80"/>
        <w:ind w:firstLine="0"/>
        <w:jc w:val="center"/>
      </w:pPr>
      <w:r>
        <w:rPr>
          <w:rFonts w:ascii="Times New Roman" w:hAnsi="Times New Roman" w:eastAsia="宋体"/>
          <w:b w:val="0"/>
          <w:sz w:val="21"/>
        </w:rPr>
        <w:t xml:space="preserve">表5-29 BDZ-00147站第4年配置与负荷转接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2.50/5.38</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39.79</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从建设时序看，第1—4年主变总容量依次为120.00、120.00、120.00、120.00 MVA；转接后正向负荷由第1年的66.50 MW变为第4年的66.50 MW。四年均以承接负荷为主，第1年和第4年净承接分别为24.98 MW和14.09 MW，主变配置同时服务于本站及片区转入负荷。第4年退出最大一台主变后，剩余主变容量为70.00 MVA，按功率因数折算并计入相应持续时间的储能放电功率，正向容量余量为0.00 MW。</w:t>
      </w:r>
    </w:p>
    <w:p>
      <w:pPr>
        <w:pStyle w:val="7"/>
        <w:keepNext/>
        <w:numPr>
          <w:numId w:val="0"/>
        </w:numPr>
        <w:spacing w:line="360" w:lineRule="auto" w:before="160" w:after="120"/>
        <w:ind w:firstLine="0"/>
      </w:pPr>
      <w:bookmarkStart w:id="212" w:name="bdz-00162站规划分析"/>
      <w:r>
        <w:rPr>
          <w:rFonts w:ascii="Times New Roman" w:hAnsi="Times New Roman" w:eastAsia="方正仿宋_GBK"/>
          <w:b/>
          <w:sz w:val="24"/>
        </w:rPr>
        <w:t xml:space="preserve">BDZ-00162站规划分析</w:t>
      </w:r>
      <w:bookmarkEnd w:id="21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MVA，规划第4年转接前最大正向、反向净负荷分别为20.04 MW和36.74 MW，正向95%峰值持续时间为2.00 h。弹性方案第4年扩建50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第4年承接17.96 MW，正向校核负荷增至38.00 MW。该站利用相应主变容量承担片区内部负荷，接收能力按承接后的负荷进行正常运行及主变N-1校核。刚性方案第4年主变总容量为90.00 MVA，储能为0.00 MW；弹性方案相应为90.00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表5-30 BDZ-00162站第4年配置与负荷转接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从建设时序看，第1—4年主变总容量依次为40.00、40.00、40.00、90.00 MVA；转接后正向负荷由第1年的19.00 MW变为第4年的38.00 MW。四年均以承接负荷为主，第1年和第4年净承接分别为3.13 MW和17.96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13" w:name="bdz-00164站规划分析"/>
      <w:r>
        <w:rPr>
          <w:rFonts w:ascii="Times New Roman" w:hAnsi="Times New Roman" w:eastAsia="方正仿宋_GBK"/>
          <w:b/>
          <w:sz w:val="24"/>
        </w:rPr>
        <w:t xml:space="preserve">BDZ-00164站规划分析</w:t>
      </w:r>
      <w:bookmarkEnd w:id="21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MVA，规划第4年转接前最大正向、反向净负荷分别为40.86 MW和31.84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第4年转出2.86 MW、承接0.00 MW后，正向校核负荷为38.00 MW。负荷转出降低正向需求，同时将反向校核上界提高至34.70 MW，配置按两个方向共同确定。刚性方案第4年主变总容量为110.00 MVA，储能为0.40 MW；弹性方案相应为90.00 MVA和0.00 MW。弹性方案储能功率减少0.40 MW。</w:t>
      </w:r>
    </w:p>
    <w:p>
      <w:pPr>
        <w:pStyle w:val="2"/>
        <w:keepNext/>
        <w:spacing w:line="300" w:lineRule="auto" w:before="120" w:after="80"/>
        <w:ind w:firstLine="0"/>
        <w:jc w:val="center"/>
      </w:pPr>
      <w:r>
        <w:rPr>
          <w:rFonts w:ascii="Times New Roman" w:hAnsi="Times New Roman" w:eastAsia="宋体"/>
          <w:b w:val="0"/>
          <w:sz w:val="21"/>
        </w:rPr>
        <w:t xml:space="preserve">表5-31 BDZ-00164站第4年配置与负荷转接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0.40/0.86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16.43</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57.29</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从建设时序看，第1—4年主变总容量依次为90.00、90.00、90.00、90.00 MVA；转接后正向负荷由第1年的38.00 MW变为第4年的38.00 MW。该站在规划期内同时承担过负荷转出和承接任务，站间安排随各年容量需求调整。第4年退出最大一台主变后，剩余主变容量为40.00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14" w:name="bdz-00172站规划分析"/>
      <w:r>
        <w:rPr>
          <w:rFonts w:ascii="Times New Roman" w:hAnsi="Times New Roman" w:eastAsia="方正仿宋_GBK"/>
          <w:b/>
          <w:sz w:val="24"/>
        </w:rPr>
        <w:t xml:space="preserve">BDZ-00172站规划分析</w:t>
      </w:r>
      <w:bookmarkEnd w:id="21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MVA，规划第4年转接前最大正向、反向净负荷分别为35.94 MW和23.78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第4年承接30.56 MW，正向校核负荷增至66.50 MW。该站利用相应主变容量承担片区内部负荷，接收能力按承接后的负荷进行正常运行及主变N-1校核。刚性方案第4年主变总容量为131.50 MVA，储能为0.90 MW；弹性方案相应为120.00 MVA和0.00 MW。弹性方案储能功率减少0.90 MW。</w:t>
      </w:r>
    </w:p>
    <w:p>
      <w:pPr>
        <w:pStyle w:val="2"/>
        <w:keepNext/>
        <w:spacing w:line="300" w:lineRule="auto" w:before="120" w:after="80"/>
        <w:ind w:firstLine="0"/>
        <w:jc w:val="center"/>
      </w:pPr>
      <w:r>
        <w:rPr>
          <w:rFonts w:ascii="Times New Roman" w:hAnsi="Times New Roman" w:eastAsia="宋体"/>
          <w:b w:val="0"/>
          <w:sz w:val="21"/>
        </w:rPr>
        <w:t xml:space="preserve">表5-32 BDZ-00172站第4年配置与负荷转接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0.90/1.94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78.33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从建设时序看，第1—4年主变总容量依次为120.00、120.00、120.00、120.00 MVA；转接后正向负荷由第1年的66.50 MW变为第4年的66.50 MW。四年均以承接负荷为主，第1年和第4年净承接分别为38.03 MW和30.56 MW，主变配置同时服务于本站及片区转入负荷。第4年退出最大一台主变后，剩余主变容量为70.00 MVA，按功率因数折算并计入相应持续时间的储能放电功率，正向容量余量为0.00 MW。</w:t>
      </w:r>
    </w:p>
    <w:p>
      <w:pPr>
        <w:pStyle w:val="5"/>
        <w:keepNext/>
        <w:numPr>
          <w:numId w:val="0"/>
        </w:numPr>
        <w:spacing w:line="360" w:lineRule="auto" w:before="160" w:after="120"/>
        <w:ind w:firstLine="0"/>
      </w:pPr>
      <w:bookmarkStart w:id="215" w:name="市区逐站规划方案"/>
      <w:r>
        <w:rPr>
          <w:rFonts w:ascii="Times New Roman" w:hAnsi="Times New Roman" w:eastAsia="方正仿宋_GBK"/>
          <w:b/>
          <w:sz w:val="26"/>
        </w:rPr>
        <w:t xml:space="preserve">5.4.5 市区逐站规划方案</w:t>
      </w:r>
      <w:bookmarkEnd w:id="215"/>
    </w:p>
    <w:p>
      <w:pPr>
        <w:pStyle w:val="FirstParagraph"/>
        <w:widowControl/>
        <w:spacing w:line="300" w:lineRule="auto" w:before="0" w:after="0"/>
        <w:ind w:firstLine="480"/>
        <w:jc w:val="both"/>
      </w:pPr>
      <w:r>
        <w:rPr>
          <w:rFonts w:ascii="Times New Roman" w:hAnsi="Times New Roman" w:eastAsia="方正仿宋_GBK"/>
          <w:b w:val="0"/>
          <w:sz w:val="24"/>
        </w:rPr>
        <w:t xml:space="preserve">市区各站按A类供电区域进行规划，站级需求以正向供电和主变N-1为主。以下结合重载站负荷转出和承接站容量配置说明建设安排。</w:t>
      </w:r>
    </w:p>
    <w:p>
      <w:pPr>
        <w:pStyle w:val="7"/>
        <w:keepNext/>
        <w:numPr>
          <w:numId w:val="0"/>
        </w:numPr>
        <w:spacing w:line="360" w:lineRule="auto" w:before="160" w:after="120"/>
        <w:ind w:firstLine="0"/>
      </w:pPr>
      <w:bookmarkStart w:id="216" w:name="bdz-00012站规划分析"/>
      <w:r>
        <w:rPr>
          <w:rFonts w:ascii="Times New Roman" w:hAnsi="Times New Roman" w:eastAsia="方正仿宋_GBK"/>
          <w:b/>
          <w:sz w:val="24"/>
        </w:rPr>
        <w:t xml:space="preserve">BDZ-00012站规划分析</w:t>
      </w:r>
      <w:bookmarkEnd w:id="21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MVA，规划第4年转接前最大正向、反向净负荷分别为27.92 MW和30.90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第4年承接10.08 MW，正向校核负荷增至38.00 MW。该站利用相应主变容量承担片区内部负荷，接收能力按承接后的负荷进行正常运行及主变N-1校核。刚性方案第4年主变总容量为80.00 MVA，储能为31.00 MW；弹性方案相应为80.00 MVA和0.00 MW。弹性方案储能功率减少31.00 MW。</w:t>
      </w:r>
    </w:p>
    <w:p>
      <w:pPr>
        <w:pStyle w:val="2"/>
        <w:keepNext/>
        <w:spacing w:line="300" w:lineRule="auto" w:before="120" w:after="80"/>
        <w:ind w:firstLine="0"/>
        <w:jc w:val="center"/>
      </w:pPr>
      <w:r>
        <w:rPr>
          <w:rFonts w:ascii="Times New Roman" w:hAnsi="Times New Roman" w:eastAsia="宋体"/>
          <w:b w:val="0"/>
          <w:sz w:val="21"/>
        </w:rPr>
        <w:t xml:space="preserve">表5-33 BDZ-00012站第4年配置与负荷转接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31.00/66.65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41.08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MVA；转接后正向负荷由第1年的26.47 MW变为第4年的38.00 MW。四年均以承接负荷为主，第1年和第4年净承接分别为0.00 MW和10.08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17" w:name="bdz-00013站规划分析"/>
      <w:r>
        <w:rPr>
          <w:rFonts w:ascii="Times New Roman" w:hAnsi="Times New Roman" w:eastAsia="方正仿宋_GBK"/>
          <w:b/>
          <w:sz w:val="24"/>
        </w:rPr>
        <w:t xml:space="preserve">BDZ-00013站规划分析</w:t>
      </w:r>
      <w:bookmarkEnd w:id="21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MVA，规划第4年转接前最大正向、反向净负荷分别为60.81 MW和7.52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第4年承接15.19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表5-34 BDZ-00013站第4年配置与负荷转接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22.81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15.19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从建设时序看，第1—4年主变总容量依次为130.00、130.00、130.00、130.00 MVA；转接后正向负荷由第1年的76.00 MW变为第4年的76.00 MW。四年均以承接负荷为主，第1年和第4年净承接分别为18.36 MW和15.19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auto" w:before="160" w:after="120"/>
        <w:ind w:firstLine="0"/>
      </w:pPr>
      <w:bookmarkStart w:id="218" w:name="bdz-00023站规划分析"/>
      <w:r>
        <w:rPr>
          <w:rFonts w:ascii="Times New Roman" w:hAnsi="Times New Roman" w:eastAsia="方正仿宋_GBK"/>
          <w:b/>
          <w:sz w:val="24"/>
        </w:rPr>
        <w:t xml:space="preserve">BDZ-00023站规划分析</w:t>
      </w:r>
      <w:bookmarkEnd w:id="21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MVA，规划第4年转接前最大正向、反向净负荷分别为89.01 MW和0.00 MW，正向95%峰值持续时间为4.00 h。弹性方案第4年实施主变增容，新购容量63.00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第4年转出29.16 MW、承接0.00 MW后，正向校核负荷为59.85 MW。负荷转出降低正向需求，同时将反向校核上界提高至29.16 MW，配置按两个方向共同确定。刚性方案第4年主变总容量为126.00 MVA，储能为0.00 MW；弹性方案相应为126.00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表5-35 BDZ-00023站第4年配置与负荷转接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29.16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29.16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从建设时序看，第1—4年主变总容量依次为103.00、103.00、103.00、126.00 MVA；转接后正向负荷由第1年的38.00 MW变为第4年的59.85 MW。四年均以转出负荷为主，第1年和第4年分别转出46.37 MW和29.16 MW，邻站承接是本站供电安排的重要组成。第4年退出最大一台主变后，剩余主变容量为63.00 MVA，按功率因数折算并计入相应持续时间的储能放电功率，正向容量余量为0.00 MW。</w:t>
      </w:r>
    </w:p>
    <w:p>
      <w:pPr>
        <w:pStyle w:val="7"/>
        <w:keepNext/>
        <w:numPr>
          <w:numId w:val="0"/>
        </w:numPr>
        <w:spacing w:line="360" w:lineRule="auto" w:before="160" w:after="120"/>
        <w:ind w:firstLine="0"/>
      </w:pPr>
      <w:bookmarkStart w:id="219" w:name="bdz-00024站规划分析"/>
      <w:r>
        <w:rPr>
          <w:rFonts w:ascii="Times New Roman" w:hAnsi="Times New Roman" w:eastAsia="方正仿宋_GBK"/>
          <w:b/>
          <w:sz w:val="24"/>
        </w:rPr>
        <w:t xml:space="preserve">BDZ-00024站规划分析</w:t>
      </w:r>
      <w:bookmarkEnd w:id="21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MVA，规划第4年转接前最大正向、反向净负荷分别为82.69 MW和0.00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第4年转出44.69 MW、承接0.00 MW后，正向校核负荷为38.00 MW。负荷转出降低正向需求，同时将反向校核上界提高至44.69 MW，配置按两个方向共同确定。刚性方案第4年主变总容量为90.00 MVA，储能为5.80 MW；弹性方案相应为90.00 MVA和0.00 MW。弹性方案储能功率减少5.80 MW。</w:t>
      </w:r>
    </w:p>
    <w:p>
      <w:pPr>
        <w:pStyle w:val="2"/>
        <w:keepNext/>
        <w:spacing w:line="300" w:lineRule="auto" w:before="120" w:after="80"/>
        <w:ind w:firstLine="0"/>
        <w:jc w:val="center"/>
      </w:pPr>
      <w:r>
        <w:rPr>
          <w:rFonts w:ascii="Times New Roman" w:hAnsi="Times New Roman" w:eastAsia="宋体"/>
          <w:b w:val="0"/>
          <w:sz w:val="21"/>
        </w:rPr>
        <w:t xml:space="preserve">表5-36 BDZ-00024站第4年配置与负荷转接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5.80/12.47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38.89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43.80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44.69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从建设时序看，第1—4年主变总容量依次为90.00、90.00、90.00、90.00 MVA；转接后正向负荷由第1年的38.00 MW变为第4年的38.00 MW。四年均以转出负荷为主，第1年和第4年分别转出40.38 MW和44.69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20" w:name="bdz-00042站规划分析"/>
      <w:r>
        <w:rPr>
          <w:rFonts w:ascii="Times New Roman" w:hAnsi="Times New Roman" w:eastAsia="方正仿宋_GBK"/>
          <w:b/>
          <w:sz w:val="24"/>
        </w:rPr>
        <w:t xml:space="preserve">BDZ-00042站规划分析</w:t>
      </w:r>
      <w:bookmarkEnd w:id="22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MVA，规划第4年转接前最大正向、反向净负荷分别为72.72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第4年转出34.72 MW、承接0.00 MW后，正向校核负荷为38.00 MW。负荷转出降低正向需求，同时将反向校核上界提高至34.72 MW，配置按两个方向共同确定。刚性方案第4年主变总容量为100.00 MVA，储能为0.00 MW；弹性方案相应为90.00 MVA和0.00 MW。弹性方案本站主变总容量比刚性减少10.00 MVA；区域总容量提高并不要求每座站均增加容量，本站按所列转接后负荷及主变N-1条件校核。</w:t>
      </w:r>
    </w:p>
    <w:p>
      <w:pPr>
        <w:pStyle w:val="2"/>
        <w:keepNext/>
        <w:spacing w:line="300" w:lineRule="auto" w:before="120" w:after="80"/>
        <w:ind w:firstLine="0"/>
        <w:jc w:val="center"/>
      </w:pPr>
      <w:r>
        <w:rPr>
          <w:rFonts w:ascii="Times New Roman" w:hAnsi="Times New Roman" w:eastAsia="宋体"/>
          <w:b w:val="0"/>
          <w:sz w:val="21"/>
        </w:rPr>
        <w:t xml:space="preserve">表5-37 BDZ-00042站第4年配置与负荷转接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25.22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34.72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从建设时序看，第1—4年主变总容量依次为90.00、90.00、90.00、90.00 MVA；转接后正向负荷由第1年的38.00 MW变为第4年的38.00 MW。四年均以转出负荷为主，第1年和第4年分别转出30.93 MW和34.72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21" w:name="bdz-00051站规划分析"/>
      <w:r>
        <w:rPr>
          <w:rFonts w:ascii="Times New Roman" w:hAnsi="Times New Roman" w:eastAsia="方正仿宋_GBK"/>
          <w:b/>
          <w:sz w:val="24"/>
        </w:rPr>
        <w:t xml:space="preserve">BDZ-00051站规划分析</w:t>
      </w:r>
      <w:bookmarkEnd w:id="22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MVA，规划第4年转接前最大正向、反向净负荷分别为54.98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第4年转出16.98 MW、承接0.00 MW后，正向校核负荷为38.00 MW。负荷转出降低正向需求，同时将反向校核上界提高至16.98 MW，配置按两个方向共同确定。刚性方案第4年主变总容量为80.00 MVA，储能为0.00 MW；弹性方案相应为80.00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表5-38 BDZ-00051站第4年配置与负荷转接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16.98</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16.98</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MW。四年均以转出负荷为主，第1年和第4年分别转出14.11 MW和16.98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22" w:name="bdz-00053站规划分析"/>
      <w:r>
        <w:rPr>
          <w:rFonts w:ascii="Times New Roman" w:hAnsi="Times New Roman" w:eastAsia="方正仿宋_GBK"/>
          <w:b/>
          <w:sz w:val="24"/>
        </w:rPr>
        <w:t xml:space="preserve">BDZ-00053站规划分析</w:t>
      </w:r>
      <w:bookmarkEnd w:id="22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MVA，规划第4年转接前最大正向、反向净负荷分别为73.75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第4年承接2.25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表5-39 BDZ-00053站第4年配置与负荷转接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从建设时序看，第1—4年主变总容量依次为130.00、130.00、130.00、130.00 MVA；转接后正向负荷由第1年的76.00 MW变为第4年的76.00 MW。四年均以承接负荷为主，第1年和第4年净承接分别为6.09 MW和2.25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auto" w:before="160" w:after="120"/>
        <w:ind w:firstLine="0"/>
      </w:pPr>
      <w:bookmarkStart w:id="223" w:name="bdz-00055站规划分析"/>
      <w:r>
        <w:rPr>
          <w:rFonts w:ascii="Times New Roman" w:hAnsi="Times New Roman" w:eastAsia="方正仿宋_GBK"/>
          <w:b/>
          <w:sz w:val="24"/>
        </w:rPr>
        <w:t xml:space="preserve">BDZ-00055站规划分析</w:t>
      </w:r>
      <w:bookmarkEnd w:id="22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MVA，规划第4年转接前最大正向、反向净负荷分别为39.83 MW和5.89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第4年转出1.83 MW、承接0.00 MW后，正向校核负荷为38.00 MW。负荷转出降低正向需求，同时将反向校核上界提高至7.72 MW，配置按两个方向共同确定。刚性方案第4年主变总容量为80.00 MVA，储能为0.00 MW；弹性方案相应为80.00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表5-40 BDZ-00055站第4年配置与负荷转接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MW。该站在规划期内同时承担过负荷转出和承接任务，站间安排随各年容量需求调整。第4年退出最大一台主变后，剩余主变容量为40.00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24" w:name="bdz-00062站规划分析"/>
      <w:r>
        <w:rPr>
          <w:rFonts w:ascii="Times New Roman" w:hAnsi="Times New Roman" w:eastAsia="方正仿宋_GBK"/>
          <w:b/>
          <w:sz w:val="24"/>
        </w:rPr>
        <w:t xml:space="preserve">BDZ-00062站规划分析</w:t>
      </w:r>
      <w:bookmarkEnd w:id="22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MVA，规划第4年转接前最大正向、反向净负荷分别为48.63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第4年转出10.63 MW、承接0.00 MW后，正向校核负荷为38.00 MW。负荷转出降低正向需求，同时将反向校核上界提高至10.63 MW，配置按两个方向共同确定。刚性方案第4年主变总容量为80.00 MVA，储能为0.00 MW；弹性方案相应为80.00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表5-41 BDZ-00062站第4年配置与负荷转接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MW。四年均以转出负荷为主，第1年和第4年分别转出8.10 MW和10.63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25" w:name="bdz-00065站规划分析"/>
      <w:r>
        <w:rPr>
          <w:rFonts w:ascii="Times New Roman" w:hAnsi="Times New Roman" w:eastAsia="方正仿宋_GBK"/>
          <w:b/>
          <w:sz w:val="24"/>
        </w:rPr>
        <w:t xml:space="preserve">BDZ-00065站规划分析</w:t>
      </w:r>
      <w:bookmarkEnd w:id="22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MVA，规划第4年转接前最大正向、反向净负荷分别为72.41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第4年转出34.41 MW、承接0.00 MW后，正向校核负荷为38.00 MW。负荷转出降低正向需求，同时将反向校核上界提高至34.41 MW，配置按两个方向共同确定。刚性方案第4年主变总容量为90.00 MVA，储能为0.00 MW；弹性方案相应为90.00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表5-42 BDZ-00065站第4年配置与负荷转接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34.41</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从建设时序看，第1—4年主变总容量依次为90.00、90.00、90.00、90.00 MVA；转接后正向负荷由第1年的38.00 MW变为第4年的38.00 MW。四年均以转出负荷为主，第1年和第4年分别转出30.64 MW和34.41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26" w:name="bdz-00074站规划分析"/>
      <w:r>
        <w:rPr>
          <w:rFonts w:ascii="Times New Roman" w:hAnsi="Times New Roman" w:eastAsia="方正仿宋_GBK"/>
          <w:b/>
          <w:sz w:val="24"/>
        </w:rPr>
        <w:t xml:space="preserve">BDZ-00074站规划分析</w:t>
      </w:r>
      <w:bookmarkEnd w:id="22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MVA，规划第4年转接前最大正向、反向净负荷分别为61.59 MW和11.51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第4年承接14.41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表5-43 BDZ-00074站第4年配置与负荷转接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14.41</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从建设时序看，第1—4年主变总容量依次为130.00、130.00、130.00、130.00 MVA；转接后正向负荷由第1年的76.00 MW变为第4年的76.00 MW。四年均以承接负荷为主，第1年和第4年净承接分别为17.62 MW和14.41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auto" w:before="160" w:after="120"/>
        <w:ind w:firstLine="0"/>
      </w:pPr>
      <w:bookmarkStart w:id="227" w:name="bdz-00076站规划分析"/>
      <w:r>
        <w:rPr>
          <w:rFonts w:ascii="Times New Roman" w:hAnsi="Times New Roman" w:eastAsia="方正仿宋_GBK"/>
          <w:b/>
          <w:sz w:val="24"/>
        </w:rPr>
        <w:t xml:space="preserve">BDZ-00076站规划分析</w:t>
      </w:r>
      <w:bookmarkEnd w:id="22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MVA，规划第4年转接前最大正向、反向净负荷分别为27.53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第4年承接10.47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表5-44 BDZ-00076站第4年配置与负荷转接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10.47</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10.47</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MW。四年均以承接负荷为主，第1年和第4年净承接分别为11.91 MW和10.47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28" w:name="bdz-00092站规划分析"/>
      <w:r>
        <w:rPr>
          <w:rFonts w:ascii="Times New Roman" w:hAnsi="Times New Roman" w:eastAsia="方正仿宋_GBK"/>
          <w:b/>
          <w:sz w:val="24"/>
        </w:rPr>
        <w:t xml:space="preserve">BDZ-00092站规划分析</w:t>
      </w:r>
      <w:bookmarkEnd w:id="22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MVA，规划第4年转接前最大正向、反向净负荷分别为9.68 MW和6.12 MW，正向95%峰值持续时间为1.00 h。弹性方案第2年扩建50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第4年承接66.32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表5-45 BDZ-00092站第4年配置与负荷转接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28.32</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66.32</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从建设时序看，第1—4年主变总容量依次为80.00、130.00、130.00、130.00 MVA；转接后正向负荷由第1年的38.00 MW变为第4年的76.00 MW。四年均以承接负荷为主，第1年和第4年净承接分别为28.82 MW和66.32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auto" w:before="160" w:after="120"/>
        <w:ind w:firstLine="0"/>
      </w:pPr>
      <w:bookmarkStart w:id="229" w:name="bdz-00094站规划分析"/>
      <w:r>
        <w:rPr>
          <w:rFonts w:ascii="Times New Roman" w:hAnsi="Times New Roman" w:eastAsia="方正仿宋_GBK"/>
          <w:b/>
          <w:sz w:val="24"/>
        </w:rPr>
        <w:t xml:space="preserve">BDZ-00094站规划分析</w:t>
      </w:r>
      <w:bookmarkEnd w:id="22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MVA，规划第4年转接前最大正向、反向净负荷分别为56.14 MW和0.00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第4年承接19.86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表5-46 BDZ-00094站第4年配置与负荷转接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从建设时序看，第1—4年主变总容量依次为130.00、130.00、130.00、130.00 MVA；转接后正向负荷由第1年的76.00 MW变为第4年的76.00 MW。四年均以承接负荷为主，第1年和第4年净承接分别为22.79 MW和19.86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auto" w:before="160" w:after="120"/>
        <w:ind w:firstLine="0"/>
      </w:pPr>
      <w:bookmarkStart w:id="230" w:name="bdz-00103站规划分析"/>
      <w:r>
        <w:rPr>
          <w:rFonts w:ascii="Times New Roman" w:hAnsi="Times New Roman" w:eastAsia="方正仿宋_GBK"/>
          <w:b/>
          <w:sz w:val="24"/>
        </w:rPr>
        <w:t xml:space="preserve">BDZ-00103站规划分析</w:t>
      </w:r>
      <w:bookmarkEnd w:id="23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MVA，规划第4年转接前最大正向、反向净负荷分别为56.87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第4年转出18.87 MW、承接0.00 MW后，正向校核负荷为38.00 MW。负荷转出降低正向需求，同时将反向校核上界提高至18.87 MW，配置按两个方向共同确定。刚性方案第4年主变总容量为80.00 MVA，储能为0.00 MW；弹性方案相应为80.00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表5-47 BDZ-00103站第4年配置与负荷转接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MW。四年均以转出负荷为主，第1年和第4年分别转出15.90 MW和18.87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31" w:name="bdz-00106站规划分析"/>
      <w:r>
        <w:rPr>
          <w:rFonts w:ascii="Times New Roman" w:hAnsi="Times New Roman" w:eastAsia="方正仿宋_GBK"/>
          <w:b/>
          <w:sz w:val="24"/>
        </w:rPr>
        <w:t xml:space="preserve">BDZ-00106站规划分析</w:t>
      </w:r>
      <w:bookmarkEnd w:id="23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MVA，规划第4年转接前最大正向、反向净负荷分别为5.02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第4年承接32.98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表5-48 BDZ-00106站第4年配置与负荷转接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MW。四年均以承接负荷为主，第1年和第4年净承接分别为33.24 MW和32.98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32" w:name="bdz-00110站规划分析"/>
      <w:r>
        <w:rPr>
          <w:rFonts w:ascii="Times New Roman" w:hAnsi="Times New Roman" w:eastAsia="方正仿宋_GBK"/>
          <w:b/>
          <w:sz w:val="24"/>
        </w:rPr>
        <w:t xml:space="preserve">BDZ-00110站规划分析</w:t>
      </w:r>
      <w:bookmarkEnd w:id="23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MVA，规划第4年转接前最大正向、反向净负荷分别为33.16 MW和0.00 MW，正向95%峰值持续时间为5.00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第4年承接52.33 MW，正向校核负荷增至85.49 MW。该站利用相应主变容量承担片区内部负荷，接收能力按承接后的负荷进行正常运行及主变N-1校核。刚性方案第4年主变总容量为153.00 MVA，储能为0.00 MW；弹性方案相应为153.00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表5-49 BDZ-00110站第4年配置与负荷转接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52.34</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52.33</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85.49</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从建设时序看，第1—4年主变总容量依次为153.00、153.00、153.00、153.00 MVA；转接后正向负荷由第1年的85.50 MW变为第4年的85.49 MW。四年均以承接负荷为主，第1年和第4年净承接分别为54.07 MW和52.33 MW，主变配置同时服务于本站及片区转入负荷。第4年退出最大一台主变后，剩余主变容量为90.00 MVA，按功率因数折算并计入相应持续时间的储能放电功率，正向容量余量为0.01 MW。</w:t>
      </w:r>
    </w:p>
    <w:p>
      <w:pPr>
        <w:pStyle w:val="7"/>
        <w:keepNext/>
        <w:numPr>
          <w:numId w:val="0"/>
        </w:numPr>
        <w:spacing w:line="360" w:lineRule="auto" w:before="160" w:after="120"/>
        <w:ind w:firstLine="0"/>
      </w:pPr>
      <w:bookmarkStart w:id="233" w:name="bdz-00114站规划分析"/>
      <w:r>
        <w:rPr>
          <w:rFonts w:ascii="Times New Roman" w:hAnsi="Times New Roman" w:eastAsia="方正仿宋_GBK"/>
          <w:b/>
          <w:sz w:val="24"/>
        </w:rPr>
        <w:t xml:space="preserve">BDZ-00114站规划分析</w:t>
      </w:r>
      <w:bookmarkEnd w:id="23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MVA，规划第4年转接前最大正向、反向净负荷分别为95.14 MW和9.47 MW，正向95%峰值持续时间为1.00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第4年转出35.29 MW、承接0.00 MW后，正向校核负荷为59.85 MW。负荷转出降低正向需求，同时将反向校核上界提高至44.76 MW，配置按两个方向共同确定。刚性方案第4年主变总容量为126.00 MVA，储能为95.20 MW；弹性方案相应为126.00 MVA和0.00 MW。弹性方案储能功率减少95.20 MW。</w:t>
      </w:r>
    </w:p>
    <w:p>
      <w:pPr>
        <w:pStyle w:val="2"/>
        <w:keepNext/>
        <w:spacing w:line="300" w:lineRule="auto" w:before="120" w:after="80"/>
        <w:ind w:firstLine="0"/>
        <w:jc w:val="center"/>
      </w:pPr>
      <w:r>
        <w:rPr>
          <w:rFonts w:ascii="Times New Roman" w:hAnsi="Times New Roman" w:eastAsia="宋体"/>
          <w:b w:val="0"/>
          <w:sz w:val="21"/>
        </w:rPr>
        <w:t xml:space="preserve">表5-50 BDZ-00114站第4年配置与负荷转接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95.20/204.68</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59.91</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155.05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从建设时序看，第1—4年主变总容量依次为126.00、126.00、126.00、126.00 MVA；转接后正向负荷由第1年的59.85 MW变为第4年的59.85 MW。四年均以转出负荷为主，第1年和第4年分别转出30.33 MW和35.29 MW，邻站承接是本站供电安排的重要组成。第4年退出最大一台主变后，剩余主变容量为63.00 MVA，按功率因数折算并计入相应持续时间的储能放电功率，正向容量余量为0.00 MW。</w:t>
      </w:r>
    </w:p>
    <w:p>
      <w:pPr>
        <w:pStyle w:val="7"/>
        <w:keepNext/>
        <w:numPr>
          <w:numId w:val="0"/>
        </w:numPr>
        <w:spacing w:line="360" w:lineRule="auto" w:before="160" w:after="120"/>
        <w:ind w:firstLine="0"/>
      </w:pPr>
      <w:bookmarkStart w:id="234" w:name="bdz-00115站规划分析"/>
      <w:r>
        <w:rPr>
          <w:rFonts w:ascii="Times New Roman" w:hAnsi="Times New Roman" w:eastAsia="方正仿宋_GBK"/>
          <w:b/>
          <w:sz w:val="24"/>
        </w:rPr>
        <w:t xml:space="preserve">BDZ-00115站规划分析</w:t>
      </w:r>
      <w:bookmarkEnd w:id="23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MVA，规划第4年转接前最大正向、反向净负荷分别为63.53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第4年承接12.47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表5-51 BDZ-00115站第4年配置与负荷转接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25.53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12.47</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从建设时序看，第1—4年主变总容量依次为130.00、130.00、130.00、130.00 MVA；转接后正向负荷由第1年的76.00 MW变为第4年的76.00 MW。四年均以承接负荷为主，第1年和第4年净承接分别为15.78 MW和12.47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auto" w:before="160" w:after="120"/>
        <w:ind w:firstLine="0"/>
      </w:pPr>
      <w:bookmarkStart w:id="235" w:name="bdz-00139站规划分析"/>
      <w:r>
        <w:rPr>
          <w:rFonts w:ascii="Times New Roman" w:hAnsi="Times New Roman" w:eastAsia="方正仿宋_GBK"/>
          <w:b/>
          <w:sz w:val="24"/>
        </w:rPr>
        <w:t xml:space="preserve">BDZ-00139站规划分析</w:t>
      </w:r>
      <w:bookmarkEnd w:id="23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MVA，规划第4年转接前最大正向、反向净负荷分别为80.37 MW和0.00 MW，正向95%峰值持续时间为3.00 h。弹性方案第1年新增储能0.20 MW/0.43 MWh；第4年新增储能0.10 MW/0.22 MWh。</w:t>
      </w:r>
    </w:p>
    <w:p>
      <w:pPr>
        <w:pStyle w:val="2"/>
        <w:widowControl/>
        <w:spacing w:line="300" w:lineRule="auto" w:before="0" w:after="0"/>
        <w:ind w:firstLine="480"/>
        <w:jc w:val="both"/>
      </w:pPr>
      <w:r>
        <w:rPr>
          <w:rFonts w:ascii="Times New Roman" w:hAnsi="Times New Roman" w:eastAsia="方正仿宋_GBK"/>
          <w:b w:val="0"/>
          <w:sz w:val="24"/>
        </w:rPr>
        <w:t xml:space="preserve">第4年转出42.16 MW、承接0.00 MW后，正向校核负荷为38.22 MW。负荷转出降低正向需求，同时将反向校核上界提高至42.16 MW，配置按两个方向共同确定。刚性方案第4年主变总容量为80.00 MVA，储能为3.10 MW；弹性方案相应为80.00 MVA和0.30 MW。弹性方案储能功率减少2.80 MW。</w:t>
      </w:r>
    </w:p>
    <w:p>
      <w:pPr>
        <w:pStyle w:val="2"/>
        <w:keepNext/>
        <w:spacing w:line="300" w:lineRule="auto" w:before="120" w:after="80"/>
        <w:ind w:firstLine="0"/>
        <w:jc w:val="center"/>
      </w:pPr>
      <w:r>
        <w:rPr>
          <w:rFonts w:ascii="Times New Roman" w:hAnsi="Times New Roman" w:eastAsia="宋体"/>
          <w:b w:val="0"/>
          <w:sz w:val="21"/>
        </w:rPr>
        <w:t xml:space="preserve">表5-52 BDZ-00139站第4年配置与负荷转接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3.10/6.67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40.22</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0.30/0.65</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42.16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MVA；转接后正向负荷由第1年的38.14 MW变为第4年的38.22 MW。四年均以转出负荷为主，第1年和第4年分别转出38.04 MW和42.16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36" w:name="bdz-00148站规划分析"/>
      <w:r>
        <w:rPr>
          <w:rFonts w:ascii="Times New Roman" w:hAnsi="Times New Roman" w:eastAsia="方正仿宋_GBK"/>
          <w:b/>
          <w:sz w:val="24"/>
        </w:rPr>
        <w:t xml:space="preserve">BDZ-00148站规划分析</w:t>
      </w:r>
      <w:bookmarkEnd w:id="23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MVA，规划第4年转接前最大正向、反向净负荷分别为89.09 MW和0.00 MW，正向95%峰值持续时间为2.00 h。弹性方案第4年新增储能2.60 MW/5.59 MWh。</w:t>
      </w:r>
    </w:p>
    <w:p>
      <w:pPr>
        <w:pStyle w:val="2"/>
        <w:widowControl/>
        <w:spacing w:line="300" w:lineRule="auto" w:before="0" w:after="0"/>
        <w:ind w:firstLine="480"/>
        <w:jc w:val="both"/>
      </w:pPr>
      <w:r>
        <w:rPr>
          <w:rFonts w:ascii="Times New Roman" w:hAnsi="Times New Roman" w:eastAsia="方正仿宋_GBK"/>
          <w:b w:val="0"/>
          <w:sz w:val="24"/>
        </w:rPr>
        <w:t xml:space="preserve">第4年转出48.49 MW、承接0.00 MW后，正向校核负荷为40.60 MW。负荷转出降低正向需求，同时将反向校核上界提高至48.49 MW，配置按两个方向共同确定。刚性方案第4年主变总容量为90.00 MVA，储能为89.10 MW；弹性方案相应为90.00 MVA和2.60 MW。弹性方案储能功率减少86.50 MW。</w:t>
      </w:r>
    </w:p>
    <w:p>
      <w:pPr>
        <w:pStyle w:val="2"/>
        <w:keepNext/>
        <w:spacing w:line="300" w:lineRule="auto" w:before="120" w:after="80"/>
        <w:ind w:firstLine="0"/>
        <w:jc w:val="center"/>
      </w:pPr>
      <w:r>
        <w:rPr>
          <w:rFonts w:ascii="Times New Roman" w:hAnsi="Times New Roman" w:eastAsia="宋体"/>
          <w:b w:val="0"/>
          <w:sz w:val="21"/>
        </w:rPr>
        <w:t xml:space="preserve">表5-53 BDZ-00148站第4年配置与负荷转接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89.10/191.56</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38.01</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127.10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2.60/5.59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48.49</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40.60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从建设时序看，第1—4年主变总容量依次为90.00、90.00、90.00、90.00 MVA；转接后正向负荷由第1年的38.00 MW变为第4年的40.60 MW。四年均以转出负荷为主，第1年和第4年分别转出46.44 MW和48.49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37" w:name="bdz-00151站规划分析"/>
      <w:r>
        <w:rPr>
          <w:rFonts w:ascii="Times New Roman" w:hAnsi="Times New Roman" w:eastAsia="方正仿宋_GBK"/>
          <w:b/>
          <w:sz w:val="24"/>
        </w:rPr>
        <w:t xml:space="preserve">BDZ-00151站规划分析</w:t>
      </w:r>
      <w:bookmarkEnd w:id="23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该站基期主变配置为50.00+63.00 MVA，规划第4年转接前最大正向、反向净负荷分别为110.92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第4年转出63.42 MW、承接0.00 MW后，正向校核负荷为47.50 MW。负荷转出降低正向需求，同时将反向校核上界提高至63.42 MW，配置按两个方向共同确定。刚性方案第4年主变总容量为126.00 MVA，储能为0.00 MW；弹性方案相应为113.00 MVA和0.00 MW。弹性方案本站主变总容量比刚性减少13.00 MVA；区域总容量提高并不要求每座站均增加容量，本站按所列转接后负荷及主变N-1条件校核。</w:t>
      </w:r>
    </w:p>
    <w:p>
      <w:pPr>
        <w:pStyle w:val="2"/>
        <w:keepNext/>
        <w:spacing w:line="300" w:lineRule="auto" w:before="120" w:after="80"/>
        <w:ind w:firstLine="0"/>
        <w:jc w:val="center"/>
      </w:pPr>
      <w:r>
        <w:rPr>
          <w:rFonts w:ascii="Times New Roman" w:hAnsi="Times New Roman" w:eastAsia="宋体"/>
          <w:b w:val="0"/>
          <w:sz w:val="21"/>
        </w:rPr>
        <w:t xml:space="preserve">表5-54 BDZ-00151站第4年配置与负荷转接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51.07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50.00+63.00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63.42</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从建设时序看，第1—4年主变总容量依次为113.00、113.00、113.00、113.00 MVA；转接后正向负荷由第1年的47.50 MW变为第4年的47.50 MW。四年均以转出负荷为主，第1年和第4年分别转出57.64 MW和63.42 MW，邻站承接是本站供电安排的重要组成。第4年退出最大一台主变后，剩余主变容量为50.00 MVA，按功率因数折算并计入相应持续时间的储能放电功率，正向容量余量为0.00 MW。</w:t>
      </w:r>
    </w:p>
    <w:p>
      <w:pPr>
        <w:pStyle w:val="7"/>
        <w:keepNext/>
        <w:numPr>
          <w:numId w:val="0"/>
        </w:numPr>
        <w:spacing w:line="360" w:lineRule="auto" w:before="160" w:after="120"/>
        <w:ind w:firstLine="0"/>
      </w:pPr>
      <w:bookmarkStart w:id="238" w:name="bdz-00154站规划分析"/>
      <w:r>
        <w:rPr>
          <w:rFonts w:ascii="Times New Roman" w:hAnsi="Times New Roman" w:eastAsia="方正仿宋_GBK"/>
          <w:b/>
          <w:sz w:val="24"/>
        </w:rPr>
        <w:t xml:space="preserve">BDZ-00154站规划分析</w:t>
      </w:r>
      <w:bookmarkEnd w:id="23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MVA，规划第4年转接前最大正向、反向净负荷分别为16.75 MW和0.00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第4年承接59.25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表5-55 BDZ-00154站第4年配置与负荷转接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21.25</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59.25</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从建设时序看，第1—4年主变总容量依次为130.00、130.00、130.00、130.00 MVA；转接后正向负荷由第1年的76.00 MW变为第4年的76.00 MW。四年均以承接负荷为主，第1年和第4年净承接分别为60.12 MW和59.25 MW，主变配置同时服务于本站及片区转入负荷。第4年退出最大一台主变后，剩余主变容量为80.00 MVA，按功率因数折算并计入相应持续时间的储能放电功率，正向容量余量为0.00 MW。</w:t>
      </w:r>
    </w:p>
    <w:p>
      <w:pPr>
        <w:pStyle w:val="7"/>
        <w:keepNext/>
        <w:numPr>
          <w:numId w:val="0"/>
        </w:numPr>
        <w:spacing w:line="360" w:lineRule="auto" w:before="160" w:after="120"/>
        <w:ind w:firstLine="0"/>
      </w:pPr>
      <w:bookmarkStart w:id="239" w:name="bdz-00155站规划分析"/>
      <w:r>
        <w:rPr>
          <w:rFonts w:ascii="Times New Roman" w:hAnsi="Times New Roman" w:eastAsia="方正仿宋_GBK"/>
          <w:b/>
          <w:sz w:val="24"/>
        </w:rPr>
        <w:t xml:space="preserve">BDZ-00155站规划分析</w:t>
      </w:r>
      <w:bookmarkEnd w:id="23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MVA，规划第4年转接前最大正向、反向净负荷分别为45.93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第4年转出7.93 MW、承接0.00 MW后，正向校核负荷为38.00 MW。负荷转出降低正向需求，同时将反向校核上界提高至7.93 MW，配置按两个方向共同确定。刚性方案第4年主变总容量为80.00 MVA，储能为0.00 MW；弹性方案相应为80.00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表5-56 BDZ-00155站第4年配置与负荷转接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7.93</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MW。四年均以转出负荷为主，第1年和第4年分别转出5.54 MW和7.93 MW，邻站承接是本站供电安排的重要组成。第4年退出最大一台主变后，剩余主变容量为40.00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40" w:name="bdz-00175站规划分析"/>
      <w:r>
        <w:rPr>
          <w:rFonts w:ascii="Times New Roman" w:hAnsi="Times New Roman" w:eastAsia="方正仿宋_GBK"/>
          <w:b/>
          <w:sz w:val="24"/>
        </w:rPr>
        <w:t xml:space="preserve">BDZ-00175站规划分析</w:t>
      </w:r>
      <w:bookmarkEnd w:id="24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MVA，规划第4年转接前最大正向、反向净负荷分别为38.94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第4年转出0.94 MW、承接0.00 MW后，正向校核负荷为38.00 MW。负荷转出降低正向需求，同时将反向校核上界提高至0.94 MW，配置按两个方向共同确定。刚性方案第4年主变总容量为80.00 MVA，储能为0.00 MW；弹性方案相应为80.00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表5-57 BDZ-00175站第4年配置与负荷转接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0.94</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MW。站间负荷调整与本站容量配置共同满足各年度供电需求。第4年退出最大一台主变后，剩余主变容量为40.00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41" w:name="bdz-00183站规划分析"/>
      <w:r>
        <w:rPr>
          <w:rFonts w:ascii="Times New Roman" w:hAnsi="Times New Roman" w:eastAsia="方正仿宋_GBK"/>
          <w:b/>
          <w:sz w:val="24"/>
        </w:rPr>
        <w:t xml:space="preserve">BDZ-00183站规划分析</w:t>
      </w:r>
      <w:bookmarkEnd w:id="24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MVA，规划第4年转接前最大正向、反向净负荷分别为14.24 MW和4.85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第4年承接23.76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表5-58 BDZ-00183站第4年配置与负荷转接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21.59</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35.83</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23.76</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MW。四年均以承接负荷为主，第1年和第4年净承接分别为24.50 MW和23.76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42" w:name="sim-city-kl站规划分析"/>
      <w:r>
        <w:rPr>
          <w:rFonts w:ascii="Times New Roman" w:hAnsi="Times New Roman" w:eastAsia="方正仿宋_GBK"/>
          <w:b/>
          <w:sz w:val="24"/>
        </w:rPr>
        <w:t xml:space="preserve">SIM-CITY-KL站规划分析</w:t>
      </w:r>
      <w:bookmarkEnd w:id="24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MVA，规划第4年转接前最大正向、反向净负荷分别为13.92 MW和4.11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第4年承接24.08 MW，正向校核负荷增至38.00 MW。该站利用相应主变容量承担片区内部负荷，接收能力按承接后的负荷进行正常运行及主变N-1校核。刚性方案第4年主变总容量为80.00 MVA，储能为14.00 MW；弹性方案相应为80.00 MVA和0.00 MW。弹性方案储能功率减少14.00 MW。</w:t>
      </w:r>
    </w:p>
    <w:p>
      <w:pPr>
        <w:pStyle w:val="2"/>
        <w:keepNext/>
        <w:spacing w:line="300" w:lineRule="auto" w:before="120" w:after="80"/>
        <w:ind w:firstLine="0"/>
        <w:jc w:val="center"/>
      </w:pPr>
      <w:r>
        <w:rPr>
          <w:rFonts w:ascii="Times New Roman" w:hAnsi="Times New Roman" w:eastAsia="宋体"/>
          <w:b w:val="0"/>
          <w:sz w:val="21"/>
        </w:rPr>
        <w:t xml:space="preserve">表5-59 SIM-CITY-KL站第4年配置与负荷转接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14.00/30.10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24.08</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MW。四年均以承接负荷为主，第1年和第4年净承接分别为24.81 MW和24.08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43" w:name="sim-city-xsz站规划分析"/>
      <w:r>
        <w:rPr>
          <w:rFonts w:ascii="Times New Roman" w:hAnsi="Times New Roman" w:eastAsia="方正仿宋_GBK"/>
          <w:b/>
          <w:sz w:val="24"/>
        </w:rPr>
        <w:t xml:space="preserve">SIM-CITY-XSZ站规划分析</w:t>
      </w:r>
      <w:bookmarkEnd w:id="24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MVA，规划第4年转接前最大正向、反向净负荷分别为11.78 MW和2.90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第4年承接26.22 MW，正向校核负荷增至38.00 MW。该站利用相应主变容量承担片区内部负荷，接收能力按承接后的负荷进行正常运行及主变N-1校核。刚性方案第4年主变总容量为80.00 MVA，储能为11.80 MW；弹性方案相应为80.00 MVA和0.00 MW。弹性方案储能功率减少11.80 MW。</w:t>
      </w:r>
    </w:p>
    <w:p>
      <w:pPr>
        <w:pStyle w:val="2"/>
        <w:keepNext/>
        <w:spacing w:line="300" w:lineRule="auto" w:before="120" w:after="80"/>
        <w:ind w:firstLine="0"/>
        <w:jc w:val="center"/>
      </w:pPr>
      <w:r>
        <w:rPr>
          <w:rFonts w:ascii="Times New Roman" w:hAnsi="Times New Roman" w:eastAsia="宋体"/>
          <w:b w:val="0"/>
          <w:sz w:val="21"/>
        </w:rPr>
        <w:t xml:space="preserve">表5-60 SIM-CITY-XSZ站第4年配置与负荷转接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11.80/25.37</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49.80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26.22</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MVA；转接后正向负荷由第1年的35.36 MW变为第4年的38.00 MW。四年均以承接负荷为主，第1年和第4年净承接分别为24.19 MW和26.22 MW，主变配置同时服务于本站及片区转入负荷。第4年退出最大一台主变后，剩余主变容量为40.00 MVA，按功率因数折算并计入相应持续时间的储能放电功率，正向容量余量为0.00 MW。</w:t>
      </w:r>
    </w:p>
    <w:p>
      <w:pPr>
        <w:pStyle w:val="7"/>
        <w:keepNext/>
        <w:numPr>
          <w:numId w:val="0"/>
        </w:numPr>
        <w:spacing w:line="360" w:lineRule="auto" w:before="160" w:after="120"/>
        <w:ind w:firstLine="0"/>
      </w:pPr>
      <w:bookmarkStart w:id="244" w:name="sim-city-yq站规划分析"/>
      <w:r>
        <w:rPr>
          <w:rFonts w:ascii="Times New Roman" w:hAnsi="Times New Roman" w:eastAsia="方正仿宋_GBK"/>
          <w:b/>
          <w:sz w:val="24"/>
        </w:rPr>
        <w:t xml:space="preserve">SIM-CITY-YQ站规划分析</w:t>
      </w:r>
      <w:bookmarkEnd w:id="24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MVA，规划第4年转接前最大正向、反向净负荷分别为18.16 MW和0.00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第4年承接19.84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MW。两类方案的本站主变总容量相同。</w:t>
      </w:r>
    </w:p>
    <w:p>
      <w:pPr>
        <w:pStyle w:val="2"/>
        <w:keepNext/>
        <w:spacing w:line="300" w:lineRule="auto" w:before="120" w:after="80"/>
        <w:ind w:firstLine="0"/>
        <w:jc w:val="center"/>
      </w:pPr>
      <w:r>
        <w:rPr>
          <w:rFonts w:ascii="Times New Roman" w:hAnsi="Times New Roman" w:eastAsia="宋体"/>
          <w:b w:val="0"/>
          <w:sz w:val="21"/>
        </w:rPr>
        <w:t xml:space="preserve">表5-61 SIM-CITY-YQ站第4年配置与负荷转接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783"/>
        <w:gridCol w:w="2168"/>
        <w:gridCol w:w="1686"/>
        <w:gridCol w:w="1205"/>
        <w:gridCol w:w="1205"/>
        <w:gridCol w:w="1265"/>
      </w:tblGrid>
      <w:tr>
        <w:trPr>
          <w:cantSplit/>
          <w:tblHeader/>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储能额定功率/能量（MW/MWh）</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转出负荷/MW</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承接负荷/MW</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转接后正向负荷/MW</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78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21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686"/>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0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w:t>
            </w:r>
          </w:p>
        </w:tc>
        <w:tc>
          <w:tcPr>
            <w:tcW w:type="dxa" w:w="126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2"/>
        <w:widowControl/>
        <w:spacing w:line="300" w:lineRule="auto" w:before="0" w:after="0"/>
        <w:ind w:firstLine="480"/>
        <w:jc w:val="both"/>
      </w:pPr>
      <w:r>
        <w:rPr>
          <w:rFonts w:ascii="Times New Roman" w:hAnsi="Times New Roman" w:eastAsia="方正仿宋_GBK"/>
          <w:b w:val="0"/>
          <w:sz w:val="24"/>
        </w:rPr>
        <w:t xml:space="preserve">从建设时序看，第1—4年主变总容量依次为80.00、80.00、80.00、80.00 MVA；转接后正向负荷由第1年的38.00 MW变为第4年的38.00 MW。四年均以承接负荷为主，第1年和第4年净承接分别为20.79 MW和19.84 MW，主变配置同时服务于本站及片区转入负荷。第4年退出最大一台主变后，剩余主变容量为40.00 MVA，按功率因数折算并计入相应持续时间的储能放电功率，正向容量余量为0.00 MW。</w:t>
      </w:r>
    </w:p>
    <w:p>
      <w:pPr>
        <w:pStyle w:val="5"/>
        <w:keepNext/>
        <w:numPr>
          <w:numId w:val="0"/>
        </w:numPr>
        <w:spacing w:line="360" w:lineRule="auto" w:before="160" w:after="120"/>
        <w:ind w:firstLine="0"/>
      </w:pPr>
      <w:bookmarkStart w:id="245" w:name="目标年设备配置的站间差异"/>
      <w:r>
        <w:rPr>
          <w:rFonts w:ascii="Times New Roman" w:hAnsi="Times New Roman" w:eastAsia="方正仿宋_GBK"/>
          <w:b/>
          <w:sz w:val="26"/>
        </w:rPr>
        <w:t xml:space="preserve">5.4.4 目标年设备配置的站间差异</w:t>
      </w:r>
      <w:bookmarkEnd w:id="245"/>
    </w:p>
    <w:p>
      <w:pPr>
        <w:pStyle w:val="FirstParagraph"/>
        <w:widowControl/>
        <w:spacing w:line="300" w:lineRule="auto" w:before="0" w:after="0"/>
        <w:ind w:firstLine="480"/>
        <w:jc w:val="both"/>
      </w:pPr>
      <w:r>
        <w:rPr>
          <w:rFonts w:ascii="Times New Roman" w:hAnsi="Times New Roman" w:eastAsia="方正仿宋_GBK"/>
          <w:b w:val="0"/>
          <w:sz w:val="24"/>
        </w:rPr>
        <w:t xml:space="preserve">区域主变总容量增加，可以通过更换较大容量主变、增加主变台数或两者结合实现。两类措施形成的站内设备结构不同，对单台主变停运后的剩余容量也有不同影响。将逐站结果按在役主变台数和配储情况汇总，可以进一步说明弹性方案如何调整容量配置。</w:t>
      </w:r>
    </w:p>
    <w:p>
      <w:pPr>
        <w:pStyle w:val="2"/>
        <w:keepNext/>
        <w:spacing w:line="300" w:lineRule="auto" w:before="120" w:after="80"/>
        <w:ind w:firstLine="0"/>
        <w:jc w:val="center"/>
      </w:pPr>
      <w:r>
        <w:rPr>
          <w:rFonts w:ascii="Times New Roman" w:hAnsi="Times New Roman" w:eastAsia="宋体"/>
          <w:b w:val="0"/>
          <w:sz w:val="21"/>
        </w:rPr>
        <w:t xml:space="preserve">表5-62 目标年主变配置与配储站数比较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站数/座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两台主变站数/座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三台主变站数/座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配储站数/座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253.10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250.00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20座站中，刚性方案有6座采用三台主变，弹性方案增加到11座，占比由30.00%提高到55.00%；配储站数由11座降至2座，占比由55.00%降至10.00%。市区29座站中，三台主变站数由1座增加到8座，占比由3.45%提高到27.59%；配储站数由7座降至2座，占比由24.14%降至6.90%。储能规模的减少同时表现为配置地点减少和额定功率下降。</w:t>
      </w:r>
    </w:p>
    <w:p>
      <w:pPr>
        <w:pStyle w:val="2"/>
        <w:widowControl/>
        <w:spacing w:line="300" w:lineRule="auto" w:before="0" w:after="0"/>
        <w:ind w:firstLine="480"/>
        <w:jc w:val="both"/>
      </w:pPr>
      <w:r>
        <w:rPr>
          <w:rFonts w:ascii="Times New Roman" w:hAnsi="Times New Roman" w:eastAsia="方正仿宋_GBK"/>
          <w:b w:val="0"/>
          <w:sz w:val="24"/>
        </w:rPr>
        <w:t xml:space="preserve">主变台数变化与N-1后的剩余容量有关。在相同站内总容量下，单台主变越大，退出该主变后保留的容量越少；增加主变台数则可能改变最大单台容量占总容量的比例。因此，站内总容量相近的两种配置，其N-1后的供电条件仍可能不同。本案例的增容与扩建选择同时考虑正常运行和单台主变退出后的需求，区域容载比则汇总各站最终保留的容量。</w:t>
      </w:r>
    </w:p>
    <w:p>
      <w:pPr>
        <w:pStyle w:val="2"/>
        <w:widowControl/>
        <w:spacing w:line="300" w:lineRule="auto" w:before="0" w:after="0"/>
        <w:ind w:firstLine="480"/>
        <w:jc w:val="both"/>
      </w:pPr>
      <w:r>
        <w:rPr>
          <w:rFonts w:ascii="Times New Roman" w:hAnsi="Times New Roman" w:eastAsia="方正仿宋_GBK"/>
          <w:b w:val="0"/>
          <w:sz w:val="24"/>
        </w:rPr>
        <w:t xml:space="preserve">弹性方案中，邳州仍有9座站、市区仍有21座站采用两台主变。由此可见，区域总容量提高并未使全部站点采用相同配置。各站原有规格、承接负荷和反向功率不同，形成了两台与三台主变并存的建设结果。对已有容量能够满足需求的站，保留两台主变可以利用存量设备；对局部容量缺口较大且能够扩建的站，增加台数可以同时改善正常运行及N-1条件。</w:t>
      </w:r>
    </w:p>
    <w:p>
      <w:pPr>
        <w:pStyle w:val="2"/>
        <w:widowControl/>
        <w:spacing w:line="300" w:lineRule="auto" w:before="0" w:after="0"/>
        <w:ind w:firstLine="480"/>
        <w:jc w:val="both"/>
      </w:pPr>
      <w:r>
        <w:rPr>
          <w:rFonts w:ascii="Times New Roman" w:hAnsi="Times New Roman" w:eastAsia="方正仿宋_GBK"/>
          <w:b w:val="0"/>
          <w:sz w:val="24"/>
        </w:rPr>
        <w:t xml:space="preserve">配储站数反映储能配置的空间范围，储能额定功率反映设备规模，两项统计应结合解释。多个站点均配置少量储能，与少数站点配置大规模储能，对总投资、运维地点及容量分布有不同影响。本案例弹性方案在两地区均保留2处配储，说明主变建设和负荷转接完成大部分容量调整后，储能仍用于补充少数站点的剩余需求。</w:t>
      </w:r>
    </w:p>
    <w:p>
      <w:pPr>
        <w:pStyle w:val="2"/>
        <w:widowControl/>
        <w:spacing w:line="300" w:lineRule="auto"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bookmarkStart w:id="1865" w:name="h865"/>
      <w:pPr>
        <w:pStyle w:val="4"/>
        <w:keepNext/>
        <w:numPr>
          <w:numId w:val="0"/>
        </w:numPr>
        <w:spacing w:line="360" w:lineRule="auto" w:before="160" w:after="120"/>
        <w:ind w:firstLine="0"/>
      </w:pPr>
      <w:bookmarkStart w:id="246" w:name="措施作用与工程衔接"/>
      <w:r>
        <w:rPr>
          <w:rFonts w:ascii="Times New Roman" w:hAnsi="Times New Roman" w:eastAsia="方正仿宋_GBK"/>
          <w:b/>
          <w:sz w:val="32"/>
        </w:rPr>
        <w:t xml:space="preserve">5.5 措施作用与工程衔接</w:t>
      </w:r>
      <w:bookmarkEnd w:id="246"/>
      <w:bookmarkEnd w:id="1865"/>
    </w:p>
    <w:p>
      <w:pPr>
        <w:pStyle w:val="FirstParagraph"/>
        <w:widowControl/>
        <w:spacing w:line="300" w:lineRule="auto" w:before="0" w:after="0"/>
        <w:ind w:firstLine="480"/>
        <w:jc w:val="both"/>
      </w:pPr>
      <w:r>
        <w:rPr>
          <w:rFonts w:ascii="Times New Roman" w:hAnsi="Times New Roman" w:eastAsia="方正仿宋_GBK"/>
          <w:b w:val="0"/>
          <w:sz w:val="24"/>
        </w:rPr>
        <w:t xml:space="preserve">规划第4年，邳州弹性方案转接负荷184.11 MW，其中135.31 MW利用既有能力，48.80 MW利用新增能力；市区分别为389.51 MW、372.29 MW和17.22 MW。两地区负荷调整均以既有联络为主，新增联络补充局部转供能力。</w:t>
      </w:r>
    </w:p>
    <w:p>
      <w:pPr>
        <w:pStyle w:val="2"/>
        <w:widowControl/>
        <w:spacing w:line="300" w:lineRule="auto" w:before="0" w:after="0"/>
        <w:ind w:firstLine="480"/>
        <w:jc w:val="both"/>
      </w:pPr>
      <w:r>
        <w:rPr>
          <w:rFonts w:ascii="Times New Roman" w:hAnsi="Times New Roman" w:eastAsia="方正仿宋_GBK"/>
          <w:b w:val="0"/>
          <w:sz w:val="24"/>
        </w:rPr>
        <w:t xml:space="preserve">邳州弹性方案四年累计新建13项联络，市区新建3项。邳州初始转供率为28.29%，新增联络对提高片区转供能力的作用较为突出；市区初始转供率为50.00%，建设主要用于局部负荷调整。站间联络的作用取决于送端可转负荷及承接站容量余量，应与主变和储能配置共同评价。</w:t>
      </w:r>
    </w:p>
    <w:p>
      <w:pPr>
        <w:pStyle w:val="2"/>
        <w:keepNext/>
        <w:spacing w:line="300" w:lineRule="auto" w:before="120" w:after="80"/>
        <w:ind w:firstLine="0"/>
        <w:jc w:val="center"/>
      </w:pPr>
      <w:r>
        <w:rPr>
          <w:rFonts w:ascii="Times New Roman" w:hAnsi="Times New Roman" w:eastAsia="宋体"/>
          <w:b w:val="0"/>
          <w:sz w:val="21"/>
        </w:rPr>
        <w:t xml:space="preserve">表5-63 既有与新增转供能力的实际利用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规划年序</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既有能力使用/MW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新增能力使用/MW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在役项目/项</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122.86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113.66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135.49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149.30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42.69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197.61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130.12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142.04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160.12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349.76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364.43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361.73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396.75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r>
    </w:tbl>
    <w:p>
      <w:pPr>
        <w:pStyle w:val="2"/>
        <w:widowControl/>
        <w:spacing w:line="300" w:lineRule="auto" w:before="0" w:after="0"/>
        <w:ind w:firstLine="480"/>
        <w:jc w:val="both"/>
      </w:pPr>
      <w:r>
        <w:rPr>
          <w:rFonts w:ascii="Times New Roman" w:hAnsi="Times New Roman" w:eastAsia="方正仿宋_GBK"/>
          <w:b w:val="0"/>
          <w:sz w:val="24"/>
        </w:rPr>
        <w:t xml:space="preserve">负荷转接的规模还随规划年份变化。下表分别统计承担转出与承接任务的站数、地区转接负荷合计，以及单站转出和承接负荷的最大值。地区转出量与承接量相等，转接负荷合计按转出端计算一次，用于反映区域内部重新分配的负荷规模。</w:t>
      </w:r>
    </w:p>
    <w:p>
      <w:pPr>
        <w:pStyle w:val="2"/>
        <w:keepNext/>
        <w:spacing w:line="300" w:lineRule="auto" w:before="120" w:after="80"/>
        <w:ind w:firstLine="0"/>
        <w:jc w:val="center"/>
      </w:pPr>
      <w:r>
        <w:rPr>
          <w:rFonts w:ascii="Times New Roman" w:hAnsi="Times New Roman" w:eastAsia="宋体"/>
          <w:b w:val="0"/>
          <w:sz w:val="21"/>
        </w:rPr>
        <w:t xml:space="preserve">表5-64 邳州弹性方案逐年负荷转接规模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规划年</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转出站数/座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承接站数/座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单站最大转出负荷/MW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单站最大承接负荷/MW</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25.78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142.04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39.42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31.05</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邳州转接负荷由第1年的130.12 MW增加至第4年的184.11 MW，增加53.99 MW，增幅41.49%。规划期间承担转出任务的站数为9～11座，承接站数为7～10座。转接总量增加的同时，参与站数并未按相同比例增加，表明负荷调整更多体现为各站承担规模的变化。</w:t>
      </w:r>
    </w:p>
    <w:p>
      <w:pPr>
        <w:pStyle w:val="2"/>
        <w:widowControl/>
        <w:spacing w:line="300" w:lineRule="auto" w:before="0" w:after="0"/>
        <w:ind w:firstLine="480"/>
        <w:jc w:val="both"/>
      </w:pPr>
      <w:r>
        <w:rPr>
          <w:rFonts w:ascii="Times New Roman" w:hAnsi="Times New Roman" w:eastAsia="方正仿宋_GBK"/>
          <w:b w:val="0"/>
          <w:sz w:val="24"/>
        </w:rPr>
        <w:t xml:space="preserve">单站最大转出负荷由25.78 MW增加至48.24 MW，而单站最大承接负荷由41.45 MW降至31.05 MW。两个方向的最大值变化不同，说明区域内部负荷增长后，部分转出站需要释放更多供电任务，承接任务则分配到多个具备余量的站点。这里比较的是各年度单站最大值，其对应站点可以变化；地区合计仍按全部站点统计。</w:t>
      </w:r>
    </w:p>
    <w:p>
      <w:pPr>
        <w:pStyle w:val="2"/>
        <w:widowControl/>
        <w:spacing w:line="300" w:lineRule="auto" w:before="0" w:after="0"/>
        <w:ind w:firstLine="480"/>
        <w:jc w:val="both"/>
      </w:pPr>
      <w:r>
        <w:rPr>
          <w:rFonts w:ascii="Times New Roman" w:hAnsi="Times New Roman" w:eastAsia="方正仿宋_GBK"/>
          <w:b w:val="0"/>
          <w:sz w:val="24"/>
        </w:rPr>
        <w:t xml:space="preserve">第3年邳州有9座转出站和10座承接站，第4年则分别为10座。相邻年份站点角色和数量的变化，与新增主变投运后的容量分配有关。主变扩建不仅满足本站负荷，还可能使该站获得承接邻站负荷的条件；某站当年减少转出任务，也可能意味着自身容量建设已经覆盖更多需求。逐年转接结果与主变建设时序共同说明了站群容量的利用方式。</w:t>
      </w:r>
    </w:p>
    <w:p>
      <w:pPr>
        <w:pStyle w:val="2"/>
        <w:keepNext/>
        <w:spacing w:line="300" w:lineRule="auto" w:before="120" w:after="80"/>
        <w:ind w:firstLine="0"/>
        <w:jc w:val="center"/>
      </w:pPr>
      <w:r>
        <w:rPr>
          <w:rFonts w:ascii="Times New Roman" w:hAnsi="Times New Roman" w:eastAsia="宋体"/>
          <w:b w:val="0"/>
          <w:sz w:val="21"/>
        </w:rPr>
        <w:t xml:space="preserve">表5-65 市区弹性方案逐年负荷转接规模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规划年</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转出站数/座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承接站数/座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单站最大转出负荷/MW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单站最大承接负荷/MW</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364.43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57.64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60.12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66.66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396.75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66.49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63.42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66.32</w:t>
            </w:r>
          </w:p>
        </w:tc>
      </w:tr>
    </w:tbl>
    <w:p>
      <w:pPr>
        <w:pStyle w:val="2"/>
        <w:widowControl/>
        <w:spacing w:line="300" w:lineRule="auto" w:before="0" w:after="0"/>
        <w:ind w:firstLine="480"/>
        <w:jc w:val="both"/>
      </w:pPr>
      <w:r>
        <w:rPr>
          <w:rFonts w:ascii="Times New Roman" w:hAnsi="Times New Roman" w:eastAsia="方正仿宋_GBK"/>
          <w:b w:val="0"/>
          <w:sz w:val="24"/>
        </w:rPr>
        <w:t xml:space="preserve">市区转接负荷由第1年的364.43 MW增加至第3年的396.75 MW，第4年回落至389.51 MW；第1年至第4年净增加25.09 MW，增幅6.88%。其变化幅度小于邳州，但转接总量较大，与市区较高的既有转供条件及较多站点有关。负荷转接在市区方案中持续承担较大的区域内部配置任务。</w:t>
      </w:r>
    </w:p>
    <w:p>
      <w:pPr>
        <w:pStyle w:val="2"/>
        <w:widowControl/>
        <w:spacing w:line="300" w:lineRule="auto" w:before="0" w:after="0"/>
        <w:ind w:firstLine="480"/>
        <w:jc w:val="both"/>
      </w:pPr>
      <w:r>
        <w:rPr>
          <w:rFonts w:ascii="Times New Roman" w:hAnsi="Times New Roman" w:eastAsia="方正仿宋_GBK"/>
          <w:b w:val="0"/>
          <w:sz w:val="24"/>
        </w:rPr>
        <w:t xml:space="preserve">市区转出站数由12座增加至14座，承接站数由16座变为15座，单站最大转出负荷由57.64 MW增加至63.42 MW。单站最大承接负荷维持在60.12～66.66 MW之间，说明承接侧较大的供电任务在各年均存在。对这些站点，主变容量既要覆盖本地需求，也要承担由邻站转入的负荷，工程建设规模需要按转接后的负荷确定。</w:t>
      </w:r>
    </w:p>
    <w:p>
      <w:pPr>
        <w:pStyle w:val="2"/>
        <w:widowControl/>
        <w:spacing w:line="300" w:lineRule="auto" w:before="0" w:after="0"/>
        <w:ind w:firstLine="480"/>
        <w:jc w:val="both"/>
      </w:pPr>
      <w:r>
        <w:rPr>
          <w:rFonts w:ascii="Times New Roman" w:hAnsi="Times New Roman" w:eastAsia="方正仿宋_GBK"/>
          <w:b w:val="0"/>
          <w:sz w:val="24"/>
        </w:rPr>
        <w:t xml:space="preserve">市区第4年转接总量较第3年减少7.24 MW，不能据此判断区域负荷下降。转接总量仅表示区域内部重新分配的部分，地区最大负荷还包括各站继续承担的本地负荷。新增容量投运后，部分站可以自行承担更多负荷，从而减少需要转接的规模。将转接总量与年网供最大负荷分别统计，有助于解释负荷增长与转接安排之间的关系。</w:t>
      </w:r>
    </w:p>
    <w:p>
      <w:pPr>
        <w:pStyle w:val="2"/>
        <w:widowControl/>
        <w:spacing w:line="300" w:lineRule="auto" w:before="0" w:after="0"/>
        <w:ind w:firstLine="480"/>
        <w:jc w:val="both"/>
      </w:pPr>
      <w:r>
        <w:rPr>
          <w:rFonts w:ascii="Times New Roman" w:hAnsi="Times New Roman" w:eastAsia="方正仿宋_GBK"/>
          <w:b w:val="0"/>
          <w:sz w:val="24"/>
        </w:rPr>
        <w:t xml:space="preserve">两地区年度结果表明，联络设施的建设数量、允许转接的能力和实际承担的转接负荷是三个不同量。建设数量决定新增工程规模，转供能力反映线路及两端设备允许承担的范围，实际转接负荷取决于当年的站间容量分配。已有线路在不同年份可以承担不同负荷，因此逐年转接量变化不必对应相同数量的新增线路。</w:t>
      </w:r>
    </w:p>
    <w:p>
      <w:pPr>
        <w:pStyle w:val="2"/>
        <w:widowControl/>
        <w:spacing w:line="300" w:lineRule="auto" w:before="0" w:after="0"/>
        <w:ind w:firstLine="480"/>
        <w:jc w:val="both"/>
      </w:pPr>
      <w:r>
        <w:rPr>
          <w:rFonts w:ascii="Times New Roman" w:hAnsi="Times New Roman" w:eastAsia="方正仿宋_GBK"/>
          <w:b w:val="0"/>
          <w:sz w:val="24"/>
        </w:rPr>
        <w:t xml:space="preserve">从建设措施衔接看，主变增容或扩建为承接站提供容量，联络条件使部分负荷能够由相邻站承担，储能补充特定持续时间内的局部容量需求。三类措施共同形成最终设备布局。邳州更多依靠持续增加主变容量并补充联络条件，市区则较多利用既有联络开展负荷调整；两地的建设重点与前述运行特征相对应。</w:t>
      </w:r>
    </w:p>
    <w:p>
      <w:bookmarkStart w:id="1880" w:name="h880"/>
      <w:pPr>
        <w:pStyle w:val="4"/>
        <w:keepNext/>
        <w:numPr>
          <w:numId w:val="0"/>
        </w:numPr>
        <w:spacing w:line="360" w:lineRule="auto" w:before="160" w:after="120"/>
        <w:ind w:firstLine="0"/>
      </w:pPr>
      <w:bookmarkStart w:id="247" w:name="参数拓展与通用推荐矩阵"/>
      <w:r>
        <w:rPr>
          <w:rFonts w:ascii="Times New Roman" w:hAnsi="Times New Roman" w:eastAsia="方正仿宋_GBK"/>
          <w:b/>
          <w:sz w:val="32"/>
        </w:rPr>
        <w:t xml:space="preserve">5.6 参数拓展与通用推荐矩阵</w:t>
      </w:r>
      <w:bookmarkEnd w:id="247"/>
      <w:bookmarkEnd w:id="1880"/>
    </w:p>
    <w:p>
      <w:pPr>
        <w:pStyle w:val="5"/>
        <w:keepNext/>
        <w:numPr>
          <w:numId w:val="0"/>
        </w:numPr>
        <w:spacing w:line="360" w:lineRule="auto" w:before="160" w:after="120"/>
        <w:ind w:firstLine="0"/>
      </w:pPr>
      <w:bookmarkStart w:id="248" w:name="从案例关系到通用参数"/>
      <w:r>
        <w:rPr>
          <w:rFonts w:ascii="Times New Roman" w:hAnsi="Times New Roman" w:eastAsia="方正仿宋_GBK"/>
          <w:b/>
          <w:sz w:val="26"/>
        </w:rPr>
        <w:t xml:space="preserve">5.6.1 从案例关系到通用参数</w:t>
      </w:r>
      <w:bookmarkEnd w:id="248"/>
    </w:p>
    <w:p>
      <w:pPr>
        <w:pStyle w:val="FirstParagraph"/>
        <w:widowControl/>
        <w:spacing w:line="300" w:lineRule="auto" w:before="0" w:after="0"/>
        <w:ind w:firstLine="480"/>
        <w:jc w:val="both"/>
      </w:pPr>
      <w:r>
        <w:rPr>
          <w:rFonts w:ascii="Times New Roman" w:hAnsi="Times New Roman" w:eastAsia="方正仿宋_GBK"/>
          <w:b w:val="0"/>
          <w:sz w:val="24"/>
        </w:rPr>
        <w:t xml:space="preserve">案例说明容载比由主变容量和年网供最大负荷共同形成，其经济取值还受储能持续支撑、站间转供能力和工程价格影响。通用矩阵据此采用可比较的参数范围，构造A类和B/C类两种等容量仿真站群，将具体地区的站名和规模转换为一般结构条件。</w:t>
      </w:r>
    </w:p>
    <w:p>
      <w:pPr>
        <w:pStyle w:val="2"/>
        <w:widowControl/>
        <w:spacing w:line="300" w:lineRule="auto" w:before="0" w:after="0"/>
        <w:ind w:firstLine="480"/>
        <w:jc w:val="both"/>
      </w:pPr>
      <w:r>
        <w:rPr>
          <w:rFonts w:ascii="Times New Roman" w:hAnsi="Times New Roman" w:eastAsia="方正仿宋_GBK"/>
          <w:b w:val="0"/>
          <w:sz w:val="24"/>
        </w:rPr>
        <w:t xml:space="preserve">外推站群均含5座变电站，每站初始配置两台主变。A类单台50 MVA，B/C类单台40 MVA，基期年网供最大负荷分别为250和200 MW，基期容载比均为2.00。负荷分散系数为同一统计期、同一电压等级及统计范围内，各站最大负荷之和与对应站群同时最大负荷的比值，用于反映各站负荷高峰的不同时性。DL/T 5729—2023将其列为确定容载比的影响因素，计算口径参照相关研究[5][46]。本研究取1.00和1.15，两组情景沿用各自的站间负荷权重，推荐范围按相应组合归纳。邳州、市区案例的负荷分散系数分别约为1.06和1.11。光伏分配采用独立权重，保留源荷空间差异。新购规格、扩建50 MVA主变、储能柜及联络能力与前述计算方法一致。</w:t>
      </w:r>
    </w:p>
    <w:p>
      <w:pPr>
        <w:pStyle w:val="2"/>
        <w:widowControl/>
        <w:spacing w:line="300" w:lineRule="auto" w:before="0" w:after="0"/>
        <w:ind w:firstLine="480"/>
        <w:jc w:val="both"/>
      </w:pPr>
      <w:r>
        <w:rPr>
          <w:rFonts w:ascii="Times New Roman" w:hAnsi="Times New Roman" w:eastAsia="方正仿宋_GBK"/>
          <w:b w:val="0"/>
          <w:sz w:val="24"/>
        </w:rPr>
        <w:t xml:space="preserve">参数变化通过站级正向、反向负荷和持续支撑系数进入约束，以评价期费用确定对应配置。通用外推采用规划第4年的静态容量比选，归纳目标年推荐值；两地区案例另按逐年状态进行建设时序寻优。</w:t>
      </w:r>
    </w:p>
    <w:p>
      <w:pPr>
        <w:pStyle w:val="5"/>
        <w:keepNext/>
        <w:numPr>
          <w:numId w:val="0"/>
        </w:numPr>
        <w:spacing w:line="360" w:lineRule="auto" w:before="160" w:after="120"/>
        <w:ind w:firstLine="0"/>
      </w:pPr>
      <w:bookmarkStart w:id="249" w:name="参数范围与场景构造"/>
      <w:r>
        <w:rPr>
          <w:rFonts w:ascii="Times New Roman" w:hAnsi="Times New Roman" w:eastAsia="方正仿宋_GBK"/>
          <w:b/>
          <w:sz w:val="26"/>
        </w:rPr>
        <w:t xml:space="preserve">5.6.2 参数范围与场景构造</w:t>
      </w:r>
      <w:bookmarkEnd w:id="249"/>
    </w:p>
    <w:p>
      <w:pPr>
        <w:pStyle w:val="FirstParagraph"/>
        <w:keepNext/>
        <w:spacing w:line="300" w:lineRule="auto" w:before="120" w:after="80"/>
        <w:ind w:firstLine="0"/>
        <w:jc w:val="center"/>
      </w:pPr>
      <w:r>
        <w:rPr>
          <w:rFonts w:ascii="Times New Roman" w:hAnsi="Times New Roman" w:eastAsia="宋体"/>
          <w:b w:val="0"/>
          <w:sz w:val="21"/>
        </w:rPr>
        <w:t xml:space="preserve">表5-66 通用外推参数及站群假定</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取值或范围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设定方式</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供电区域类别</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A类、B/C类</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两类五站仿真模板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初始主变</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5站；各2×50或2×40 MVA</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等容量基期</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初始容载比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两类站群一致</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1.00、1.15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研究情景取值；案例约1.06和1.11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光伏装机分配权重</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0.08/0.14/0.18/0.25/0.35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权重之和为1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0、0.30、0.80、1、1.30、1.80、2、2.30、2.80、3</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0、1%、2%、4%、7%、8%、10%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1、2、3、4、6 h</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正反向采用相同场景时长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初始站间转供率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A类50%；B/C类28.29%</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案例参数外推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线路、储能价格倍数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线路0.75/1.00/1.25；储能0.50/1.00/1.25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九组交叉价格</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光伏利用小时、用户年负荷率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 h；0.50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电量指标换算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目标年、费用时点</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第4年；按2025年投运折现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目标年静态规划外推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架空为主/电缆为主；电缆占比10.00%/90.00%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与供电类别交叉计算</w:t>
            </w:r>
          </w:p>
        </w:tc>
      </w:tr>
    </w:tbl>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分布式电源装机渗透率在0～3.00之间选取10个代表值，年最大净负荷平均增长率在0～10%之间选取7个值，95%峰值持续时间选取1、2、3、4、6 h。初始转供率采用50%和28.29%，分别对应两类站群；负荷分散系数取1.00和1.15。线路类型取架空为主和电缆为主；每类线路与储能各取三档价格，按九组交叉价格计算，形成25200个技术经济情景。</w:t>
      </w:r>
    </w:p>
    <w:p>
      <w:pPr>
        <w:pStyle w:val="2"/>
        <w:widowControl/>
        <w:spacing w:line="300" w:lineRule="auto" w:before="0" w:after="0"/>
        <w:ind w:firstLine="480"/>
        <w:jc w:val="both"/>
      </w:pPr>
      <w:r>
        <w:rPr>
          <w:rFonts w:ascii="Times New Roman" w:hAnsi="Times New Roman" w:eastAsia="方正仿宋_GBK"/>
          <w:b w:val="0"/>
          <w:sz w:val="24"/>
        </w:rPr>
        <w:t xml:space="preserve">设用户年负荷率0.50、光伏利用小时1200 h，分布式电源电量渗透率按分布式电源装机渗透率换算，约为0.00%～82.19%。技术场景以夜间正向负荷作为年网供最大负荷，日间光伏出力系数0.75、用户负荷为正向峰值的30%，由此构造反向净负荷。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rPr>
                              <m:sty m:val="p"/>
                            </m:rPr>
                            <m:t>D</m:t>
                          </m:r>
                          <m:r>
                            <m:rPr>
                              <m:sty m:val="p"/>
                            </m:rPr>
                            <m:t>G</m:t>
                          </m:r>
                        </m:sub>
                      </m:sSub>
                    </m:e>
                    <m:e>
                      <m:r>
                        <m:t>=</m:t>
                      </m:r>
                      <m:sSub>
                        <m:e>
                          <m:r>
                            <m:t>η</m:t>
                          </m:r>
                        </m:e>
                        <m:sub>
                          <m:r>
                            <m:t>C</m:t>
                          </m:r>
                        </m:sub>
                      </m:sSub>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e>
                  </m:mr>
                  <m:mr>
                    <m:e>
                      <m:sSubSup>
                        <m:e>
                          <m:r>
                            <m:t>L</m:t>
                          </m:r>
                        </m:e>
                        <m:sub>
                          <m:r>
                            <m:t>i</m:t>
                          </m:r>
                        </m:sub>
                        <m:sup>
                          <m:r>
                            <m:t>−</m:t>
                          </m:r>
                        </m:sup>
                      </m:sSubSup>
                    </m:e>
                    <m:e>
                      <m:r>
                        <m:t>=</m:t>
                      </m:r>
                      <m:r>
                        <m:rPr>
                          <m:nor/>
                          <m:sty m:val="p"/>
                        </m:rPr>
                        <m:t>max</m:t>
                      </m:r>
                      <m:r>
                        <m:t>(</m:t>
                      </m:r>
                      <m:r>
                        <m:t>0</m:t>
                      </m:r>
                      <m:r>
                        <m:t>,</m:t>
                      </m:r>
                      <m:r>
                        <m:t>0.75</m:t>
                      </m:r>
                      <m:sSub>
                        <m:e>
                          <m:r>
                            <m:t>C</m:t>
                          </m:r>
                        </m:e>
                        <m:sub>
                          <m:r>
                            <m:rPr>
                              <m:sty m:val="p"/>
                            </m:rPr>
                            <m:t>D</m:t>
                          </m:r>
                          <m:r>
                            <m:rPr>
                              <m:sty m:val="p"/>
                            </m:rPr>
                            <m:t>G</m:t>
                          </m:r>
                        </m:sub>
                      </m:sSub>
                      <m:sSubSup>
                        <m:e>
                          <m:r>
                            <m:t>w</m:t>
                          </m:r>
                        </m:e>
                        <m:sub>
                          <m:r>
                            <m:t>i</m:t>
                          </m:r>
                        </m:sub>
                        <m:sup>
                          <m:r>
                            <m:t>G</m:t>
                          </m:r>
                        </m:sup>
                      </m:sSubSup>
                      <m:r>
                        <m:t>−</m:t>
                      </m:r>
                      <m:r>
                        <m:t>0.30</m:t>
                      </m:r>
                      <m:sSubSup>
                        <m:e>
                          <m:r>
                            <m:t>L</m:t>
                          </m:r>
                        </m:e>
                        <m:sub>
                          <m:r>
                            <m:t>i</m:t>
                          </m:r>
                        </m:sub>
                        <m:sup>
                          <m:r>
                            <m:t>+</m:t>
                          </m:r>
                        </m:sup>
                      </m:sSub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w:t>
      </w:r>
      <m:oMath>
        <m:sSub>
          <m:e>
            <m:r>
              <m:t>C</m:t>
            </m:r>
          </m:e>
          <m:sub>
            <m:r>
              <m:rPr>
                <m:sty m:val="p"/>
              </m:rPr>
              <m:t>D</m:t>
            </m:r>
            <m:r>
              <m:rPr>
                <m:sty m:val="p"/>
              </m:rPr>
              <m:t>G</m:t>
            </m:r>
          </m:sub>
        </m:sSub>
      </m:oMath>
      <w:r>
        <w:rPr>
          <w:rFonts w:ascii="Times New Roman" w:hAnsi="Times New Roman" w:eastAsia="方正仿宋_GBK"/>
          <w:b w:val="0"/>
          <w:sz w:val="24"/>
        </w:rPr>
        <w:t xml:space="preserve">为装机容量，单位MW；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为用户最大负荷，在本外推场景中取年网供最大负荷；</w:t>
      </w:r>
      <m:oMath>
        <m:sSubSup>
          <m:e>
            <m:r>
              <m:t>w</m:t>
            </m:r>
          </m:e>
          <m:sub>
            <m:r>
              <m:t>i</m:t>
            </m:r>
          </m:sub>
          <m:sup>
            <m:r>
              <m:t>G</m:t>
            </m:r>
          </m:sup>
        </m:sSubSup>
      </m:oMath>
      <w:r>
        <w:rPr>
          <w:rFonts w:ascii="Times New Roman" w:hAnsi="Times New Roman" w:eastAsia="方正仿宋_GBK"/>
          <w:b w:val="0"/>
          <w:sz w:val="24"/>
        </w:rPr>
        <w:t xml:space="preserve">为站级光伏分配权重，各站权重之和为1。</w:t>
      </w:r>
      <m:oMath>
        <m:sSubSup>
          <m:e>
            <m:r>
              <m:t>L</m:t>
            </m:r>
          </m:e>
          <m:sub>
            <m:r>
              <m:t>i</m:t>
            </m:r>
          </m:sub>
          <m:sup>
            <m:r>
              <m:t>+</m:t>
            </m:r>
          </m:sup>
        </m:sSubSup>
      </m:oMath>
      <w:r>
        <w:rPr>
          <w:rFonts w:ascii="Times New Roman" w:hAnsi="Times New Roman" w:eastAsia="方正仿宋_GBK"/>
          <w:b w:val="0"/>
          <w:sz w:val="24"/>
        </w:rPr>
        <w:t xml:space="preserve">为站级最大正向净负荷，</w:t>
      </w:r>
      <m:oMath>
        <m:sSubSup>
          <m:e>
            <m:r>
              <m:t>L</m:t>
            </m:r>
          </m:e>
          <m:sub>
            <m:r>
              <m:t>i</m:t>
            </m:r>
          </m:sub>
          <m:sup>
            <m:r>
              <m:t>−</m:t>
            </m:r>
          </m:sup>
        </m:sSubSup>
      </m:oMath>
      <w:r>
        <w:rPr>
          <w:rFonts w:ascii="Times New Roman" w:hAnsi="Times New Roman" w:eastAsia="方正仿宋_GBK"/>
          <w:b w:val="0"/>
          <w:sz w:val="24"/>
        </w:rPr>
        <w:t xml:space="preserve">为构造的最大反向净负荷。0.75和0.30均为外推场景假定。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E</m:t>
                    </m:r>
                  </m:sub>
                </m:sSub>
                <m:r>
                  <m:t>=</m:t>
                </m:r>
                <m:f>
                  <m:fPr>
                    <m:type m:val="bar"/>
                  </m:fPr>
                  <m:num>
                    <m:sSub>
                      <m:e>
                        <m:r>
                          <m:t>C</m:t>
                        </m:r>
                      </m:e>
                      <m:sub>
                        <m:r>
                          <m:rPr>
                            <m:sty m:val="p"/>
                          </m:rPr>
                          <m:t>D</m:t>
                        </m:r>
                        <m:r>
                          <m:rPr>
                            <m:sty m:val="p"/>
                          </m:rPr>
                          <m:t>G</m:t>
                        </m:r>
                      </m:sub>
                    </m:sSub>
                    <m:sSub>
                      <m:e>
                        <m:r>
                          <m:t>T</m:t>
                        </m:r>
                      </m:e>
                      <m:sub>
                        <m: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r>
                      <m:t> </m:t>
                    </m:r>
                    <m:r>
                      <m:t>8760</m:t>
                    </m:r>
                    <m:r>
                      <m:t> </m:t>
                    </m:r>
                    <m:sSub>
                      <m:e>
                        <m:r>
                          <m:t>f</m:t>
                        </m:r>
                      </m:e>
                      <m:sub>
                        <m:r>
                          <m:rPr>
                            <m:sty m:val="p"/>
                          </m:rPr>
                          <m:t>u</m:t>
                        </m:r>
                        <m:r>
                          <m:rPr>
                            <m:sty m:val="p"/>
                          </m:rPr>
                          <m:t>s</m:t>
                        </m:r>
                        <m:r>
                          <m:rPr>
                            <m:sty m:val="p"/>
                          </m:rPr>
                          <m:t>e</m:t>
                        </m:r>
                        <m:r>
                          <m:rPr>
                            <m:sty m:val="p"/>
                          </m:rPr>
                          <m:t>r</m:t>
                        </m:r>
                      </m:sub>
                    </m:sSub>
                  </m:den>
                </m:f>
                <m:r>
                  <m:t>=</m:t>
                </m:r>
                <m:sSub>
                  <m:e>
                    <m:r>
                      <m:t>η</m:t>
                    </m:r>
                  </m:e>
                  <m:sub>
                    <m:r>
                      <m:t>C</m:t>
                    </m:r>
                  </m:sub>
                </m:sSub>
                <m:f>
                  <m:fPr>
                    <m:type m:val="bar"/>
                  </m:fPr>
                  <m:num>
                    <m:r>
                      <m:t>1200</m:t>
                    </m:r>
                  </m:num>
                  <m:den>
                    <m:r>
                      <m:t>8760</m:t>
                    </m:r>
                    <m:r>
                      <m:t>×</m:t>
                    </m:r>
                    <m:r>
                      <m:t>0.50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E</m:t>
            </m:r>
          </m:sub>
        </m:sSub>
      </m:oMath>
      <w:r>
        <w:rPr>
          <w:rFonts w:ascii="Times New Roman" w:hAnsi="Times New Roman" w:eastAsia="方正仿宋_GBK"/>
          <w:b w:val="0"/>
          <w:sz w:val="24"/>
        </w:rPr>
        <w:t xml:space="preserve">为分布式电源电量渗透率，</w:t>
      </w:r>
      <m:oMath>
        <m:sSub>
          <m:e>
            <m:r>
              <m:t>T</m:t>
            </m:r>
          </m:e>
          <m:sub>
            <m:r>
              <m:t>G</m:t>
            </m:r>
          </m:sub>
        </m:sSub>
      </m:oMath>
      <w:r>
        <w:rPr>
          <w:rFonts w:ascii="Times New Roman" w:hAnsi="Times New Roman" w:eastAsia="方正仿宋_GBK"/>
          <w:b w:val="0"/>
          <w:sz w:val="24"/>
        </w:rPr>
        <w:t xml:space="preserve">为光伏年利用小时，取1200 h；</w:t>
      </w:r>
      <m:oMath>
        <m:sSub>
          <m:e>
            <m:r>
              <m:t>f</m:t>
            </m:r>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为用户年负荷率，取0.50；8760为一年小时数。电量参数在该外推中与装机参数保持同一发电及用电假定。</w:t>
      </w:r>
    </w:p>
    <w:p>
      <w:pPr>
        <w:pStyle w:val="2"/>
        <w:widowControl/>
        <w:spacing w:line="300" w:lineRule="auto" w:before="0" w:after="0"/>
        <w:ind w:firstLine="480"/>
        <w:jc w:val="both"/>
      </w:pPr>
      <w:r>
        <w:rPr>
          <w:rFonts w:ascii="Times New Roman" w:hAnsi="Times New Roman" w:eastAsia="方正仿宋_GBK"/>
          <w:b w:val="0"/>
          <w:sz w:val="24"/>
        </w:rPr>
        <w:t xml:space="preserve">两个单位功率投资比均为无量纲研究参数：主变投资按新购容量折算的有功功率归一化，线路投资按可转负荷归一化，储能投资按充放电功率归一化。三类措施的替代规模由站级容量及转供条件确定。主变与储能单位功率投资比按3 h参考峰段列示，实际约束仍使用该场景的持续时间。线路参考价格倍数为0.75～1.25，储能为0.50～1.25，对应架空为主的主变与线路单位功率投资比约0.84～1.40、电缆为主约0.21～0.35、主变与储能单位功率投资比约0.04～0.12。</w:t>
      </w:r>
    </w:p>
    <w:p>
      <w:pPr>
        <w:pStyle w:val="5"/>
        <w:keepNext/>
        <w:numPr>
          <w:numId w:val="0"/>
        </w:numPr>
        <w:spacing w:line="360" w:lineRule="auto" w:before="160" w:after="120"/>
        <w:ind w:firstLine="0"/>
      </w:pPr>
      <w:bookmarkStart w:id="250" w:name="分类容载比推荐区间"/>
      <w:r>
        <w:rPr>
          <w:rFonts w:ascii="Times New Roman" w:hAnsi="Times New Roman" w:eastAsia="方正仿宋_GBK"/>
          <w:b/>
          <w:sz w:val="26"/>
        </w:rPr>
        <w:t xml:space="preserve">5.6.3 分类容载比推荐区间</w:t>
      </w:r>
      <w:bookmarkEnd w:id="250"/>
    </w:p>
    <w:p>
      <w:pPr>
        <w:pStyle w:val="FirstParagraph"/>
        <w:widowControl/>
        <w:spacing w:line="300" w:lineRule="auto" w:before="0" w:after="0"/>
        <w:ind w:firstLine="480"/>
        <w:jc w:val="both"/>
      </w:pPr>
      <w:r>
        <w:rPr>
          <w:rFonts w:ascii="Times New Roman" w:hAnsi="Times New Roman" w:eastAsia="方正仿宋_GBK"/>
          <w:b w:val="0"/>
          <w:sz w:val="24"/>
        </w:rPr>
        <w:t xml:space="preserve">通用推荐按供电区域类别、负荷分散系数和线路类型分类，再结合分布式电源装机渗透率、年最大净负荷平均增长率、95%峰值持续时间及主变与储能单位功率投资比确定容载比范围。各区间取对应条件下所选配置的最小值和最大值，显示时向外保留两位小数。推荐值反映满足容量和费用条件的设备配置，直接对应主变总容量与年网供最大负荷的比值。</w:t>
      </w:r>
    </w:p>
    <w:p>
      <w:pPr>
        <w:pStyle w:val="2"/>
        <w:widowControl/>
        <w:spacing w:line="300" w:lineRule="auto" w:before="0" w:after="0"/>
        <w:ind w:firstLine="480"/>
        <w:jc w:val="both"/>
      </w:pPr>
      <w:r>
        <w:rPr>
          <w:rFonts w:ascii="Times New Roman" w:hAnsi="Times New Roman" w:eastAsia="方正仿宋_GBK"/>
          <w:b w:val="0"/>
          <w:sz w:val="24"/>
        </w:rPr>
        <w:t xml:space="preserve">供电区域类别和负荷分散系数分别反映设备配置条件及各站负荷高峰的不同时性。同一源荷、增长和储能价格范围内，按这两项条件细分后，可以减少不同站群条件混合形成的区间宽度。负荷分散系数取1.00和1.15，分别归纳相应站群的结果；各组仍采用对应的站间负荷分配权重。</w:t>
      </w:r>
    </w:p>
    <w:p>
      <w:pPr>
        <w:pStyle w:val="2"/>
        <w:widowControl/>
        <w:spacing w:line="300" w:lineRule="auto" w:before="0" w:after="0"/>
        <w:ind w:firstLine="480"/>
        <w:jc w:val="both"/>
      </w:pPr>
      <w:r>
        <w:rPr>
          <w:rFonts w:ascii="Times New Roman" w:hAnsi="Times New Roman" w:eastAsia="方正仿宋_GBK"/>
          <w:b w:val="0"/>
          <w:sz w:val="24"/>
        </w:rPr>
        <w:t xml:space="preserve">主变与线路单位功率投资比在各分类表下注明，同时在第5.6.4节列出三档价格的配对分析。架空为主和电缆为主分别计算，容载比在本次线路价格范围内保持一致，费用按各档价格分别比较。分布式电源装机渗透率1.00、2.00和95%峰值持续时间3 h为相邻分组共享条件，查表时同时核对两侧结果。</w:t>
      </w:r>
    </w:p>
    <w:p>
      <w:pPr>
        <w:pStyle w:val="7"/>
        <w:keepNext/>
        <w:numPr>
          <w:numId w:val="0"/>
        </w:numPr>
        <w:spacing w:line="360" w:lineRule="auto" w:before="160" w:after="120"/>
        <w:ind w:firstLine="0"/>
      </w:pPr>
      <w:bookmarkStart w:id="251" w:name="a类供电区域负荷分散系数1.00架空为主"/>
      <w:r>
        <w:rPr>
          <w:rFonts w:ascii="Times New Roman" w:hAnsi="Times New Roman" w:eastAsia="方正仿宋_GBK"/>
          <w:b/>
          <w:sz w:val="24"/>
        </w:rPr>
        <w:t xml:space="preserve">A类供电区域，负荷分散系数1.00，架空为主</w:t>
      </w:r>
      <w:bookmarkEnd w:id="251"/>
    </w:p>
    <w:p>
      <w:pPr>
        <w:pStyle w:val="FirstParagraph"/>
        <w:widowControl/>
        <w:spacing w:line="300" w:lineRule="auto" w:before="0" w:after="0"/>
        <w:ind w:firstLine="480"/>
        <w:jc w:val="both"/>
      </w:pPr>
      <w:r>
        <w:rPr>
          <w:rFonts w:ascii="Times New Roman" w:hAnsi="Times New Roman" w:eastAsia="方正仿宋_GBK"/>
          <w:b w:val="0"/>
          <w:sz w:val="24"/>
        </w:rPr>
        <w:t xml:space="preserve">该类条件采用50 MVA初始主变规格，初始站间转供率为50.00%。负荷分散系数1.00表示各站最大负荷之和为区域同时最大负荷的1.00倍。分类推荐同时考虑分布式电源装机规模、负荷增长和95%峰值持续时间，表内区间宽度中位数为0.08。各站负荷峰值对本地设备提出容量要求，区域同时最大负荷则决定容载比分母，因此两者应在相同供电范围内对应分析。</w:t>
      </w:r>
    </w:p>
    <w:p>
      <w:pPr>
        <w:pStyle w:val="2"/>
        <w:widowControl/>
        <w:spacing w:line="300" w:lineRule="auto" w:before="0" w:after="0"/>
        <w:ind w:firstLine="480"/>
        <w:jc w:val="both"/>
      </w:pPr>
      <w:r>
        <w:rPr>
          <w:rFonts w:ascii="Times New Roman" w:hAnsi="Times New Roman" w:eastAsia="方正仿宋_GBK"/>
          <w:b w:val="0"/>
          <w:sz w:val="24"/>
        </w:rPr>
        <w:t xml:space="preserve">线路投资按架空为主的敷设比例计算，主变与线路单位功率投资比为0.84～1.40。这三档价格条件下，所选主变容量保持一致，线路费用差异计入评价期费用比较。主变与储能单位功率投资比按3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300" w:lineRule="auto" w:before="120" w:after="80"/>
        <w:ind w:firstLine="0"/>
        <w:jc w:val="center"/>
      </w:pPr>
      <w:r>
        <w:rPr>
          <w:rFonts w:ascii="Times New Roman" w:hAnsi="Times New Roman" w:eastAsia="宋体"/>
          <w:b w:val="0"/>
          <w:sz w:val="21"/>
        </w:rPr>
        <w:t xml:space="preserve">表5-67 A类、负荷分散系数1.00的容载比推荐区间（架空为主）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bl>
    <w:p>
      <w:pPr>
        <w:pStyle w:val="2"/>
        <w:widowControl/>
        <w:spacing w:line="300" w:lineRule="auto" w:before="0" w:after="0"/>
        <w:ind w:firstLine="480"/>
        <w:jc w:val="both"/>
      </w:pPr>
      <w:r>
        <w:rPr>
          <w:rFonts w:ascii="Times New Roman" w:hAnsi="Times New Roman" w:eastAsia="方正仿宋_GBK"/>
          <w:b w:val="0"/>
          <w:sz w:val="24"/>
        </w:rPr>
        <w:t xml:space="preserve">注：本表主变与线路单位功率投资比为0.84～1.40，分别计入三档线路价格。容载比按MVA/MW计，区间由对应条件下的计算结果归纳。</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2.03～2.20；年最大净负荷平均增长率＞2.00%～7.00%时为2.02～2.06；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2.03～2.20；年最大净负荷平均增长率＞2.00%～7.00%时为2.02～2.06；年最大净负荷平均增长率＞7.00%～10.00%时为2.01～2.10。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2.03～2.51；年最大净负荷平均增长率＞2.00%～7.00%时为2.02～2.36；年最大净负荷平均增长率＞7.00%～10.00%时为2.01～2.11。这些合并范围用于观察增长条件的影响，具体推荐仍按表中持续时间及主变与储能单位功率投资比定位，以保留不同储能配置对应的较窄区间。</w:t>
      </w:r>
    </w:p>
    <w:p>
      <w:pPr>
        <w:pStyle w:val="7"/>
        <w:keepNext/>
        <w:numPr>
          <w:numId w:val="0"/>
        </w:numPr>
        <w:spacing w:line="360" w:lineRule="auto" w:before="160" w:after="120"/>
        <w:ind w:firstLine="0"/>
      </w:pPr>
      <w:bookmarkStart w:id="252" w:name="a类供电区域负荷分散系数1.15架空为主"/>
      <w:r>
        <w:rPr>
          <w:rFonts w:ascii="Times New Roman" w:hAnsi="Times New Roman" w:eastAsia="方正仿宋_GBK"/>
          <w:b/>
          <w:sz w:val="24"/>
        </w:rPr>
        <w:t xml:space="preserve">A类供电区域，负荷分散系数1.15，架空为主</w:t>
      </w:r>
      <w:bookmarkEnd w:id="252"/>
    </w:p>
    <w:p>
      <w:pPr>
        <w:pStyle w:val="FirstParagraph"/>
        <w:widowControl/>
        <w:spacing w:line="300" w:lineRule="auto" w:before="0" w:after="0"/>
        <w:ind w:firstLine="480"/>
        <w:jc w:val="both"/>
      </w:pPr>
      <w:r>
        <w:rPr>
          <w:rFonts w:ascii="Times New Roman" w:hAnsi="Times New Roman" w:eastAsia="方正仿宋_GBK"/>
          <w:b w:val="0"/>
          <w:sz w:val="24"/>
        </w:rPr>
        <w:t xml:space="preserve">该类条件采用50 MVA初始主变规格，初始站间转供率为50.00%。负荷分散系数1.15表示各站最大负荷之和为区域同时最大负荷的1.15倍。分类推荐同时考虑分布式电源装机规模、负荷增长和95%峰值持续时间，表内区间宽度中位数为0.11。各站负荷峰值对本地设备提出容量要求，区域同时最大负荷则决定容载比分母，因此两者应在相同供电范围内对应分析。</w:t>
      </w:r>
    </w:p>
    <w:p>
      <w:pPr>
        <w:pStyle w:val="2"/>
        <w:widowControl/>
        <w:spacing w:line="300" w:lineRule="auto" w:before="0" w:after="0"/>
        <w:ind w:firstLine="480"/>
        <w:jc w:val="both"/>
      </w:pPr>
      <w:r>
        <w:rPr>
          <w:rFonts w:ascii="Times New Roman" w:hAnsi="Times New Roman" w:eastAsia="方正仿宋_GBK"/>
          <w:b w:val="0"/>
          <w:sz w:val="24"/>
        </w:rPr>
        <w:t xml:space="preserve">线路投资按架空为主的敷设比例计算，主变与线路单位功率投资比为0.84～1.40。这三档价格条件下，所选主变容量保持一致，线路费用差异计入评价期费用比较。主变与储能单位功率投资比按3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300" w:lineRule="auto" w:before="120" w:after="80"/>
        <w:ind w:firstLine="0"/>
        <w:jc w:val="center"/>
      </w:pPr>
      <w:r>
        <w:rPr>
          <w:rFonts w:ascii="Times New Roman" w:hAnsi="Times New Roman" w:eastAsia="宋体"/>
          <w:b w:val="0"/>
          <w:sz w:val="21"/>
        </w:rPr>
        <w:t xml:space="preserve">表5-68 A类、负荷分散系数1.15的容载比推荐区间（架空为主）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bl>
    <w:p>
      <w:pPr>
        <w:pStyle w:val="2"/>
        <w:widowControl/>
        <w:spacing w:line="300" w:lineRule="auto" w:before="0" w:after="0"/>
        <w:ind w:firstLine="480"/>
        <w:jc w:val="both"/>
      </w:pPr>
      <w:r>
        <w:rPr>
          <w:rFonts w:ascii="Times New Roman" w:hAnsi="Times New Roman" w:eastAsia="方正仿宋_GBK"/>
          <w:b w:val="0"/>
          <w:sz w:val="24"/>
        </w:rPr>
        <w:t xml:space="preserve">注：本表主变与线路单位功率投资比为0.84～1.40，分别计入三档线路价格。容载比按MVA/MW计，区间由对应条件下的计算结果归纳。</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2.20～2.40；年最大净负荷平均增长率＞2.00%～7.00%时为2.02～2.23；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2.20～2.40；年最大净负荷平均增长率＞2.00%～7.00%时为2.02～2.23；年最大净负荷平均增长率＞7.00%～10.00%时为2.01～2.10。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2.20～2.51；年最大净负荷平均增长率＞2.00%～7.00%时为2.02～2.32；年最大净负荷平均增长率＞7.00%～10.00%时为2.01～2.11。这些合并范围用于观察增长条件的影响，具体推荐仍按表中持续时间及主变与储能单位功率投资比定位，以保留不同储能配置对应的较窄区间。</w:t>
      </w:r>
    </w:p>
    <w:p>
      <w:pPr>
        <w:pStyle w:val="7"/>
        <w:keepNext/>
        <w:numPr>
          <w:numId w:val="0"/>
        </w:numPr>
        <w:spacing w:line="360" w:lineRule="auto" w:before="160" w:after="120"/>
        <w:ind w:firstLine="0"/>
      </w:pPr>
      <w:bookmarkStart w:id="253" w:name="bc类供电区域负荷分散系数1.00架空为主"/>
      <w:r>
        <w:rPr>
          <w:rFonts w:ascii="Times New Roman" w:hAnsi="Times New Roman" w:eastAsia="方正仿宋_GBK"/>
          <w:b/>
          <w:sz w:val="24"/>
        </w:rPr>
        <w:t xml:space="preserve">B/C类供电区域，负荷分散系数1.00，架空为主</w:t>
      </w:r>
      <w:bookmarkEnd w:id="253"/>
    </w:p>
    <w:p>
      <w:pPr>
        <w:pStyle w:val="FirstParagraph"/>
        <w:widowControl/>
        <w:spacing w:line="300" w:lineRule="auto" w:before="0" w:after="0"/>
        <w:ind w:firstLine="480"/>
        <w:jc w:val="both"/>
      </w:pPr>
      <w:r>
        <w:rPr>
          <w:rFonts w:ascii="Times New Roman" w:hAnsi="Times New Roman" w:eastAsia="方正仿宋_GBK"/>
          <w:b w:val="0"/>
          <w:sz w:val="24"/>
        </w:rPr>
        <w:t xml:space="preserve">该类条件采用40 MVA初始主变规格，初始站间转供率为28.29%。负荷分散系数1.00表示各站最大负荷之和为区域同时最大负荷的1.00倍。分类推荐同时考虑分布式电源装机规模、负荷增长和95%峰值持续时间，表内区间宽度中位数为0.17。各站负荷峰值对本地设备提出容量要求，区域同时最大负荷则决定容载比分母，因此两者应在相同供电范围内对应分析。</w:t>
      </w:r>
    </w:p>
    <w:p>
      <w:pPr>
        <w:pStyle w:val="2"/>
        <w:widowControl/>
        <w:spacing w:line="300" w:lineRule="auto" w:before="0" w:after="0"/>
        <w:ind w:firstLine="480"/>
        <w:jc w:val="both"/>
      </w:pPr>
      <w:r>
        <w:rPr>
          <w:rFonts w:ascii="Times New Roman" w:hAnsi="Times New Roman" w:eastAsia="方正仿宋_GBK"/>
          <w:b w:val="0"/>
          <w:sz w:val="24"/>
        </w:rPr>
        <w:t xml:space="preserve">线路投资按架空为主的敷设比例计算，主变与线路单位功率投资比为0.84～1.40。这三档价格条件下，所选主变容量保持一致，线路费用差异计入评价期费用比较。主变与储能单位功率投资比按3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300" w:lineRule="auto" w:before="120" w:after="80"/>
        <w:ind w:firstLine="0"/>
        <w:jc w:val="center"/>
      </w:pPr>
      <w:r>
        <w:rPr>
          <w:rFonts w:ascii="Times New Roman" w:hAnsi="Times New Roman" w:eastAsia="宋体"/>
          <w:b w:val="0"/>
          <w:sz w:val="21"/>
        </w:rPr>
        <w:t xml:space="preserve">表5-69 B/C类、负荷分散系数1.00的容载比推荐区间（架空为主）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bl>
    <w:p>
      <w:pPr>
        <w:pStyle w:val="2"/>
        <w:widowControl/>
        <w:spacing w:line="300" w:lineRule="auto" w:before="0" w:after="0"/>
        <w:ind w:firstLine="480"/>
        <w:jc w:val="both"/>
      </w:pPr>
      <w:r>
        <w:rPr>
          <w:rFonts w:ascii="Times New Roman" w:hAnsi="Times New Roman" w:eastAsia="方正仿宋_GBK"/>
          <w:b w:val="0"/>
          <w:sz w:val="24"/>
        </w:rPr>
        <w:t xml:space="preserve">注：本表主变与线路单位功率投资比为0.84～1.40，分别计入三档线路价格。容载比按MVA/MW计，区间由对应条件下的计算结果归纳。</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2.07～2.25；年最大净负荷平均增长率＞2.00%～7.00%时为2.02～2.10；年最大净负荷平均增长率＞7.00%～10.00%时为2.02～2.05。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2.07～2.25；年最大净负荷平均增长率＞2.00%～7.00%时为2.02～2.14；年最大净负荷平均增长率＞7.00%～10.00%时为2.02～2.09。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2.07～2.57；年最大净负荷平均增长率＞2.00%～7.00%时为2.03～2.44；年最大净负荷平均增长率＞7.00%～10.00%时为2.00～2.32。这些合并范围用于观察增长条件的影响，具体推荐仍按表中持续时间及主变与储能单位功率投资比定位，以保留不同储能配置对应的较窄区间。</w:t>
      </w:r>
    </w:p>
    <w:p>
      <w:pPr>
        <w:pStyle w:val="7"/>
        <w:keepNext/>
        <w:numPr>
          <w:numId w:val="0"/>
        </w:numPr>
        <w:spacing w:line="360" w:lineRule="auto" w:before="160" w:after="120"/>
        <w:ind w:firstLine="0"/>
      </w:pPr>
      <w:bookmarkStart w:id="254" w:name="bc类供电区域负荷分散系数1.15架空为主"/>
      <w:r>
        <w:rPr>
          <w:rFonts w:ascii="Times New Roman" w:hAnsi="Times New Roman" w:eastAsia="方正仿宋_GBK"/>
          <w:b/>
          <w:sz w:val="24"/>
        </w:rPr>
        <w:t xml:space="preserve">B/C类供电区域，负荷分散系数1.15，架空为主</w:t>
      </w:r>
      <w:bookmarkEnd w:id="254"/>
    </w:p>
    <w:p>
      <w:pPr>
        <w:pStyle w:val="FirstParagraph"/>
        <w:widowControl/>
        <w:spacing w:line="300" w:lineRule="auto" w:before="0" w:after="0"/>
        <w:ind w:firstLine="480"/>
        <w:jc w:val="both"/>
      </w:pPr>
      <w:r>
        <w:rPr>
          <w:rFonts w:ascii="Times New Roman" w:hAnsi="Times New Roman" w:eastAsia="方正仿宋_GBK"/>
          <w:b w:val="0"/>
          <w:sz w:val="24"/>
        </w:rPr>
        <w:t xml:space="preserve">该类条件采用40 MVA初始主变规格，初始站间转供率为28.29%。负荷分散系数1.15表示各站最大负荷之和为区域同时最大负荷的1.15倍。分类推荐同时考虑分布式电源装机规模、负荷增长和95%峰值持续时间，表内区间宽度中位数为0.15。各站负荷峰值对本地设备提出容量要求，区域同时最大负荷则决定容载比分母，因此两者应在相同供电范围内对应分析。</w:t>
      </w:r>
    </w:p>
    <w:p>
      <w:pPr>
        <w:pStyle w:val="2"/>
        <w:widowControl/>
        <w:spacing w:line="300" w:lineRule="auto" w:before="0" w:after="0"/>
        <w:ind w:firstLine="480"/>
        <w:jc w:val="both"/>
      </w:pPr>
      <w:r>
        <w:rPr>
          <w:rFonts w:ascii="Times New Roman" w:hAnsi="Times New Roman" w:eastAsia="方正仿宋_GBK"/>
          <w:b w:val="0"/>
          <w:sz w:val="24"/>
        </w:rPr>
        <w:t xml:space="preserve">线路投资按架空为主的敷设比例计算，主变与线路单位功率投资比为0.84～1.40。这三档价格条件下，所选主变容量保持一致，线路费用差异计入评价期费用比较。主变与储能单位功率投资比按3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300" w:lineRule="auto" w:before="120" w:after="80"/>
        <w:ind w:firstLine="0"/>
        <w:jc w:val="center"/>
      </w:pPr>
      <w:r>
        <w:rPr>
          <w:rFonts w:ascii="Times New Roman" w:hAnsi="Times New Roman" w:eastAsia="宋体"/>
          <w:b w:val="0"/>
          <w:sz w:val="21"/>
        </w:rPr>
        <w:t xml:space="preserve">表5-70 B/C类、负荷分散系数1.15的容载比推荐区间（架空为主）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bl>
    <w:p>
      <w:pPr>
        <w:pStyle w:val="2"/>
        <w:widowControl/>
        <w:spacing w:line="300" w:lineRule="auto" w:before="0" w:after="0"/>
        <w:ind w:firstLine="480"/>
        <w:jc w:val="both"/>
      </w:pPr>
      <w:r>
        <w:rPr>
          <w:rFonts w:ascii="Times New Roman" w:hAnsi="Times New Roman" w:eastAsia="方正仿宋_GBK"/>
          <w:b w:val="0"/>
          <w:sz w:val="24"/>
        </w:rPr>
        <w:t xml:space="preserve">注：本表主变与线路单位功率投资比为0.84～1.40，分别计入三档线路价格。容载比按MVA/MW计，区间由对应条件下的计算结果归纳。</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2.21～2.41；年最大净负荷平均增长率＞2.00%～7.00%时为2.09～2.18；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2.16～2.50；年最大净负荷平均增长率＞2.00%～7.00%时为2.09～2.18；年最大净负荷平均增长率＞7.00%～10.00%时为2.03～2.13。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2.16～2.60；年最大净负荷平均增长率＞2.00%～7.00%时为2.09～2.44；年最大净负荷平均增长率＞7.00%～10.00%时为2.03～2.27。这些合并范围用于观察增长条件的影响，具体推荐仍按表中持续时间及主变与储能单位功率投资比定位，以保留不同储能配置对应的较窄区间。</w:t>
      </w:r>
    </w:p>
    <w:p>
      <w:pPr>
        <w:pStyle w:val="7"/>
        <w:keepNext/>
        <w:numPr>
          <w:numId w:val="0"/>
        </w:numPr>
        <w:spacing w:line="360" w:lineRule="auto" w:before="160" w:after="120"/>
        <w:ind w:firstLine="0"/>
      </w:pPr>
      <w:bookmarkStart w:id="255" w:name="a类供电区域负荷分散系数1.00电缆为主"/>
      <w:r>
        <w:rPr>
          <w:rFonts w:ascii="Times New Roman" w:hAnsi="Times New Roman" w:eastAsia="方正仿宋_GBK"/>
          <w:b/>
          <w:sz w:val="24"/>
        </w:rPr>
        <w:t xml:space="preserve">A类供电区域，负荷分散系数1.00，电缆为主</w:t>
      </w:r>
      <w:bookmarkEnd w:id="255"/>
    </w:p>
    <w:p>
      <w:pPr>
        <w:pStyle w:val="FirstParagraph"/>
        <w:widowControl/>
        <w:spacing w:line="300" w:lineRule="auto" w:before="0" w:after="0"/>
        <w:ind w:firstLine="480"/>
        <w:jc w:val="both"/>
      </w:pPr>
      <w:r>
        <w:rPr>
          <w:rFonts w:ascii="Times New Roman" w:hAnsi="Times New Roman" w:eastAsia="方正仿宋_GBK"/>
          <w:b w:val="0"/>
          <w:sz w:val="24"/>
        </w:rPr>
        <w:t xml:space="preserve">该类条件采用50 MVA初始主变规格，初始站间转供率为50.00%。负荷分散系数1.00表示各站最大负荷之和为区域同时最大负荷的1.00倍。分类推荐同时考虑分布式电源装机规模、负荷增长和95%峰值持续时间，表内区间宽度中位数为0.08。各站负荷峰值对本地设备提出容量要求，区域同时最大负荷则决定容载比分母，因此两者应在相同供电范围内对应分析。</w:t>
      </w:r>
    </w:p>
    <w:p>
      <w:pPr>
        <w:pStyle w:val="2"/>
        <w:widowControl/>
        <w:spacing w:line="300" w:lineRule="auto" w:before="0" w:after="0"/>
        <w:ind w:firstLine="480"/>
        <w:jc w:val="both"/>
      </w:pPr>
      <w:r>
        <w:rPr>
          <w:rFonts w:ascii="Times New Roman" w:hAnsi="Times New Roman" w:eastAsia="方正仿宋_GBK"/>
          <w:b w:val="0"/>
          <w:sz w:val="24"/>
        </w:rPr>
        <w:t xml:space="preserve">线路投资按电缆为主的敷设比例计算，主变与线路单位功率投资比为0.21～0.35。这三档价格条件下，所选主变容量保持一致，线路费用差异计入评价期费用比较。主变与储能单位功率投资比按3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300" w:lineRule="auto" w:before="120" w:after="80"/>
        <w:ind w:firstLine="0"/>
        <w:jc w:val="center"/>
      </w:pPr>
      <w:r>
        <w:rPr>
          <w:rFonts w:ascii="Times New Roman" w:hAnsi="Times New Roman" w:eastAsia="宋体"/>
          <w:b w:val="0"/>
          <w:sz w:val="21"/>
        </w:rPr>
        <w:t xml:space="preserve">表5-71 A类、负荷分散系数1.00的容载比推荐区间（电缆为主）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bl>
    <w:p>
      <w:pPr>
        <w:pStyle w:val="2"/>
        <w:widowControl/>
        <w:spacing w:line="300" w:lineRule="auto" w:before="0" w:after="0"/>
        <w:ind w:firstLine="480"/>
        <w:jc w:val="both"/>
      </w:pPr>
      <w:r>
        <w:rPr>
          <w:rFonts w:ascii="Times New Roman" w:hAnsi="Times New Roman" w:eastAsia="方正仿宋_GBK"/>
          <w:b w:val="0"/>
          <w:sz w:val="24"/>
        </w:rPr>
        <w:t xml:space="preserve">注：本表主变与线路单位功率投资比为0.21～0.35，分别计入三档线路价格。容载比按MVA/MW计，区间由对应条件下的计算结果归纳。</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2.03～2.20；年最大净负荷平均增长率＞2.00%～7.00%时为2.02～2.06；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2.03～2.20；年最大净负荷平均增长率＞2.00%～7.00%时为2.02～2.06；年最大净负荷平均增长率＞7.00%～10.00%时为2.01～2.10。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2.03～2.51；年最大净负荷平均增长率＞2.00%～7.00%时为2.02～2.36；年最大净负荷平均增长率＞7.00%～10.00%时为2.01～2.11。这些合并范围用于观察增长条件的影响，具体推荐仍按表中持续时间及主变与储能单位功率投资比定位，以保留不同储能配置对应的较窄区间。</w:t>
      </w:r>
    </w:p>
    <w:p>
      <w:pPr>
        <w:pStyle w:val="7"/>
        <w:keepNext/>
        <w:numPr>
          <w:numId w:val="0"/>
        </w:numPr>
        <w:spacing w:line="360" w:lineRule="auto" w:before="160" w:after="120"/>
        <w:ind w:firstLine="0"/>
      </w:pPr>
      <w:bookmarkStart w:id="256" w:name="a类供电区域负荷分散系数1.15电缆为主"/>
      <w:r>
        <w:rPr>
          <w:rFonts w:ascii="Times New Roman" w:hAnsi="Times New Roman" w:eastAsia="方正仿宋_GBK"/>
          <w:b/>
          <w:sz w:val="24"/>
        </w:rPr>
        <w:t xml:space="preserve">A类供电区域，负荷分散系数1.15，电缆为主</w:t>
      </w:r>
      <w:bookmarkEnd w:id="256"/>
    </w:p>
    <w:p>
      <w:pPr>
        <w:pStyle w:val="FirstParagraph"/>
        <w:widowControl/>
        <w:spacing w:line="300" w:lineRule="auto" w:before="0" w:after="0"/>
        <w:ind w:firstLine="480"/>
        <w:jc w:val="both"/>
      </w:pPr>
      <w:r>
        <w:rPr>
          <w:rFonts w:ascii="Times New Roman" w:hAnsi="Times New Roman" w:eastAsia="方正仿宋_GBK"/>
          <w:b w:val="0"/>
          <w:sz w:val="24"/>
        </w:rPr>
        <w:t xml:space="preserve">该类条件采用50 MVA初始主变规格，初始站间转供率为50.00%。负荷分散系数1.15表示各站最大负荷之和为区域同时最大负荷的1.15倍。分类推荐同时考虑分布式电源装机规模、负荷增长和95%峰值持续时间，表内区间宽度中位数为0.11。各站负荷峰值对本地设备提出容量要求，区域同时最大负荷则决定容载比分母，因此两者应在相同供电范围内对应分析。</w:t>
      </w:r>
    </w:p>
    <w:p>
      <w:pPr>
        <w:pStyle w:val="2"/>
        <w:widowControl/>
        <w:spacing w:line="300" w:lineRule="auto" w:before="0" w:after="0"/>
        <w:ind w:firstLine="480"/>
        <w:jc w:val="both"/>
      </w:pPr>
      <w:r>
        <w:rPr>
          <w:rFonts w:ascii="Times New Roman" w:hAnsi="Times New Roman" w:eastAsia="方正仿宋_GBK"/>
          <w:b w:val="0"/>
          <w:sz w:val="24"/>
        </w:rPr>
        <w:t xml:space="preserve">线路投资按电缆为主的敷设比例计算，主变与线路单位功率投资比为0.21～0.35。这三档价格条件下，所选主变容量保持一致，线路费用差异计入评价期费用比较。主变与储能单位功率投资比按3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300" w:lineRule="auto" w:before="120" w:after="80"/>
        <w:ind w:firstLine="0"/>
        <w:jc w:val="center"/>
      </w:pPr>
      <w:r>
        <w:rPr>
          <w:rFonts w:ascii="Times New Roman" w:hAnsi="Times New Roman" w:eastAsia="宋体"/>
          <w:b w:val="0"/>
          <w:sz w:val="21"/>
        </w:rPr>
        <w:t xml:space="preserve">表5-72 A类、负荷分散系数1.15的容载比推荐区间（电缆为主）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2.20～2.51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2.01～2.07</w:t>
            </w:r>
          </w:p>
        </w:tc>
      </w:tr>
    </w:tbl>
    <w:p>
      <w:pPr>
        <w:pStyle w:val="2"/>
        <w:widowControl/>
        <w:spacing w:line="300" w:lineRule="auto" w:before="0" w:after="0"/>
        <w:ind w:firstLine="480"/>
        <w:jc w:val="both"/>
      </w:pPr>
      <w:r>
        <w:rPr>
          <w:rFonts w:ascii="Times New Roman" w:hAnsi="Times New Roman" w:eastAsia="方正仿宋_GBK"/>
          <w:b w:val="0"/>
          <w:sz w:val="24"/>
        </w:rPr>
        <w:t xml:space="preserve">注：本表主变与线路单位功率投资比为0.21～0.35，分别计入三档线路价格。容载比按MVA/MW计，区间由对应条件下的计算结果归纳。</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2.20～2.40；年最大净负荷平均增长率＞2.00%～7.00%时为2.02～2.23；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2.20～2.40；年最大净负荷平均增长率＞2.00%～7.00%时为2.02～2.23；年最大净负荷平均增长率＞7.00%～10.00%时为2.01～2.10。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2.20～2.51；年最大净负荷平均增长率＞2.00%～7.00%时为2.02～2.32；年最大净负荷平均增长率＞7.00%～10.00%时为2.01～2.11。这些合并范围用于观察增长条件的影响，具体推荐仍按表中持续时间及主变与储能单位功率投资比定位，以保留不同储能配置对应的较窄区间。</w:t>
      </w:r>
    </w:p>
    <w:p>
      <w:pPr>
        <w:pStyle w:val="7"/>
        <w:keepNext/>
        <w:numPr>
          <w:numId w:val="0"/>
        </w:numPr>
        <w:spacing w:line="360" w:lineRule="auto" w:before="160" w:after="120"/>
        <w:ind w:firstLine="0"/>
      </w:pPr>
      <w:bookmarkStart w:id="257" w:name="bc类供电区域负荷分散系数1.00电缆为主"/>
      <w:r>
        <w:rPr>
          <w:rFonts w:ascii="Times New Roman" w:hAnsi="Times New Roman" w:eastAsia="方正仿宋_GBK"/>
          <w:b/>
          <w:sz w:val="24"/>
        </w:rPr>
        <w:t xml:space="preserve">B/C类供电区域，负荷分散系数1.00，电缆为主</w:t>
      </w:r>
      <w:bookmarkEnd w:id="257"/>
    </w:p>
    <w:p>
      <w:pPr>
        <w:pStyle w:val="FirstParagraph"/>
        <w:widowControl/>
        <w:spacing w:line="300" w:lineRule="auto" w:before="0" w:after="0"/>
        <w:ind w:firstLine="480"/>
        <w:jc w:val="both"/>
      </w:pPr>
      <w:r>
        <w:rPr>
          <w:rFonts w:ascii="Times New Roman" w:hAnsi="Times New Roman" w:eastAsia="方正仿宋_GBK"/>
          <w:b w:val="0"/>
          <w:sz w:val="24"/>
        </w:rPr>
        <w:t xml:space="preserve">该类条件采用40 MVA初始主变规格，初始站间转供率为28.29%。负荷分散系数1.00表示各站最大负荷之和为区域同时最大负荷的1.00倍。分类推荐同时考虑分布式电源装机规模、负荷增长和95%峰值持续时间，表内区间宽度中位数为0.17。各站负荷峰值对本地设备提出容量要求，区域同时最大负荷则决定容载比分母，因此两者应在相同供电范围内对应分析。</w:t>
      </w:r>
    </w:p>
    <w:p>
      <w:pPr>
        <w:pStyle w:val="2"/>
        <w:widowControl/>
        <w:spacing w:line="300" w:lineRule="auto" w:before="0" w:after="0"/>
        <w:ind w:firstLine="480"/>
        <w:jc w:val="both"/>
      </w:pPr>
      <w:r>
        <w:rPr>
          <w:rFonts w:ascii="Times New Roman" w:hAnsi="Times New Roman" w:eastAsia="方正仿宋_GBK"/>
          <w:b w:val="0"/>
          <w:sz w:val="24"/>
        </w:rPr>
        <w:t xml:space="preserve">线路投资按电缆为主的敷设比例计算，主变与线路单位功率投资比为0.21～0.35。这三档价格条件下，所选主变容量保持一致，线路费用差异计入评价期费用比较。主变与储能单位功率投资比按3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300" w:lineRule="auto" w:before="120" w:after="80"/>
        <w:ind w:firstLine="0"/>
        <w:jc w:val="center"/>
      </w:pPr>
      <w:r>
        <w:rPr>
          <w:rFonts w:ascii="Times New Roman" w:hAnsi="Times New Roman" w:eastAsia="宋体"/>
          <w:b w:val="0"/>
          <w:sz w:val="21"/>
        </w:rPr>
        <w:t xml:space="preserve">表5-73 B/C类、负荷分散系数1.00的容载比推荐区间（电缆为主）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2.07～2.57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2.03～2.34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bl>
    <w:p>
      <w:pPr>
        <w:pStyle w:val="2"/>
        <w:widowControl/>
        <w:spacing w:line="300" w:lineRule="auto" w:before="0" w:after="0"/>
        <w:ind w:firstLine="480"/>
        <w:jc w:val="both"/>
      </w:pPr>
      <w:r>
        <w:rPr>
          <w:rFonts w:ascii="Times New Roman" w:hAnsi="Times New Roman" w:eastAsia="方正仿宋_GBK"/>
          <w:b w:val="0"/>
          <w:sz w:val="24"/>
        </w:rPr>
        <w:t xml:space="preserve">注：本表主变与线路单位功率投资比为0.21～0.35，分别计入三档线路价格。容载比按MVA/MW计，区间由对应条件下的计算结果归纳。</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2.07～2.25；年最大净负荷平均增长率＞2.00%～7.00%时为2.02～2.10；年最大净负荷平均增长率＞7.00%～10.00%时为2.02～2.05。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2.07～2.25；年最大净负荷平均增长率＞2.00%～7.00%时为2.02～2.14；年最大净负荷平均增长率＞7.00%～10.00%时为2.02～2.09。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2.07～2.57；年最大净负荷平均增长率＞2.00%～7.00%时为2.03～2.44；年最大净负荷平均增长率＞7.00%～10.00%时为2.00～2.32。这些合并范围用于观察增长条件的影响，具体推荐仍按表中持续时间及主变与储能单位功率投资比定位，以保留不同储能配置对应的较窄区间。</w:t>
      </w:r>
    </w:p>
    <w:p>
      <w:pPr>
        <w:pStyle w:val="7"/>
        <w:keepNext/>
        <w:numPr>
          <w:numId w:val="0"/>
        </w:numPr>
        <w:spacing w:line="360" w:lineRule="auto" w:before="160" w:after="120"/>
        <w:ind w:firstLine="0"/>
      </w:pPr>
      <w:bookmarkStart w:id="258" w:name="bc类供电区域负荷分散系数1.15电缆为主"/>
      <w:r>
        <w:rPr>
          <w:rFonts w:ascii="Times New Roman" w:hAnsi="Times New Roman" w:eastAsia="方正仿宋_GBK"/>
          <w:b/>
          <w:sz w:val="24"/>
        </w:rPr>
        <w:t xml:space="preserve">B/C类供电区域，负荷分散系数1.15，电缆为主</w:t>
      </w:r>
      <w:bookmarkEnd w:id="258"/>
    </w:p>
    <w:p>
      <w:pPr>
        <w:pStyle w:val="FirstParagraph"/>
        <w:widowControl/>
        <w:spacing w:line="300" w:lineRule="auto" w:before="0" w:after="0"/>
        <w:ind w:firstLine="480"/>
        <w:jc w:val="both"/>
      </w:pPr>
      <w:r>
        <w:rPr>
          <w:rFonts w:ascii="Times New Roman" w:hAnsi="Times New Roman" w:eastAsia="方正仿宋_GBK"/>
          <w:b w:val="0"/>
          <w:sz w:val="24"/>
        </w:rPr>
        <w:t xml:space="preserve">该类条件采用40 MVA初始主变规格，初始站间转供率为28.29%。负荷分散系数1.15表示各站最大负荷之和为区域同时最大负荷的1.15倍。分类推荐同时考虑分布式电源装机规模、负荷增长和95%峰值持续时间，表内区间宽度中位数为0.15。各站负荷峰值对本地设备提出容量要求，区域同时最大负荷则决定容载比分母，因此两者应在相同供电范围内对应分析。</w:t>
      </w:r>
    </w:p>
    <w:p>
      <w:pPr>
        <w:pStyle w:val="2"/>
        <w:widowControl/>
        <w:spacing w:line="300" w:lineRule="auto" w:before="0" w:after="0"/>
        <w:ind w:firstLine="480"/>
        <w:jc w:val="both"/>
      </w:pPr>
      <w:r>
        <w:rPr>
          <w:rFonts w:ascii="Times New Roman" w:hAnsi="Times New Roman" w:eastAsia="方正仿宋_GBK"/>
          <w:b w:val="0"/>
          <w:sz w:val="24"/>
        </w:rPr>
        <w:t xml:space="preserve">线路投资按电缆为主的敷设比例计算，主变与线路单位功率投资比为0.21～0.35。这三档价格条件下，所选主变容量保持一致，线路费用差异计入评价期费用比较。主变与储能单位功率投资比按3 h条件列示；持续时间超过3 h时，相同储能能量能够维持的充放电功率下降，实际配置仍按表中对应持续时间确定。</w:t>
      </w:r>
    </w:p>
    <w:p>
      <w:pPr>
        <w:pStyle w:val="2"/>
        <w:keepNext/>
        <w:spacing w:line="300" w:lineRule="auto" w:before="120" w:after="80"/>
        <w:ind w:firstLine="0"/>
        <w:jc w:val="center"/>
      </w:pPr>
      <w:r>
        <w:rPr>
          <w:rFonts w:ascii="Times New Roman" w:hAnsi="Times New Roman" w:eastAsia="宋体"/>
          <w:b w:val="0"/>
          <w:sz w:val="21"/>
        </w:rPr>
        <w:t xml:space="preserve">表5-74 B/C类、负荷分散系数1.15的容载比推荐区间（电缆为主）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870"/>
        <w:gridCol w:w="1455"/>
        <w:gridCol w:w="1939"/>
        <w:gridCol w:w="1662"/>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2.04～2.06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2.21～2.41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2.04～2.13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2.16～2.55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87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45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93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2.03～2.23</w:t>
            </w:r>
          </w:p>
        </w:tc>
      </w:tr>
    </w:tbl>
    <w:p>
      <w:pPr>
        <w:pStyle w:val="2"/>
        <w:widowControl/>
        <w:spacing w:line="300" w:lineRule="auto" w:before="0" w:after="0"/>
        <w:ind w:firstLine="480"/>
        <w:jc w:val="both"/>
      </w:pPr>
      <w:r>
        <w:rPr>
          <w:rFonts w:ascii="Times New Roman" w:hAnsi="Times New Roman" w:eastAsia="方正仿宋_GBK"/>
          <w:b w:val="0"/>
          <w:sz w:val="24"/>
        </w:rPr>
        <w:t xml:space="preserve">注：本表主变与线路单位功率投资比为0.21～0.35，分别计入三档线路价格。容载比按MVA/MW计，区间由对应条件下的计算结果归纳。</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0.00～1.00时，合并本表所列持续时间和储能价格条件，容载比范围表现为：年最大净负荷平均增长率0.00%～2.00%时为2.21～2.41；年最大净负荷平均增长率＞2.00%～7.00%时为2.09～2.18；年最大净负荷平均增长率＞7.00%～10.00%时为2.04～2.06。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1.00～2.00时，合并本表所列持续时间和储能价格条件，容载比范围表现为：年最大净负荷平均增长率0.00%～2.00%时为2.16～2.50；年最大净负荷平均增长率＞2.00%～7.00%时为2.09～2.18；年最大净负荷平均增长率＞7.00%～10.00%时为2.03～2.13。这些合并范围用于观察增长条件的影响，具体推荐仍按表中持续时间及主变与储能单位功率投资比定位，以保留不同储能配置对应的较窄区间。</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为2.00～3.00时，合并本表所列持续时间和储能价格条件，容载比范围表现为：年最大净负荷平均增长率0.00%～2.00%时为2.16～2.60；年最大净负荷平均增长率＞2.00%～7.00%时为2.09～2.44；年最大净负荷平均增长率＞7.00%～10.00%时为2.03～2.27。这些合并范围用于观察增长条件的影响，具体推荐仍按表中持续时间及主变与储能单位功率投资比定位，以保留不同储能配置对应的较窄区间。</w:t>
      </w:r>
    </w:p>
    <w:p>
      <w:pPr>
        <w:pStyle w:val="2"/>
        <w:keepNext/>
        <w:spacing w:line="240" w:lineRule="auto" w:before="120" w:after="0"/>
        <w:ind w:firstLine="0"/>
        <w:jc w:val="center"/>
      </w:pPr>
      <w:r>
        <w:drawing>
          <wp:inline>
            <wp:extent cx="5120640" cy="465552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9"/>
                    <a:stretch>
                      <a:fillRect/>
                    </a:stretch>
                  </pic:blipFill>
                  <pic:spPr bwMode="auto">
                    <a:xfrm>
                      <a:off x="0" y="0"/>
                      <a:ext cx="5120640" cy="4655520"/>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图5-4 不同供电区域类别与负荷分散系数下的容载比变化</w:t>
      </w:r>
    </w:p>
    <w:p>
      <w:pPr>
        <w:pStyle w:val="2"/>
        <w:widowControl/>
        <w:spacing w:line="300" w:lineRule="auto" w:before="0" w:after="0"/>
        <w:ind w:firstLine="480"/>
        <w:jc w:val="both"/>
      </w:pPr>
      <w:r>
        <w:rPr>
          <w:rFonts w:ascii="Times New Roman" w:hAnsi="Times New Roman" w:eastAsia="方正仿宋_GBK"/>
          <w:b w:val="0"/>
          <w:sz w:val="24"/>
        </w:rPr>
        <w:t xml:space="preserve">图中分布式电源装机渗透率取1.80，95%峰值持续时间取3 h，线路采用架空为主基准价。四幅子图分别对应两类供电区域与两种负荷分散系数，曲线表示三种主变与储能单位功率投资比。各点来自相应参数组合的容量配置结果，连线用于观察变化趋势。</w:t>
      </w:r>
    </w:p>
    <w:p>
      <w:pPr>
        <w:pStyle w:val="2"/>
        <w:widowControl/>
        <w:spacing w:line="300" w:lineRule="auto" w:before="0" w:after="0"/>
        <w:ind w:firstLine="480"/>
        <w:jc w:val="both"/>
      </w:pPr>
      <w:r>
        <w:rPr>
          <w:rFonts w:ascii="Times New Roman" w:hAnsi="Times New Roman" w:eastAsia="方正仿宋_GBK"/>
          <w:b w:val="0"/>
          <w:sz w:val="24"/>
        </w:rPr>
        <w:t xml:space="preserve">分类表共列432组推荐条件。与按供电类别合并的108组结果相比，区间宽度中位数由0.27缩小至0.12。区间保留相应条件下全部已算配置的端点，差异较大的组合通过分类列示，不另行截取端点。</w:t>
      </w:r>
    </w:p>
    <w:p>
      <w:pPr>
        <w:pStyle w:val="5"/>
        <w:keepNext/>
        <w:numPr>
          <w:numId w:val="0"/>
        </w:numPr>
        <w:spacing w:line="360" w:lineRule="auto" w:before="160" w:after="120"/>
        <w:ind w:firstLine="0"/>
      </w:pPr>
      <w:bookmarkStart w:id="260" w:name="参数变化与容载比的关系"/>
      <w:r>
        <w:rPr>
          <w:rFonts w:ascii="Times New Roman" w:hAnsi="Times New Roman" w:eastAsia="方正仿宋_GBK"/>
          <w:b/>
          <w:sz w:val="26"/>
        </w:rPr>
        <w:t xml:space="preserve">5.6.4 参数变化与容载比的关系</w:t>
      </w:r>
      <w:bookmarkEnd w:id="260"/>
    </w:p>
    <w:p>
      <w:pPr>
        <w:pStyle w:val="FirstParagraph"/>
        <w:widowControl/>
        <w:spacing w:line="300" w:lineRule="auto" w:before="0" w:after="0"/>
        <w:ind w:firstLine="480"/>
        <w:jc w:val="both"/>
      </w:pPr>
      <w:r>
        <w:rPr>
          <w:rFonts w:ascii="Times New Roman" w:hAnsi="Times New Roman" w:eastAsia="方正仿宋_GBK"/>
          <w:b w:val="0"/>
          <w:sz w:val="24"/>
        </w:rPr>
        <w:t xml:space="preserve">主变与线路单位功率投资比同时反映主变工程单位容量投资、线路工程造价和可转负荷。下表按供电区域与敷设方式列出价格变化对应的容载比范围、联络建设规模和平均费用现值。各行平均费用覆盖相同的源荷、增长、负荷分散系数及储能条件，可用于比较线路价格的影响。</w:t>
      </w:r>
    </w:p>
    <w:p>
      <w:pPr>
        <w:pStyle w:val="2"/>
        <w:keepNext/>
        <w:spacing w:line="300" w:lineRule="auto" w:before="120" w:after="80"/>
        <w:ind w:firstLine="0"/>
        <w:jc w:val="center"/>
      </w:pPr>
      <w:r>
        <w:rPr>
          <w:rFonts w:ascii="Times New Roman" w:hAnsi="Times New Roman" w:eastAsia="宋体"/>
          <w:b w:val="0"/>
          <w:sz w:val="21"/>
        </w:rPr>
        <w:t xml:space="preserve">表5-75 主变与线路单位功率投资比及方案结果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930"/>
        <w:gridCol w:w="1054"/>
        <w:gridCol w:w="868"/>
        <w:gridCol w:w="1551"/>
        <w:gridCol w:w="1489"/>
        <w:gridCol w:w="992"/>
        <w:gridCol w:w="1427"/>
      </w:tblGrid>
      <w:tr>
        <w:trPr>
          <w:cantSplit/>
          <w:tblHeader/>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供电区域类别</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线路类型</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线路价格倍数</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主变与线路单位功率投资比</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容载比范围</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新增联络项目数/项</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平均费用现值/万元</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7233.91</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7233.91</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7233.91</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7233.89</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7233.89</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2.01～2.51</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7233.89</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4714.37</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4804.99</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4895.61</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0.35</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5529.98</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5892.47</w:t>
            </w:r>
          </w:p>
        </w:tc>
      </w:tr>
      <w:tr>
        <w:trPr>
          <w:cantSplit/>
        </w:trPr>
        <w:tc>
          <w:tcPr>
            <w:tcW w:type="dxa" w:w="93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054"/>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w:t>
            </w:r>
          </w:p>
        </w:tc>
        <w:tc>
          <w:tcPr>
            <w:tcW w:type="dxa" w:w="155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w:t>
            </w:r>
          </w:p>
        </w:tc>
        <w:tc>
          <w:tcPr>
            <w:tcW w:type="dxa" w:w="14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c>
          <w:tcPr>
            <w:tcW w:type="dxa" w:w="99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42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6254.98</w:t>
            </w:r>
          </w:p>
        </w:tc>
      </w:tr>
    </w:tbl>
    <w:p>
      <w:pPr>
        <w:pStyle w:val="2"/>
        <w:widowControl/>
        <w:spacing w:line="300" w:lineRule="auto" w:before="0" w:after="0"/>
        <w:ind w:firstLine="480"/>
        <w:jc w:val="both"/>
      </w:pPr>
      <w:r>
        <w:rPr>
          <w:rFonts w:ascii="Times New Roman" w:hAnsi="Times New Roman" w:eastAsia="方正仿宋_GBK"/>
          <w:b w:val="0"/>
          <w:sz w:val="24"/>
        </w:rPr>
        <w:t xml:space="preserve">主变价格保持不变时，线路价格降低会提高主变与线路单位功率投资比。为保持指标方向一致，配对分析按投资比从小到大列示：架空为主由约0.84增至1.40，电缆为主由约0.21增至0.35，分别对应线路价格由基准的1.25倍降至0.75倍。</w:t>
      </w:r>
    </w:p>
    <w:p>
      <w:pPr>
        <w:pStyle w:val="2"/>
        <w:keepNext/>
        <w:spacing w:line="300" w:lineRule="auto" w:before="120" w:after="80"/>
        <w:ind w:firstLine="0"/>
        <w:jc w:val="center"/>
      </w:pPr>
      <w:r>
        <w:rPr>
          <w:rFonts w:ascii="Times New Roman" w:hAnsi="Times New Roman" w:eastAsia="宋体"/>
          <w:b w:val="0"/>
          <w:sz w:val="21"/>
        </w:rPr>
        <w:t xml:space="preserve">表5-76 主变与线路单位功率投资比提高时的配对结果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供电区域类别</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线路类型</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投资比变化</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配对数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容载比平均变化</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费用现值平均变化/万元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0.84→1.40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0.21→0.35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-725.00</w:t>
            </w:r>
          </w:p>
        </w:tc>
      </w:tr>
    </w:tbl>
    <w:p>
      <w:pPr>
        <w:pStyle w:val="2"/>
        <w:widowControl/>
        <w:spacing w:line="300" w:lineRule="auto" w:before="0" w:after="0"/>
        <w:ind w:firstLine="480"/>
        <w:jc w:val="both"/>
      </w:pPr>
      <w:r>
        <w:rPr>
          <w:rFonts w:ascii="Times New Roman" w:hAnsi="Times New Roman" w:eastAsia="方正仿宋_GBK"/>
          <w:b w:val="0"/>
          <w:sz w:val="24"/>
        </w:rPr>
        <w:t xml:space="preserve">A类情景利用既有联络完成负荷转接，未增加联络项目，因此线路价格变化未改变方案费用。B/C类情景均配置3项新增联络，线路投资比提高后费用下降，但主变及储能的最优规模保持。所分析的两类站群中，线路价格的作用主要体现为同一建设规模下的费用差异。实际片区如果联络可转负荷、受端余量或既有网络发生变化，主变增容与线路建设之间的替代条件也会变化。</w:t>
      </w:r>
    </w:p>
    <w:p>
      <w:pPr>
        <w:pStyle w:val="2"/>
        <w:keepNext/>
        <w:spacing w:line="300" w:lineRule="auto" w:before="120" w:after="80"/>
        <w:ind w:firstLine="0"/>
        <w:jc w:val="center"/>
      </w:pPr>
      <w:r>
        <w:rPr>
          <w:rFonts w:ascii="Times New Roman" w:hAnsi="Times New Roman" w:eastAsia="宋体"/>
          <w:b w:val="0"/>
          <w:sz w:val="21"/>
        </w:rPr>
        <w:t xml:space="preserve">表5-77 固定其他条件时单参数端点变化的影响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变化参数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配对数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容载比平均变化</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最大绝对变化</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比值改变占比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费用平均变化/万元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2520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12378.22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8884.04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1824.66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线路价格倍数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226.56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储能价格倍数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1378.46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543.74</w:t>
            </w:r>
          </w:p>
        </w:tc>
      </w:tr>
    </w:tbl>
    <w:p>
      <w:pPr>
        <w:pStyle w:val="2"/>
        <w:widowControl/>
        <w:spacing w:line="300" w:lineRule="auto" w:before="0" w:after="0"/>
        <w:ind w:firstLine="480"/>
        <w:jc w:val="both"/>
      </w:pPr>
      <w:r>
        <w:rPr>
          <w:rFonts w:ascii="Times New Roman" w:hAnsi="Times New Roman" w:eastAsia="方正仿宋_GBK"/>
          <w:b w:val="0"/>
          <w:sz w:val="24"/>
        </w:rPr>
        <w:t xml:space="preserve">参数作用采用端点配对分析，固定其余条件，仅比较该参数最小值与最大值，线路类型则比较电缆为主与架空为主。数值输入按全组合交叉设置；供电区域类别同时关联初始规格与转供率，二者不能据此分别识别独立效应。源荷比与分布式电源电量渗透率保留换算关系。表中平均变化为全部配对的端点差值均值，不能解读为每增加一个参数步长的响应或全过程单调变化。</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分布式电源装机渗透率增加后，反向净负荷可能成为主变或储能的约束条件。反向压力的变化还取决于本地用户负荷和电源分布，矩阵保留不同站群与空间分配的计算结果。</w:t>
      </w:r>
    </w:p>
    <w:p>
      <w:pPr>
        <w:pStyle w:val="2"/>
        <w:widowControl/>
        <w:spacing w:line="300" w:lineRule="auto" w:before="0" w:after="0"/>
        <w:ind w:firstLine="480"/>
        <w:jc w:val="both"/>
      </w:pPr>
      <w:r>
        <w:rPr>
          <w:rFonts w:ascii="Times New Roman" w:hAnsi="Times New Roman" w:eastAsia="方正仿宋_GBK"/>
          <w:b w:val="0"/>
          <w:sz w:val="24"/>
        </w:rPr>
        <w:t xml:space="preserve">配对结果中，源荷比从0.00增至3.00，容载比平均增加0.20；年最大净负荷平均增长率从0.00%增至10.00%，对应平均变化为－0.24。持续时间从1 h增至6 h使19.17%的配对比值发生变化，储能价格从0.50倍增至1.25倍对应17.93%。负荷增长同时扩大容载比分母，容量需求需结合主变在役规模共同分析。</w:t>
      </w:r>
    </w:p>
    <w:p>
      <w:pPr>
        <w:pStyle w:val="2"/>
        <w:widowControl/>
        <w:spacing w:line="300" w:lineRule="auto" w:before="0" w:after="0"/>
        <w:ind w:firstLine="480"/>
        <w:jc w:val="both"/>
      </w:pPr>
      <w:r>
        <w:rPr>
          <w:rFonts w:ascii="Times New Roman" w:hAnsi="Times New Roman" w:eastAsia="方正仿宋_GBK"/>
          <w:b w:val="0"/>
          <w:sz w:val="24"/>
        </w:rPr>
        <w:t xml:space="preserve">线路价格由0.75倍增至1.25倍，方案费用现值平均增加226.56万元；线路由架空为主改为电缆为主，平均增加543.74万元，容载比均未变化。所分析情景中，A类站群均无新建联络，B/C类站群均新建3项，线路价格变化未引起工程数量调整。本次结果中，线路条件主要影响建设费用，容载比差异主要体现在源荷、负荷增长和储能配置条件上。</w:t>
      </w:r>
    </w:p>
    <w:p>
      <w:pPr>
        <w:pStyle w:val="2"/>
        <w:widowControl/>
        <w:spacing w:line="300" w:lineRule="auto" w:before="0" w:after="0"/>
        <w:ind w:firstLine="480"/>
        <w:jc w:val="both"/>
      </w:pPr>
      <w:r>
        <w:rPr>
          <w:rFonts w:ascii="Times New Roman" w:hAnsi="Times New Roman" w:eastAsia="方正仿宋_GBK"/>
          <w:b w:val="0"/>
          <w:sz w:val="24"/>
        </w:rPr>
        <w:t xml:space="preserve">在能量受限时，峰值持续时间延长会降低储能柜可持续的充放电功率，使储能与主变的相对经济性改变。新建联络提升转供能力时，原站和受端容量共同约束可转负荷，已有能力得到充分使用后才产生新增投资需求。</w:t>
      </w:r>
    </w:p>
    <w:p>
      <w:pPr>
        <w:pStyle w:val="2"/>
        <w:widowControl/>
        <w:spacing w:line="300" w:lineRule="auto" w:before="0" w:after="0"/>
        <w:ind w:firstLine="480"/>
        <w:jc w:val="both"/>
      </w:pPr>
      <w:r>
        <w:rPr>
          <w:rFonts w:ascii="Times New Roman" w:hAnsi="Times New Roman" w:eastAsia="方正仿宋_GBK"/>
          <w:b w:val="0"/>
          <w:sz w:val="24"/>
        </w:rPr>
        <w:t xml:space="preserve">负荷增长一方面降低既有容量对应的容载比，另一方面触发新的容量配置。增长档位、主变离散规格及建设时序共同决定最终值。矩阵按增长参数分档，案例则以逐年结果解释这些变化。</w:t>
      </w:r>
    </w:p>
    <w:p>
      <w:pPr>
        <w:pStyle w:val="5"/>
        <w:keepNext/>
        <w:numPr>
          <w:numId w:val="0"/>
        </w:numPr>
        <w:spacing w:line="360" w:lineRule="auto" w:before="160" w:after="120"/>
        <w:ind w:firstLine="0"/>
      </w:pPr>
      <w:bookmarkStart w:id="261" w:name="分布式电源装机规模与双向容量需求"/>
      <w:r>
        <w:rPr>
          <w:rFonts w:ascii="Times New Roman" w:hAnsi="Times New Roman" w:eastAsia="方正仿宋_GBK"/>
          <w:b/>
          <w:sz w:val="26"/>
        </w:rPr>
        <w:t xml:space="preserve">5.6.5 分布式电源装机规模与双向容量需求</w:t>
      </w:r>
      <w:bookmarkEnd w:id="261"/>
    </w:p>
    <w:p>
      <w:pPr>
        <w:pStyle w:val="FirstParagraph"/>
        <w:widowControl/>
        <w:spacing w:line="300" w:lineRule="auto" w:before="0" w:after="0"/>
        <w:ind w:firstLine="480"/>
        <w:jc w:val="both"/>
      </w:pPr>
      <w:r>
        <w:rPr>
          <w:rFonts w:ascii="Times New Roman" w:hAnsi="Times New Roman" w:eastAsia="方正仿宋_GBK"/>
          <w:b w:val="0"/>
          <w:sz w:val="24"/>
        </w:rPr>
        <w:t xml:space="preserve">分布式电源装机渗透率直接联系电源装机规模和用户最大负荷。分类推荐表将相邻装机水平合并为便于查阅的范围，本节进一步列出离散计算点，观察装机规模增加后主变、储能及费用的变化。为便于比较，年最大净负荷平均增长率统一取4.00%，95%峰值持续时间取3 h，线路采用架空为主，线路与储能均取基准价格。各组只改变分布式电源装机渗透率，供电区域类别与负荷分散系数分别列示。</w:t>
      </w:r>
    </w:p>
    <w:p>
      <w:pPr>
        <w:pStyle w:val="2"/>
        <w:widowControl/>
        <w:spacing w:line="300" w:lineRule="auto" w:before="0" w:after="0"/>
        <w:ind w:firstLine="480"/>
        <w:jc w:val="both"/>
      </w:pPr>
      <w:r>
        <w:rPr>
          <w:rFonts w:ascii="Times New Roman" w:hAnsi="Times New Roman" w:eastAsia="方正仿宋_GBK"/>
          <w:b w:val="0"/>
          <w:sz w:val="24"/>
        </w:rPr>
        <w:t xml:space="preserve">电源规模较小时，夜间正向负荷和主变N-1通常是容量配置的重要条件。光伏装机增加后，日间用户负荷能够吸收部分本地出力，其余电量需经主变反向输送。当反向功率幅值超过已有设备及储能能够承担的水平时，建设组合可能改变。不同站点电源和负荷的分配不完全相同，因此区域装机渗透率相同仍可能出现不同的局部容量需求。</w:t>
      </w:r>
    </w:p>
    <w:p>
      <w:pPr>
        <w:pStyle w:val="7"/>
        <w:keepNext/>
        <w:numPr>
          <w:numId w:val="0"/>
        </w:numPr>
        <w:spacing w:line="360" w:lineRule="auto" w:before="160" w:after="120"/>
        <w:ind w:firstLine="0"/>
      </w:pPr>
      <w:bookmarkStart w:id="262" w:name="a类供电区域负荷分散系数1.00"/>
      <w:r>
        <w:rPr>
          <w:rFonts w:ascii="Times New Roman" w:hAnsi="Times New Roman" w:eastAsia="方正仿宋_GBK"/>
          <w:b/>
          <w:sz w:val="24"/>
        </w:rPr>
        <w:t xml:space="preserve">A类供电区域，负荷分散系数1.00</w:t>
      </w:r>
      <w:bookmarkEnd w:id="262"/>
    </w:p>
    <w:p>
      <w:pPr>
        <w:pStyle w:val="FirstParagraph"/>
        <w:keepNext/>
        <w:spacing w:line="300" w:lineRule="auto" w:before="120" w:after="80"/>
        <w:ind w:firstLine="0"/>
        <w:jc w:val="center"/>
      </w:pPr>
      <w:r>
        <w:rPr>
          <w:rFonts w:ascii="Times New Roman" w:hAnsi="Times New Roman" w:eastAsia="宋体"/>
          <w:b w:val="0"/>
          <w:sz w:val="21"/>
        </w:rPr>
        <w:t xml:space="preserve">表5-78 A类、负荷分散系数1.00的光伏装机情景比较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112.65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4155.13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639.00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14397.13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20073.43</w:t>
            </w:r>
          </w:p>
        </w:tc>
      </w:tr>
    </w:tbl>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分布式电源装机渗透率由0.00增加到3.00，容载比由2.05变为2.31，增加0.26；主变总容量由600.00 MVA变为676.00 MVA。储能额定功率分别为0.00 MW和62.50 MW，评价期费用现值由2759.81万元变为20073.43万元。该组增长率固定，容载比分母保持一致，容载比差异由所选主变容量变化形成。</w:t>
      </w:r>
    </w:p>
    <w:p>
      <w:pPr>
        <w:pStyle w:val="2"/>
        <w:widowControl/>
        <w:spacing w:line="300" w:lineRule="auto" w:before="0" w:after="0"/>
        <w:ind w:firstLine="480"/>
        <w:jc w:val="both"/>
      </w:pPr>
      <w:r>
        <w:rPr>
          <w:rFonts w:ascii="Times New Roman" w:hAnsi="Times New Roman" w:eastAsia="方正仿宋_GBK"/>
          <w:b w:val="0"/>
          <w:sz w:val="24"/>
        </w:rPr>
        <w:t xml:space="preserve">相邻计算点中，首次出现主变总容量调整的是分布式电源装机渗透率2.00至2.30这一段，主变容量增加13.00 MVA。随着局部反向功率增加，主变和储能共同承担新增容量需求；整台主变的规格选择使容载比呈分段变化。区间端点之间存在这种配置变化，因此分类推荐需要同时列出源荷范围及工程经济条件。</w:t>
      </w:r>
    </w:p>
    <w:p>
      <w:pPr>
        <w:pStyle w:val="2"/>
        <w:widowControl/>
        <w:spacing w:line="300" w:lineRule="auto"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7"/>
        <w:keepNext/>
        <w:numPr>
          <w:numId w:val="0"/>
        </w:numPr>
        <w:spacing w:line="360" w:lineRule="auto" w:before="160" w:after="120"/>
        <w:ind w:firstLine="0"/>
      </w:pPr>
      <w:bookmarkStart w:id="263" w:name="a类供电区域负荷分散系数1.15"/>
      <w:r>
        <w:rPr>
          <w:rFonts w:ascii="Times New Roman" w:hAnsi="Times New Roman" w:eastAsia="方正仿宋_GBK"/>
          <w:b/>
          <w:sz w:val="24"/>
        </w:rPr>
        <w:t xml:space="preserve">A类供电区域，负荷分散系数1.15</w:t>
      </w:r>
      <w:bookmarkEnd w:id="263"/>
    </w:p>
    <w:p>
      <w:pPr>
        <w:pStyle w:val="FirstParagraph"/>
        <w:keepNext/>
        <w:spacing w:line="300" w:lineRule="auto" w:before="120" w:after="80"/>
        <w:ind w:firstLine="0"/>
        <w:jc w:val="center"/>
      </w:pPr>
      <w:r>
        <w:rPr>
          <w:rFonts w:ascii="Times New Roman" w:hAnsi="Times New Roman" w:eastAsia="宋体"/>
          <w:b w:val="0"/>
          <w:sz w:val="21"/>
        </w:rPr>
        <w:t xml:space="preserve">表5-79 A类、负荷分散系数1.15的光伏装机情景比较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123.47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61.37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119.75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65.36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4237.05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11818.27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45.90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16467.23</w:t>
            </w:r>
          </w:p>
        </w:tc>
      </w:tr>
    </w:tbl>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分布式电源装机渗透率由0.00增加到3.00，容载比由2.05变为2.31，增加0.26；主变总容量由600.00 MVA变为676.00 MVA。储能额定功率分别为5.40 MW和45.90 MW，评价期费用现值由3932.91万元变为16467.23万元。该组增长率固定，容载比分母保持一致，容载比差异由所选主变容量变化形成。</w:t>
      </w:r>
    </w:p>
    <w:p>
      <w:pPr>
        <w:pStyle w:val="2"/>
        <w:widowControl/>
        <w:spacing w:line="300" w:lineRule="auto" w:before="0" w:after="0"/>
        <w:ind w:firstLine="480"/>
        <w:jc w:val="both"/>
      </w:pPr>
      <w:r>
        <w:rPr>
          <w:rFonts w:ascii="Times New Roman" w:hAnsi="Times New Roman" w:eastAsia="方正仿宋_GBK"/>
          <w:b w:val="0"/>
          <w:sz w:val="24"/>
        </w:rPr>
        <w:t xml:space="preserve">相邻计算点中，首次出现主变总容量调整的是分布式电源装机渗透率2.30至2.80这一段，主变容量增加76.00 MVA。随着局部反向功率增加，主变和储能共同承担新增容量需求；整台主变的规格选择使容载比呈分段变化。区间端点之间存在这种配置变化，因此分类推荐需要同时列出源荷范围及工程经济条件。</w:t>
      </w:r>
    </w:p>
    <w:p>
      <w:pPr>
        <w:pStyle w:val="2"/>
        <w:widowControl/>
        <w:spacing w:line="300" w:lineRule="auto"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7"/>
        <w:keepNext/>
        <w:numPr>
          <w:numId w:val="0"/>
        </w:numPr>
        <w:spacing w:line="360" w:lineRule="auto" w:before="160" w:after="120"/>
        <w:ind w:firstLine="0"/>
      </w:pPr>
      <w:bookmarkStart w:id="264" w:name="bc类供电区域负荷分散系数1.00"/>
      <w:r>
        <w:rPr>
          <w:rFonts w:ascii="Times New Roman" w:hAnsi="Times New Roman" w:eastAsia="方正仿宋_GBK"/>
          <w:b/>
          <w:sz w:val="24"/>
        </w:rPr>
        <w:t xml:space="preserve">B/C类供电区域，负荷分散系数1.00</w:t>
      </w:r>
      <w:bookmarkEnd w:id="264"/>
    </w:p>
    <w:p>
      <w:pPr>
        <w:pStyle w:val="FirstParagraph"/>
        <w:keepNext/>
        <w:spacing w:line="300" w:lineRule="auto" w:before="120" w:after="80"/>
        <w:ind w:firstLine="0"/>
        <w:jc w:val="center"/>
      </w:pPr>
      <w:r>
        <w:rPr>
          <w:rFonts w:ascii="Times New Roman" w:hAnsi="Times New Roman" w:eastAsia="宋体"/>
          <w:b w:val="0"/>
          <w:sz w:val="21"/>
        </w:rPr>
        <w:t xml:space="preserve">表5-80 B/C类、负荷分散系数1.00的光伏装机情景比较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44.54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2920.48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44.54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2920.48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44.54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2920.48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44.54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2920.48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2920.48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3072.54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3122.31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3404.72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6257.24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6721.71</w:t>
            </w:r>
          </w:p>
        </w:tc>
      </w:tr>
    </w:tbl>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分布式电源装机渗透率由0.00增加到3.00，容载比由2.02变为2.43，增加0.41；主变总容量由473.00 MVA变为569.00 MVA。储能额定功率分别为0.00 MW和0.30 MW，评价期费用现值由2920.48万元变为6721.71万元。该组增长率固定，容载比分母保持一致，容载比差异由所选主变容量变化形成。</w:t>
      </w:r>
    </w:p>
    <w:p>
      <w:pPr>
        <w:pStyle w:val="2"/>
        <w:widowControl/>
        <w:spacing w:line="300" w:lineRule="auto" w:before="0" w:after="0"/>
        <w:ind w:firstLine="480"/>
        <w:jc w:val="both"/>
      </w:pPr>
      <w:r>
        <w:rPr>
          <w:rFonts w:ascii="Times New Roman" w:hAnsi="Times New Roman" w:eastAsia="方正仿宋_GBK"/>
          <w:b w:val="0"/>
          <w:sz w:val="24"/>
        </w:rPr>
        <w:t xml:space="preserve">相邻计算点中，首次出现主变总容量调整的是分布式电源装机渗透率1.80至2.00这一段，主变容量增加27.00 MVA。随着局部反向功率增加，主变和储能共同承担新增容量需求；整台主变的规格选择使容载比呈分段变化。区间端点之间存在这种配置变化，因此分类推荐需要同时列出源荷范围及工程经济条件。</w:t>
      </w:r>
    </w:p>
    <w:p>
      <w:pPr>
        <w:pStyle w:val="2"/>
        <w:widowControl/>
        <w:spacing w:line="300" w:lineRule="auto"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7"/>
        <w:keepNext/>
        <w:numPr>
          <w:numId w:val="0"/>
        </w:numPr>
        <w:spacing w:line="360" w:lineRule="auto" w:before="160" w:after="120"/>
        <w:ind w:firstLine="0"/>
      </w:pPr>
      <w:bookmarkStart w:id="265" w:name="bc类供电区域负荷分散系数1.15"/>
      <w:r>
        <w:rPr>
          <w:rFonts w:ascii="Times New Roman" w:hAnsi="Times New Roman" w:eastAsia="方正仿宋_GBK"/>
          <w:b/>
          <w:sz w:val="24"/>
        </w:rPr>
        <w:t xml:space="preserve">B/C类供电区域，负荷分散系数1.15</w:t>
      </w:r>
      <w:bookmarkEnd w:id="265"/>
    </w:p>
    <w:p>
      <w:pPr>
        <w:pStyle w:val="FirstParagraph"/>
        <w:keepNext/>
        <w:spacing w:line="300" w:lineRule="auto" w:before="120" w:after="80"/>
        <w:ind w:firstLine="0"/>
        <w:jc w:val="center"/>
      </w:pPr>
      <w:r>
        <w:rPr>
          <w:rFonts w:ascii="Times New Roman" w:hAnsi="Times New Roman" w:eastAsia="宋体"/>
          <w:b w:val="0"/>
          <w:sz w:val="21"/>
        </w:rPr>
        <w:t xml:space="preserve">表5-81 B/C类、负荷分散系数1.15的光伏装机情景比较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转接负荷合计/MW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48.37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22.89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6217.08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6656.53</w:t>
            </w:r>
          </w:p>
        </w:tc>
      </w:tr>
    </w:tbl>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分布式电源装机渗透率由0.00增加到3.00，容载比由2.14变为2.43，增加0.29；主变总容量由500.00 MVA变为569.00 MVA。储能额定功率分别为4.30 MW和0.00 MW，评价期费用现值由4056.44万元变为6656.53万元。该组增长率固定，容载比分母保持一致，容载比差异由所选主变容量变化形成。</w:t>
      </w:r>
    </w:p>
    <w:p>
      <w:pPr>
        <w:pStyle w:val="2"/>
        <w:widowControl/>
        <w:spacing w:line="300" w:lineRule="auto" w:before="0" w:after="0"/>
        <w:ind w:firstLine="480"/>
        <w:jc w:val="both"/>
      </w:pPr>
      <w:r>
        <w:rPr>
          <w:rFonts w:ascii="Times New Roman" w:hAnsi="Times New Roman" w:eastAsia="方正仿宋_GBK"/>
          <w:b w:val="0"/>
          <w:sz w:val="24"/>
        </w:rPr>
        <w:t xml:space="preserve">相邻计算点中，首次出现主变总容量调整的是分布式电源装机渗透率2.30至2.80这一段，主变容量增加46.00 MVA。随着局部反向功率增加，主变和储能共同承担新增容量需求；整台主变的规格选择使容载比呈分段变化。区间端点之间存在这种配置变化，因此分类推荐需要同时列出源荷范围及工程经济条件。</w:t>
      </w:r>
    </w:p>
    <w:p>
      <w:pPr>
        <w:pStyle w:val="2"/>
        <w:widowControl/>
        <w:spacing w:line="300" w:lineRule="auto" w:before="0" w:after="0"/>
        <w:ind w:firstLine="480"/>
        <w:jc w:val="both"/>
      </w:pPr>
      <w:r>
        <w:rPr>
          <w:rFonts w:ascii="Times New Roman" w:hAnsi="Times New Roman" w:eastAsia="方正仿宋_GBK"/>
          <w:b w:val="0"/>
          <w:sz w:val="24"/>
        </w:rPr>
        <w:t xml:space="preserve">该组结果用于分析电源规模变化对应的设备需求。对光伏增长较快的片区，容量安排应联系实际并网规模、日间用电水平和反向功率所在站点。相同的新增光伏装机若分布在本地消纳条件不同的站点，产生的反向输送要求也不同；地区容量储备宜与这些站点的主变增容或储能配置对应。</w:t>
      </w:r>
    </w:p>
    <w:p>
      <w:pPr>
        <w:pStyle w:val="5"/>
        <w:keepNext/>
        <w:numPr>
          <w:numId w:val="0"/>
        </w:numPr>
        <w:spacing w:line="360" w:lineRule="auto" w:before="160" w:after="120"/>
        <w:ind w:firstLine="0"/>
      </w:pPr>
      <w:bookmarkStart w:id="266" w:name="负荷增长容量储备与目标年容载比"/>
      <w:r>
        <w:rPr>
          <w:rFonts w:ascii="Times New Roman" w:hAnsi="Times New Roman" w:eastAsia="方正仿宋_GBK"/>
          <w:b/>
          <w:sz w:val="26"/>
        </w:rPr>
        <w:t xml:space="preserve">5.6.6 负荷增长、容量储备与目标年容载比</w:t>
      </w:r>
      <w:bookmarkEnd w:id="266"/>
    </w:p>
    <w:p>
      <w:pPr>
        <w:pStyle w:val="FirstParagraph"/>
        <w:widowControl/>
        <w:spacing w:line="300" w:lineRule="auto" w:before="0" w:after="0"/>
        <w:ind w:firstLine="480"/>
        <w:jc w:val="both"/>
      </w:pPr>
      <w:r>
        <w:rPr>
          <w:rFonts w:ascii="Times New Roman" w:hAnsi="Times New Roman" w:eastAsia="方正仿宋_GBK"/>
          <w:b w:val="0"/>
          <w:sz w:val="24"/>
        </w:rPr>
        <w:t xml:space="preserve">年最大净负荷平均增长率同时影响目标年负荷和建设规模。基期设备一定时，负荷增长会消耗原有容量储备；当局部供电能力不足时，又会触发主变增容、扩建或储能配置。因此，目标年容载比与负荷增长率的关系由分母增长和分子扩建共同形成。不能仅凭容载比下降判断容量建设减少。</w:t>
      </w:r>
    </w:p>
    <w:p>
      <w:pPr>
        <w:pStyle w:val="2"/>
        <w:widowControl/>
        <w:spacing w:line="300" w:lineRule="auto" w:before="0" w:after="0"/>
        <w:ind w:firstLine="480"/>
        <w:jc w:val="both"/>
      </w:pPr>
      <w:r>
        <w:rPr>
          <w:rFonts w:ascii="Times New Roman" w:hAnsi="Times New Roman" w:eastAsia="方正仿宋_GBK"/>
          <w:b w:val="0"/>
          <w:sz w:val="24"/>
        </w:rPr>
        <w:t xml:space="preserve">本节固定分布式电源装机渗透率1.80、95%峰值持续时间3 h，线路采用架空为主，线路与储能均取基准价格，列出七种增长情景。年网供最大负荷按各类站群的基期负荷及四年增长关系计算，主变容量和储能功率采用对应寻优结果。各表同时列出容量与负荷，以说明比值变化的来源。</w:t>
      </w:r>
    </w:p>
    <w:p>
      <w:pPr>
        <w:pStyle w:val="7"/>
        <w:keepNext/>
        <w:numPr>
          <w:numId w:val="0"/>
        </w:numPr>
        <w:spacing w:line="360" w:lineRule="auto" w:before="160" w:after="120"/>
        <w:ind w:firstLine="0"/>
      </w:pPr>
      <w:bookmarkStart w:id="267" w:name="a类供电区域负荷分散系数1.00-1"/>
      <w:r>
        <w:rPr>
          <w:rFonts w:ascii="Times New Roman" w:hAnsi="Times New Roman" w:eastAsia="方正仿宋_GBK"/>
          <w:b/>
          <w:sz w:val="24"/>
        </w:rPr>
        <w:t xml:space="preserve">A类供电区域，负荷分散系数1.00</w:t>
      </w:r>
      <w:bookmarkEnd w:id="267"/>
    </w:p>
    <w:p>
      <w:pPr>
        <w:pStyle w:val="FirstParagraph"/>
        <w:keepNext/>
        <w:spacing w:line="300" w:lineRule="auto" w:before="120" w:after="80"/>
        <w:ind w:firstLine="0"/>
        <w:jc w:val="center"/>
      </w:pPr>
      <w:r>
        <w:rPr>
          <w:rFonts w:ascii="Times New Roman" w:hAnsi="Times New Roman" w:eastAsia="宋体"/>
          <w:b w:val="0"/>
          <w:sz w:val="21"/>
        </w:rPr>
        <w:t xml:space="preserve">表5-82 A类、负荷分散系数1.00的增长情景比较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260.15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327.70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5317.79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5519.62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366.03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8077.61</w:t>
            </w:r>
          </w:p>
        </w:tc>
      </w:tr>
    </w:tbl>
    <w:p>
      <w:pPr>
        <w:pStyle w:val="2"/>
        <w:widowControl/>
        <w:spacing w:line="300" w:lineRule="auto" w:before="0" w:after="0"/>
        <w:ind w:firstLine="480"/>
        <w:jc w:val="both"/>
      </w:pPr>
      <w:r>
        <w:rPr>
          <w:rFonts w:ascii="Times New Roman" w:hAnsi="Times New Roman" w:eastAsia="方正仿宋_GBK"/>
          <w:b w:val="0"/>
          <w:sz w:val="24"/>
        </w:rPr>
        <w:t xml:space="preserve">年最大净负荷平均增长率由0.00%提高至10.00%时，目标年网供最大负荷由250.00 MW增加到366.03 MW，主变总容量由550.00 MVA增加到763.00 MVA。容载比从2.20变为2.08，同期费用现值从1379.91万元变为8077.61万元。容量与负荷并非按相同比例增长，这解释了建设投资增加而容载比仍可能降低的现象。</w:t>
      </w:r>
    </w:p>
    <w:p>
      <w:pPr>
        <w:pStyle w:val="2"/>
        <w:widowControl/>
        <w:spacing w:line="300" w:lineRule="auto"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00" w:lineRule="auto"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7"/>
        <w:keepNext/>
        <w:numPr>
          <w:numId w:val="0"/>
        </w:numPr>
        <w:spacing w:line="360" w:lineRule="auto" w:before="160" w:after="120"/>
        <w:ind w:firstLine="0"/>
      </w:pPr>
      <w:bookmarkStart w:id="268" w:name="a类供电区域负荷分散系数1.15-1"/>
      <w:r>
        <w:rPr>
          <w:rFonts w:ascii="Times New Roman" w:hAnsi="Times New Roman" w:eastAsia="方正仿宋_GBK"/>
          <w:b/>
          <w:sz w:val="24"/>
        </w:rPr>
        <w:t xml:space="preserve">A类供电区域，负荷分散系数1.15</w:t>
      </w:r>
      <w:bookmarkEnd w:id="268"/>
    </w:p>
    <w:p>
      <w:pPr>
        <w:pStyle w:val="FirstParagraph"/>
        <w:keepNext/>
        <w:spacing w:line="300" w:lineRule="auto" w:before="120" w:after="80"/>
        <w:ind w:firstLine="0"/>
        <w:jc w:val="center"/>
      </w:pPr>
      <w:r>
        <w:rPr>
          <w:rFonts w:ascii="Times New Roman" w:hAnsi="Times New Roman" w:eastAsia="宋体"/>
          <w:b w:val="0"/>
          <w:sz w:val="21"/>
        </w:rPr>
        <w:t xml:space="preserve">表5-83 A类、负荷分散系数1.15的增长情景比较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2140.25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260.15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327.70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5317.79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6345.14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366.03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739.00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9053.85</w:t>
            </w:r>
          </w:p>
        </w:tc>
      </w:tr>
    </w:tbl>
    <w:p>
      <w:pPr>
        <w:pStyle w:val="2"/>
        <w:widowControl/>
        <w:spacing w:line="300" w:lineRule="auto" w:before="0" w:after="0"/>
        <w:ind w:firstLine="480"/>
        <w:jc w:val="both"/>
      </w:pPr>
      <w:r>
        <w:rPr>
          <w:rFonts w:ascii="Times New Roman" w:hAnsi="Times New Roman" w:eastAsia="方正仿宋_GBK"/>
          <w:b w:val="0"/>
          <w:sz w:val="24"/>
        </w:rPr>
        <w:t xml:space="preserve">年最大净负荷平均增长率由0.00%提高至10.00%时，目标年网供最大负荷由250.00 MW增加到366.03 MW，主变总容量由550.00 MVA增加到739.00 MVA。容载比从2.20变为2.02，同期费用现值从2140.25万元变为9053.85万元。容量与负荷并非按相同比例增长，这解释了建设投资增加而容载比仍可能降低的现象。</w:t>
      </w:r>
    </w:p>
    <w:p>
      <w:pPr>
        <w:pStyle w:val="2"/>
        <w:widowControl/>
        <w:spacing w:line="300" w:lineRule="auto"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00" w:lineRule="auto"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7"/>
        <w:keepNext/>
        <w:numPr>
          <w:numId w:val="0"/>
        </w:numPr>
        <w:spacing w:line="360" w:lineRule="auto" w:before="160" w:after="120"/>
        <w:ind w:firstLine="0"/>
      </w:pPr>
      <w:bookmarkStart w:id="269" w:name="bc类供电区域负荷分散系数1.00-1"/>
      <w:r>
        <w:rPr>
          <w:rFonts w:ascii="Times New Roman" w:hAnsi="Times New Roman" w:eastAsia="方正仿宋_GBK"/>
          <w:b/>
          <w:sz w:val="24"/>
        </w:rPr>
        <w:t xml:space="preserve">B/C类供电区域，负荷分散系数1.00</w:t>
      </w:r>
      <w:bookmarkEnd w:id="269"/>
    </w:p>
    <w:p>
      <w:pPr>
        <w:pStyle w:val="FirstParagraph"/>
        <w:keepNext/>
        <w:spacing w:line="300" w:lineRule="auto" w:before="120" w:after="80"/>
        <w:ind w:firstLine="0"/>
        <w:jc w:val="center"/>
      </w:pPr>
      <w:r>
        <w:rPr>
          <w:rFonts w:ascii="Times New Roman" w:hAnsi="Times New Roman" w:eastAsia="宋体"/>
          <w:b w:val="0"/>
          <w:sz w:val="21"/>
        </w:rPr>
        <w:t xml:space="preserve">表5-84 B/C类、负荷分散系数1.00的增长情景比较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216.49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233.97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3072.54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262.16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4502.21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272.10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4502.21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5882.12</w:t>
            </w:r>
          </w:p>
        </w:tc>
      </w:tr>
    </w:tbl>
    <w:p>
      <w:pPr>
        <w:pStyle w:val="2"/>
        <w:widowControl/>
        <w:spacing w:line="300" w:lineRule="auto" w:before="0" w:after="0"/>
        <w:ind w:firstLine="480"/>
        <w:jc w:val="both"/>
      </w:pPr>
      <w:r>
        <w:rPr>
          <w:rFonts w:ascii="Times New Roman" w:hAnsi="Times New Roman" w:eastAsia="方正仿宋_GBK"/>
          <w:b w:val="0"/>
          <w:sz w:val="24"/>
        </w:rPr>
        <w:t xml:space="preserve">年最大净负荷平均增长率由0.00%提高至10.00%时，目标年网供最大负荷由200.00 MW增加到292.82 MW，主变总容量由450.00 MVA增加到600.00 MVA。容载比从2.25变为2.05，同期费用现值从1742.40万元变为5882.12万元。容量与负荷并非按相同比例增长，这解释了建设投资增加而容载比仍可能降低的现象。</w:t>
      </w:r>
    </w:p>
    <w:p>
      <w:pPr>
        <w:pStyle w:val="2"/>
        <w:widowControl/>
        <w:spacing w:line="300" w:lineRule="auto"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00" w:lineRule="auto"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7"/>
        <w:keepNext/>
        <w:numPr>
          <w:numId w:val="0"/>
        </w:numPr>
        <w:spacing w:line="360" w:lineRule="auto" w:before="160" w:after="120"/>
        <w:ind w:firstLine="0"/>
      </w:pPr>
      <w:bookmarkStart w:id="270" w:name="bc类供电区域负荷分散系数1.15-1"/>
      <w:r>
        <w:rPr>
          <w:rFonts w:ascii="Times New Roman" w:hAnsi="Times New Roman" w:eastAsia="方正仿宋_GBK"/>
          <w:b/>
          <w:sz w:val="24"/>
        </w:rPr>
        <w:t xml:space="preserve">B/C类供电区域，负荷分散系数1.15</w:t>
      </w:r>
      <w:bookmarkEnd w:id="270"/>
    </w:p>
    <w:p>
      <w:pPr>
        <w:pStyle w:val="FirstParagraph"/>
        <w:keepNext/>
        <w:spacing w:line="300" w:lineRule="auto" w:before="120" w:after="80"/>
        <w:ind w:firstLine="0"/>
        <w:jc w:val="center"/>
      </w:pPr>
      <w:r>
        <w:rPr>
          <w:rFonts w:ascii="Times New Roman" w:hAnsi="Times New Roman" w:eastAsia="宋体"/>
          <w:b w:val="0"/>
          <w:sz w:val="21"/>
        </w:rPr>
        <w:t xml:space="preserve">表5-85 B/C类、负荷分散系数1.15的增长情景比较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2350.67</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3122.31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216.49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3122.31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233.97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262.16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4502.21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272.10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5437.19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6817.10</w:t>
            </w:r>
          </w:p>
        </w:tc>
      </w:tr>
    </w:tbl>
    <w:p>
      <w:pPr>
        <w:pStyle w:val="2"/>
        <w:widowControl/>
        <w:spacing w:line="300" w:lineRule="auto" w:before="0" w:after="0"/>
        <w:ind w:firstLine="480"/>
        <w:jc w:val="both"/>
      </w:pPr>
      <w:r>
        <w:rPr>
          <w:rFonts w:ascii="Times New Roman" w:hAnsi="Times New Roman" w:eastAsia="方正仿宋_GBK"/>
          <w:b w:val="0"/>
          <w:sz w:val="24"/>
        </w:rPr>
        <w:t xml:space="preserve">年最大净负荷平均增长率由0.00%提高至10.00%时，目标年网供最大负荷由200.00 MW增加到292.82 MW，主变总容量由450.00 MVA增加到610.00 MVA。容载比从2.25变为2.08，同期费用现值从2350.67万元变为6817.10万元。容量与负荷并非按相同比例增长，这解释了建设投资增加而容载比仍可能降低的现象。</w:t>
      </w:r>
    </w:p>
    <w:p>
      <w:pPr>
        <w:pStyle w:val="2"/>
        <w:widowControl/>
        <w:spacing w:line="300" w:lineRule="auto" w:before="0" w:after="0"/>
        <w:ind w:firstLine="480"/>
        <w:jc w:val="both"/>
      </w:pPr>
      <w:r>
        <w:rPr>
          <w:rFonts w:ascii="Times New Roman" w:hAnsi="Times New Roman" w:eastAsia="方正仿宋_GBK"/>
          <w:b w:val="0"/>
          <w:sz w:val="24"/>
        </w:rPr>
        <w:t xml:space="preserve">对增长较慢的片区，已有主变规格形成的容量余量可以覆盖较长时期，近期建设重点宜放在局部重载和N-1后的供电缺口。对增长较快的片区，目标年负荷增加较多，需要结合设备投运时点安排新增容量。较高增长情景下的较低容载比并不表示减少发展储备，而是负荷分母增大与设备扩建共同作用的结果。</w:t>
      </w:r>
    </w:p>
    <w:p>
      <w:pPr>
        <w:pStyle w:val="2"/>
        <w:widowControl/>
        <w:spacing w:line="300" w:lineRule="auto" w:before="0" w:after="0"/>
        <w:ind w:firstLine="480"/>
        <w:jc w:val="both"/>
      </w:pPr>
      <w:r>
        <w:rPr>
          <w:rFonts w:ascii="Times New Roman" w:hAnsi="Times New Roman" w:eastAsia="方正仿宋_GBK"/>
          <w:b w:val="0"/>
          <w:sz w:val="24"/>
        </w:rPr>
        <w:t xml:space="preserve">案例采用逐年建设安排，分类分析采用目标年配置，两者从不同角度反映负荷增长影响。前者用于判断何时建设，后者用于比较同一目标年的容量规模。实际规划将目标年推荐区间落实到项目时，还需结合近期已投产主变和中间年份的供电需求，避免只按末年总容量平均分配年度投资。</w:t>
      </w:r>
    </w:p>
    <w:p>
      <w:pPr>
        <w:pStyle w:val="5"/>
        <w:keepNext/>
        <w:numPr>
          <w:numId w:val="0"/>
        </w:numPr>
        <w:spacing w:line="360" w:lineRule="auto" w:before="160" w:after="120"/>
        <w:ind w:firstLine="0"/>
      </w:pPr>
      <w:bookmarkStart w:id="271" w:name="峰值持续时间与储能配置变化"/>
      <w:r>
        <w:rPr>
          <w:rFonts w:ascii="Times New Roman" w:hAnsi="Times New Roman" w:eastAsia="方正仿宋_GBK"/>
          <w:b/>
          <w:sz w:val="26"/>
        </w:rPr>
        <w:t xml:space="preserve">5.6.7 峰值持续时间与储能配置变化</w:t>
      </w:r>
      <w:bookmarkEnd w:id="271"/>
    </w:p>
    <w:p>
      <w:pPr>
        <w:pStyle w:val="FirstParagraph"/>
        <w:widowControl/>
        <w:spacing w:line="300" w:lineRule="auto" w:before="0" w:after="0"/>
        <w:ind w:firstLine="480"/>
        <w:jc w:val="both"/>
      </w:pPr>
      <w:r>
        <w:rPr>
          <w:rFonts w:ascii="Times New Roman" w:hAnsi="Times New Roman" w:eastAsia="方正仿宋_GBK"/>
          <w:b w:val="0"/>
          <w:sz w:val="24"/>
        </w:rPr>
        <w:t xml:space="preserve">储能需要同时满足功率和能量要求。对100 kW/215 kWh单柜设备，较短持续时间首先受到额定功率限制，持续时间延长后逐步转为能量限制。储能用于承担持续供电缺口时，所需柜数随持续时间增加；主变容量在相应运行条件下则不按储能能量消耗方式衰减。因此，持续时间改变了两类措施的经济替代关系。</w:t>
      </w:r>
    </w:p>
    <w:p>
      <w:pPr>
        <w:pStyle w:val="2"/>
        <w:widowControl/>
        <w:spacing w:line="300" w:lineRule="auto" w:before="0" w:after="0"/>
        <w:ind w:firstLine="480"/>
        <w:jc w:val="both"/>
      </w:pPr>
      <w:r>
        <w:rPr>
          <w:rFonts w:ascii="Times New Roman" w:hAnsi="Times New Roman" w:eastAsia="方正仿宋_GBK"/>
          <w:b w:val="0"/>
          <w:sz w:val="24"/>
        </w:rPr>
        <w:t xml:space="preserve">本节固定分布式电源装机渗透率1.80、年最大净负荷平均增长率4.00%，比较1、2、3、4和6 h情景。线路采用架空为主，线路和储能按基准价格计取。各表列出主变总容量、储能额定功率及额定能量，分析达到相同峰值功率要求时的设备组合变化。</w:t>
      </w:r>
    </w:p>
    <w:p>
      <w:pPr>
        <w:pStyle w:val="7"/>
        <w:keepNext/>
        <w:numPr>
          <w:numId w:val="0"/>
        </w:numPr>
        <w:spacing w:line="360" w:lineRule="auto" w:before="160" w:after="120"/>
        <w:ind w:firstLine="0"/>
      </w:pPr>
      <w:bookmarkStart w:id="272" w:name="a类供电区域负荷分散系数1.00-2"/>
      <w:r>
        <w:rPr>
          <w:rFonts w:ascii="Times New Roman" w:hAnsi="Times New Roman" w:eastAsia="方正仿宋_GBK"/>
          <w:b/>
          <w:sz w:val="24"/>
        </w:rPr>
        <w:t xml:space="preserve">A类供电区域，负荷分散系数1.00</w:t>
      </w:r>
      <w:bookmarkEnd w:id="272"/>
    </w:p>
    <w:p>
      <w:pPr>
        <w:pStyle w:val="FirstParagraph"/>
        <w:keepNext/>
        <w:spacing w:line="300" w:lineRule="auto" w:before="120" w:after="80"/>
        <w:ind w:firstLine="0"/>
        <w:jc w:val="center"/>
      </w:pPr>
      <w:r>
        <w:rPr>
          <w:rFonts w:ascii="Times New Roman" w:hAnsi="Times New Roman" w:eastAsia="宋体"/>
          <w:b w:val="0"/>
          <w:sz w:val="21"/>
        </w:rPr>
        <w:t xml:space="preserve">表5-86 A类、负荷分散系数1.00的持续时间情景比较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bl>
    <w:p>
      <w:pPr>
        <w:pStyle w:val="2"/>
        <w:widowControl/>
        <w:spacing w:line="300" w:lineRule="auto" w:before="0" w:after="0"/>
        <w:ind w:firstLine="480"/>
        <w:jc w:val="both"/>
      </w:pPr>
      <w:r>
        <w:rPr>
          <w:rFonts w:ascii="Times New Roman" w:hAnsi="Times New Roman" w:eastAsia="方正仿宋_GBK"/>
          <w:b w:val="0"/>
          <w:sz w:val="24"/>
        </w:rPr>
        <w:t xml:space="preserve">持续时间由1 h延长至6 h，容载比由2.05变为2.05，主变总容量分别为600.00 MVA和600.00 MVA。储能额定功率由0.00 MW变为0.00 MW，额定能量由0.00 MWh变为0.00 MWh。费用现值增加0.00万元。该组结果同时反映储能柜数调整和主变容量选择，不宜只比较储能额定功率。</w:t>
      </w:r>
    </w:p>
    <w:p>
      <w:pPr>
        <w:pStyle w:val="2"/>
        <w:widowControl/>
        <w:spacing w:line="300" w:lineRule="auto"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7"/>
        <w:keepNext/>
        <w:numPr>
          <w:numId w:val="0"/>
        </w:numPr>
        <w:spacing w:line="360" w:lineRule="auto" w:before="160" w:after="120"/>
        <w:ind w:firstLine="0"/>
      </w:pPr>
      <w:bookmarkStart w:id="273" w:name="a类供电区域负荷分散系数1.15-2"/>
      <w:r>
        <w:rPr>
          <w:rFonts w:ascii="Times New Roman" w:hAnsi="Times New Roman" w:eastAsia="方正仿宋_GBK"/>
          <w:b/>
          <w:sz w:val="24"/>
        </w:rPr>
        <w:t xml:space="preserve">A类供电区域，负荷分散系数1.15</w:t>
      </w:r>
      <w:bookmarkEnd w:id="273"/>
    </w:p>
    <w:p>
      <w:pPr>
        <w:pStyle w:val="FirstParagraph"/>
        <w:keepNext/>
        <w:spacing w:line="300" w:lineRule="auto" w:before="120" w:after="80"/>
        <w:ind w:firstLine="0"/>
        <w:jc w:val="center"/>
      </w:pPr>
      <w:r>
        <w:rPr>
          <w:rFonts w:ascii="Times New Roman" w:hAnsi="Times New Roman" w:eastAsia="宋体"/>
          <w:b w:val="0"/>
          <w:sz w:val="21"/>
        </w:rPr>
        <w:t xml:space="preserve">表5-87 A类、负荷分散系数1.15的持续时间情景比较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3607.05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3607.05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4139.72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4139.72</w:t>
            </w:r>
          </w:p>
        </w:tc>
      </w:tr>
    </w:tbl>
    <w:p>
      <w:pPr>
        <w:pStyle w:val="2"/>
        <w:widowControl/>
        <w:spacing w:line="300" w:lineRule="auto" w:before="0" w:after="0"/>
        <w:ind w:firstLine="480"/>
        <w:jc w:val="both"/>
      </w:pPr>
      <w:r>
        <w:rPr>
          <w:rFonts w:ascii="Times New Roman" w:hAnsi="Times New Roman" w:eastAsia="方正仿宋_GBK"/>
          <w:b w:val="0"/>
          <w:sz w:val="24"/>
        </w:rPr>
        <w:t xml:space="preserve">持续时间由1 h延长至6 h，容载比由2.05变为2.22，主变总容量分别为600.00 MVA和650.00 MVA。储能额定功率由3.90 MW变为0.00 MW，额定能量由8.38 MWh变为0.00 MWh。费用现值增加532.67万元。该组结果同时反映储能柜数调整和主变容量选择，不宜只比较储能额定功率。</w:t>
      </w:r>
    </w:p>
    <w:p>
      <w:pPr>
        <w:pStyle w:val="2"/>
        <w:widowControl/>
        <w:spacing w:line="300" w:lineRule="auto"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7"/>
        <w:keepNext/>
        <w:numPr>
          <w:numId w:val="0"/>
        </w:numPr>
        <w:spacing w:line="360" w:lineRule="auto" w:before="160" w:after="120"/>
        <w:ind w:firstLine="0"/>
      </w:pPr>
      <w:bookmarkStart w:id="274" w:name="bc类供电区域负荷分散系数1.00-2"/>
      <w:r>
        <w:rPr>
          <w:rFonts w:ascii="Times New Roman" w:hAnsi="Times New Roman" w:eastAsia="方正仿宋_GBK"/>
          <w:b/>
          <w:sz w:val="24"/>
        </w:rPr>
        <w:t xml:space="preserve">B/C类供电区域，负荷分散系数1.00</w:t>
      </w:r>
      <w:bookmarkEnd w:id="274"/>
    </w:p>
    <w:p>
      <w:pPr>
        <w:pStyle w:val="FirstParagraph"/>
        <w:keepNext/>
        <w:spacing w:line="300" w:lineRule="auto" w:before="120" w:after="80"/>
        <w:ind w:firstLine="0"/>
        <w:jc w:val="center"/>
      </w:pPr>
      <w:r>
        <w:rPr>
          <w:rFonts w:ascii="Times New Roman" w:hAnsi="Times New Roman" w:eastAsia="宋体"/>
          <w:b w:val="0"/>
          <w:sz w:val="21"/>
        </w:rPr>
        <w:t xml:space="preserve">表5-88 B/C类、负荷分散系数1.00的持续时间情景比较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3029.10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3029.10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3072.54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3122.31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3122.31</w:t>
            </w:r>
          </w:p>
        </w:tc>
      </w:tr>
    </w:tbl>
    <w:p>
      <w:pPr>
        <w:pStyle w:val="2"/>
        <w:widowControl/>
        <w:spacing w:line="300" w:lineRule="auto" w:before="0" w:after="0"/>
        <w:ind w:firstLine="480"/>
        <w:jc w:val="both"/>
      </w:pPr>
      <w:r>
        <w:rPr>
          <w:rFonts w:ascii="Times New Roman" w:hAnsi="Times New Roman" w:eastAsia="方正仿宋_GBK"/>
          <w:b w:val="0"/>
          <w:sz w:val="24"/>
        </w:rPr>
        <w:t xml:space="preserve">持续时间由1 h延长至6 h，容载比由2.02变为2.14，主变总容量分别为473.00 MVA和500.00 MVA。储能额定功率由0.50 MW变为0.00 MW，额定能量由1.07 MWh变为0.00 MWh。费用现值增加93.21万元。该组结果同时反映储能柜数调整和主变容量选择，不宜只比较储能额定功率。</w:t>
      </w:r>
    </w:p>
    <w:p>
      <w:pPr>
        <w:pStyle w:val="2"/>
        <w:widowControl/>
        <w:spacing w:line="300" w:lineRule="auto"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7"/>
        <w:keepNext/>
        <w:numPr>
          <w:numId w:val="0"/>
        </w:numPr>
        <w:spacing w:line="360" w:lineRule="auto" w:before="160" w:after="120"/>
        <w:ind w:firstLine="0"/>
      </w:pPr>
      <w:bookmarkStart w:id="275" w:name="bc类供电区域负荷分散系数1.15-2"/>
      <w:r>
        <w:rPr>
          <w:rFonts w:ascii="Times New Roman" w:hAnsi="Times New Roman" w:eastAsia="方正仿宋_GBK"/>
          <w:b/>
          <w:sz w:val="24"/>
        </w:rPr>
        <w:t xml:space="preserve">B/C类供电区域，负荷分散系数1.15</w:t>
      </w:r>
      <w:bookmarkEnd w:id="275"/>
    </w:p>
    <w:p>
      <w:pPr>
        <w:pStyle w:val="FirstParagraph"/>
        <w:keepNext/>
        <w:spacing w:line="300" w:lineRule="auto" w:before="120" w:after="80"/>
        <w:ind w:firstLine="0"/>
        <w:jc w:val="center"/>
      </w:pPr>
      <w:r>
        <w:rPr>
          <w:rFonts w:ascii="Times New Roman" w:hAnsi="Times New Roman" w:eastAsia="宋体"/>
          <w:b w:val="0"/>
          <w:sz w:val="21"/>
        </w:rPr>
        <w:t xml:space="preserve">表5-89 B/C类、负荷分散系数1.15的持续时间情景比较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3795.75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3795.75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4057.29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4057.29</w:t>
            </w:r>
          </w:p>
        </w:tc>
      </w:tr>
    </w:tbl>
    <w:p>
      <w:pPr>
        <w:pStyle w:val="2"/>
        <w:widowControl/>
        <w:spacing w:line="300" w:lineRule="auto" w:before="0" w:after="0"/>
        <w:ind w:firstLine="480"/>
        <w:jc w:val="both"/>
      </w:pPr>
      <w:r>
        <w:rPr>
          <w:rFonts w:ascii="Times New Roman" w:hAnsi="Times New Roman" w:eastAsia="方正仿宋_GBK"/>
          <w:b w:val="0"/>
          <w:sz w:val="24"/>
        </w:rPr>
        <w:t xml:space="preserve">持续时间由1 h延长至6 h，容载比由2.14变为2.18，主变总容量分别为500.00 MVA和510.00 MVA。储能额定功率由3.10 MW变为0.00 MW，额定能量由6.67 MWh变为0.00 MWh。费用现值增加261.53万元。该组结果同时反映储能柜数调整和主变容量选择，不宜只比较储能额定功率。</w:t>
      </w:r>
    </w:p>
    <w:p>
      <w:pPr>
        <w:pStyle w:val="2"/>
        <w:widowControl/>
        <w:spacing w:line="300" w:lineRule="auto" w:before="0" w:after="0"/>
        <w:ind w:firstLine="480"/>
        <w:jc w:val="both"/>
      </w:pPr>
      <w:r>
        <w:rPr>
          <w:rFonts w:ascii="Times New Roman" w:hAnsi="Times New Roman" w:eastAsia="方正仿宋_GBK"/>
          <w:b w:val="0"/>
          <w:sz w:val="24"/>
        </w:rPr>
        <w:t xml:space="preserve">当不同持续时间对应相同主变容量时，额外能量要求可表现为储能柜数及费用的增加；当储能增加后的费用超过相应主变建设费用时，所选主变规格可能发生调整。相邻场景的设备组合由各站容量缺口共同确定，因此增加持续时间并不要求每一组容载比均按相同步幅提高。</w:t>
      </w:r>
    </w:p>
    <w:p>
      <w:pPr>
        <w:pStyle w:val="5"/>
        <w:keepNext/>
        <w:numPr>
          <w:numId w:val="0"/>
        </w:numPr>
        <w:spacing w:line="360" w:lineRule="auto" w:before="160" w:after="120"/>
        <w:ind w:firstLine="0"/>
      </w:pPr>
      <w:bookmarkStart w:id="276" w:name="主变与储能单位功率投资比的分类比较"/>
      <w:r>
        <w:rPr>
          <w:rFonts w:ascii="Times New Roman" w:hAnsi="Times New Roman" w:eastAsia="方正仿宋_GBK"/>
          <w:b/>
          <w:sz w:val="26"/>
        </w:rPr>
        <w:t xml:space="preserve">5.6.8 主变与储能单位功率投资比的分类比较</w:t>
      </w:r>
      <w:bookmarkEnd w:id="276"/>
    </w:p>
    <w:p>
      <w:pPr>
        <w:pStyle w:val="FirstParagraph"/>
        <w:widowControl/>
        <w:spacing w:line="300" w:lineRule="auto" w:before="0" w:after="0"/>
        <w:ind w:firstLine="480"/>
        <w:jc w:val="both"/>
      </w:pPr>
      <w:r>
        <w:rPr>
          <w:rFonts w:ascii="Times New Roman" w:hAnsi="Times New Roman" w:eastAsia="方正仿宋_GBK"/>
          <w:b w:val="0"/>
          <w:sz w:val="24"/>
        </w:rPr>
        <w:t xml:space="preserve">储能采购价格变化会改变主变与储能单位功率投资比。在主变价格保持不变时，储能价格下降使该比值提高，表示储能相对于主变更便宜。本节固定分布式电源装机渗透率1.80、年最大净负荷平均增长率4.00%、95%峰值持续时间3 h，以架空为主线路基准价比较三档储能价格。价格倍数分别为0.50、1.00和1.25，技术能力及供电条件保持一致。</w:t>
      </w:r>
    </w:p>
    <w:p>
      <w:pPr>
        <w:pStyle w:val="2"/>
        <w:widowControl/>
        <w:spacing w:line="300" w:lineRule="auto" w:before="0" w:after="0"/>
        <w:ind w:firstLine="480"/>
        <w:jc w:val="both"/>
      </w:pPr>
      <w:r>
        <w:rPr>
          <w:rFonts w:ascii="Times New Roman" w:hAnsi="Times New Roman" w:eastAsia="方正仿宋_GBK"/>
          <w:b w:val="0"/>
          <w:sz w:val="24"/>
        </w:rPr>
        <w:t xml:space="preserve">价格分析需要同时观察容载比和储能规模。容载比相同的方案仍可能因储能柜数或站间负荷分配不同而具有不同费用；容载比变化则表示主变总容量发生调整。下表并列这些结果，以说明相对价格通过工程措施选择影响推荐区间的过程。</w:t>
      </w:r>
    </w:p>
    <w:p>
      <w:pPr>
        <w:pStyle w:val="7"/>
        <w:keepNext/>
        <w:numPr>
          <w:numId w:val="0"/>
        </w:numPr>
        <w:spacing w:line="360" w:lineRule="auto" w:before="160" w:after="120"/>
        <w:ind w:firstLine="0"/>
        <w:pageBreakBefore/>
      </w:pPr>
      <w:bookmarkStart w:id="277" w:name="a类供电区域负荷分散系数1.00-3"/>
      <w:r>
        <w:rPr>
          <w:rFonts w:ascii="Times New Roman" w:hAnsi="Times New Roman" w:eastAsia="方正仿宋_GBK"/>
          <w:b/>
          <w:sz w:val="24"/>
        </w:rPr>
        <w:t xml:space="preserve">A类供电区域，负荷分散系数1.00</w:t>
      </w:r>
      <w:bookmarkEnd w:id="277"/>
    </w:p>
    <w:p>
      <w:pPr>
        <w:pStyle w:val="FirstParagraph"/>
        <w:keepNext/>
        <w:spacing w:line="300" w:lineRule="auto" w:before="120" w:after="80"/>
        <w:ind w:firstLine="0"/>
        <w:jc w:val="center"/>
      </w:pPr>
      <w:r>
        <w:rPr>
          <w:rFonts w:ascii="Times New Roman" w:hAnsi="Times New Roman" w:eastAsia="宋体"/>
          <w:b w:val="0"/>
          <w:sz w:val="21"/>
        </w:rPr>
        <w:t xml:space="preserve">表5-90 A类、负荷分散系数1.00的储能投资比比较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2759.81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2759.81</w:t>
            </w:r>
          </w:p>
        </w:tc>
      </w:tr>
    </w:tbl>
    <w:p>
      <w:pPr>
        <w:pStyle w:val="2"/>
        <w:widowControl/>
        <w:spacing w:line="300" w:lineRule="auto" w:before="0" w:after="0"/>
        <w:ind w:firstLine="480"/>
        <w:jc w:val="both"/>
      </w:pPr>
      <w:r>
        <w:rPr>
          <w:rFonts w:ascii="Times New Roman" w:hAnsi="Times New Roman" w:eastAsia="方正仿宋_GBK"/>
          <w:b w:val="0"/>
          <w:sz w:val="24"/>
        </w:rPr>
        <w:t xml:space="preserve">主变与储能单位功率投资比由0.05提高至0.12时，容载比由2.05变为2.05，储能额定功率由0.00 MW变为0.00 MW。方案费用现值由2759.81万元降至2759.81万元，减少0.00万元。该变化包含既有选定规模的价格下降以及价格变化后重新选择设备组合的结果。</w:t>
      </w:r>
    </w:p>
    <w:p>
      <w:pPr>
        <w:pStyle w:val="2"/>
        <w:widowControl/>
        <w:spacing w:line="300" w:lineRule="auto"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7"/>
        <w:keepNext/>
        <w:numPr>
          <w:numId w:val="0"/>
        </w:numPr>
        <w:spacing w:line="360" w:lineRule="auto" w:before="160" w:after="120"/>
        <w:ind w:firstLine="0"/>
      </w:pPr>
      <w:bookmarkStart w:id="278" w:name="a类供电区域负荷分散系数1.15-3"/>
      <w:r>
        <w:rPr>
          <w:rFonts w:ascii="Times New Roman" w:hAnsi="Times New Roman" w:eastAsia="方正仿宋_GBK"/>
          <w:b/>
          <w:sz w:val="24"/>
        </w:rPr>
        <w:t xml:space="preserve">A类供电区域，负荷分散系数1.15</w:t>
      </w:r>
      <w:bookmarkEnd w:id="278"/>
    </w:p>
    <w:p>
      <w:pPr>
        <w:pStyle w:val="FirstParagraph"/>
        <w:keepNext/>
        <w:spacing w:line="300" w:lineRule="auto" w:before="120" w:after="80"/>
        <w:ind w:firstLine="0"/>
        <w:jc w:val="center"/>
      </w:pPr>
      <w:r>
        <w:rPr>
          <w:rFonts w:ascii="Times New Roman" w:hAnsi="Times New Roman" w:eastAsia="宋体"/>
          <w:b w:val="0"/>
          <w:sz w:val="21"/>
        </w:rPr>
        <w:t xml:space="preserve">表5-91 A类、负荷分散系数1.15的储能投资比比较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2.22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4139.72</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3932.91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3346.36</w:t>
            </w:r>
          </w:p>
        </w:tc>
      </w:tr>
    </w:tbl>
    <w:p>
      <w:pPr>
        <w:pStyle w:val="2"/>
        <w:widowControl/>
        <w:spacing w:line="300" w:lineRule="auto" w:before="0" w:after="0"/>
        <w:ind w:firstLine="480"/>
        <w:jc w:val="both"/>
      </w:pPr>
      <w:r>
        <w:rPr>
          <w:rFonts w:ascii="Times New Roman" w:hAnsi="Times New Roman" w:eastAsia="方正仿宋_GBK"/>
          <w:b w:val="0"/>
          <w:sz w:val="24"/>
        </w:rPr>
        <w:t xml:space="preserve">主变与储能单位功率投资比由0.05提高至0.12时，容载比由2.22变为2.05，储能额定功率由0.00 MW变为5.40 MW。方案费用现值由4139.72万元降至3346.36万元，减少793.36万元。该变化包含既有选定规模的价格下降以及价格变化后重新选择设备组合的结果。</w:t>
      </w:r>
    </w:p>
    <w:p>
      <w:pPr>
        <w:pStyle w:val="2"/>
        <w:widowControl/>
        <w:spacing w:line="300" w:lineRule="auto"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7"/>
        <w:keepNext/>
        <w:numPr>
          <w:numId w:val="0"/>
        </w:numPr>
        <w:spacing w:line="360" w:lineRule="auto" w:before="160" w:after="120"/>
        <w:ind w:firstLine="0"/>
        <w:pageBreakBefore/>
      </w:pPr>
      <w:bookmarkStart w:id="279" w:name="bc类供电区域负荷分散系数1.00-3"/>
      <w:r>
        <w:rPr>
          <w:rFonts w:ascii="Times New Roman" w:hAnsi="Times New Roman" w:eastAsia="方正仿宋_GBK"/>
          <w:b/>
          <w:sz w:val="24"/>
        </w:rPr>
        <w:t xml:space="preserve">B/C类供电区域，负荷分散系数1.00</w:t>
      </w:r>
      <w:bookmarkEnd w:id="279"/>
    </w:p>
    <w:p>
      <w:pPr>
        <w:pStyle w:val="FirstParagraph"/>
        <w:keepNext/>
        <w:spacing w:line="300" w:lineRule="auto" w:before="120" w:after="80"/>
        <w:ind w:firstLine="0"/>
        <w:jc w:val="center"/>
      </w:pPr>
      <w:r>
        <w:rPr>
          <w:rFonts w:ascii="Times New Roman" w:hAnsi="Times New Roman" w:eastAsia="宋体"/>
          <w:b w:val="0"/>
          <w:sz w:val="21"/>
        </w:rPr>
        <w:t xml:space="preserve">表5-92 B/C类、负荷分散系数1.00的储能投资比比较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3110.56</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3072.54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2996.51</w:t>
            </w:r>
          </w:p>
        </w:tc>
      </w:tr>
    </w:tbl>
    <w:p>
      <w:pPr>
        <w:pStyle w:val="2"/>
        <w:widowControl/>
        <w:spacing w:line="300" w:lineRule="auto" w:before="0" w:after="0"/>
        <w:ind w:firstLine="480"/>
        <w:jc w:val="both"/>
      </w:pPr>
      <w:r>
        <w:rPr>
          <w:rFonts w:ascii="Times New Roman" w:hAnsi="Times New Roman" w:eastAsia="方正仿宋_GBK"/>
          <w:b w:val="0"/>
          <w:sz w:val="24"/>
        </w:rPr>
        <w:t xml:space="preserve">主变与储能单位功率投资比由0.05提高至0.12时，容载比由2.02变为2.02，储能额定功率由0.70 MW变为0.70 MW。方案费用现值由3110.56万元降至2996.51万元，减少114.05万元。该变化包含既有选定规模的价格下降以及价格变化后重新选择设备组合的结果。</w:t>
      </w:r>
    </w:p>
    <w:p>
      <w:pPr>
        <w:pStyle w:val="2"/>
        <w:widowControl/>
        <w:spacing w:line="300" w:lineRule="auto"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7"/>
        <w:keepNext/>
        <w:numPr>
          <w:numId w:val="0"/>
        </w:numPr>
        <w:spacing w:line="360" w:lineRule="auto" w:before="160" w:after="120"/>
        <w:ind w:firstLine="0"/>
      </w:pPr>
      <w:bookmarkStart w:id="280" w:name="bc类供电区域负荷分散系数1.15-3"/>
      <w:r>
        <w:rPr>
          <w:rFonts w:ascii="Times New Roman" w:hAnsi="Times New Roman" w:eastAsia="方正仿宋_GBK"/>
          <w:b/>
          <w:sz w:val="24"/>
        </w:rPr>
        <w:t xml:space="preserve">B/C类供电区域，负荷分散系数1.15</w:t>
      </w:r>
      <w:bookmarkEnd w:id="280"/>
    </w:p>
    <w:p>
      <w:pPr>
        <w:pStyle w:val="FirstParagraph"/>
        <w:keepNext/>
        <w:spacing w:line="300" w:lineRule="auto" w:before="120" w:after="80"/>
        <w:ind w:firstLine="0"/>
        <w:jc w:val="center"/>
      </w:pPr>
      <w:r>
        <w:rPr>
          <w:rFonts w:ascii="Times New Roman" w:hAnsi="Times New Roman" w:eastAsia="宋体"/>
          <w:b w:val="0"/>
          <w:sz w:val="21"/>
        </w:rPr>
        <w:t xml:space="preserve">表5-93 B/C类、负荷分散系数1.15的储能投资比比较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主变与储能单位功率投资比（3 h）</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主变总容量/MVA</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1.25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2.18</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510.00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4057.29</w:t>
            </w:r>
          </w:p>
        </w:tc>
      </w:tr>
      <w:tr>
        <w:trPr>
          <w:cantSplit/>
        </w:trPr>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0.06</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spacing w:line="260" w:lineRule="exact" w:before="20" w:after="20"/>
              <w:ind w:firstLine="0" w:firstLineChars="0"/>
              <w:jc w:val="center"/>
            </w:pPr>
            <w:r>
              <w:rPr>
                <w:rFonts w:ascii="Times New Roman" w:hAnsi="Times New Roman" w:eastAsia="宋体"/>
                <w:b w:val="0"/>
                <w:sz w:val="18"/>
              </w:rPr>
              <w:t>4056.44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3589.37</w:t>
            </w:r>
          </w:p>
        </w:tc>
      </w:tr>
    </w:tbl>
    <w:p>
      <w:pPr>
        <w:pStyle w:val="2"/>
        <w:widowControl/>
        <w:spacing w:line="300" w:lineRule="auto" w:before="0" w:after="0"/>
        <w:ind w:firstLine="480"/>
        <w:jc w:val="both"/>
      </w:pPr>
      <w:r>
        <w:rPr>
          <w:rFonts w:ascii="Times New Roman" w:hAnsi="Times New Roman" w:eastAsia="方正仿宋_GBK"/>
          <w:b w:val="0"/>
          <w:sz w:val="24"/>
        </w:rPr>
        <w:t xml:space="preserve">主变与储能单位功率投资比由0.05提高至0.12时，容载比由2.18变为2.14，储能额定功率由0.00 MW变为4.30 MW。方案费用现值由4057.29万元降至3589.37万元，减少467.91万元。该变化包含既有选定规模的价格下降以及价格变化后重新选择设备组合的结果。</w:t>
      </w:r>
    </w:p>
    <w:p>
      <w:pPr>
        <w:pStyle w:val="2"/>
        <w:widowControl/>
        <w:spacing w:line="300" w:lineRule="auto" w:before="0" w:after="0"/>
        <w:ind w:firstLine="480"/>
        <w:jc w:val="both"/>
      </w:pPr>
      <w:r>
        <w:rPr>
          <w:rFonts w:ascii="Times New Roman" w:hAnsi="Times New Roman" w:eastAsia="方正仿宋_GBK"/>
          <w:b w:val="0"/>
          <w:sz w:val="24"/>
        </w:rPr>
        <w:t xml:space="preserve">对于储能价格较低且容量缺口持续时间较短的站点，储能能够以较小建设规模补充局部需求。对持续时间较长或N-1后缺口较大的站点，主变增容和扩建仍可能具有较低的评价期费用。分类推荐将投资比与持续时间同时列出，避免仅依据单柜价格判断配置方向。</w:t>
      </w:r>
    </w:p>
    <w:p>
      <w:pPr>
        <w:pStyle w:val="2"/>
        <w:widowControl/>
        <w:spacing w:line="300" w:lineRule="auto" w:before="0" w:after="0"/>
        <w:ind w:firstLine="480"/>
        <w:jc w:val="both"/>
      </w:pPr>
      <w:r>
        <w:rPr>
          <w:rFonts w:ascii="Times New Roman" w:hAnsi="Times New Roman" w:eastAsia="方正仿宋_GBK"/>
          <w:b w:val="0"/>
          <w:sz w:val="24"/>
        </w:rPr>
        <w:t xml:space="preserve">上述分类比较表明，主变与线路单位功率投资比、主变与储能单位功率投资比均应进入经济分析。前者在本次范围内主要改变联络工程费用，后者在部分条件下改变主变与储能组合。两类比值采用不同的物理分母，只有结合转供能力、峰值持续时间和站级容量约束，才能解释相应容载比变化。</w:t>
      </w:r>
    </w:p>
    <w:p>
      <w:pPr>
        <w:pStyle w:val="5"/>
        <w:keepNext/>
        <w:numPr>
          <w:numId w:val="0"/>
        </w:numPr>
        <w:spacing w:line="360" w:lineRule="auto" w:before="160" w:after="120"/>
        <w:ind w:firstLine="0"/>
      </w:pPr>
      <w:bookmarkStart w:id="281" w:name="分类推荐区间的宽度与取值差异"/>
      <w:r>
        <w:rPr>
          <w:rFonts w:ascii="Times New Roman" w:hAnsi="Times New Roman" w:eastAsia="方正仿宋_GBK"/>
          <w:b/>
          <w:sz w:val="26"/>
        </w:rPr>
        <w:t xml:space="preserve">5.6.9 分类推荐区间的宽度与取值差异</w:t>
      </w:r>
      <w:bookmarkEnd w:id="281"/>
    </w:p>
    <w:p>
      <w:pPr>
        <w:pStyle w:val="FirstParagraph"/>
        <w:widowControl/>
        <w:spacing w:line="300" w:lineRule="auto" w:before="0" w:after="0"/>
        <w:ind w:firstLine="480"/>
        <w:jc w:val="both"/>
      </w:pPr>
      <w:r>
        <w:rPr>
          <w:rFonts w:ascii="Times New Roman" w:hAnsi="Times New Roman" w:eastAsia="方正仿宋_GBK"/>
          <w:b w:val="0"/>
          <w:sz w:val="24"/>
        </w:rPr>
        <w:t xml:space="preserve">推荐区间的宽度反映同一分类内已计算容量配置的差异。供电区域类别和负荷分散系数确定后，装机渗透率、增长水平及持续时间仍采用一定范围，因此每一行可包含多种主变与储能组合。按各行容载比最大值减去最小值，得到以下宽度统计。</w:t>
      </w:r>
    </w:p>
    <w:p>
      <w:pPr>
        <w:pStyle w:val="2"/>
        <w:keepNext/>
        <w:spacing w:line="300" w:lineRule="auto" w:before="120" w:after="80"/>
        <w:ind w:firstLine="0"/>
        <w:jc w:val="center"/>
      </w:pPr>
      <w:r>
        <w:rPr>
          <w:rFonts w:ascii="Times New Roman" w:hAnsi="Times New Roman" w:eastAsia="宋体"/>
          <w:b w:val="0"/>
          <w:sz w:val="21"/>
        </w:rPr>
        <w:t xml:space="preserve">表5-94 不同类别推荐区间的宽度统计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供电区域类别</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区间数</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最小宽度</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宽度中位数</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最大宽度</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宽度不超过0.10的区间数</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w:t>
            </w:r>
          </w:p>
        </w:tc>
      </w:tr>
    </w:tbl>
    <w:p>
      <w:pPr>
        <w:pStyle w:val="2"/>
        <w:widowControl/>
        <w:spacing w:line="300" w:lineRule="auto" w:before="0" w:after="0"/>
        <w:ind w:firstLine="480"/>
        <w:jc w:val="both"/>
      </w:pPr>
      <w:r>
        <w:rPr>
          <w:rFonts w:ascii="Times New Roman" w:hAnsi="Times New Roman" w:eastAsia="方正仿宋_GBK"/>
          <w:b w:val="0"/>
          <w:sz w:val="24"/>
        </w:rPr>
        <w:t xml:space="preserve">注：宽度按未取整端点之差统计，单位MVA/MW；两类线路的容量结果一致，本表各列一组，分别含54个推荐区间。</w:t>
      </w:r>
    </w:p>
    <w:p>
      <w:pPr>
        <w:pStyle w:val="2"/>
        <w:widowControl/>
        <w:spacing w:line="300" w:lineRule="auto" w:before="0" w:after="0"/>
        <w:ind w:firstLine="480"/>
        <w:jc w:val="both"/>
      </w:pPr>
      <w:r>
        <w:rPr>
          <w:rFonts w:ascii="Times New Roman" w:hAnsi="Times New Roman" w:eastAsia="方正仿宋_GBK"/>
          <w:b w:val="0"/>
          <w:sz w:val="24"/>
        </w:rPr>
        <w:t xml:space="preserve">A类供电区域、负荷分散系数1.00的区间宽度中位数为0.08，54个区间中有30个宽度不超过0.10，占55.56%；负荷分散系数1.15时，中位数为0.11，有24个区间宽度不超过0.10，占44.44%。A类多数推荐条件能够形成较窄范围，但仍有少数组合包含明显不同的设备配置，最大宽度分别达到0.47和0.30。</w:t>
      </w:r>
    </w:p>
    <w:p>
      <w:pPr>
        <w:pStyle w:val="2"/>
        <w:widowControl/>
        <w:spacing w:line="300" w:lineRule="auto" w:before="0" w:after="0"/>
        <w:ind w:firstLine="480"/>
        <w:jc w:val="both"/>
      </w:pPr>
      <w:r>
        <w:rPr>
          <w:rFonts w:ascii="Times New Roman" w:hAnsi="Times New Roman" w:eastAsia="方正仿宋_GBK"/>
          <w:b w:val="0"/>
          <w:sz w:val="24"/>
        </w:rPr>
        <w:t xml:space="preserve">B/C类供电区域、负荷分散系数1.00的区间宽度中位数为0.17，宽度不超过0.10的有18个，占33.33%；负荷分散系数1.15时，中位数为0.15，相应区间有25个，占46.30%。其区间宽度没有随负荷分散系数提高而一致增加。负荷分散系数改变各站独立峰值与区域同时峰值的关系，最终范围还取决于主变规格和其他参数在该分类内引起的配置变化。</w:t>
      </w:r>
    </w:p>
    <w:p>
      <w:pPr>
        <w:pStyle w:val="2"/>
        <w:widowControl/>
        <w:spacing w:line="300" w:lineRule="auto" w:before="0" w:after="0"/>
        <w:ind w:firstLine="480"/>
        <w:jc w:val="both"/>
      </w:pPr>
      <w:r>
        <w:rPr>
          <w:rFonts w:ascii="Times New Roman" w:hAnsi="Times New Roman" w:eastAsia="方正仿宋_GBK"/>
          <w:b w:val="0"/>
          <w:sz w:val="24"/>
        </w:rPr>
        <w:t xml:space="preserve">以较窄区间为例，A类供电区域、负荷分散系数1.00、架空为主线路，在分布式电源装机渗透率0.00～1.00、年最大净负荷平均增长率大于7.00%至10.00%、95%峰值持续时间1～3 h、主变与储能单位功率投资比0.04～0.05的条件下，推荐容载比为2.04～2.06。该条件内不同计算点的容量与负荷比例接近，能够给出较集中的规划参考。</w:t>
      </w:r>
    </w:p>
    <w:p>
      <w:pPr>
        <w:pStyle w:val="2"/>
        <w:widowControl/>
        <w:spacing w:line="300" w:lineRule="auto" w:before="0" w:after="0"/>
        <w:ind w:firstLine="480"/>
        <w:jc w:val="both"/>
      </w:pPr>
      <w:r>
        <w:rPr>
          <w:rFonts w:ascii="Times New Roman" w:hAnsi="Times New Roman" w:eastAsia="方正仿宋_GBK"/>
          <w:b w:val="0"/>
          <w:sz w:val="24"/>
        </w:rPr>
        <w:t xml:space="preserve">较宽区间出现在另一类组合中：B/C类供电区域、负荷分散系数1.00、架空为主线路，分布式电源装机渗透率2.00～3.00、年最大净负荷平均增长率0.00%～2.00%、95%峰值持续时间3～6 h，主变与储能单位功率投资比同为0.04～0.05时，推荐区间为2.07～2.57。装机规模较高且持续时间范围较宽，使该组包含不同的反向容量需求和储能能量需求，主变配置差异随之增大。</w:t>
      </w:r>
    </w:p>
    <w:p>
      <w:pPr>
        <w:pStyle w:val="2"/>
        <w:widowControl/>
        <w:spacing w:line="300" w:lineRule="auto" w:before="0" w:after="0"/>
        <w:ind w:firstLine="480"/>
        <w:jc w:val="both"/>
      </w:pPr>
      <w:r>
        <w:rPr>
          <w:rFonts w:ascii="Times New Roman" w:hAnsi="Times New Roman" w:eastAsia="方正仿宋_GBK"/>
          <w:b w:val="0"/>
          <w:sz w:val="24"/>
        </w:rPr>
        <w:t xml:space="preserve">这两个例子说明，分类后的推荐结果既包括2.04～2.06这样的窄区间，也保留2.07～2.57这样的宽区间。较宽区间应进一步结合该片区已明确的光伏装机规模和持续时间，查看相应计算点的设备组合。随着输入条件确定，候选范围可以自然缩小；仅以统一小数档距截取端点，会使部分已计算的配置失去对应范围。</w:t>
      </w:r>
    </w:p>
    <w:p>
      <w:pPr>
        <w:pStyle w:val="2"/>
        <w:widowControl/>
        <w:spacing w:line="300" w:lineRule="auto" w:before="0" w:after="0"/>
        <w:ind w:firstLine="480"/>
        <w:jc w:val="both"/>
      </w:pPr>
      <w:r>
        <w:rPr>
          <w:rFonts w:ascii="Times New Roman" w:hAnsi="Times New Roman" w:eastAsia="方正仿宋_GBK"/>
          <w:b w:val="0"/>
          <w:sz w:val="24"/>
        </w:rPr>
        <w:t xml:space="preserve">区间端点在表中向外保留两位小数，便于覆盖全部计算结果。因此，显示端点之差可能略大于按原精度计算的宽度。本节宽度统计使用原精度，推荐表使用便于查阅的显示值。两种表示服务于同一组结果：统计量用于比较分类效果，表内端点用于确定被该行覆盖的容量范围。</w:t>
      </w:r>
    </w:p>
    <w:p>
      <w:pPr>
        <w:pStyle w:val="2"/>
        <w:widowControl/>
        <w:spacing w:line="300" w:lineRule="auto" w:before="0" w:after="0"/>
        <w:ind w:firstLine="480"/>
        <w:jc w:val="both"/>
      </w:pPr>
      <w:r>
        <w:rPr>
          <w:rFonts w:ascii="Times New Roman" w:hAnsi="Times New Roman" w:eastAsia="方正仿宋_GBK"/>
          <w:b w:val="0"/>
          <w:sz w:val="24"/>
        </w:rPr>
        <w:t xml:space="preserve">线路条件分别列示后，两类线路对应区间宽度相同。这是本次配对计算的结果，费用仍随线路敷设比例和价格变化。对于分类区间相同的片区，线路投资比可以帮助解释建设费用差异；储能投资比和持续时间则进一步对应部分主变配置变化。两类经济参数均保留在推荐条件中。</w:t>
      </w:r>
    </w:p>
    <w:p>
      <w:pPr>
        <w:pStyle w:val="2"/>
        <w:widowControl/>
        <w:spacing w:line="300" w:lineRule="auto" w:before="0" w:after="0"/>
        <w:ind w:firstLine="480"/>
        <w:jc w:val="both"/>
      </w:pPr>
      <w:r>
        <w:rPr>
          <w:rFonts w:ascii="Times New Roman" w:hAnsi="Times New Roman" w:eastAsia="方正仿宋_GBK"/>
          <w:b w:val="0"/>
          <w:sz w:val="24"/>
        </w:rPr>
        <w:t xml:space="preserve">综合全部432组分类结果，区间宽度中位数约为0.12，较合并类别时的0.27缩小。改善主要来自区分供电区域和站群负荷条件；剩余差异来自分类内源荷、持续时间及价格变化。这样的推荐区间能够在报告中反映片区差别，并与具体的负荷、装机和工程条件对应。</w:t>
      </w:r>
    </w:p>
    <w:p>
      <w:bookmarkStart w:id="2074" w:name="h1074"/>
      <w:pPr>
        <w:pStyle w:val="4"/>
        <w:keepNext/>
        <w:numPr>
          <w:numId w:val="0"/>
        </w:numPr>
        <w:spacing w:line="360" w:lineRule="auto" w:before="160" w:after="120"/>
        <w:ind w:firstLine="0"/>
      </w:pPr>
      <w:bookmarkStart w:id="282" w:name="规划建议"/>
      <w:r>
        <w:rPr>
          <w:rFonts w:ascii="Times New Roman" w:hAnsi="Times New Roman" w:eastAsia="方正仿宋_GBK"/>
          <w:b/>
          <w:sz w:val="32"/>
        </w:rPr>
        <w:t xml:space="preserve">5.7 规划建议</w:t>
      </w:r>
      <w:bookmarkEnd w:id="282"/>
      <w:bookmarkEnd w:id="2074"/>
    </w:p>
    <w:p>
      <w:pPr>
        <w:pStyle w:val="5"/>
        <w:keepNext/>
        <w:numPr>
          <w:numId w:val="0"/>
        </w:numPr>
        <w:spacing w:line="360" w:lineRule="auto" w:before="160" w:after="120"/>
        <w:ind w:firstLine="0"/>
      </w:pPr>
      <w:bookmarkStart w:id="283" w:name="优先采用弹性指标确定规划范围"/>
      <w:r>
        <w:rPr>
          <w:rFonts w:ascii="Times New Roman" w:hAnsi="Times New Roman" w:eastAsia="方正仿宋_GBK"/>
          <w:b/>
          <w:sz w:val="26"/>
        </w:rPr>
        <w:t xml:space="preserve">5.7.1 优先采用弹性指标确定规划范围</w:t>
      </w:r>
      <w:bookmarkEnd w:id="283"/>
    </w:p>
    <w:p>
      <w:pPr>
        <w:pStyle w:val="FirstParagraph"/>
        <w:widowControl/>
        <w:spacing w:line="300" w:lineRule="auto" w:before="0" w:after="0"/>
        <w:ind w:firstLine="480"/>
        <w:jc w:val="both"/>
      </w:pPr>
      <w:r>
        <w:rPr>
          <w:rFonts w:ascii="Times New Roman" w:hAnsi="Times New Roman" w:eastAsia="方正仿宋_GBK"/>
          <w:b w:val="0"/>
          <w:sz w:val="24"/>
        </w:rPr>
        <w:t xml:space="preserve">两地区案例推荐采用弹性方案，规划第4年容载比平均约为2.20。该配置通过所列静态容量校核，评价期费用现值低于刚性方案。邳州侧重兼顾日间反向输送与晚间供电，市区侧重主变N-1后的供电能力及站间负荷分配，年度建设规模按第5.4节逐站结果确定。</w:t>
      </w:r>
    </w:p>
    <w:p>
      <w:pPr>
        <w:pStyle w:val="2"/>
        <w:widowControl/>
        <w:spacing w:line="300" w:lineRule="auto" w:before="0" w:after="0"/>
        <w:ind w:firstLine="480"/>
        <w:jc w:val="both"/>
      </w:pPr>
      <w:r>
        <w:rPr>
          <w:rFonts w:ascii="Times New Roman" w:hAnsi="Times New Roman" w:eastAsia="方正仿宋_GBK"/>
          <w:b w:val="0"/>
          <w:sz w:val="24"/>
        </w:rPr>
        <w:t xml:space="preserve">规划初期先统一区县与电压等级，计算年网供最大负荷、分布式电源装机渗透率和分布式电源电量渗透率，结合年最大净负荷平均增长率与95%峰值持续时间，选择相应分类表中的容载比推荐区间。再以实际初始资产、站间转供能力和价格进行方案比选。</w:t>
      </w:r>
    </w:p>
    <w:p>
      <w:pPr>
        <w:pStyle w:val="2"/>
        <w:widowControl/>
        <w:spacing w:line="300" w:lineRule="auto" w:before="0" w:after="0"/>
        <w:ind w:firstLine="480"/>
        <w:jc w:val="both"/>
      </w:pPr>
      <w:r>
        <w:rPr>
          <w:rFonts w:ascii="Times New Roman" w:hAnsi="Times New Roman" w:eastAsia="方正仿宋_GBK"/>
          <w:b w:val="0"/>
          <w:sz w:val="24"/>
        </w:rPr>
        <w:t xml:space="preserve">源荷条件相近的地区，可进一步按供电区域类别和负荷分散系数选取对应情景。分类推荐区间用于确定前期比选范围，具体容载比由满足技术条件的容量配置得到。</w:t>
      </w:r>
    </w:p>
    <w:p>
      <w:pPr>
        <w:pStyle w:val="5"/>
        <w:keepNext/>
        <w:numPr>
          <w:numId w:val="0"/>
        </w:numPr>
        <w:spacing w:line="360" w:lineRule="auto" w:before="160" w:after="120"/>
        <w:ind w:firstLine="0"/>
      </w:pPr>
      <w:bookmarkStart w:id="284" w:name="统筹增容配储与10-kv联络"/>
      <w:r>
        <w:rPr>
          <w:rFonts w:ascii="Times New Roman" w:hAnsi="Times New Roman" w:eastAsia="方正仿宋_GBK"/>
          <w:b/>
          <w:sz w:val="26"/>
        </w:rPr>
        <w:t xml:space="preserve">5.7.2 统筹增容、配储与10 kV联络</w:t>
      </w:r>
      <w:bookmarkEnd w:id="284"/>
    </w:p>
    <w:p>
      <w:pPr>
        <w:pStyle w:val="FirstParagraph"/>
        <w:widowControl/>
        <w:spacing w:line="300" w:lineRule="auto" w:before="0" w:after="0"/>
        <w:ind w:firstLine="480"/>
        <w:jc w:val="both"/>
      </w:pPr>
      <w:r>
        <w:rPr>
          <w:rFonts w:ascii="Times New Roman" w:hAnsi="Times New Roman" w:eastAsia="方正仿宋_GBK"/>
          <w:b w:val="0"/>
          <w:sz w:val="24"/>
        </w:rPr>
        <w:t xml:space="preserve">优先核定并利用既有站间转供能力，计算送受端调整后的负荷与容量余量。能力不足时，按新增联络项目提升转供率；再与主变增容及储能配置共同比较评价期费用。扩容选取受主变规格和预留位置约束，配储选取受峰段持续时间及可用能量约束。</w:t>
      </w:r>
    </w:p>
    <w:p>
      <w:pPr>
        <w:pStyle w:val="2"/>
        <w:widowControl/>
        <w:spacing w:line="300" w:lineRule="auto" w:before="0" w:after="0"/>
        <w:ind w:firstLine="480"/>
        <w:jc w:val="both"/>
      </w:pPr>
      <w:r>
        <w:rPr>
          <w:rFonts w:ascii="Times New Roman" w:hAnsi="Times New Roman" w:eastAsia="方正仿宋_GBK"/>
          <w:b w:val="0"/>
          <w:sz w:val="24"/>
        </w:rPr>
        <w:t xml:space="preserve">光伏较多的县域同时核对正向和反向容量。市区按供电安全任务分析重载站与承接站，依据本地光伏规模和线路资料核定初始转供率。区县内部转接保持总量，区域容载比按统一年网供最大负荷计算。</w:t>
      </w:r>
    </w:p>
    <w:p>
      <w:pPr>
        <w:pStyle w:val="5"/>
        <w:keepNext/>
        <w:numPr>
          <w:numId w:val="0"/>
        </w:numPr>
        <w:spacing w:line="360" w:lineRule="auto" w:before="160" w:after="120"/>
        <w:ind w:firstLine="0"/>
      </w:pPr>
      <w:bookmarkStart w:id="285" w:name="滚动更新参数与工程方案"/>
      <w:r>
        <w:rPr>
          <w:rFonts w:ascii="Times New Roman" w:hAnsi="Times New Roman" w:eastAsia="方正仿宋_GBK"/>
          <w:b/>
          <w:sz w:val="26"/>
        </w:rPr>
        <w:t xml:space="preserve">5.7.3 滚动更新参数与工程方案</w:t>
      </w:r>
      <w:bookmarkEnd w:id="285"/>
    </w:p>
    <w:p>
      <w:pPr>
        <w:pStyle w:val="FirstParagraph"/>
        <w:widowControl/>
        <w:spacing w:line="300" w:lineRule="auto" w:before="0" w:after="0"/>
        <w:ind w:firstLine="480"/>
        <w:jc w:val="both"/>
      </w:pPr>
      <w:r>
        <w:rPr>
          <w:rFonts w:ascii="Times New Roman" w:hAnsi="Times New Roman" w:eastAsia="方正仿宋_GBK"/>
          <w:b w:val="0"/>
          <w:sz w:val="24"/>
        </w:rPr>
        <w:t xml:space="preserve">取得新增设备台账、用户电量与实际线路资料后，更新相应参数与候选集合。主变、储能和线路价格按统一工程范围折算，使用相同现金流规则比较费用。负荷增长、光伏投产和峰段特征变化时，重新计算容量与负荷分配，滚动修订规划区间和建设时点。</w:t>
      </w:r>
    </w:p>
    <w:p>
      <w:pPr>
        <w:pStyle w:val="5"/>
        <w:keepNext/>
        <w:numPr>
          <w:numId w:val="0"/>
        </w:numPr>
        <w:spacing w:line="360" w:lineRule="auto" w:before="160" w:after="120"/>
        <w:ind w:firstLine="0"/>
      </w:pPr>
      <w:bookmarkStart w:id="286" w:name="相同源荷条件下的推荐区间选择"/>
      <w:r>
        <w:rPr>
          <w:rFonts w:ascii="Times New Roman" w:hAnsi="Times New Roman" w:eastAsia="方正仿宋_GBK"/>
          <w:b/>
          <w:sz w:val="26"/>
        </w:rPr>
        <w:t xml:space="preserve">5.7.4 相同源荷条件下的推荐区间选择</w:t>
      </w:r>
      <w:bookmarkEnd w:id="286"/>
    </w:p>
    <w:p>
      <w:pPr>
        <w:pStyle w:val="FirstParagraph"/>
        <w:widowControl/>
        <w:spacing w:line="300" w:lineRule="auto" w:before="0" w:after="0"/>
        <w:ind w:firstLine="480"/>
        <w:jc w:val="both"/>
      </w:pPr>
      <w:r>
        <w:rPr>
          <w:rFonts w:ascii="Times New Roman" w:hAnsi="Times New Roman" w:eastAsia="方正仿宋_GBK"/>
          <w:b w:val="0"/>
          <w:sz w:val="24"/>
        </w:rPr>
        <w:t xml:space="preserve">以分布式电源装机渗透率1.00～2.00、年最大净负荷平均增长率大于2.00%至7.00%、95%峰值持续时间1～3 h为例，选取3 h参考条件下主变与储能单位功率投资比大于0.05至0.08，架空为主线路对应主变与线路单位功率投资比0.84～1.40。按供电区域类别和负荷分散系数细分后的结果如下。</w:t>
      </w:r>
    </w:p>
    <w:p>
      <w:pPr>
        <w:pStyle w:val="2"/>
        <w:keepNext/>
        <w:spacing w:line="300" w:lineRule="auto" w:before="120" w:after="80"/>
        <w:ind w:firstLine="0"/>
        <w:jc w:val="center"/>
      </w:pPr>
      <w:r>
        <w:rPr>
          <w:rFonts w:ascii="Times New Roman" w:hAnsi="Times New Roman" w:eastAsia="宋体"/>
          <w:b w:val="0"/>
          <w:sz w:val="21"/>
        </w:rPr>
        <w:t xml:space="preserve">表5-95 相同源荷与经济条件下的分类推荐示例</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供电区域类别</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负荷分散系数</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容载比推荐区间</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B/C类</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2.09～2.14</w:t>
            </w:r>
          </w:p>
        </w:tc>
      </w:tr>
    </w:tbl>
    <w:p>
      <w:pPr>
        <w:pStyle w:val="2"/>
        <w:widowControl/>
        <w:spacing w:line="300" w:lineRule="auto" w:before="0" w:after="0"/>
        <w:ind w:firstLine="480"/>
        <w:jc w:val="both"/>
      </w:pPr>
      <w:r>
        <w:rPr>
          <w:rFonts w:ascii="Times New Roman" w:hAnsi="Times New Roman" w:eastAsia="方正仿宋_GBK"/>
          <w:b w:val="0"/>
          <w:sz w:val="24"/>
        </w:rPr>
        <w:t xml:space="preserve">这些条件的源荷范围和相对工程价格相同，推荐区间仍有差异，反映了站群设备规格、既有转供条件与各站负荷峰值关系的共同影响。实际片区可以先按供电区域类别定位，再按负荷分散系数选择相应组别。系数与已列情景不一致时，将相邻情景作为比选参照，并按实际站级负荷形成具体容量配置。</w:t>
      </w:r>
    </w:p>
    <w:p>
      <w:pPr>
        <w:pStyle w:val="2"/>
        <w:widowControl/>
        <w:spacing w:line="300" w:lineRule="auto"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推荐区间与地区年网供最大负荷结合，可得到区域主变容量的初步范围。例如年网供最大负荷1000.00 MW时，容载比每变化0.10，对应公用主变总容量变化100.00 MVA。这一数量关系说明，小幅比值差异在较大区域内也会对应明确的设备规模。容量分配仍应按各站正反向负荷和主变N-1条件安排，不能只按区域总量平均分配。</w:t>
      </w:r>
    </w:p>
    <w:p>
      <w:pPr>
        <w:pStyle w:val="2"/>
        <w:widowControl/>
        <w:spacing w:line="300" w:lineRule="auto" w:before="0" w:after="0"/>
        <w:ind w:firstLine="480"/>
        <w:jc w:val="both"/>
      </w:pPr>
      <w:r>
        <w:rPr>
          <w:rFonts w:ascii="Times New Roman" w:hAnsi="Times New Roman" w:eastAsia="方正仿宋_GBK"/>
          <w:b w:val="0"/>
          <w:sz w:val="24"/>
        </w:rPr>
        <w:t xml:space="preserve">相同区间内可以有多组设备组合。对具备扩建位置且停运后剩余容量不足的站，增加主变台数可能较有利；对已有较大主变但峰值缺口较短的站，储能可能补充局部需求；对邻站余量较大且联络条件较好的站，负荷转接能够减少本站新增容量。区域推荐值应与逐站措施一并形成，便于解释容量储备的来源和投资用途。</w:t>
      </w:r>
    </w:p>
    <w:p>
      <w:pPr>
        <w:pStyle w:val="5"/>
        <w:keepNext/>
        <w:numPr>
          <w:numId w:val="0"/>
        </w:numPr>
        <w:spacing w:line="360" w:lineRule="auto" w:before="160" w:after="120"/>
        <w:ind w:firstLine="0"/>
      </w:pPr>
      <w:bookmarkStart w:id="287" w:name="邳州与市区建设措施的综合比较"/>
      <w:r>
        <w:rPr>
          <w:rFonts w:ascii="Times New Roman" w:hAnsi="Times New Roman" w:eastAsia="方正仿宋_GBK"/>
          <w:b/>
          <w:sz w:val="26"/>
        </w:rPr>
        <w:t xml:space="preserve">5.7.5 邳州与市区建设措施的综合比较</w:t>
      </w:r>
      <w:bookmarkEnd w:id="287"/>
    </w:p>
    <w:p>
      <w:pPr>
        <w:pStyle w:val="FirstParagraph"/>
        <w:widowControl/>
        <w:spacing w:line="300" w:lineRule="auto" w:before="0" w:after="0"/>
        <w:ind w:firstLine="480"/>
        <w:jc w:val="both"/>
      </w:pPr>
      <w:r>
        <w:rPr>
          <w:rFonts w:ascii="Times New Roman" w:hAnsi="Times New Roman" w:eastAsia="方正仿宋_GBK"/>
          <w:b w:val="0"/>
          <w:sz w:val="24"/>
        </w:rPr>
        <w:t xml:space="preserve">邳州弹性方案四年新购主变容量960.50 MVA，较刚性方案682.00 MVA增加278.50 MVA，扩建主变项目由6项增加到11项；目标年储能额定功率由253.10 MW降至3.30 MW。两类方案新增联络均为13项，说明该案例主要通过主变与储能组合调整降低费用，联络建设规模保持一致。主变新增投资对应持续在役容量，储能减少则降低了成套设备及后续运维支出。</w:t>
      </w:r>
    </w:p>
    <w:p>
      <w:pPr>
        <w:pStyle w:val="2"/>
        <w:widowControl/>
        <w:spacing w:line="300" w:lineRule="auto" w:before="0" w:after="0"/>
        <w:ind w:firstLine="480"/>
        <w:jc w:val="both"/>
      </w:pPr>
      <w:r>
        <w:rPr>
          <w:rFonts w:ascii="Times New Roman" w:hAnsi="Times New Roman" w:eastAsia="方正仿宋_GBK"/>
          <w:b w:val="0"/>
          <w:sz w:val="24"/>
        </w:rPr>
        <w:t xml:space="preserve">市区弹性方案四年新购主变容量526.00 MVA，较刚性方案289.00 MVA增加237.00 MVA，扩建主变项目由1项增加到8项；目标年储能额定功率由250.00 MW降至2.90 MW。新增联络由0项增加到3项，表明市区在增加主变容量的同时，采用少量联络项目改善站间配置。新增联络与主变扩建共同作用，不能把费用变化全部归因于单一设备。</w:t>
      </w:r>
    </w:p>
    <w:p>
      <w:pPr>
        <w:pStyle w:val="2"/>
        <w:widowControl/>
        <w:spacing w:line="300" w:lineRule="auto" w:before="0" w:after="0"/>
        <w:ind w:firstLine="480"/>
        <w:jc w:val="both"/>
      </w:pPr>
      <w:r>
        <w:rPr>
          <w:rFonts w:ascii="Times New Roman" w:hAnsi="Times New Roman" w:eastAsia="方正仿宋_GBK"/>
          <w:b w:val="0"/>
          <w:sz w:val="24"/>
        </w:rPr>
        <w:t xml:space="preserve">两地区弹性方案储能功率均降至较小规模，但主变容量的站间分配并不相同。部分站承担更多转入负荷，部分站通过转出负荷减少本站需求，另有站点保持原有主变容量。区域容载比提高表示总容量储备增加，并不要求每一座站都增加容量。逐站分析列示了这种差异，使区域指标能够对应具体供电任务。</w:t>
      </w:r>
    </w:p>
    <w:p>
      <w:pPr>
        <w:pStyle w:val="2"/>
        <w:widowControl/>
        <w:spacing w:line="300" w:lineRule="auto" w:before="0" w:after="0"/>
        <w:ind w:firstLine="480"/>
        <w:jc w:val="both"/>
      </w:pPr>
      <w:r>
        <w:rPr>
          <w:rFonts w:ascii="Times New Roman" w:hAnsi="Times New Roman" w:eastAsia="方正仿宋_GBK"/>
          <w:b w:val="0"/>
          <w:sz w:val="24"/>
        </w:rPr>
        <w:t xml:space="preserve">费用现值比较中，邳州刚性与弹性方案分别为86143.38万元和29227.32万元，降低66.07%；市区分别为73047.96万元和18432.29万元，降低74.77%。两地区的绝对费用规模与样本负荷、建设项目数量及储能需求有关。相对降幅用于比较本地区两类方案，区域之间则还应结合设备规模和工程类型分析，避免只按降幅大小判断规划水平。</w:t>
      </w:r>
    </w:p>
    <w:p>
      <w:pPr>
        <w:pStyle w:val="2"/>
        <w:widowControl/>
        <w:spacing w:line="300" w:lineRule="auto" w:before="0" w:after="0"/>
        <w:ind w:firstLine="480"/>
        <w:jc w:val="both"/>
      </w:pPr>
      <w:r>
        <w:rPr>
          <w:rFonts w:ascii="Times New Roman" w:hAnsi="Times New Roman" w:eastAsia="方正仿宋_GBK"/>
          <w:b w:val="0"/>
          <w:sz w:val="24"/>
        </w:rPr>
        <w:t xml:space="preserve">从年度建设看，邳州弹性方案第1年主变净增441.50 MVA，此后每年仍有容量建设；市区第1年净增373.00 MVA，第3年没有新增主变容量，主要利用已有设备和负荷转接满足增长。邳州较快的负荷发展对应持续建设需求，市区较低的增长水平则允许部分年份利用既有储备。建设节奏与当地负荷发展共同决定年度容载比变化。</w:t>
      </w:r>
    </w:p>
    <w:p>
      <w:pPr>
        <w:pStyle w:val="2"/>
        <w:widowControl/>
        <w:spacing w:line="300" w:lineRule="auto" w:before="0" w:after="0"/>
        <w:ind w:firstLine="480"/>
        <w:jc w:val="both"/>
      </w:pPr>
      <w:r>
        <w:rPr>
          <w:rFonts w:ascii="Times New Roman" w:hAnsi="Times New Roman" w:eastAsia="方正仿宋_GBK"/>
          <w:b w:val="0"/>
          <w:sz w:val="24"/>
        </w:rPr>
        <w:t xml:space="preserve">采用弹性指标后，规划评价应同时关注主变容量是否满足当年需求、设备规格是否能够实施、储能是否具有相应持续时间的功率和能量，以及新增工程费用是否合理。推荐区间提供容量比选范围，年度措施和逐站结果给出具体建设内容，两者结合形成</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的研究建议。</w:t>
      </w:r>
    </w:p>
    <w:p>
      <w:bookmarkStart w:id="2097" w:name="h1097"/>
      <w:pPr>
        <w:pStyle w:val="3"/>
        <w:keepNext/>
        <w:pageBreakBefore/>
        <w:numPr>
          <w:numId w:val="0"/>
        </w:numPr>
        <w:spacing w:line="360" w:lineRule="auto" w:before="0" w:after="120"/>
        <w:ind w:firstLine="0"/>
      </w:pPr>
      <w:bookmarkStart w:id="288" w:name="第六章-结论与建议"/>
      <w:r>
        <w:rPr>
          <w:rFonts w:ascii="Times New Roman" w:hAnsi="Times New Roman" w:eastAsia="方正仿宋_GBK"/>
          <w:b/>
          <w:sz w:val="36"/>
        </w:rPr>
        <w:t xml:space="preserve">第六章 结论与建议</w:t>
      </w:r>
      <w:bookmarkEnd w:id="288"/>
      <w:bookmarkEnd w:id="2097"/>
    </w:p>
    <w:p>
      <w:pPr>
        <w:pStyle w:val="FirstParagraph"/>
        <w:widowControl/>
        <w:spacing w:line="300" w:lineRule="auto"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kV联络的联合寻优。在两地区刚性与弹性方案对比基础上，进一步拓展源荷及经济参数，形成弹性容载比推荐区间及适用条件，供不同片区比选。</w:t>
      </w:r>
    </w:p>
    <w:p>
      <w:bookmarkStart w:id="2099" w:name="h1099"/>
      <w:pPr>
        <w:pStyle w:val="4"/>
        <w:keepNext/>
        <w:numPr>
          <w:numId w:val="0"/>
        </w:numPr>
        <w:spacing w:line="360" w:lineRule="auto" w:before="160" w:after="120"/>
        <w:ind w:firstLine="0"/>
      </w:pPr>
      <w:bookmarkStart w:id="289" w:name="主要研究结论"/>
      <w:r>
        <w:rPr>
          <w:rFonts w:ascii="Times New Roman" w:hAnsi="Times New Roman" w:eastAsia="方正仿宋_GBK"/>
          <w:b/>
          <w:sz w:val="32"/>
        </w:rPr>
        <w:t xml:space="preserve">6.1 主要研究结论</w:t>
      </w:r>
      <w:bookmarkEnd w:id="289"/>
      <w:bookmarkEnd w:id="2099"/>
    </w:p>
    <w:p>
      <w:pPr>
        <w:pStyle w:val="5"/>
        <w:keepNext/>
        <w:numPr>
          <w:numId w:val="0"/>
        </w:numPr>
        <w:spacing w:line="360" w:lineRule="auto" w:before="160" w:after="120"/>
        <w:ind w:firstLine="0"/>
      </w:pPr>
      <w:bookmarkStart w:id="290" w:name="容载比选取需要同时考虑区域负荷与站级双向需求"/>
      <w:r>
        <w:rPr>
          <w:rFonts w:ascii="Times New Roman" w:hAnsi="Times New Roman" w:eastAsia="方正仿宋_GBK"/>
          <w:b/>
          <w:sz w:val="26"/>
        </w:rPr>
        <w:t xml:space="preserve">6.1.1 容载比选取需要同时考虑区域负荷与站级双向需求</w:t>
      </w:r>
      <w:bookmarkEnd w:id="290"/>
    </w:p>
    <w:p>
      <w:pPr>
        <w:pStyle w:val="FirstParagraph"/>
        <w:widowControl/>
        <w:spacing w:line="300" w:lineRule="auto"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2"/>
        <w:widowControl/>
        <w:spacing w:line="300" w:lineRule="auto" w:before="0" w:after="0"/>
        <w:ind w:firstLine="480"/>
        <w:jc w:val="both"/>
      </w:pPr>
      <w:r>
        <w:rPr>
          <w:rFonts w:ascii="Times New Roman" w:hAnsi="Times New Roman" w:eastAsia="方正仿宋_GBK"/>
          <w:b w:val="0"/>
          <w:sz w:val="24"/>
        </w:rPr>
        <w:t xml:space="preserve">结合装机统计与典型源荷场景，邳州2025年分布式电源装机渗透率为1.63，分布式电源电量渗透率为40.28%；市区相应估计值为0.32和8.69%。邳州的规划分析需要重视本地负荷与光伏出力的配合及反向容量需求，市区则主要结合正向负荷分布和A类供电安全条件配置容量。片区源荷及设备结构的差异，应落实为相应技术约束和建设方案。</w:t>
      </w:r>
    </w:p>
    <w:p>
      <w:pPr>
        <w:pStyle w:val="5"/>
        <w:keepNext/>
        <w:numPr>
          <w:numId w:val="0"/>
        </w:numPr>
        <w:spacing w:line="360" w:lineRule="auto" w:before="160" w:after="120"/>
        <w:ind w:firstLine="0"/>
      </w:pPr>
      <w:bookmarkStart w:id="291" w:name="本案例中弹性方案增加主变容量降低新增措施费用"/>
      <w:r>
        <w:rPr>
          <w:rFonts w:ascii="Times New Roman" w:hAnsi="Times New Roman" w:eastAsia="方正仿宋_GBK"/>
          <w:b/>
          <w:sz w:val="26"/>
        </w:rPr>
        <w:t xml:space="preserve">6.1.2 本案例中弹性方案增加主变容量，降低新增措施费用</w:t>
      </w:r>
      <w:bookmarkEnd w:id="291"/>
    </w:p>
    <w:p>
      <w:pPr>
        <w:pStyle w:val="FirstParagraph"/>
        <w:widowControl/>
        <w:spacing w:line="300" w:lineRule="auto" w:before="0" w:after="0"/>
        <w:ind w:firstLine="480"/>
        <w:jc w:val="both"/>
      </w:pPr>
      <w:r>
        <w:rPr>
          <w:rFonts w:ascii="Times New Roman" w:hAnsi="Times New Roman" w:eastAsia="方正仿宋_GBK"/>
          <w:b w:val="0"/>
          <w:sz w:val="24"/>
        </w:rPr>
        <w:t xml:space="preserve">刚性与弹性方案在同一区县共用容载比2.00的仿真起点，并采用相同负荷发展、候选措施和工程价格。后续各年均校核正常运行、主变N-1、设备持续在役和转供能力。刚性方案受2.00上限约束，部分站点需要配置较大规模储能以满足主变N-1工况；弹性方案适当增加主变容量，提高剩余主变供电能力，减少相应储能投资和维护费用。</w:t>
      </w:r>
    </w:p>
    <w:p>
      <w:pPr>
        <w:pStyle w:val="2"/>
        <w:widowControl/>
        <w:spacing w:line="300" w:lineRule="auto" w:before="0" w:after="0"/>
        <w:ind w:firstLine="480"/>
        <w:jc w:val="both"/>
      </w:pPr>
      <w:r>
        <w:rPr>
          <w:rFonts w:ascii="Times New Roman" w:hAnsi="Times New Roman" w:eastAsia="方正仿宋_GBK"/>
          <w:b w:val="0"/>
          <w:sz w:val="24"/>
        </w:rPr>
        <w:t xml:space="preserve">两地区刚性方案新增措施评价期费用现值合计159191.34万元，弹性方案为47659.61万元，降低70.06%。规划第4年，刚性方案容载比为1.95～1.97，弹性方案平均约为2.20；弹性方案邳州储能为3.30 MW/7.09 MWh，市区为2.90 MW/6.23 MWh。费用按2021年末折现，汇总至2041年的新增建设与固定运维支出。结果表明，在本案例的负荷发展及工程价格条件下，增加主变容量能够减少相应储能需求，降低综合支出。</w:t>
      </w:r>
    </w:p>
    <w:p>
      <w:pPr>
        <w:pStyle w:val="5"/>
        <w:keepNext/>
        <w:numPr>
          <w:numId w:val="0"/>
        </w:numPr>
        <w:spacing w:line="360" w:lineRule="auto" w:before="160" w:after="120"/>
        <w:ind w:firstLine="0"/>
      </w:pPr>
      <w:bookmarkStart w:id="292"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92"/>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00" w:lineRule="auto" w:before="0" w:after="0"/>
        <w:ind w:firstLine="480"/>
        <w:jc w:val="both"/>
      </w:pPr>
      <w:r>
        <w:rPr>
          <w:rFonts w:ascii="Times New Roman" w:hAnsi="Times New Roman" w:eastAsia="方正仿宋_GBK"/>
          <w:b w:val="0"/>
          <w:sz w:val="24"/>
        </w:rPr>
        <w:t xml:space="preserve">市区初始站间转供率按50.00%设定，邳州依据局部馈线资料测算为28.29%，并应用于县域站群。既有能力利用按零新增建设投资计取，能力不足时通过新建联络提高转供率。新增联络与主变、储能共同参与费用比较，实际转接量由送端可转负荷、受端容量和工程费用共同确定。</w:t>
      </w:r>
    </w:p>
    <w:p>
      <w:pPr>
        <w:pStyle w:val="5"/>
        <w:keepNext/>
        <w:numPr>
          <w:numId w:val="0"/>
        </w:numPr>
        <w:spacing w:line="360" w:lineRule="auto" w:before="160" w:after="120"/>
        <w:ind w:firstLine="0"/>
      </w:pPr>
      <w:bookmarkStart w:id="293" w:name="容载比取值随源荷水平负荷增长及储能配置条件变化"/>
      <w:r>
        <w:rPr>
          <w:rFonts w:ascii="Times New Roman" w:hAnsi="Times New Roman" w:eastAsia="方正仿宋_GBK"/>
          <w:b/>
          <w:sz w:val="26"/>
        </w:rPr>
        <w:t xml:space="preserve">6.1.4 容载比取值随源荷水平、负荷增长及储能配置条件变化</w:t>
      </w:r>
      <w:bookmarkEnd w:id="293"/>
    </w:p>
    <w:p>
      <w:pPr>
        <w:pStyle w:val="FirstParagraph"/>
        <w:widowControl/>
        <w:spacing w:line="300" w:lineRule="auto" w:before="0" w:after="0"/>
        <w:ind w:firstLine="480"/>
        <w:jc w:val="both"/>
      </w:pPr>
      <w:r>
        <w:rPr>
          <w:rFonts w:ascii="Times New Roman" w:hAnsi="Times New Roman" w:eastAsia="方正仿宋_GBK"/>
          <w:b w:val="0"/>
          <w:sz w:val="24"/>
        </w:rPr>
        <w:t xml:space="preserve">参数分析显示，源荷比由0.00增至3.00时，容载比平均增加0.20；年最大净负荷平均增长率由0.00%增至10.00%时，容载比平均变化为－0.24。前者反映光伏反向输送对容量配置的影响，后者同时包含负荷增长对容量需求和容载比分母的作用。95%峰值持续时间由1 h延长至6 h，19.17%的配对情景发生容载比变化；储能价格由基准的0.50倍提高至1.25倍，相应比例为17.93%。这些差异说明，源荷规模相近的片区仍需结合峰值持续时间与储能经济性确定容量配置。</w:t>
      </w:r>
    </w:p>
    <w:p>
      <w:pPr>
        <w:pStyle w:val="2"/>
        <w:widowControl/>
        <w:spacing w:line="300" w:lineRule="auto" w:before="0" w:after="0"/>
        <w:ind w:firstLine="480"/>
        <w:jc w:val="both"/>
      </w:pPr>
      <w:r>
        <w:rPr>
          <w:rFonts w:ascii="Times New Roman" w:hAnsi="Times New Roman" w:eastAsia="方正仿宋_GBK"/>
          <w:b w:val="0"/>
          <w:sz w:val="24"/>
        </w:rPr>
        <w:t xml:space="preserve">线路类型与价格变化主要影响费用。在本次参数范围内，架空为主改为电缆为主，费用现值平均增加543.74万元，容载比保持不变。研究据此按源荷比、负荷增长和储能经济条件归纳容载比取值，并分别列示线路条件；供电区域类别与负荷分散系数用于进一步区分片区。</w:t>
      </w:r>
    </w:p>
    <w:p>
      <w:bookmarkStart w:id="2112" w:name="h1112"/>
      <w:pPr>
        <w:pStyle w:val="4"/>
        <w:keepNext/>
        <w:numPr>
          <w:numId w:val="0"/>
        </w:numPr>
        <w:spacing w:line="360" w:lineRule="auto" w:before="160" w:after="120"/>
        <w:ind w:firstLine="0"/>
      </w:pPr>
      <w:bookmarkStart w:id="294" w:name="规划应用建议"/>
      <w:r>
        <w:rPr>
          <w:rFonts w:ascii="Times New Roman" w:hAnsi="Times New Roman" w:eastAsia="方正仿宋_GBK"/>
          <w:b/>
          <w:sz w:val="32"/>
        </w:rPr>
        <w:t xml:space="preserve">6.2 规划应用建议</w:t>
      </w:r>
      <w:bookmarkEnd w:id="294"/>
      <w:bookmarkEnd w:id="2112"/>
    </w:p>
    <w:p>
      <w:pPr>
        <w:pStyle w:val="5"/>
        <w:keepNext/>
        <w:numPr>
          <w:numId w:val="0"/>
        </w:numPr>
        <w:spacing w:line="360" w:lineRule="auto" w:before="160" w:after="120"/>
        <w:ind w:firstLine="0"/>
      </w:pPr>
      <w:bookmarkStart w:id="295" w:name="按片区参数选择推荐区间并以实际设备确定建设方案"/>
      <w:r>
        <w:rPr>
          <w:rFonts w:ascii="Times New Roman" w:hAnsi="Times New Roman" w:eastAsia="方正仿宋_GBK"/>
          <w:b/>
          <w:sz w:val="26"/>
        </w:rPr>
        <w:t xml:space="preserve">6.2.1 按片区参数选择推荐区间，并以实际设备确定建设方案</w:t>
      </w:r>
      <w:bookmarkEnd w:id="295"/>
    </w:p>
    <w:p>
      <w:pPr>
        <w:pStyle w:val="FirstParagraph"/>
        <w:widowControl/>
        <w:spacing w:line="300" w:lineRule="auto" w:before="0" w:after="0"/>
        <w:ind w:firstLine="480"/>
        <w:jc w:val="both"/>
      </w:pPr>
      <w:r>
        <w:rPr>
          <w:rFonts w:ascii="Times New Roman" w:hAnsi="Times New Roman" w:eastAsia="方正仿宋_GBK"/>
          <w:b w:val="0"/>
          <w:sz w:val="24"/>
        </w:rPr>
        <w:t xml:space="preserve">两地区案例第4年推荐容载比平均约为2.20，具体设备配置与建设时序见第五章。实际规划先核定同电压等级公用主变容量与年网供最大负荷，结合分布式电源装机渗透率、分布式电源电量渗透率及年最大净负荷平均增长率识别源荷条件，再按峰值持续时间和成本条件匹配第五章矩阵，进一步核对供电类别与负荷分散系数。按匹配的源荷条件比较容量配置及评价期费用，确定片区推荐值。</w:t>
      </w:r>
    </w:p>
    <w:p>
      <w:pPr>
        <w:pStyle w:val="2"/>
        <w:widowControl/>
        <w:spacing w:line="300" w:lineRule="auto"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60" w:lineRule="auto" w:before="160" w:after="120"/>
        <w:ind w:firstLine="0"/>
      </w:pPr>
      <w:bookmarkStart w:id="296" w:name="统筹既有转供能力主变建设和储能配置"/>
      <w:r>
        <w:rPr>
          <w:rFonts w:ascii="Times New Roman" w:hAnsi="Times New Roman" w:eastAsia="方正仿宋_GBK"/>
          <w:b/>
          <w:sz w:val="26"/>
        </w:rPr>
        <w:t xml:space="preserve">6.2.2 统筹既有转供能力、主变建设和储能配置</w:t>
      </w:r>
      <w:bookmarkEnd w:id="296"/>
    </w:p>
    <w:p>
      <w:pPr>
        <w:pStyle w:val="FirstParagraph"/>
        <w:widowControl/>
        <w:spacing w:line="300" w:lineRule="auto"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2"/>
        <w:widowControl/>
        <w:spacing w:line="300" w:lineRule="auto" w:before="0" w:after="0"/>
        <w:ind w:firstLine="480"/>
        <w:jc w:val="both"/>
      </w:pPr>
      <w:r>
        <w:rPr>
          <w:rFonts w:ascii="Times New Roman" w:hAnsi="Times New Roman" w:eastAsia="方正仿宋_GBK"/>
          <w:b w:val="0"/>
          <w:sz w:val="24"/>
        </w:rPr>
        <w:t xml:space="preserve">光伏规模较大的县域，在送端正向需求降低的同时核对反向输送；负荷密集城区，重点校核重载站和承接站的主变N-1供电能力。储能按对应连续峰段初步确定功率和能量，并在工程设计中核定实际可用能力，主变建设按允许规格及扩建条件确定容量，联络按两端能力落实可转负荷。</w:t>
      </w:r>
    </w:p>
    <w:p>
      <w:pPr>
        <w:pStyle w:val="5"/>
        <w:keepNext/>
        <w:numPr>
          <w:numId w:val="0"/>
        </w:numPr>
        <w:spacing w:line="360" w:lineRule="auto" w:before="160" w:after="120"/>
        <w:ind w:firstLine="0"/>
      </w:pPr>
      <w:bookmarkStart w:id="297" w:name="随源荷发展和工程条件滚动更新规划"/>
      <w:r>
        <w:rPr>
          <w:rFonts w:ascii="Times New Roman" w:hAnsi="Times New Roman" w:eastAsia="方正仿宋_GBK"/>
          <w:b/>
          <w:sz w:val="26"/>
        </w:rPr>
        <w:t xml:space="preserve">6.2.3 随源荷发展和工程条件滚动更新规划</w:t>
      </w:r>
      <w:bookmarkEnd w:id="297"/>
    </w:p>
    <w:p>
      <w:pPr>
        <w:pStyle w:val="FirstParagraph"/>
        <w:widowControl/>
        <w:spacing w:line="300" w:lineRule="auto"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00" w:lineRule="auto"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bookmarkStart w:id="2122" w:name="h1122"/>
      <w:pPr>
        <w:pStyle w:val="4"/>
        <w:keepNext/>
        <w:numPr>
          <w:numId w:val="0"/>
        </w:numPr>
        <w:spacing w:line="360" w:lineRule="auto" w:before="160" w:after="120"/>
        <w:ind w:firstLine="0"/>
      </w:pPr>
      <w:bookmarkStart w:id="298" w:name="后续研究方向"/>
      <w:r>
        <w:rPr>
          <w:rFonts w:ascii="Times New Roman" w:hAnsi="Times New Roman" w:eastAsia="方正仿宋_GBK"/>
          <w:b/>
          <w:sz w:val="32"/>
        </w:rPr>
        <w:t xml:space="preserve">6.3 后续研究方向</w:t>
      </w:r>
      <w:bookmarkEnd w:id="298"/>
      <w:bookmarkEnd w:id="2122"/>
    </w:p>
    <w:p>
      <w:pPr>
        <w:pStyle w:val="5"/>
        <w:keepNext/>
        <w:numPr>
          <w:numId w:val="0"/>
        </w:numPr>
        <w:spacing w:line="360" w:lineRule="auto" w:before="160" w:after="120"/>
        <w:ind w:firstLine="0"/>
      </w:pPr>
      <w:bookmarkStart w:id="299" w:name="深化储能运行与实际网络校核"/>
      <w:r>
        <w:rPr>
          <w:rFonts w:ascii="Times New Roman" w:hAnsi="Times New Roman" w:eastAsia="方正仿宋_GBK"/>
          <w:b/>
          <w:sz w:val="26"/>
        </w:rPr>
        <w:t xml:space="preserve">6.3.1 深化储能运行与实际网络校核</w:t>
      </w:r>
      <w:bookmarkEnd w:id="299"/>
    </w:p>
    <w:p>
      <w:pPr>
        <w:pStyle w:val="FirstParagraph"/>
        <w:widowControl/>
        <w:spacing w:line="300" w:lineRule="auto"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退出期间的实际功率缺口积分确定能量需求，并分别核定正向放电和反向充电所需的荷电状态。结合保证可用能量、充放电效率及故障恢复时间，检查连续多日支撑条件。将等效联络方案落实到实际馈线和开关位置，把转接量绑定到具体通道，继续分析线路允许容量、电压及保护配合。</w:t>
      </w:r>
    </w:p>
    <w:p>
      <w:pPr>
        <w:pStyle w:val="5"/>
        <w:keepNext/>
        <w:numPr>
          <w:numId w:val="0"/>
        </w:numPr>
        <w:spacing w:line="360" w:lineRule="auto" w:before="160" w:after="120"/>
        <w:ind w:firstLine="0"/>
      </w:pPr>
      <w:bookmarkStart w:id="300" w:name="拓展片区结构和经济参数"/>
      <w:r>
        <w:rPr>
          <w:rFonts w:ascii="Times New Roman" w:hAnsi="Times New Roman" w:eastAsia="方正仿宋_GBK"/>
          <w:b/>
          <w:sz w:val="26"/>
        </w:rPr>
        <w:t xml:space="preserve">6.3.2 拓展片区结构和经济参数</w:t>
      </w:r>
      <w:bookmarkEnd w:id="300"/>
    </w:p>
    <w:p>
      <w:pPr>
        <w:pStyle w:val="FirstParagraph"/>
        <w:widowControl/>
        <w:spacing w:line="300" w:lineRule="auto"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bookmarkStart w:id="2127" w:name="h1127"/>
      <w:pPr>
        <w:pStyle w:val="3"/>
        <w:keepNext/>
        <w:pageBreakBefore/>
        <w:numPr>
          <w:numId w:val="0"/>
        </w:numPr>
        <w:spacing w:line="360" w:lineRule="auto" w:before="0" w:after="120"/>
        <w:ind w:firstLine="0"/>
      </w:pPr>
      <w:bookmarkStart w:id="301" w:name="参考文献"/>
      <w:r>
        <w:rPr>
          <w:rFonts w:ascii="Times New Roman" w:hAnsi="Times New Roman" w:eastAsia="方正仿宋_GBK"/>
          <w:b/>
          <w:sz w:val="36"/>
        </w:rPr>
        <w:t xml:space="preserve">参考文献</w:t>
      </w:r>
      <w:bookmarkEnd w:id="301"/>
      <w:bookmarkEnd w:id="2127"/>
    </w:p>
    <w:p>
      <w:pPr>
        <w:pStyle w:val="FirstParagraph"/>
        <w:widowControl/>
        <w:spacing w:line="276" w:lineRule="auto"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276" w:lineRule="auto"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276" w:lineRule="auto"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276" w:lineRule="auto"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276" w:lineRule="auto"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276" w:lineRule="auto"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276" w:lineRule="auto"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276" w:lineRule="auto"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276" w:lineRule="auto"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276" w:lineRule="auto"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276" w:lineRule="auto"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276" w:lineRule="auto"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276" w:lineRule="auto"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276" w:lineRule="auto"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276" w:lineRule="auto"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276" w:lineRule="auto"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276" w:lineRule="auto"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276" w:lineRule="auto"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276" w:lineRule="auto"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276" w:lineRule="auto"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276" w:lineRule="auto"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276" w:lineRule="auto"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276" w:lineRule="auto"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276" w:lineRule="auto"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276" w:lineRule="auto"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276" w:lineRule="auto"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276" w:lineRule="auto"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276" w:lineRule="auto"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276" w:lineRule="auto"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276" w:lineRule="auto"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276" w:lineRule="auto"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276" w:lineRule="auto"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276" w:lineRule="auto"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276" w:lineRule="auto"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276" w:lineRule="auto"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276" w:lineRule="auto"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276" w:lineRule="auto"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276" w:lineRule="auto"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276" w:lineRule="auto"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276" w:lineRule="auto"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276" w:lineRule="auto"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276" w:lineRule="auto"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276" w:lineRule="auto"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276" w:lineRule="auto"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276" w:lineRule="auto"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276" w:lineRule="auto"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276" w:lineRule="auto"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276" w:lineRule="auto"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276" w:lineRule="auto"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276" w:lineRule="auto"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276" w:lineRule="auto"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276" w:lineRule="auto"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276" w:lineRule="auto"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276" w:lineRule="auto"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276" w:lineRule="auto"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276" w:lineRule="auto"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276" w:lineRule="auto"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276" w:lineRule="auto"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276" w:lineRule="auto"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276" w:lineRule="auto"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276" w:lineRule="auto"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276" w:lineRule="auto"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276" w:lineRule="auto"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276" w:lineRule="auto"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276" w:lineRule="auto"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276" w:lineRule="auto"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276" w:lineRule="auto"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276" w:lineRule="auto"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276" w:lineRule="auto"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276" w:lineRule="auto"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276" w:lineRule="auto"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276" w:lineRule="auto"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276" w:lineRule="auto"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276" w:lineRule="auto"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276" w:lineRule="auto"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276" w:lineRule="auto"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276" w:lineRule="auto"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276" w:lineRule="auto"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276" w:lineRule="auto"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276" w:lineRule="auto"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276" w:lineRule="auto"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276" w:lineRule="auto"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276" w:lineRule="auto"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276" w:lineRule="auto"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276" w:lineRule="auto"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276" w:lineRule="auto"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276" w:lineRule="auto"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276" w:lineRule="auto" w:before="0" w:after="80"/>
        <w:ind w:firstLine="0"/>
        <w:jc w:val="left"/>
      </w:pPr>
      <w:r>
        <w:rPr>
          <w:rFonts w:ascii="Times New Roman" w:hAnsi="Times New Roman" w:eastAsia="方正仿宋_GBK"/>
          <w:b w:val="0"/>
          <w:sz w:val="21"/>
        </w:rPr>
        <w:t xml:space="preserve">[88] 徐州10 kV线路迁改项目招标公告[EB/OL]. 2025. https://ggzy.zwb.xz.gov.cn/jyxx/003009/003009001/20250903/8c7d2dd2-dcab-4abf-827f-d0f5774799d3.html.</w:t>
      </w:r>
    </w:p>
    <w:p>
      <w:pPr>
        <w:pStyle w:val="2"/>
        <w:widowControl/>
        <w:spacing w:line="276" w:lineRule="auto"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p>
      <w:pPr>
        <w:pStyle w:val="2"/>
        <w:widowControl/>
        <w:spacing w:line="276" w:lineRule="auto" w:before="0" w:after="80"/>
        <w:ind w:firstLine="0"/>
        <w:jc w:val="left"/>
      </w:pPr>
      <w:r>
        <w:rPr>
          <w:rFonts w:ascii="Times New Roman" w:hAnsi="Times New Roman" w:eastAsia="方正仿宋_GBK"/>
          <w:b w:val="0"/>
          <w:sz w:val="21"/>
        </w:rPr>
        <w:t xml:space="preserve">[90] 江苏省人民政府办公厅. 关于转发省发展改革委江苏省光伏发电推进意见的通知：苏政办发〔2009〕85号[EB/OL]. (2009-06-19)[2026-10-06]. https://www.jiangsu.gov.cn/art/2009/9/15/art_46882_2681290.html.</w:t>
      </w:r>
    </w:p>
    <w:p>
      <w:pPr>
        <w:pStyle w:val="2"/>
        <w:widowControl/>
        <w:spacing w:line="276" w:lineRule="auto" w:before="0" w:after="80"/>
        <w:ind w:firstLine="0"/>
        <w:jc w:val="left"/>
      </w:pPr>
      <w:r>
        <w:rPr>
          <w:rFonts w:ascii="Times New Roman" w:hAnsi="Times New Roman" w:eastAsia="方正仿宋_GBK"/>
          <w:b w:val="0"/>
          <w:sz w:val="21"/>
        </w:rPr>
        <w:t xml:space="preserve">[91]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276" w:lineRule="auto" w:before="0" w:after="80"/>
        <w:ind w:firstLine="0"/>
        <w:jc w:val="left"/>
      </w:pPr>
      <w:r>
        <w:rPr>
          <w:rFonts w:ascii="Times New Roman" w:hAnsi="Times New Roman" w:eastAsia="方正仿宋_GBK"/>
          <w:b w:val="0"/>
          <w:sz w:val="21"/>
        </w:rPr>
        <w:t xml:space="preserve">[92] 江苏省发展和改革委员会. 关于印发《江苏省分布式光伏发展实施方案（2026—2030年）》的通知：苏发改能源发〔2026〕695号[EB/OL]. (2026-07-21)[2026-10-06]. https://fzggw.jiangsu.gov.cn/art/2026/7/29/art_84097_11809969.html.</w:t>
      </w:r>
    </w:p>
    <w:p>
      <w:pPr>
        <w:pStyle w:val="2"/>
        <w:widowControl/>
        <w:spacing w:line="276" w:lineRule="auto" w:before="0" w:after="80"/>
        <w:ind w:firstLine="0"/>
        <w:jc w:val="left"/>
      </w:pPr>
      <w:r>
        <w:rPr>
          <w:rFonts w:ascii="Times New Roman" w:hAnsi="Times New Roman" w:eastAsia="方正仿宋_GBK"/>
          <w:b w:val="0"/>
          <w:sz w:val="21"/>
        </w:rPr>
        <w:t xml:space="preserve">[93]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fals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napToGrid w:val="0"/>
      <w:spacing w:line="300" w:lineRule="auto" w:before="0" w:after="0"/>
      <w:ind w:firstLineChars="200" w:firstLine="480"/>
      <w:jc w:val="both"/>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pPr>
    <w:rPr>
      <w:b/>
      <w:bCs/>
      <w:szCs w:val="28"/>
    </w:rPr>
  </w:style>
  <w:style w:type="paragraph" w:styleId="9">
    <w:name w:val="heading 6"/>
    <w:basedOn w:val="1"/>
    <w:next w:val="1"/>
    <w:link w:val="41"/>
    <w:semiHidden/>
    <w:unhideWhenUsed/>
    <w:qFormat/>
    <w:uiPriority w:val="9"/>
    <w:pPr>
      <w:keepNext/>
      <w:keepLines/>
      <w:adjustRightInd/>
      <w:snapToGrid/>
      <w:spacing w:before="240" w:after="64" w:line="319" w:lineRule="auto"/>
      <w:outlineLvl w:val="5"/>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00" w:lineRule="auto" w:before="0"/>
      <w:ind w:firstLine="480"/>
    </w:pPr>
    <w:rPr>
      <w:rFonts w:ascii="Times New Roman" w:hAnsi="Times New Roman" w:eastAsia="方正仿宋_GBK"/>
      <w:b w:val="0"/>
      <w:sz w:val="24"/>
    </w:rPr>
  </w:style>
  <w:style w:type="paragraph" w:customStyle="1" w:styleId="6">
    <w:name w:val="正文 缩进"/>
    <w:basedOn w:val="1"/>
    <w:qFormat/>
    <w:uiPriority w:val="99"/>
  </w:style>
  <w:style w:type="paragraph" w:styleId="13">
    <w:name w:val="caption"/>
    <w:next w:val="1"/>
    <w:semiHidden/>
    <w:unhideWhenUsed/>
    <w:qFormat/>
    <w:uiPriority w:val="35"/>
    <w:pPr>
      <w:jc w:val="center"/>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pPr>
    <w:rPr>
      <w:rFonts w:ascii="宋体" w:eastAsia="宋体" w:hAnsiTheme="minorHAnsi"/>
      <w:sz w:val="18"/>
      <w:szCs w:val="18"/>
    </w:rPr>
  </w:style>
  <w:style w:type="paragraph" w:styleId="15">
    <w:name w:val="annotation text"/>
    <w:basedOn w:val="1"/>
    <w:link w:val="113"/>
    <w:semiHidden/>
    <w:unhideWhenUsed/>
    <w:uiPriority w:val="99"/>
    <w:pPr>
      <w:jc w:val="left"/>
    </w:pPr>
  </w:style>
  <w:style w:type="paragraph" w:styleId="16">
    <w:name w:val="toc 3"/>
    <w:basedOn w:val="1"/>
    <w:next w:val="1"/>
    <w:autoRedefine/>
    <w:semiHidden/>
    <w:unhideWhenUsed/>
    <w:qFormat/>
    <w:uiPriority w:val="39"/>
    <w:pPr>
      <w:ind w:left="840" w:leftChars="400"/>
    </w:pPr>
  </w:style>
  <w:style w:type="paragraph" w:styleId="17">
    <w:name w:val="Date"/>
    <w:basedOn w:val="1"/>
    <w:next w:val="1"/>
    <w:link w:val="48"/>
    <w:semiHidden/>
    <w:unhideWhenUsed/>
    <w:qFormat/>
    <w:uiPriority w:val="99"/>
    <w:pPr>
      <w:ind w:left="100" w:leftChars="2500"/>
    </w:pPr>
  </w:style>
  <w:style w:type="paragraph" w:styleId="18">
    <w:name w:val="Balloon Text"/>
    <w:basedOn w:val="1"/>
    <w:link w:val="50"/>
    <w:semiHidden/>
    <w:unhideWhenUsed/>
    <w:qFormat/>
    <w:uiPriority w:val="99"/>
    <w:rPr>
      <w:sz w:val="18"/>
      <w:szCs w:val="18"/>
    </w:rPr>
  </w:style>
  <w:style w:type="paragraph" w:styleId="19">
    <w:name w:val="footer"/>
    <w:basedOn w:val="1"/>
    <w:link w:val="47"/>
    <w:unhideWhenUsed/>
    <w:qFormat/>
    <w:uiPriority w:val="99"/>
    <w:pPr>
      <w:tabs>
        <w:tab w:val="center" w:pos="4153"/>
        <w:tab w:val="right" w:pos="8306"/>
      </w:tabs>
      <w:spacing w:line="240" w:lineRule="atLeast"/>
      <w:jc w:val="left"/>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pPr>
  </w:style>
  <w:style w:type="paragraph" w:styleId="23">
    <w:name w:val="Normal (Web)"/>
    <w:basedOn w:val="1"/>
    <w:semiHidden/>
    <w:unhideWhenUsed/>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styleId="24">
    <w:name w:val="annotation subject"/>
    <w:basedOn w:val="15"/>
    <w:next w:val="15"/>
    <w:link w:val="114"/>
    <w:semiHidden/>
    <w:unhideWhenUsed/>
    <w:uiPriority w:val="99"/>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snapToGrid/>
      <w:ind w:firstLine="420"/>
    </w:pPr>
    <w:rPr>
      <w:rFonts w:ascii="Calibri" w:hAnsi="Calibri" w:eastAsia="宋体" w:cs="Times New Roman"/>
      <w:sz w:val="21"/>
      <w:szCs w:val="24"/>
    </w:rPr>
  </w:style>
  <w:style w:type="paragraph" w:customStyle="1" w:styleId="58">
    <w:name w:val="正文段落"/>
    <w:basedOn w:val="1"/>
    <w:qFormat/>
    <w:uiPriority w:val="99"/>
    <w:pPr>
      <w:adjustRightInd/>
      <w:snapToGrid/>
    </w:pPr>
    <w:rPr>
      <w:rFonts w:cs="Times New Roman"/>
      <w:szCs w:val="20"/>
    </w:rPr>
  </w:style>
  <w:style w:type="paragraph" w:customStyle="1" w:styleId="59">
    <w:name w:val="普通(网站)1"/>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customStyle="1" w:styleId="60">
    <w:name w:val="p0"/>
    <w:basedOn w:val="1"/>
    <w:qFormat/>
    <w:uiPriority w:val="99"/>
    <w:pPr>
      <w:widowControl/>
      <w:adjustRightInd/>
      <w:snapToGrid/>
    </w:pPr>
    <w:rPr>
      <w:rFonts w:eastAsia="宋体" w:cs="Times New Roman"/>
      <w:kern w:val="0"/>
      <w:sz w:val="21"/>
      <w:szCs w:val="20"/>
    </w:rPr>
  </w:style>
  <w:style w:type="paragraph" w:customStyle="1" w:styleId="61">
    <w:name w:val="xl102"/>
    <w:basedOn w:val="1"/>
    <w:qFormat/>
    <w:uiPriority w:val="99"/>
    <w:pPr>
      <w:widowControl/>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62">
    <w:name w:val="xl103"/>
    <w:basedOn w:val="1"/>
    <w:qFormat/>
    <w:uiPriority w:val="99"/>
    <w:pPr>
      <w:widowControl/>
      <w:adjustRightInd/>
      <w:snapToGrid/>
      <w:spacing w:before="100" w:beforeAutospacing="1" w:after="100" w:afterAutospacing="1"/>
      <w:jc w:val="center"/>
    </w:pPr>
    <w:rPr>
      <w:rFonts w:ascii="黑体" w:hAnsi="黑体" w:eastAsia="黑体" w:cs="宋体"/>
      <w:color w:val="000000"/>
      <w:kern w:val="0"/>
      <w:szCs w:val="24"/>
    </w:rPr>
  </w:style>
  <w:style w:type="paragraph" w:customStyle="1" w:styleId="63">
    <w:name w:val="xl104"/>
    <w:basedOn w:val="1"/>
    <w:qFormat/>
    <w:uiPriority w:val="99"/>
    <w:pPr>
      <w:widowControl/>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napToGrid/>
      <w:spacing w:before="100" w:beforeAutospacing="1" w:after="100" w:afterAutospacing="1"/>
      <w:jc w:val="center"/>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napToGrid/>
      <w:spacing w:before="100" w:beforeAutospacing="1" w:after="100" w:afterAutospacing="1"/>
      <w:jc w:val="center"/>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napToGrid/>
      <w:spacing w:before="100" w:beforeAutospacing="1" w:after="100" w:afterAutospacing="1"/>
      <w:jc w:val="center"/>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4">
    <w:name w:val="xl72"/>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napToGrid/>
      <w:spacing w:before="100" w:beforeAutospacing="1" w:after="100" w:afterAutospacing="1"/>
      <w:jc w:val="center"/>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napToGrid/>
      <w:spacing w:before="100" w:beforeAutospacing="1" w:after="100" w:afterAutospacing="1"/>
      <w:jc w:val="center"/>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snapToGrid/>
      <w:ind w:firstLine="42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0" Type="http://schemas.openxmlformats.org/officeDocument/2006/relationships/image" Target="media/rId190.png"/><Relationship Id="rId98" Type="http://schemas.openxmlformats.org/officeDocument/2006/relationships/image" Target="media/rId98.png"/><Relationship Id="rId111" Type="http://schemas.openxmlformats.org/officeDocument/2006/relationships/image" Target="media/rId111.png"/><Relationship Id="rId130" Type="http://schemas.openxmlformats.org/officeDocument/2006/relationships/image" Target="media/rId130.png"/><Relationship Id="rId114" Type="http://schemas.openxmlformats.org/officeDocument/2006/relationships/image" Target="media/rId114.png"/><Relationship Id="rId192" Type="http://schemas.openxmlformats.org/officeDocument/2006/relationships/image" Target="media/rId192.png"/><Relationship Id="rId109" Type="http://schemas.openxmlformats.org/officeDocument/2006/relationships/image" Target="media/rId109.png"/><Relationship Id="rId193" Type="http://schemas.openxmlformats.org/officeDocument/2006/relationships/image" Target="media/rId193.png"/><Relationship Id="rId119" Type="http://schemas.openxmlformats.org/officeDocument/2006/relationships/image" Target="media/rId119.png"/><Relationship Id="rId128" Type="http://schemas.openxmlformats.org/officeDocument/2006/relationships/image" Target="media/rId128.png"/><Relationship Id="rId259" Type="http://schemas.openxmlformats.org/officeDocument/2006/relationships/image" Target="media/rId259.png"/><Relationship Id="rId103" Type="http://schemas.openxmlformats.org/officeDocument/2006/relationships/image" Target="media/rId103.png"/><Relationship Id="rId157" Type="http://schemas.openxmlformats.org/officeDocument/2006/relationships/image" Target="media/rId157.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150</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2026-10-07T14:32:02Z</dcterms:created>
  <dcterms:modified xsi:type="dcterms:W3CDTF">2026-10-07T14:32:02Z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