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规划应用相关工作建议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规划应用相关工作建议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115"/>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115"/>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115"/>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115"/>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115"/>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115"/>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115"/>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115"/>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115"/>
        <w:widowControl/>
        <w:spacing w:line="348" w:lineRule="exact" w:before="0" w:after="0"/>
        <w:ind w:firstLine="480"/>
        <w:jc w:val="both"/>
      </w:pPr>
      <w:r>
        <w:rPr>
          <w:rFonts w:ascii="Times New Roman" w:hAnsi="Times New Roman" w:eastAsia="方正仿宋_GBK"/>
          <w:b w:val="0"/>
          <w:sz w:val="24"/>
        </w:rPr>
        <w:t xml:space="preserve">2021—2025年为历史分析阶段，采用实际年度统计资料分析负荷发展、光伏装机和设备运行特征。2026—2030年为预测规划阶段，负荷和光伏分别按区域负荷预测、全市光伏装机预测相对2025年的比例缩放，站点空间分布沿用基准模板。110 kV电网规划预测峰值按2025年同范围统计峰值及区域负荷预测增长比例确定。</w:t>
      </w:r>
    </w:p>
    <w:p>
      <w:pPr>
        <w:pStyle w:val="2"/>
        <w:widowControl/>
        <w:spacing w:line="348" w:lineRule="exact" w:before="0" w:after="0"/>
        <w:ind w:firstLine="480"/>
        <w:jc w:val="both"/>
      </w:pPr>
      <w:r>
        <w:rPr>
          <w:rFonts w:ascii="Times New Roman" w:hAnsi="Times New Roman" w:eastAsia="方正仿宋_GBK"/>
          <w:b w:val="0"/>
          <w:sz w:val="24"/>
        </w:rPr>
        <w:t xml:space="preserve">地区案例以2021年实际地区主变容量为共同起点，市区和邳州分别为3113.50 MVA、2027.00 MVA，基期负荷取同年实际统计值。2022—2030年承接上年在役设备，结合当年源荷和运行约束，逐年联合比选主变增容、储能配置和10 kV联络。各地区的刚性、弹性方案采用相同起点、源荷和工程价格。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经济评价以2021年末为折现基准，评价截止于2041年，各年新增设备按实际投运年份计入现金流。主变、线路和储能的寿命、运维率采用第四章列明的研究参数[10,13,14]。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115"/>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115"/>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2030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115"/>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115"/>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115"/>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115"/>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115"/>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1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115"/>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按负荷分散系数≤1.15和&gt;1.15两档给出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115"/>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115"/>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115"/>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115"/>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115"/>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115"/>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115"/>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115"/>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115"/>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115"/>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115"/>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115"/>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115"/>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115"/>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115"/>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115"/>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115"/>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115"/>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115"/>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115"/>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115"/>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115"/>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115"/>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115"/>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115"/>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115"/>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115"/>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115"/>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115"/>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115"/>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115"/>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115"/>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115"/>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115"/>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115"/>
        <w:widowControl/>
        <w:spacing w:line="348" w:lineRule="exact" w:before="0" w:after="0"/>
        <w:ind w:firstLine="480"/>
        <w:jc w:val="both"/>
      </w:pPr>
      <w:r>
        <w:rPr>
          <w:rFonts w:ascii="Times New Roman" w:hAnsi="Times New Roman" w:eastAsia="方正仿宋_GBK"/>
          <w:b w:val="0"/>
          <w:sz w:val="24"/>
        </w:rPr>
        <w:t xml:space="preserve">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115"/>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115"/>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r>
        <w:rPr>
          <w:rFonts w:ascii="Times New Roman" w:hAnsi="Times New Roman" w:eastAsia="方正仿宋_GBK"/>
          <w:b w:val="0"/>
          <w:sz w:val="24"/>
        </w:rPr>
        <w:t xml:space="preserve">其中，Zhenyu Zhu等学者对铜芯电缆、架空导线及铝合金电缆进行寿命费用评价，费用包括投资、运行维护、故障及报废，并以实际10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115"/>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115"/>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115"/>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115"/>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115"/>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115"/>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历史统计保留原始年度波动，用于计算负荷增长和解释运行特征。规划基期及2022—2030年负荷在第五章列示。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115"/>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13"/>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14"/>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115"/>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115"/>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MVA实际容量为共同起点，2022—2030年按上年在役设备和当年源荷选择新增措施。2026—2030年的区域负荷预测按相对2025年的比例换算为同范围110 kV电网规划预测峰值，负荷预测值、换算结果及对应增幅如下。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为按同范围2025年网供最大负荷换算的110 kV电网规划预测峰值，单位MW；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年的年最大净负荷平均增长率。比例换算保持对应增幅，未来阶段按2025—2030年计算，与历史2021—2025年的统计增长率对应使用。</w:t>
      </w:r>
    </w:p>
    <w:p>
      <w:pPr>
        <w:pStyle w:val="2"/>
        <w:keepNext/>
        <w:spacing w:line="280" w:lineRule="exact" w:before="120" w:after="80"/>
        <w:ind w:firstLine="0"/>
        <w:jc w:val="center"/>
      </w:pPr>
      <w:r>
        <w:rPr>
          <w:rFonts w:ascii="Times New Roman" w:hAnsi="Times New Roman" w:eastAsia="宋体"/>
          <w:b w:val="0"/>
          <w:sz w:val="21"/>
        </w:rPr>
        <w:t xml:space="preserve">表3-3 两地区区域负荷预测及110 kV电网规划预测峰值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市区110 kV预测峰值/MW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邳州110 kV预测峰值/MW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注：2025年为基准，110 kV电网规划预测峰值按区域负荷预测的增长比例确定。</w:t>
      </w:r>
    </w:p>
    <w:p>
      <w:pPr>
        <w:pStyle w:val="2"/>
        <w:keepNext/>
        <w:spacing w:line="280" w:lineRule="exact" w:before="120" w:after="80"/>
        <w:ind w:firstLine="0"/>
        <w:jc w:val="cente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w:t>
      </w:r>
    </w:p>
    <w:p>
      <w:pPr>
        <w:pStyle w:val="4"/>
        <w:keepNext/>
        <w:numPr>
          <w:numId w:val="0"/>
        </w:numPr>
        <w:spacing w:line="480" w:lineRule="exact" w:before="160" w:after="120"/>
        <w:ind w:firstLine="0"/>
      </w:pPr>
      <w:bookmarkStart w:id="1340" w:name="h340"/>
      <w:bookmarkStart w:id="102" w:name="分布式光伏装机与电量"/>
      <w:r>
        <w:rPr>
          <w:rFonts w:ascii="Times New Roman" w:hAnsi="Times New Roman" w:eastAsia="方正仿宋_GBK"/>
          <w:b/>
          <w:sz w:val="32"/>
        </w:rPr>
        <w:t xml:space="preserve">3.3 分布式光伏装机与电量</w:t>
      </w:r>
      <w:bookmarkEnd w:id="102"/>
      <w:bookmarkEnd w:id="1340"/>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115"/>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表3-5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5"/>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2"/>
        <w:widowControl/>
        <w:spacing w:line="348" w:lineRule="exact" w:before="0" w:after="0"/>
        <w:ind w:firstLine="480"/>
        <w:jc w:val="both"/>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年的光伏装机容量预测值，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年的装机容量，单位均为MW；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年的装机年平均增幅。2025—2030年为9.32%。光伏装机增幅用于源荷情景外推，推广矩阵的负荷发展参数仍采用第3.2.3节定义的年最大净负荷平均增长率。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表3-6 光伏预测相对规模及两地区装机容量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全市光伏装机容量预测/MW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市区装机/MW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邳州装机/MW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bl>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115"/>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115"/>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115"/>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65" w:name="h366"/>
      <w:bookmarkStart w:id="108" w:name="主变负载率与双向净负荷"/>
      <w:r>
        <w:rPr>
          <w:rFonts w:ascii="Times New Roman" w:hAnsi="Times New Roman" w:eastAsia="方正仿宋_GBK"/>
          <w:b/>
          <w:sz w:val="32"/>
        </w:rPr>
        <w:t xml:space="preserve">3.4 主变负载率与双向净负荷</w:t>
      </w:r>
      <w:bookmarkEnd w:id="108"/>
      <w:bookmarkEnd w:id="1365"/>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115"/>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表3-7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6"/>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115"/>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表3-8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110 kV变电站</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八义集变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7"/>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8"/>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表3-9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9"/>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115"/>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20"/>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21"/>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115"/>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表3-10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2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115"/>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401" w:name="h402"/>
      <w:bookmarkStart w:id="121" w:name="核心参数依据与相关性分析"/>
      <w:r>
        <w:rPr>
          <w:rFonts w:ascii="Times New Roman" w:hAnsi="Times New Roman" w:eastAsia="方正仿宋_GBK"/>
          <w:b/>
          <w:sz w:val="32"/>
        </w:rPr>
        <w:t xml:space="preserve">3.5 核心参数依据与相关性分析</w:t>
      </w:r>
      <w:bookmarkEnd w:id="121"/>
      <w:bookmarkEnd w:id="1401"/>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115"/>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p>
    <w:p>
      <w:pPr>
        <w:pStyle w:val="2"/>
        <w:keepNext/>
        <w:spacing w:line="280" w:lineRule="exact" w:before="120" w:after="80"/>
        <w:ind w:firstLine="0"/>
        <w:jc w:val="center"/>
      </w:pPr>
      <w:r>
        <w:rPr>
          <w:rFonts w:ascii="Times New Roman" w:hAnsi="Times New Roman" w:eastAsia="宋体"/>
          <w:b w:val="0"/>
          <w:sz w:val="21"/>
        </w:rPr>
        <w:t xml:space="preserve">表3-11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表3-12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表3-13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115"/>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负荷分散系数在1.05—1.25内按0.02间隔取11个节点，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表3-14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1.05～1.25，步长0.02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115"/>
        <w:keepNext/>
        <w:spacing w:line="280" w:lineRule="exact" w:before="120" w:after="80"/>
        <w:ind w:firstLine="0"/>
        <w:jc w:val="center"/>
      </w:pPr>
      <w:r>
        <w:rPr>
          <w:rFonts w:ascii="Times New Roman" w:hAnsi="Times New Roman" w:eastAsia="宋体"/>
          <w:b w:val="0"/>
          <w:sz w:val="21"/>
        </w:rPr>
        <w:t xml:space="preserve">表3-15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23"/>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115"/>
        <w:keepNext/>
        <w:spacing w:line="280" w:lineRule="exact" w:before="120" w:after="80"/>
        <w:ind w:firstLine="0"/>
        <w:jc w:val="center"/>
      </w:pPr>
      <w:r>
        <w:rPr>
          <w:rFonts w:ascii="Times New Roman" w:hAnsi="Times New Roman" w:eastAsia="宋体"/>
          <w:b w:val="0"/>
          <w:sz w:val="21"/>
        </w:rPr>
        <w:t xml:space="preserve">表3-16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表3-17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表3-18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115"/>
        <w:keepNext/>
        <w:spacing w:line="280" w:lineRule="exact" w:before="120" w:after="80"/>
        <w:ind w:firstLine="0"/>
        <w:jc w:val="center"/>
      </w:pPr>
      <w:r>
        <w:rPr>
          <w:rFonts w:ascii="Times New Roman" w:hAnsi="Times New Roman" w:eastAsia="宋体"/>
          <w:b w:val="0"/>
          <w:sz w:val="21"/>
        </w:rPr>
        <w:t xml:space="preserve">表3-19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24"/>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表3-20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表3-21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≤1.15；&gt;1.15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44" w:name="h445"/>
      <w:bookmarkStart w:id="129" w:name="kv负荷转接资料与仿真条件"/>
      <w:r>
        <w:rPr>
          <w:rFonts w:ascii="Times New Roman" w:hAnsi="Times New Roman" w:eastAsia="方正仿宋_GBK"/>
          <w:b/>
          <w:sz w:val="32"/>
        </w:rPr>
        <w:t xml:space="preserve">3.6 10 kV负荷转接资料与仿真条件</w:t>
      </w:r>
      <w:bookmarkEnd w:id="129"/>
      <w:bookmarkEnd w:id="1444"/>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115"/>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115"/>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既有通道与新增候选分别记录馈线端点和有效容量，各通道共同校核源端可切负荷、共享馈线余量和接收站容量。邳州403条10 kV线路中，最大允许电流为416 A的有4条、455 A的有1条，其余398条均不低于485 A。按三相有功功率关系，以10 kV线电压、485 A允许电流和0.95功率因数折算，有功功率为7.98 MW，新增联络的工程计算上限取8.00 MW。具体可转功率还受可切换区段负荷限制，墩振线23—24杆拟设分段点下游配电变压器额定容量占全馈线已识别容量的90.97%，按该馈线2025年最大有功负荷8.23 MW分配，区段负荷为7.49 MW，作为该区段的有效转供功率。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f>
                      <m:fPr>
                        <m:type m:val="bar"/>
                      </m:fPr>
                      <m:num>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num>
                      <m:den>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5845</m:t>
                        </m:r>
                      </m:num>
                      <m:den>
                        <m:r>
                          <m:rPr>
                            <m:nor m:val="1"/>
                          </m:rPr>
                          <w:rPr>
                            <w:rFonts w:ascii="Times New Roman" w:hAnsi="Times New Roman" w:cs="Times New Roman" w:eastAsia="方正仿宋_GBK"/>
                            <w:i w:val="0"/>
                            <w:iCs w:val="0"/>
                          </w:rPr>
                          <m:t>6425</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e>
                        <m:e>
                          <m:r>
                            <m:rPr>
                              <m:nor m:val="1"/>
                            </m:rPr>
                            <w:rPr>
                              <w:rFonts w:ascii="Times New Roman" w:hAnsi="Times New Roman" w:cs="Times New Roman" w:eastAsia="方正仿宋_GBK"/>
                              <w:i w:val="0"/>
                              <w:iCs w:val="0"/>
                            </w:rPr>
                            <m:t>≈</m:t>
                          </m:r>
                          <m:rad>
                            <m:radPr>
                              <m:degHide m:val="1"/>
                            </m:radPr>
                            <m:deg/>
                            <m:e>
                              <m:r>
                                <m:rPr>
                                  <m:nor m:val="1"/>
                                </m:rPr>
                                <w:rPr>
                                  <w:rFonts w:ascii="Times New Roman" w:hAnsi="Times New Roman" w:cs="Times New Roman" w:eastAsia="方正仿宋_GBK"/>
                                  <w:i w:val="0"/>
                                  <w:iCs w:val="0"/>
                                </w:rPr>
                                <m:t>3</m:t>
                              </m:r>
                            </m:e>
                          </m:rad>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N</m:t>
                              </m:r>
                            </m:sub>
                          </m:sSub>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e>
                      </m:mr>
                      <m:mr>
                        <m:e/>
                        <m:e>
                          <m:r>
                            <m:rPr>
                              <m:nor m:val="1"/>
                            </m:rPr>
                            <w:rPr>
                              <w:rFonts w:ascii="Times New Roman" w:hAnsi="Times New Roman" w:cs="Times New Roman" w:eastAsia="方正仿宋_GBK"/>
                              <w:i w:val="0"/>
                              <w:iCs w:val="0"/>
                            </w:rPr>
                            <m:t>=</m:t>
                          </m:r>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0.485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8.00</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为2025年全馈线最大有功负荷，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为估算的区段合计负荷，单位MW；</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分别为该区段及全馈线已识别的配电变压器额定容量合计，单位kVA；</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N</m:t>
            </m:r>
          </m:sub>
        </m:sSub>
      </m:oMath>
      <w:r>
        <w:rPr>
          <w:rFonts w:ascii="Times New Roman" w:hAnsi="Times New Roman" w:eastAsia="方正仿宋_GBK"/>
          <w:b w:val="0"/>
          <w:sz w:val="24"/>
        </w:rPr>
        <w:t xml:space="preserve">为线路线电压，取10.00 kV；</w:t>
      </w:r>
      <m:oMath>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为参考允许电流，取0.485 kA；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为新增联络的工程有功上限，取8.00 MW；</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w:t>
      </w:r>
    </w:p>
    <w:p>
      <w:pPr>
        <w:pStyle w:val="2"/>
        <w:widowControl/>
        <w:spacing w:line="348" w:lineRule="exact" w:before="0" w:after="0"/>
        <w:ind w:firstLine="480"/>
        <w:jc w:val="both"/>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115"/>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57" w:name="h458"/>
      <w:bookmarkStart w:id="133" w:name="站级负载率与配置需求"/>
      <w:r>
        <w:rPr>
          <w:rFonts w:ascii="Times New Roman" w:hAnsi="Times New Roman" w:eastAsia="方正仿宋_GBK"/>
          <w:b/>
          <w:sz w:val="32"/>
        </w:rPr>
        <w:t xml:space="preserve">3.7 站级负载率与配置需求</w:t>
      </w:r>
      <w:bookmarkEnd w:id="133"/>
      <w:bookmarkEnd w:id="1457"/>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115"/>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2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115"/>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26"/>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115"/>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115"/>
        <w:keepNext/>
        <w:spacing w:line="280" w:lineRule="exact" w:before="120" w:after="80"/>
        <w:ind w:firstLine="0"/>
        <w:jc w:val="center"/>
      </w:pPr>
      <w:r>
        <w:rPr>
          <w:rFonts w:ascii="Times New Roman" w:hAnsi="Times New Roman" w:eastAsia="宋体"/>
          <w:b w:val="0"/>
          <w:sz w:val="21"/>
        </w:rPr>
        <w:t xml:space="preserve">表3-22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115"/>
        <w:keepNext/>
        <w:spacing w:line="280" w:lineRule="exact" w:before="120" w:after="80"/>
        <w:ind w:firstLine="0"/>
        <w:jc w:val="center"/>
      </w:pPr>
      <w:r>
        <w:rPr>
          <w:rFonts w:ascii="Times New Roman" w:hAnsi="Times New Roman" w:eastAsia="宋体"/>
          <w:b w:val="0"/>
          <w:sz w:val="21"/>
        </w:rPr>
        <w:t xml:space="preserve">表3-23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73" w:name="h474"/>
      <w:bookmarkStart w:id="141" w:name="运行特征的综合分析"/>
      <w:r>
        <w:rPr>
          <w:rFonts w:ascii="Times New Roman" w:hAnsi="Times New Roman" w:eastAsia="方正仿宋_GBK"/>
          <w:b/>
          <w:sz w:val="32"/>
        </w:rPr>
        <w:t xml:space="preserve">3.8 运行特征的综合分析</w:t>
      </w:r>
      <w:bookmarkEnd w:id="141"/>
      <w:bookmarkEnd w:id="1473"/>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115"/>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表3-24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27"/>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115"/>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表3-25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28"/>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115"/>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MW，系数为1.11。推广仿真在1.05—1.25内按0.02间隔取11个节点，以1.15为界分为两档，考察较大局部高峰差异下的设备需求。实际取值由同范围同期曲线计算。</w:t>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115"/>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501" w:name="h502"/>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501"/>
    </w:p>
    <w:p>
      <w:pPr>
        <w:pStyle w:val="4"/>
        <w:keepNext/>
        <w:numPr>
          <w:numId w:val="0"/>
        </w:numPr>
        <w:spacing w:line="480" w:lineRule="exact" w:before="160" w:after="120"/>
        <w:ind w:firstLine="0"/>
      </w:pPr>
      <w:bookmarkStart w:id="1502" w:name="h503"/>
      <w:bookmarkStart w:id="149" w:name="成本模型的范围与建立原则"/>
      <w:r>
        <w:rPr>
          <w:rFonts w:ascii="Times New Roman" w:hAnsi="Times New Roman" w:eastAsia="方正仿宋_GBK"/>
          <w:b/>
          <w:sz w:val="32"/>
        </w:rPr>
        <w:t xml:space="preserve">4.1 成本模型的范围与建立原则</w:t>
      </w:r>
      <w:bookmarkEnd w:id="149"/>
      <w:bookmarkEnd w:id="1502"/>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115"/>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115"/>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115"/>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14" w:name="h515"/>
      <w:bookmarkStart w:id="153" w:name="主变工程成本系数"/>
      <w:r>
        <w:rPr>
          <w:rFonts w:ascii="Times New Roman" w:hAnsi="Times New Roman" w:eastAsia="方正仿宋_GBK"/>
          <w:b/>
          <w:sz w:val="32"/>
        </w:rPr>
        <w:t xml:space="preserve">4.2 主变工程成本系数</w:t>
      </w:r>
      <w:bookmarkEnd w:id="153"/>
      <w:bookmarkEnd w:id="1514"/>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115"/>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2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115"/>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30"/>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115"/>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115"/>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39" w:name="h540"/>
      <w:bookmarkStart w:id="160" w:name="kv联络工程费用"/>
      <w:r>
        <w:rPr>
          <w:rFonts w:ascii="Times New Roman" w:hAnsi="Times New Roman" w:eastAsia="方正仿宋_GBK"/>
          <w:b/>
          <w:sz w:val="32"/>
        </w:rPr>
        <w:t xml:space="preserve">4.3 10 kV联络工程费用</w:t>
      </w:r>
      <w:bookmarkEnd w:id="160"/>
      <w:bookmarkEnd w:id="1539"/>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115"/>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115"/>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31"/>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115"/>
        <w:widowControl/>
        <w:spacing w:line="348" w:lineRule="exact" w:before="0" w:after="0"/>
        <w:ind w:firstLine="480"/>
        <w:jc w:val="both"/>
      </w:pPr>
      <w:r>
        <w:rPr>
          <w:rFonts w:ascii="Times New Roman" w:hAnsi="Times New Roman" w:eastAsia="方正仿宋_GBK"/>
          <w:b w:val="0"/>
          <w:sz w:val="24"/>
        </w:rPr>
        <w:t xml:space="preserve">新增联络能力的取值依据邳州10 kV线路允许电流、联络关系及区段明细。工程计算采用折算后的有功上限8.00 MW，依据见第3.6.2节。具体候选通道按开关位置识别可切换区段，并共同核对区段负荷、路径共享及接收侧余量。墩振线23—24杆下游区段的参考转移规模为7.49 MW，低于上述线路限值。模型按具体送受端设置候选联络，既有工程不重复计原建设费，新增联络按投运年计费。</w:t>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53" w:name="h554"/>
      <w:bookmarkStart w:id="165" w:name="储能投资模型"/>
      <w:r>
        <w:rPr>
          <w:rFonts w:ascii="Times New Roman" w:hAnsi="Times New Roman" w:eastAsia="方正仿宋_GBK"/>
          <w:b/>
          <w:sz w:val="32"/>
        </w:rPr>
        <w:t xml:space="preserve">4.4 储能投资模型</w:t>
      </w:r>
      <w:bookmarkEnd w:id="165"/>
      <w:bookmarkEnd w:id="1553"/>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115"/>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115"/>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115"/>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115"/>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32"/>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33"/>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115"/>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72" w:name="h573"/>
      <w:bookmarkStart w:id="172" w:name="参数变化与措施费用的联系"/>
      <w:r>
        <w:rPr>
          <w:rFonts w:ascii="Times New Roman" w:hAnsi="Times New Roman" w:eastAsia="方正仿宋_GBK"/>
          <w:b/>
          <w:sz w:val="32"/>
        </w:rPr>
        <w:t xml:space="preserve">4.5 参数变化与措施费用的联系</w:t>
      </w:r>
      <w:bookmarkEnd w:id="172"/>
      <w:bookmarkEnd w:id="1572"/>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115"/>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115"/>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115"/>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115"/>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89" w:name="h590"/>
      <w:bookmarkStart w:id="177" w:name="现金流现值计算"/>
      <w:r>
        <w:rPr>
          <w:rFonts w:ascii="Times New Roman" w:hAnsi="Times New Roman" w:eastAsia="方正仿宋_GBK"/>
          <w:b/>
          <w:sz w:val="32"/>
        </w:rPr>
        <w:t xml:space="preserve">4.6 现金流现值计算</w:t>
      </w:r>
      <w:bookmarkEnd w:id="177"/>
      <w:bookmarkEnd w:id="1589"/>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115"/>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。主变按40年和运维费率4.20%、线路按40年和运维费率2.20%、储能按25年和运维费率3.00%计算。2022—2030年投运的三类设备均未在2041年评价截止前达到设定寿命，因此本评价期内的更新支出为零。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34"/>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115"/>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2030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115"/>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115"/>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2030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115"/>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115"/>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18" w:name="h619"/>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18"/>
    </w:p>
    <w:p>
      <w:pPr>
        <w:pStyle w:val="115"/>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20" w:name="h621"/>
      <w:bookmarkStart w:id="186" w:name="寻优问题与共同起点"/>
      <w:r>
        <w:rPr>
          <w:rFonts w:ascii="Times New Roman" w:hAnsi="Times New Roman" w:eastAsia="方正仿宋_GBK"/>
          <w:b/>
          <w:sz w:val="32"/>
        </w:rPr>
        <w:t xml:space="preserve">5.1 寻优问题与共同起点</w:t>
      </w:r>
      <w:bookmarkEnd w:id="186"/>
      <w:bookmarkEnd w:id="1620"/>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115"/>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MVA，对应基期容载比分别为2.15和2.77。逐站初始组合按地区容量及设备对应资料标定。2022—2030年逐年承接上一年度在役主变、储能和联络，只根据当年源荷及共同技术条件选择新增工程。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年的年度统计网供最大负荷，单位MW。2021—2025年采用同范围年度统计，2026—2030年采用区域负荷预测相对2025年的比例缩放规划峰值。</w:t>
      </w:r>
    </w:p>
    <w:p>
      <w:pPr>
        <w:pStyle w:val="2"/>
        <w:keepNext/>
        <w:spacing w:line="280" w:lineRule="exact" w:before="120" w:after="80"/>
        <w:ind w:firstLine="0"/>
        <w:jc w:val="center"/>
      </w:pPr>
      <w:r>
        <w:rPr>
          <w:rFonts w:ascii="Times New Roman" w:hAnsi="Times New Roman" w:eastAsia="宋体"/>
          <w:b w:val="0"/>
          <w:sz w:val="21"/>
        </w:rPr>
        <w:t xml:space="preserve">表5-1 两地区共同基期及规划年度</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2022—2030</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2026—2030年未来源荷按区域负荷预测及全市光伏装机相对2025年的比例缩放，站点空间分配继承基准模板，未来源荷的预测数据详见第3.2节和第3.3节。</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115"/>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115"/>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43" w:name="h644"/>
      <w:bookmarkStart w:id="190" w:name="三类措施的选取与寻优方法"/>
      <w:r>
        <w:rPr>
          <w:rFonts w:ascii="Times New Roman" w:hAnsi="Times New Roman" w:eastAsia="方正仿宋_GBK"/>
          <w:b/>
          <w:sz w:val="32"/>
        </w:rPr>
        <w:t xml:space="preserve">5.2 三类措施的选取与寻优方法</w:t>
      </w:r>
      <w:bookmarkEnd w:id="190"/>
      <w:bookmarkEnd w:id="1643"/>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115"/>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115"/>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115"/>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为投运状态，既有联络取1。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115"/>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115"/>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63" w:name="h664"/>
      <w:bookmarkStart w:id="196" w:name="约束条件与求解流程"/>
      <w:r>
        <w:rPr>
          <w:rFonts w:ascii="Times New Roman" w:hAnsi="Times New Roman" w:eastAsia="方正仿宋_GBK"/>
          <w:b/>
          <w:sz w:val="32"/>
        </w:rPr>
        <w:t xml:space="preserve">5.3 约束条件与求解流程</w:t>
      </w:r>
      <w:bookmarkEnd w:id="196"/>
      <w:bookmarkEnd w:id="1663"/>
    </w:p>
    <w:p>
      <w:pPr>
        <w:pStyle w:val="5"/>
        <w:keepNext/>
        <w:numPr>
          <w:numId w:val="0"/>
        </w:numPr>
        <w:spacing w:line="390" w:lineRule="exact" w:before="160" w:after="120"/>
        <w:ind w:firstLine="0"/>
      </w:pPr>
      <w:bookmarkStart w:id="197" w:name="供电安全及供电能力约束"/>
      <w:r>
        <w:rPr>
          <w:rFonts w:ascii="Times New Roman" w:hAnsi="Times New Roman" w:eastAsia="方正仿宋_GBK"/>
          <w:b/>
          <w:sz w:val="26"/>
        </w:rPr>
        <w:t xml:space="preserve">5.3.1 供电安全及供电能力约束</w:t>
      </w:r>
      <w:bookmarkEnd w:id="197"/>
    </w:p>
    <w:p>
      <w:pPr>
        <w:pStyle w:val="115"/>
        <w:widowControl/>
        <w:spacing w:line="348" w:lineRule="exact" w:before="0" w:after="0"/>
        <w:ind w:firstLine="480"/>
        <w:jc w:val="both"/>
      </w:pPr>
      <w:r>
        <w:rPr>
          <w:rFonts w:ascii="Times New Roman" w:hAnsi="Times New Roman" w:eastAsia="方正仿宋_GBK"/>
          <w:b w:val="0"/>
          <w:sz w:val="24"/>
        </w:rPr>
        <w:t xml:space="preserve">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运行反向潮流按2025年4月《配电网规划设计技术导则（修订稿）》第6.5.3条的80%要求控制[8]。故障站扣除最大单台主变后，以剩余主变容量校核短时支撑能力，并结合故障持续时间及运行规程核定允许过载时间。</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115"/>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115"/>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计算结果按年度设备承接、容量非减、区段功率平衡、既有转供上限、共享馈线余量及接收站主变容量逐项复核，再以负荷转供方案回代各年8760小时正常与故障工况。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运行的负荷转供方案和主变N-1时追加的转供方案均在各年度内固定，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78" w:name="h679"/>
      <w:bookmarkStart w:id="200" w:name="寻优结果"/>
      <w:r>
        <w:rPr>
          <w:rFonts w:ascii="Times New Roman" w:hAnsi="Times New Roman" w:eastAsia="方正仿宋_GBK"/>
          <w:b/>
          <w:sz w:val="32"/>
        </w:rPr>
        <w:t xml:space="preserve">5.4 寻优结果</w:t>
      </w:r>
      <w:bookmarkEnd w:id="200"/>
      <w:bookmarkEnd w:id="1678"/>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115"/>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MVA，至2030年主变容量为2388.50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表5-4 邳州逐年容量及措施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MWh和25条。弹性主变容量较刚性多263.00 MVA，容载比分别为2.04和1.81；储能少84.28 MWh，累计新增联络少19条。容量配置和配套工程的替代随年度需求逐步形成。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5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115"/>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MVA，至2030年主变容量为3413.00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56"/>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2030年两方案主变容量相差272.50 MVA，弹性容载比为1.85，刚性为1.70。弹性以站内主变补强减少新增联络和配储需求，但较多主变投资使截至2030年的累计费用较高。费用比较需同时考虑各年度主变、储能与联络投入。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57"/>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115"/>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115"/>
        <w:widowControl/>
        <w:spacing w:line="348" w:lineRule="exact" w:before="0" w:after="0"/>
        <w:ind w:firstLine="480"/>
        <w:jc w:val="both"/>
      </w:pPr>
      <w:r>
        <w:rPr>
          <w:rFonts w:ascii="Times New Roman" w:hAnsi="Times New Roman" w:eastAsia="方正仿宋_GBK"/>
          <w:b w:val="0"/>
          <w:sz w:val="24"/>
        </w:rPr>
        <w:t xml:space="preserve">邳州2022—2030年新增工程按2041年评价截止期折现，刚性方案费用现值为21551.31万元，弹性为19668.62万元，弹性较刚性减少1882.68万元。</w:t>
      </w:r>
    </w:p>
    <w:p>
      <w:pPr>
        <w:pStyle w:val="2"/>
        <w:widowControl/>
        <w:spacing w:line="348" w:lineRule="exact" w:before="0" w:after="0"/>
        <w:ind w:firstLine="480"/>
        <w:jc w:val="both"/>
      </w:pPr>
      <w:r>
        <w:rPr>
          <w:rFonts w:ascii="Times New Roman" w:hAnsi="Times New Roman" w:eastAsia="方正仿宋_GBK"/>
          <w:b w:val="0"/>
          <w:sz w:val="24"/>
        </w:rPr>
        <w:t xml:space="preserve">市区2022—2030年新增工程按2041年评价截止期折现，刚性方案费用现值为14819.77万元，弹性为16806.54万元，弹性较刚性增加1986.77万元。</w:t>
      </w:r>
    </w:p>
    <w:p>
      <w:pPr>
        <w:pStyle w:val="2"/>
        <w:keepNext/>
        <w:spacing w:line="280" w:lineRule="exact" w:before="120" w:after="80"/>
        <w:ind w:firstLine="0"/>
        <w:jc w:val="center"/>
      </w:pPr>
      <w:r>
        <w:rPr>
          <w:rFonts w:ascii="Times New Roman" w:hAnsi="Times New Roman" w:eastAsia="宋体"/>
          <w:b w:val="0"/>
          <w:sz w:val="21"/>
        </w:rPr>
        <w:t xml:space="preserve">表5-9 两地区2022—2030年新增方案费用比较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21551.31</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19668.62</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14819.77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16806.54</w:t>
            </w:r>
          </w:p>
        </w:tc>
      </w:tr>
    </w:tbl>
    <w:p>
      <w:pPr>
        <w:pStyle w:val="2"/>
        <w:keepNext/>
        <w:spacing w:line="280" w:lineRule="exact" w:before="120" w:after="80"/>
        <w:ind w:firstLine="0"/>
        <w:jc w:val="center"/>
      </w:pPr>
      <w:r>
        <w:rPr>
          <w:rFonts w:ascii="Times New Roman" w:hAnsi="Times New Roman" w:eastAsia="宋体"/>
          <w:b w:val="0"/>
          <w:sz w:val="21"/>
        </w:rPr>
        <w:t xml:space="preserve">表5-10 2030年在役措施及累计建设规模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5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5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2030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4053.46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14632.86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2864.99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21551.31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13331.07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5690.94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646.62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19668.62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1697.69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1082.18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12039.90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14819.77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16806.54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16806.54</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邳州弹性方案相对刚性的费用变化为主变增加9277.62万元、储能减少8941.92万元、联络减少2218.38万元，合计减少1882.68万元。费用差由各年度实际采购及投运批次形成，具体替代关系结合逐站设备与通道配置分析。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市区弹性方案相对刚性的费用变化为主变增加15108.85万元、储能减少1082.18万元、联络减少12039.90万元，合计增加1986.77万元。费用差由各年度实际采购及投运批次形成，具体替代关系结合逐站设备与通道配置分析。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4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注：列示历史回算年度及2030、2030年相对上一年的比值变化。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随源荷增长逐步增加，2030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6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邳州2030年储能额定能量的站点分布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115"/>
        <w:widowControl/>
        <w:spacing w:line="348" w:lineRule="exact" w:before="0" w:after="0"/>
        <w:ind w:firstLine="480"/>
        <w:jc w:val="both"/>
      </w:pPr>
      <w:r>
        <w:rPr>
          <w:rFonts w:ascii="Times New Roman" w:hAnsi="Times New Roman" w:eastAsia="方正仿宋_GBK"/>
          <w:b w:val="0"/>
          <w:sz w:val="24"/>
        </w:rPr>
        <w:t xml:space="preserve">逐站表格列示2021年基期及2025、2030年代表年度设备配置，转接量对应同小时区域正向峰值的正常运行转供方案。全年校核保留所有8760小时，主变N-1按本站最大单台扣除，事故追加只切换故障站原属区段。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邳州20座站分别说明全期主变更换、扩建和储能增加的时点，结合2030年本站故障下全年最小余量工况分析支撑需求。表中储能为在役额定功率，正向有效支撑按邳州2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MW，2030年分别为45.60 MW、32.52 MW。2030年刚性方案主变容量94.50 MVA、储能额定功率0.00 MW，弹性方案分别为94.50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MW。全年本站故障工况中最小余量为2.06 MW。该小时按采用的负荷转供方案，本站转出17.73 MW、承接0.00 MW，转接后净负荷为27.87 MW。其中与土山变之间的主要通道承担8.87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MW，2030年分别为85.06 MW、56.93 MW。2030年刚性方案主变容量143.00 MVA、储能额定功率0.00 MW，弹性方案分别为143.00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MW。储能正向有效支撑功率为0.00 MW、反向有效吸收功率为0.00 MW。全年本站故障工况中最小余量为16.11 MW。该小时按采用的负荷转供方案，本站转出41.31 MW、承接0.00 MW，转接后净负荷为43.74 MW。其中与宿羊山变之间的主要通道承担14.58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MW，2030年分别为37.12 MW、43.49 MW。2030年刚性方案主变容量94.50 MVA、储能额定功率0.00 MW，弹性方案分别为94.50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MW。全年本站故障工况中最小余量为6.95 MW。该小时按采用的负荷转供方案，本站转出-20.52 MW、承接0.00 MW，转接后净负荷为-22.98 MW。其中与邳州变之间的主要通道承担6.56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MW，2030年分别为37.47 MW、77.01 MW。2030年刚性方案主变容量100.00 MVA、储能额定功率8.30 MW，弹性方案分别为100.00 MVA和2.10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MW。储能正向有效支撑功率为1.72 MW、反向有效吸收功率为2.10 MW。全年本站故障工况中最小余量为0.02 MW。该小时按采用的负荷转供方案，本站转出-27.43 MW、承接0.00 MW，转接后净负荷为-49.58 MW。其中与邢楼变之间的主要通道承担5.27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MW，2030年分别为112.77 MW、35.82 MW。2030年刚性方案主变容量103.00 MVA、储能额定功率0.00 MW，弹性方案分别为163.00 MVA和0.00 MW。弹性方案本站主变容量较刚性增加60.00 MVA。</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2030年最大单台主变N-1后，弹性方案剩余主变容量为100.00 MVA，按0.95功率因数折算为95.00 MW。储能正向有效支撑功率为0.00 MW、反向有效吸收功率为0.00 MW。全年本站故障工况中最小余量为20.59 MW。该小时按采用的负荷转供方案，本站转出39.80 MW、承接1.44 MW，转接后净负荷为74.41 MW。其中与吴闸变之间的主要通道承担11.61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MW，2030年分别为72.91 MW、66.62 MW。2030年刚性方案主变容量94.50 MVA、储能额定功率12.00 MW，弹性方案分别为163.00 MVA和0.00 MW。弹性方案本站主变容量较刚性增加68.50 MVA。</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2030年最大单台主变N-1后，弹性方案剩余主变容量为100.00 MVA，按0.95功率因数折算为95.00 MW。储能正向有效支撑功率为0.00 MW、反向有效吸收功率为0.00 MW。全年本站故障工况中最小余量为22.09 MW。该小时本站未转接负荷，净负荷为72.91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MVA。弹性方案2022—2030年保留初始主变组合。储能按本地支撑需求分批增加，新增额定功率为2029年0.30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MW，2030年分别为126.85 MW、8.44 MW。2030年刚性方案主变容量160.00 MVA、储能额定功率0.00 MW，弹性方案分别为160.00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MW。储能正向有效支撑功率为0.25 MW、反向有效吸收功率为0.30 MW。全年本站故障工况中最小余量为0.46 MW。该小时按采用的负荷转供方案，本站转出51.07 MW、承接0.00 MW，转接后净负荷为75.78 MW。其中与邳州变之间的主要通道承担13.18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两方案本站储能额定功率相差0.30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MW，2030年分别为48.86 MW、50.79 MW。2030年刚性方案主变容量103.00 MVA、储能额定功率0.00 MW，弹性方案分别为103.00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MW。全年本站故障工况中最小余量为0.82 MW。该小时按采用的负荷转供方案，本站转出-13.60 MW、承接0.00 MW，转接后净负荷为-37.18 MW。其中与邳城变之间的主要通道承担5.44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MW，2030年分别为33.73 MW、45.50 MW。2030年刚性方案主变容量94.50 MVA、储能额定功率0.00 MW，弹性方案分别为94.50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MW。全年本站故障工况中最小余量为0.54 MW。该小时按采用的负荷转供方案，本站转出-16.12 MW、承接0.00 MW，转接后净负荷为-29.39 MW。其中与宿羊山变之间的主要通道承担15.17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MW，2030年分别为89.55 MW、13.68 MW。2030年刚性方案主变容量143.00 MVA、储能额定功率0.00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2030年最大单台主变N-1后，弹性方案剩余主变容量为113.00 MVA，按0.95功率因数折算为107.35 MW。储能正向有效支撑功率为0.00 MW、反向有效吸收功率为0.00 MW。全年本站故障工况中最小余量为31.07 MW。该小时按采用的负荷转供方案，本站转出13.27 MW、承接0.00 MW，转接后净负荷为76.28 MW。其中与邳州变之间的主要通道承担3.32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MW，2030年分别为28.06 MW、49.85 MW。2030年刚性方案主变容量94.50 MVA、储能额定功率0.00 MW，弹性方案分别为94.50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MW。全年本站故障工况中最小余量为1.75 MW。该小时按采用的负荷转供方案，本站转出-21.68 MW、承接0.00 MW，转接后净负荷为-28.18 MW。其中与坊上变之间的主要通道承担8.67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MW，2030年分别为85.00 MW、0.00 MW。2030年刚性方案主变容量160.00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MW。全年本站故障工况中最小余量为10.62 MW。该小时按采用的负荷转供方案，本站转出19.61 MW、承接0.00 MW，转接后净负荷为65.38 MW。其中与吴闸变之间的主要通道承担9.81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MW，2030年分别为75.24 MW、51.55 MW。2030年刚性方案主变容量103.00 MVA、储能额定功率0.00 MW，弹性方案分别为113.00 MVA和0.60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MW。储能正向有效支撑功率为0.49 MW、反向有效吸收功率为0.49 MW。全年本站故障工况中最小余量为2.01 MW。该小时按采用的负荷转供方案，本站转出29.26 MW、承接0.00 MW，转接后净负荷为45.98 MW。其中与大宋变之间的主要通道承担13.93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两方案本站储能额定功率相差0.60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MW，2030年分别为103.90 MW、95.79 MW。2030年刚性方案主变容量113.00 MVA、储能额定功率43.70 MW，弹性方案分别为126.00 MVA和28.50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MW。储能正向有效支撑功率为23.28 MW、反向有效吸收功率为23.28 MW。全年本站故障工况中最小余量为0.01 MW。该小时按采用的负荷转供方案，本站转出20.78 MW、承接0.00 MW，转接后净负荷为83.12 MW。其中与汶河变之间的主要通道承担5.20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两方案本站储能额定功率相差15.20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MW，2030年分别为48.84 MW、63.25 MW。2030年刚性方案主变容量113.00 MVA、储能额定功率2.00 MW，弹性方案分别为113.00 MVA和0.80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MW。储能正向有效支撑功率为0.65 MW、反向有效吸收功率为0.65 MW。全年本站故障工况中最小余量为0.01 MW。该小时按采用的负荷转供方案，本站转出-15.11 MW、承接0.00 MW，转接后净负荷为-48.15 MW。其中与八义集变之间的主要通道承担7.55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MW，2030年分别为31.76 MW、46.55 MW。2030年刚性方案主变容量81.50 MVA、储能额定功率0.60 MW，弹性方案分别为100.00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MW。全年本站故障工况中最小余量为0.95 MW。该小时本站未转接负荷，净负荷为-46.55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两方案本站储能额定功率相差0.60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MW，2030年分别为61.51 MW、3.50 MW。2030年刚性方案主变容量94.50 MVA、储能额定功率0.00 MW，弹性方案分别为94.50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MW。全年本站故障工况中最小余量为3.33 MW。该小时按采用的负荷转供方案，本站转出34.91 MW、承接0.00 MW，转接后净负荷为26.60 MW。其中与墩集变之间的主要通道承担13.30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MW，2030年分别为23.51 MW、56.45 MW。2030年刚性方案主变容量81.50 MVA、储能额定功率5.00 MW，弹性方案分别为113.00 MVA和0.10 MW。弹性方案本站主变容量较刚性增加31.50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MW。储能正向有效支撑功率为0.08 MW、反向有效吸收功率为0.05 MW。全年本站故障工况中最小余量为1.22 MW。该小时按采用的负荷转供方案，本站转出-2.21 MW、承接-4.45 MW，转接后净负荷为-58.69 MW。其中与戴庄变之间的主要通道承担4.45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MW，2030年分别为47.95 MW、51.73 MW。2030年刚性方案主变容量60.00 MVA、储能额定功率0.00 MW，弹性方案分别为71.50 MVA和0.00 MW。弹性方案本站主变容量较刚性增加11.50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MW。全年本站故障工况中最小余量为1.71 MW。该小时按采用的负荷转供方案，本站转出-23.51 MW、承接0.00 MW，转接后净负荷为-28.21 MW。其中与议堂变之间的主要通道承担8.46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MW，2030年分别为42.18 MW、40.13 MW。2030年刚性方案主变容量94.50 MVA、储能额定功率0.00 MW，弹性方案分别为94.50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MW。全年本站故障工况中最小余量为5.70 MW。该小时按采用的负荷转供方案，本站转出17.95 MW、承接0.00 MW，转接后净负荷为24.23 MW。其中与宿羊山变之间的主要通道承担15.26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2030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61"/>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邳州逐站初始与2030年方案的N-1剩余主变能力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115"/>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MW，2030年分别为38.97 MW、61.44 MW。2030年刚性方案主变容量113.00 MVA、储能额定功率0.00 MW，弹性方案分别为126.00 MVA和0.00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MW。储能正向有效支撑功率为0.00 MW、反向有效吸收功率为0.00 MW。全年本站故障工况中最小余量为10.16 MW。该小时按采用的负荷转供方案，本站转出-11.75 MW、承接0.00 MW，转接后净负荷为-49.69 MW。其中与响山变之间的主要通道承担11.75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MW，2030年分别为84.87 MW、25.83 MW。2030年刚性方案主变容量103.00 MVA、储能额定功率0.00 MW，弹性方案分别为163.00 MVA和0.00 MW。弹性方案本站主变容量较刚性增加60.00 MVA。</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2030年最大单台主变N-1后，弹性方案剩余主变容量为100.00 MVA，按0.95功率因数折算为95.00 MW。储能正向有效支撑功率为0.00 MW、反向有效吸收功率为0.00 MW。全年本站故障工况中最小余量为39.91 MW。该小时按采用的负荷转供方案，本站转出29.78 MW、承接0.00 MW，转接后净负荷为55.09 MW。其中与龙湖变之间的主要通道承担7.44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MW，2030年分别为124.23 MW、0.00 MW。2030年刚性方案主变容量143.00 MVA、储能额定功率0.00 MW，弹性方案分别为143.00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MW。储能正向有效支撑功率为0.00 MW、反向有效吸收功率为0.00 MW。全年本站故障工况中最小余量为0.22 MW。该小时按采用的负荷转供方案，本站转出64.60 MW、承接0.00 MW，转接后净负荷为59.63 MW。其中与玉潭变之间的主要通道承担14.91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MW，2030年分别为115.42 MW、0.00 MW。2030年刚性方案主变容量126.00 MVA、储能额定功率0.10 MW，弹性方案分别为160.00 MVA和0.00 MW。弹性方案本站主变容量较刚性增加34.00 MVA。</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MW。全年本站故障工况中最小余量为0.15 MW。该小时按采用的负荷转供方案，本站转出39.57 MW、承接0.00 MW，转接后净负荷为75.85 MW。其中与开元变之间的主要通道承担19.79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两方案本站储能额定功率相差0.10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MW，2030年分别为101.51 MW、0.00 MW。2030年刚性方案主变容量143.00 MVA、储能额定功率0.00 MW，弹性方案分别为143.00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MW。储能正向有效支撑功率为0.00 MW、反向有效吸收功率为0.00 MW。全年本站故障工况中最小余量为0.91 MW。该小时按采用的负荷转供方案，本站转出42.57 MW、承接0.00 MW，转接后净负荷为58.94 MW。其中与开元变之间的主要通道承担19.65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MW，2030年分别为76.74 MW、0.00 MW。2030年刚性方案主变容量90.00 MVA、储能额定功率0.00 MW，弹性方案分别为100.00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MW。全年本站故障工况中最小余量为1.79 MW。该小时按采用的负荷转供方案，本站转出31.02 MW、承接0.00 MW，转接后净负荷为45.71 MW。其中与彭场变之间的主要通道承担16.33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MW，2030年分别为102.94 MW、0.00 MW。2030年刚性方案主变容量113.00 MVA、储能额定功率0.00 MW，弹性方案分别为113.00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MW。全年本站故障工况中最小余量为0.11 MW。该小时按采用的负荷转供方案，本站转出55.56 MW、承接0.00 MW，转接后净负荷为47.39 MW。其中与大庙变之间的主要通道承担24.51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MW，2030年分别为55.60 MW、17.01 MW。2030年刚性方案主变容量71.50 MVA、储能额定功率0.00 MW，弹性方案分别为100.00 MVA和0.00 MW。弹性方案本站主变容量较刚性增加28.50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MW。全年本站故障工况中最小余量为1.71 MW。该小时按采用的负荷转供方案，本站转出9.81 MW、承接0.00 MW，转接后净负荷为45.79 MW。其中与拾屯变之间的主要通道承担6.54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MW，2030年分别为67.88 MW、0.00 MW。2030年刚性方案主变容量111.50 MVA、储能额定功率0.00 MW，弹性方案分别为111.50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2030年最大单台主变N-1后，弹性方案剩余主变容量为31.50 MVA，按0.95功率因数折算为29.93 MW。储能正向有效支撑功率为0.00 MW、反向有效吸收功率为0.00 MW。全年本站故障工况中最小余量为3.43 MW。该小时按采用的负荷转供方案，本站转出41.39 MW、承接0.00 MW，转接后净负荷为26.49 MW。其中与夹河变之间的主要通道承担14.90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MW，2030年分别为101.07 MW、0.00 MW。2030年刚性方案主变容量143.00 MVA、储能额定功率0.00 MW，弹性方案分别为143.00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2030年最大单台主变N-1后，弹性方案剩余主变容量为63.00 MVA，按0.95功率因数折算为59.85 MW。储能正向有效支撑功率为0.00 MW、反向有效吸收功率为0.00 MW。全年本站故障工况中最小余量为0.20 MW。该小时按采用的负荷转供方案，本站转出41.42 MW、承接0.00 MW，转接后净负荷为59.65 MW。其中与翟山变之间的主要通道承担16.57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MW，2030年分别为85.96 MW、31.29 MW。2030年刚性方案主变容量103.00 MVA、储能额定功率2.50 MW，弹性方案分别为163.00 MVA和0.00 MW。弹性方案本站主变容量较刚性增加60.00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2030年最大单台主变N-1后，弹性方案剩余主变容量为100.00 MVA，按0.95功率因数折算为95.00 MW。储能正向有效支撑功率为0.00 MW、反向有效吸收功率为0.00 MW。全年本站故障工况中最小余量为9.04 MW。该小时本站未转接负荷，净负荷为85.96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MW，2030年分别为38.42 MW、0.00 MW。2030年刚性方案主变容量90.00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MW。全年本站故障工况中最小余量为7.58 MW。该小时按采用的负荷转供方案，本站转出8.00 MW、承接0.00 MW，转接后净负荷为30.42 MW。其中与惠民变之间的主要通道承担1.60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MW，2030年分别为13.52 MW、12.97 MW。2030年刚性方案主变容量90.00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MW。全年本站故障工况中最小余量为21.91 MW。该小时按采用的负荷转供方案，本站转出0.00 MW、承接2.96 MW，转接后净负荷为16.09 MW。其中与西郊变之间的主要通道承担1.48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MW，2030年分别为78.36 MW、0.00 MW。2030年刚性方案主变容量100.00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MW。全年本站故障工况中最小余量为0.16 MW。该小时按采用的负荷转供方案，本站转出31.02 MW、承接0.00 MW，转接后净负荷为47.34 MW。其中与玉潭变之间的主要通道承担14.69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MW，2030年分别为79.38 MW、0.00 MW。2030年刚性方案主变容量90.00 MVA、储能额定功率0.10 MW，弹性方案分别为100.00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MW。全年本站故障工况中最小余量为1.20 MW。该小时按采用的负荷转供方案，本站转出33.07 MW、承接0.00 MW，转接后净负荷为46.30 MW。其中与开元变之间的主要通道承担13.23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两方案本站储能额定功率相差0.10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MW，2030年分别为7.00 MW、0.11 MW。2030年刚性方案主变容量90.00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MW。全年本站故障工况中最小余量为29.37 MW。该小时按采用的负荷转供方案，本站转出0.00 MW、承接1.63 MW，转接后净负荷为8.63 MW。其中与统一变之间的主要通道承担1.63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MW，2030年分别为46.29 MW、0.00 MW。2030年刚性方案主变容量160.00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MW。全年本站故障工况中最小余量为26.59 MW。该小时按采用的负荷转供方案，本站转出0.00 MW、承接3.12 MW，转接后净负荷为49.41 MW。其中与统一变之间的主要通道承担3.12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MW，2030年分别为132.79 MW、35.62 MW。2030年刚性方案主变容量160.00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MW。全年本站故障工况中最小余量为0.80 MW。该小时按采用的负荷转供方案，本站转出57.60 MW、承接0.00 MW，转接后净负荷为75.20 MW。其中与刘湾变之间的主要通道承担20.80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MW，2030年分别为88.68 MW、4.34 MW。2030年刚性方案主变容量90.00 MVA、储能额定功率2.90 MW，弹性方案分别为100.00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MW。全年本站故障工况中最小余量为8.09 MW。该小时按采用的负荷转供方案，本站转出49.27 MW、承接0.00 MW，转接后净负荷为39.41 MW。其中与刘湾变之间的主要通道承担18.06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两方案本站储能额定功率相差2.90 MW，差额与所列主变组合及年度固定转接任务共同形成局部供电安排。</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MW，2030年分别为112.19 MW、0.00 MW。2030年刚性方案主变容量100.00 MVA、储能额定功率0.00 MW，弹性方案分别为113.00 MVA和0.00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MW。全年本站故障工况中最小余量为1.31 MW。该小时按采用的负荷转供方案，本站转出65.99 MW、承接0.00 MW，转接后净负荷为46.19 MW。其中与翟山变之间的主要通道承担28.05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MW，2030年分别为124.34 MW、0.00 MW。2030年刚性方案主变容量143.00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MW。全年本站故障工况中最小余量为15.46 MW。该小时按采用的负荷转供方案，本站转出63.81 MW、承接0.00 MW，转接后净负荷为60.54 MW。其中与开元变之间的主要通道承担19.63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MW，2030年分别为154.82 MW、0.00 MW。2030年刚性方案主变容量143.00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2030年最大单台主变N-1后，弹性方案剩余主变容量为80.00 MVA，按0.95功率因数折算为76.00 MW。储能正向有效支撑功率为0.00 MW、反向有效吸收功率为0.00 MW。全年本站故障工况中最小余量为3.53 MW。该小时按采用的负荷转供方案，本站转出82.35 MW、承接0.00 MW，转接后净负荷为72.47 MW。其中与夹河变之间的主要通道承担16.47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MW，2030年分别为23.38 MW、0.00 MW。2030年刚性方案主变容量100.00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MW。全年本站故障工况中最小余量为24.12 MW。该小时本站未转接负荷，净负荷为23.38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MW，2030年分别为64.11 MW、0.00 MW。2030年刚性方案主变容量90.00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MW。全年本站故障工况中最小余量为11.70 MW。该小时按采用的负荷转供方案，本站转出37.81 MW、承接0.00 MW，转接后净负荷为26.30 MW。其中与刘湾变之间的主要通道承担21.37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MW，2030年分别为54.35 MW、0.00 MW。2030年刚性方案主变容量130.00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2030年最大单台主变N-1后，弹性方案剩余主变容量为50.00 MVA，按0.95功率因数折算为47.50 MW。储能正向有效支撑功率为0.00 MW、反向有效吸收功率为0.00 MW。全年本站故障工况中最小余量为3.03 MW。该小时按采用的负荷转供方案，本站转出9.88 MW、承接0.00 MW，转接后净负荷为44.47 MW。其中与祥和变之间的主要通道承担6.59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115"/>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MVA。弹性方案2022—2030年保留初始主变组合。本站弹性方案各年未新增储能。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MW，2030年分别为19.87 MW、10.00 MW。2030年刚性方案主变容量90.00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bl>
    <w:p>
      <w:pPr>
        <w:pStyle w:val="2"/>
        <w:widowControl/>
        <w:spacing w:line="348" w:lineRule="exact" w:before="0" w:after="0"/>
        <w:ind w:firstLine="480"/>
        <w:jc w:val="both"/>
      </w:pPr>
      <w:r>
        <w:rPr>
          <w:rFonts w:ascii="Times New Roman" w:hAnsi="Times New Roman" w:eastAsia="方正仿宋_GBK"/>
          <w:b w:val="0"/>
          <w:sz w:val="24"/>
        </w:rPr>
        <w:t xml:space="preserve">2030年最大单台主变N-1后，弹性方案剩余主变容量为40.00 MVA，按0.95功率因数折算为38.00 MW。储能正向有效支撑功率为0.00 MW、反向有效吸收功率为0.00 MW。全年本站故障工况中最小余量为18.13 MW。该小时本站未转接负荷，净负荷为19.87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2030年两类方案的剩余能力与配储规模分别列示，具体建设时点和任务由逐站表及负荷转供方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62"/>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市区逐站初始与2030年方案的N-1剩余主变能力</w:t>
      </w:r>
    </w:p>
    <w:p>
      <w:pPr>
        <w:pStyle w:val="4"/>
        <w:keepNext/>
        <w:numPr>
          <w:numId w:val="0"/>
        </w:numPr>
        <w:spacing w:line="480" w:lineRule="exact" w:before="160" w:after="120"/>
        <w:ind w:firstLine="0"/>
      </w:pPr>
      <w:bookmarkStart w:id="2018" w:name="h1033"/>
      <w:bookmarkStart w:id="262" w:name="措施作用与工程衔接"/>
      <w:r>
        <w:rPr>
          <w:rFonts w:ascii="Times New Roman" w:hAnsi="Times New Roman" w:eastAsia="方正仿宋_GBK"/>
          <w:b/>
          <w:sz w:val="32"/>
        </w:rPr>
        <w:t xml:space="preserve">5.5 措施作用与工程衔接</w:t>
      </w:r>
      <w:bookmarkEnd w:id="262"/>
      <w:bookmarkEnd w:id="2018"/>
    </w:p>
    <w:p>
      <w:pPr>
        <w:pStyle w:val="5"/>
        <w:keepNext/>
        <w:numPr>
          <w:numId w:val="0"/>
        </w:numPr>
        <w:spacing w:line="390" w:lineRule="exact" w:before="160" w:after="120"/>
        <w:ind w:firstLine="0"/>
      </w:pPr>
      <w:bookmarkStart w:id="263" w:name="逐年负荷转接与站间任务"/>
      <w:r>
        <w:rPr>
          <w:rFonts w:ascii="Times New Roman" w:hAnsi="Times New Roman" w:eastAsia="方正仿宋_GBK"/>
          <w:b/>
          <w:sz w:val="26"/>
        </w:rPr>
        <w:t xml:space="preserve">5.5.1 逐年负荷转接与站间任务</w:t>
      </w:r>
      <w:bookmarkEnd w:id="263"/>
    </w:p>
    <w:p>
      <w:pPr>
        <w:pStyle w:val="115"/>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表5-59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表5-60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4" w:name="主变储能与联络的共同作用"/>
      <w:r>
        <w:rPr>
          <w:rFonts w:ascii="Times New Roman" w:hAnsi="Times New Roman" w:eastAsia="方正仿宋_GBK"/>
          <w:b/>
          <w:sz w:val="26"/>
        </w:rPr>
        <w:t xml:space="preserve">5.5.2 主变、储能与联络的共同作用</w:t>
      </w:r>
      <w:bookmarkEnd w:id="264"/>
    </w:p>
    <w:p>
      <w:pPr>
        <w:pStyle w:val="115"/>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兴塘变2030年刚性方案主变组合为20.00+40.00 MVA，弹性为31.50+40.00 MVA。最大单台停运后分别剩余20.00 MVA和31.50 MVA，按0.95功率因数折算为19.00 MW和29.93 MW，均未新增储能。该站两类方案的差异表现为故障后剩余主变能力，具体正反向转接任务由各年度负荷转供方案确定。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63"/>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兴塘变2030年两方案的N-1剩余主变能力</w:t>
      </w:r>
    </w:p>
    <w:p>
      <w:pPr>
        <w:pStyle w:val="5"/>
        <w:keepNext/>
        <w:numPr>
          <w:numId w:val="0"/>
        </w:numPr>
        <w:spacing w:line="390" w:lineRule="exact" w:before="160" w:after="120"/>
        <w:ind w:firstLine="0"/>
      </w:pPr>
      <w:bookmarkStart w:id="266" w:name="储能支撑与必要转供量"/>
      <w:r>
        <w:rPr>
          <w:rFonts w:ascii="Times New Roman" w:hAnsi="Times New Roman" w:eastAsia="方正仿宋_GBK"/>
          <w:b/>
          <w:sz w:val="26"/>
        </w:rPr>
        <w:t xml:space="preserve">5.5.3 储能支撑与必要转供量</w:t>
      </w:r>
      <w:bookmarkEnd w:id="266"/>
    </w:p>
    <w:p>
      <w:pPr>
        <w:pStyle w:val="115"/>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MW。2030年邳州弹性储能额定功率32.40 MW、额定能量69.66 MWh，刚性分别为71.60 MW和153.94 MWh；市区弹性未新增储能，刚性为5.60 MW和12.04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表5-61 代表年度正常及N-1工况的最大转接功率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正常既有联络/MW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N-1既有联络/MW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bl>
    <w:p>
      <w:pPr>
        <w:pStyle w:val="2"/>
        <w:widowControl/>
        <w:spacing w:line="348" w:lineRule="exact" w:before="0" w:after="0"/>
        <w:ind w:firstLine="480"/>
        <w:jc w:val="both"/>
      </w:pPr>
      <w:r>
        <w:rPr>
          <w:rFonts w:ascii="Times New Roman" w:hAnsi="Times New Roman" w:eastAsia="方正仿宋_GBK"/>
          <w:b w:val="0"/>
          <w:sz w:val="24"/>
        </w:rPr>
        <w:t xml:space="preserve">注：按正常运行和主变N-1时的负荷转供方案回代8760小时，分别列出各列最大值。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按各年度正常运行和主变N-1时的负荷转供方案，回代各年8760小时源荷，分别汇总两种工况中的转接峰值。转接总量与既有联络转接量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负荷转供方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40" w:name="h1055"/>
      <w:bookmarkStart w:id="267" w:name="五参数推广矩阵"/>
      <w:r>
        <w:rPr>
          <w:rFonts w:ascii="Times New Roman" w:hAnsi="Times New Roman" w:eastAsia="方正仿宋_GBK"/>
          <w:b/>
          <w:sz w:val="32"/>
        </w:rPr>
        <w:t xml:space="preserve">5.6 五参数推广矩阵</w:t>
      </w:r>
      <w:bookmarkEnd w:id="267"/>
      <w:bookmarkEnd w:id="2040"/>
    </w:p>
    <w:p>
      <w:pPr>
        <w:pStyle w:val="5"/>
        <w:keepNext/>
        <w:numPr>
          <w:numId w:val="0"/>
        </w:numPr>
        <w:spacing w:line="390" w:lineRule="exact" w:before="160" w:after="120"/>
        <w:ind w:firstLine="0"/>
      </w:pPr>
      <w:bookmarkStart w:id="268" w:name="参数组织与推广模型"/>
      <w:r>
        <w:rPr>
          <w:rFonts w:ascii="Times New Roman" w:hAnsi="Times New Roman" w:eastAsia="方正仿宋_GBK"/>
          <w:b/>
          <w:sz w:val="26"/>
        </w:rPr>
        <w:t xml:space="preserve">5.6.1 参数组织与推广模型</w:t>
      </w:r>
      <w:bookmarkEnd w:id="268"/>
    </w:p>
    <w:p>
      <w:pPr>
        <w:pStyle w:val="115"/>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pPr>
        <w:pStyle w:val="2"/>
        <w:widowControl/>
        <w:spacing w:line="348" w:lineRule="exact" w:before="0" w:after="0"/>
        <w:ind w:firstLine="480"/>
        <w:jc w:val="both"/>
      </w:pPr>
      <w:r>
        <w:rPr>
          <w:rFonts w:ascii="Times New Roman" w:hAnsi="Times New Roman" w:eastAsia="方正仿宋_GBK"/>
          <w:b w:val="0"/>
          <w:sz w:val="24"/>
        </w:rPr>
        <w:t xml:space="preserve">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115"/>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表5-62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km；有功上限8.00 MW，区段有效转供7.49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69" w:name="矩阵结果与查表方法"/>
      <w:r>
        <w:rPr>
          <w:rFonts w:ascii="Times New Roman" w:hAnsi="Times New Roman" w:eastAsia="方正仿宋_GBK"/>
          <w:b/>
          <w:sz w:val="26"/>
        </w:rPr>
        <w:t xml:space="preserve">5.6.2 矩阵结果与查表方法</w:t>
      </w:r>
      <w:bookmarkEnd w:id="269"/>
    </w:p>
    <w:p>
      <w:pPr>
        <w:pStyle w:val="115"/>
        <w:widowControl/>
        <w:spacing w:line="348" w:lineRule="exact" w:before="0" w:after="0"/>
        <w:ind w:firstLine="480"/>
        <w:jc w:val="both"/>
      </w:pPr>
      <w:r>
        <w:rPr>
          <w:rFonts w:ascii="Times New Roman" w:hAnsi="Times New Roman" w:eastAsia="方正仿宋_GBK"/>
          <w:b w:val="0"/>
          <w:sz w:val="24"/>
        </w:rPr>
        <w:t xml:space="preserve">负荷分散系数在1.05—1.25内按0.02间隔取11个节点，以1.15为界划分为≤1.15和&gt;1.15两档。矩阵按电缆长度占比≤10%、(10%,30%]、&gt;30%分为三档，每档列示两个负荷分散系数区间，共六张表。每张表以年最大净负荷平均增长率四档和装机渗透率三档选行，以初始转供率四档选列，形成48个区间单元，合计288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每个单元取最接近样本容载比中位数的实际仿真节点为代表，同距时采用较大值。推荐窗口以0.10为基准宽度，定位值取最接近该代表值的0.02网格值。同一行相邻不同容量水平的间距小于0.10时，以两者中点作为共用界值，局部缩窄窗口，使接近的容量水平接续显示；较大容量间隔及相同容量平台按实际结果保留。窗口表示中部配置的容量初选范围。实际设备按片区源荷与网络条件校核。电缆长度占比节点为10%、30%、50%、80%、90%，分别归入≤10%、(10%,30%]、&gt;30%三档。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r>
        <w:rPr>
          <w:rFonts w:ascii="Times New Roman" w:hAnsi="Times New Roman" w:eastAsia="宋体"/>
          <w:b w:val="0"/>
          <w:sz w:val="21"/>
        </w:rPr>
        <w:t xml:space="preserve">表5-63 电缆长度占比≤10%、负荷分散系数≤1.15的容载比分档建议矩阵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1.88～1.97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1.43～1.53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1.63～1.69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2.35～2.41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r>
    </w:tbl>
    <w:p>
      <w:pPr>
        <w:pStyle w:val="2"/>
        <w:keepNext/>
        <w:spacing w:line="280" w:lineRule="exact" w:before="120" w:after="80"/>
        <w:ind w:firstLine="0"/>
        <w:jc w:val="center"/>
      </w:pPr>
      <w:r>
        <w:rPr>
          <w:rFonts w:ascii="Times New Roman" w:hAnsi="Times New Roman" w:eastAsia="宋体"/>
          <w:b w:val="0"/>
          <w:sz w:val="21"/>
        </w:rPr>
        <w:t xml:space="preserve">表5-64 电缆长度占比≤10%、负荷分散系数&gt;1.15的容载比分档建议矩阵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2.79～2.89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2.52～2.59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1.87～1.97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2.46～2.55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r>
    </w:tbl>
    <w:p>
      <w:pPr>
        <w:pStyle w:val="2"/>
        <w:keepNext/>
        <w:spacing w:line="280" w:lineRule="exact" w:before="120" w:after="80"/>
        <w:ind w:firstLine="0"/>
        <w:jc w:val="center"/>
      </w:pPr>
      <w:r>
        <w:rPr>
          <w:rFonts w:ascii="Times New Roman" w:hAnsi="Times New Roman" w:eastAsia="宋体"/>
          <w:b w:val="0"/>
          <w:sz w:val="21"/>
        </w:rPr>
        <w:t xml:space="preserve">表5-65 电缆长度占比(10%,30%]、负荷分散系数≤1.15的容载比分档建议矩阵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1.88～1.97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1.43～1.53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1.63～1.69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2.35～2.41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r>
    </w:tbl>
    <w:p>
      <w:pPr>
        <w:pStyle w:val="2"/>
        <w:keepNext/>
        <w:spacing w:line="280" w:lineRule="exact" w:before="120" w:after="80"/>
        <w:ind w:firstLine="0"/>
        <w:jc w:val="center"/>
      </w:pPr>
      <w:r>
        <w:rPr>
          <w:rFonts w:ascii="Times New Roman" w:hAnsi="Times New Roman" w:eastAsia="宋体"/>
          <w:b w:val="0"/>
          <w:sz w:val="21"/>
        </w:rPr>
        <w:t xml:space="preserve">表5-66 电缆长度占比(10%,30%]、负荷分散系数&gt;1.15的容载比分档建议矩阵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2.79～2.89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2.52～2.59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2.46～2.55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电缆长度占比&gt;30%、负荷分散系数≤1.15的容载比分档建议矩阵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2.79～2.89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2.09～2.19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1.65～1.73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1.88～1.97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1.43～1.53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2.41～2.47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2.35～2.41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2.19～2.29</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电缆长度占比&gt;30%、负荷分散系数&gt;1.15的容载比分档建议矩阵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1.99～2.09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2.79～2.89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2.63～2.69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2.57～2.63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2.17～2.27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1.83～1.92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2.75～2.85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2.47～2.57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2.05～2.15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1.73～1.81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2.52～2.59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2.48～2.52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2.41～2.48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2.02～2.11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1.95～2.02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1.45～1.55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1.89～1.99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1.57～1.67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2.46～2.55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2.37～2.46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2.28～2.37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2.19～2.28</w:t>
            </w:r>
          </w:p>
        </w:tc>
      </w:tr>
    </w:tbl>
    <w:p>
      <w:pPr>
        <w:pStyle w:val="2"/>
        <w:widowControl/>
        <w:spacing w:line="348" w:lineRule="exact" w:before="0" w:after="0"/>
        <w:ind w:firstLine="480"/>
        <w:jc w:val="both"/>
      </w:pPr>
      <w:r>
        <w:rPr>
          <w:rFonts w:ascii="Times New Roman" w:hAnsi="Times New Roman" w:eastAsia="方正仿宋_GBK"/>
          <w:b w:val="0"/>
          <w:sz w:val="24"/>
        </w:rPr>
        <w:t xml:space="preserve">以电缆长度占比≤10%、负荷分散系数≤1.15、年最大净负荷平均增长率&gt;7%、装机渗透率(1,2]这一行为例，初始转供率四档的推荐窗口依次为1.96～2.03、1.89～1.96、1.63～1.69、1.57～1.63。接近的容量水平共用界值，窗口位置体现各转供档位的中部容量需求。第5.6.4节固定其余条件，以完整节点说明具体主变组合及费用。</w:t>
      </w:r>
    </w:p>
    <w:p>
      <w:pPr>
        <w:pStyle w:val="2"/>
        <w:widowControl/>
        <w:spacing w:line="348" w:lineRule="exact" w:before="0" w:after="0"/>
        <w:ind w:firstLine="480"/>
        <w:jc w:val="both"/>
      </w:pPr>
      <w:r>
        <w:rPr>
          <w:rFonts w:ascii="Times New Roman" w:hAnsi="Times New Roman" w:eastAsia="方正仿宋_GBK"/>
          <w:b w:val="0"/>
          <w:sz w:val="24"/>
        </w:rPr>
        <w:t xml:space="preserve">推荐窗口端点图以电缆长度占比&gt;30%、负荷分散系数&gt;1.15为例，按与矩阵相同的行列次序展示下界和上界，两图采用相同色阶。装机渗透率较高的行具有较大的反向容量任务，年最大净负荷平均增长率改变负荷规模及既有容量储备，转供条件则影响局部支援。读取推荐窗口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45"/>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电缆长度占比&gt;30%、负荷分散系数&gt;1.15下的矩阵端点</w:t>
      </w:r>
    </w:p>
    <w:p>
      <w:pPr>
        <w:pStyle w:val="5"/>
        <w:keepNext/>
        <w:numPr>
          <w:numId w:val="0"/>
        </w:numPr>
        <w:spacing w:line="390" w:lineRule="exact" w:before="160" w:after="120"/>
        <w:ind w:firstLine="0"/>
      </w:pPr>
      <w:bookmarkStart w:id="271" w:name="参数关联对应的设备变化"/>
      <w:r>
        <w:rPr>
          <w:rFonts w:ascii="Times New Roman" w:hAnsi="Times New Roman" w:eastAsia="方正仿宋_GBK"/>
          <w:b/>
          <w:sz w:val="26"/>
        </w:rPr>
        <w:t xml:space="preserve">5.6.3 参数关联对应的设备变化</w:t>
      </w:r>
      <w:bookmarkEnd w:id="271"/>
    </w:p>
    <w:p>
      <w:pPr>
        <w:pStyle w:val="115"/>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46"/>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3" w:name="固定源荷条件下的转供序列"/>
      <w:r>
        <w:rPr>
          <w:rFonts w:ascii="Times New Roman" w:hAnsi="Times New Roman" w:eastAsia="方正仿宋_GBK"/>
          <w:b/>
          <w:sz w:val="26"/>
        </w:rPr>
        <w:t xml:space="preserve">5.6.4 固定源荷条件下的转供序列</w:t>
      </w:r>
      <w:bookmarkEnd w:id="273"/>
    </w:p>
    <w:p>
      <w:pPr>
        <w:pStyle w:val="115"/>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各档中位代表节点定位四个推荐窗口，共形成8个区间单元。具体节点的设备配置与费用分别列示。</w:t>
      </w:r>
    </w:p>
    <w:p>
      <w:pPr>
        <w:pStyle w:val="2"/>
        <w:keepNext/>
        <w:spacing w:line="280" w:lineRule="exact" w:before="120" w:after="80"/>
        <w:ind w:firstLine="0"/>
        <w:jc w:val="center"/>
      </w:pPr>
      <w:r>
        <w:rPr>
          <w:rFonts w:ascii="Times New Roman" w:hAnsi="Times New Roman" w:eastAsia="宋体"/>
          <w:b w:val="0"/>
          <w:sz w:val="21"/>
        </w:rPr>
        <w:t xml:space="preserve">表5-69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1.40～1.49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1.21～1.31</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注：两组均采用电缆长度占比50%和五站设备重新选配条件；按第5.6.2节的局部接续窗口方法归纳。</w:t>
      </w:r>
    </w:p>
    <w:p>
      <w:pPr>
        <w:pStyle w:val="2"/>
        <w:keepNext/>
        <w:spacing w:line="280" w:lineRule="exact" w:before="120" w:after="80"/>
        <w:ind w:firstLine="0"/>
        <w:jc w:val="center"/>
      </w:pPr>
      <w:r>
        <w:rPr>
          <w:rFonts w:ascii="Times New Roman" w:hAnsi="Times New Roman" w:eastAsia="宋体"/>
          <w:b w:val="0"/>
          <w:sz w:val="21"/>
        </w:rPr>
        <w:t xml:space="preserve">表5-70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表5-71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MVA，末个节点取消新增联络。两组完整节点显示，既有网络改善总体降低本地容量需求，同时改变新增工程组合。局部平台和回升对应具体设备替代。</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4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5" w:name="装机渗透率与双向容量需求"/>
      <w:r>
        <w:rPr>
          <w:rFonts w:ascii="Times New Roman" w:hAnsi="Times New Roman" w:eastAsia="方正仿宋_GBK"/>
          <w:b/>
          <w:sz w:val="26"/>
        </w:rPr>
        <w:t xml:space="preserve">5.6.5 装机渗透率与双向容量需求</w:t>
      </w:r>
      <w:bookmarkEnd w:id="275"/>
    </w:p>
    <w:p>
      <w:pPr>
        <w:pStyle w:val="115"/>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表5-72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48"/>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完整装机渗透率序列对应的主变与储能配置</w:t>
      </w:r>
    </w:p>
    <w:p>
      <w:pPr>
        <w:pStyle w:val="5"/>
        <w:keepNext/>
        <w:numPr>
          <w:numId w:val="0"/>
        </w:numPr>
        <w:spacing w:line="390" w:lineRule="exact" w:before="160" w:after="120"/>
        <w:ind w:firstLine="0"/>
      </w:pPr>
      <w:bookmarkStart w:id="277" w:name="年最大净负荷平均增长率与容量储备消耗"/>
      <w:r>
        <w:rPr>
          <w:rFonts w:ascii="Times New Roman" w:hAnsi="Times New Roman" w:eastAsia="方正仿宋_GBK"/>
          <w:b/>
          <w:sz w:val="26"/>
        </w:rPr>
        <w:t xml:space="preserve">5.6.6 年最大净负荷平均增长率与容量储备消耗</w:t>
      </w:r>
      <w:bookmarkEnd w:id="277"/>
    </w:p>
    <w:p>
      <w:pPr>
        <w:pStyle w:val="115"/>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表5-73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4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年最大净负荷平均增长率与规划负荷、容量及容载比</w:t>
      </w:r>
    </w:p>
    <w:p>
      <w:pPr>
        <w:pStyle w:val="5"/>
        <w:keepNext/>
        <w:numPr>
          <w:numId w:val="0"/>
        </w:numPr>
        <w:spacing w:line="390" w:lineRule="exact" w:before="160" w:after="120"/>
        <w:ind w:firstLine="0"/>
      </w:pPr>
      <w:bookmarkStart w:id="279" w:name="电缆长度占比与联络主变替代"/>
      <w:r>
        <w:rPr>
          <w:rFonts w:ascii="Times New Roman" w:hAnsi="Times New Roman" w:eastAsia="方正仿宋_GBK"/>
          <w:b/>
          <w:sz w:val="26"/>
        </w:rPr>
        <w:t xml:space="preserve">5.6.7 电缆长度占比与联络、主变替代</w:t>
      </w:r>
      <w:bookmarkEnd w:id="279"/>
    </w:p>
    <w:p>
      <w:pPr>
        <w:pStyle w:val="115"/>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表5-74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50"/>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1" w:name="负荷分散系数与局部高峰承载"/>
      <w:r>
        <w:rPr>
          <w:rFonts w:ascii="Times New Roman" w:hAnsi="Times New Roman" w:eastAsia="方正仿宋_GBK"/>
          <w:b/>
          <w:sz w:val="26"/>
        </w:rPr>
        <w:t xml:space="preserve">5.6.8 负荷分散系数与局部高峰承载</w:t>
      </w:r>
      <w:bookmarkEnd w:id="281"/>
    </w:p>
    <w:p>
      <w:pPr>
        <w:pStyle w:val="115"/>
        <w:widowControl/>
        <w:spacing w:line="348" w:lineRule="exact" w:before="0" w:after="0"/>
        <w:ind w:firstLine="480"/>
        <w:jc w:val="both"/>
      </w:pPr>
      <w:r>
        <w:rPr>
          <w:rFonts w:ascii="Times New Roman" w:hAnsi="Times New Roman" w:eastAsia="方正仿宋_GBK"/>
          <w:b w:val="0"/>
          <w:sz w:val="24"/>
        </w:rPr>
        <w:t xml:space="preserve">固定装机渗透率2.00、年最大净负荷平均增长率4%、电缆长度占比10%和初始转供率40%，比较负荷分散系数1.05—1.25、间隔0.02的11个节点。表中按相同主变容量合并相邻采样节点，列示四个容量平台及各平台内的配套措施范围。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表5-75 负荷分散系数对应的容量平台及配套措施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1.05—1.09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3.80～8.80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4310.32～5396.52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1.11—1.19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0.00～0.10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5720.12～5983.51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1.21、1.23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6476.74～6597.57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8339.97</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注：同一行合并主变容量相同的相邻采样节点；储能、联络和费用列为这些节点的取值范围。</w:t>
      </w:r>
    </w:p>
    <w:p>
      <w:pPr>
        <w:pStyle w:val="2"/>
        <w:widowControl/>
        <w:spacing w:line="348" w:lineRule="exact" w:before="0" w:after="0"/>
        <w:ind w:firstLine="480"/>
        <w:jc w:val="both"/>
      </w:pPr>
      <w:r>
        <w:rPr>
          <w:rFonts w:ascii="Times New Roman" w:hAnsi="Times New Roman" w:eastAsia="方正仿宋_GBK"/>
          <w:b w:val="0"/>
          <w:sz w:val="24"/>
        </w:rPr>
        <w:t xml:space="preserve">容载比的三个变化节点为1.11、1.21和1.25，对应主变分别增加26.00 MVA、34.00 MVA和50.00 MVA，形成2.05、2.14、2.26和2.43四个容量平台。1.11节点以主变补强替代8.80 MW储能额定功率，并减少1项联络。1.11—1.19内主变保持626.00 MVA，随着局部高峰任务提高，新增联络由5项增至7项，末个节点补充0.10 MW储能；容量平台内仍需调整配套措施。</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572461"/>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51"/>
                    <a:stretch>
                      <a:fillRect/>
                    </a:stretch>
                  </pic:blipFill>
                  <pic:spPr bwMode="auto">
                    <a:xfrm>
                      <a:off x="0" y="0"/>
                      <a:ext cx="5120640" cy="557246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1.21节点再次增容后取消储能，并将新增联络由7项减至6项。1.25节点主变增至710.00 MVA，新增联络增至10项，共同满足更高的局部高峰任务。全序列容载比由2.05升至2.43，费用现值由4310.32万元增至8339.97万元。主变补强与储能、联络之间的替代随容量平台发生变化，图中保留各平台内全部采样节点。</w:t>
      </w:r>
    </w:p>
    <w:p>
      <w:pPr>
        <w:pStyle w:val="2"/>
        <w:widowControl/>
        <w:spacing w:line="348" w:lineRule="exact" w:before="0" w:after="0"/>
        <w:ind w:firstLine="480"/>
        <w:jc w:val="both"/>
      </w:pPr>
      <w:r>
        <w:rPr>
          <w:rFonts w:ascii="Times New Roman" w:hAnsi="Times New Roman" w:eastAsia="方正仿宋_GBK"/>
          <w:b w:val="0"/>
          <w:sz w:val="24"/>
        </w:rPr>
        <w:t xml:space="preserve">矩阵以1.15划分负荷分散系数区间，将局部高峰条件归入对应推荐窗口。片区应用以同范围站级峰值及区域同时峰值核定该参数，再结合站间支援条件选择容量和配套措施。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13" w:name="h1130"/>
      <w:bookmarkStart w:id="283" w:name="规划应用相关工作建议"/>
      <w:r>
        <w:rPr>
          <w:rFonts w:ascii="Times New Roman" w:hAnsi="Times New Roman" w:eastAsia="方正仿宋_GBK"/>
          <w:b/>
          <w:sz w:val="32"/>
        </w:rPr>
        <w:t xml:space="preserve">5.7 规划应用相关工作建议</w:t>
      </w:r>
      <w:bookmarkEnd w:id="283"/>
      <w:bookmarkEnd w:id="2113"/>
    </w:p>
    <w:p>
      <w:pPr>
        <w:pStyle w:val="115"/>
        <w:widowControl/>
        <w:spacing w:line="348" w:lineRule="exact" w:before="0" w:after="0"/>
        <w:ind w:firstLine="480"/>
        <w:jc w:val="both"/>
      </w:pPr>
      <w:r>
        <w:rPr>
          <w:rFonts w:ascii="Times New Roman" w:hAnsi="Times New Roman" w:eastAsia="方正仿宋_GBK"/>
          <w:b w:val="0"/>
          <w:sz w:val="24"/>
        </w:rPr>
        <w:t xml:space="preserve">规划应用以五参数推广矩阵为容量初选工具，围绕矩阵应用、站级论证和滚动完善安排相关工作，将推荐区间落实为分片区的设备配置和建设时序。</w:t>
      </w:r>
    </w:p>
    <w:p>
      <w:pPr>
        <w:pStyle w:val="5"/>
        <w:keepNext/>
        <w:numPr>
          <w:numId w:val="0"/>
        </w:numPr>
        <w:spacing w:line="390" w:lineRule="exact" w:before="160" w:after="120"/>
        <w:ind w:firstLine="0"/>
      </w:pPr>
      <w:bookmarkStart w:id="284" w:name="推动五参数容载比矩阵应用"/>
      <w:r>
        <w:rPr>
          <w:rFonts w:ascii="Times New Roman" w:hAnsi="Times New Roman" w:eastAsia="方正仿宋_GBK"/>
          <w:b/>
          <w:sz w:val="26"/>
        </w:rPr>
        <w:t xml:space="preserve">5.7.1 推动五参数容载比矩阵应用</w:t>
      </w:r>
      <w:bookmarkEnd w:id="284"/>
    </w:p>
    <w:p>
      <w:pPr>
        <w:pStyle w:val="115"/>
        <w:widowControl/>
        <w:spacing w:line="348" w:lineRule="exact" w:before="0" w:after="0"/>
        <w:ind w:firstLine="480"/>
        <w:jc w:val="both"/>
      </w:pPr>
      <w:r>
        <w:rPr>
          <w:rFonts w:ascii="Times New Roman" w:hAnsi="Times New Roman" w:eastAsia="方正仿宋_GBK"/>
          <w:b w:val="0"/>
          <w:sz w:val="24"/>
        </w:rPr>
        <w:t xml:space="preserve">目标：规划人员依据片区参数查取容载比推荐窗口，按</w:t>
      </w:r>
      <w:r>
        <w:rPr>
          <w:rFonts w:ascii="Times New Roman" w:hAnsi="Times New Roman" w:eastAsia="方正仿宋_GBK"/>
          <w:b w:val="0"/>
          <w:sz w:val="24"/>
        </w:rPr>
        <w:t xml:space="preserve">“</w:t>
      </w:r>
      <w:r>
        <w:rPr>
          <w:rFonts w:ascii="Times New Roman" w:hAnsi="Times New Roman" w:eastAsia="方正仿宋_GBK"/>
          <w:b w:val="0"/>
          <w:sz w:val="24"/>
        </w:rPr>
        <w:t xml:space="preserve">查表初选＋设备校核</w:t>
      </w:r>
      <w:r>
        <w:rPr>
          <w:rFonts w:ascii="Times New Roman" w:hAnsi="Times New Roman" w:eastAsia="方正仿宋_GBK"/>
          <w:b w:val="0"/>
          <w:sz w:val="24"/>
        </w:rPr>
        <w:t xml:space="preserve">”</w:t>
      </w:r>
      <w:r>
        <w:rPr>
          <w:rFonts w:ascii="Times New Roman" w:hAnsi="Times New Roman" w:eastAsia="方正仿宋_GBK"/>
          <w:b w:val="0"/>
          <w:sz w:val="24"/>
        </w:rPr>
        <w:t xml:space="preserve">确定容量取值，便于方案审查与片区之间横向比较。</w:t>
      </w:r>
    </w:p>
    <w:p>
      <w:pPr>
        <w:pStyle w:val="2"/>
        <w:widowControl/>
        <w:spacing w:line="348" w:lineRule="exact" w:before="0" w:after="0"/>
        <w:ind w:firstLine="480"/>
        <w:jc w:val="both"/>
      </w:pPr>
      <w:r>
        <w:rPr>
          <w:rFonts w:ascii="Times New Roman" w:hAnsi="Times New Roman" w:eastAsia="方正仿宋_GBK"/>
          <w:b w:val="0"/>
          <w:sz w:val="24"/>
        </w:rPr>
        <w:t xml:space="preserve">措施：一是统一五项参数测算口径。按同一统计范围测算装机渗透率、年最大净负荷平均增长率、电缆长度占比、初始转供率和负荷分散系数，其中负荷分散系数结合同期8760小时曲线确定，使不同地区参数可比、可复查；二是建立分片查表流程。按电缆长度占比分区、负荷分散系数定档，以年最大净负荷平均增长率和装机渗透率选行、初始转供率选列，在六类场景推荐矩阵中查取片区容量初选范围；三是将推荐区间折算为设备容量。结合片区年网供最大负荷换算主变总容量范围，再按在役设备、扩建位置和站间承接能力形成可实施组合，使容量安排落实到具体站点。</w:t>
      </w:r>
    </w:p>
    <w:p>
      <w:pPr>
        <w:pStyle w:val="5"/>
        <w:keepNext/>
        <w:numPr>
          <w:numId w:val="0"/>
        </w:numPr>
        <w:spacing w:line="390" w:lineRule="exact" w:before="160" w:after="120"/>
        <w:ind w:firstLine="0"/>
      </w:pPr>
      <w:bookmarkStart w:id="285" w:name="结合站级双向承载论证容载比取值"/>
      <w:r>
        <w:rPr>
          <w:rFonts w:ascii="Times New Roman" w:hAnsi="Times New Roman" w:eastAsia="方正仿宋_GBK"/>
          <w:b/>
          <w:sz w:val="26"/>
        </w:rPr>
        <w:t xml:space="preserve">5.7.2 结合站级双向承载论证容载比取值</w:t>
      </w:r>
      <w:bookmarkEnd w:id="285"/>
    </w:p>
    <w:p>
      <w:pPr>
        <w:pStyle w:val="115"/>
        <w:widowControl/>
        <w:spacing w:line="348" w:lineRule="exact" w:before="0" w:after="0"/>
        <w:ind w:firstLine="480"/>
        <w:jc w:val="both"/>
      </w:pPr>
      <w:r>
        <w:rPr>
          <w:rFonts w:ascii="Times New Roman" w:hAnsi="Times New Roman" w:eastAsia="方正仿宋_GBK"/>
          <w:b w:val="0"/>
          <w:sz w:val="24"/>
        </w:rPr>
        <w:t xml:space="preserve">目标：将矩阵初选范围与站级供电能力校核衔接，统筹地区容量储备和局部双向承载需求。</w:t>
      </w:r>
    </w:p>
    <w:p>
      <w:pPr>
        <w:pStyle w:val="2"/>
        <w:widowControl/>
        <w:spacing w:line="348" w:lineRule="exact" w:before="0" w:after="0"/>
        <w:ind w:firstLine="480"/>
        <w:jc w:val="both"/>
      </w:pPr>
      <w:r>
        <w:rPr>
          <w:rFonts w:ascii="Times New Roman" w:hAnsi="Times New Roman" w:eastAsia="方正仿宋_GBK"/>
          <w:b w:val="0"/>
          <w:sz w:val="24"/>
        </w:rPr>
        <w:t xml:space="preserve">措施：一是核定既有转供能力。以逐站可转功率为上限，核实可切换区段、共享馈线余量和受端主变能力，明确联络措施可承担的实际供电任务；二是按缺口持续时间配置储能。结合日间反送与晚间高峰的功率缺口，按持续时间和可用电量校核有效支撑能力，使储能规模与本地双向缺口相匹配；三是在统一约束下比选主变增容与中压联络。正常运行主变负载率和反向潮流均按80%控制，主变N-1后剩余主变短时负载率按130%控制，结合储能支撑条件比较站内补强与新增联络的工程费用，确定各站点的可行经济组合。</w:t>
      </w:r>
    </w:p>
    <w:p>
      <w:pPr>
        <w:pStyle w:val="5"/>
        <w:keepNext/>
        <w:numPr>
          <w:numId w:val="0"/>
        </w:numPr>
        <w:spacing w:line="390" w:lineRule="exact" w:before="160" w:after="120"/>
        <w:ind w:firstLine="0"/>
      </w:pPr>
      <w:bookmarkStart w:id="286" w:name="随建设进度滚动完善应用方案"/>
      <w:r>
        <w:rPr>
          <w:rFonts w:ascii="Times New Roman" w:hAnsi="Times New Roman" w:eastAsia="方正仿宋_GBK"/>
          <w:b/>
          <w:sz w:val="26"/>
        </w:rPr>
        <w:t xml:space="preserve">5.7.3 随建设进度滚动完善应用方案</w:t>
      </w:r>
      <w:bookmarkEnd w:id="286"/>
    </w:p>
    <w:p>
      <w:pPr>
        <w:pStyle w:val="115"/>
        <w:widowControl/>
        <w:spacing w:line="348" w:lineRule="exact" w:before="0" w:after="0"/>
        <w:ind w:firstLine="480"/>
        <w:jc w:val="both"/>
      </w:pPr>
      <w:r>
        <w:rPr>
          <w:rFonts w:ascii="Times New Roman" w:hAnsi="Times New Roman" w:eastAsia="方正仿宋_GBK"/>
          <w:b w:val="0"/>
          <w:sz w:val="24"/>
        </w:rPr>
        <w:t xml:space="preserve">目标：保持容量安排与源荷变化、建设进度和投资计划同步，形成可逐年复核的技术档案，逐步落实</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的弹性容载比规划。</w:t>
      </w:r>
    </w:p>
    <w:p>
      <w:pPr>
        <w:pStyle w:val="2"/>
        <w:widowControl/>
        <w:spacing w:line="348" w:lineRule="exact" w:before="0" w:after="0"/>
        <w:ind w:firstLine="480"/>
        <w:jc w:val="both"/>
      </w:pPr>
      <w:r>
        <w:rPr>
          <w:rFonts w:ascii="Times New Roman" w:hAnsi="Times New Roman" w:eastAsia="方正仿宋_GBK"/>
          <w:b w:val="0"/>
          <w:sz w:val="24"/>
        </w:rPr>
        <w:t xml:space="preserve">措施：一是年度更新参数与方案。结合新增用户、实际峰值和光伏投产重算五项参数，调整主变、储能和中压联络的建设时序；二是价格与条件变化后重算。设备造价、储能价格、可用间隔或网架条件改变后，按统一费用范围重新比选设备组合，保持容量、配置与投入之间的对应关系；三是建立运行反馈与再校核机制。依据更新后的参数和工程投产时序逐年校核地区容载比，将运行反馈用于修正下一阶段的容量安排和建设方案。</w:t>
      </w:r>
    </w:p>
    <w:p>
      <w:pPr>
        <w:pStyle w:val="3"/>
        <w:keepNext/>
        <w:pageBreakBefore/>
        <w:numPr>
          <w:numId w:val="0"/>
        </w:numPr>
        <w:spacing w:line="540" w:lineRule="exact" w:before="0" w:after="120"/>
        <w:ind w:firstLine="0"/>
      </w:pPr>
      <w:bookmarkStart w:id="2124" w:name="h1144"/>
      <w:bookmarkStart w:id="287" w:name="第六章-结论与建议"/>
      <w:r>
        <w:rPr>
          <w:rFonts w:ascii="Times New Roman" w:hAnsi="Times New Roman" w:eastAsia="方正仿宋_GBK"/>
          <w:b/>
          <w:sz w:val="36"/>
        </w:rPr>
        <w:t xml:space="preserve">第六章 结论与建议</w:t>
      </w:r>
      <w:bookmarkEnd w:id="287"/>
      <w:bookmarkEnd w:id="2124"/>
    </w:p>
    <w:p>
      <w:pPr>
        <w:pStyle w:val="115"/>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26" w:name="h1146"/>
      <w:bookmarkStart w:id="288" w:name="主要研究结论"/>
      <w:r>
        <w:rPr>
          <w:rFonts w:ascii="Times New Roman" w:hAnsi="Times New Roman" w:eastAsia="方正仿宋_GBK"/>
          <w:b/>
          <w:sz w:val="32"/>
        </w:rPr>
        <w:t xml:space="preserve">6.1 主要研究结论</w:t>
      </w:r>
      <w:bookmarkEnd w:id="288"/>
      <w:bookmarkEnd w:id="2126"/>
    </w:p>
    <w:p>
      <w:pPr>
        <w:pStyle w:val="5"/>
        <w:keepNext/>
        <w:numPr>
          <w:numId w:val="0"/>
        </w:numPr>
        <w:spacing w:line="390" w:lineRule="exact" w:before="160" w:after="120"/>
        <w:ind w:firstLine="0"/>
      </w:pPr>
      <w:bookmarkStart w:id="289" w:name="容载比与局部容量压力应结合分析"/>
      <w:r>
        <w:rPr>
          <w:rFonts w:ascii="Times New Roman" w:hAnsi="Times New Roman" w:eastAsia="方正仿宋_GBK"/>
          <w:b/>
          <w:sz w:val="26"/>
        </w:rPr>
        <w:t xml:space="preserve">6.1.1 容载比与局部容量压力应结合分析</w:t>
      </w:r>
      <w:bookmarkEnd w:id="289"/>
    </w:p>
    <w:p>
      <w:pPr>
        <w:pStyle w:val="115"/>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0" w:name="弹性容量配置在两地区形成不同的费用表现"/>
      <w:r>
        <w:rPr>
          <w:rFonts w:ascii="Times New Roman" w:hAnsi="Times New Roman" w:eastAsia="方正仿宋_GBK"/>
          <w:b/>
          <w:sz w:val="26"/>
        </w:rPr>
        <w:t xml:space="preserve">6.1.2 弹性容量配置在两地区形成不同的费用表现</w:t>
      </w:r>
      <w:bookmarkEnd w:id="290"/>
    </w:p>
    <w:p>
      <w:pPr>
        <w:pStyle w:val="115"/>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两地区均保留2021年实际地区容量，2022—2030年逐年承接已投运设备。2030年邳州刚性、弹性主变容量分别为2125.50 MVA、2388.50 MVA，容载比1.81、2.04；市区分别为3140.50 MVA、3413.00 MVA，容载比1.70、1.85。站内补强、配储与新增联络共同满足所采用的年度静态计算条件。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邳州2030年弹性储能69.66 MWh、累计新增联络6条，刚性为153.94 MWh、25条；市区弹性未新增储能和联络，刚性配储12.04 MWh、累计新增联络32条。邳州刚性、弹性费用现值分别为21551.31万元、19668.62万元，弹性减少1882.68万元；市区分别为14819.77万元、16806.54万元，弹性增加1986.77万元。两地均通过站内补强减少部分配套需求，但源荷、网络和建设时序不同，形成不同的费用结果。</w:t>
      </w:r>
    </w:p>
    <w:p>
      <w:pPr>
        <w:pStyle w:val="5"/>
        <w:keepNext/>
        <w:numPr>
          <w:numId w:val="0"/>
        </w:numPr>
        <w:spacing w:line="390" w:lineRule="exact" w:before="160" w:after="120"/>
        <w:ind w:firstLine="0"/>
      </w:pPr>
      <w:bookmarkStart w:id="291"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1"/>
    </w:p>
    <w:p>
      <w:pPr>
        <w:pStyle w:val="115"/>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当前模型将转接功率绑定具体馈线和站间候选，既有联络不重复计建设费用，新增联络按投运年计费。共用馈线的联络共用可转负荷和接收余量，邻站主变同时通过容量校核。</w:t>
      </w:r>
    </w:p>
    <w:p>
      <w:pPr>
        <w:pStyle w:val="5"/>
        <w:keepNext/>
        <w:numPr>
          <w:numId w:val="0"/>
        </w:numPr>
        <w:spacing w:line="390" w:lineRule="exact" w:before="160" w:after="120"/>
        <w:ind w:firstLine="0"/>
      </w:pPr>
      <w:bookmarkStart w:id="292" w:name="两层相关分析确定五项推广参数"/>
      <w:r>
        <w:rPr>
          <w:rFonts w:ascii="Times New Roman" w:hAnsi="Times New Roman" w:eastAsia="方正仿宋_GBK"/>
          <w:b/>
          <w:sz w:val="26"/>
        </w:rPr>
        <w:t xml:space="preserve">6.1.4 两层相关分析确定五项推广参数</w:t>
      </w:r>
      <w:bookmarkEnd w:id="292"/>
    </w:p>
    <w:p>
      <w:pPr>
        <w:pStyle w:val="115"/>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负荷分散系数在1.05—1.25内按0.02间隔取11个节点，并以1.15分为两档。区间矩阵按电缆长度占比≤10%、(10%,30%]、&gt;30%分区，结合年最大净负荷平均增长率四档、装机渗透率三档与初始转供率四档形成六张表288个单元。各单元由真实中位代表节点定位基准宽度0.10的推荐窗口，接近的容量水平按中点共用界值并局部缩窄，保留容量变化及平台。另以两组设备重新选配的典型源荷条件分析18个细节点及8个转供区间，完整保留设备组合的平台和局部回升。查表后按实际站级缺口及可实施措施确定设备方案。</w:t>
      </w:r>
    </w:p>
    <w:p>
      <w:pPr>
        <w:pStyle w:val="4"/>
        <w:keepNext/>
        <w:numPr>
          <w:numId w:val="0"/>
        </w:numPr>
        <w:spacing w:line="480" w:lineRule="exact" w:before="160" w:after="120"/>
        <w:ind w:firstLine="0"/>
      </w:pPr>
      <w:bookmarkStart w:id="2140" w:name="h1160"/>
      <w:bookmarkStart w:id="293" w:name="规划应用相关工作建议-1"/>
      <w:r>
        <w:rPr>
          <w:rFonts w:ascii="Times New Roman" w:hAnsi="Times New Roman" w:eastAsia="方正仿宋_GBK"/>
          <w:b/>
          <w:sz w:val="32"/>
        </w:rPr>
        <w:t xml:space="preserve">6.2 规划应用相关工作建议</w:t>
      </w:r>
      <w:bookmarkEnd w:id="293"/>
      <w:bookmarkEnd w:id="2140"/>
    </w:p>
    <w:p>
      <w:pPr>
        <w:pStyle w:val="115"/>
        <w:widowControl/>
        <w:spacing w:line="348" w:lineRule="exact" w:before="0" w:after="0"/>
        <w:ind w:firstLine="480"/>
        <w:jc w:val="both"/>
      </w:pPr>
      <w:r>
        <w:rPr>
          <w:rFonts w:ascii="Times New Roman" w:hAnsi="Times New Roman" w:eastAsia="方正仿宋_GBK"/>
          <w:b w:val="0"/>
          <w:sz w:val="24"/>
        </w:rPr>
        <w:t xml:space="preserve">规划应用围绕矩阵应用、站级论证和滚动完善三项工作推进，具体流程按第5.7节执行，使五参数研究成果与片区设备方案、工程建设和运行反馈相衔接。</w:t>
      </w:r>
    </w:p>
    <w:p>
      <w:pPr>
        <w:pStyle w:val="5"/>
        <w:keepNext/>
        <w:numPr>
          <w:numId w:val="0"/>
        </w:numPr>
        <w:spacing w:line="390" w:lineRule="exact" w:before="160" w:after="120"/>
        <w:ind w:firstLine="0"/>
      </w:pPr>
      <w:bookmarkStart w:id="294" w:name="推动五参数容载比矩阵应用-1"/>
      <w:r>
        <w:rPr>
          <w:rFonts w:ascii="Times New Roman" w:hAnsi="Times New Roman" w:eastAsia="方正仿宋_GBK"/>
          <w:b/>
          <w:sz w:val="26"/>
        </w:rPr>
        <w:t xml:space="preserve">6.2.1 推动五参数容载比矩阵应用</w:t>
      </w:r>
      <w:bookmarkEnd w:id="294"/>
    </w:p>
    <w:p>
      <w:pPr>
        <w:pStyle w:val="115"/>
        <w:widowControl/>
        <w:spacing w:line="348" w:lineRule="exact" w:before="0" w:after="0"/>
        <w:ind w:firstLine="480"/>
        <w:jc w:val="both"/>
      </w:pPr>
      <w:r>
        <w:rPr>
          <w:rFonts w:ascii="Times New Roman" w:hAnsi="Times New Roman" w:eastAsia="方正仿宋_GBK"/>
          <w:b w:val="0"/>
          <w:sz w:val="24"/>
        </w:rPr>
        <w:t xml:space="preserve">目标：形成规划人员可查取、可校核的容量初选方法，支持片区方案审查与横向比较。</w:t>
      </w:r>
    </w:p>
    <w:p>
      <w:pPr>
        <w:pStyle w:val="2"/>
        <w:widowControl/>
        <w:spacing w:line="348" w:lineRule="exact" w:before="0" w:after="0"/>
        <w:ind w:firstLine="480"/>
        <w:jc w:val="both"/>
      </w:pPr>
      <w:r>
        <w:rPr>
          <w:rFonts w:ascii="Times New Roman" w:hAnsi="Times New Roman" w:eastAsia="方正仿宋_GBK"/>
          <w:b w:val="0"/>
          <w:sz w:val="24"/>
        </w:rPr>
        <w:t xml:space="preserve">措施：统一五项参数测算口径，按电缆长度占比和负荷分散系数选择场景，以年最大净负荷平均增长率、装机渗透率和初始转供率查取推荐窗口，再结合片区年网供最大负荷折算容量，落实到具体站点和设备组合。</w:t>
      </w:r>
    </w:p>
    <w:p>
      <w:pPr>
        <w:pStyle w:val="5"/>
        <w:keepNext/>
        <w:numPr>
          <w:numId w:val="0"/>
        </w:numPr>
        <w:spacing w:line="390" w:lineRule="exact" w:before="160" w:after="120"/>
        <w:ind w:firstLine="0"/>
      </w:pPr>
      <w:bookmarkStart w:id="295" w:name="结合站级双向承载论证容载比取值-1"/>
      <w:r>
        <w:rPr>
          <w:rFonts w:ascii="Times New Roman" w:hAnsi="Times New Roman" w:eastAsia="方正仿宋_GBK"/>
          <w:b/>
          <w:sz w:val="26"/>
        </w:rPr>
        <w:t xml:space="preserve">6.2.2 结合站级双向承载论证容载比取值</w:t>
      </w:r>
      <w:bookmarkEnd w:id="295"/>
    </w:p>
    <w:p>
      <w:pPr>
        <w:pStyle w:val="115"/>
        <w:widowControl/>
        <w:spacing w:line="348" w:lineRule="exact" w:before="0" w:after="0"/>
        <w:ind w:firstLine="480"/>
        <w:jc w:val="both"/>
      </w:pPr>
      <w:r>
        <w:rPr>
          <w:rFonts w:ascii="Times New Roman" w:hAnsi="Times New Roman" w:eastAsia="方正仿宋_GBK"/>
          <w:b w:val="0"/>
          <w:sz w:val="24"/>
        </w:rPr>
        <w:t xml:space="preserve">目标：使推荐区间与站级双向承载能力相衔接，协调地区容量储备与局部补强需求。</w:t>
      </w:r>
    </w:p>
    <w:p>
      <w:pPr>
        <w:pStyle w:val="2"/>
        <w:widowControl/>
        <w:spacing w:line="348" w:lineRule="exact" w:before="0" w:after="0"/>
        <w:ind w:firstLine="480"/>
        <w:jc w:val="both"/>
      </w:pPr>
      <w:r>
        <w:rPr>
          <w:rFonts w:ascii="Times New Roman" w:hAnsi="Times New Roman" w:eastAsia="方正仿宋_GBK"/>
          <w:b w:val="0"/>
          <w:sz w:val="24"/>
        </w:rPr>
        <w:t xml:space="preserve">措施：核定逐站可转功率、可切换区段、共享馈线余量和受端主变能力，结合功率缺口持续时间校核储能有效支撑。在相同正常运行和主变N-1约束下，比选主变增容、储能与中压联络，确定可行的设备配置及投运安排。</w:t>
      </w:r>
    </w:p>
    <w:p>
      <w:pPr>
        <w:pStyle w:val="5"/>
        <w:keepNext/>
        <w:numPr>
          <w:numId w:val="0"/>
        </w:numPr>
        <w:spacing w:line="390" w:lineRule="exact" w:before="160" w:after="120"/>
        <w:ind w:firstLine="0"/>
      </w:pPr>
      <w:bookmarkStart w:id="296" w:name="随建设进度滚动完善应用方案-1"/>
      <w:r>
        <w:rPr>
          <w:rFonts w:ascii="Times New Roman" w:hAnsi="Times New Roman" w:eastAsia="方正仿宋_GBK"/>
          <w:b/>
          <w:sz w:val="26"/>
        </w:rPr>
        <w:t xml:space="preserve">6.2.3 随建设进度滚动完善应用方案</w:t>
      </w:r>
      <w:bookmarkEnd w:id="296"/>
    </w:p>
    <w:p>
      <w:pPr>
        <w:pStyle w:val="115"/>
        <w:widowControl/>
        <w:spacing w:line="348" w:lineRule="exact" w:before="0" w:after="0"/>
        <w:ind w:firstLine="480"/>
        <w:jc w:val="both"/>
      </w:pPr>
      <w:r>
        <w:rPr>
          <w:rFonts w:ascii="Times New Roman" w:hAnsi="Times New Roman" w:eastAsia="方正仿宋_GBK"/>
          <w:b w:val="0"/>
          <w:sz w:val="24"/>
        </w:rPr>
        <w:t xml:space="preserve">目标：保持容量安排与建设进度、投资计划同步，使规划结果可随运行资料逐年复核。</w:t>
      </w:r>
    </w:p>
    <w:p>
      <w:pPr>
        <w:pStyle w:val="2"/>
        <w:widowControl/>
        <w:spacing w:line="348" w:lineRule="exact" w:before="0" w:after="0"/>
        <w:ind w:firstLine="480"/>
        <w:jc w:val="both"/>
      </w:pPr>
      <w:r>
        <w:rPr>
          <w:rFonts w:ascii="Times New Roman" w:hAnsi="Times New Roman" w:eastAsia="方正仿宋_GBK"/>
          <w:b w:val="0"/>
          <w:sz w:val="24"/>
        </w:rPr>
        <w:t xml:space="preserve">措施：按新增用户、实际峰值和光伏投产更新参数及建设时序，设备价格或工程条件变化后按统一费用范围重算方案，再以运行反馈校核容载比和设备配置，形成</w:t>
      </w:r>
      <w:r>
        <w:rPr>
          <w:rFonts w:ascii="Times New Roman" w:hAnsi="Times New Roman" w:eastAsia="方正仿宋_GBK"/>
          <w:b w:val="0"/>
          <w:sz w:val="24"/>
        </w:rPr>
        <w:t xml:space="preserve">“</w:t>
      </w:r>
      <w:r>
        <w:rPr>
          <w:rFonts w:ascii="Times New Roman" w:hAnsi="Times New Roman" w:eastAsia="方正仿宋_GBK"/>
          <w:b w:val="0"/>
          <w:sz w:val="24"/>
        </w:rPr>
        <w:t xml:space="preserve">规划—建设—运行—再规划</w:t>
      </w:r>
      <w:r>
        <w:rPr>
          <w:rFonts w:ascii="Times New Roman" w:hAnsi="Times New Roman" w:eastAsia="方正仿宋_GBK"/>
          <w:b w:val="0"/>
          <w:sz w:val="24"/>
        </w:rPr>
        <w:t xml:space="preserve">”</w:t>
      </w:r>
      <w:r>
        <w:rPr>
          <w:rFonts w:ascii="Times New Roman" w:hAnsi="Times New Roman" w:eastAsia="方正仿宋_GBK"/>
          <w:b w:val="0"/>
          <w:sz w:val="24"/>
        </w:rPr>
        <w:t xml:space="preserve">的滚动应用流程。</w:t>
      </w:r>
    </w:p>
    <w:p>
      <w:pPr>
        <w:pStyle w:val="2"/>
        <w:widowControl/>
        <w:spacing w:line="348" w:lineRule="exact" w:before="0" w:after="0"/>
        <w:ind w:firstLine="480"/>
        <w:jc w:val="both"/>
      </w:pPr>
      <w:r>
        <w:rPr>
          <w:rFonts w:ascii="Times New Roman" w:hAnsi="Times New Roman" w:eastAsia="方正仿宋_GBK"/>
          <w:b w:val="0"/>
          <w:sz w:val="24"/>
        </w:rPr>
        <w:t xml:space="preserve">建议先在徐州地区开展</w:t>
      </w:r>
      <w:r>
        <w:rPr>
          <w:rFonts w:ascii="Times New Roman" w:hAnsi="Times New Roman" w:eastAsia="方正仿宋_GBK"/>
          <w:b w:val="0"/>
          <w:sz w:val="24"/>
        </w:rPr>
        <w:t xml:space="preserve">“</w:t>
      </w:r>
      <w:r>
        <w:rPr>
          <w:rFonts w:ascii="Times New Roman" w:hAnsi="Times New Roman" w:eastAsia="方正仿宋_GBK"/>
          <w:b w:val="0"/>
          <w:sz w:val="24"/>
        </w:rPr>
        <w:t xml:space="preserve">查表定容—站级论证—滚动校核</w:t>
      </w:r>
      <w:r>
        <w:rPr>
          <w:rFonts w:ascii="Times New Roman" w:hAnsi="Times New Roman" w:eastAsia="方正仿宋_GBK"/>
          <w:b w:val="0"/>
          <w:sz w:val="24"/>
        </w:rPr>
        <w:t xml:space="preserve">”</w:t>
      </w:r>
      <w:r>
        <w:rPr>
          <w:rFonts w:ascii="Times New Roman" w:hAnsi="Times New Roman" w:eastAsia="方正仿宋_GBK"/>
          <w:b w:val="0"/>
          <w:sz w:val="24"/>
        </w:rPr>
        <w:t xml:space="preserve">全流程试用，验证参数口径与查表流程，再向其他地区高渗透率片区推广。</w:t>
      </w:r>
    </w:p>
    <w:p>
      <w:pPr>
        <w:pStyle w:val="4"/>
        <w:keepNext/>
        <w:numPr>
          <w:numId w:val="0"/>
        </w:numPr>
        <w:spacing w:line="480" w:lineRule="exact" w:before="160" w:after="120"/>
        <w:ind w:firstLine="0"/>
      </w:pPr>
      <w:bookmarkStart w:id="2152" w:name="h1172"/>
      <w:bookmarkStart w:id="297" w:name="后续研究方向"/>
      <w:r>
        <w:rPr>
          <w:rFonts w:ascii="Times New Roman" w:hAnsi="Times New Roman" w:eastAsia="方正仿宋_GBK"/>
          <w:b/>
          <w:sz w:val="32"/>
        </w:rPr>
        <w:t xml:space="preserve">6.3 后续研究方向</w:t>
      </w:r>
      <w:bookmarkEnd w:id="297"/>
      <w:bookmarkEnd w:id="2152"/>
    </w:p>
    <w:p>
      <w:pPr>
        <w:pStyle w:val="115"/>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正常运行及各站最大单台主变N-1故障时的负荷转供方案，方案在各年度内固定，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298" w:name="深化储能运行与实际网络校核"/>
      <w:r>
        <w:rPr>
          <w:rFonts w:ascii="Times New Roman" w:hAnsi="Times New Roman" w:eastAsia="方正仿宋_GBK"/>
          <w:b/>
          <w:sz w:val="26"/>
        </w:rPr>
        <w:t xml:space="preserve">6.3.1 深化储能运行与实际网络校核</w:t>
      </w:r>
      <w:bookmarkEnd w:id="298"/>
    </w:p>
    <w:p>
      <w:pPr>
        <w:pStyle w:val="115"/>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299" w:name="拓展片区结构和经济参数"/>
      <w:r>
        <w:rPr>
          <w:rFonts w:ascii="Times New Roman" w:hAnsi="Times New Roman" w:eastAsia="方正仿宋_GBK"/>
          <w:b/>
          <w:sz w:val="26"/>
        </w:rPr>
        <w:t xml:space="preserve">6.3.2 拓展片区结构和经济参数</w:t>
      </w:r>
      <w:bookmarkEnd w:id="299"/>
    </w:p>
    <w:p>
      <w:pPr>
        <w:pStyle w:val="115"/>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58" w:name="h1178"/>
      <w:bookmarkStart w:id="300" w:name="参考文献"/>
      <w:r>
        <w:rPr>
          <w:rFonts w:ascii="Times New Roman" w:hAnsi="Times New Roman" w:eastAsia="方正仿宋_GBK"/>
          <w:b/>
          <w:sz w:val="36"/>
        </w:rPr>
        <w:t xml:space="preserve">参考文献</w:t>
      </w:r>
      <w:bookmarkEnd w:id="300"/>
      <w:bookmarkEnd w:id="2158"/>
    </w:p>
    <w:p>
      <w:pPr>
        <w:pStyle w:val="115"/>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7"/>
      <w:footerReference w:type="default" r:id="rId9"/>
      <w:headerReference w:type="first" r:id="rId8"/>
      <w:footerReference w:type="first" r:id="rId10"/>
      <w:pgSz w:w="11906" w:h="16838"/>
      <w:pgMar w:top="1440" w:right="1797" w:bottom="1440" w:left="1797" w:header="720" w:footer="720" w:gutter="0"/>
      <w:cols w:space="425" w:num="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96525">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F0A82"/>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6DB13">
    <w:pPr>
      <w:jc w:val="center"/>
    </w:pPr>
    <w:r>
      <w:rPr>
        <w:rFonts w:ascii="Times New Roman" w:hAnsi="Times New Roman" w:eastAsia="宋体"/>
        <w:b w:val="0"/>
        <w:sz w:val="18"/>
      </w:rPr>
      <w:t>徐州地区110 kV电网容载比弹性指标优化研究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83A62"/>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4" Type="http://schemas.microsoft.com/office/2011/relationships/people" Target="people.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footnotes" Target="footnotes.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microsoft.com/office/2011/relationships/commentsExtended" Target="commentsExtended.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comments" Target="comment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 Id="rId55" Type="http://schemas.openxmlformats.org/officeDocument/2006/relationships/image" Target="media/update_487cf85412928b2be280.png"/><Relationship Id="rId56" Type="http://schemas.openxmlformats.org/officeDocument/2006/relationships/image" Target="media/update_5eb1753d5d00a2d5e09f.png"/><Relationship Id="rId57" Type="http://schemas.openxmlformats.org/officeDocument/2006/relationships/image" Target="media/update_04b1ce452382461a03ea.png"/><Relationship Id="rId58" Type="http://schemas.openxmlformats.org/officeDocument/2006/relationships/image" Target="media/update_ebc93d5d8ff87104e562.png"/><Relationship Id="rId59" Type="http://schemas.openxmlformats.org/officeDocument/2006/relationships/image" Target="media/update_2e32e0a0db07549fed12.png"/><Relationship Id="rId60" Type="http://schemas.openxmlformats.org/officeDocument/2006/relationships/image" Target="media/update_ab6b5ddbcadac555aa66.png"/><Relationship Id="rId61" Type="http://schemas.openxmlformats.org/officeDocument/2006/relationships/image" Target="media/update_c23e9a15802ffbb4fa8d.png"/><Relationship Id="rId62" Type="http://schemas.openxmlformats.org/officeDocument/2006/relationships/image" Target="media/update_430c20d31f47ed5e96fa.png"/><Relationship Id="rId63" Type="http://schemas.openxmlformats.org/officeDocument/2006/relationships/image" Target="media/update_43a4f53d27e8179c36b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2026-10-27T01:21:14Z</dcterms:created>
  <dcterms:modified xsi:type="dcterms:W3CDTF">2026-10-27T01:21:14Z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